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0.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E/1990/6/Add.31</w:t>
            </w:r>
          </w:p>
          <w:p w:rsidR="00000000" w:rsidRDefault="00000000">
            <w:pPr>
              <w:tabs>
                <w:tab w:val="right" w:pos="3195"/>
              </w:tabs>
              <w:ind w:firstLine="335"/>
            </w:pPr>
            <w:r>
              <w:t>10 août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RUSSE</w:t>
            </w:r>
          </w:p>
          <w:p w:rsidR="00000000" w:rsidRDefault="00000000">
            <w:pPr>
              <w:tabs>
                <w:tab w:val="right" w:pos="3195"/>
              </w:tabs>
              <w:spacing w:after="58"/>
              <w:ind w:firstLine="335"/>
            </w:pPr>
          </w:p>
        </w:tc>
      </w:tr>
    </w:tbl>
    <w:p w:rsidR="00000000" w:rsidRDefault="00000000">
      <w:pPr>
        <w:spacing w:after="1200"/>
      </w:pPr>
      <w:r>
        <w:t>Session de fond de 2002</w:t>
      </w:r>
    </w:p>
    <w:p w:rsidR="00000000" w:rsidRDefault="00000000">
      <w:pPr>
        <w:spacing w:after="480"/>
        <w:jc w:val="center"/>
      </w:pPr>
      <w:r>
        <w:t>APPLICATION DU PACTE INTERNATIONAL RELATIF AUX</w:t>
      </w:r>
      <w:r>
        <w:br/>
        <w:t>DROITS ÉCONOMIQUES, SOCIAUX ET CULTURELS</w:t>
      </w:r>
    </w:p>
    <w:p w:rsidR="00000000" w:rsidRDefault="00000000">
      <w:pPr>
        <w:spacing w:after="480"/>
        <w:jc w:val="center"/>
        <w:rPr>
          <w:u w:val="single"/>
        </w:rPr>
      </w:pPr>
      <w:r>
        <w:rPr>
          <w:u w:val="single"/>
        </w:rPr>
        <w:t>Deuxièmes rapports périodiques présentés par les États parties</w:t>
      </w:r>
      <w:r>
        <w:rPr>
          <w:u w:val="single"/>
        </w:rPr>
        <w:br/>
        <w:t>en vertu des articles 16 et 17 du Pacte</w:t>
      </w:r>
    </w:p>
    <w:p w:rsidR="00000000" w:rsidRDefault="00000000">
      <w:pPr>
        <w:spacing w:after="480"/>
        <w:jc w:val="center"/>
        <w:rPr>
          <w:u w:val="single"/>
        </w:rPr>
      </w:pPr>
      <w:r>
        <w:rPr>
          <w:u w:val="single"/>
        </w:rPr>
        <w:t>Additif</w:t>
      </w:r>
    </w:p>
    <w:p w:rsidR="00000000" w:rsidRDefault="00000000">
      <w:pPr>
        <w:spacing w:after="240"/>
        <w:jc w:val="center"/>
      </w:pPr>
      <w:r>
        <w:t>GÉORGIE</w:t>
      </w:r>
      <w:r>
        <w:rPr>
          <w:rStyle w:val="FootnoteReference"/>
        </w:rPr>
        <w:footnoteReference w:customMarkFollows="1" w:id="1"/>
        <w:t>*</w:t>
      </w:r>
      <w:r>
        <w:rPr>
          <w:vertAlign w:val="superscript"/>
        </w:rPr>
        <w:t>,</w:t>
      </w:r>
      <w:r>
        <w:rPr>
          <w:rStyle w:val="FootnoteReference"/>
        </w:rPr>
        <w:footnoteReference w:customMarkFollows="1" w:id="2"/>
        <w:t>**</w:t>
      </w:r>
    </w:p>
    <w:p w:rsidR="00000000" w:rsidRDefault="00000000">
      <w:pPr>
        <w:spacing w:after="240"/>
        <w:jc w:val="right"/>
      </w:pPr>
      <w:r>
        <w:t>[19 juin 2001]</w:t>
      </w:r>
    </w:p>
    <w:p w:rsidR="00000000" w:rsidRDefault="00000000">
      <w:pPr>
        <w:autoSpaceDE w:val="0"/>
        <w:autoSpaceDN w:val="0"/>
        <w:adjustRightInd w:val="0"/>
        <w:spacing w:after="240"/>
        <w:jc w:val="center"/>
        <w:rPr>
          <w:szCs w:val="24"/>
        </w:rPr>
      </w:pPr>
      <w:r>
        <w:br w:type="page"/>
      </w:r>
      <w:r>
        <w:rPr>
          <w:szCs w:val="24"/>
        </w:rPr>
        <w:t>TABLE DES MATIÈRES</w:t>
      </w:r>
    </w:p>
    <w:p w:rsidR="00000000" w:rsidRDefault="00000000">
      <w:pPr>
        <w:tabs>
          <w:tab w:val="left" w:pos="7200"/>
          <w:tab w:val="left" w:pos="8760"/>
        </w:tabs>
        <w:autoSpaceDE w:val="0"/>
        <w:autoSpaceDN w:val="0"/>
        <w:adjustRightInd w:val="0"/>
        <w:spacing w:after="240"/>
        <w:rPr>
          <w:szCs w:val="24"/>
          <w:u w:val="single"/>
        </w:rPr>
      </w:pPr>
      <w:r>
        <w:rPr>
          <w:szCs w:val="24"/>
        </w:rPr>
        <w:tab/>
      </w:r>
      <w:r>
        <w:rPr>
          <w:szCs w:val="24"/>
          <w:u w:val="single"/>
        </w:rPr>
        <w:t>Paragraphes</w:t>
      </w:r>
      <w:r>
        <w:rPr>
          <w:szCs w:val="24"/>
        </w:rPr>
        <w:tab/>
      </w:r>
      <w:r>
        <w:rPr>
          <w:szCs w:val="24"/>
          <w:u w:val="single"/>
        </w:rPr>
        <w:t>Page</w:t>
      </w:r>
    </w:p>
    <w:p w:rsidR="00000000" w:rsidRDefault="00000000">
      <w:pPr>
        <w:tabs>
          <w:tab w:val="left" w:pos="567"/>
          <w:tab w:val="right" w:leader="dot" w:pos="7229"/>
          <w:tab w:val="center" w:pos="7796"/>
          <w:tab w:val="decimal" w:pos="9072"/>
        </w:tabs>
        <w:autoSpaceDE w:val="0"/>
        <w:autoSpaceDN w:val="0"/>
        <w:adjustRightInd w:val="0"/>
        <w:spacing w:after="240"/>
        <w:rPr>
          <w:szCs w:val="24"/>
        </w:rPr>
      </w:pPr>
      <w:r>
        <w:rPr>
          <w:szCs w:val="24"/>
        </w:rPr>
        <w:t>INTRODUCTION</w:t>
      </w:r>
      <w:r>
        <w:rPr>
          <w:szCs w:val="24"/>
        </w:rPr>
        <w:tab/>
      </w:r>
      <w:r>
        <w:rPr>
          <w:szCs w:val="24"/>
        </w:rPr>
        <w:tab/>
        <w:t>1 - 15</w:t>
      </w:r>
      <w:r>
        <w:rPr>
          <w:szCs w:val="24"/>
        </w:rPr>
        <w:tab/>
        <w:t>3</w:t>
      </w:r>
    </w:p>
    <w:p w:rsidR="00000000" w:rsidRDefault="00000000">
      <w:pPr>
        <w:tabs>
          <w:tab w:val="left" w:pos="567"/>
          <w:tab w:val="right" w:leader="dot" w:pos="7229"/>
          <w:tab w:val="center" w:pos="7796"/>
          <w:tab w:val="decimal" w:pos="9072"/>
        </w:tabs>
        <w:autoSpaceDE w:val="0"/>
        <w:autoSpaceDN w:val="0"/>
        <w:adjustRightInd w:val="0"/>
        <w:spacing w:after="240"/>
        <w:rPr>
          <w:szCs w:val="24"/>
        </w:rPr>
      </w:pPr>
      <w:r>
        <w:rPr>
          <w:szCs w:val="24"/>
        </w:rPr>
        <w:tab/>
        <w:t>Article 1</w:t>
      </w:r>
      <w:r>
        <w:rPr>
          <w:szCs w:val="24"/>
        </w:rPr>
        <w:tab/>
      </w:r>
      <w:r>
        <w:rPr>
          <w:szCs w:val="24"/>
        </w:rPr>
        <w:tab/>
        <w:t>16</w:t>
      </w:r>
      <w:r>
        <w:rPr>
          <w:szCs w:val="24"/>
        </w:rPr>
        <w:tab/>
        <w:t>5</w:t>
      </w:r>
    </w:p>
    <w:p w:rsidR="00000000" w:rsidRDefault="00000000">
      <w:pPr>
        <w:tabs>
          <w:tab w:val="left" w:pos="567"/>
          <w:tab w:val="right" w:leader="dot" w:pos="7229"/>
          <w:tab w:val="center" w:pos="7796"/>
          <w:tab w:val="decimal" w:pos="9072"/>
        </w:tabs>
        <w:autoSpaceDE w:val="0"/>
        <w:autoSpaceDN w:val="0"/>
        <w:adjustRightInd w:val="0"/>
        <w:spacing w:after="240"/>
        <w:rPr>
          <w:szCs w:val="24"/>
        </w:rPr>
      </w:pPr>
      <w:r>
        <w:rPr>
          <w:szCs w:val="24"/>
        </w:rPr>
        <w:tab/>
        <w:t>Article 2</w:t>
      </w:r>
      <w:r>
        <w:rPr>
          <w:szCs w:val="24"/>
        </w:rPr>
        <w:tab/>
      </w:r>
      <w:r>
        <w:rPr>
          <w:szCs w:val="24"/>
        </w:rPr>
        <w:tab/>
        <w:t>17</w:t>
      </w:r>
      <w:r>
        <w:rPr>
          <w:szCs w:val="24"/>
        </w:rPr>
        <w:tab/>
        <w:t>5</w:t>
      </w:r>
    </w:p>
    <w:p w:rsidR="00000000" w:rsidRDefault="00000000">
      <w:pPr>
        <w:tabs>
          <w:tab w:val="left" w:pos="567"/>
          <w:tab w:val="right" w:leader="dot" w:pos="7229"/>
          <w:tab w:val="center" w:pos="7796"/>
          <w:tab w:val="decimal" w:pos="9072"/>
        </w:tabs>
        <w:autoSpaceDE w:val="0"/>
        <w:autoSpaceDN w:val="0"/>
        <w:adjustRightInd w:val="0"/>
        <w:spacing w:after="240"/>
        <w:rPr>
          <w:szCs w:val="24"/>
        </w:rPr>
      </w:pPr>
      <w:r>
        <w:rPr>
          <w:szCs w:val="24"/>
        </w:rPr>
        <w:tab/>
        <w:t>Article 3</w:t>
      </w:r>
      <w:r>
        <w:rPr>
          <w:szCs w:val="24"/>
        </w:rPr>
        <w:tab/>
      </w:r>
      <w:r>
        <w:rPr>
          <w:szCs w:val="24"/>
        </w:rPr>
        <w:tab/>
        <w:t>18</w:t>
      </w:r>
      <w:r>
        <w:rPr>
          <w:szCs w:val="24"/>
        </w:rPr>
        <w:tab/>
        <w:t>5</w:t>
      </w:r>
    </w:p>
    <w:p w:rsidR="00000000" w:rsidRDefault="00000000">
      <w:pPr>
        <w:tabs>
          <w:tab w:val="left" w:pos="567"/>
          <w:tab w:val="right" w:leader="dot" w:pos="7229"/>
          <w:tab w:val="center" w:pos="7796"/>
          <w:tab w:val="decimal" w:pos="9072"/>
        </w:tabs>
        <w:autoSpaceDE w:val="0"/>
        <w:autoSpaceDN w:val="0"/>
        <w:adjustRightInd w:val="0"/>
        <w:spacing w:after="240"/>
        <w:rPr>
          <w:szCs w:val="24"/>
        </w:rPr>
      </w:pPr>
      <w:r>
        <w:rPr>
          <w:szCs w:val="24"/>
        </w:rPr>
        <w:tab/>
        <w:t>Article 6</w:t>
      </w:r>
      <w:r>
        <w:rPr>
          <w:szCs w:val="24"/>
        </w:rPr>
        <w:tab/>
      </w:r>
      <w:r>
        <w:rPr>
          <w:szCs w:val="24"/>
        </w:rPr>
        <w:tab/>
        <w:t>19 - 78</w:t>
      </w:r>
      <w:r>
        <w:rPr>
          <w:szCs w:val="24"/>
        </w:rPr>
        <w:tab/>
        <w:t>6</w:t>
      </w:r>
    </w:p>
    <w:p w:rsidR="00000000" w:rsidRDefault="00000000">
      <w:pPr>
        <w:tabs>
          <w:tab w:val="left" w:pos="567"/>
          <w:tab w:val="right" w:leader="dot" w:pos="7229"/>
          <w:tab w:val="center" w:pos="7796"/>
          <w:tab w:val="decimal" w:pos="9072"/>
        </w:tabs>
        <w:autoSpaceDE w:val="0"/>
        <w:autoSpaceDN w:val="0"/>
        <w:adjustRightInd w:val="0"/>
        <w:spacing w:after="240"/>
        <w:rPr>
          <w:szCs w:val="24"/>
        </w:rPr>
      </w:pPr>
      <w:r>
        <w:rPr>
          <w:szCs w:val="24"/>
        </w:rPr>
        <w:tab/>
        <w:t>Article 7</w:t>
      </w:r>
      <w:r>
        <w:rPr>
          <w:szCs w:val="24"/>
        </w:rPr>
        <w:tab/>
      </w:r>
      <w:r>
        <w:rPr>
          <w:szCs w:val="24"/>
        </w:rPr>
        <w:tab/>
        <w:t>79 - 99</w:t>
      </w:r>
      <w:r>
        <w:rPr>
          <w:szCs w:val="24"/>
        </w:rPr>
        <w:tab/>
        <w:t>14</w:t>
      </w:r>
    </w:p>
    <w:p w:rsidR="00000000" w:rsidRDefault="00000000">
      <w:pPr>
        <w:tabs>
          <w:tab w:val="left" w:pos="567"/>
          <w:tab w:val="right" w:leader="dot" w:pos="7229"/>
          <w:tab w:val="center" w:pos="7796"/>
          <w:tab w:val="decimal" w:pos="9072"/>
        </w:tabs>
        <w:autoSpaceDE w:val="0"/>
        <w:autoSpaceDN w:val="0"/>
        <w:adjustRightInd w:val="0"/>
        <w:spacing w:after="240"/>
        <w:rPr>
          <w:szCs w:val="24"/>
        </w:rPr>
      </w:pPr>
      <w:r>
        <w:rPr>
          <w:szCs w:val="24"/>
        </w:rPr>
        <w:tab/>
        <w:t>Article 8</w:t>
      </w:r>
      <w:r>
        <w:rPr>
          <w:szCs w:val="24"/>
        </w:rPr>
        <w:tab/>
      </w:r>
      <w:r>
        <w:rPr>
          <w:szCs w:val="24"/>
        </w:rPr>
        <w:tab/>
        <w:t>100</w:t>
      </w:r>
      <w:r>
        <w:rPr>
          <w:szCs w:val="24"/>
        </w:rPr>
        <w:tab/>
        <w:t>17</w:t>
      </w:r>
    </w:p>
    <w:p w:rsidR="00000000" w:rsidRDefault="00000000">
      <w:pPr>
        <w:tabs>
          <w:tab w:val="left" w:pos="567"/>
          <w:tab w:val="right" w:leader="dot" w:pos="7229"/>
          <w:tab w:val="center" w:pos="7796"/>
          <w:tab w:val="decimal" w:pos="9072"/>
        </w:tabs>
        <w:autoSpaceDE w:val="0"/>
        <w:autoSpaceDN w:val="0"/>
        <w:adjustRightInd w:val="0"/>
        <w:spacing w:after="240"/>
        <w:rPr>
          <w:szCs w:val="24"/>
        </w:rPr>
      </w:pPr>
      <w:r>
        <w:rPr>
          <w:szCs w:val="24"/>
        </w:rPr>
        <w:tab/>
        <w:t>Article 9</w:t>
      </w:r>
      <w:r>
        <w:rPr>
          <w:szCs w:val="24"/>
        </w:rPr>
        <w:tab/>
      </w:r>
      <w:r>
        <w:rPr>
          <w:szCs w:val="24"/>
        </w:rPr>
        <w:tab/>
        <w:t>101 - 124</w:t>
      </w:r>
      <w:r>
        <w:rPr>
          <w:szCs w:val="24"/>
        </w:rPr>
        <w:tab/>
        <w:t>17</w:t>
      </w:r>
    </w:p>
    <w:p w:rsidR="00000000" w:rsidRDefault="00000000">
      <w:pPr>
        <w:tabs>
          <w:tab w:val="left" w:pos="567"/>
          <w:tab w:val="right" w:leader="dot" w:pos="7229"/>
          <w:tab w:val="center" w:pos="7796"/>
          <w:tab w:val="decimal" w:pos="9072"/>
        </w:tabs>
        <w:autoSpaceDE w:val="0"/>
        <w:autoSpaceDN w:val="0"/>
        <w:adjustRightInd w:val="0"/>
        <w:spacing w:after="240"/>
        <w:rPr>
          <w:szCs w:val="24"/>
        </w:rPr>
      </w:pPr>
      <w:r>
        <w:rPr>
          <w:szCs w:val="24"/>
        </w:rPr>
        <w:tab/>
        <w:t>Article 10</w:t>
      </w:r>
      <w:r>
        <w:rPr>
          <w:szCs w:val="24"/>
        </w:rPr>
        <w:tab/>
      </w:r>
      <w:r>
        <w:rPr>
          <w:szCs w:val="24"/>
        </w:rPr>
        <w:tab/>
        <w:t>125 - 141</w:t>
      </w:r>
      <w:r>
        <w:rPr>
          <w:szCs w:val="24"/>
        </w:rPr>
        <w:tab/>
        <w:t>23</w:t>
      </w:r>
    </w:p>
    <w:p w:rsidR="00000000" w:rsidRDefault="00000000">
      <w:pPr>
        <w:tabs>
          <w:tab w:val="left" w:pos="567"/>
          <w:tab w:val="right" w:leader="dot" w:pos="7229"/>
          <w:tab w:val="center" w:pos="7796"/>
          <w:tab w:val="decimal" w:pos="9072"/>
        </w:tabs>
        <w:autoSpaceDE w:val="0"/>
        <w:autoSpaceDN w:val="0"/>
        <w:adjustRightInd w:val="0"/>
        <w:spacing w:after="240"/>
        <w:rPr>
          <w:szCs w:val="24"/>
        </w:rPr>
      </w:pPr>
      <w:r>
        <w:rPr>
          <w:szCs w:val="24"/>
        </w:rPr>
        <w:tab/>
        <w:t>Article 11</w:t>
      </w:r>
      <w:r>
        <w:rPr>
          <w:szCs w:val="24"/>
        </w:rPr>
        <w:tab/>
      </w:r>
      <w:r>
        <w:rPr>
          <w:szCs w:val="24"/>
        </w:rPr>
        <w:tab/>
        <w:t>142 - 186</w:t>
      </w:r>
      <w:r>
        <w:rPr>
          <w:szCs w:val="24"/>
        </w:rPr>
        <w:tab/>
        <w:t>25</w:t>
      </w:r>
    </w:p>
    <w:p w:rsidR="00000000" w:rsidRDefault="00000000">
      <w:pPr>
        <w:tabs>
          <w:tab w:val="left" w:pos="567"/>
          <w:tab w:val="right" w:leader="dot" w:pos="7229"/>
          <w:tab w:val="center" w:pos="7796"/>
          <w:tab w:val="decimal" w:pos="9072"/>
        </w:tabs>
        <w:autoSpaceDE w:val="0"/>
        <w:autoSpaceDN w:val="0"/>
        <w:adjustRightInd w:val="0"/>
        <w:spacing w:after="240"/>
        <w:rPr>
          <w:szCs w:val="24"/>
        </w:rPr>
      </w:pPr>
      <w:r>
        <w:rPr>
          <w:szCs w:val="24"/>
        </w:rPr>
        <w:tab/>
        <w:t>Article 12</w:t>
      </w:r>
      <w:r>
        <w:rPr>
          <w:szCs w:val="24"/>
        </w:rPr>
        <w:tab/>
      </w:r>
      <w:r>
        <w:rPr>
          <w:szCs w:val="24"/>
        </w:rPr>
        <w:tab/>
        <w:t>187 - 225</w:t>
      </w:r>
      <w:r>
        <w:rPr>
          <w:szCs w:val="24"/>
        </w:rPr>
        <w:tab/>
        <w:t>36</w:t>
      </w:r>
    </w:p>
    <w:p w:rsidR="00000000" w:rsidRDefault="00000000">
      <w:pPr>
        <w:tabs>
          <w:tab w:val="left" w:pos="567"/>
          <w:tab w:val="right" w:leader="dot" w:pos="7229"/>
          <w:tab w:val="center" w:pos="7796"/>
          <w:tab w:val="decimal" w:pos="9072"/>
        </w:tabs>
        <w:autoSpaceDE w:val="0"/>
        <w:autoSpaceDN w:val="0"/>
        <w:adjustRightInd w:val="0"/>
        <w:spacing w:after="240"/>
        <w:rPr>
          <w:szCs w:val="24"/>
        </w:rPr>
      </w:pPr>
      <w:r>
        <w:rPr>
          <w:szCs w:val="24"/>
        </w:rPr>
        <w:tab/>
        <w:t>Article 13</w:t>
      </w:r>
      <w:r>
        <w:rPr>
          <w:szCs w:val="24"/>
        </w:rPr>
        <w:tab/>
      </w:r>
      <w:r>
        <w:rPr>
          <w:szCs w:val="24"/>
        </w:rPr>
        <w:tab/>
        <w:t>226 - 242</w:t>
      </w:r>
      <w:r>
        <w:rPr>
          <w:szCs w:val="24"/>
        </w:rPr>
        <w:tab/>
        <w:t>47</w:t>
      </w:r>
    </w:p>
    <w:p w:rsidR="00000000" w:rsidRDefault="00000000">
      <w:pPr>
        <w:tabs>
          <w:tab w:val="left" w:pos="567"/>
          <w:tab w:val="right" w:leader="dot" w:pos="7229"/>
          <w:tab w:val="center" w:pos="7796"/>
          <w:tab w:val="decimal" w:pos="9072"/>
        </w:tabs>
        <w:autoSpaceDE w:val="0"/>
        <w:autoSpaceDN w:val="0"/>
        <w:adjustRightInd w:val="0"/>
        <w:spacing w:after="240"/>
        <w:rPr>
          <w:szCs w:val="24"/>
        </w:rPr>
      </w:pPr>
      <w:r>
        <w:rPr>
          <w:szCs w:val="24"/>
        </w:rPr>
        <w:tab/>
        <w:t>Article 15</w:t>
      </w:r>
      <w:r>
        <w:rPr>
          <w:szCs w:val="24"/>
        </w:rPr>
        <w:tab/>
      </w:r>
      <w:r>
        <w:rPr>
          <w:szCs w:val="24"/>
        </w:rPr>
        <w:tab/>
        <w:t>243- 288</w:t>
      </w:r>
      <w:r>
        <w:rPr>
          <w:szCs w:val="24"/>
        </w:rPr>
        <w:tab/>
        <w:t>51</w:t>
      </w:r>
    </w:p>
    <w:p w:rsidR="00000000" w:rsidRDefault="00000000">
      <w:pPr>
        <w:tabs>
          <w:tab w:val="left" w:pos="567"/>
          <w:tab w:val="right" w:leader="dot" w:pos="8280"/>
          <w:tab w:val="decimal" w:pos="9072"/>
        </w:tabs>
        <w:autoSpaceDE w:val="0"/>
        <w:autoSpaceDN w:val="0"/>
        <w:adjustRightInd w:val="0"/>
        <w:spacing w:after="240"/>
        <w:rPr>
          <w:szCs w:val="24"/>
        </w:rPr>
      </w:pPr>
      <w:r>
        <w:rPr>
          <w:szCs w:val="24"/>
        </w:rPr>
        <w:t>Annexe</w:t>
      </w:r>
      <w:r>
        <w:rPr>
          <w:szCs w:val="24"/>
        </w:rPr>
        <w:tab/>
      </w:r>
      <w:r>
        <w:rPr>
          <w:szCs w:val="24"/>
        </w:rPr>
        <w:tab/>
        <w:t>59</w:t>
      </w:r>
    </w:p>
    <w:p w:rsidR="00000000" w:rsidRDefault="00000000">
      <w:pPr>
        <w:tabs>
          <w:tab w:val="left" w:pos="567"/>
          <w:tab w:val="right" w:leader="dot" w:pos="8280"/>
          <w:tab w:val="decimal" w:pos="9072"/>
        </w:tabs>
        <w:autoSpaceDE w:val="0"/>
        <w:autoSpaceDN w:val="0"/>
        <w:adjustRightInd w:val="0"/>
        <w:spacing w:after="240"/>
        <w:rPr>
          <w:szCs w:val="24"/>
        </w:rPr>
      </w:pPr>
      <w:r>
        <w:rPr>
          <w:szCs w:val="24"/>
        </w:rPr>
        <w:t>Liste des annexes</w:t>
      </w:r>
      <w:r>
        <w:rPr>
          <w:szCs w:val="24"/>
        </w:rPr>
        <w:tab/>
      </w:r>
      <w:r>
        <w:rPr>
          <w:szCs w:val="24"/>
        </w:rPr>
        <w:tab/>
        <w:t>60</w:t>
      </w:r>
    </w:p>
    <w:p w:rsidR="00000000" w:rsidRDefault="00000000">
      <w:pPr>
        <w:autoSpaceDE w:val="0"/>
        <w:autoSpaceDN w:val="0"/>
        <w:adjustRightInd w:val="0"/>
        <w:spacing w:after="240"/>
        <w:jc w:val="center"/>
        <w:rPr>
          <w:szCs w:val="24"/>
        </w:rPr>
      </w:pPr>
      <w:r>
        <w:rPr>
          <w:szCs w:val="24"/>
          <w:u w:val="single"/>
        </w:rPr>
        <w:br w:type="page"/>
      </w:r>
      <w:r>
        <w:rPr>
          <w:szCs w:val="24"/>
        </w:rPr>
        <w:t>INTRODUCTION</w:t>
      </w:r>
    </w:p>
    <w:p w:rsidR="00000000" w:rsidRDefault="00000000">
      <w:pPr>
        <w:autoSpaceDE w:val="0"/>
        <w:autoSpaceDN w:val="0"/>
        <w:adjustRightInd w:val="0"/>
        <w:spacing w:after="240" w:line="270" w:lineRule="exact"/>
        <w:rPr>
          <w:szCs w:val="24"/>
        </w:rPr>
      </w:pPr>
      <w:r>
        <w:rPr>
          <w:szCs w:val="24"/>
        </w:rPr>
        <w:t>1.</w:t>
      </w:r>
      <w:r>
        <w:rPr>
          <w:szCs w:val="24"/>
        </w:rPr>
        <w:tab/>
        <w:t>La Géorgie a adhéré au Pacte international relatif aux droits économiques, sociaux et culturels (ci</w:t>
      </w:r>
      <w:r>
        <w:rPr>
          <w:szCs w:val="24"/>
        </w:rPr>
        <w:noBreakHyphen/>
        <w:t>après dénommé le «Pacte») en vertu d’une décision du Parlement géorgien datée du 25 janvier 1994. Le Pacte est entré en vigueur à l’égard de la Géorgie le 3 août 1994. Conformément aux articles 16 et 17 du Pacte, la Géorgie a présenté son rapport initial sur les mesures qu’elle avait prises pour s’acquitter de ses obligations en août 1997 au Comité des droits économiques, sociaux et culturels (E/1990/5/Add.37), qui l’a examiné en avril 2000. Les observations finales qui en résultent ont été adoptées en mai 2000 (voir document E/C.12/1/Add.42).</w:t>
      </w:r>
    </w:p>
    <w:p w:rsidR="00000000" w:rsidRDefault="00000000">
      <w:pPr>
        <w:autoSpaceDE w:val="0"/>
        <w:autoSpaceDN w:val="0"/>
        <w:adjustRightInd w:val="0"/>
        <w:spacing w:after="240" w:line="270" w:lineRule="exact"/>
        <w:rPr>
          <w:szCs w:val="24"/>
        </w:rPr>
      </w:pPr>
      <w:r>
        <w:rPr>
          <w:szCs w:val="24"/>
        </w:rPr>
        <w:t>2.</w:t>
      </w:r>
      <w:r>
        <w:rPr>
          <w:szCs w:val="24"/>
        </w:rPr>
        <w:tab/>
        <w:t>Il convient de noter que les observations finales du Comité ont été publiées dans la presse officielle géorgienne, ce qui leur a assuré une large diffusion dans toutes les couches de la société.</w:t>
      </w:r>
    </w:p>
    <w:p w:rsidR="00000000" w:rsidRDefault="00000000">
      <w:pPr>
        <w:autoSpaceDE w:val="0"/>
        <w:autoSpaceDN w:val="0"/>
        <w:adjustRightInd w:val="0"/>
        <w:spacing w:after="240" w:line="270" w:lineRule="exact"/>
        <w:rPr>
          <w:szCs w:val="24"/>
        </w:rPr>
      </w:pPr>
      <w:r>
        <w:rPr>
          <w:szCs w:val="24"/>
        </w:rPr>
        <w:t>3.</w:t>
      </w:r>
      <w:r>
        <w:rPr>
          <w:szCs w:val="24"/>
        </w:rPr>
        <w:tab/>
        <w:t>Le présent rapport est le deuxième rapport périodique présenté par la Géorgie; il porte sur la période comprise entre la date de la présentation du rapport initial et janvier 2001. Il a été établi conformément aux directives générales du Comité des droits économiques, sociaux et culturels.</w:t>
      </w:r>
    </w:p>
    <w:p w:rsidR="00000000" w:rsidRDefault="00000000">
      <w:pPr>
        <w:autoSpaceDE w:val="0"/>
        <w:autoSpaceDN w:val="0"/>
        <w:adjustRightInd w:val="0"/>
        <w:spacing w:after="240" w:line="270" w:lineRule="exact"/>
        <w:rPr>
          <w:szCs w:val="24"/>
        </w:rPr>
      </w:pPr>
      <w:r>
        <w:rPr>
          <w:szCs w:val="24"/>
        </w:rPr>
        <w:t>4.</w:t>
      </w:r>
      <w:r>
        <w:rPr>
          <w:szCs w:val="24"/>
        </w:rPr>
        <w:tab/>
        <w:t>C’est le Service de la protection des droits de l’homme, placé sous l’autorité du Secrétaire adjoint du Conseil de sécurité nationale de la Géorgie, qui a établi le présent rapport. Le Conseil de sécurité nationale est un organe constitutionnel dirigé par le Président. Il a été chargé, à compter de janvier 2000, d’élaborer tous les rapports sur l’application par la Géorgie des instruments internationaux relatifs aux droits de l’homme et de les présenter aux organes conventionnels compétents.</w:t>
      </w:r>
    </w:p>
    <w:p w:rsidR="00000000" w:rsidRDefault="00000000">
      <w:pPr>
        <w:autoSpaceDE w:val="0"/>
        <w:autoSpaceDN w:val="0"/>
        <w:adjustRightInd w:val="0"/>
        <w:spacing w:after="240" w:line="270" w:lineRule="exact"/>
        <w:rPr>
          <w:szCs w:val="24"/>
        </w:rPr>
      </w:pPr>
      <w:r>
        <w:rPr>
          <w:szCs w:val="24"/>
        </w:rPr>
        <w:t>5.</w:t>
      </w:r>
      <w:r>
        <w:rPr>
          <w:szCs w:val="24"/>
        </w:rPr>
        <w:tab/>
        <w:t>Les données factuelles figurant dans le rapport ont été communiquées par le Ministère du travail, de la santé et de la protection sociale, le Ministère de l’éducation, le Ministère de l’urbanisme et de la construction, le Ministère de l’agriculture et de l’industrie, le Ministère de la culture et le Ministère de la justice, ainsi que par l’Académie des sciences de la Géorgie.</w:t>
      </w:r>
    </w:p>
    <w:p w:rsidR="00000000" w:rsidRDefault="00000000">
      <w:pPr>
        <w:autoSpaceDE w:val="0"/>
        <w:autoSpaceDN w:val="0"/>
        <w:adjustRightInd w:val="0"/>
        <w:spacing w:after="240" w:line="270" w:lineRule="exact"/>
        <w:rPr>
          <w:szCs w:val="24"/>
        </w:rPr>
      </w:pPr>
      <w:r>
        <w:rPr>
          <w:szCs w:val="24"/>
        </w:rPr>
        <w:t>6.</w:t>
      </w:r>
      <w:r>
        <w:rPr>
          <w:szCs w:val="24"/>
        </w:rPr>
        <w:tab/>
        <w:t>Pendant la période couverte par le présent rapport, la réforme du système judiciaire nécessaire pour mettre en œuvre le principe de la primauté du droit s’est accélérée, permettant ainsi aux tribunaux de devenir des organes véritablement indépendants, justes et impartiaux. Le Parlement a adopté la loi sur les tribunaux de droit commun et la loi sur la Cour suprême. Dans le cadre de la réforme judiciaire, un système d’examen d’aptitude aux fonctions de juge a été institué. L’un des sujets proposés aux candidats est le suivant: «Instruments internationaux et traités et accords internationaux auxquels la Géorgie est partie dans le domaine des droits de l’homme» (par. 3 de l’article 68 de la loi sur les tribunaux de droit commun). Ces examens d’aptitude ont permis de renouveler les deux tiers des juges des tribunaux des districts, des villes et des arrondissements, ainsi que ceux des cours suprêmes des républiques autonomes et de la Cour suprême de Géorgie.</w:t>
      </w:r>
    </w:p>
    <w:p w:rsidR="00000000" w:rsidRDefault="00000000">
      <w:pPr>
        <w:autoSpaceDE w:val="0"/>
        <w:autoSpaceDN w:val="0"/>
        <w:adjustRightInd w:val="0"/>
        <w:spacing w:after="240" w:line="270" w:lineRule="exact"/>
        <w:rPr>
          <w:szCs w:val="24"/>
        </w:rPr>
      </w:pPr>
      <w:r>
        <w:rPr>
          <w:szCs w:val="24"/>
        </w:rPr>
        <w:t>7.</w:t>
      </w:r>
      <w:r>
        <w:rPr>
          <w:szCs w:val="24"/>
        </w:rPr>
        <w:tab/>
        <w:t>L’adoption par le Parlement de nouveaux codes de procédure pénale et civile, qui établissent clairement que les tribunaux constituent la principale voie de recours en cas de violation des droits de l’homme et des libertés fondamentales, a grandement contribué à la réforme du système judiciaire. Des instruments législatifs importants tels que les codes civil, pénal et administratif ont également été adoptés au cours de la période à l’examen.</w:t>
      </w:r>
    </w:p>
    <w:p w:rsidR="00000000" w:rsidRDefault="00000000">
      <w:pPr>
        <w:keepLines/>
        <w:autoSpaceDE w:val="0"/>
        <w:autoSpaceDN w:val="0"/>
        <w:adjustRightInd w:val="0"/>
        <w:spacing w:after="240" w:line="270" w:lineRule="exact"/>
        <w:rPr>
          <w:szCs w:val="24"/>
        </w:rPr>
      </w:pPr>
      <w:r>
        <w:rPr>
          <w:szCs w:val="24"/>
        </w:rPr>
        <w:t>8.</w:t>
      </w:r>
      <w:r>
        <w:rPr>
          <w:szCs w:val="24"/>
        </w:rPr>
        <w:tab/>
        <w:t>La Cour constitutionnelle de Géorgie, organe de contrôle de la constitutionnalité des lois, a commencé à fonctionner dans le cadre des pouvoirs que lui confèrent la Constitution et la loi d’habilitation correspondante. Actuellement, sur plus de 140 affaires examinées par la Cour, 15 ont abouti à une décision en faveur des demandeurs.</w:t>
      </w:r>
    </w:p>
    <w:p w:rsidR="00000000" w:rsidRDefault="00000000">
      <w:pPr>
        <w:autoSpaceDE w:val="0"/>
        <w:autoSpaceDN w:val="0"/>
        <w:adjustRightInd w:val="0"/>
        <w:spacing w:after="240" w:line="270" w:lineRule="exact"/>
        <w:rPr>
          <w:szCs w:val="24"/>
        </w:rPr>
      </w:pPr>
      <w:r>
        <w:rPr>
          <w:szCs w:val="24"/>
        </w:rPr>
        <w:t>9.</w:t>
      </w:r>
      <w:r>
        <w:rPr>
          <w:szCs w:val="24"/>
        </w:rPr>
        <w:tab/>
        <w:t>Au cours de la période à l’examen, la Géorgie est devenue partie (en juin 1999) à un autre instrument des Nations Unies relatif aux droits de l’homme: la Convention internationale sur l’élimination de toutes les formes de discrimination raciale. Son rapport initial sur l’application de la Convention a été présenté en temps utile au Comité pour l’élimination de la discrimination raciale, qui l’a examiné en mars 2001. Les observations et les recommandations qui en résultent ont fait l’objet d’un examen par le Conseil de sécurité nationale (mai 2001).</w:t>
      </w:r>
    </w:p>
    <w:p w:rsidR="00000000" w:rsidRDefault="00000000">
      <w:pPr>
        <w:autoSpaceDE w:val="0"/>
        <w:autoSpaceDN w:val="0"/>
        <w:adjustRightInd w:val="0"/>
        <w:spacing w:after="240" w:line="270" w:lineRule="exact"/>
        <w:rPr>
          <w:szCs w:val="24"/>
        </w:rPr>
      </w:pPr>
      <w:r>
        <w:rPr>
          <w:szCs w:val="24"/>
        </w:rPr>
        <w:t>10.</w:t>
      </w:r>
      <w:r>
        <w:rPr>
          <w:szCs w:val="24"/>
        </w:rPr>
        <w:tab/>
        <w:t>En avril 1999, la Géorgie a été le premier État de Transcaucasie à devenir membre à part entière du Conseil de l’Europe, ce qui montre que la Communauté européenne reconnaît les progrès accomplis par la Géorgie dans l’édification d’un État de droit. Elle a parallèlement assumé davantage de responsabilités, notamment pour ce qui est de la reconnaissance, du respect effectif et de l’exercice des droits de l’homme. Elle a adhéré à la Convention européenne de sauvegarde des droits de l’homme et des libertés fondamentales et à tous ses protocoles additionnels, sauf le premier. Dans le cadre de cette convention, elle a reconnu la juridiction de la Cour européenne des droits de l’homme qui compte déjà parmi ses membres élus un représentant de la Géorgie, à savoir l’ancien Président de la Cour suprême.</w:t>
      </w:r>
    </w:p>
    <w:p w:rsidR="00000000" w:rsidRDefault="00000000">
      <w:pPr>
        <w:autoSpaceDE w:val="0"/>
        <w:autoSpaceDN w:val="0"/>
        <w:adjustRightInd w:val="0"/>
        <w:spacing w:after="240" w:line="270" w:lineRule="exact"/>
        <w:rPr>
          <w:szCs w:val="24"/>
        </w:rPr>
      </w:pPr>
      <w:r>
        <w:rPr>
          <w:szCs w:val="24"/>
        </w:rPr>
        <w:t>11.</w:t>
      </w:r>
      <w:r>
        <w:rPr>
          <w:szCs w:val="24"/>
        </w:rPr>
        <w:tab/>
        <w:t>En octobre 1999, la Géorgie a signé le Protocole d’adhésion à l’Accord de Marrakech instituant l’Organisation mondiale du commerce. Elle est devenue membre à part entière de l’OMC après la ratification de cet instrument par son parlement.</w:t>
      </w:r>
    </w:p>
    <w:p w:rsidR="00000000" w:rsidRDefault="00000000">
      <w:pPr>
        <w:autoSpaceDE w:val="0"/>
        <w:autoSpaceDN w:val="0"/>
        <w:adjustRightInd w:val="0"/>
        <w:spacing w:after="240" w:line="270" w:lineRule="exact"/>
        <w:rPr>
          <w:szCs w:val="24"/>
        </w:rPr>
      </w:pPr>
      <w:r>
        <w:rPr>
          <w:szCs w:val="24"/>
        </w:rPr>
        <w:t>12.</w:t>
      </w:r>
      <w:r>
        <w:rPr>
          <w:szCs w:val="24"/>
        </w:rPr>
        <w:tab/>
        <w:t>Les premières élections aux organes autonomes locaux de la Géorgie indépendante ont eu lieu en novembre 1998. Dans de nombreux cas, les organes représentatifs constitués au niveau des districts à la suite de ces élections ont créé des commissions des droits de l’homme, qui sont devenues opérationnelles. Les prochaines élections de ce type devraient avoir lieu à l’automne 2001.</w:t>
      </w:r>
    </w:p>
    <w:p w:rsidR="00000000" w:rsidRDefault="00000000">
      <w:pPr>
        <w:autoSpaceDE w:val="0"/>
        <w:autoSpaceDN w:val="0"/>
        <w:adjustRightInd w:val="0"/>
        <w:spacing w:after="240" w:line="270" w:lineRule="exact"/>
        <w:rPr>
          <w:szCs w:val="24"/>
        </w:rPr>
      </w:pPr>
      <w:r>
        <w:t>13.</w:t>
      </w:r>
      <w:r>
        <w:tab/>
        <w:t>E</w:t>
      </w:r>
      <w:r>
        <w:rPr>
          <w:szCs w:val="24"/>
        </w:rPr>
        <w:t>n vertu de l’article 6 de la Constitution, les traités et accords internationaux auxquels la Géorgie est partie et qui ne sont pas incompatibles avec la Constitution et l’Accord constitutionnel l’emportent sur la législation interne. Il convient d’ajouter que, d’après la loi sur les textes législatifs, les traités internationaux conclus par la Géorgie sont considérés comme des instruments normatifs, ce qui signifie que leurs dispositions s’appliquent dans les mêmes conditions que celles des lois internes. Dans le système juridique géorgien, les traités internationaux conclus par l’État occupent la troisième place après la Constitution et l’Accord constitutionnel. En outre, selon la loi sur les traités internationaux, une fois que la Géorgie a signé (ratifié) un traité international, celui-ci fait partie intégrante du droit interne. L’application des traités internationaux qui énoncent des droits et obligations spécifiques n’est pas subordonnée à l’adoption d’instruments législatifs internes; ces traités prennent immédiatement effet en Géorgie. Le Pacte est donc directement applicable et peut être directement invoqué devant les tribunaux. Aucun recours de ce type n’a été constaté dans la pratique judiciaire au cours de la période à l’examen.</w:t>
      </w:r>
    </w:p>
    <w:p w:rsidR="00000000" w:rsidRDefault="00000000">
      <w:pPr>
        <w:autoSpaceDE w:val="0"/>
        <w:autoSpaceDN w:val="0"/>
        <w:adjustRightInd w:val="0"/>
        <w:spacing w:after="220" w:line="270" w:lineRule="exact"/>
      </w:pPr>
      <w:r>
        <w:br w:type="page"/>
        <w:t>14.</w:t>
      </w:r>
      <w:r>
        <w:tab/>
        <w:t>L’un des principaux problèmes auxquels l’État géorgien devra faire face dans un avenir prévisible est la lutte contre la pauvreté. La teneur des mesures prises dans ce domaine est décrite dans les chapitres pertinents du présent rapport. Il convient à ce propos d’indiquer qu’en janvier 2000 le Gouvernement a adopté un document énonçant les «Principes du développement social», dans lequel les fondements d’un programme à long terme de transformation sociale sont exposés.</w:t>
      </w:r>
    </w:p>
    <w:p w:rsidR="00000000" w:rsidRDefault="00000000">
      <w:pPr>
        <w:autoSpaceDE w:val="0"/>
        <w:autoSpaceDN w:val="0"/>
        <w:adjustRightInd w:val="0"/>
        <w:spacing w:after="220" w:line="270" w:lineRule="exact"/>
        <w:rPr>
          <w:szCs w:val="24"/>
        </w:rPr>
      </w:pPr>
      <w:r>
        <w:t>15.</w:t>
      </w:r>
      <w:r>
        <w:tab/>
        <w:t>Les</w:t>
      </w:r>
      <w:r>
        <w:rPr>
          <w:szCs w:val="24"/>
        </w:rPr>
        <w:t xml:space="preserve"> objectifs stratégiques de ce programme sont les suivants:</w:t>
      </w:r>
    </w:p>
    <w:p w:rsidR="00000000" w:rsidRDefault="00000000">
      <w:pPr>
        <w:numPr>
          <w:ilvl w:val="0"/>
          <w:numId w:val="53"/>
        </w:numPr>
        <w:autoSpaceDE w:val="0"/>
        <w:autoSpaceDN w:val="0"/>
        <w:adjustRightInd w:val="0"/>
        <w:spacing w:after="220" w:line="270" w:lineRule="exact"/>
        <w:rPr>
          <w:szCs w:val="24"/>
        </w:rPr>
      </w:pPr>
      <w:r>
        <w:rPr>
          <w:szCs w:val="24"/>
        </w:rPr>
        <w:t>Amélioration sensible des conditions de vie et de la situation matérielle de la population;</w:t>
      </w:r>
    </w:p>
    <w:p w:rsidR="00000000" w:rsidRDefault="00000000">
      <w:pPr>
        <w:numPr>
          <w:ilvl w:val="0"/>
          <w:numId w:val="53"/>
        </w:numPr>
        <w:autoSpaceDE w:val="0"/>
        <w:autoSpaceDN w:val="0"/>
        <w:adjustRightInd w:val="0"/>
        <w:spacing w:after="220" w:line="270" w:lineRule="exact"/>
        <w:rPr>
          <w:szCs w:val="24"/>
        </w:rPr>
      </w:pPr>
      <w:r>
        <w:rPr>
          <w:szCs w:val="24"/>
        </w:rPr>
        <w:t>Mesures efficaces de placement et de création d’emplois et amélioration de la qualité et de la compétitivité de la main-d’œuvre;</w:t>
      </w:r>
    </w:p>
    <w:p w:rsidR="00000000" w:rsidRDefault="00000000">
      <w:pPr>
        <w:numPr>
          <w:ilvl w:val="0"/>
          <w:numId w:val="53"/>
        </w:numPr>
        <w:autoSpaceDE w:val="0"/>
        <w:autoSpaceDN w:val="0"/>
        <w:adjustRightInd w:val="0"/>
        <w:spacing w:after="220" w:line="270" w:lineRule="exact"/>
        <w:rPr>
          <w:szCs w:val="24"/>
        </w:rPr>
      </w:pPr>
      <w:r>
        <w:rPr>
          <w:szCs w:val="24"/>
        </w:rPr>
        <w:t>Mesures visant à appliquer les garanties constitutionnelles dans les domaines du travail, de la protection sociale, de l’éducation, de la santé et de la culture;</w:t>
      </w:r>
    </w:p>
    <w:p w:rsidR="00000000" w:rsidRDefault="00000000">
      <w:pPr>
        <w:numPr>
          <w:ilvl w:val="0"/>
          <w:numId w:val="53"/>
        </w:numPr>
        <w:autoSpaceDE w:val="0"/>
        <w:autoSpaceDN w:val="0"/>
        <w:adjustRightInd w:val="0"/>
        <w:spacing w:after="220" w:line="270" w:lineRule="exact"/>
        <w:rPr>
          <w:szCs w:val="24"/>
        </w:rPr>
      </w:pPr>
      <w:r>
        <w:rPr>
          <w:szCs w:val="24"/>
        </w:rPr>
        <w:t>Changement d’orientation de la politique sociale en faveur de la famille et mesures visant à mettre en œuvre les droits et les garanties sociales de la famille, des femmes, des enfants et des jeunes;</w:t>
      </w:r>
    </w:p>
    <w:p w:rsidR="00000000" w:rsidRDefault="00000000">
      <w:pPr>
        <w:numPr>
          <w:ilvl w:val="0"/>
          <w:numId w:val="53"/>
        </w:numPr>
        <w:autoSpaceDE w:val="0"/>
        <w:autoSpaceDN w:val="0"/>
        <w:adjustRightInd w:val="0"/>
        <w:spacing w:after="220" w:line="270" w:lineRule="exact"/>
        <w:rPr>
          <w:szCs w:val="24"/>
        </w:rPr>
      </w:pPr>
      <w:r>
        <w:rPr>
          <w:szCs w:val="24"/>
        </w:rPr>
        <w:t>Amélioration de la situation démographique et modernisation de l’infrastructure sociale.</w:t>
      </w:r>
    </w:p>
    <w:p w:rsidR="00000000" w:rsidRDefault="00000000">
      <w:pPr>
        <w:autoSpaceDE w:val="0"/>
        <w:autoSpaceDN w:val="0"/>
        <w:adjustRightInd w:val="0"/>
        <w:spacing w:after="220" w:line="270" w:lineRule="exact"/>
        <w:rPr>
          <w:szCs w:val="24"/>
        </w:rPr>
      </w:pPr>
      <w:r>
        <w:rPr>
          <w:szCs w:val="24"/>
          <w:u w:val="single"/>
        </w:rPr>
        <w:t>Article premier</w:t>
      </w:r>
    </w:p>
    <w:p w:rsidR="00000000" w:rsidRDefault="00000000">
      <w:pPr>
        <w:autoSpaceDE w:val="0"/>
        <w:autoSpaceDN w:val="0"/>
        <w:adjustRightInd w:val="0"/>
        <w:spacing w:after="220" w:line="270" w:lineRule="exact"/>
        <w:rPr>
          <w:szCs w:val="24"/>
        </w:rPr>
      </w:pPr>
      <w:r>
        <w:rPr>
          <w:szCs w:val="24"/>
        </w:rPr>
        <w:t>16.</w:t>
      </w:r>
      <w:r>
        <w:rPr>
          <w:szCs w:val="24"/>
        </w:rPr>
        <w:tab/>
        <w:t>En ce qui concerne l’exercice du droit des peuples à l’autodétermination, on se reportera au deuxième rapport périodique de la Géorgie sur l’application du Pacte international relatif aux droits civils et politiques (par. 22 à 41).</w:t>
      </w:r>
    </w:p>
    <w:p w:rsidR="00000000" w:rsidRDefault="00000000">
      <w:pPr>
        <w:autoSpaceDE w:val="0"/>
        <w:autoSpaceDN w:val="0"/>
        <w:adjustRightInd w:val="0"/>
        <w:spacing w:after="220" w:line="270" w:lineRule="exact"/>
        <w:rPr>
          <w:szCs w:val="24"/>
        </w:rPr>
      </w:pPr>
      <w:r>
        <w:rPr>
          <w:szCs w:val="24"/>
          <w:u w:val="single"/>
        </w:rPr>
        <w:t>Article 2</w:t>
      </w:r>
    </w:p>
    <w:p w:rsidR="00000000" w:rsidRDefault="00000000">
      <w:pPr>
        <w:autoSpaceDE w:val="0"/>
        <w:autoSpaceDN w:val="0"/>
        <w:adjustRightInd w:val="0"/>
        <w:spacing w:after="220" w:line="270" w:lineRule="exact"/>
        <w:rPr>
          <w:szCs w:val="24"/>
        </w:rPr>
      </w:pPr>
      <w:r>
        <w:rPr>
          <w:szCs w:val="24"/>
        </w:rPr>
        <w:t>17.</w:t>
      </w:r>
      <w:r>
        <w:rPr>
          <w:szCs w:val="24"/>
        </w:rPr>
        <w:tab/>
        <w:t>Pour ce qui est de l’application des paragraphes 2 et 3 de l’article 2 du Pacte (respect du principe de non</w:t>
      </w:r>
      <w:r>
        <w:rPr>
          <w:szCs w:val="24"/>
        </w:rPr>
        <w:noBreakHyphen/>
        <w:t>discrimination et droits des non</w:t>
      </w:r>
      <w:r>
        <w:rPr>
          <w:szCs w:val="24"/>
        </w:rPr>
        <w:noBreakHyphen/>
        <w:t>ressortissants), on se reportera au deuxième rapport périodique concernant l’application du Pacte international relatif aux droits civils et politiques (par. 42, 43, 45 et 46) ainsi qu’au rapport initial sur l’application de la Convention internationale sur l’élimination de toutes les formes de discrimination raciale (par. 9 à 18).</w:t>
      </w:r>
    </w:p>
    <w:p w:rsidR="00000000" w:rsidRDefault="00000000">
      <w:pPr>
        <w:autoSpaceDE w:val="0"/>
        <w:autoSpaceDN w:val="0"/>
        <w:adjustRightInd w:val="0"/>
        <w:spacing w:after="220" w:line="270" w:lineRule="exact"/>
        <w:rPr>
          <w:szCs w:val="24"/>
        </w:rPr>
      </w:pPr>
      <w:r>
        <w:rPr>
          <w:szCs w:val="24"/>
          <w:u w:val="single"/>
        </w:rPr>
        <w:t>Article 3</w:t>
      </w:r>
    </w:p>
    <w:p w:rsidR="00000000" w:rsidRDefault="00000000">
      <w:pPr>
        <w:autoSpaceDE w:val="0"/>
        <w:autoSpaceDN w:val="0"/>
        <w:adjustRightInd w:val="0"/>
        <w:spacing w:after="220" w:line="270" w:lineRule="exact"/>
        <w:rPr>
          <w:szCs w:val="24"/>
        </w:rPr>
      </w:pPr>
      <w:r>
        <w:rPr>
          <w:szCs w:val="24"/>
        </w:rPr>
        <w:t>18.</w:t>
      </w:r>
      <w:r>
        <w:rPr>
          <w:szCs w:val="24"/>
        </w:rPr>
        <w:tab/>
        <w:t>Les questions touchant l’égalité des hommes et des femmes dans l’exercice des droits énoncés dans le Pacte, ainsi que d’autres droits et libertés fondamentales, sont présentées de façon détaillée dans le deuxième rapport périodique concernant l’application du Pacte international relatif aux droits civils et politiques (par. 53 à 59). Il convient également de noter que des renseignements sur ces questions figurent dans le deuxième rapport périodique concernant l’application de la Convention sur l’élimination de toutes les formes de discrimination à l’égard des femmes, qui a été transmis à l’organe conventionnel compétent en septembre 2000.</w:t>
      </w:r>
    </w:p>
    <w:p w:rsidR="00000000" w:rsidRDefault="00000000">
      <w:pPr>
        <w:keepNext/>
        <w:autoSpaceDE w:val="0"/>
        <w:autoSpaceDN w:val="0"/>
        <w:adjustRightInd w:val="0"/>
        <w:spacing w:after="220" w:line="270" w:lineRule="exact"/>
        <w:rPr>
          <w:szCs w:val="24"/>
        </w:rPr>
      </w:pPr>
      <w:r>
        <w:rPr>
          <w:szCs w:val="24"/>
          <w:u w:val="single"/>
        </w:rPr>
        <w:t>Article 6</w:t>
      </w:r>
    </w:p>
    <w:p w:rsidR="00000000" w:rsidRDefault="00000000">
      <w:pPr>
        <w:keepLines/>
        <w:autoSpaceDE w:val="0"/>
        <w:autoSpaceDN w:val="0"/>
        <w:adjustRightInd w:val="0"/>
        <w:spacing w:after="220" w:line="270" w:lineRule="exact"/>
        <w:rPr>
          <w:szCs w:val="24"/>
        </w:rPr>
      </w:pPr>
      <w:r>
        <w:rPr>
          <w:szCs w:val="24"/>
        </w:rPr>
        <w:t>19.</w:t>
      </w:r>
      <w:r>
        <w:rPr>
          <w:szCs w:val="24"/>
        </w:rPr>
        <w:tab/>
        <w:t>Les dispositions juridiques concernant le droit au travail sont présentées de façon détaillée dans le rapport initial sur l’application du Pacte (par. 35, 36 et 38). Pendant la période à l’examen, la législation du travail géorgienne n’a subi aucune modification.</w:t>
      </w:r>
    </w:p>
    <w:p w:rsidR="00000000" w:rsidRDefault="00000000">
      <w:pPr>
        <w:autoSpaceDE w:val="0"/>
        <w:autoSpaceDN w:val="0"/>
        <w:adjustRightInd w:val="0"/>
        <w:spacing w:after="220" w:line="270" w:lineRule="exact"/>
        <w:rPr>
          <w:szCs w:val="24"/>
        </w:rPr>
      </w:pPr>
      <w:r>
        <w:rPr>
          <w:szCs w:val="24"/>
        </w:rPr>
        <w:t>20.</w:t>
      </w:r>
      <w:r>
        <w:rPr>
          <w:szCs w:val="24"/>
        </w:rPr>
        <w:tab/>
        <w:t>La Géorgie est partie à 11 conventions de l’Organisation internationale du Travail (voir plus loin les observations concernant l’article 7 du Pacte). On se contentera d’indiquer ici que le Département de l’emploi et des relations professionnelles du Ministère du travail, de la santé et de la protection sociale a établi à l’intention de l’OIT des rapports sur la façon dont la Géorgie s’acquitte des obligations qu’elle a contractées au titre de la Convention n</w:t>
      </w:r>
      <w:r>
        <w:rPr>
          <w:szCs w:val="24"/>
          <w:vertAlign w:val="superscript"/>
        </w:rPr>
        <w:t>o</w:t>
      </w:r>
      <w:r>
        <w:rPr>
          <w:szCs w:val="24"/>
        </w:rPr>
        <w:t> 122 (concernant la politique de l’emploi) et de la Convention n</w:t>
      </w:r>
      <w:r>
        <w:rPr>
          <w:szCs w:val="24"/>
          <w:vertAlign w:val="superscript"/>
        </w:rPr>
        <w:t>o</w:t>
      </w:r>
      <w:r>
        <w:rPr>
          <w:szCs w:val="24"/>
        </w:rPr>
        <w:t> 111 (concernant la discrimination en matière d’emploi et de profession).</w:t>
      </w:r>
    </w:p>
    <w:p w:rsidR="00000000" w:rsidRDefault="00000000">
      <w:pPr>
        <w:autoSpaceDE w:val="0"/>
        <w:autoSpaceDN w:val="0"/>
        <w:adjustRightInd w:val="0"/>
        <w:spacing w:after="220" w:line="270" w:lineRule="exact"/>
        <w:rPr>
          <w:szCs w:val="24"/>
        </w:rPr>
      </w:pPr>
      <w:r>
        <w:rPr>
          <w:szCs w:val="24"/>
        </w:rPr>
        <w:t>21.</w:t>
      </w:r>
      <w:r>
        <w:rPr>
          <w:szCs w:val="24"/>
        </w:rPr>
        <w:tab/>
        <w:t>En 2000, la Géorgie a établi et présenté aux organes conventionnels compétents son rapport initial sur l’application des dispositions de la Convention internationale sur l’élimination de toutes les formes de discrimination raciale, à laquelle elle a adhéré en juin 1999, et son deuxième rapport périodique concernant l’application de la Convention sur l’élimination de toutes les formes de discrimination à l’égard des femmes. On trouvera dans ces deux rapports (par. 190 à 197 et par. 82 à 93, respectivement) une description des mesures se rapportant au présent article du Pacte. Dans les commentaires se rapportant aux articles du Pacte qui défendent des aspects plus spécifiques du droit au travail, on trouvera également des renvois aux paragraphes pertinents du rapport sur l'application de la Convention internationale sur l'élimination de toutes les formes de discrimination raciale.</w:t>
      </w:r>
    </w:p>
    <w:p w:rsidR="00000000" w:rsidRDefault="00000000">
      <w:pPr>
        <w:autoSpaceDE w:val="0"/>
        <w:autoSpaceDN w:val="0"/>
        <w:adjustRightInd w:val="0"/>
        <w:spacing w:after="220" w:line="270" w:lineRule="exact"/>
        <w:ind w:firstLine="567"/>
        <w:rPr>
          <w:szCs w:val="24"/>
        </w:rPr>
      </w:pPr>
      <w:r>
        <w:rPr>
          <w:szCs w:val="24"/>
          <w:u w:val="single"/>
        </w:rPr>
        <w:t>Dispositions relatives à l’emploi (aperçu général)</w:t>
      </w:r>
    </w:p>
    <w:p w:rsidR="00000000" w:rsidRDefault="00000000">
      <w:pPr>
        <w:autoSpaceDE w:val="0"/>
        <w:autoSpaceDN w:val="0"/>
        <w:adjustRightInd w:val="0"/>
        <w:spacing w:after="220" w:line="270" w:lineRule="exact"/>
        <w:rPr>
          <w:szCs w:val="24"/>
        </w:rPr>
      </w:pPr>
      <w:r>
        <w:rPr>
          <w:szCs w:val="24"/>
        </w:rPr>
        <w:t>22.</w:t>
      </w:r>
      <w:r>
        <w:rPr>
          <w:szCs w:val="24"/>
        </w:rPr>
        <w:tab/>
        <w:t>On trouvera ci-après des renseignements communiqués par le Ministère du travail, de la santé et de la protection sociale.</w:t>
      </w:r>
    </w:p>
    <w:p w:rsidR="00000000" w:rsidRDefault="00000000">
      <w:pPr>
        <w:autoSpaceDE w:val="0"/>
        <w:autoSpaceDN w:val="0"/>
        <w:adjustRightInd w:val="0"/>
        <w:spacing w:after="220" w:line="270" w:lineRule="exact"/>
        <w:rPr>
          <w:szCs w:val="24"/>
        </w:rPr>
      </w:pPr>
      <w:r>
        <w:rPr>
          <w:szCs w:val="24"/>
        </w:rPr>
        <w:t>23.</w:t>
      </w:r>
      <w:r>
        <w:rPr>
          <w:szCs w:val="24"/>
        </w:rPr>
        <w:tab/>
        <w:t>Au cours des dernières années, le problème du chômage a pris une acuité particulière. Par suite des transformations socioéconomiques et politiques survenues depuis dix ans, les principaux indicateurs économiques se sont considérablement détériorés. En 1999, le produit intérieur brut (PIB) représentait 37,1 % de celui de 1990. Dans ces conditions, les possibilités d’emploi de la population ont fortement diminué. Le nombre de personnes occupées pendant la période 1990</w:t>
      </w:r>
      <w:r>
        <w:rPr>
          <w:szCs w:val="24"/>
        </w:rPr>
        <w:noBreakHyphen/>
        <w:t>1999 a chuté de 37,2 %. Le chômage latent et le chômage partiel ont pris des proportions énormes. Les possibilités limitées d’emploi ont entraîné une augmentation de l’émigration de la population apte au travail. Selon les experts, entre 500 000 et 1 million de personnes ont quitté la Géorgie en quête d’un emploi. La brusque dégradation du processus de reproduction de la population dans les années 90 et l’évolution fâcheuse de l’émigration se traduisent par une diminution considérable de l’offre sur le marché de l’emploi, mais la diminution de la demande a été bien plus rapide encore, ce qui s’est ressenti sur le pourcentage de personnes occupées dans la population.</w:t>
      </w:r>
    </w:p>
    <w:p w:rsidR="00000000" w:rsidRDefault="00000000">
      <w:pPr>
        <w:autoSpaceDE w:val="0"/>
        <w:autoSpaceDN w:val="0"/>
        <w:adjustRightInd w:val="0"/>
        <w:spacing w:after="220" w:line="270" w:lineRule="exact"/>
        <w:rPr>
          <w:szCs w:val="24"/>
        </w:rPr>
      </w:pPr>
      <w:r>
        <w:rPr>
          <w:szCs w:val="24"/>
        </w:rPr>
        <w:t>24.</w:t>
      </w:r>
      <w:r>
        <w:rPr>
          <w:szCs w:val="24"/>
        </w:rPr>
        <w:tab/>
        <w:t>En 1999, 2 056 300 personnes exerçaient une activité, soit 39,5 % de la population du pays (contre 50,6 % en 1990). La proportion de personnes exerçant une activité économique parmi les plus de 15 ans était de 67,5 %. Parmi la population active, 1 732 600 personnes (84,2 %) travaillaient et 323 800 personnes (13,8 %) étaient au chômage. Le taux de chômage atteignait 13,8 % selon les normes de l’OIT, et 15,7 % selon des critères plus souples. Par rapport à la moyenne du pays, Tbilissi connaissait le plus fort taux de chômage (29,3 %).</w:t>
      </w:r>
    </w:p>
    <w:p w:rsidR="00000000" w:rsidRDefault="00000000">
      <w:pPr>
        <w:keepLines/>
        <w:autoSpaceDE w:val="0"/>
        <w:autoSpaceDN w:val="0"/>
        <w:adjustRightInd w:val="0"/>
        <w:spacing w:after="240"/>
        <w:rPr>
          <w:szCs w:val="24"/>
        </w:rPr>
      </w:pPr>
      <w:r>
        <w:rPr>
          <w:szCs w:val="24"/>
        </w:rPr>
        <w:t>25.</w:t>
      </w:r>
      <w:r>
        <w:rPr>
          <w:szCs w:val="24"/>
        </w:rPr>
        <w:tab/>
        <w:t>La population occupée était composée de 42,2 % d’employés et de 57,8 % de travailleurs indépendants. Le fort pourcentage de personnes exerçant une activité indépendante s’explique par le fait que l’on considère comme occupés les parents aptes au travail des personnes qui possèdent un lopin de terre d’au moins un hectare, indépendamment du fait que la famille en question exploite ou non sa parcelle et en tire ou non des revenus. C’est pour cette raison que l’on enregistre dans les villes des taux plus élevés de chômage (24,8 %) que dans les zones rurales (4,4 %), alors qu’en réalité les villes offrent actuellement plus de possibilités d’emploi.</w:t>
      </w:r>
    </w:p>
    <w:p w:rsidR="00000000" w:rsidRDefault="00000000">
      <w:pPr>
        <w:autoSpaceDE w:val="0"/>
        <w:autoSpaceDN w:val="0"/>
        <w:adjustRightInd w:val="0"/>
        <w:spacing w:after="240"/>
        <w:rPr>
          <w:szCs w:val="24"/>
        </w:rPr>
      </w:pPr>
      <w:r>
        <w:rPr>
          <w:szCs w:val="24"/>
        </w:rPr>
        <w:t>26.</w:t>
      </w:r>
      <w:r>
        <w:rPr>
          <w:szCs w:val="24"/>
        </w:rPr>
        <w:tab/>
        <w:t>Il convient de noter que 63 % des employés sont occupés dans le secteur public, faisant ainsi ressortir la progression limitée du secteur privé sur le marché du travail.</w:t>
      </w:r>
    </w:p>
    <w:p w:rsidR="00000000" w:rsidRDefault="00000000">
      <w:pPr>
        <w:autoSpaceDE w:val="0"/>
        <w:autoSpaceDN w:val="0"/>
        <w:adjustRightInd w:val="0"/>
        <w:spacing w:after="240"/>
        <w:rPr>
          <w:szCs w:val="24"/>
        </w:rPr>
      </w:pPr>
      <w:r>
        <w:rPr>
          <w:szCs w:val="24"/>
        </w:rPr>
        <w:t>27.</w:t>
      </w:r>
      <w:r>
        <w:rPr>
          <w:szCs w:val="24"/>
        </w:rPr>
        <w:tab/>
        <w:t>D’après les statistiques officielles, le taux de chômage est plus élevé chez les hommes (15,3 %) que chez les femmes (12,1 %). On pourrait en déduire que le taux d’emploi des femmes est plus élevé, mais ce serait une conclusion hâtive. En fait, le nombre de femmes dans la population inactive est très important: elles y sont 2,2 fois plus nombreuses que les hommes. Qui plus est, 40,2 % des femmes occupées travaillent gratuitement pour l’entreprise familiale, contre seulement 21,4 % des hommes.</w:t>
      </w:r>
    </w:p>
    <w:p w:rsidR="00000000" w:rsidRDefault="00000000">
      <w:pPr>
        <w:autoSpaceDE w:val="0"/>
        <w:autoSpaceDN w:val="0"/>
        <w:adjustRightInd w:val="0"/>
        <w:spacing w:after="240"/>
        <w:rPr>
          <w:szCs w:val="24"/>
        </w:rPr>
      </w:pPr>
      <w:r>
        <w:rPr>
          <w:szCs w:val="24"/>
        </w:rPr>
        <w:t>28.</w:t>
      </w:r>
      <w:r>
        <w:rPr>
          <w:szCs w:val="24"/>
        </w:rPr>
        <w:tab/>
        <w:t>On trouvera d’autres statistiques relatives à l’emploi dans le rapport initial de la Géorgie sur l’application de la Convention sur l’élimination de toutes les formes de discrimination raciale (par. 208 à 210).</w:t>
      </w:r>
    </w:p>
    <w:p w:rsidR="00000000" w:rsidRDefault="00000000">
      <w:pPr>
        <w:autoSpaceDE w:val="0"/>
        <w:autoSpaceDN w:val="0"/>
        <w:adjustRightInd w:val="0"/>
        <w:spacing w:after="240"/>
        <w:rPr>
          <w:szCs w:val="24"/>
        </w:rPr>
      </w:pPr>
      <w:r>
        <w:rPr>
          <w:szCs w:val="24"/>
        </w:rPr>
        <w:t>29.</w:t>
      </w:r>
      <w:r>
        <w:rPr>
          <w:szCs w:val="24"/>
        </w:rPr>
        <w:tab/>
        <w:t>Du point de vue de l’âge, on constate un taux particulièrement élevé de chômage chez les jeunes de 20 à 25 ans (28,8 %) et de 25 à 29 ans (22,5 %). Plus l’âge augmente, plus la proportion de chômeurs diminue et ce pour deux raisons. D’une part, le taux d’activité des jeunes est un peu plus faible que celui des groupes plus âgés (la majorité des jeunes suivent des études sans lien avec la production) et, d’autre part, leurs possibilités d’emploi sont limitées à cause des exigences accrues de la jeune génération en matière de conditions de travail et en raison également de leur manque d’expérience productive (professionnelle) et d’autres facteurs.</w:t>
      </w:r>
    </w:p>
    <w:p w:rsidR="00000000" w:rsidRDefault="00000000">
      <w:pPr>
        <w:autoSpaceDE w:val="0"/>
        <w:autoSpaceDN w:val="0"/>
        <w:adjustRightInd w:val="0"/>
        <w:spacing w:after="240"/>
        <w:rPr>
          <w:szCs w:val="24"/>
        </w:rPr>
      </w:pPr>
      <w:r>
        <w:rPr>
          <w:szCs w:val="24"/>
        </w:rPr>
        <w:t>30.</w:t>
      </w:r>
      <w:r>
        <w:rPr>
          <w:szCs w:val="24"/>
        </w:rPr>
        <w:tab/>
        <w:t>Selon les données du Fonds national de l’emploi, 113 800 chômeurs étaient officiellement enregistrés en septembre 2000. Entre janvier et septembre de la même année, 20 200 ont été inscrits sur les registres des agences locales du Fonds et près de 9 200 en ont été radiés. Cinq cent cinquante cinq chômeurs ont suivi une formation professionnelle. Parmi les 8 100 demandeurs d’emploi reclassés pendant cette période, 1 100 ont été affectés à des travaux d’utilité collective de courte durée. La grande majorité des chômeurs reclassés a trouvé du travail dans le secteur des services.</w:t>
      </w:r>
    </w:p>
    <w:p w:rsidR="00000000" w:rsidRDefault="00000000">
      <w:pPr>
        <w:autoSpaceDE w:val="0"/>
        <w:autoSpaceDN w:val="0"/>
        <w:adjustRightInd w:val="0"/>
        <w:spacing w:after="240"/>
        <w:rPr>
          <w:szCs w:val="24"/>
        </w:rPr>
      </w:pPr>
      <w:r>
        <w:rPr>
          <w:szCs w:val="24"/>
        </w:rPr>
        <w:t>31.</w:t>
      </w:r>
      <w:r>
        <w:rPr>
          <w:szCs w:val="24"/>
        </w:rPr>
        <w:tab/>
        <w:t>Jusqu’en septembre 2000, environ 3 300 chômeurs avaient bénéficié d’indemnités de chômage, pour un montant total avoisinant 212 000 lari. On trouvera d’autres renseignements sur cette question dans le rapport initial concernant l’application de la Convention sur l’élimination de toutes les formes de discrimination raciale (par. 211 à 213).</w:t>
      </w:r>
    </w:p>
    <w:p w:rsidR="00000000" w:rsidRDefault="00000000">
      <w:pPr>
        <w:autoSpaceDE w:val="0"/>
        <w:autoSpaceDN w:val="0"/>
        <w:adjustRightInd w:val="0"/>
        <w:spacing w:after="240"/>
        <w:rPr>
          <w:szCs w:val="24"/>
        </w:rPr>
      </w:pPr>
      <w:r>
        <w:rPr>
          <w:szCs w:val="24"/>
        </w:rPr>
        <w:t>32.</w:t>
      </w:r>
      <w:r>
        <w:rPr>
          <w:szCs w:val="24"/>
        </w:rPr>
        <w:tab/>
        <w:t>Entre 1997 et 2000, un programme national de protection et de réinsertion sociales des handicapés a été exécuté en Géorgie, dans le cadre duquel on a recensé, par les moyens électroniques, au total près de 200 000 personnes handicapées, dont 30 000 enfants. Pendant la période couverte par le rapport, sur les 277 handicapés ayant suivi une formation professionnelle, une centaine a réussi à trouver un emploi.</w:t>
      </w:r>
    </w:p>
    <w:p w:rsidR="00000000" w:rsidRDefault="00000000">
      <w:pPr>
        <w:widowControl w:val="0"/>
        <w:autoSpaceDE w:val="0"/>
        <w:autoSpaceDN w:val="0"/>
        <w:adjustRightInd w:val="0"/>
        <w:spacing w:after="220" w:line="270" w:lineRule="exact"/>
        <w:rPr>
          <w:szCs w:val="24"/>
        </w:rPr>
      </w:pPr>
      <w:r>
        <w:rPr>
          <w:szCs w:val="24"/>
        </w:rPr>
        <w:t>33.</w:t>
      </w:r>
      <w:r>
        <w:rPr>
          <w:szCs w:val="24"/>
        </w:rPr>
        <w:tab/>
        <w:t>Un montant d’un million de lari a été alloué en 2001 à la création d’emplois permanents et temporaires, ainsi qu’à l’organisation des activités de formation et de recyclage prévues dans les programmes d’aide à l’emploi des handicapés (1 dollar des États-Unis = 2,08 lari).</w:t>
      </w:r>
    </w:p>
    <w:p w:rsidR="00000000" w:rsidRDefault="00000000">
      <w:pPr>
        <w:widowControl w:val="0"/>
        <w:autoSpaceDE w:val="0"/>
        <w:autoSpaceDN w:val="0"/>
        <w:adjustRightInd w:val="0"/>
        <w:spacing w:after="220" w:line="270" w:lineRule="exact"/>
        <w:ind w:firstLine="567"/>
        <w:rPr>
          <w:szCs w:val="24"/>
        </w:rPr>
      </w:pPr>
      <w:r>
        <w:rPr>
          <w:szCs w:val="24"/>
          <w:u w:val="single"/>
        </w:rPr>
        <w:t>Politique et mesures visant à assurer le plein emploi</w:t>
      </w:r>
    </w:p>
    <w:p w:rsidR="00000000" w:rsidRDefault="00000000">
      <w:pPr>
        <w:widowControl w:val="0"/>
        <w:autoSpaceDE w:val="0"/>
        <w:autoSpaceDN w:val="0"/>
        <w:adjustRightInd w:val="0"/>
        <w:spacing w:after="220" w:line="270" w:lineRule="exact"/>
        <w:rPr>
          <w:szCs w:val="24"/>
        </w:rPr>
      </w:pPr>
      <w:r>
        <w:rPr>
          <w:szCs w:val="24"/>
        </w:rPr>
        <w:t>34.</w:t>
      </w:r>
      <w:r>
        <w:rPr>
          <w:szCs w:val="24"/>
        </w:rPr>
        <w:tab/>
        <w:t>Jusqu’à sa fusion avec le Ministère de la santé, en décembre 1999, le Ministère du travail et de la protection sociale était responsable de l’élaboration et de l’application de la politique nationale de l’emploi. Depuis, le nouveau Ministère du travail, de la santé et de la protection sociale ainsi créé est chargé d’élaborer la politique de l’emploi et d’en suivre l’application. Le Fonds national de l’emploi est une structure juridiquement indépendante dont la principale source de revenus est la cotisation de 1 % prélevée sur les salaires versés par les employeurs.</w:t>
      </w:r>
    </w:p>
    <w:p w:rsidR="00000000" w:rsidRDefault="00000000">
      <w:pPr>
        <w:widowControl w:val="0"/>
        <w:autoSpaceDE w:val="0"/>
        <w:autoSpaceDN w:val="0"/>
        <w:adjustRightInd w:val="0"/>
        <w:spacing w:after="220" w:line="270" w:lineRule="exact"/>
        <w:rPr>
          <w:szCs w:val="24"/>
        </w:rPr>
      </w:pPr>
      <w:r>
        <w:rPr>
          <w:szCs w:val="24"/>
        </w:rPr>
        <w:t>35.</w:t>
      </w:r>
      <w:r>
        <w:rPr>
          <w:szCs w:val="24"/>
        </w:rPr>
        <w:tab/>
        <w:t>Même si, d’après la législation en vigueur, le Fonds est chargé uniquement de financer les mesures prévues dans la politique nationale de l’emploi, c’est lui qui, dans la pratique, applique ces mesures. Au cours des six derniers mois, le Ministère du travail, de la santé et de la protection sociale a élaboré une série de dispositions législatives et réglementaires pour assurer le plein emploi productif, notamment:</w:t>
      </w:r>
    </w:p>
    <w:p w:rsidR="00000000" w:rsidRDefault="00000000">
      <w:pPr>
        <w:widowControl w:val="0"/>
        <w:numPr>
          <w:ilvl w:val="0"/>
          <w:numId w:val="50"/>
        </w:numPr>
        <w:autoSpaceDE w:val="0"/>
        <w:autoSpaceDN w:val="0"/>
        <w:adjustRightInd w:val="0"/>
        <w:spacing w:after="220" w:line="270" w:lineRule="exact"/>
        <w:rPr>
          <w:szCs w:val="24"/>
        </w:rPr>
      </w:pPr>
      <w:r>
        <w:rPr>
          <w:szCs w:val="24"/>
        </w:rPr>
        <w:t>Principes régissant la politique nationale de l’emploi;</w:t>
      </w:r>
    </w:p>
    <w:p w:rsidR="00000000" w:rsidRDefault="00000000">
      <w:pPr>
        <w:widowControl w:val="0"/>
        <w:numPr>
          <w:ilvl w:val="0"/>
          <w:numId w:val="50"/>
        </w:numPr>
        <w:autoSpaceDE w:val="0"/>
        <w:autoSpaceDN w:val="0"/>
        <w:adjustRightInd w:val="0"/>
        <w:spacing w:after="220" w:line="270" w:lineRule="exact"/>
        <w:rPr>
          <w:szCs w:val="24"/>
        </w:rPr>
      </w:pPr>
      <w:r>
        <w:rPr>
          <w:szCs w:val="24"/>
        </w:rPr>
        <w:t>Projet de loi sur l’emploi;</w:t>
      </w:r>
    </w:p>
    <w:p w:rsidR="00000000" w:rsidRDefault="00000000">
      <w:pPr>
        <w:widowControl w:val="0"/>
        <w:numPr>
          <w:ilvl w:val="0"/>
          <w:numId w:val="50"/>
        </w:numPr>
        <w:autoSpaceDE w:val="0"/>
        <w:autoSpaceDN w:val="0"/>
        <w:adjustRightInd w:val="0"/>
        <w:spacing w:after="220" w:line="270" w:lineRule="exact"/>
        <w:rPr>
          <w:szCs w:val="24"/>
        </w:rPr>
      </w:pPr>
      <w:r>
        <w:rPr>
          <w:szCs w:val="24"/>
        </w:rPr>
        <w:t>Projet de loi sur l’assurance chômage obligatoire;</w:t>
      </w:r>
    </w:p>
    <w:p w:rsidR="00000000" w:rsidRDefault="00000000">
      <w:pPr>
        <w:widowControl w:val="0"/>
        <w:numPr>
          <w:ilvl w:val="0"/>
          <w:numId w:val="50"/>
        </w:numPr>
        <w:autoSpaceDE w:val="0"/>
        <w:autoSpaceDN w:val="0"/>
        <w:adjustRightInd w:val="0"/>
        <w:spacing w:after="220" w:line="270" w:lineRule="exact"/>
        <w:rPr>
          <w:szCs w:val="24"/>
        </w:rPr>
      </w:pPr>
      <w:r>
        <w:rPr>
          <w:szCs w:val="24"/>
        </w:rPr>
        <w:t>Projet de loi sur les migrations de main</w:t>
      </w:r>
      <w:r>
        <w:rPr>
          <w:szCs w:val="24"/>
        </w:rPr>
        <w:noBreakHyphen/>
        <w:t>d’œuvre;</w:t>
      </w:r>
    </w:p>
    <w:p w:rsidR="00000000" w:rsidRDefault="00000000">
      <w:pPr>
        <w:widowControl w:val="0"/>
        <w:numPr>
          <w:ilvl w:val="0"/>
          <w:numId w:val="50"/>
        </w:numPr>
        <w:autoSpaceDE w:val="0"/>
        <w:autoSpaceDN w:val="0"/>
        <w:adjustRightInd w:val="0"/>
        <w:spacing w:after="220" w:line="270" w:lineRule="exact"/>
        <w:rPr>
          <w:szCs w:val="24"/>
        </w:rPr>
      </w:pPr>
      <w:r>
        <w:rPr>
          <w:szCs w:val="24"/>
        </w:rPr>
        <w:t>Règlement relatif à l’organisation des travaux d’utilité collective;</w:t>
      </w:r>
    </w:p>
    <w:p w:rsidR="00000000" w:rsidRDefault="00000000">
      <w:pPr>
        <w:widowControl w:val="0"/>
        <w:numPr>
          <w:ilvl w:val="0"/>
          <w:numId w:val="50"/>
        </w:numPr>
        <w:autoSpaceDE w:val="0"/>
        <w:autoSpaceDN w:val="0"/>
        <w:adjustRightInd w:val="0"/>
        <w:spacing w:after="220" w:line="270" w:lineRule="exact"/>
        <w:rPr>
          <w:szCs w:val="24"/>
        </w:rPr>
      </w:pPr>
      <w:r>
        <w:rPr>
          <w:szCs w:val="24"/>
        </w:rPr>
        <w:t>Modalités d’application des mesures de prévention du chômage.</w:t>
      </w:r>
    </w:p>
    <w:p w:rsidR="00000000" w:rsidRDefault="00000000">
      <w:pPr>
        <w:widowControl w:val="0"/>
        <w:autoSpaceDE w:val="0"/>
        <w:autoSpaceDN w:val="0"/>
        <w:adjustRightInd w:val="0"/>
        <w:spacing w:after="220" w:line="270" w:lineRule="exact"/>
        <w:rPr>
          <w:szCs w:val="24"/>
        </w:rPr>
      </w:pPr>
      <w:r>
        <w:rPr>
          <w:szCs w:val="24"/>
        </w:rPr>
        <w:t>36.</w:t>
      </w:r>
      <w:r>
        <w:rPr>
          <w:szCs w:val="24"/>
        </w:rPr>
        <w:tab/>
        <w:t>Ces instruments, ainsi que d’autres textes, sont destinés à combler le vide juridique qui existe encore aujourd’hui dans le domaine de l’emploi. Conformément aux Principes du développement social adoptés en 1997 par le Parlement, qui préconisent une politique active en la matière, il est particulièrement important d’aborder la question de l’emploi de façon radicalement différente.</w:t>
      </w:r>
    </w:p>
    <w:p w:rsidR="00000000" w:rsidRDefault="00000000">
      <w:pPr>
        <w:widowControl w:val="0"/>
        <w:autoSpaceDE w:val="0"/>
        <w:autoSpaceDN w:val="0"/>
        <w:adjustRightInd w:val="0"/>
        <w:spacing w:after="220" w:line="270" w:lineRule="exact"/>
        <w:rPr>
          <w:szCs w:val="24"/>
        </w:rPr>
      </w:pPr>
      <w:r>
        <w:rPr>
          <w:szCs w:val="24"/>
        </w:rPr>
        <w:t>37.</w:t>
      </w:r>
      <w:r>
        <w:rPr>
          <w:szCs w:val="24"/>
        </w:rPr>
        <w:tab/>
        <w:t>Au stade actuel de développement du pays, le point de départ de la politique nationale de l’emploi doit être la création de mécanismes favorisant véritablement l’emploi de la population. Par ailleurs, la priorité accordée à une politique active de la part des agences de placement ne signifie aucunement un désintérêt total pour la protection sociale des chômeurs et l’application d’une politique passive de l’emploi.</w:t>
      </w:r>
    </w:p>
    <w:p w:rsidR="00000000" w:rsidRDefault="00000000">
      <w:pPr>
        <w:widowControl w:val="0"/>
        <w:autoSpaceDE w:val="0"/>
        <w:autoSpaceDN w:val="0"/>
        <w:adjustRightInd w:val="0"/>
        <w:spacing w:after="220" w:line="270" w:lineRule="exact"/>
        <w:rPr>
          <w:szCs w:val="24"/>
        </w:rPr>
      </w:pPr>
      <w:r>
        <w:rPr>
          <w:szCs w:val="24"/>
        </w:rPr>
        <w:t>38.</w:t>
      </w:r>
      <w:r>
        <w:rPr>
          <w:szCs w:val="24"/>
        </w:rPr>
        <w:tab/>
        <w:t>Une politique active suppose l’application de mesures visant à créer de nouveaux emplois et à conserver les emplois existants, ainsi qu’à accroître le taux d’emploi effectif. L’un des moyens d’atteindre ces objectifs consiste à appuyer financièrement la petite et moyenne entreprise et l’entreprise familiale, par des subventions, un système de cautionnement et l’octroi de prêts. Qui plus est, cet appui sera accordé en premier lieu aux régions dont le taux de chômage est supérieur à la moyenne nationale. Dans les zones de développement préférentiel, outre les mesures susmentionnées, on favorisera également le reclassement de la main</w:t>
      </w:r>
      <w:r>
        <w:rPr>
          <w:szCs w:val="24"/>
        </w:rPr>
        <w:noBreakHyphen/>
        <w:t>d’œuvre non compétitive. Une attention toute particulière est accordée aux régions de haute montagne.</w:t>
      </w:r>
    </w:p>
    <w:p w:rsidR="00000000" w:rsidRDefault="00000000">
      <w:pPr>
        <w:keepLines/>
        <w:widowControl w:val="0"/>
        <w:autoSpaceDE w:val="0"/>
        <w:autoSpaceDN w:val="0"/>
        <w:adjustRightInd w:val="0"/>
        <w:spacing w:after="240" w:line="270" w:lineRule="exact"/>
        <w:rPr>
          <w:szCs w:val="24"/>
        </w:rPr>
      </w:pPr>
      <w:r>
        <w:rPr>
          <w:szCs w:val="24"/>
        </w:rPr>
        <w:t>39.</w:t>
      </w:r>
      <w:r>
        <w:rPr>
          <w:szCs w:val="24"/>
        </w:rPr>
        <w:tab/>
        <w:t>L’adéquation de la formation professionnelle et des qualifications des demandeurs d’emploi est à l’ordre du jour. Conformément aux recommandations de l’OIT, le projet de loi sur l’emploi prévoit l’introduction d’un système de subventions à la formation des chômeurs.</w:t>
      </w:r>
    </w:p>
    <w:p w:rsidR="00000000" w:rsidRDefault="00000000">
      <w:pPr>
        <w:widowControl w:val="0"/>
        <w:autoSpaceDE w:val="0"/>
        <w:autoSpaceDN w:val="0"/>
        <w:adjustRightInd w:val="0"/>
        <w:spacing w:after="240" w:line="270" w:lineRule="exact"/>
        <w:rPr>
          <w:szCs w:val="24"/>
        </w:rPr>
      </w:pPr>
      <w:r>
        <w:rPr>
          <w:szCs w:val="24"/>
        </w:rPr>
        <w:t>40.</w:t>
      </w:r>
      <w:r>
        <w:rPr>
          <w:szCs w:val="24"/>
        </w:rPr>
        <w:tab/>
        <w:t>De façon générale, l’application d’une politique active de l’emploi repose sur l’exécution de programmes nationaux, régionaux et ciblés. Un programme national de l’emploi a déjà été élaboré, sur la base des Principes du développement social adoptés par le Parlement, et en utilisant des statistiques à caractère empirique ou les projections d’experts. Malheureusement, aucune analyse sérieuse du marché de l’emploi n’a encore été effectuée en Géorgie. Une telle enquête devrait avoir lieu en 2001, avec l’appui de la Banque mondiale et de l’OIT. Au vu des résultats, certains paramètres du programme national de l’emploi pourront être modifiés pour en accroître la cohérence.</w:t>
      </w:r>
    </w:p>
    <w:p w:rsidR="00000000" w:rsidRDefault="00000000">
      <w:pPr>
        <w:widowControl w:val="0"/>
        <w:autoSpaceDE w:val="0"/>
        <w:autoSpaceDN w:val="0"/>
        <w:adjustRightInd w:val="0"/>
        <w:spacing w:after="240" w:line="270" w:lineRule="exact"/>
        <w:rPr>
          <w:szCs w:val="24"/>
        </w:rPr>
      </w:pPr>
      <w:r>
        <w:rPr>
          <w:szCs w:val="24"/>
        </w:rPr>
        <w:t>41.</w:t>
      </w:r>
      <w:r>
        <w:rPr>
          <w:szCs w:val="24"/>
        </w:rPr>
        <w:tab/>
        <w:t>En tant que partenaires des organismes publics, les agences de placement privées peuvent apporter une aide considérable aux demandeurs d’emploi. Il convient de noter que le projet de loi sur l’emploi en codifie pour la première fois l’activité.</w:t>
      </w:r>
    </w:p>
    <w:p w:rsidR="00000000" w:rsidRDefault="00000000">
      <w:pPr>
        <w:widowControl w:val="0"/>
        <w:autoSpaceDE w:val="0"/>
        <w:autoSpaceDN w:val="0"/>
        <w:adjustRightInd w:val="0"/>
        <w:spacing w:after="240" w:line="270" w:lineRule="exact"/>
        <w:rPr>
          <w:szCs w:val="24"/>
        </w:rPr>
      </w:pPr>
      <w:r>
        <w:rPr>
          <w:szCs w:val="24"/>
        </w:rPr>
        <w:t>42.</w:t>
      </w:r>
      <w:r>
        <w:rPr>
          <w:szCs w:val="24"/>
        </w:rPr>
        <w:tab/>
        <w:t>Ce projet de loi prévoit de mettre en place un service national pour l’emploi, ayant le statut de personne morale de droit public, pour appuyer la politique nationale de l’emploi. Ce service se présentera comme un système unifié et efficace, conformément aux dispositions de la Convention n</w:t>
      </w:r>
      <w:r>
        <w:rPr>
          <w:szCs w:val="24"/>
          <w:vertAlign w:val="superscript"/>
        </w:rPr>
        <w:t>o</w:t>
      </w:r>
      <w:r>
        <w:rPr>
          <w:szCs w:val="24"/>
        </w:rPr>
        <w:t> 88 de l’OIT.</w:t>
      </w:r>
    </w:p>
    <w:p w:rsidR="00000000" w:rsidRDefault="00000000">
      <w:pPr>
        <w:widowControl w:val="0"/>
        <w:autoSpaceDE w:val="0"/>
        <w:autoSpaceDN w:val="0"/>
        <w:adjustRightInd w:val="0"/>
        <w:spacing w:after="240" w:line="270" w:lineRule="exact"/>
        <w:ind w:left="567"/>
        <w:rPr>
          <w:szCs w:val="24"/>
          <w:u w:val="single"/>
        </w:rPr>
      </w:pPr>
      <w:r>
        <w:rPr>
          <w:szCs w:val="24"/>
          <w:u w:val="single"/>
        </w:rPr>
        <w:t>Liberté de choisir un emploi, conditions de travail conformes aux droits politiques et économiques des citoyens</w:t>
      </w:r>
    </w:p>
    <w:p w:rsidR="00000000" w:rsidRDefault="00000000">
      <w:pPr>
        <w:widowControl w:val="0"/>
        <w:autoSpaceDE w:val="0"/>
        <w:autoSpaceDN w:val="0"/>
        <w:adjustRightInd w:val="0"/>
        <w:spacing w:after="240" w:line="270" w:lineRule="exact"/>
        <w:rPr>
          <w:szCs w:val="24"/>
        </w:rPr>
      </w:pPr>
      <w:r>
        <w:rPr>
          <w:szCs w:val="24"/>
        </w:rPr>
        <w:t>43.</w:t>
      </w:r>
      <w:r>
        <w:rPr>
          <w:szCs w:val="24"/>
        </w:rPr>
        <w:tab/>
        <w:t>On trouvera des renseignements sur les garanties constitutionnelles concernant la liberté du travail et la législation générale s’y rapportant aux paragraphes 35 et 36 du rapport initial.</w:t>
      </w:r>
    </w:p>
    <w:p w:rsidR="00000000" w:rsidRDefault="00000000">
      <w:pPr>
        <w:widowControl w:val="0"/>
        <w:autoSpaceDE w:val="0"/>
        <w:autoSpaceDN w:val="0"/>
        <w:adjustRightInd w:val="0"/>
        <w:spacing w:after="240" w:line="270" w:lineRule="exact"/>
        <w:rPr>
          <w:szCs w:val="24"/>
        </w:rPr>
      </w:pPr>
      <w:r>
        <w:rPr>
          <w:szCs w:val="24"/>
        </w:rPr>
        <w:t>44.</w:t>
      </w:r>
      <w:r>
        <w:rPr>
          <w:szCs w:val="24"/>
        </w:rPr>
        <w:tab/>
        <w:t>Il convient d’ajouter à ces renseignements que, conformément à la loi sur l’emploi en vigueur, les Géorgiens exercent leur droit de choisir librement un travail en s’adressant directement à n’importe quelle entreprise ou organisation (quel qu’en soit le régime de propriété) ou en se faisant aider par le service national de placement (art. 8). L’État garantit aux chômeurs les droits suivants:</w:t>
      </w:r>
    </w:p>
    <w:p w:rsidR="00000000" w:rsidRDefault="00000000">
      <w:pPr>
        <w:widowControl w:val="0"/>
        <w:numPr>
          <w:ilvl w:val="0"/>
          <w:numId w:val="50"/>
        </w:numPr>
        <w:autoSpaceDE w:val="0"/>
        <w:autoSpaceDN w:val="0"/>
        <w:adjustRightInd w:val="0"/>
        <w:spacing w:after="240" w:line="270" w:lineRule="exact"/>
        <w:rPr>
          <w:szCs w:val="24"/>
        </w:rPr>
      </w:pPr>
      <w:r>
        <w:rPr>
          <w:szCs w:val="24"/>
        </w:rPr>
        <w:t>Formation et recyclage professionnels gratuits;</w:t>
      </w:r>
    </w:p>
    <w:p w:rsidR="00000000" w:rsidRDefault="00000000">
      <w:pPr>
        <w:widowControl w:val="0"/>
        <w:numPr>
          <w:ilvl w:val="0"/>
          <w:numId w:val="50"/>
        </w:numPr>
        <w:autoSpaceDE w:val="0"/>
        <w:autoSpaceDN w:val="0"/>
        <w:adjustRightInd w:val="0"/>
        <w:spacing w:after="240" w:line="270" w:lineRule="exact"/>
        <w:rPr>
          <w:szCs w:val="24"/>
        </w:rPr>
      </w:pPr>
      <w:r>
        <w:rPr>
          <w:szCs w:val="24"/>
        </w:rPr>
        <w:t>Libre choix du type de travail ou d’activité;</w:t>
      </w:r>
    </w:p>
    <w:p w:rsidR="00000000" w:rsidRDefault="00000000">
      <w:pPr>
        <w:widowControl w:val="0"/>
        <w:numPr>
          <w:ilvl w:val="0"/>
          <w:numId w:val="50"/>
        </w:numPr>
        <w:autoSpaceDE w:val="0"/>
        <w:autoSpaceDN w:val="0"/>
        <w:adjustRightInd w:val="0"/>
        <w:spacing w:after="240" w:line="270" w:lineRule="exact"/>
        <w:rPr>
          <w:szCs w:val="24"/>
        </w:rPr>
      </w:pPr>
      <w:r>
        <w:rPr>
          <w:szCs w:val="24"/>
        </w:rPr>
        <w:t>Aide gratuite à la recherche d’un emploi et au placement (art. 5).</w:t>
      </w:r>
    </w:p>
    <w:p w:rsidR="00000000" w:rsidRDefault="00000000">
      <w:pPr>
        <w:widowControl w:val="0"/>
        <w:autoSpaceDE w:val="0"/>
        <w:autoSpaceDN w:val="0"/>
        <w:adjustRightInd w:val="0"/>
        <w:spacing w:after="240" w:line="270" w:lineRule="exact"/>
        <w:rPr>
          <w:szCs w:val="24"/>
        </w:rPr>
      </w:pPr>
      <w:r>
        <w:rPr>
          <w:szCs w:val="24"/>
        </w:rPr>
        <w:t>45.</w:t>
      </w:r>
      <w:r>
        <w:rPr>
          <w:szCs w:val="24"/>
        </w:rPr>
        <w:tab/>
        <w:t>En outre, en vertu de la loi sur l’emploi, l’employeur est tenu de contribuer au reclassement des chômeurs:</w:t>
      </w:r>
    </w:p>
    <w:p w:rsidR="00000000" w:rsidRDefault="00000000">
      <w:pPr>
        <w:widowControl w:val="0"/>
        <w:numPr>
          <w:ilvl w:val="0"/>
          <w:numId w:val="50"/>
        </w:numPr>
        <w:autoSpaceDE w:val="0"/>
        <w:autoSpaceDN w:val="0"/>
        <w:adjustRightInd w:val="0"/>
        <w:spacing w:after="240" w:line="270" w:lineRule="exact"/>
        <w:rPr>
          <w:szCs w:val="24"/>
        </w:rPr>
      </w:pPr>
      <w:r>
        <w:rPr>
          <w:szCs w:val="24"/>
        </w:rPr>
        <w:t>En établissant un contrat de travail qui, conformément à la législation sur le travail, régit les relations professionnelles;</w:t>
      </w:r>
    </w:p>
    <w:p w:rsidR="00000000" w:rsidRDefault="00000000">
      <w:pPr>
        <w:widowControl w:val="0"/>
        <w:numPr>
          <w:ilvl w:val="0"/>
          <w:numId w:val="50"/>
        </w:numPr>
        <w:autoSpaceDE w:val="0"/>
        <w:autoSpaceDN w:val="0"/>
        <w:adjustRightInd w:val="0"/>
        <w:spacing w:after="240" w:line="270" w:lineRule="exact"/>
        <w:rPr>
          <w:szCs w:val="24"/>
        </w:rPr>
      </w:pPr>
      <w:r>
        <w:rPr>
          <w:szCs w:val="24"/>
        </w:rPr>
        <w:t>En favorisant la formation, le recyclage et le perfectionnement des travailleurs (art. 14).</w:t>
      </w:r>
    </w:p>
    <w:p w:rsidR="00000000" w:rsidRDefault="00000000">
      <w:pPr>
        <w:keepLines/>
        <w:widowControl w:val="0"/>
        <w:autoSpaceDE w:val="0"/>
        <w:autoSpaceDN w:val="0"/>
        <w:adjustRightInd w:val="0"/>
        <w:spacing w:after="240"/>
        <w:rPr>
          <w:szCs w:val="24"/>
        </w:rPr>
      </w:pPr>
      <w:r>
        <w:rPr>
          <w:szCs w:val="24"/>
        </w:rPr>
        <w:t>46.</w:t>
      </w:r>
      <w:r>
        <w:rPr>
          <w:szCs w:val="24"/>
        </w:rPr>
        <w:tab/>
        <w:t>Les questions relatives aux conditions de travail, à la rémunération, aux horaires de travail et au repos, aux conflits du travail à caractère non collectif, aux modalités d’embauche et de licenciement, etc., sont réglementées par le Code du travail. Ainsi, toute possibilité de discrimination dans la pratique judiciaire et administrative est pratiquement exclue et le respect des principes d’équité et d’égalité des citoyens devant le travail et l’emploi est garanti.</w:t>
      </w:r>
    </w:p>
    <w:p w:rsidR="00000000" w:rsidRDefault="00000000">
      <w:pPr>
        <w:widowControl w:val="0"/>
        <w:autoSpaceDE w:val="0"/>
        <w:autoSpaceDN w:val="0"/>
        <w:adjustRightInd w:val="0"/>
        <w:spacing w:after="240"/>
        <w:ind w:firstLine="567"/>
        <w:rPr>
          <w:szCs w:val="24"/>
          <w:u w:val="single"/>
        </w:rPr>
      </w:pPr>
      <w:r>
        <w:rPr>
          <w:szCs w:val="24"/>
          <w:u w:val="single"/>
        </w:rPr>
        <w:t>Programmes de formation professionnelle et technique des chômeurs</w:t>
      </w:r>
    </w:p>
    <w:p w:rsidR="00000000" w:rsidRDefault="00000000">
      <w:pPr>
        <w:widowControl w:val="0"/>
        <w:autoSpaceDE w:val="0"/>
        <w:autoSpaceDN w:val="0"/>
        <w:adjustRightInd w:val="0"/>
        <w:spacing w:after="240"/>
        <w:rPr>
          <w:szCs w:val="24"/>
        </w:rPr>
      </w:pPr>
      <w:r>
        <w:rPr>
          <w:szCs w:val="24"/>
        </w:rPr>
        <w:t>47.</w:t>
      </w:r>
      <w:r>
        <w:rPr>
          <w:szCs w:val="24"/>
        </w:rPr>
        <w:tab/>
        <w:t>En 2000, 44 projets de formation et de recyclage ont été exécutés dans le cadre du programme national de protection de l’emploi, pour un montant total de 324 300 lari.</w:t>
      </w:r>
    </w:p>
    <w:p w:rsidR="00000000" w:rsidRDefault="00000000">
      <w:pPr>
        <w:widowControl w:val="0"/>
        <w:autoSpaceDE w:val="0"/>
        <w:autoSpaceDN w:val="0"/>
        <w:adjustRightInd w:val="0"/>
        <w:spacing w:after="240"/>
        <w:rPr>
          <w:szCs w:val="24"/>
        </w:rPr>
      </w:pPr>
      <w:r>
        <w:rPr>
          <w:szCs w:val="24"/>
        </w:rPr>
        <w:t>48.</w:t>
      </w:r>
      <w:r>
        <w:rPr>
          <w:szCs w:val="24"/>
        </w:rPr>
        <w:tab/>
        <w:t>Le nombre de chômeurs ayant bénéficié d’une formation a été multiplié par 2,3 en 2000 par rapport à 1999. Le coût moyen de la formation d’un chômeur s’élève à 102 lari, soit environ 27 % de moins que le montant correspondant de l’année précédente. En 1999, les dépenses publiques engagées pour la formation des chômeurs ont atteint 520 700 lari; 1 376 chômeurs ont bénéficié d’une formation, pour un coût moyen de 380 lari par personne. Si l’on ne tient compte que des 534 personnes ayant effectivement obtenu le certificat correspondant, le coût de cette formation a été de 975 lari pour l’État.</w:t>
      </w:r>
    </w:p>
    <w:p w:rsidR="00000000" w:rsidRDefault="00000000">
      <w:pPr>
        <w:widowControl w:val="0"/>
        <w:autoSpaceDE w:val="0"/>
        <w:autoSpaceDN w:val="0"/>
        <w:adjustRightInd w:val="0"/>
        <w:spacing w:after="240"/>
        <w:rPr>
          <w:szCs w:val="24"/>
        </w:rPr>
      </w:pPr>
      <w:r>
        <w:rPr>
          <w:szCs w:val="24"/>
        </w:rPr>
        <w:t>49.</w:t>
      </w:r>
      <w:r>
        <w:rPr>
          <w:szCs w:val="24"/>
        </w:rPr>
        <w:tab/>
        <w:t>Compte tenu de ce qui précède, la décision a été prise d’optimiser les dépenses de formation professionnelle des chômeurs à compter de 2000. Avant de passer des contrats avec les établissements d’enseignement, une attention particulière est accordée a) à la qualité de l’enseignement et b) aux questions se rapportant à la délivrance des diplômes.</w:t>
      </w:r>
    </w:p>
    <w:p w:rsidR="00000000" w:rsidRDefault="00000000">
      <w:pPr>
        <w:widowControl w:val="0"/>
        <w:autoSpaceDE w:val="0"/>
        <w:autoSpaceDN w:val="0"/>
        <w:adjustRightInd w:val="0"/>
        <w:spacing w:after="240"/>
        <w:ind w:firstLine="567"/>
        <w:rPr>
          <w:szCs w:val="24"/>
        </w:rPr>
      </w:pPr>
      <w:r>
        <w:rPr>
          <w:szCs w:val="24"/>
          <w:u w:val="single"/>
        </w:rPr>
        <w:t>Difficultés rencontrées dans le domaine de l’emploi et mesures visant à les surmonter</w:t>
      </w:r>
    </w:p>
    <w:p w:rsidR="00000000" w:rsidRDefault="00000000">
      <w:pPr>
        <w:widowControl w:val="0"/>
        <w:autoSpaceDE w:val="0"/>
        <w:autoSpaceDN w:val="0"/>
        <w:adjustRightInd w:val="0"/>
        <w:spacing w:after="240"/>
        <w:rPr>
          <w:szCs w:val="24"/>
        </w:rPr>
      </w:pPr>
      <w:r>
        <w:rPr>
          <w:szCs w:val="24"/>
        </w:rPr>
        <w:t>50.</w:t>
      </w:r>
      <w:r>
        <w:rPr>
          <w:szCs w:val="24"/>
        </w:rPr>
        <w:tab/>
        <w:t>En ce qui concerne les recommandations formulées par le Comité des droits économiques, sociaux et culturels aux paragraphes 23 et 24 de ses observations finales au sujet du salaire minimum et du versement ponctuel des salaires, il convient de rappeler ce qui suit.</w:t>
      </w:r>
    </w:p>
    <w:p w:rsidR="00000000" w:rsidRDefault="00000000">
      <w:pPr>
        <w:widowControl w:val="0"/>
        <w:autoSpaceDE w:val="0"/>
        <w:autoSpaceDN w:val="0"/>
        <w:adjustRightInd w:val="0"/>
        <w:spacing w:after="240"/>
        <w:rPr>
          <w:szCs w:val="24"/>
        </w:rPr>
      </w:pPr>
      <w:r>
        <w:rPr>
          <w:szCs w:val="24"/>
        </w:rPr>
        <w:t>51.</w:t>
      </w:r>
      <w:r>
        <w:rPr>
          <w:szCs w:val="24"/>
        </w:rPr>
        <w:tab/>
        <w:t>L’emploi productif est garanti par le travail correspondant à leurs qualifications que les chômeurs doivent trouver par l’entremise des agences de placement, comme le veut la loi. Conformément à l’article 2 du Code du travail, les travailleurs ont droit à une rémunération correspondant à la quantité et à la qualité de leur travail, qui ne doit toutefois pas être inférieure au minimum vital fixé par la loi.</w:t>
      </w:r>
    </w:p>
    <w:p w:rsidR="00000000" w:rsidRDefault="00000000">
      <w:pPr>
        <w:widowControl w:val="0"/>
        <w:autoSpaceDE w:val="0"/>
        <w:autoSpaceDN w:val="0"/>
        <w:adjustRightInd w:val="0"/>
        <w:spacing w:after="240"/>
        <w:rPr>
          <w:szCs w:val="24"/>
        </w:rPr>
      </w:pPr>
      <w:r>
        <w:rPr>
          <w:szCs w:val="24"/>
        </w:rPr>
        <w:t>52.</w:t>
      </w:r>
      <w:r>
        <w:rPr>
          <w:szCs w:val="24"/>
        </w:rPr>
        <w:tab/>
        <w:t>Le marché du travail géorgien se caractérise par une main-d’œuvre excédentaire. À cause du taux élevé de chômage et du faible niveau général de développement économique, les revenus du travail de la majorité des personnes occupées restent inférieurs au minimum vital. Actuellement, la rémunération a perdu sa fonction incitative et ne constitue plus qu’une sorte de prestation sociale, dont le montant n’est pas lié à la quantité ou à la qualité du travail fourni.</w:t>
      </w:r>
    </w:p>
    <w:p w:rsidR="00000000" w:rsidRDefault="00000000">
      <w:pPr>
        <w:widowControl w:val="0"/>
        <w:autoSpaceDE w:val="0"/>
        <w:autoSpaceDN w:val="0"/>
        <w:adjustRightInd w:val="0"/>
        <w:spacing w:after="240"/>
        <w:rPr>
          <w:szCs w:val="24"/>
        </w:rPr>
      </w:pPr>
      <w:r>
        <w:rPr>
          <w:szCs w:val="24"/>
        </w:rPr>
        <w:t>53.</w:t>
      </w:r>
      <w:r>
        <w:rPr>
          <w:szCs w:val="24"/>
        </w:rPr>
        <w:tab/>
        <w:t>Le bas niveau des salaires a des effets préjudiciables sur l’attitude du travailleur vis</w:t>
      </w:r>
      <w:r>
        <w:rPr>
          <w:szCs w:val="24"/>
        </w:rPr>
        <w:noBreakHyphen/>
        <w:t>à</w:t>
      </w:r>
      <w:r>
        <w:rPr>
          <w:szCs w:val="24"/>
        </w:rPr>
        <w:noBreakHyphen/>
        <w:t>vis de ses obligations professionnelles et constitue, dans la majorité des cas, le principal motif qui le pousse à exercer une activité secondaire. On estime également qu’il est à l’origine de la dégradation de la discipline, ainsi que de la diminution de la productivité en général. Mais il y a lieu de noter que, depuis le deuxième semestre 2000, la situation s’est normalisée en ce qui concerne le versement ponctuel des salaires.</w:t>
      </w:r>
    </w:p>
    <w:p w:rsidR="00000000" w:rsidRDefault="00000000">
      <w:pPr>
        <w:widowControl w:val="0"/>
        <w:autoSpaceDE w:val="0"/>
        <w:autoSpaceDN w:val="0"/>
        <w:adjustRightInd w:val="0"/>
        <w:spacing w:after="240"/>
        <w:rPr>
          <w:szCs w:val="24"/>
        </w:rPr>
      </w:pPr>
      <w:r>
        <w:rPr>
          <w:szCs w:val="24"/>
        </w:rPr>
        <w:t>54.</w:t>
      </w:r>
      <w:r>
        <w:rPr>
          <w:szCs w:val="24"/>
        </w:rPr>
        <w:tab/>
        <w:t>Bien que le salaire minimum ait été multiplié par 4,7 entre 1996 et 2000, il ne peut pas être considéré aujourd’hui comme une garantie sociale appropriée. Son montant équivaut à 17,5 % du minimum vital et à 24,7 % du salaire moyen, ce qui est absolument insuffisant pour satisfaire aux normes sociales (le salaire minimum est de 20 lari en Géorgie).</w:t>
      </w:r>
    </w:p>
    <w:p w:rsidR="00000000" w:rsidRDefault="00000000">
      <w:pPr>
        <w:widowControl w:val="0"/>
        <w:autoSpaceDE w:val="0"/>
        <w:autoSpaceDN w:val="0"/>
        <w:adjustRightInd w:val="0"/>
        <w:spacing w:after="240"/>
        <w:rPr>
          <w:szCs w:val="24"/>
        </w:rPr>
      </w:pPr>
      <w:r>
        <w:rPr>
          <w:szCs w:val="24"/>
        </w:rPr>
        <w:t>55.</w:t>
      </w:r>
      <w:r>
        <w:rPr>
          <w:szCs w:val="24"/>
        </w:rPr>
        <w:tab/>
        <w:t>Le calcul du salaire minimum et ses ajustements sont directement liés à la situation économique du pays. En l’état actuel des choses, le montant du salaire ne peut pas correspondre à celui du minimum vital, mais on prévoit de l’en rapprocher progressivement. Pour ce faire, en particulier, des recommandations sont en cours d’élaboration sur la situation de la rémunération du travail dans le secteur public, de même que sur le salaire minimum et les moyens de le réguler. L’auteur de ces recommandations est le Ministère du travail, de la santé et de la protection sociale.</w:t>
      </w:r>
    </w:p>
    <w:p w:rsidR="00000000" w:rsidRDefault="00000000">
      <w:pPr>
        <w:widowControl w:val="0"/>
        <w:autoSpaceDE w:val="0"/>
        <w:autoSpaceDN w:val="0"/>
        <w:adjustRightInd w:val="0"/>
        <w:spacing w:after="240"/>
        <w:rPr>
          <w:szCs w:val="24"/>
        </w:rPr>
      </w:pPr>
      <w:r>
        <w:rPr>
          <w:szCs w:val="24"/>
        </w:rPr>
        <w:t>56.</w:t>
      </w:r>
      <w:r>
        <w:rPr>
          <w:szCs w:val="24"/>
        </w:rPr>
        <w:tab/>
        <w:t>Il va sans dire que l’efficacité du marché de l’emploi, l’élimination de la pauvreté et une croissance économique équilibrée sont interdépendantes. Il en résulte que l’augmentation de l’emploi productif des couches les plus pauvres de la société constitue un objectif prioritaire. Actuellement, les obstacles les plus importants sont donc les suivants:</w:t>
      </w:r>
    </w:p>
    <w:p w:rsidR="00000000" w:rsidRDefault="00000000">
      <w:pPr>
        <w:widowControl w:val="0"/>
        <w:numPr>
          <w:ilvl w:val="0"/>
          <w:numId w:val="54"/>
        </w:numPr>
        <w:autoSpaceDE w:val="0"/>
        <w:autoSpaceDN w:val="0"/>
        <w:adjustRightInd w:val="0"/>
        <w:spacing w:after="240"/>
        <w:rPr>
          <w:szCs w:val="24"/>
        </w:rPr>
      </w:pPr>
      <w:r>
        <w:rPr>
          <w:szCs w:val="24"/>
        </w:rPr>
        <w:t>Pénurie aiguë de personnel dûment formé et qualifié, résultant de l’absence de système approprié de formation et de perfectionnement des spécialistes;</w:t>
      </w:r>
    </w:p>
    <w:p w:rsidR="00000000" w:rsidRDefault="00000000">
      <w:pPr>
        <w:widowControl w:val="0"/>
        <w:numPr>
          <w:ilvl w:val="0"/>
          <w:numId w:val="54"/>
        </w:numPr>
        <w:autoSpaceDE w:val="0"/>
        <w:autoSpaceDN w:val="0"/>
        <w:adjustRightInd w:val="0"/>
        <w:spacing w:after="240"/>
        <w:rPr>
          <w:szCs w:val="24"/>
        </w:rPr>
      </w:pPr>
      <w:r>
        <w:rPr>
          <w:szCs w:val="24"/>
        </w:rPr>
        <w:t>Ampleur alarmante du chômage de longue durée, du chômage latent et saisonnier, du chômage partiel et de l’emploi au rabais, qui se solde par d’énormes pertes économiques et sociales;</w:t>
      </w:r>
    </w:p>
    <w:p w:rsidR="00000000" w:rsidRDefault="00000000">
      <w:pPr>
        <w:widowControl w:val="0"/>
        <w:numPr>
          <w:ilvl w:val="0"/>
          <w:numId w:val="54"/>
        </w:numPr>
        <w:autoSpaceDE w:val="0"/>
        <w:autoSpaceDN w:val="0"/>
        <w:adjustRightInd w:val="0"/>
        <w:spacing w:after="240"/>
        <w:rPr>
          <w:szCs w:val="24"/>
        </w:rPr>
      </w:pPr>
      <w:r>
        <w:rPr>
          <w:szCs w:val="24"/>
        </w:rPr>
        <w:t>Structure irrationnelle de l’emploi, avec plus de 57 % de personnes travaillant à leur compte;</w:t>
      </w:r>
    </w:p>
    <w:p w:rsidR="00000000" w:rsidRDefault="00000000">
      <w:pPr>
        <w:widowControl w:val="0"/>
        <w:numPr>
          <w:ilvl w:val="0"/>
          <w:numId w:val="54"/>
        </w:numPr>
        <w:autoSpaceDE w:val="0"/>
        <w:autoSpaceDN w:val="0"/>
        <w:adjustRightInd w:val="0"/>
        <w:spacing w:after="240"/>
        <w:rPr>
          <w:szCs w:val="24"/>
        </w:rPr>
      </w:pPr>
      <w:r>
        <w:rPr>
          <w:szCs w:val="24"/>
        </w:rPr>
        <w:t>Surabondance d’emplois sous</w:t>
      </w:r>
      <w:r>
        <w:rPr>
          <w:szCs w:val="24"/>
        </w:rPr>
        <w:noBreakHyphen/>
        <w:t>payés, qui constitue la principale cause de pauvreté de la population.</w:t>
      </w:r>
    </w:p>
    <w:p w:rsidR="00000000" w:rsidRDefault="00000000">
      <w:pPr>
        <w:widowControl w:val="0"/>
        <w:autoSpaceDE w:val="0"/>
        <w:autoSpaceDN w:val="0"/>
        <w:adjustRightInd w:val="0"/>
        <w:spacing w:after="240"/>
        <w:rPr>
          <w:szCs w:val="24"/>
        </w:rPr>
      </w:pPr>
      <w:r>
        <w:rPr>
          <w:szCs w:val="24"/>
        </w:rPr>
        <w:t>57.</w:t>
      </w:r>
      <w:r>
        <w:rPr>
          <w:szCs w:val="24"/>
        </w:rPr>
        <w:tab/>
        <w:t>Compte tenu de ce qui précède, les objectifs stratégiques de la politique de l’emploi peuvent être formulés comme suit: a) efficacité maximale de l’utilisation des ressources humaines existantes, par la régulation du marché de l’emploi, b) obtention d’un taux d’emploi élevé, c) réalisation d’un équilibre quantitatif de la demande et de l’offre de main</w:t>
      </w:r>
      <w:r>
        <w:rPr>
          <w:szCs w:val="24"/>
        </w:rPr>
        <w:noBreakHyphen/>
        <w:t>d’œuvre contribuant, par là même, au développement économique du pays.</w:t>
      </w:r>
    </w:p>
    <w:p w:rsidR="00000000" w:rsidRDefault="00000000">
      <w:pPr>
        <w:widowControl w:val="0"/>
        <w:autoSpaceDE w:val="0"/>
        <w:autoSpaceDN w:val="0"/>
        <w:adjustRightInd w:val="0"/>
        <w:spacing w:after="200"/>
        <w:rPr>
          <w:szCs w:val="24"/>
        </w:rPr>
      </w:pPr>
      <w:r>
        <w:rPr>
          <w:szCs w:val="24"/>
        </w:rPr>
        <w:t>58.</w:t>
      </w:r>
      <w:r>
        <w:rPr>
          <w:szCs w:val="24"/>
        </w:rPr>
        <w:tab/>
        <w:t>À compter de 2002, le Ministère du travail, de la santé et de la protection sociale entend restreindre les activités de formation et de perfectionnement sans lien avec les postes réellement à pourvoir. Le Service national pour l’emploi assurera la formation professionnelle des demandeurs d’emploi inscrits, sur la base d’une analyse de la demande existante pour telle ou telle profession et du marché de l’emploi. En outre, une attention particulière sera accordée à la qualité des centres de formation. Les établissements d’enseignement professionnel seront sélectionnés sur appel d’offres. On exigera principalement de ces établissements qu’ils assurent la formation de spécialistes hautement qualifiés. À cet effet, des critères de qualification propres à chaque profession seront définis en collaboration avec le Ministère de l’éducation. La formation et le perfectionnement professionnels viseront principalement à injecter des ressources humaines compétitives dans les zones de développement prioritaire.</w:t>
      </w:r>
    </w:p>
    <w:p w:rsidR="00000000" w:rsidRDefault="00000000">
      <w:pPr>
        <w:keepNext/>
        <w:widowControl w:val="0"/>
        <w:autoSpaceDE w:val="0"/>
        <w:autoSpaceDN w:val="0"/>
        <w:adjustRightInd w:val="0"/>
        <w:spacing w:after="200"/>
        <w:ind w:firstLine="567"/>
        <w:rPr>
          <w:szCs w:val="24"/>
        </w:rPr>
      </w:pPr>
      <w:r>
        <w:rPr>
          <w:szCs w:val="24"/>
          <w:u w:val="single"/>
        </w:rPr>
        <w:t>La formation professionnelle et technique et le recyclage</w:t>
      </w:r>
    </w:p>
    <w:p w:rsidR="00000000" w:rsidRDefault="00000000">
      <w:pPr>
        <w:widowControl w:val="0"/>
        <w:autoSpaceDE w:val="0"/>
        <w:autoSpaceDN w:val="0"/>
        <w:adjustRightInd w:val="0"/>
        <w:spacing w:after="200"/>
        <w:rPr>
          <w:szCs w:val="24"/>
        </w:rPr>
      </w:pPr>
      <w:r>
        <w:rPr>
          <w:szCs w:val="24"/>
        </w:rPr>
        <w:t>59.</w:t>
      </w:r>
      <w:r>
        <w:rPr>
          <w:szCs w:val="24"/>
        </w:rPr>
        <w:tab/>
        <w:t>La Géorgie est dotée de la législation nécessaire à la création et au fonctionnement d’un système d’orientation et de formation professionnelles pour la mise en valeur des ressources humaines. Le droit à l’éducation est garanti par l’article 35 de la Constitution, et les lois sur l’éducation et sur la formation professionnelle de base définissent la politique nationale dans ce domaine.</w:t>
      </w:r>
    </w:p>
    <w:p w:rsidR="00000000" w:rsidRDefault="00000000">
      <w:pPr>
        <w:widowControl w:val="0"/>
        <w:autoSpaceDE w:val="0"/>
        <w:autoSpaceDN w:val="0"/>
        <w:adjustRightInd w:val="0"/>
        <w:spacing w:after="180" w:line="270" w:lineRule="exact"/>
        <w:rPr>
          <w:szCs w:val="24"/>
        </w:rPr>
      </w:pPr>
      <w:r>
        <w:rPr>
          <w:szCs w:val="24"/>
        </w:rPr>
        <w:t>60.</w:t>
      </w:r>
      <w:r>
        <w:rPr>
          <w:szCs w:val="24"/>
        </w:rPr>
        <w:tab/>
        <w:t>Les questions d’orientation et de formation ont une importance primordiale dans l’application d’une politique active de l’emploi. Le suivi et la coordination des processus d’orientation, de formation et de recyclage des chômeurs ont été confiés au Ministère du travail, de la santé et de la protection sociale. Les travaux menés par ce dernier ont pour objet de mettre le système en harmonie avec a) les normes des Conventions n</w:t>
      </w:r>
      <w:r>
        <w:rPr>
          <w:szCs w:val="24"/>
          <w:vertAlign w:val="superscript"/>
        </w:rPr>
        <w:t>os</w:t>
      </w:r>
      <w:r>
        <w:rPr>
          <w:szCs w:val="24"/>
        </w:rPr>
        <w:t> 142 et 122 de l’OIT et b) la demande existante sur le marché de l’emploi. Pour ce faire, le Ministère applique les mesures suivantes:</w:t>
      </w:r>
    </w:p>
    <w:p w:rsidR="00000000" w:rsidRDefault="00000000">
      <w:pPr>
        <w:widowControl w:val="0"/>
        <w:numPr>
          <w:ilvl w:val="0"/>
          <w:numId w:val="51"/>
        </w:numPr>
        <w:autoSpaceDE w:val="0"/>
        <w:autoSpaceDN w:val="0"/>
        <w:adjustRightInd w:val="0"/>
        <w:spacing w:after="180" w:line="270" w:lineRule="exact"/>
        <w:rPr>
          <w:szCs w:val="24"/>
        </w:rPr>
      </w:pPr>
      <w:r>
        <w:rPr>
          <w:szCs w:val="24"/>
        </w:rPr>
        <w:t>Élaboration de programmes spéciaux de formation et de recyclage des chômeurs;</w:t>
      </w:r>
    </w:p>
    <w:p w:rsidR="00000000" w:rsidRDefault="00000000">
      <w:pPr>
        <w:widowControl w:val="0"/>
        <w:numPr>
          <w:ilvl w:val="0"/>
          <w:numId w:val="51"/>
        </w:numPr>
        <w:autoSpaceDE w:val="0"/>
        <w:autoSpaceDN w:val="0"/>
        <w:adjustRightInd w:val="0"/>
        <w:spacing w:after="180" w:line="270" w:lineRule="exact"/>
        <w:rPr>
          <w:szCs w:val="24"/>
        </w:rPr>
      </w:pPr>
      <w:r>
        <w:rPr>
          <w:szCs w:val="24"/>
        </w:rPr>
        <w:t>Recherche et mobilisation de ressources privées;</w:t>
      </w:r>
    </w:p>
    <w:p w:rsidR="00000000" w:rsidRDefault="00000000">
      <w:pPr>
        <w:widowControl w:val="0"/>
        <w:numPr>
          <w:ilvl w:val="0"/>
          <w:numId w:val="51"/>
        </w:numPr>
        <w:autoSpaceDE w:val="0"/>
        <w:autoSpaceDN w:val="0"/>
        <w:adjustRightInd w:val="0"/>
        <w:spacing w:after="200" w:line="270" w:lineRule="exact"/>
        <w:rPr>
          <w:szCs w:val="24"/>
        </w:rPr>
      </w:pPr>
      <w:r>
        <w:rPr>
          <w:szCs w:val="24"/>
        </w:rPr>
        <w:t>Harmonisation des programmes susvisés avec les normes internationales.</w:t>
      </w:r>
    </w:p>
    <w:p w:rsidR="00000000" w:rsidRDefault="00000000">
      <w:pPr>
        <w:widowControl w:val="0"/>
        <w:autoSpaceDE w:val="0"/>
        <w:autoSpaceDN w:val="0"/>
        <w:adjustRightInd w:val="0"/>
        <w:spacing w:after="200"/>
        <w:rPr>
          <w:szCs w:val="24"/>
        </w:rPr>
      </w:pPr>
      <w:r>
        <w:rPr>
          <w:szCs w:val="24"/>
        </w:rPr>
        <w:t>61.</w:t>
      </w:r>
      <w:r>
        <w:rPr>
          <w:szCs w:val="24"/>
        </w:rPr>
        <w:tab/>
        <w:t>Le Service national pour l’emploi définit les normes quantitatives et la composition du contingent de chômeurs à former, compte tenu de l’offre existante sur le marché de l’emploi. Le Fonds national de l’emploi est pour sa part chargé d’organiser les appels d’offres aux établissements d’enseignement professionnel (supérieur), en vue de recevoir des commandes d’activités de formation (recyclage) de chômeurs, et d’en assurer le financement.</w:t>
      </w:r>
    </w:p>
    <w:p w:rsidR="00000000" w:rsidRDefault="00000000">
      <w:pPr>
        <w:widowControl w:val="0"/>
        <w:autoSpaceDE w:val="0"/>
        <w:autoSpaceDN w:val="0"/>
        <w:adjustRightInd w:val="0"/>
        <w:spacing w:after="200"/>
        <w:rPr>
          <w:szCs w:val="24"/>
        </w:rPr>
      </w:pPr>
      <w:r>
        <w:rPr>
          <w:szCs w:val="24"/>
        </w:rPr>
        <w:t>62.</w:t>
      </w:r>
      <w:r>
        <w:rPr>
          <w:szCs w:val="24"/>
        </w:rPr>
        <w:tab/>
        <w:t>La formation et le recyclage des chômeurs devront tenir compte des exigences du marché de l’emploi, qui seront définies sur la base d’une analyse systématique de ce marché.</w:t>
      </w:r>
    </w:p>
    <w:p w:rsidR="00000000" w:rsidRDefault="00000000">
      <w:pPr>
        <w:widowControl w:val="0"/>
        <w:autoSpaceDE w:val="0"/>
        <w:autoSpaceDN w:val="0"/>
        <w:adjustRightInd w:val="0"/>
        <w:spacing w:after="200"/>
        <w:rPr>
          <w:szCs w:val="24"/>
        </w:rPr>
      </w:pPr>
      <w:r>
        <w:rPr>
          <w:szCs w:val="24"/>
        </w:rPr>
        <w:t>63.</w:t>
      </w:r>
      <w:r>
        <w:rPr>
          <w:szCs w:val="24"/>
        </w:rPr>
        <w:tab/>
        <w:t>Pour organiser la formation et le recyclage des chômeurs, un centre spécial d’orientation et de recyclage du Fonds national de l’emploi a été mis en place. Entre 1996 et 2000, 1 868 chômeurs et demandeurs d’emploi y ont renforcé leurs qualifications et reçu une formation professionnelle, dans le cadre des programmes nationaux établis annuellement.</w:t>
      </w:r>
    </w:p>
    <w:p w:rsidR="00000000" w:rsidRDefault="00000000">
      <w:pPr>
        <w:widowControl w:val="0"/>
        <w:autoSpaceDE w:val="0"/>
        <w:autoSpaceDN w:val="0"/>
        <w:adjustRightInd w:val="0"/>
        <w:spacing w:after="200"/>
        <w:rPr>
          <w:szCs w:val="24"/>
        </w:rPr>
      </w:pPr>
      <w:r>
        <w:rPr>
          <w:szCs w:val="24"/>
        </w:rPr>
        <w:t>64.</w:t>
      </w:r>
      <w:r>
        <w:rPr>
          <w:szCs w:val="24"/>
        </w:rPr>
        <w:tab/>
        <w:t>Il convient de noter que les agences de placement privées assurent également des activités de formation/recyclage des demandeurs d’emploi, et ce de façon très efficace dans certains cas. Le Service de recrutement et de placement «Universal» en est un exemple.</w:t>
      </w:r>
    </w:p>
    <w:p w:rsidR="00000000" w:rsidRDefault="00000000">
      <w:pPr>
        <w:widowControl w:val="0"/>
        <w:autoSpaceDE w:val="0"/>
        <w:autoSpaceDN w:val="0"/>
        <w:adjustRightInd w:val="0"/>
        <w:spacing w:after="240"/>
        <w:rPr>
          <w:szCs w:val="24"/>
        </w:rPr>
      </w:pPr>
      <w:r>
        <w:rPr>
          <w:szCs w:val="24"/>
        </w:rPr>
        <w:t>65.</w:t>
      </w:r>
      <w:r>
        <w:rPr>
          <w:szCs w:val="24"/>
        </w:rPr>
        <w:tab/>
        <w:t>Force est cependant de constater que l’application de la politique nationale et des programmes d’orientation professionnelle est très insuffisamment coordonnée avec celle de la politique et des programmes concernant l’emploi. Les raisons en sont les suivantes: a) possibilités restreintes de placement; b) marché de l’emploi inorganisé; c) demandes de main</w:t>
      </w:r>
      <w:r>
        <w:rPr>
          <w:szCs w:val="24"/>
        </w:rPr>
        <w:noBreakHyphen/>
        <w:t>d’œuvre réduite à son minimum; et d) impossibilité pratique de prévoir correctement les besoins en personnel.</w:t>
      </w:r>
    </w:p>
    <w:p w:rsidR="00000000" w:rsidRDefault="00000000">
      <w:pPr>
        <w:widowControl w:val="0"/>
        <w:autoSpaceDE w:val="0"/>
        <w:autoSpaceDN w:val="0"/>
        <w:adjustRightInd w:val="0"/>
        <w:spacing w:after="240"/>
        <w:rPr>
          <w:szCs w:val="24"/>
        </w:rPr>
      </w:pPr>
      <w:r>
        <w:rPr>
          <w:szCs w:val="24"/>
        </w:rPr>
        <w:t>66.</w:t>
      </w:r>
      <w:r>
        <w:rPr>
          <w:szCs w:val="24"/>
        </w:rPr>
        <w:tab/>
        <w:t>Dans le cadre du projet de loi sur l’emploi, le Ministère du travail, de la santé et de la protection sociale a prévu une série de textes visant à établir un lien étroit entre l’emploi (le recrutement), d’une part, et la formation professionnelle, de l’autre. L’adoption de ce projet de loi favorisera grandement le règlement des problèmes visés plus haut.</w:t>
      </w:r>
    </w:p>
    <w:p w:rsidR="00000000" w:rsidRDefault="00000000">
      <w:pPr>
        <w:keepLines/>
        <w:widowControl w:val="0"/>
        <w:autoSpaceDE w:val="0"/>
        <w:autoSpaceDN w:val="0"/>
        <w:adjustRightInd w:val="0"/>
        <w:spacing w:after="240"/>
        <w:rPr>
          <w:szCs w:val="24"/>
        </w:rPr>
      </w:pPr>
      <w:r>
        <w:rPr>
          <w:szCs w:val="24"/>
        </w:rPr>
        <w:t>67.</w:t>
      </w:r>
      <w:r>
        <w:rPr>
          <w:szCs w:val="24"/>
        </w:rPr>
        <w:tab/>
        <w:t>Au paragraphe 25 de ses observations finales, le Comité des droits économiques, sociaux et culturels a recommandé que la Géorgie adopte la législation voulue pour faire en sorte que les personnes handicapées aient un meilleur accès au marché du travail.</w:t>
      </w:r>
    </w:p>
    <w:p w:rsidR="00000000" w:rsidRDefault="00000000">
      <w:pPr>
        <w:widowControl w:val="0"/>
        <w:autoSpaceDE w:val="0"/>
        <w:autoSpaceDN w:val="0"/>
        <w:adjustRightInd w:val="0"/>
        <w:spacing w:after="240"/>
        <w:rPr>
          <w:szCs w:val="24"/>
        </w:rPr>
      </w:pPr>
      <w:r>
        <w:rPr>
          <w:szCs w:val="24"/>
        </w:rPr>
        <w:t>68.</w:t>
      </w:r>
      <w:r>
        <w:rPr>
          <w:szCs w:val="24"/>
        </w:rPr>
        <w:tab/>
        <w:t>Il convient à ce propos d’examiner plus en détail la situation des handicapés, dont les intérêts sont garantis par la loi sur la protection sociale des handicapés. Cette dernière prévoit qu’il incombe à l’État de créer les conditions propices à la mise en valeur des capacités créatrices et productives des intéressés.</w:t>
      </w:r>
    </w:p>
    <w:p w:rsidR="00000000" w:rsidRDefault="00000000">
      <w:pPr>
        <w:widowControl w:val="0"/>
        <w:autoSpaceDE w:val="0"/>
        <w:autoSpaceDN w:val="0"/>
        <w:adjustRightInd w:val="0"/>
        <w:spacing w:after="240"/>
        <w:rPr>
          <w:szCs w:val="24"/>
        </w:rPr>
      </w:pPr>
      <w:r>
        <w:rPr>
          <w:szCs w:val="24"/>
        </w:rPr>
        <w:t>69.</w:t>
      </w:r>
      <w:r>
        <w:rPr>
          <w:szCs w:val="24"/>
        </w:rPr>
        <w:tab/>
        <w:t>Les activités d’éducation, de formation professionnelle et de perfectionnement des handicapés prennent différentes formes (cours par correspondance, inscription aux examens en candidat libre, cours destinés à des groupes spéciaux, enseignement à domicile) et sont menées sur la base de programmes individuels. Ces derniers sont appliqués aussi bien dans des établissements spécialisés que dans des établissements généraux, des entreprises ou des organisations, et en collaboration avec les services d’aide sociale. En 1999, sur les 277 personnes ayant suivi une formation professionnelle au centre d’études pour handicapés, une centaine a ensuite trouvé du travail. Une unité d’enseignement pour handicapés s’est ouverte à Koutaïssi; elle assure une formation annuelle à toute une série de métiers.</w:t>
      </w:r>
    </w:p>
    <w:p w:rsidR="00000000" w:rsidRDefault="00000000">
      <w:pPr>
        <w:widowControl w:val="0"/>
        <w:autoSpaceDE w:val="0"/>
        <w:autoSpaceDN w:val="0"/>
        <w:adjustRightInd w:val="0"/>
        <w:spacing w:after="240"/>
        <w:rPr>
          <w:szCs w:val="24"/>
        </w:rPr>
      </w:pPr>
      <w:r>
        <w:rPr>
          <w:szCs w:val="24"/>
        </w:rPr>
        <w:t>70.</w:t>
      </w:r>
      <w:r>
        <w:rPr>
          <w:szCs w:val="24"/>
        </w:rPr>
        <w:tab/>
        <w:t>Il existe depuis 1997 un programme de placement des handicapés. Des centres d’orientation professionnelle et d’adaptation au travail sont créés. Il convient toutefois d’indiquer que les activités de réinsertion sociale et professionnelle sont gravement entravées par a) des problèmes financiers, b) la pénurie de personnel qualifié et c) des difficultés de gestion.</w:t>
      </w:r>
    </w:p>
    <w:p w:rsidR="00000000" w:rsidRDefault="00000000">
      <w:pPr>
        <w:widowControl w:val="0"/>
        <w:autoSpaceDE w:val="0"/>
        <w:autoSpaceDN w:val="0"/>
        <w:adjustRightInd w:val="0"/>
        <w:spacing w:after="240"/>
        <w:rPr>
          <w:szCs w:val="24"/>
        </w:rPr>
      </w:pPr>
      <w:r>
        <w:rPr>
          <w:szCs w:val="24"/>
        </w:rPr>
        <w:t>71.</w:t>
      </w:r>
      <w:r>
        <w:rPr>
          <w:szCs w:val="24"/>
        </w:rPr>
        <w:tab/>
        <w:t>Pour compléter ce qui précède, on trouvera ci</w:t>
      </w:r>
      <w:r>
        <w:rPr>
          <w:szCs w:val="24"/>
        </w:rPr>
        <w:noBreakHyphen/>
        <w:t>après des données sur la situation générale de l’enseignement professionnel et technique, établies par le Département national de statistique.</w:t>
      </w:r>
    </w:p>
    <w:p w:rsidR="00000000" w:rsidRDefault="00000000">
      <w:pPr>
        <w:widowControl w:val="0"/>
        <w:autoSpaceDE w:val="0"/>
        <w:autoSpaceDN w:val="0"/>
        <w:adjustRightInd w:val="0"/>
        <w:spacing w:after="240"/>
        <w:rPr>
          <w:szCs w:val="24"/>
        </w:rPr>
      </w:pPr>
      <w:r>
        <w:rPr>
          <w:szCs w:val="24"/>
        </w:rPr>
        <w:t>72.</w:t>
      </w:r>
      <w:r>
        <w:rPr>
          <w:szCs w:val="24"/>
        </w:rPr>
        <w:tab/>
        <w:t>On comptait 81 établissements d’enseignement secondaire spécialisé, accueillant 30 000 élèves, pendant l’année scolaire 1997/98; 83 établissements accueillant plus de 32 000 élèves pendant l’année scolaire 1998/99; et 85 établissements accueillant environ 30 000 élèves pendant l’année scolaire 1999/2000. Ces données concernent l’enseignement public. Pour le privé, les statistiques sont les suivantes: 47 établissements accueillant 5 200 élèves, pendant l’année scolaire 1997/98; 58 établissements accueillant 7 200 élèves pendant l’année scolaire 1998/1999; et 58 établissements accueillant 6 800 élèves pendant l’année scolaire 1999/2000.</w:t>
      </w:r>
    </w:p>
    <w:p w:rsidR="00000000" w:rsidRDefault="00000000">
      <w:pPr>
        <w:widowControl w:val="0"/>
        <w:autoSpaceDE w:val="0"/>
        <w:autoSpaceDN w:val="0"/>
        <w:adjustRightInd w:val="0"/>
        <w:spacing w:after="240"/>
        <w:rPr>
          <w:szCs w:val="24"/>
        </w:rPr>
      </w:pPr>
      <w:r>
        <w:rPr>
          <w:szCs w:val="24"/>
        </w:rPr>
        <w:t>73.</w:t>
      </w:r>
      <w:r>
        <w:rPr>
          <w:szCs w:val="24"/>
        </w:rPr>
        <w:tab/>
        <w:t>Les études proposées dans le système d’enseignement professionnel et technique ont trait aux domaines suivants: industrie et construction; transports et communications; agriculture; économie et droit; santé, culture physique et sport; enseignement (pédagogie); art et cinéma. En outre, bon nombre d’établissements d’enseignement professionnel sont pluridisciplinaires. Les cours dans les établissements publics de ce type sont donnés dans la journée, le soir ou par correspondance; les établissements privés n’assurent qu’un enseignement de jour.</w:t>
      </w:r>
    </w:p>
    <w:p w:rsidR="00000000" w:rsidRDefault="00000000">
      <w:pPr>
        <w:keepNext/>
        <w:widowControl w:val="0"/>
        <w:autoSpaceDE w:val="0"/>
        <w:autoSpaceDN w:val="0"/>
        <w:adjustRightInd w:val="0"/>
        <w:spacing w:after="240"/>
        <w:ind w:firstLine="567"/>
        <w:rPr>
          <w:szCs w:val="24"/>
        </w:rPr>
      </w:pPr>
      <w:r>
        <w:rPr>
          <w:szCs w:val="24"/>
          <w:u w:val="single"/>
        </w:rPr>
        <w:t>Personnes occupant plus d’un emploi</w:t>
      </w:r>
    </w:p>
    <w:p w:rsidR="00000000" w:rsidRDefault="00000000">
      <w:pPr>
        <w:widowControl w:val="0"/>
        <w:autoSpaceDE w:val="0"/>
        <w:autoSpaceDN w:val="0"/>
        <w:adjustRightInd w:val="0"/>
        <w:spacing w:after="240"/>
        <w:rPr>
          <w:szCs w:val="24"/>
        </w:rPr>
      </w:pPr>
      <w:r>
        <w:rPr>
          <w:szCs w:val="24"/>
        </w:rPr>
        <w:t>74.</w:t>
      </w:r>
      <w:r>
        <w:rPr>
          <w:szCs w:val="24"/>
        </w:rPr>
        <w:tab/>
        <w:t>Selon le Ministère du travail, de la santé et de la protection sociale, aucune donnée de ce type n’est collectée en Géorgie.</w:t>
      </w:r>
    </w:p>
    <w:p w:rsidR="00000000" w:rsidRDefault="00000000">
      <w:pPr>
        <w:keepNext/>
        <w:widowControl w:val="0"/>
        <w:autoSpaceDE w:val="0"/>
        <w:autoSpaceDN w:val="0"/>
        <w:adjustRightInd w:val="0"/>
        <w:spacing w:after="240"/>
        <w:ind w:firstLine="567"/>
        <w:rPr>
          <w:szCs w:val="24"/>
        </w:rPr>
      </w:pPr>
      <w:r>
        <w:rPr>
          <w:szCs w:val="24"/>
          <w:u w:val="single"/>
        </w:rPr>
        <w:t>Amendements à la législation sur le travail</w:t>
      </w:r>
    </w:p>
    <w:p w:rsidR="00000000" w:rsidRDefault="00000000">
      <w:pPr>
        <w:widowControl w:val="0"/>
        <w:autoSpaceDE w:val="0"/>
        <w:autoSpaceDN w:val="0"/>
        <w:adjustRightInd w:val="0"/>
        <w:spacing w:after="240"/>
        <w:rPr>
          <w:szCs w:val="24"/>
        </w:rPr>
      </w:pPr>
      <w:r>
        <w:rPr>
          <w:szCs w:val="24"/>
        </w:rPr>
        <w:t>75.</w:t>
      </w:r>
      <w:r>
        <w:rPr>
          <w:szCs w:val="24"/>
        </w:rPr>
        <w:tab/>
        <w:t>En 2000, aucune modification n’a été apportée à la législation régissant les relations de travail.</w:t>
      </w:r>
    </w:p>
    <w:p w:rsidR="00000000" w:rsidRDefault="00000000">
      <w:pPr>
        <w:keepNext/>
        <w:widowControl w:val="0"/>
        <w:autoSpaceDE w:val="0"/>
        <w:autoSpaceDN w:val="0"/>
        <w:adjustRightInd w:val="0"/>
        <w:spacing w:after="240"/>
        <w:ind w:firstLine="567"/>
        <w:rPr>
          <w:szCs w:val="24"/>
        </w:rPr>
      </w:pPr>
      <w:r>
        <w:rPr>
          <w:szCs w:val="24"/>
          <w:u w:val="single"/>
        </w:rPr>
        <w:t>Rôle de l’aide internationale dans la réalisation des droits prévus à l’article 6 du Pacte</w:t>
      </w:r>
    </w:p>
    <w:p w:rsidR="00000000" w:rsidRDefault="00000000">
      <w:pPr>
        <w:widowControl w:val="0"/>
        <w:autoSpaceDE w:val="0"/>
        <w:autoSpaceDN w:val="0"/>
        <w:adjustRightInd w:val="0"/>
        <w:spacing w:after="240"/>
        <w:rPr>
          <w:szCs w:val="24"/>
        </w:rPr>
      </w:pPr>
      <w:r>
        <w:rPr>
          <w:szCs w:val="24"/>
        </w:rPr>
        <w:t>76.</w:t>
      </w:r>
      <w:r>
        <w:rPr>
          <w:szCs w:val="24"/>
        </w:rPr>
        <w:tab/>
        <w:t>C’est le Ministère du travail, de la santé et de la protection sociale qui est chargé, au niveau de l’État, des questions relatives à la coopération avec les organisations internationales, notamment l’OIT et l’Organisation internationale pour les migrations.</w:t>
      </w:r>
    </w:p>
    <w:p w:rsidR="00000000" w:rsidRDefault="00000000">
      <w:pPr>
        <w:widowControl w:val="0"/>
        <w:autoSpaceDE w:val="0"/>
        <w:autoSpaceDN w:val="0"/>
        <w:adjustRightInd w:val="0"/>
        <w:spacing w:after="240"/>
        <w:rPr>
          <w:szCs w:val="24"/>
        </w:rPr>
      </w:pPr>
      <w:r>
        <w:rPr>
          <w:szCs w:val="24"/>
        </w:rPr>
        <w:t>77.</w:t>
      </w:r>
      <w:r>
        <w:rPr>
          <w:szCs w:val="24"/>
        </w:rPr>
        <w:tab/>
        <w:t>Des rapports ont été établis sur l’application des conventions de l’OIT ratifiées par le Parlement géorgien, à savoir les Conventions n</w:t>
      </w:r>
      <w:r>
        <w:rPr>
          <w:szCs w:val="24"/>
          <w:vertAlign w:val="superscript"/>
        </w:rPr>
        <w:t>os</w:t>
      </w:r>
      <w:r>
        <w:rPr>
          <w:szCs w:val="24"/>
        </w:rPr>
        <w:t> 29, 52, 98, 100, 105, 111, 117, 122, 138 et 142. Par ailleurs, la Géorgie a répondu au questionnaire spécial de l’OIT sur l’utilité d’amender la recommandation n</w:t>
      </w:r>
      <w:r>
        <w:rPr>
          <w:szCs w:val="24"/>
          <w:vertAlign w:val="superscript"/>
        </w:rPr>
        <w:t>o</w:t>
      </w:r>
      <w:r>
        <w:rPr>
          <w:szCs w:val="24"/>
        </w:rPr>
        <w:t> 127 concernant le rôle des coopératives. Ses réponses ont déjà été adressées à l’OIT.</w:t>
      </w:r>
    </w:p>
    <w:p w:rsidR="00000000" w:rsidRDefault="00000000">
      <w:pPr>
        <w:widowControl w:val="0"/>
        <w:autoSpaceDE w:val="0"/>
        <w:autoSpaceDN w:val="0"/>
        <w:adjustRightInd w:val="0"/>
        <w:spacing w:after="240"/>
        <w:rPr>
          <w:szCs w:val="24"/>
        </w:rPr>
      </w:pPr>
      <w:r>
        <w:rPr>
          <w:szCs w:val="24"/>
        </w:rPr>
        <w:t>78.</w:t>
      </w:r>
      <w:r>
        <w:rPr>
          <w:szCs w:val="24"/>
        </w:rPr>
        <w:tab/>
        <w:t>Le Fonds national de l’emploi participe activement aux relations internationales et projets internationaux. On peut notamment citer les activités suivantes:</w:t>
      </w:r>
    </w:p>
    <w:p w:rsidR="00000000" w:rsidRDefault="00000000">
      <w:pPr>
        <w:widowControl w:val="0"/>
        <w:numPr>
          <w:ilvl w:val="0"/>
          <w:numId w:val="55"/>
        </w:numPr>
        <w:autoSpaceDE w:val="0"/>
        <w:autoSpaceDN w:val="0"/>
        <w:adjustRightInd w:val="0"/>
        <w:spacing w:after="240"/>
        <w:rPr>
          <w:szCs w:val="24"/>
        </w:rPr>
      </w:pPr>
      <w:r>
        <w:rPr>
          <w:szCs w:val="24"/>
        </w:rPr>
        <w:t>Participation au projet de l’OIT sur la restructuration socialement indispensable de l’entreprise (un projet de ce type a déjà été couronné de succès en Fédération de Russie; celui-ci s’adresse à plusieurs pays de la Communauté d’États indépendants);</w:t>
      </w:r>
    </w:p>
    <w:p w:rsidR="00000000" w:rsidRDefault="00000000">
      <w:pPr>
        <w:widowControl w:val="0"/>
        <w:numPr>
          <w:ilvl w:val="0"/>
          <w:numId w:val="55"/>
        </w:numPr>
        <w:autoSpaceDE w:val="0"/>
        <w:autoSpaceDN w:val="0"/>
        <w:adjustRightInd w:val="0"/>
        <w:spacing w:after="240"/>
        <w:rPr>
          <w:szCs w:val="24"/>
        </w:rPr>
      </w:pPr>
      <w:r>
        <w:rPr>
          <w:szCs w:val="24"/>
        </w:rPr>
        <w:t>Participation aux préparatifs de la Conférence internationale sur le thème «Mécanisme de régulation de l’emploi et importance de la coopération des services de placement dans les projets internationaux (“Route de la soie”)», qui doit définir les nouvelles modalités de coopération avec les services en question;</w:t>
      </w:r>
    </w:p>
    <w:p w:rsidR="00000000" w:rsidRDefault="00000000">
      <w:pPr>
        <w:widowControl w:val="0"/>
        <w:numPr>
          <w:ilvl w:val="0"/>
          <w:numId w:val="55"/>
        </w:numPr>
        <w:autoSpaceDE w:val="0"/>
        <w:autoSpaceDN w:val="0"/>
        <w:adjustRightInd w:val="0"/>
        <w:spacing w:after="240"/>
      </w:pPr>
      <w:r>
        <w:rPr>
          <w:szCs w:val="24"/>
        </w:rPr>
        <w:t>Participation au projet de l’Agence suédoise de développement international, qui prévoit de renforcer le système géorgien de l’emploi par l’organisation, dans un premier temps, de stages intensifs de formation.</w:t>
      </w:r>
    </w:p>
    <w:p w:rsidR="00000000" w:rsidRDefault="00000000">
      <w:pPr>
        <w:keepNext/>
        <w:spacing w:after="240"/>
      </w:pPr>
      <w:r>
        <w:rPr>
          <w:u w:val="single"/>
        </w:rPr>
        <w:t>Article 7</w:t>
      </w:r>
    </w:p>
    <w:p w:rsidR="00000000" w:rsidRDefault="00000000">
      <w:pPr>
        <w:keepNext/>
        <w:spacing w:after="240"/>
        <w:ind w:firstLine="567"/>
      </w:pPr>
      <w:r>
        <w:rPr>
          <w:u w:val="single"/>
        </w:rPr>
        <w:t>Principaux moyens de fixation des salaires</w:t>
      </w:r>
    </w:p>
    <w:p w:rsidR="00000000" w:rsidRDefault="00000000">
      <w:pPr>
        <w:spacing w:after="240"/>
      </w:pPr>
      <w:r>
        <w:t>79.</w:t>
      </w:r>
      <w:r>
        <w:tab/>
        <w:t xml:space="preserve">Dans le secteur public, les salaires sont réglementés par l’État de façon centralisée, tandis que dans le secteur privé, les entreprises et organisations déterminent de manière autonome les formes et systèmes de rémunération du travail, en fonction du salaire minimum fixé à l’échelon national. </w:t>
      </w:r>
    </w:p>
    <w:p w:rsidR="00000000" w:rsidRDefault="00000000">
      <w:pPr>
        <w:keepNext/>
        <w:spacing w:after="240"/>
        <w:ind w:firstLine="567"/>
      </w:pPr>
      <w:r>
        <w:rPr>
          <w:u w:val="single"/>
        </w:rPr>
        <w:t>Le salaire minimum</w:t>
      </w:r>
    </w:p>
    <w:p w:rsidR="00000000" w:rsidRDefault="00000000">
      <w:pPr>
        <w:spacing w:after="240"/>
      </w:pPr>
      <w:r>
        <w:t>80.</w:t>
      </w:r>
      <w:r>
        <w:tab/>
        <w:t xml:space="preserve">Par décret présidentiel n° 351 du 4 juin 1999, le montant du salaire minimum à l’échelon national a été fixé à 20 lari (9,7 dollars É.-U.), ce qui représente un peu plus de 17 % du minimum vital et environ 25 % du salaire moyen. Le salaire minimum ainsi fixé est obligatoire pour toutes les entreprises, organisations et institutions, quels qu’en soient le régime de propriété et la forme de constitution juridique. Ainsi, le salaire minimum s’applique uniformément à tous les travailleurs et il n’existe pas de distinction entre différents groupes. Les taux minimums de rémunération du travail ont force de loi, dans la mesure où ils sont fixés conformément au Code du travail, et leur montant concret est promulgué par décret présidentiel. </w:t>
      </w:r>
    </w:p>
    <w:p w:rsidR="00000000" w:rsidRDefault="00000000">
      <w:pPr>
        <w:spacing w:after="240"/>
      </w:pPr>
      <w:r>
        <w:t>81.</w:t>
      </w:r>
      <w:r>
        <w:tab/>
        <w:t>Conformément à la loi sur les modalités de calcul du minimum vital, il est tenu compte du niveau de celui</w:t>
      </w:r>
      <w:r>
        <w:noBreakHyphen/>
        <w:t xml:space="preserve">ci dans la détermination du salaire minimum. Si l’écart entre le minimum vital et le revenu minimum s’accroît par suite d’une augmentation des prix à la consommation, il doit être procédé à un réexamen périodique du salaire minimum. </w:t>
      </w:r>
    </w:p>
    <w:p w:rsidR="00000000" w:rsidRDefault="00000000">
      <w:pPr>
        <w:spacing w:after="240"/>
      </w:pPr>
      <w:r>
        <w:t>82.</w:t>
      </w:r>
      <w:r>
        <w:tab/>
        <w:t xml:space="preserve">En Géorgie, l’établissement du salaire minimum est contrôlé par l’Inspection des impôts et l’Inspection du travail. </w:t>
      </w:r>
    </w:p>
    <w:p w:rsidR="00000000" w:rsidRDefault="00000000">
      <w:pPr>
        <w:keepNext/>
        <w:spacing w:after="240"/>
        <w:ind w:firstLine="567"/>
      </w:pPr>
      <w:r>
        <w:rPr>
          <w:u w:val="single"/>
        </w:rPr>
        <w:t>Le montant des salaires</w:t>
      </w:r>
    </w:p>
    <w:p w:rsidR="00000000" w:rsidRDefault="00000000">
      <w:pPr>
        <w:spacing w:after="240"/>
      </w:pPr>
      <w:r>
        <w:t>83.</w:t>
      </w:r>
      <w:r>
        <w:tab/>
        <w:t>Bien que l’on ait discerné ces dernières années certaines avancées positives s’agissant des perspectives de croissance économique dans le pays, les salaires restent comme par le passé insuffisamment conditionnés par les intérêts économiques.</w:t>
      </w:r>
    </w:p>
    <w:p w:rsidR="00000000" w:rsidRDefault="00000000">
      <w:pPr>
        <w:spacing w:after="240"/>
      </w:pPr>
      <w:r>
        <w:t>84.</w:t>
      </w:r>
      <w:r>
        <w:tab/>
        <w:t>Le salaire, en tant que prix de la force de travail, n’est à l’heure actuelle que faiblement corrélé avec la valeur des moyens d’existence et n’assure pas la reproduction élargie, ni même la reproduction simple. Il suffit de rappeler qu’en décembre 2000, le salaire moyen s’établissait à 61,8 % du minimum vital pour le consommateur moyen, tandis que le niveau minimum de la rémunération du travail ne représentait que 20 % de cet indicateur.</w:t>
      </w:r>
    </w:p>
    <w:p w:rsidR="00000000" w:rsidRDefault="00000000">
      <w:pPr>
        <w:spacing w:after="240"/>
      </w:pPr>
      <w:r>
        <w:t>85.</w:t>
      </w:r>
      <w:r>
        <w:tab/>
        <w:t xml:space="preserve">Le faible niveau des salaires est lié au fait que, dans la structure générale des revenus, sa part ne dépasse pas 34,5 %, proportion considérablement en retrait du niveau critique (60 %). Ceci montre à son tour que le processus de rétablissement de la motivation au travail en Géorgie est extrêmement lent. </w:t>
      </w:r>
    </w:p>
    <w:p w:rsidR="00000000" w:rsidRDefault="00000000">
      <w:pPr>
        <w:spacing w:after="240"/>
      </w:pPr>
      <w:r>
        <w:t>86.</w:t>
      </w:r>
      <w:r>
        <w:tab/>
        <w:t>Selon les statistiques, le salaire moyen a augmenté de 47,3 % et le salaire minimum de 48,1 % entre 1997 et 2000. Cette dynamique est illustrée de façon plus éloquente par le tableau suivant:</w:t>
      </w:r>
      <w: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0"/>
        <w:gridCol w:w="1680"/>
        <w:gridCol w:w="1320"/>
        <w:gridCol w:w="1440"/>
        <w:gridCol w:w="1440"/>
        <w:gridCol w:w="1440"/>
        <w:gridCol w:w="1506"/>
      </w:tblGrid>
      <w:tr w:rsidR="00000000">
        <w:tblPrEx>
          <w:tblCellMar>
            <w:top w:w="0" w:type="dxa"/>
            <w:bottom w:w="0" w:type="dxa"/>
          </w:tblCellMar>
        </w:tblPrEx>
        <w:tc>
          <w:tcPr>
            <w:tcW w:w="670" w:type="dxa"/>
            <w:vAlign w:val="center"/>
          </w:tcPr>
          <w:p w:rsidR="00000000" w:rsidRDefault="00000000">
            <w:pPr>
              <w:keepNext/>
              <w:keepLines/>
              <w:spacing w:before="60" w:after="60"/>
              <w:jc w:val="center"/>
              <w:rPr>
                <w:sz w:val="20"/>
              </w:rPr>
            </w:pPr>
            <w:r>
              <w:rPr>
                <w:sz w:val="20"/>
              </w:rPr>
              <w:t>Année</w:t>
            </w:r>
          </w:p>
        </w:tc>
        <w:tc>
          <w:tcPr>
            <w:tcW w:w="1680" w:type="dxa"/>
            <w:tcMar>
              <w:left w:w="28" w:type="dxa"/>
              <w:right w:w="28" w:type="dxa"/>
            </w:tcMar>
            <w:vAlign w:val="center"/>
          </w:tcPr>
          <w:p w:rsidR="00000000" w:rsidRDefault="00000000">
            <w:pPr>
              <w:keepNext/>
              <w:keepLines/>
              <w:spacing w:before="60" w:after="60"/>
              <w:jc w:val="center"/>
              <w:rPr>
                <w:sz w:val="20"/>
              </w:rPr>
            </w:pPr>
            <w:r>
              <w:rPr>
                <w:sz w:val="20"/>
              </w:rPr>
              <w:t>Minimum vital pour les travailleurs masculins</w:t>
            </w:r>
            <w:r>
              <w:rPr>
                <w:sz w:val="20"/>
              </w:rPr>
              <w:br/>
              <w:t>(en lari)</w:t>
            </w:r>
          </w:p>
        </w:tc>
        <w:tc>
          <w:tcPr>
            <w:tcW w:w="1320" w:type="dxa"/>
            <w:vAlign w:val="center"/>
          </w:tcPr>
          <w:p w:rsidR="00000000" w:rsidRDefault="00000000">
            <w:pPr>
              <w:keepNext/>
              <w:keepLines/>
              <w:spacing w:before="60" w:after="60"/>
              <w:jc w:val="center"/>
              <w:rPr>
                <w:sz w:val="20"/>
              </w:rPr>
            </w:pPr>
            <w:r>
              <w:rPr>
                <w:sz w:val="20"/>
              </w:rPr>
              <w:t>Salaire moyen (en lari)</w:t>
            </w:r>
          </w:p>
        </w:tc>
        <w:tc>
          <w:tcPr>
            <w:tcW w:w="1440" w:type="dxa"/>
            <w:vAlign w:val="center"/>
          </w:tcPr>
          <w:p w:rsidR="00000000" w:rsidRDefault="00000000">
            <w:pPr>
              <w:keepNext/>
              <w:keepLines/>
              <w:spacing w:before="60" w:after="60"/>
              <w:jc w:val="center"/>
              <w:rPr>
                <w:sz w:val="20"/>
              </w:rPr>
            </w:pPr>
            <w:r>
              <w:rPr>
                <w:sz w:val="20"/>
              </w:rPr>
              <w:t>Salaire minimum (en lari)</w:t>
            </w:r>
          </w:p>
        </w:tc>
        <w:tc>
          <w:tcPr>
            <w:tcW w:w="1440" w:type="dxa"/>
            <w:tcMar>
              <w:left w:w="28" w:type="dxa"/>
              <w:right w:w="28" w:type="dxa"/>
            </w:tcMar>
            <w:vAlign w:val="center"/>
          </w:tcPr>
          <w:p w:rsidR="00000000" w:rsidRDefault="00000000">
            <w:pPr>
              <w:keepNext/>
              <w:keepLines/>
              <w:spacing w:before="60" w:after="60"/>
              <w:jc w:val="center"/>
              <w:rPr>
                <w:sz w:val="20"/>
              </w:rPr>
            </w:pPr>
            <w:r>
              <w:rPr>
                <w:sz w:val="20"/>
              </w:rPr>
              <w:t>Rapport du salaire moyen au minimum vital (%)</w:t>
            </w:r>
          </w:p>
        </w:tc>
        <w:tc>
          <w:tcPr>
            <w:tcW w:w="1440" w:type="dxa"/>
            <w:vAlign w:val="center"/>
          </w:tcPr>
          <w:p w:rsidR="00000000" w:rsidRDefault="00000000">
            <w:pPr>
              <w:keepNext/>
              <w:keepLines/>
              <w:spacing w:before="60" w:after="60"/>
              <w:jc w:val="center"/>
              <w:rPr>
                <w:sz w:val="20"/>
              </w:rPr>
            </w:pPr>
            <w:r>
              <w:rPr>
                <w:sz w:val="20"/>
              </w:rPr>
              <w:t>Rapport du salaire minimum au minimum vital (%)</w:t>
            </w:r>
          </w:p>
        </w:tc>
        <w:tc>
          <w:tcPr>
            <w:tcW w:w="1506" w:type="dxa"/>
            <w:vAlign w:val="center"/>
          </w:tcPr>
          <w:p w:rsidR="00000000" w:rsidRDefault="00000000">
            <w:pPr>
              <w:keepNext/>
              <w:keepLines/>
              <w:spacing w:before="60" w:after="60"/>
              <w:jc w:val="center"/>
              <w:rPr>
                <w:sz w:val="20"/>
              </w:rPr>
            </w:pPr>
            <w:r>
              <w:rPr>
                <w:sz w:val="20"/>
              </w:rPr>
              <w:t>Rapport du salaire minimum au salaire moyen (%)</w:t>
            </w:r>
          </w:p>
        </w:tc>
      </w:tr>
      <w:tr w:rsidR="00000000">
        <w:tblPrEx>
          <w:tblCellMar>
            <w:top w:w="0" w:type="dxa"/>
            <w:bottom w:w="0" w:type="dxa"/>
          </w:tblCellMar>
        </w:tblPrEx>
        <w:tc>
          <w:tcPr>
            <w:tcW w:w="670" w:type="dxa"/>
          </w:tcPr>
          <w:p w:rsidR="00000000" w:rsidRDefault="00000000">
            <w:pPr>
              <w:spacing w:before="60" w:after="60"/>
              <w:jc w:val="center"/>
              <w:rPr>
                <w:sz w:val="20"/>
              </w:rPr>
            </w:pPr>
            <w:r>
              <w:rPr>
                <w:sz w:val="20"/>
              </w:rPr>
              <w:t>1997</w:t>
            </w:r>
          </w:p>
        </w:tc>
        <w:tc>
          <w:tcPr>
            <w:tcW w:w="1680" w:type="dxa"/>
          </w:tcPr>
          <w:p w:rsidR="00000000" w:rsidRDefault="00000000">
            <w:pPr>
              <w:spacing w:before="60" w:after="60"/>
              <w:jc w:val="right"/>
              <w:rPr>
                <w:sz w:val="20"/>
              </w:rPr>
            </w:pPr>
            <w:r>
              <w:rPr>
                <w:sz w:val="20"/>
              </w:rPr>
              <w:t>104</w:t>
            </w:r>
          </w:p>
        </w:tc>
        <w:tc>
          <w:tcPr>
            <w:tcW w:w="1320" w:type="dxa"/>
          </w:tcPr>
          <w:p w:rsidR="00000000" w:rsidRDefault="00000000">
            <w:pPr>
              <w:spacing w:before="60" w:after="60"/>
              <w:jc w:val="right"/>
              <w:rPr>
                <w:sz w:val="20"/>
              </w:rPr>
            </w:pPr>
            <w:r>
              <w:rPr>
                <w:sz w:val="20"/>
              </w:rPr>
              <w:t>54,9</w:t>
            </w:r>
          </w:p>
        </w:tc>
        <w:tc>
          <w:tcPr>
            <w:tcW w:w="1440" w:type="dxa"/>
          </w:tcPr>
          <w:p w:rsidR="00000000" w:rsidRDefault="00000000">
            <w:pPr>
              <w:spacing w:before="60" w:after="60"/>
              <w:jc w:val="right"/>
              <w:rPr>
                <w:sz w:val="20"/>
              </w:rPr>
            </w:pPr>
            <w:r>
              <w:rPr>
                <w:sz w:val="20"/>
              </w:rPr>
              <w:t>13,5</w:t>
            </w:r>
          </w:p>
        </w:tc>
        <w:tc>
          <w:tcPr>
            <w:tcW w:w="1440" w:type="dxa"/>
          </w:tcPr>
          <w:p w:rsidR="00000000" w:rsidRDefault="00000000">
            <w:pPr>
              <w:spacing w:before="60" w:after="60"/>
              <w:jc w:val="right"/>
              <w:rPr>
                <w:sz w:val="20"/>
              </w:rPr>
            </w:pPr>
            <w:r>
              <w:rPr>
                <w:sz w:val="20"/>
              </w:rPr>
              <w:t>52,8</w:t>
            </w:r>
          </w:p>
        </w:tc>
        <w:tc>
          <w:tcPr>
            <w:tcW w:w="1440" w:type="dxa"/>
          </w:tcPr>
          <w:p w:rsidR="00000000" w:rsidRDefault="00000000">
            <w:pPr>
              <w:spacing w:before="60" w:after="60"/>
              <w:jc w:val="right"/>
              <w:rPr>
                <w:sz w:val="20"/>
              </w:rPr>
            </w:pPr>
            <w:r>
              <w:rPr>
                <w:sz w:val="20"/>
              </w:rPr>
              <w:t>13,0</w:t>
            </w:r>
          </w:p>
        </w:tc>
        <w:tc>
          <w:tcPr>
            <w:tcW w:w="1506" w:type="dxa"/>
          </w:tcPr>
          <w:p w:rsidR="00000000" w:rsidRDefault="00000000">
            <w:pPr>
              <w:spacing w:before="60" w:after="60"/>
              <w:jc w:val="right"/>
              <w:rPr>
                <w:sz w:val="20"/>
              </w:rPr>
            </w:pPr>
            <w:r>
              <w:rPr>
                <w:sz w:val="20"/>
              </w:rPr>
              <w:t>24,6</w:t>
            </w:r>
          </w:p>
        </w:tc>
      </w:tr>
      <w:tr w:rsidR="00000000">
        <w:tblPrEx>
          <w:tblCellMar>
            <w:top w:w="0" w:type="dxa"/>
            <w:bottom w:w="0" w:type="dxa"/>
          </w:tblCellMar>
        </w:tblPrEx>
        <w:tc>
          <w:tcPr>
            <w:tcW w:w="670" w:type="dxa"/>
          </w:tcPr>
          <w:p w:rsidR="00000000" w:rsidRDefault="00000000">
            <w:pPr>
              <w:spacing w:before="60" w:after="60"/>
              <w:jc w:val="center"/>
              <w:rPr>
                <w:sz w:val="20"/>
              </w:rPr>
            </w:pPr>
            <w:r>
              <w:rPr>
                <w:sz w:val="20"/>
              </w:rPr>
              <w:t>1998</w:t>
            </w:r>
          </w:p>
        </w:tc>
        <w:tc>
          <w:tcPr>
            <w:tcW w:w="1680" w:type="dxa"/>
          </w:tcPr>
          <w:p w:rsidR="00000000" w:rsidRDefault="00000000">
            <w:pPr>
              <w:spacing w:before="60" w:after="60"/>
              <w:jc w:val="right"/>
              <w:rPr>
                <w:sz w:val="20"/>
              </w:rPr>
            </w:pPr>
            <w:r>
              <w:rPr>
                <w:sz w:val="20"/>
              </w:rPr>
              <w:t>101,5</w:t>
            </w:r>
          </w:p>
        </w:tc>
        <w:tc>
          <w:tcPr>
            <w:tcW w:w="1320" w:type="dxa"/>
          </w:tcPr>
          <w:p w:rsidR="00000000" w:rsidRDefault="00000000">
            <w:pPr>
              <w:spacing w:before="60" w:after="60"/>
              <w:jc w:val="right"/>
              <w:rPr>
                <w:sz w:val="20"/>
              </w:rPr>
            </w:pPr>
            <w:r>
              <w:rPr>
                <w:sz w:val="20"/>
              </w:rPr>
              <w:t>55,2</w:t>
            </w:r>
          </w:p>
        </w:tc>
        <w:tc>
          <w:tcPr>
            <w:tcW w:w="1440" w:type="dxa"/>
          </w:tcPr>
          <w:p w:rsidR="00000000" w:rsidRDefault="00000000">
            <w:pPr>
              <w:spacing w:before="60" w:after="60"/>
              <w:jc w:val="right"/>
              <w:rPr>
                <w:sz w:val="20"/>
              </w:rPr>
            </w:pPr>
            <w:r>
              <w:rPr>
                <w:sz w:val="20"/>
              </w:rPr>
              <w:t>17,3</w:t>
            </w:r>
          </w:p>
        </w:tc>
        <w:tc>
          <w:tcPr>
            <w:tcW w:w="1440" w:type="dxa"/>
          </w:tcPr>
          <w:p w:rsidR="00000000" w:rsidRDefault="00000000">
            <w:pPr>
              <w:spacing w:before="60" w:after="60"/>
              <w:jc w:val="right"/>
              <w:rPr>
                <w:sz w:val="20"/>
              </w:rPr>
            </w:pPr>
            <w:r>
              <w:rPr>
                <w:sz w:val="20"/>
              </w:rPr>
              <w:t>54,5</w:t>
            </w:r>
          </w:p>
        </w:tc>
        <w:tc>
          <w:tcPr>
            <w:tcW w:w="1440" w:type="dxa"/>
          </w:tcPr>
          <w:p w:rsidR="00000000" w:rsidRDefault="00000000">
            <w:pPr>
              <w:spacing w:before="60" w:after="60"/>
              <w:jc w:val="right"/>
              <w:rPr>
                <w:sz w:val="20"/>
              </w:rPr>
            </w:pPr>
            <w:r>
              <w:rPr>
                <w:sz w:val="20"/>
              </w:rPr>
              <w:t>17,0</w:t>
            </w:r>
          </w:p>
        </w:tc>
        <w:tc>
          <w:tcPr>
            <w:tcW w:w="1506" w:type="dxa"/>
          </w:tcPr>
          <w:p w:rsidR="00000000" w:rsidRDefault="00000000">
            <w:pPr>
              <w:spacing w:before="60" w:after="60"/>
              <w:jc w:val="right"/>
              <w:rPr>
                <w:sz w:val="20"/>
              </w:rPr>
            </w:pPr>
            <w:r>
              <w:rPr>
                <w:sz w:val="20"/>
              </w:rPr>
              <w:t>31,3</w:t>
            </w:r>
          </w:p>
        </w:tc>
      </w:tr>
      <w:tr w:rsidR="00000000">
        <w:tblPrEx>
          <w:tblCellMar>
            <w:top w:w="0" w:type="dxa"/>
            <w:bottom w:w="0" w:type="dxa"/>
          </w:tblCellMar>
        </w:tblPrEx>
        <w:tc>
          <w:tcPr>
            <w:tcW w:w="670" w:type="dxa"/>
          </w:tcPr>
          <w:p w:rsidR="00000000" w:rsidRDefault="00000000">
            <w:pPr>
              <w:spacing w:before="60" w:after="60"/>
              <w:jc w:val="center"/>
              <w:rPr>
                <w:sz w:val="20"/>
              </w:rPr>
            </w:pPr>
            <w:r>
              <w:rPr>
                <w:sz w:val="20"/>
              </w:rPr>
              <w:t>1999</w:t>
            </w:r>
          </w:p>
        </w:tc>
        <w:tc>
          <w:tcPr>
            <w:tcW w:w="1680" w:type="dxa"/>
          </w:tcPr>
          <w:p w:rsidR="00000000" w:rsidRDefault="00000000">
            <w:pPr>
              <w:spacing w:before="60" w:after="60"/>
              <w:jc w:val="right"/>
              <w:rPr>
                <w:sz w:val="20"/>
              </w:rPr>
            </w:pPr>
            <w:r>
              <w:rPr>
                <w:sz w:val="20"/>
              </w:rPr>
              <w:t>115,8</w:t>
            </w:r>
          </w:p>
        </w:tc>
        <w:tc>
          <w:tcPr>
            <w:tcW w:w="1320" w:type="dxa"/>
          </w:tcPr>
          <w:p w:rsidR="00000000" w:rsidRDefault="00000000">
            <w:pPr>
              <w:spacing w:before="60" w:after="60"/>
              <w:jc w:val="right"/>
              <w:rPr>
                <w:sz w:val="20"/>
              </w:rPr>
            </w:pPr>
            <w:r>
              <w:rPr>
                <w:sz w:val="20"/>
              </w:rPr>
              <w:t>67,5</w:t>
            </w:r>
          </w:p>
        </w:tc>
        <w:tc>
          <w:tcPr>
            <w:tcW w:w="1440" w:type="dxa"/>
          </w:tcPr>
          <w:p w:rsidR="00000000" w:rsidRDefault="00000000">
            <w:pPr>
              <w:spacing w:before="60" w:after="60"/>
              <w:jc w:val="right"/>
              <w:rPr>
                <w:sz w:val="20"/>
              </w:rPr>
            </w:pPr>
            <w:r>
              <w:rPr>
                <w:sz w:val="20"/>
              </w:rPr>
              <w:t>20</w:t>
            </w:r>
          </w:p>
        </w:tc>
        <w:tc>
          <w:tcPr>
            <w:tcW w:w="1440" w:type="dxa"/>
          </w:tcPr>
          <w:p w:rsidR="00000000" w:rsidRDefault="00000000">
            <w:pPr>
              <w:spacing w:before="60" w:after="60"/>
              <w:jc w:val="right"/>
              <w:rPr>
                <w:sz w:val="20"/>
              </w:rPr>
            </w:pPr>
            <w:r>
              <w:rPr>
                <w:sz w:val="20"/>
              </w:rPr>
              <w:t>58,3</w:t>
            </w:r>
          </w:p>
        </w:tc>
        <w:tc>
          <w:tcPr>
            <w:tcW w:w="1440" w:type="dxa"/>
          </w:tcPr>
          <w:p w:rsidR="00000000" w:rsidRDefault="00000000">
            <w:pPr>
              <w:spacing w:before="60" w:after="60"/>
              <w:jc w:val="right"/>
              <w:rPr>
                <w:sz w:val="20"/>
              </w:rPr>
            </w:pPr>
            <w:r>
              <w:rPr>
                <w:sz w:val="20"/>
              </w:rPr>
              <w:t>17,3</w:t>
            </w:r>
          </w:p>
        </w:tc>
        <w:tc>
          <w:tcPr>
            <w:tcW w:w="1506" w:type="dxa"/>
          </w:tcPr>
          <w:p w:rsidR="00000000" w:rsidRDefault="00000000">
            <w:pPr>
              <w:spacing w:before="60" w:after="60"/>
              <w:jc w:val="right"/>
              <w:rPr>
                <w:sz w:val="20"/>
              </w:rPr>
            </w:pPr>
            <w:r>
              <w:rPr>
                <w:sz w:val="20"/>
              </w:rPr>
              <w:t>29,6</w:t>
            </w:r>
          </w:p>
        </w:tc>
      </w:tr>
      <w:tr w:rsidR="00000000">
        <w:tblPrEx>
          <w:tblCellMar>
            <w:top w:w="0" w:type="dxa"/>
            <w:bottom w:w="0" w:type="dxa"/>
          </w:tblCellMar>
        </w:tblPrEx>
        <w:tc>
          <w:tcPr>
            <w:tcW w:w="670" w:type="dxa"/>
          </w:tcPr>
          <w:p w:rsidR="00000000" w:rsidRDefault="00000000">
            <w:pPr>
              <w:spacing w:before="60" w:after="60"/>
              <w:jc w:val="center"/>
              <w:rPr>
                <w:sz w:val="20"/>
              </w:rPr>
            </w:pPr>
            <w:r>
              <w:rPr>
                <w:sz w:val="20"/>
              </w:rPr>
              <w:t>2000</w:t>
            </w:r>
          </w:p>
        </w:tc>
        <w:tc>
          <w:tcPr>
            <w:tcW w:w="1680" w:type="dxa"/>
          </w:tcPr>
          <w:p w:rsidR="00000000" w:rsidRDefault="00000000">
            <w:pPr>
              <w:spacing w:before="60" w:after="60"/>
              <w:jc w:val="right"/>
              <w:rPr>
                <w:sz w:val="20"/>
              </w:rPr>
            </w:pPr>
            <w:r>
              <w:rPr>
                <w:sz w:val="20"/>
              </w:rPr>
              <w:t>115,3</w:t>
            </w:r>
          </w:p>
        </w:tc>
        <w:tc>
          <w:tcPr>
            <w:tcW w:w="1320" w:type="dxa"/>
          </w:tcPr>
          <w:p w:rsidR="00000000" w:rsidRDefault="00000000">
            <w:pPr>
              <w:spacing w:before="60" w:after="60"/>
              <w:jc w:val="right"/>
              <w:rPr>
                <w:sz w:val="20"/>
              </w:rPr>
            </w:pPr>
            <w:r>
              <w:rPr>
                <w:sz w:val="20"/>
              </w:rPr>
              <w:t>80,9</w:t>
            </w:r>
          </w:p>
        </w:tc>
        <w:tc>
          <w:tcPr>
            <w:tcW w:w="1440" w:type="dxa"/>
          </w:tcPr>
          <w:p w:rsidR="00000000" w:rsidRDefault="00000000">
            <w:pPr>
              <w:spacing w:before="60" w:after="60"/>
              <w:jc w:val="right"/>
              <w:rPr>
                <w:sz w:val="20"/>
              </w:rPr>
            </w:pPr>
            <w:r>
              <w:rPr>
                <w:sz w:val="20"/>
              </w:rPr>
              <w:t>20</w:t>
            </w:r>
          </w:p>
        </w:tc>
        <w:tc>
          <w:tcPr>
            <w:tcW w:w="1440" w:type="dxa"/>
          </w:tcPr>
          <w:p w:rsidR="00000000" w:rsidRDefault="00000000">
            <w:pPr>
              <w:spacing w:before="60" w:after="60"/>
              <w:jc w:val="right"/>
              <w:rPr>
                <w:sz w:val="20"/>
              </w:rPr>
            </w:pPr>
            <w:r>
              <w:rPr>
                <w:sz w:val="20"/>
              </w:rPr>
              <w:t>70,2</w:t>
            </w:r>
          </w:p>
        </w:tc>
        <w:tc>
          <w:tcPr>
            <w:tcW w:w="1440" w:type="dxa"/>
          </w:tcPr>
          <w:p w:rsidR="00000000" w:rsidRDefault="00000000">
            <w:pPr>
              <w:spacing w:before="60" w:after="60"/>
              <w:jc w:val="right"/>
              <w:rPr>
                <w:sz w:val="20"/>
              </w:rPr>
            </w:pPr>
            <w:r>
              <w:rPr>
                <w:sz w:val="20"/>
              </w:rPr>
              <w:t>17,3</w:t>
            </w:r>
          </w:p>
        </w:tc>
        <w:tc>
          <w:tcPr>
            <w:tcW w:w="1506" w:type="dxa"/>
          </w:tcPr>
          <w:p w:rsidR="00000000" w:rsidRDefault="00000000">
            <w:pPr>
              <w:spacing w:before="60" w:after="60"/>
              <w:jc w:val="right"/>
              <w:rPr>
                <w:sz w:val="20"/>
              </w:rPr>
            </w:pPr>
            <w:r>
              <w:rPr>
                <w:sz w:val="20"/>
              </w:rPr>
              <w:t>24,7</w:t>
            </w:r>
          </w:p>
        </w:tc>
      </w:tr>
    </w:tbl>
    <w:p w:rsidR="00000000" w:rsidRDefault="00000000">
      <w:pPr>
        <w:spacing w:after="240"/>
        <w:rPr>
          <w:u w:val="single"/>
        </w:rPr>
      </w:pPr>
    </w:p>
    <w:p w:rsidR="00000000" w:rsidRDefault="00000000">
      <w:pPr>
        <w:keepNext/>
        <w:spacing w:after="240"/>
        <w:ind w:left="567"/>
      </w:pPr>
      <w:r>
        <w:rPr>
          <w:u w:val="single"/>
        </w:rPr>
        <w:br w:type="page"/>
        <w:t>La parité hommes-femmes en matière de rémunération du travail</w:t>
      </w:r>
    </w:p>
    <w:p w:rsidR="00000000" w:rsidRDefault="00000000">
      <w:pPr>
        <w:spacing w:after="240"/>
      </w:pPr>
      <w:r>
        <w:t>87.</w:t>
      </w:r>
      <w:r>
        <w:tab/>
        <w:t xml:space="preserve">Conformément au Code du travail (art. 75, par. 2), il est interdit d’appliquer en matière de rémunération du travail toute restriction fondée sur une discrimination, notamment en raison du sexe. </w:t>
      </w:r>
    </w:p>
    <w:p w:rsidR="00000000" w:rsidRDefault="00000000">
      <w:pPr>
        <w:spacing w:after="240"/>
      </w:pPr>
      <w:r>
        <w:t>88.</w:t>
      </w:r>
      <w:r>
        <w:tab/>
        <w:t xml:space="preserve">Le salaire mensuel moyen des femmes employées dans les divers secteurs de l’économie est de 55,4 lari, et celui des hommes de 111,6 lari. Cette différence s’explique, selon le Ministère du travail, de la santé et de la protection sociale, non pas par une discrimination mais par le fait que les femmes sont employées en règle générale à des travaux peu rémunérateurs, tandis que les hommes occupent plus souvent des postes de direction et sont plus nombreux dans le secteur commercial. </w:t>
      </w:r>
    </w:p>
    <w:p w:rsidR="00000000" w:rsidRDefault="00000000">
      <w:pPr>
        <w:spacing w:after="240"/>
      </w:pPr>
      <w:r>
        <w:t>89.</w:t>
      </w:r>
      <w:r>
        <w:tab/>
        <w:t>Il convient donc de reconnaître que les facteurs ayant suscité à cet égard les préoccupations du Comité des droits économiques, sociaux et culturels (par. 13 et 14) ne sont dans une grande mesure toujours pas éliminés. Voir à ce sujet le rapport initial au Comité pour l’élimination de la discrimination raciale (par. 214 et 215).</w:t>
      </w:r>
    </w:p>
    <w:p w:rsidR="00000000" w:rsidRDefault="00000000">
      <w:pPr>
        <w:keepNext/>
        <w:spacing w:after="240"/>
        <w:ind w:firstLine="567"/>
      </w:pPr>
      <w:r>
        <w:rPr>
          <w:u w:val="single"/>
        </w:rPr>
        <w:t>La structure des revenus des employés des secteurs public et privé</w:t>
      </w:r>
    </w:p>
    <w:p w:rsidR="00000000" w:rsidRDefault="00000000">
      <w:pPr>
        <w:spacing w:after="240"/>
      </w:pPr>
      <w:r>
        <w:t>90.</w:t>
      </w:r>
      <w:r>
        <w:tab/>
        <w:t>La transition vers une économie de marché et la situation économique qui prévaut dans le pays ont entraîné des modifications de la structure des revenus. Selon une étude des revenus des ménages, le revenu mensuel moyen par ménage était en 2000 de 174,8 lari. Dans la structure générale des revenus, la part du salariat était de 25,1 % tandis que celle des revenus non monétaires était de 22,7 %. 52,5 % des revenus provenaient de la location de biens immobiliers, d’une aide accordée par des parents, de la vente de produits agricoles, etc.</w:t>
      </w:r>
    </w:p>
    <w:p w:rsidR="00000000" w:rsidRDefault="00000000">
      <w:pPr>
        <w:spacing w:after="240"/>
      </w:pPr>
      <w:r>
        <w:t>91.</w:t>
      </w:r>
      <w:r>
        <w:tab/>
        <w:t>Les dépenses moyennes par ménage s’établissaient en 2000 à 262,8 lari par mois. En ce qui concerne la rémunération du travail dans le secteur public et le secteur privé, on notera que selon les statistiques de 2000, le salaire moyen atteignait dans le secteur privé 98,3 lari tandis que dans le secteur public, il ne dépassait pas 56,7 lari.</w:t>
      </w:r>
    </w:p>
    <w:p w:rsidR="00000000" w:rsidRDefault="00000000">
      <w:pPr>
        <w:spacing w:after="240"/>
      </w:pPr>
      <w:r>
        <w:t>92.</w:t>
      </w:r>
      <w:r>
        <w:tab/>
        <w:t>Pour ce qui regarde le droit à une rémunération équitable, voir également le rapport initial de la Géorgie au Comité pour l’élimination de la discrimination raciale (par. 205 à 207).</w:t>
      </w:r>
    </w:p>
    <w:p w:rsidR="00000000" w:rsidRDefault="00000000">
      <w:pPr>
        <w:keepNext/>
        <w:spacing w:after="240"/>
        <w:ind w:firstLine="567"/>
      </w:pPr>
      <w:r>
        <w:rPr>
          <w:u w:val="single"/>
        </w:rPr>
        <w:t>Les conditions de travail minimales</w:t>
      </w:r>
    </w:p>
    <w:p w:rsidR="00000000" w:rsidRDefault="00000000">
      <w:pPr>
        <w:spacing w:after="240"/>
      </w:pPr>
      <w:r>
        <w:t>93.</w:t>
      </w:r>
      <w:r>
        <w:tab/>
        <w:t xml:space="preserve">Les conditions de travail minimales sont établies au plan national par le Code du travail et fixées au plan local par des conventions collectives conclues entre les entreprises et organisations et leurs employés. Le contrôle du respect des conditions de travail minimales est effectué par l’Inspection du travail. L’observation des normes fixées par le Code du travail est obligatoire pour toutes les entreprises et organisations du pays, quel qu’en soit le type de constitution juridique ou le régime de propriété. </w:t>
      </w:r>
    </w:p>
    <w:p w:rsidR="00000000" w:rsidRDefault="00000000">
      <w:pPr>
        <w:spacing w:after="240"/>
      </w:pPr>
      <w:r>
        <w:t>94.</w:t>
      </w:r>
      <w:r>
        <w:tab/>
        <w:t>D’après les statistiques de l’Inspection nationale du travail, il y a eu, en 2000, 31 accidents du travail déclarés, qui ont fait 29 morts et 6 blessés plus ou moins graves. Les accidents mortels étaient dus aux causes suivantes: électrocution dans sept cas, brûlures dans six cas, chute dans six cas, incident mécanique dans huit cas, accident de la route et autres événements dans deux cas. D’une manière générale, les données disponibles montrent une tendance à la baisse du nombre d’accidents du travail.</w:t>
      </w:r>
    </w:p>
    <w:p w:rsidR="00000000" w:rsidRDefault="00000000">
      <w:pPr>
        <w:spacing w:after="240"/>
        <w:ind w:firstLine="567"/>
      </w:pPr>
      <w:r>
        <w:rPr>
          <w:u w:val="single"/>
        </w:rPr>
        <w:t>Les différentes possibilités de carrière</w:t>
      </w:r>
    </w:p>
    <w:p w:rsidR="00000000" w:rsidRDefault="00000000">
      <w:pPr>
        <w:spacing w:after="240"/>
      </w:pPr>
      <w:r>
        <w:t>95.</w:t>
      </w:r>
      <w:r>
        <w:tab/>
        <w:t>La Constitution géorgienne (art. 29) garantit à tout citoyen du pays le droit d’occuper tout poste de la fonction publique, s’il satisfait aux conditions légales.</w:t>
      </w:r>
    </w:p>
    <w:p w:rsidR="00000000" w:rsidRDefault="00000000">
      <w:pPr>
        <w:spacing w:after="240"/>
      </w:pPr>
      <w:r>
        <w:t>96.</w:t>
      </w:r>
      <w:r>
        <w:tab/>
        <w:t>Conformément à la loi sur le service public (art. 77), un fonctionnaire peut accéder à un grade supérieur à deux conditions: a) il est en poste depuis plus de six mois et b) une commission de classement par concours a proposé sa promotion. Si plusieurs fonctionnaires sont proposés simultanément, la préférence est donnée à celui qui a obtenu la note la plus élevée. Ce régime ne s’applique pas au personnel des services d’appui.</w:t>
      </w:r>
    </w:p>
    <w:p w:rsidR="00000000" w:rsidRDefault="00000000">
      <w:pPr>
        <w:spacing w:after="240"/>
      </w:pPr>
      <w:r>
        <w:t>97.</w:t>
      </w:r>
      <w:r>
        <w:tab/>
        <w:t>En ce qui concerne l’observation finale n</w:t>
      </w:r>
      <w:r>
        <w:rPr>
          <w:vertAlign w:val="superscript"/>
        </w:rPr>
        <w:t>o</w:t>
      </w:r>
      <w:r>
        <w:t> 13 du Comité des droits économiques, sociaux et culturels, voir les deuxièmes rapports périodiques de la Géorgie au Comité des droits de l’homme (par. 57) et au Comité pour l’élimination de la discrimination à l’égard des femmes (par. 66 et 69). En ce qui concerne les observations n</w:t>
      </w:r>
      <w:r>
        <w:rPr>
          <w:vertAlign w:val="superscript"/>
        </w:rPr>
        <w:t>os</w:t>
      </w:r>
      <w:r>
        <w:t> 14 et 15 du Comité, il convient de noter que des informations figurent à ce sujet dans le deuxième rapport périodique au Comité pour l’élimination de la discrimination à l’égard des femmes (par. 4, 7 à 17, 23 à 29, 39, 42, 43).</w:t>
      </w:r>
    </w:p>
    <w:p w:rsidR="00000000" w:rsidRDefault="00000000">
      <w:pPr>
        <w:spacing w:after="240"/>
      </w:pPr>
      <w:r>
        <w:t>98.</w:t>
      </w:r>
      <w:r>
        <w:tab/>
        <w:t>En règle générale, on constate que la représentation des femmes aux postes de décision et aux postes de haut fonctionnaire demeure peu satisfaisante.</w:t>
      </w:r>
    </w:p>
    <w:p w:rsidR="00000000" w:rsidRDefault="00000000">
      <w:pPr>
        <w:spacing w:after="240"/>
        <w:ind w:firstLine="567"/>
      </w:pPr>
      <w:r>
        <w:rPr>
          <w:u w:val="single"/>
        </w:rPr>
        <w:t>L’adéquation des conditions de travail, de repos et de loisir</w:t>
      </w:r>
    </w:p>
    <w:p w:rsidR="00000000" w:rsidRDefault="00000000">
      <w:pPr>
        <w:spacing w:after="240"/>
      </w:pPr>
      <w:r>
        <w:t>99.</w:t>
      </w:r>
      <w:r>
        <w:tab/>
        <w:t>En ce qui concerne cette question, on voudra bien se référer au rapport initial de la Géorgie au Comité pour l’élimination de la discrimination raciale (par. 198 à 201).</w:t>
      </w:r>
    </w:p>
    <w:p w:rsidR="00000000" w:rsidRDefault="00000000">
      <w:pPr>
        <w:keepNext/>
        <w:spacing w:after="240"/>
        <w:rPr>
          <w:u w:val="single"/>
        </w:rPr>
      </w:pPr>
      <w:r>
        <w:rPr>
          <w:u w:val="single"/>
        </w:rPr>
        <w:t>Article 8</w:t>
      </w:r>
    </w:p>
    <w:p w:rsidR="00000000" w:rsidRDefault="00000000">
      <w:pPr>
        <w:spacing w:after="240"/>
      </w:pPr>
      <w:r>
        <w:t>100.</w:t>
      </w:r>
      <w:r>
        <w:tab/>
        <w:t>En ce qui concerne les droits des syndicats consacrés à l’article 8 du Pacte, voir le rapport initial de la Géorgie au Comité pour l’élimination de la discrimination raciale (par. 216 à 220) et le deuxième rapport périodique de la Géorgie au Comité des droits de l’homme (par. 492 à 500).</w:t>
      </w:r>
    </w:p>
    <w:p w:rsidR="00000000" w:rsidRDefault="00000000">
      <w:pPr>
        <w:keepNext/>
        <w:spacing w:after="240"/>
        <w:rPr>
          <w:u w:val="single"/>
        </w:rPr>
      </w:pPr>
      <w:r>
        <w:rPr>
          <w:u w:val="single"/>
        </w:rPr>
        <w:t>Article 9</w:t>
      </w:r>
    </w:p>
    <w:p w:rsidR="00000000" w:rsidRDefault="00000000">
      <w:pPr>
        <w:keepNext/>
        <w:spacing w:after="240"/>
        <w:ind w:firstLine="567"/>
        <w:rPr>
          <w:u w:val="single"/>
        </w:rPr>
      </w:pPr>
      <w:r>
        <w:rPr>
          <w:u w:val="single"/>
        </w:rPr>
        <w:t>Les formes d’assurance sociale en Géorgie</w:t>
      </w:r>
    </w:p>
    <w:p w:rsidR="00000000" w:rsidRDefault="00000000">
      <w:pPr>
        <w:spacing w:after="240"/>
      </w:pPr>
      <w:r>
        <w:t>101.</w:t>
      </w:r>
      <w:r>
        <w:tab/>
        <w:t>Il existe en Géorgie divers programmes de soutien social à diverses catégories de la population, dont il sera question plus loin. Pour donner une idée générale des catégories et du nombre de bénéficiaires de pensions ainsi que du montant de celles</w:t>
      </w:r>
      <w:r>
        <w:noBreakHyphen/>
        <w:t>ci, on présente ci</w:t>
      </w:r>
      <w:r>
        <w:noBreakHyphen/>
        <w:t>après sous forme de tableaux les statistiques fournies par le Département national de statistique. Les chiffres s’entendent de la situation en fin d’année et sont exprimés en milliers d’individus.</w:t>
      </w:r>
    </w:p>
    <w:p w:rsidR="00000000" w:rsidRDefault="00000000">
      <w:r>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0"/>
        <w:gridCol w:w="1134"/>
        <w:gridCol w:w="1134"/>
        <w:gridCol w:w="1134"/>
      </w:tblGrid>
      <w:tr w:rsidR="00000000">
        <w:tblPrEx>
          <w:tblCellMar>
            <w:top w:w="0" w:type="dxa"/>
            <w:bottom w:w="0" w:type="dxa"/>
          </w:tblCellMar>
        </w:tblPrEx>
        <w:tc>
          <w:tcPr>
            <w:tcW w:w="5600" w:type="dxa"/>
            <w:vAlign w:val="center"/>
          </w:tcPr>
          <w:p w:rsidR="00000000" w:rsidRDefault="00000000">
            <w:pPr>
              <w:keepNext/>
              <w:spacing w:before="60" w:after="60"/>
              <w:rPr>
                <w:sz w:val="22"/>
              </w:rPr>
            </w:pPr>
          </w:p>
        </w:tc>
        <w:tc>
          <w:tcPr>
            <w:tcW w:w="1134" w:type="dxa"/>
            <w:vAlign w:val="center"/>
          </w:tcPr>
          <w:p w:rsidR="00000000" w:rsidRDefault="00000000">
            <w:pPr>
              <w:spacing w:before="60" w:after="60"/>
              <w:jc w:val="center"/>
              <w:rPr>
                <w:sz w:val="22"/>
              </w:rPr>
            </w:pPr>
            <w:r>
              <w:rPr>
                <w:sz w:val="22"/>
              </w:rPr>
              <w:t>1997</w:t>
            </w:r>
          </w:p>
        </w:tc>
        <w:tc>
          <w:tcPr>
            <w:tcW w:w="1134" w:type="dxa"/>
            <w:vAlign w:val="center"/>
          </w:tcPr>
          <w:p w:rsidR="00000000" w:rsidRDefault="00000000">
            <w:pPr>
              <w:spacing w:before="60" w:after="60"/>
              <w:jc w:val="center"/>
              <w:rPr>
                <w:sz w:val="22"/>
              </w:rPr>
            </w:pPr>
            <w:r>
              <w:rPr>
                <w:sz w:val="22"/>
              </w:rPr>
              <w:t>1998</w:t>
            </w:r>
          </w:p>
        </w:tc>
        <w:tc>
          <w:tcPr>
            <w:tcW w:w="1134" w:type="dxa"/>
            <w:vAlign w:val="center"/>
          </w:tcPr>
          <w:p w:rsidR="00000000" w:rsidRDefault="00000000">
            <w:pPr>
              <w:spacing w:before="60" w:after="60"/>
              <w:jc w:val="center"/>
              <w:rPr>
                <w:sz w:val="22"/>
              </w:rPr>
            </w:pPr>
            <w:r>
              <w:rPr>
                <w:sz w:val="22"/>
              </w:rPr>
              <w:t>1999</w:t>
            </w:r>
          </w:p>
        </w:tc>
      </w:tr>
      <w:tr w:rsidR="00000000">
        <w:tblPrEx>
          <w:tblCellMar>
            <w:top w:w="0" w:type="dxa"/>
            <w:bottom w:w="0" w:type="dxa"/>
          </w:tblCellMar>
        </w:tblPrEx>
        <w:tc>
          <w:tcPr>
            <w:tcW w:w="5600" w:type="dxa"/>
          </w:tcPr>
          <w:p w:rsidR="00000000" w:rsidRDefault="00000000">
            <w:pPr>
              <w:spacing w:before="60" w:after="60"/>
              <w:rPr>
                <w:sz w:val="22"/>
              </w:rPr>
            </w:pPr>
            <w:r>
              <w:rPr>
                <w:sz w:val="22"/>
              </w:rPr>
              <w:t>Nombre total de titulaires de pensions</w:t>
            </w:r>
          </w:p>
        </w:tc>
        <w:tc>
          <w:tcPr>
            <w:tcW w:w="1134" w:type="dxa"/>
          </w:tcPr>
          <w:p w:rsidR="00000000" w:rsidRDefault="00000000">
            <w:pPr>
              <w:spacing w:before="60" w:after="60"/>
              <w:jc w:val="right"/>
              <w:rPr>
                <w:sz w:val="22"/>
              </w:rPr>
            </w:pPr>
            <w:r>
              <w:rPr>
                <w:sz w:val="22"/>
              </w:rPr>
              <w:t>979,4</w:t>
            </w:r>
          </w:p>
        </w:tc>
        <w:tc>
          <w:tcPr>
            <w:tcW w:w="1134" w:type="dxa"/>
          </w:tcPr>
          <w:p w:rsidR="00000000" w:rsidRDefault="00000000">
            <w:pPr>
              <w:spacing w:before="60" w:after="60"/>
              <w:jc w:val="right"/>
              <w:rPr>
                <w:sz w:val="22"/>
              </w:rPr>
            </w:pPr>
            <w:r>
              <w:rPr>
                <w:sz w:val="22"/>
              </w:rPr>
              <w:t>967,4</w:t>
            </w:r>
          </w:p>
        </w:tc>
        <w:tc>
          <w:tcPr>
            <w:tcW w:w="1134" w:type="dxa"/>
          </w:tcPr>
          <w:p w:rsidR="00000000" w:rsidRDefault="00000000">
            <w:pPr>
              <w:spacing w:before="60" w:after="60"/>
              <w:jc w:val="right"/>
              <w:rPr>
                <w:sz w:val="22"/>
              </w:rPr>
            </w:pPr>
            <w:r>
              <w:rPr>
                <w:sz w:val="22"/>
              </w:rPr>
              <w:t>923,7</w:t>
            </w:r>
          </w:p>
        </w:tc>
      </w:tr>
      <w:tr w:rsidR="00000000">
        <w:tblPrEx>
          <w:tblCellMar>
            <w:top w:w="0" w:type="dxa"/>
            <w:bottom w:w="0" w:type="dxa"/>
          </w:tblCellMar>
        </w:tblPrEx>
        <w:tc>
          <w:tcPr>
            <w:tcW w:w="5600" w:type="dxa"/>
          </w:tcPr>
          <w:p w:rsidR="00000000" w:rsidRDefault="00000000">
            <w:pPr>
              <w:spacing w:before="60" w:after="60"/>
              <w:rPr>
                <w:sz w:val="22"/>
              </w:rPr>
            </w:pPr>
            <w:r>
              <w:rPr>
                <w:sz w:val="22"/>
              </w:rPr>
              <w:t>Dont:</w:t>
            </w:r>
          </w:p>
        </w:tc>
        <w:tc>
          <w:tcPr>
            <w:tcW w:w="1134" w:type="dxa"/>
          </w:tcPr>
          <w:p w:rsidR="00000000" w:rsidRDefault="00000000">
            <w:pPr>
              <w:spacing w:before="60" w:after="60"/>
              <w:jc w:val="right"/>
              <w:rPr>
                <w:sz w:val="22"/>
              </w:rPr>
            </w:pPr>
          </w:p>
        </w:tc>
        <w:tc>
          <w:tcPr>
            <w:tcW w:w="1134" w:type="dxa"/>
          </w:tcPr>
          <w:p w:rsidR="00000000" w:rsidRDefault="00000000">
            <w:pPr>
              <w:spacing w:before="60" w:after="60"/>
              <w:jc w:val="right"/>
              <w:rPr>
                <w:sz w:val="22"/>
              </w:rPr>
            </w:pPr>
          </w:p>
        </w:tc>
        <w:tc>
          <w:tcPr>
            <w:tcW w:w="1134" w:type="dxa"/>
          </w:tcPr>
          <w:p w:rsidR="00000000" w:rsidRDefault="00000000">
            <w:pPr>
              <w:spacing w:before="60" w:after="60"/>
              <w:jc w:val="right"/>
              <w:rPr>
                <w:sz w:val="22"/>
              </w:rPr>
            </w:pPr>
          </w:p>
        </w:tc>
      </w:tr>
      <w:tr w:rsidR="00000000">
        <w:tblPrEx>
          <w:tblCellMar>
            <w:top w:w="0" w:type="dxa"/>
            <w:bottom w:w="0" w:type="dxa"/>
          </w:tblCellMar>
        </w:tblPrEx>
        <w:tc>
          <w:tcPr>
            <w:tcW w:w="5600" w:type="dxa"/>
          </w:tcPr>
          <w:p w:rsidR="00000000" w:rsidRDefault="00000000">
            <w:pPr>
              <w:spacing w:before="60" w:after="60"/>
              <w:rPr>
                <w:sz w:val="22"/>
              </w:rPr>
            </w:pPr>
            <w:r>
              <w:rPr>
                <w:sz w:val="22"/>
              </w:rPr>
              <w:tab/>
              <w:t>Pension professionnelle</w:t>
            </w:r>
          </w:p>
        </w:tc>
        <w:tc>
          <w:tcPr>
            <w:tcW w:w="1134" w:type="dxa"/>
          </w:tcPr>
          <w:p w:rsidR="00000000" w:rsidRDefault="00000000">
            <w:pPr>
              <w:spacing w:before="60" w:after="60"/>
              <w:jc w:val="right"/>
              <w:rPr>
                <w:sz w:val="22"/>
              </w:rPr>
            </w:pPr>
            <w:r>
              <w:rPr>
                <w:sz w:val="22"/>
              </w:rPr>
              <w:t>878,2</w:t>
            </w:r>
          </w:p>
        </w:tc>
        <w:tc>
          <w:tcPr>
            <w:tcW w:w="1134" w:type="dxa"/>
          </w:tcPr>
          <w:p w:rsidR="00000000" w:rsidRDefault="00000000">
            <w:pPr>
              <w:spacing w:before="60" w:after="60"/>
              <w:jc w:val="right"/>
              <w:rPr>
                <w:sz w:val="22"/>
              </w:rPr>
            </w:pPr>
            <w:r>
              <w:rPr>
                <w:sz w:val="22"/>
              </w:rPr>
              <w:t>860,5</w:t>
            </w:r>
          </w:p>
        </w:tc>
        <w:tc>
          <w:tcPr>
            <w:tcW w:w="1134" w:type="dxa"/>
          </w:tcPr>
          <w:p w:rsidR="00000000" w:rsidRDefault="00000000">
            <w:pPr>
              <w:spacing w:before="60" w:after="60"/>
              <w:jc w:val="right"/>
              <w:rPr>
                <w:sz w:val="22"/>
              </w:rPr>
            </w:pPr>
            <w:r>
              <w:rPr>
                <w:sz w:val="22"/>
              </w:rPr>
              <w:t>814,2</w:t>
            </w:r>
          </w:p>
        </w:tc>
      </w:tr>
      <w:tr w:rsidR="00000000">
        <w:tblPrEx>
          <w:tblCellMar>
            <w:top w:w="0" w:type="dxa"/>
            <w:bottom w:w="0" w:type="dxa"/>
          </w:tblCellMar>
        </w:tblPrEx>
        <w:tc>
          <w:tcPr>
            <w:tcW w:w="5600" w:type="dxa"/>
          </w:tcPr>
          <w:p w:rsidR="00000000" w:rsidRDefault="00000000">
            <w:pPr>
              <w:spacing w:before="60" w:after="60"/>
              <w:rPr>
                <w:sz w:val="22"/>
              </w:rPr>
            </w:pPr>
            <w:r>
              <w:rPr>
                <w:sz w:val="22"/>
              </w:rPr>
              <w:t>Dont:</w:t>
            </w:r>
          </w:p>
        </w:tc>
        <w:tc>
          <w:tcPr>
            <w:tcW w:w="1134" w:type="dxa"/>
          </w:tcPr>
          <w:p w:rsidR="00000000" w:rsidRDefault="00000000">
            <w:pPr>
              <w:spacing w:before="60" w:after="60"/>
              <w:jc w:val="right"/>
              <w:rPr>
                <w:sz w:val="22"/>
              </w:rPr>
            </w:pPr>
          </w:p>
        </w:tc>
        <w:tc>
          <w:tcPr>
            <w:tcW w:w="1134" w:type="dxa"/>
          </w:tcPr>
          <w:p w:rsidR="00000000" w:rsidRDefault="00000000">
            <w:pPr>
              <w:spacing w:before="60" w:after="60"/>
              <w:jc w:val="right"/>
              <w:rPr>
                <w:sz w:val="22"/>
              </w:rPr>
            </w:pPr>
          </w:p>
        </w:tc>
        <w:tc>
          <w:tcPr>
            <w:tcW w:w="1134" w:type="dxa"/>
          </w:tcPr>
          <w:p w:rsidR="00000000" w:rsidRDefault="00000000">
            <w:pPr>
              <w:spacing w:before="60" w:after="60"/>
              <w:jc w:val="right"/>
              <w:rPr>
                <w:sz w:val="22"/>
              </w:rPr>
            </w:pPr>
          </w:p>
        </w:tc>
      </w:tr>
      <w:tr w:rsidR="00000000">
        <w:tblPrEx>
          <w:tblCellMar>
            <w:top w:w="0" w:type="dxa"/>
            <w:bottom w:w="0" w:type="dxa"/>
          </w:tblCellMar>
        </w:tblPrEx>
        <w:tc>
          <w:tcPr>
            <w:tcW w:w="5600" w:type="dxa"/>
          </w:tcPr>
          <w:p w:rsidR="00000000" w:rsidRDefault="00000000">
            <w:pPr>
              <w:spacing w:before="60" w:after="60"/>
              <w:rPr>
                <w:sz w:val="22"/>
              </w:rPr>
            </w:pPr>
            <w:r>
              <w:rPr>
                <w:sz w:val="22"/>
              </w:rPr>
              <w:tab/>
              <w:t>Titulaires d’une pension de vieillesse</w:t>
            </w:r>
          </w:p>
        </w:tc>
        <w:tc>
          <w:tcPr>
            <w:tcW w:w="1134" w:type="dxa"/>
          </w:tcPr>
          <w:p w:rsidR="00000000" w:rsidRDefault="00000000">
            <w:pPr>
              <w:spacing w:before="60" w:after="60"/>
              <w:jc w:val="right"/>
              <w:rPr>
                <w:sz w:val="22"/>
              </w:rPr>
            </w:pPr>
            <w:r>
              <w:rPr>
                <w:sz w:val="22"/>
              </w:rPr>
              <w:t>768,9</w:t>
            </w:r>
          </w:p>
        </w:tc>
        <w:tc>
          <w:tcPr>
            <w:tcW w:w="1134" w:type="dxa"/>
          </w:tcPr>
          <w:p w:rsidR="00000000" w:rsidRDefault="00000000">
            <w:pPr>
              <w:spacing w:before="60" w:after="60"/>
              <w:jc w:val="right"/>
              <w:rPr>
                <w:sz w:val="22"/>
              </w:rPr>
            </w:pPr>
            <w:r>
              <w:rPr>
                <w:sz w:val="22"/>
              </w:rPr>
              <w:t>665,3</w:t>
            </w:r>
          </w:p>
        </w:tc>
        <w:tc>
          <w:tcPr>
            <w:tcW w:w="1134" w:type="dxa"/>
          </w:tcPr>
          <w:p w:rsidR="00000000" w:rsidRDefault="00000000">
            <w:pPr>
              <w:spacing w:before="60" w:after="60"/>
              <w:jc w:val="right"/>
              <w:rPr>
                <w:sz w:val="22"/>
              </w:rPr>
            </w:pPr>
            <w:r>
              <w:rPr>
                <w:sz w:val="22"/>
              </w:rPr>
              <w:t>620,3</w:t>
            </w:r>
          </w:p>
        </w:tc>
      </w:tr>
      <w:tr w:rsidR="00000000">
        <w:tblPrEx>
          <w:tblCellMar>
            <w:top w:w="0" w:type="dxa"/>
            <w:bottom w:w="0" w:type="dxa"/>
          </w:tblCellMar>
        </w:tblPrEx>
        <w:tc>
          <w:tcPr>
            <w:tcW w:w="5600" w:type="dxa"/>
          </w:tcPr>
          <w:p w:rsidR="00000000" w:rsidRDefault="00000000">
            <w:pPr>
              <w:spacing w:before="60" w:after="60"/>
              <w:ind w:left="567" w:hanging="567"/>
              <w:rPr>
                <w:sz w:val="22"/>
              </w:rPr>
            </w:pPr>
            <w:r>
              <w:rPr>
                <w:sz w:val="22"/>
              </w:rPr>
              <w:tab/>
              <w:t>Pension d’invalidité (des suites de maladies professionnelles ou non)</w:t>
            </w:r>
          </w:p>
        </w:tc>
        <w:tc>
          <w:tcPr>
            <w:tcW w:w="1134" w:type="dxa"/>
            <w:vAlign w:val="bottom"/>
          </w:tcPr>
          <w:p w:rsidR="00000000" w:rsidRDefault="00000000">
            <w:pPr>
              <w:spacing w:before="60" w:after="60"/>
              <w:jc w:val="right"/>
              <w:rPr>
                <w:sz w:val="22"/>
              </w:rPr>
            </w:pPr>
            <w:r>
              <w:rPr>
                <w:sz w:val="22"/>
              </w:rPr>
              <w:t>138,1</w:t>
            </w:r>
          </w:p>
        </w:tc>
        <w:tc>
          <w:tcPr>
            <w:tcW w:w="1134" w:type="dxa"/>
            <w:vAlign w:val="bottom"/>
          </w:tcPr>
          <w:p w:rsidR="00000000" w:rsidRDefault="00000000">
            <w:pPr>
              <w:spacing w:before="60" w:after="60"/>
              <w:jc w:val="right"/>
              <w:rPr>
                <w:sz w:val="22"/>
              </w:rPr>
            </w:pPr>
            <w:r>
              <w:rPr>
                <w:sz w:val="22"/>
              </w:rPr>
              <w:t>136,6</w:t>
            </w:r>
          </w:p>
        </w:tc>
        <w:tc>
          <w:tcPr>
            <w:tcW w:w="1134" w:type="dxa"/>
            <w:vAlign w:val="bottom"/>
          </w:tcPr>
          <w:p w:rsidR="00000000" w:rsidRDefault="00000000">
            <w:pPr>
              <w:spacing w:before="60" w:after="60"/>
              <w:jc w:val="right"/>
              <w:rPr>
                <w:sz w:val="22"/>
              </w:rPr>
            </w:pPr>
            <w:r>
              <w:rPr>
                <w:sz w:val="22"/>
              </w:rPr>
              <w:t>129,1</w:t>
            </w:r>
          </w:p>
        </w:tc>
      </w:tr>
      <w:tr w:rsidR="00000000">
        <w:tblPrEx>
          <w:tblCellMar>
            <w:top w:w="0" w:type="dxa"/>
            <w:bottom w:w="0" w:type="dxa"/>
          </w:tblCellMar>
        </w:tblPrEx>
        <w:tc>
          <w:tcPr>
            <w:tcW w:w="5600" w:type="dxa"/>
          </w:tcPr>
          <w:p w:rsidR="00000000" w:rsidRDefault="00000000">
            <w:pPr>
              <w:spacing w:before="60" w:after="60"/>
              <w:rPr>
                <w:sz w:val="22"/>
              </w:rPr>
            </w:pPr>
            <w:r>
              <w:rPr>
                <w:sz w:val="22"/>
              </w:rPr>
              <w:tab/>
              <w:t>Pension sociale</w:t>
            </w:r>
          </w:p>
        </w:tc>
        <w:tc>
          <w:tcPr>
            <w:tcW w:w="1134" w:type="dxa"/>
          </w:tcPr>
          <w:p w:rsidR="00000000" w:rsidRDefault="00000000">
            <w:pPr>
              <w:spacing w:before="60" w:after="60"/>
              <w:jc w:val="right"/>
              <w:rPr>
                <w:sz w:val="22"/>
              </w:rPr>
            </w:pPr>
            <w:r>
              <w:rPr>
                <w:sz w:val="22"/>
              </w:rPr>
              <w:t>69,3</w:t>
            </w:r>
          </w:p>
        </w:tc>
        <w:tc>
          <w:tcPr>
            <w:tcW w:w="1134" w:type="dxa"/>
          </w:tcPr>
          <w:p w:rsidR="00000000" w:rsidRDefault="00000000">
            <w:pPr>
              <w:spacing w:before="60" w:after="60"/>
              <w:jc w:val="right"/>
              <w:rPr>
                <w:sz w:val="22"/>
              </w:rPr>
            </w:pPr>
            <w:r>
              <w:rPr>
                <w:sz w:val="22"/>
              </w:rPr>
              <w:t>71</w:t>
            </w:r>
          </w:p>
        </w:tc>
        <w:tc>
          <w:tcPr>
            <w:tcW w:w="1134" w:type="dxa"/>
          </w:tcPr>
          <w:p w:rsidR="00000000" w:rsidRDefault="00000000">
            <w:pPr>
              <w:spacing w:before="60" w:after="60"/>
              <w:jc w:val="right"/>
              <w:rPr>
                <w:sz w:val="22"/>
              </w:rPr>
            </w:pPr>
            <w:r>
              <w:rPr>
                <w:sz w:val="22"/>
              </w:rPr>
              <w:t>71,7</w:t>
            </w:r>
          </w:p>
        </w:tc>
      </w:tr>
      <w:tr w:rsidR="00000000">
        <w:tblPrEx>
          <w:tblCellMar>
            <w:top w:w="0" w:type="dxa"/>
            <w:bottom w:w="0" w:type="dxa"/>
          </w:tblCellMar>
        </w:tblPrEx>
        <w:tc>
          <w:tcPr>
            <w:tcW w:w="5600" w:type="dxa"/>
          </w:tcPr>
          <w:p w:rsidR="00000000" w:rsidRDefault="00000000">
            <w:pPr>
              <w:spacing w:before="60" w:after="60"/>
              <w:rPr>
                <w:sz w:val="22"/>
              </w:rPr>
            </w:pPr>
            <w:r>
              <w:rPr>
                <w:sz w:val="22"/>
              </w:rPr>
              <w:tab/>
              <w:t>Pension pour perte du soutien de famille</w:t>
            </w:r>
          </w:p>
        </w:tc>
        <w:tc>
          <w:tcPr>
            <w:tcW w:w="1134" w:type="dxa"/>
          </w:tcPr>
          <w:p w:rsidR="00000000" w:rsidRDefault="00000000">
            <w:pPr>
              <w:spacing w:before="60" w:after="60"/>
              <w:jc w:val="right"/>
              <w:rPr>
                <w:sz w:val="22"/>
              </w:rPr>
            </w:pPr>
            <w:r>
              <w:rPr>
                <w:sz w:val="22"/>
              </w:rPr>
              <w:t>72</w:t>
            </w:r>
          </w:p>
        </w:tc>
        <w:tc>
          <w:tcPr>
            <w:tcW w:w="1134" w:type="dxa"/>
          </w:tcPr>
          <w:p w:rsidR="00000000" w:rsidRDefault="00000000">
            <w:pPr>
              <w:spacing w:before="60" w:after="60"/>
              <w:jc w:val="right"/>
              <w:rPr>
                <w:sz w:val="22"/>
              </w:rPr>
            </w:pPr>
            <w:r>
              <w:rPr>
                <w:sz w:val="22"/>
              </w:rPr>
              <w:t>50,8</w:t>
            </w:r>
          </w:p>
        </w:tc>
        <w:tc>
          <w:tcPr>
            <w:tcW w:w="1134" w:type="dxa"/>
          </w:tcPr>
          <w:p w:rsidR="00000000" w:rsidRDefault="00000000">
            <w:pPr>
              <w:spacing w:before="60" w:after="60"/>
              <w:jc w:val="right"/>
              <w:rPr>
                <w:sz w:val="22"/>
              </w:rPr>
            </w:pPr>
            <w:r>
              <w:rPr>
                <w:sz w:val="22"/>
              </w:rPr>
              <w:t>53,2</w:t>
            </w:r>
          </w:p>
        </w:tc>
      </w:tr>
      <w:tr w:rsidR="00000000">
        <w:tblPrEx>
          <w:tblCellMar>
            <w:top w:w="0" w:type="dxa"/>
            <w:bottom w:w="0" w:type="dxa"/>
          </w:tblCellMar>
        </w:tblPrEx>
        <w:tc>
          <w:tcPr>
            <w:tcW w:w="5600" w:type="dxa"/>
          </w:tcPr>
          <w:p w:rsidR="00000000" w:rsidRDefault="00000000">
            <w:pPr>
              <w:spacing w:before="60" w:after="60"/>
              <w:ind w:left="567" w:hanging="567"/>
              <w:rPr>
                <w:sz w:val="22"/>
              </w:rPr>
            </w:pPr>
            <w:r>
              <w:rPr>
                <w:sz w:val="22"/>
              </w:rPr>
              <w:tab/>
              <w:t>Pension servie aux anciens combattants par prélèvement sur le fonds de sécurité sociale</w:t>
            </w:r>
          </w:p>
        </w:tc>
        <w:tc>
          <w:tcPr>
            <w:tcW w:w="1134" w:type="dxa"/>
            <w:vAlign w:val="bottom"/>
          </w:tcPr>
          <w:p w:rsidR="00000000" w:rsidRDefault="00000000">
            <w:pPr>
              <w:spacing w:before="60" w:after="60"/>
              <w:jc w:val="right"/>
              <w:rPr>
                <w:sz w:val="22"/>
              </w:rPr>
            </w:pPr>
            <w:r>
              <w:rPr>
                <w:sz w:val="22"/>
              </w:rPr>
              <w:t>31,9</w:t>
            </w:r>
          </w:p>
        </w:tc>
        <w:tc>
          <w:tcPr>
            <w:tcW w:w="1134" w:type="dxa"/>
            <w:vAlign w:val="bottom"/>
          </w:tcPr>
          <w:p w:rsidR="00000000" w:rsidRDefault="00000000">
            <w:pPr>
              <w:spacing w:before="60" w:after="60"/>
              <w:jc w:val="right"/>
              <w:rPr>
                <w:sz w:val="22"/>
              </w:rPr>
            </w:pPr>
            <w:r>
              <w:rPr>
                <w:sz w:val="22"/>
              </w:rPr>
              <w:t>31</w:t>
            </w:r>
          </w:p>
        </w:tc>
        <w:tc>
          <w:tcPr>
            <w:tcW w:w="1134" w:type="dxa"/>
            <w:vAlign w:val="bottom"/>
          </w:tcPr>
          <w:p w:rsidR="00000000" w:rsidRDefault="00000000">
            <w:pPr>
              <w:spacing w:before="60" w:after="60"/>
              <w:jc w:val="right"/>
              <w:rPr>
                <w:sz w:val="22"/>
              </w:rPr>
            </w:pPr>
            <w:r>
              <w:rPr>
                <w:sz w:val="22"/>
              </w:rPr>
              <w:t>29,1</w:t>
            </w:r>
          </w:p>
        </w:tc>
      </w:tr>
      <w:tr w:rsidR="00000000">
        <w:tblPrEx>
          <w:tblCellMar>
            <w:top w:w="0" w:type="dxa"/>
            <w:bottom w:w="0" w:type="dxa"/>
          </w:tblCellMar>
        </w:tblPrEx>
        <w:tc>
          <w:tcPr>
            <w:tcW w:w="5600" w:type="dxa"/>
          </w:tcPr>
          <w:p w:rsidR="00000000" w:rsidRDefault="00000000">
            <w:pPr>
              <w:spacing w:before="60" w:after="60"/>
              <w:rPr>
                <w:sz w:val="22"/>
              </w:rPr>
            </w:pPr>
            <w:r>
              <w:rPr>
                <w:sz w:val="22"/>
              </w:rPr>
              <w:tab/>
              <w:t>Pension pour services exceptionnels</w:t>
            </w:r>
          </w:p>
        </w:tc>
        <w:tc>
          <w:tcPr>
            <w:tcW w:w="1134" w:type="dxa"/>
          </w:tcPr>
          <w:p w:rsidR="00000000" w:rsidRDefault="00000000">
            <w:pPr>
              <w:spacing w:before="60" w:after="60"/>
              <w:jc w:val="right"/>
              <w:rPr>
                <w:sz w:val="22"/>
              </w:rPr>
            </w:pPr>
            <w:r>
              <w:rPr>
                <w:sz w:val="22"/>
              </w:rPr>
              <w:t>9,4</w:t>
            </w:r>
          </w:p>
        </w:tc>
        <w:tc>
          <w:tcPr>
            <w:tcW w:w="1134" w:type="dxa"/>
          </w:tcPr>
          <w:p w:rsidR="00000000" w:rsidRDefault="00000000">
            <w:pPr>
              <w:spacing w:before="60" w:after="60"/>
              <w:jc w:val="right"/>
              <w:rPr>
                <w:sz w:val="22"/>
              </w:rPr>
            </w:pPr>
            <w:r>
              <w:rPr>
                <w:sz w:val="22"/>
              </w:rPr>
              <w:t>5</w:t>
            </w:r>
          </w:p>
        </w:tc>
        <w:tc>
          <w:tcPr>
            <w:tcW w:w="1134" w:type="dxa"/>
          </w:tcPr>
          <w:p w:rsidR="00000000" w:rsidRDefault="00000000">
            <w:pPr>
              <w:spacing w:before="60" w:after="60"/>
              <w:jc w:val="right"/>
              <w:rPr>
                <w:sz w:val="22"/>
              </w:rPr>
            </w:pPr>
            <w:r>
              <w:rPr>
                <w:sz w:val="22"/>
              </w:rPr>
              <w:t>8,4</w:t>
            </w:r>
          </w:p>
        </w:tc>
      </w:tr>
      <w:tr w:rsidR="00000000">
        <w:tblPrEx>
          <w:tblCellMar>
            <w:top w:w="0" w:type="dxa"/>
            <w:bottom w:w="0" w:type="dxa"/>
          </w:tblCellMar>
        </w:tblPrEx>
        <w:tc>
          <w:tcPr>
            <w:tcW w:w="5600" w:type="dxa"/>
          </w:tcPr>
          <w:p w:rsidR="00000000" w:rsidRDefault="00000000">
            <w:pPr>
              <w:spacing w:before="60" w:after="60"/>
              <w:rPr>
                <w:sz w:val="22"/>
              </w:rPr>
            </w:pPr>
            <w:r>
              <w:rPr>
                <w:sz w:val="22"/>
              </w:rPr>
              <w:t>Montant mensuel moyen de la pension (en lari)</w:t>
            </w:r>
          </w:p>
        </w:tc>
        <w:tc>
          <w:tcPr>
            <w:tcW w:w="1134" w:type="dxa"/>
          </w:tcPr>
          <w:p w:rsidR="00000000" w:rsidRDefault="00000000">
            <w:pPr>
              <w:spacing w:before="60" w:after="60"/>
              <w:jc w:val="right"/>
              <w:rPr>
                <w:sz w:val="22"/>
              </w:rPr>
            </w:pPr>
            <w:r>
              <w:rPr>
                <w:sz w:val="22"/>
              </w:rPr>
              <w:t>11,1</w:t>
            </w:r>
          </w:p>
        </w:tc>
        <w:tc>
          <w:tcPr>
            <w:tcW w:w="1134" w:type="dxa"/>
          </w:tcPr>
          <w:p w:rsidR="00000000" w:rsidRDefault="00000000">
            <w:pPr>
              <w:spacing w:before="60" w:after="60"/>
              <w:jc w:val="right"/>
              <w:rPr>
                <w:sz w:val="22"/>
              </w:rPr>
            </w:pPr>
            <w:r>
              <w:rPr>
                <w:sz w:val="22"/>
              </w:rPr>
              <w:t>15</w:t>
            </w:r>
          </w:p>
        </w:tc>
        <w:tc>
          <w:tcPr>
            <w:tcW w:w="1134" w:type="dxa"/>
          </w:tcPr>
          <w:p w:rsidR="00000000" w:rsidRDefault="00000000">
            <w:pPr>
              <w:spacing w:before="60" w:after="60"/>
              <w:jc w:val="right"/>
              <w:rPr>
                <w:sz w:val="22"/>
              </w:rPr>
            </w:pPr>
            <w:r>
              <w:rPr>
                <w:sz w:val="22"/>
              </w:rPr>
              <w:t>14</w:t>
            </w:r>
          </w:p>
        </w:tc>
      </w:tr>
    </w:tbl>
    <w:p w:rsidR="00000000" w:rsidRDefault="00000000">
      <w:pPr>
        <w:spacing w:after="240"/>
      </w:pPr>
    </w:p>
    <w:p w:rsidR="00000000" w:rsidRDefault="00000000">
      <w:pPr>
        <w:spacing w:after="240"/>
      </w:pPr>
      <w:r>
        <w:t>102.</w:t>
      </w:r>
      <w:r>
        <w:tab/>
        <w:t>Les personnes qui n’ont pas droit à une pension parce que leur vie professionnelle a été trop courte ou parce qu’elles n’ont jamais travaillé reçoivent un soutien de l’État et, lorsqu’elles atteignent un certain âge (65 ans pour les hommes, 60 ans pour les femmes), touchent une pension sociale (de 14 lari). La pension sociale peut également être accordée à d’autres catégories d’individus. On présente dans le tableau ci</w:t>
      </w:r>
      <w:r>
        <w:noBreakHyphen/>
        <w:t>après les catégories et le nombre de bénéficiaires de ce type de pension (par année, en milliers de personnes).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1560"/>
        <w:gridCol w:w="1440"/>
        <w:gridCol w:w="1386"/>
      </w:tblGrid>
      <w:tr w:rsidR="00000000">
        <w:tblPrEx>
          <w:tblCellMar>
            <w:top w:w="0" w:type="dxa"/>
            <w:bottom w:w="0" w:type="dxa"/>
          </w:tblCellMar>
        </w:tblPrEx>
        <w:trPr>
          <w:cantSplit/>
        </w:trPr>
        <w:tc>
          <w:tcPr>
            <w:tcW w:w="5110" w:type="dxa"/>
            <w:vMerge w:val="restart"/>
            <w:vAlign w:val="center"/>
          </w:tcPr>
          <w:p w:rsidR="00000000" w:rsidRDefault="00000000">
            <w:pPr>
              <w:keepNext/>
              <w:spacing w:before="60" w:after="60"/>
              <w:jc w:val="center"/>
              <w:rPr>
                <w:sz w:val="22"/>
              </w:rPr>
            </w:pPr>
            <w:r>
              <w:rPr>
                <w:sz w:val="22"/>
              </w:rPr>
              <w:t>Type de pension sociale</w:t>
            </w:r>
          </w:p>
        </w:tc>
        <w:tc>
          <w:tcPr>
            <w:tcW w:w="4386" w:type="dxa"/>
            <w:gridSpan w:val="3"/>
          </w:tcPr>
          <w:p w:rsidR="00000000" w:rsidRDefault="00000000">
            <w:pPr>
              <w:keepNext/>
              <w:spacing w:before="60" w:after="60"/>
              <w:jc w:val="center"/>
              <w:rPr>
                <w:sz w:val="22"/>
              </w:rPr>
            </w:pPr>
            <w:r>
              <w:rPr>
                <w:sz w:val="22"/>
              </w:rPr>
              <w:t>Année</w:t>
            </w:r>
          </w:p>
        </w:tc>
      </w:tr>
      <w:tr w:rsidR="00000000">
        <w:tblPrEx>
          <w:tblCellMar>
            <w:top w:w="0" w:type="dxa"/>
            <w:bottom w:w="0" w:type="dxa"/>
          </w:tblCellMar>
        </w:tblPrEx>
        <w:trPr>
          <w:cantSplit/>
        </w:trPr>
        <w:tc>
          <w:tcPr>
            <w:tcW w:w="5110" w:type="dxa"/>
            <w:vMerge/>
          </w:tcPr>
          <w:p w:rsidR="00000000" w:rsidRDefault="00000000">
            <w:pPr>
              <w:keepNext/>
              <w:spacing w:before="60" w:after="60"/>
              <w:jc w:val="center"/>
              <w:rPr>
                <w:sz w:val="22"/>
              </w:rPr>
            </w:pPr>
          </w:p>
        </w:tc>
        <w:tc>
          <w:tcPr>
            <w:tcW w:w="1560" w:type="dxa"/>
          </w:tcPr>
          <w:p w:rsidR="00000000" w:rsidRDefault="00000000">
            <w:pPr>
              <w:keepNext/>
              <w:spacing w:before="60" w:after="60"/>
              <w:jc w:val="center"/>
              <w:rPr>
                <w:sz w:val="22"/>
              </w:rPr>
            </w:pPr>
            <w:r>
              <w:rPr>
                <w:sz w:val="22"/>
              </w:rPr>
              <w:t>1997</w:t>
            </w:r>
          </w:p>
        </w:tc>
        <w:tc>
          <w:tcPr>
            <w:tcW w:w="1440" w:type="dxa"/>
          </w:tcPr>
          <w:p w:rsidR="00000000" w:rsidRDefault="00000000">
            <w:pPr>
              <w:keepNext/>
              <w:spacing w:before="60" w:after="60"/>
              <w:jc w:val="center"/>
              <w:rPr>
                <w:sz w:val="22"/>
              </w:rPr>
            </w:pPr>
            <w:r>
              <w:rPr>
                <w:sz w:val="22"/>
              </w:rPr>
              <w:t>1998</w:t>
            </w:r>
          </w:p>
        </w:tc>
        <w:tc>
          <w:tcPr>
            <w:tcW w:w="1386" w:type="dxa"/>
          </w:tcPr>
          <w:p w:rsidR="00000000" w:rsidRDefault="00000000">
            <w:pPr>
              <w:keepNext/>
              <w:spacing w:before="60" w:after="60"/>
              <w:jc w:val="center"/>
              <w:rPr>
                <w:sz w:val="22"/>
              </w:rPr>
            </w:pPr>
            <w:r>
              <w:rPr>
                <w:sz w:val="22"/>
              </w:rPr>
              <w:t>1999</w:t>
            </w:r>
          </w:p>
        </w:tc>
      </w:tr>
      <w:tr w:rsidR="00000000">
        <w:tblPrEx>
          <w:tblCellMar>
            <w:top w:w="0" w:type="dxa"/>
            <w:bottom w:w="0" w:type="dxa"/>
          </w:tblCellMar>
        </w:tblPrEx>
        <w:tc>
          <w:tcPr>
            <w:tcW w:w="5110" w:type="dxa"/>
          </w:tcPr>
          <w:p w:rsidR="00000000" w:rsidRDefault="00000000">
            <w:pPr>
              <w:keepNext/>
              <w:spacing w:before="60" w:after="60"/>
              <w:rPr>
                <w:sz w:val="22"/>
              </w:rPr>
            </w:pPr>
            <w:r>
              <w:rPr>
                <w:sz w:val="22"/>
              </w:rPr>
              <w:t>Vieillesse</w:t>
            </w:r>
          </w:p>
        </w:tc>
        <w:tc>
          <w:tcPr>
            <w:tcW w:w="1560" w:type="dxa"/>
          </w:tcPr>
          <w:p w:rsidR="00000000" w:rsidRDefault="00000000">
            <w:pPr>
              <w:keepNext/>
              <w:spacing w:before="60" w:after="60"/>
              <w:jc w:val="right"/>
              <w:rPr>
                <w:sz w:val="22"/>
              </w:rPr>
            </w:pPr>
            <w:r>
              <w:rPr>
                <w:sz w:val="22"/>
              </w:rPr>
              <w:t>26 843</w:t>
            </w:r>
          </w:p>
        </w:tc>
        <w:tc>
          <w:tcPr>
            <w:tcW w:w="1440" w:type="dxa"/>
          </w:tcPr>
          <w:p w:rsidR="00000000" w:rsidRDefault="00000000">
            <w:pPr>
              <w:keepNext/>
              <w:spacing w:before="60" w:after="60"/>
              <w:jc w:val="right"/>
              <w:rPr>
                <w:sz w:val="22"/>
              </w:rPr>
            </w:pPr>
            <w:r>
              <w:rPr>
                <w:sz w:val="22"/>
              </w:rPr>
              <w:t>25 616</w:t>
            </w:r>
          </w:p>
        </w:tc>
        <w:tc>
          <w:tcPr>
            <w:tcW w:w="1386" w:type="dxa"/>
          </w:tcPr>
          <w:p w:rsidR="00000000" w:rsidRDefault="00000000">
            <w:pPr>
              <w:keepNext/>
              <w:spacing w:before="60" w:after="60"/>
              <w:jc w:val="right"/>
              <w:rPr>
                <w:sz w:val="22"/>
              </w:rPr>
            </w:pPr>
            <w:r>
              <w:rPr>
                <w:sz w:val="22"/>
              </w:rPr>
              <w:t>23 701</w:t>
            </w:r>
          </w:p>
        </w:tc>
      </w:tr>
      <w:tr w:rsidR="00000000">
        <w:tblPrEx>
          <w:tblCellMar>
            <w:top w:w="0" w:type="dxa"/>
            <w:bottom w:w="0" w:type="dxa"/>
          </w:tblCellMar>
        </w:tblPrEx>
        <w:tc>
          <w:tcPr>
            <w:tcW w:w="5110" w:type="dxa"/>
          </w:tcPr>
          <w:p w:rsidR="00000000" w:rsidRDefault="00000000">
            <w:pPr>
              <w:keepNext/>
              <w:spacing w:before="60" w:after="60"/>
              <w:rPr>
                <w:sz w:val="22"/>
              </w:rPr>
            </w:pPr>
            <w:r>
              <w:rPr>
                <w:sz w:val="22"/>
              </w:rPr>
              <w:t>Invalidité</w:t>
            </w:r>
          </w:p>
        </w:tc>
        <w:tc>
          <w:tcPr>
            <w:tcW w:w="1560" w:type="dxa"/>
          </w:tcPr>
          <w:p w:rsidR="00000000" w:rsidRDefault="00000000">
            <w:pPr>
              <w:keepNext/>
              <w:spacing w:before="60" w:after="60"/>
              <w:jc w:val="right"/>
              <w:rPr>
                <w:sz w:val="22"/>
              </w:rPr>
            </w:pPr>
            <w:r>
              <w:rPr>
                <w:sz w:val="22"/>
              </w:rPr>
              <w:t>8 804</w:t>
            </w:r>
          </w:p>
        </w:tc>
        <w:tc>
          <w:tcPr>
            <w:tcW w:w="1440" w:type="dxa"/>
          </w:tcPr>
          <w:p w:rsidR="00000000" w:rsidRDefault="00000000">
            <w:pPr>
              <w:keepNext/>
              <w:spacing w:before="60" w:after="60"/>
              <w:jc w:val="right"/>
              <w:rPr>
                <w:sz w:val="22"/>
              </w:rPr>
            </w:pPr>
            <w:r>
              <w:rPr>
                <w:sz w:val="22"/>
              </w:rPr>
              <w:t>13 377</w:t>
            </w:r>
          </w:p>
        </w:tc>
        <w:tc>
          <w:tcPr>
            <w:tcW w:w="1386" w:type="dxa"/>
          </w:tcPr>
          <w:p w:rsidR="00000000" w:rsidRDefault="00000000">
            <w:pPr>
              <w:keepNext/>
              <w:spacing w:before="60" w:after="60"/>
              <w:jc w:val="right"/>
              <w:rPr>
                <w:sz w:val="22"/>
              </w:rPr>
            </w:pPr>
            <w:r>
              <w:rPr>
                <w:sz w:val="22"/>
              </w:rPr>
              <w:t>13 144</w:t>
            </w:r>
          </w:p>
        </w:tc>
      </w:tr>
      <w:tr w:rsidR="00000000">
        <w:tblPrEx>
          <w:tblCellMar>
            <w:top w:w="0" w:type="dxa"/>
            <w:bottom w:w="0" w:type="dxa"/>
          </w:tblCellMar>
        </w:tblPrEx>
        <w:tc>
          <w:tcPr>
            <w:tcW w:w="5110" w:type="dxa"/>
          </w:tcPr>
          <w:p w:rsidR="00000000" w:rsidRDefault="00000000">
            <w:pPr>
              <w:keepNext/>
              <w:spacing w:before="60" w:after="60"/>
              <w:rPr>
                <w:sz w:val="22"/>
              </w:rPr>
            </w:pPr>
            <w:r>
              <w:rPr>
                <w:sz w:val="22"/>
              </w:rPr>
              <w:t>Perte du soutien de famille</w:t>
            </w:r>
          </w:p>
        </w:tc>
        <w:tc>
          <w:tcPr>
            <w:tcW w:w="1560" w:type="dxa"/>
          </w:tcPr>
          <w:p w:rsidR="00000000" w:rsidRDefault="00000000">
            <w:pPr>
              <w:keepNext/>
              <w:spacing w:before="60" w:after="60"/>
              <w:jc w:val="right"/>
              <w:rPr>
                <w:sz w:val="22"/>
              </w:rPr>
            </w:pPr>
            <w:r>
              <w:rPr>
                <w:sz w:val="22"/>
              </w:rPr>
              <w:t>4 862</w:t>
            </w:r>
          </w:p>
        </w:tc>
        <w:tc>
          <w:tcPr>
            <w:tcW w:w="1440" w:type="dxa"/>
          </w:tcPr>
          <w:p w:rsidR="00000000" w:rsidRDefault="00000000">
            <w:pPr>
              <w:keepNext/>
              <w:spacing w:before="60" w:after="60"/>
              <w:jc w:val="right"/>
              <w:rPr>
                <w:sz w:val="22"/>
              </w:rPr>
            </w:pPr>
            <w:r>
              <w:rPr>
                <w:sz w:val="22"/>
              </w:rPr>
              <w:t>4 862</w:t>
            </w:r>
          </w:p>
        </w:tc>
        <w:tc>
          <w:tcPr>
            <w:tcW w:w="1386" w:type="dxa"/>
          </w:tcPr>
          <w:p w:rsidR="00000000" w:rsidRDefault="00000000">
            <w:pPr>
              <w:keepNext/>
              <w:spacing w:before="60" w:after="60"/>
              <w:jc w:val="right"/>
              <w:rPr>
                <w:sz w:val="22"/>
              </w:rPr>
            </w:pPr>
            <w:r>
              <w:rPr>
                <w:sz w:val="22"/>
              </w:rPr>
              <w:t>7 879</w:t>
            </w:r>
          </w:p>
        </w:tc>
      </w:tr>
      <w:tr w:rsidR="00000000">
        <w:tblPrEx>
          <w:tblCellMar>
            <w:top w:w="0" w:type="dxa"/>
            <w:bottom w:w="0" w:type="dxa"/>
          </w:tblCellMar>
        </w:tblPrEx>
        <w:tc>
          <w:tcPr>
            <w:tcW w:w="5110" w:type="dxa"/>
          </w:tcPr>
          <w:p w:rsidR="00000000" w:rsidRDefault="00000000">
            <w:pPr>
              <w:keepNext/>
              <w:spacing w:before="60" w:after="60"/>
              <w:rPr>
                <w:sz w:val="22"/>
              </w:rPr>
            </w:pPr>
            <w:r>
              <w:rPr>
                <w:sz w:val="22"/>
              </w:rPr>
              <w:t>Invalides de naissance</w:t>
            </w:r>
          </w:p>
        </w:tc>
        <w:tc>
          <w:tcPr>
            <w:tcW w:w="1560" w:type="dxa"/>
          </w:tcPr>
          <w:p w:rsidR="00000000" w:rsidRDefault="00000000">
            <w:pPr>
              <w:keepNext/>
              <w:spacing w:before="60" w:after="60"/>
              <w:jc w:val="right"/>
              <w:rPr>
                <w:sz w:val="22"/>
              </w:rPr>
            </w:pPr>
            <w:r>
              <w:rPr>
                <w:sz w:val="22"/>
              </w:rPr>
              <w:t>17 159</w:t>
            </w:r>
          </w:p>
        </w:tc>
        <w:tc>
          <w:tcPr>
            <w:tcW w:w="1440" w:type="dxa"/>
          </w:tcPr>
          <w:p w:rsidR="00000000" w:rsidRDefault="00000000">
            <w:pPr>
              <w:keepNext/>
              <w:spacing w:before="60" w:after="60"/>
              <w:jc w:val="right"/>
              <w:rPr>
                <w:sz w:val="22"/>
              </w:rPr>
            </w:pPr>
            <w:r>
              <w:rPr>
                <w:sz w:val="22"/>
              </w:rPr>
              <w:t>17 810</w:t>
            </w:r>
          </w:p>
        </w:tc>
        <w:tc>
          <w:tcPr>
            <w:tcW w:w="1386" w:type="dxa"/>
          </w:tcPr>
          <w:p w:rsidR="00000000" w:rsidRDefault="00000000">
            <w:pPr>
              <w:keepNext/>
              <w:spacing w:before="60" w:after="60"/>
              <w:jc w:val="right"/>
              <w:rPr>
                <w:sz w:val="22"/>
              </w:rPr>
            </w:pPr>
            <w:r>
              <w:rPr>
                <w:sz w:val="22"/>
              </w:rPr>
              <w:t>18 744</w:t>
            </w:r>
          </w:p>
        </w:tc>
      </w:tr>
      <w:tr w:rsidR="00000000">
        <w:tblPrEx>
          <w:tblCellMar>
            <w:top w:w="0" w:type="dxa"/>
            <w:bottom w:w="0" w:type="dxa"/>
          </w:tblCellMar>
        </w:tblPrEx>
        <w:tc>
          <w:tcPr>
            <w:tcW w:w="5110" w:type="dxa"/>
          </w:tcPr>
          <w:p w:rsidR="00000000" w:rsidRDefault="00000000">
            <w:pPr>
              <w:keepNext/>
              <w:spacing w:before="60" w:after="60"/>
              <w:rPr>
                <w:sz w:val="22"/>
              </w:rPr>
            </w:pPr>
            <w:r>
              <w:rPr>
                <w:sz w:val="22"/>
              </w:rPr>
              <w:t>Enfants invalides (jusqu’à 16 ans)</w:t>
            </w:r>
          </w:p>
        </w:tc>
        <w:tc>
          <w:tcPr>
            <w:tcW w:w="1560" w:type="dxa"/>
          </w:tcPr>
          <w:p w:rsidR="00000000" w:rsidRDefault="00000000">
            <w:pPr>
              <w:keepNext/>
              <w:spacing w:before="60" w:after="60"/>
              <w:jc w:val="right"/>
              <w:rPr>
                <w:sz w:val="22"/>
              </w:rPr>
            </w:pPr>
            <w:r>
              <w:rPr>
                <w:sz w:val="22"/>
              </w:rPr>
              <w:t>7 382</w:t>
            </w:r>
          </w:p>
        </w:tc>
        <w:tc>
          <w:tcPr>
            <w:tcW w:w="1440" w:type="dxa"/>
          </w:tcPr>
          <w:p w:rsidR="00000000" w:rsidRDefault="00000000">
            <w:pPr>
              <w:keepNext/>
              <w:spacing w:before="60" w:after="60"/>
              <w:jc w:val="right"/>
              <w:rPr>
                <w:sz w:val="22"/>
              </w:rPr>
            </w:pPr>
            <w:r>
              <w:rPr>
                <w:sz w:val="22"/>
              </w:rPr>
              <w:t>7 665</w:t>
            </w:r>
          </w:p>
        </w:tc>
        <w:tc>
          <w:tcPr>
            <w:tcW w:w="1386" w:type="dxa"/>
          </w:tcPr>
          <w:p w:rsidR="00000000" w:rsidRDefault="00000000">
            <w:pPr>
              <w:keepNext/>
              <w:spacing w:before="60" w:after="60"/>
              <w:jc w:val="right"/>
              <w:rPr>
                <w:sz w:val="22"/>
              </w:rPr>
            </w:pPr>
            <w:r>
              <w:rPr>
                <w:sz w:val="22"/>
              </w:rPr>
              <w:t>8 264</w:t>
            </w:r>
          </w:p>
        </w:tc>
      </w:tr>
    </w:tbl>
    <w:p w:rsidR="00000000" w:rsidRDefault="00000000">
      <w:pPr>
        <w:spacing w:after="240"/>
      </w:pPr>
    </w:p>
    <w:p w:rsidR="00000000" w:rsidRDefault="00000000">
      <w:pPr>
        <w:keepLines/>
        <w:spacing w:after="240"/>
      </w:pPr>
      <w:r>
        <w:t>103.</w:t>
      </w:r>
      <w:r>
        <w:tab/>
        <w:t>Depuis 1997, certaines catégories de la population qui ne bénéficiaient d’aucune protection sociale reçoivent une forme de soutien matériel de l’État au titre de l’aide sociale (familiale). Cette aide est octroyée dans le cadre d’un programme national.</w:t>
      </w:r>
    </w:p>
    <w:p w:rsidR="00000000" w:rsidRDefault="00000000">
      <w:pPr>
        <w:keepNext/>
        <w:spacing w:after="240" w:line="270" w:lineRule="exact"/>
      </w:pPr>
      <w:r>
        <w:br w:type="page"/>
        <w:t>104.</w:t>
      </w:r>
      <w:r>
        <w:tab/>
        <w:t>En 1997, les catégories suivantes bénéficiaient de ce type d’aide:</w:t>
      </w:r>
    </w:p>
    <w:p w:rsidR="00000000" w:rsidRDefault="00000000">
      <w:pPr>
        <w:spacing w:after="240" w:line="270" w:lineRule="exact"/>
        <w:ind w:firstLine="567"/>
      </w:pPr>
      <w:r>
        <w:t>–</w:t>
      </w:r>
      <w:r>
        <w:tab/>
        <w:t>Les pensionnés seuls;</w:t>
      </w:r>
    </w:p>
    <w:p w:rsidR="00000000" w:rsidRDefault="00000000">
      <w:pPr>
        <w:spacing w:after="240" w:line="270" w:lineRule="exact"/>
        <w:ind w:left="1134" w:hanging="567"/>
      </w:pPr>
      <w:r>
        <w:t>–</w:t>
      </w:r>
      <w:r>
        <w:tab/>
        <w:t>Les familles de pensionnés comprenant des enfants en bas âge dont les parents ne vivaient pas avec ces derniers et étaient au chômage;</w:t>
      </w:r>
    </w:p>
    <w:p w:rsidR="00000000" w:rsidRDefault="00000000">
      <w:pPr>
        <w:spacing w:after="240" w:line="270" w:lineRule="exact"/>
        <w:ind w:left="1134" w:hanging="567"/>
      </w:pPr>
      <w:r>
        <w:t>–</w:t>
      </w:r>
      <w:r>
        <w:tab/>
        <w:t>Les familles urbaines composées d’individus au chômage enregistrés dans une agence de placement.</w:t>
      </w:r>
    </w:p>
    <w:p w:rsidR="00000000" w:rsidRDefault="00000000">
      <w:pPr>
        <w:spacing w:after="240" w:line="270" w:lineRule="exact"/>
      </w:pPr>
      <w:r>
        <w:t>105.</w:t>
      </w:r>
      <w:r>
        <w:tab/>
        <w:t>En 1998, les catégories de bénéficiaires ont été modifiées. Elles ne comprenaient plus que les pensionnés seuls ayant la charge d’enfants en bas âge dépourvus de soutien de famille légal.</w:t>
      </w:r>
    </w:p>
    <w:p w:rsidR="00000000" w:rsidRDefault="00000000">
      <w:pPr>
        <w:spacing w:after="240" w:line="270" w:lineRule="exact"/>
      </w:pPr>
      <w:r>
        <w:t>106.</w:t>
      </w:r>
      <w:r>
        <w:tab/>
        <w:t xml:space="preserve">En 1999, outre les tuteurs invalides, les enfants orphelins ont également été inclus dans le programme. Depuis 2000, les enfants orphelins reçoivent une aide indépendamment du fait que leur tuteur soit valide ou non. Le montant de l’aide varie en fonction du nombre de membres de la famille. </w:t>
      </w:r>
    </w:p>
    <w:p w:rsidR="00000000" w:rsidRDefault="00000000">
      <w:pPr>
        <w:spacing w:after="240" w:line="270" w:lineRule="exact"/>
      </w:pPr>
      <w:r>
        <w:t>107.</w:t>
      </w:r>
      <w:r>
        <w:tab/>
        <w:t>On trouvera ci</w:t>
      </w:r>
      <w:r>
        <w:noBreakHyphen/>
        <w:t>après quelques statistiques à ce sujet.</w:t>
      </w:r>
    </w:p>
    <w:p w:rsidR="00000000" w:rsidRDefault="00000000">
      <w:pPr>
        <w:keepNext/>
        <w:spacing w:after="240" w:line="270" w:lineRule="exact"/>
      </w:pPr>
      <w:r>
        <w:t>108.</w:t>
      </w:r>
      <w:r>
        <w:tab/>
        <w:t>Ont reçu une aide en 1997 (la somme est indiquée entre parenthèses):</w:t>
      </w:r>
    </w:p>
    <w:p w:rsidR="00000000" w:rsidRDefault="00000000">
      <w:pPr>
        <w:spacing w:after="240" w:line="270" w:lineRule="exact"/>
        <w:ind w:firstLine="567"/>
      </w:pPr>
      <w:r>
        <w:t>–</w:t>
      </w:r>
      <w:r>
        <w:tab/>
        <w:t>Les familles de pensionnés seuls ne travaillant pas – 87 987 (9 lari par personne);</w:t>
      </w:r>
    </w:p>
    <w:p w:rsidR="00000000" w:rsidRDefault="00000000">
      <w:pPr>
        <w:spacing w:after="240" w:line="270" w:lineRule="exact"/>
        <w:ind w:left="1134" w:hanging="567"/>
      </w:pPr>
      <w:r>
        <w:t>–</w:t>
      </w:r>
      <w:r>
        <w:tab/>
        <w:t>Les familles composées d’invalides – 46 598 (112 147 individus; 7,2 lari par personne);</w:t>
      </w:r>
    </w:p>
    <w:p w:rsidR="00000000" w:rsidRDefault="00000000">
      <w:pPr>
        <w:spacing w:after="240" w:line="270" w:lineRule="exact"/>
        <w:ind w:left="1134" w:hanging="567"/>
      </w:pPr>
      <w:r>
        <w:t>–</w:t>
      </w:r>
      <w:r>
        <w:tab/>
        <w:t>Les familles urbaines dont tous les membres étaient au chômage – 174 012 (348 802 individus; 5,4 lari par personne).</w:t>
      </w:r>
    </w:p>
    <w:p w:rsidR="00000000" w:rsidRDefault="00000000">
      <w:pPr>
        <w:keepNext/>
        <w:spacing w:after="240" w:line="270" w:lineRule="exact"/>
      </w:pPr>
      <w:r>
        <w:t>109.</w:t>
      </w:r>
      <w:r>
        <w:tab/>
        <w:t>Ont reçu une aide en 1998:</w:t>
      </w:r>
    </w:p>
    <w:p w:rsidR="00000000" w:rsidRDefault="00000000">
      <w:pPr>
        <w:spacing w:after="240" w:line="270" w:lineRule="exact"/>
        <w:ind w:left="1134" w:hanging="567"/>
      </w:pPr>
      <w:r>
        <w:t>–</w:t>
      </w:r>
      <w:r>
        <w:tab/>
        <w:t>Les familles de pensionnés seuls ne travaillant pas – 45 619 (9 lari), dont: les familles composées de deux membres – 6 140 (12 280 individus; 7 lari par personne); les familles composées de trois membres et plus – 1 777 (6 246 individus; 5 lari par personne).</w:t>
      </w:r>
    </w:p>
    <w:p w:rsidR="00000000" w:rsidRDefault="00000000">
      <w:pPr>
        <w:keepNext/>
        <w:spacing w:after="240" w:line="270" w:lineRule="exact"/>
      </w:pPr>
      <w:r>
        <w:t>110.</w:t>
      </w:r>
      <w:r>
        <w:tab/>
        <w:t>Ont reçu une aide en 1999:</w:t>
      </w:r>
    </w:p>
    <w:p w:rsidR="00000000" w:rsidRDefault="00000000">
      <w:pPr>
        <w:spacing w:after="240" w:line="270" w:lineRule="exact"/>
        <w:ind w:left="1134" w:hanging="567"/>
      </w:pPr>
      <w:r>
        <w:t>–</w:t>
      </w:r>
      <w:r>
        <w:tab/>
        <w:t>Les familles de pensionnés seuls ne travaillant pas – 48 743, dont: les familles composées d’un seul membre – 40 640 (18 lari); les familles composées de deux membres et plus – 8 103 (18 571 individus; 29 lari par famille).</w:t>
      </w:r>
    </w:p>
    <w:p w:rsidR="00000000" w:rsidRDefault="00000000">
      <w:pPr>
        <w:keepNext/>
        <w:spacing w:after="240" w:line="270" w:lineRule="exact"/>
      </w:pPr>
      <w:r>
        <w:t>111.</w:t>
      </w:r>
      <w:r>
        <w:tab/>
        <w:t>Ont reçu une aide en 2000:</w:t>
      </w:r>
    </w:p>
    <w:p w:rsidR="00000000" w:rsidRDefault="00000000">
      <w:pPr>
        <w:spacing w:after="240" w:line="270" w:lineRule="exact"/>
        <w:ind w:left="1134" w:hanging="567"/>
      </w:pPr>
      <w:r>
        <w:t>–</w:t>
      </w:r>
      <w:r>
        <w:tab/>
        <w:t xml:space="preserve">Les familles de pensionnés seuls ne travaillant pas </w:t>
      </w:r>
      <w:r>
        <w:noBreakHyphen/>
        <w:t xml:space="preserve"> 44 874, dont: les familles composées d’un seul membre – 38 020 (20 lari); les familles composées de deux membres et plus – 6 160 (14 442 individus; 32 lari par famille);</w:t>
      </w:r>
    </w:p>
    <w:p w:rsidR="00000000" w:rsidRDefault="00000000">
      <w:pPr>
        <w:spacing w:after="240" w:line="270" w:lineRule="exact"/>
        <w:ind w:firstLine="567"/>
      </w:pPr>
      <w:r>
        <w:t>–</w:t>
      </w:r>
      <w:r>
        <w:tab/>
        <w:t>Les enfants orphelins – 694 familles (1 013 membres; 20 lari par enfant).</w:t>
      </w:r>
    </w:p>
    <w:p w:rsidR="00000000" w:rsidRDefault="00000000">
      <w:pPr>
        <w:keepNext/>
        <w:spacing w:after="240"/>
      </w:pPr>
      <w:r>
        <w:t>112.</w:t>
      </w:r>
      <w:r>
        <w:tab/>
        <w:t>Les sommes consacrées au financement de ce programme par prélèvement sur le budget de l’État étaient les suivantes:</w:t>
      </w:r>
    </w:p>
    <w:p w:rsidR="00000000" w:rsidRDefault="00000000">
      <w:pPr>
        <w:spacing w:after="240"/>
        <w:ind w:firstLine="567"/>
      </w:pPr>
      <w:r>
        <w:t>–</w:t>
      </w:r>
      <w:r>
        <w:tab/>
        <w:t>En 1997: 15 888 000 lari;</w:t>
      </w:r>
    </w:p>
    <w:p w:rsidR="00000000" w:rsidRDefault="00000000">
      <w:pPr>
        <w:spacing w:after="240"/>
        <w:ind w:firstLine="567"/>
      </w:pPr>
      <w:r>
        <w:t>–</w:t>
      </w:r>
      <w:r>
        <w:tab/>
        <w:t>En 1998: 14 400 000 lari;</w:t>
      </w:r>
    </w:p>
    <w:p w:rsidR="00000000" w:rsidRDefault="00000000">
      <w:pPr>
        <w:spacing w:after="240"/>
        <w:ind w:firstLine="567"/>
      </w:pPr>
      <w:r>
        <w:t>–</w:t>
      </w:r>
      <w:r>
        <w:tab/>
        <w:t>En 1999: 14 300 000 lari;</w:t>
      </w:r>
    </w:p>
    <w:p w:rsidR="00000000" w:rsidRDefault="00000000">
      <w:pPr>
        <w:spacing w:after="240"/>
        <w:ind w:firstLine="567"/>
      </w:pPr>
      <w:r>
        <w:t>–</w:t>
      </w:r>
      <w:r>
        <w:tab/>
        <w:t>En 2000: 13 300 000 lari.</w:t>
      </w:r>
    </w:p>
    <w:p w:rsidR="00000000" w:rsidRDefault="00000000">
      <w:pPr>
        <w:spacing w:after="240"/>
      </w:pPr>
      <w:r>
        <w:t>113.</w:t>
      </w:r>
      <w:r>
        <w:tab/>
        <w:t xml:space="preserve">Pour apporter une aide sociale aux groupes les plus vulnérables, il existe un programme d’assurance médicale qui englobe les catégories suivantes: </w:t>
      </w:r>
    </w:p>
    <w:p w:rsidR="00000000" w:rsidRDefault="00000000">
      <w:pPr>
        <w:spacing w:after="240"/>
        <w:ind w:left="1134" w:hanging="567"/>
      </w:pPr>
      <w:r>
        <w:t>–</w:t>
      </w:r>
      <w:r>
        <w:tab/>
        <w:t>Les pensionnés invalides seuls ne travaillant pas, ou les familles de pensionnés (époux, frères et sœurs, parents et enfants) dépourvus de soutien de famille légal;</w:t>
      </w:r>
    </w:p>
    <w:p w:rsidR="00000000" w:rsidRDefault="00000000">
      <w:pPr>
        <w:spacing w:after="240"/>
        <w:ind w:left="1134" w:hanging="567"/>
      </w:pPr>
      <w:r>
        <w:t>–</w:t>
      </w:r>
      <w:r>
        <w:tab/>
        <w:t>Les pensionnés invalides seuls ne travaillant pas ou les familles de pensionnés dépourvus de soutien de famille légal et comprenant des enfants orphelins mineurs;</w:t>
      </w:r>
    </w:p>
    <w:p w:rsidR="00000000" w:rsidRDefault="00000000">
      <w:pPr>
        <w:spacing w:after="240"/>
        <w:ind w:firstLine="567"/>
      </w:pPr>
      <w:r>
        <w:t>–</w:t>
      </w:r>
      <w:r>
        <w:tab/>
        <w:t>Les mères élevant seules leurs enfants mineurs;</w:t>
      </w:r>
    </w:p>
    <w:p w:rsidR="00000000" w:rsidRDefault="00000000">
      <w:pPr>
        <w:spacing w:after="240"/>
        <w:ind w:left="1134" w:hanging="567"/>
      </w:pPr>
      <w:r>
        <w:t>–</w:t>
      </w:r>
      <w:r>
        <w:tab/>
        <w:t xml:space="preserve">Les pensionnés titulaires d’une pension </w:t>
      </w:r>
      <w:r>
        <w:rPr>
          <w:i/>
          <w:iCs/>
        </w:rPr>
        <w:t xml:space="preserve">ad personam </w:t>
      </w:r>
      <w:r>
        <w:t>(pour services exceptionnels rendus à l’État);</w:t>
      </w:r>
    </w:p>
    <w:p w:rsidR="00000000" w:rsidRDefault="00000000">
      <w:pPr>
        <w:spacing w:after="240"/>
        <w:ind w:left="1134" w:hanging="567"/>
      </w:pPr>
      <w:r>
        <w:t>–</w:t>
      </w:r>
      <w:r>
        <w:tab/>
        <w:t>Les participants à la liquidation des conséquences de l’accident de la centrale atomique de Tchernobyl et les membres de leur famille;</w:t>
      </w:r>
    </w:p>
    <w:p w:rsidR="00000000" w:rsidRDefault="00000000">
      <w:pPr>
        <w:spacing w:after="240"/>
        <w:ind w:firstLine="567"/>
      </w:pPr>
      <w:r>
        <w:t>–</w:t>
      </w:r>
      <w:r>
        <w:tab/>
        <w:t>Les personnes intoxiquées au cours des événements du 9 avril 1989;</w:t>
      </w:r>
    </w:p>
    <w:p w:rsidR="00000000" w:rsidRDefault="00000000">
      <w:pPr>
        <w:spacing w:after="240"/>
        <w:ind w:firstLine="567"/>
      </w:pPr>
      <w:r>
        <w:t>–</w:t>
      </w:r>
      <w:r>
        <w:tab/>
        <w:t>Les personnes reconnues victimes de répressions politiques;</w:t>
      </w:r>
    </w:p>
    <w:p w:rsidR="00000000" w:rsidRDefault="00000000">
      <w:pPr>
        <w:spacing w:after="240"/>
        <w:ind w:left="1134" w:hanging="567"/>
      </w:pPr>
      <w:r>
        <w:t>–</w:t>
      </w:r>
      <w:r>
        <w:tab/>
        <w:t>Les mineurs de fond ayant subi une mutilation ou contracté une maladie professionnelle invalidante dans des entreprises de production houillère;</w:t>
      </w:r>
    </w:p>
    <w:p w:rsidR="00000000" w:rsidRDefault="00000000">
      <w:pPr>
        <w:spacing w:after="240"/>
        <w:ind w:firstLine="567"/>
      </w:pPr>
      <w:r>
        <w:t>–</w:t>
      </w:r>
      <w:r>
        <w:tab/>
        <w:t>Les bénéficiaires du programme d’aide sociale (familiale);</w:t>
      </w:r>
    </w:p>
    <w:p w:rsidR="00000000" w:rsidRDefault="00000000">
      <w:pPr>
        <w:spacing w:after="240"/>
        <w:ind w:left="1134" w:hanging="567"/>
      </w:pPr>
      <w:r>
        <w:t>–</w:t>
      </w:r>
      <w:r>
        <w:tab/>
        <w:t>Les personnes devenues invalides dans des combats menés à l’intérieur des frontières territoriales du pays;</w:t>
      </w:r>
    </w:p>
    <w:p w:rsidR="00000000" w:rsidRDefault="00000000">
      <w:pPr>
        <w:spacing w:after="240"/>
        <w:ind w:firstLine="567"/>
      </w:pPr>
      <w:r>
        <w:t>–</w:t>
      </w:r>
      <w:r>
        <w:tab/>
        <w:t>Les anciens combattants de la Seconde Guerre mondiale.</w:t>
      </w:r>
    </w:p>
    <w:p w:rsidR="00000000" w:rsidRDefault="00000000">
      <w:pPr>
        <w:keepLines/>
        <w:spacing w:after="240"/>
      </w:pPr>
      <w:r>
        <w:t>114.</w:t>
      </w:r>
      <w:r>
        <w:tab/>
        <w:t>Sont concernées au total par le programme d’assurance médicale un maximum de 400 000 personnes appartenant aux catégories susdites. Ce programme s’adresse en outre aux pensionnés victimes de déplacement forcé ainsi qu’aux enfants de 0 à 15 ans.</w:t>
      </w:r>
    </w:p>
    <w:p w:rsidR="00000000" w:rsidRDefault="00000000">
      <w:pPr>
        <w:spacing w:after="240"/>
      </w:pPr>
      <w:r>
        <w:t>115.</w:t>
      </w:r>
      <w:r>
        <w:tab/>
        <w:t xml:space="preserve">En ce qui concerne la protection sociale des invalides, des programmes nationaux spéciaux ont été prévus pour les années 2000 et 2001. </w:t>
      </w:r>
    </w:p>
    <w:p w:rsidR="00000000" w:rsidRDefault="00000000">
      <w:pPr>
        <w:keepNext/>
        <w:spacing w:after="240"/>
        <w:ind w:left="567"/>
        <w:rPr>
          <w:u w:val="single"/>
        </w:rPr>
      </w:pPr>
      <w:r>
        <w:rPr>
          <w:u w:val="single"/>
        </w:rPr>
        <w:t>La part des dépenses de sécurité sociale</w:t>
      </w:r>
    </w:p>
    <w:p w:rsidR="00000000" w:rsidRDefault="00000000">
      <w:pPr>
        <w:spacing w:after="240"/>
      </w:pPr>
      <w:r>
        <w:t>116.</w:t>
      </w:r>
      <w:r>
        <w:tab/>
        <w:t xml:space="preserve">D’après les statistiques du Département national de statistique, les recettes et dépenses inscrites au budget de l’État se sont établies comme suit: </w:t>
      </w:r>
    </w:p>
    <w:p w:rsidR="00000000" w:rsidRDefault="00000000">
      <w:pPr>
        <w:keepNext/>
        <w:spacing w:after="240"/>
      </w:pPr>
      <w:r>
        <w:tab/>
        <w:t>En 1997:</w:t>
      </w:r>
    </w:p>
    <w:p w:rsidR="00000000" w:rsidRDefault="00000000">
      <w:pPr>
        <w:spacing w:after="240"/>
        <w:ind w:firstLine="567"/>
      </w:pPr>
      <w:r>
        <w:t>–</w:t>
      </w:r>
      <w:r>
        <w:tab/>
        <w:t>Recettes: 593,3 millions de lari</w:t>
      </w:r>
    </w:p>
    <w:p w:rsidR="00000000" w:rsidRDefault="00000000">
      <w:pPr>
        <w:spacing w:after="240"/>
        <w:ind w:firstLine="567"/>
      </w:pPr>
      <w:r>
        <w:t>–</w:t>
      </w:r>
      <w:r>
        <w:tab/>
        <w:t>Dépenses: 776,8 millions de lari</w:t>
      </w:r>
    </w:p>
    <w:p w:rsidR="00000000" w:rsidRDefault="00000000">
      <w:pPr>
        <w:keepNext/>
        <w:spacing w:after="240"/>
        <w:ind w:left="567"/>
      </w:pPr>
      <w:r>
        <w:t>En 1998:</w:t>
      </w:r>
    </w:p>
    <w:p w:rsidR="00000000" w:rsidRDefault="00000000">
      <w:pPr>
        <w:spacing w:after="240"/>
        <w:ind w:firstLine="567"/>
      </w:pPr>
      <w:r>
        <w:t>–</w:t>
      </w:r>
      <w:r>
        <w:tab/>
        <w:t>Recettes: 621,9 millions de lari</w:t>
      </w:r>
    </w:p>
    <w:p w:rsidR="00000000" w:rsidRDefault="00000000">
      <w:pPr>
        <w:spacing w:after="240"/>
        <w:ind w:firstLine="567"/>
      </w:pPr>
      <w:r>
        <w:t>–</w:t>
      </w:r>
      <w:r>
        <w:tab/>
        <w:t>Dépenses: 797,3 millions de lari</w:t>
      </w:r>
    </w:p>
    <w:p w:rsidR="00000000" w:rsidRDefault="00000000">
      <w:pPr>
        <w:keepNext/>
        <w:spacing w:after="240"/>
      </w:pPr>
      <w:r>
        <w:tab/>
        <w:t>En 1999:</w:t>
      </w:r>
    </w:p>
    <w:p w:rsidR="00000000" w:rsidRDefault="00000000">
      <w:pPr>
        <w:spacing w:after="240"/>
        <w:ind w:firstLine="567"/>
      </w:pPr>
      <w:r>
        <w:t>–</w:t>
      </w:r>
      <w:r>
        <w:tab/>
        <w:t>Recettes: 650,2 millions de lari</w:t>
      </w:r>
    </w:p>
    <w:p w:rsidR="00000000" w:rsidRDefault="00000000">
      <w:pPr>
        <w:spacing w:after="240"/>
        <w:ind w:firstLine="567"/>
      </w:pPr>
      <w:r>
        <w:t>–</w:t>
      </w:r>
      <w:r>
        <w:tab/>
        <w:t>Dépenses: 904,8 millions de lari</w:t>
      </w:r>
    </w:p>
    <w:p w:rsidR="00000000" w:rsidRDefault="00000000">
      <w:pPr>
        <w:spacing w:after="240"/>
      </w:pPr>
      <w:r>
        <w:t>117.</w:t>
      </w:r>
      <w:r>
        <w:tab/>
        <w:t>D’après les statistiques du Ministère des finances et du Bureau du budget du Parlement géorgien, les dépenses de sécurité et d’assurance sociales au cours de cette période s’établissaient comme suit: 1997 – 146,1 millions de dollars des États-Unis (soit 191,09 millions de lari selon le taux de change de 1 dollar É.-U. pour 1,309 lari, fixé par le Département national de statistique); 1998 – 154,3 millions de dollars É.-U. (soit 239,16 millions de lari au taux de 1 dollar É.-U. pour 1,55 lari); 1999 – 123,5 millions de dollars (soit 240,7 millions de lari au taux de 1 dollar É.-U. pour 1,949 lari).</w:t>
      </w:r>
    </w:p>
    <w:p w:rsidR="00000000" w:rsidRDefault="00000000">
      <w:pPr>
        <w:spacing w:after="240"/>
      </w:pPr>
      <w:r>
        <w:t>118.</w:t>
      </w:r>
      <w:r>
        <w:tab/>
        <w:t>Ainsi, la part des dépenses de sécurité et d’assurance sociales en Géorgie s’établissait en 1997 à environ 24,6 %, en 1998 à environ 30 % et en 1999 à environ 26,6 % des dépenses inscrites au budget de l'État.</w:t>
      </w:r>
    </w:p>
    <w:p w:rsidR="00000000" w:rsidRDefault="00000000">
      <w:pPr>
        <w:spacing w:after="240"/>
      </w:pPr>
      <w:r>
        <w:t>119.</w:t>
      </w:r>
      <w:r>
        <w:tab/>
        <w:t>La proportion des dépenses de sécurité et d’assurance sociales par rapport au PIB était en 1999 de 3 % d’après les données publiées dans le Rapport du PNUD sur le développement humain, Géorgie 2000 (</w:t>
      </w:r>
      <w:r>
        <w:rPr>
          <w:i/>
          <w:iCs/>
        </w:rPr>
        <w:t>Human Development Report, Georgia, 2000</w:t>
      </w:r>
      <w:r>
        <w:t>) qui a été établi sur la base de sources provenant de la Banque mondiale, du Bureau du budget du Parlement géorgien et du rapport sur l’exécution du budget d’État de la Géorgie pour 1999. On ne dispose pas de données concernant les années antérieures.</w:t>
      </w:r>
    </w:p>
    <w:p w:rsidR="00000000" w:rsidRDefault="00000000">
      <w:pPr>
        <w:keepLines/>
        <w:spacing w:after="240"/>
      </w:pPr>
      <w:r>
        <w:t>120.</w:t>
      </w:r>
      <w:r>
        <w:tab/>
        <w:t>D’après les statistiques du Ministère des finances et du Bureau du budget du Parlement, une somme de 273,4 millions de lari était prévue en 2000 pour couvrir les besoins en matière de sécurité et d’assurance sociales.</w:t>
      </w:r>
    </w:p>
    <w:p w:rsidR="00000000" w:rsidRDefault="00000000">
      <w:pPr>
        <w:keepNext/>
        <w:spacing w:after="240"/>
        <w:ind w:firstLine="567"/>
        <w:rPr>
          <w:u w:val="single"/>
        </w:rPr>
      </w:pPr>
      <w:r>
        <w:rPr>
          <w:u w:val="single"/>
        </w:rPr>
        <w:t>Les programmes non gouvernementaux de protection sociale</w:t>
      </w:r>
    </w:p>
    <w:p w:rsidR="00000000" w:rsidRDefault="00000000">
      <w:pPr>
        <w:spacing w:after="240"/>
      </w:pPr>
      <w:r>
        <w:t>121.</w:t>
      </w:r>
      <w:r>
        <w:tab/>
        <w:t>Parallèlement aux programmes publics de sécurité sociale, des programmes humanitaires sont exécutés par des organisations non gouvernementales tant locales qu’internationales. Non seulement elles fournissent à la population des denrées alimentaires, des vêtements usagés, des objets d’usage domestique, mais encore elles subventionnent la consommation d’électricité des groupes les plus démunis (c’est le cas, par exemple, d’USAID).</w:t>
      </w:r>
    </w:p>
    <w:p w:rsidR="00000000" w:rsidRDefault="00000000">
      <w:pPr>
        <w:spacing w:after="240"/>
      </w:pPr>
      <w:r>
        <w:t>122.</w:t>
      </w:r>
      <w:r>
        <w:tab/>
        <w:t>Il n’existe pas dans le pays de groupes sociaux dépourvus de toute protection sociale. Cela étant, le niveau de cette protection n’est pas de nature à assurer comme il convient le bien</w:t>
      </w:r>
      <w:r>
        <w:noBreakHyphen/>
        <w:t>être de ses bénéficiaires. À cet égard, les mesures suivantes ont été prises au cours de l’année écoulée:</w:t>
      </w:r>
    </w:p>
    <w:p w:rsidR="00000000" w:rsidRDefault="00000000">
      <w:pPr>
        <w:spacing w:after="240"/>
        <w:ind w:left="1134" w:hanging="567"/>
      </w:pPr>
      <w:r>
        <w:t>–</w:t>
      </w:r>
      <w:r>
        <w:tab/>
        <w:t>Le Président de la Géorgie a promulgué l’ordonnance du 1</w:t>
      </w:r>
      <w:r>
        <w:rPr>
          <w:vertAlign w:val="superscript"/>
        </w:rPr>
        <w:t>er </w:t>
      </w:r>
      <w:r>
        <w:t>juillet 2000 sur la contribution aux mesures d’organisation de l’élaboration des programmes d’élimination de la pauvreté et de croissance économique en Géorgie, dans le cadre de laquelle a été créée une commission gouvernementale ad hoc dirigée par le Président;</w:t>
      </w:r>
    </w:p>
    <w:p w:rsidR="00000000" w:rsidRDefault="00000000">
      <w:pPr>
        <w:spacing w:after="240"/>
        <w:ind w:left="1134" w:hanging="567"/>
      </w:pPr>
      <w:r>
        <w:t>–</w:t>
      </w:r>
      <w:r>
        <w:tab/>
        <w:t>Se fondant sur le bilan des travaux de cette commission, le Président de la Géorgie a promulgué l’ordonnance du 30 novembre 2000 portant approbation du texte préliminaire du programme national d’élimination de la pauvreté et de croissance économique. Conformément à cette dernière ordonnance, les sous</w:t>
      </w:r>
      <w:r>
        <w:noBreakHyphen/>
        <w:t>commissions compétentes de la commission gouvernementale se sont vu confier la tâche d’élaborer pour le 1</w:t>
      </w:r>
      <w:r>
        <w:rPr>
          <w:vertAlign w:val="superscript"/>
        </w:rPr>
        <w:t>er</w:t>
      </w:r>
      <w:r>
        <w:t xml:space="preserve"> avril 2001, avec la participation des organisations sociales, les différentes orientations du programme national. Il convient de noter que, dans le but d’établir des contacts étroits avec les organisations sociales et de les informer de cette nouvelle initiative, une stratégie de communication particulière a été mise au point en collaboration avec la Banque mondiale, comprenant non seulement un volet information mais aussi des mesures d’éducation. Il faut souligner que le texte préliminaire de programme national a déjà été présenté pour examen aux bailleurs de fonds internationaux.</w:t>
      </w:r>
    </w:p>
    <w:p w:rsidR="00000000" w:rsidRDefault="00000000">
      <w:pPr>
        <w:spacing w:after="240"/>
      </w:pPr>
      <w:r>
        <w:t>123.</w:t>
      </w:r>
      <w:r>
        <w:tab/>
        <w:t>Les renseignements donnés ci</w:t>
      </w:r>
      <w:r>
        <w:noBreakHyphen/>
        <w:t>après le sont comme suite aux préoccupations exprimées par le Comité des droits économiques, sociaux et culturels (observation n</w:t>
      </w:r>
      <w:r>
        <w:rPr>
          <w:vertAlign w:val="superscript"/>
        </w:rPr>
        <w:t>o</w:t>
      </w:r>
      <w:r>
        <w:t> 8). Comme l’a fait observer le Président de la Géorgie dans sa déclaration du 28 novembre 2000 aux membres de la commission gouvernementale, «grâce au succès [du programme d’élimination de la pauvreté et de croissance économique], on peut s’attendre à un progrès économique régulier. À l’aube du troisième millénaire, la population géorgienne doit pouvoir bénéficier de conditions d’existence décentes et de garanties sociales suffisantes».</w:t>
      </w:r>
    </w:p>
    <w:p w:rsidR="00000000" w:rsidRDefault="00000000">
      <w:pPr>
        <w:spacing w:after="240"/>
      </w:pPr>
      <w:r>
        <w:t>124.</w:t>
      </w:r>
      <w:r>
        <w:tab/>
        <w:t>En ce qui concerne l’ensemble des questions sur lesquelles porte l’article 9 du Pacte, il convient également de se reporter aux informations figurant dans le rapport initial de la Géorgie au Comité pour l’élimination de la discrimination raciale (par. 238 à 252).</w:t>
      </w:r>
    </w:p>
    <w:p w:rsidR="00000000" w:rsidRDefault="00000000">
      <w:pPr>
        <w:keepNext/>
        <w:spacing w:after="240"/>
        <w:rPr>
          <w:u w:val="single"/>
        </w:rPr>
      </w:pPr>
      <w:r>
        <w:rPr>
          <w:u w:val="single"/>
        </w:rPr>
        <w:t>Article 10</w:t>
      </w:r>
    </w:p>
    <w:p w:rsidR="00000000" w:rsidRDefault="00000000">
      <w:pPr>
        <w:keepNext/>
        <w:spacing w:after="240"/>
        <w:ind w:firstLine="567"/>
        <w:rPr>
          <w:u w:val="single"/>
        </w:rPr>
      </w:pPr>
      <w:r>
        <w:rPr>
          <w:u w:val="single"/>
        </w:rPr>
        <w:t>Le mariage et la famille</w:t>
      </w:r>
    </w:p>
    <w:p w:rsidR="00000000" w:rsidRDefault="00000000">
      <w:pPr>
        <w:spacing w:after="240"/>
      </w:pPr>
      <w:r>
        <w:t>125.</w:t>
      </w:r>
      <w:r>
        <w:tab/>
        <w:t>Comme on l’a dit plus haut, la Géorgie a présenté en 2000 aux organes conventionnels pertinents de l’ONU son rapport initial sur l’application de la Convention internationale pour l’élimination de toutes les formes de discrimination raciale et son deuxième rapport périodique sur la mise en œuvre du Pacte international relatif aux droits civils et politiques. Dans ces rapports, sont notamment abordés un certain nombre de problèmes soulevés par l’article 10 du Pacte. À cet égard, il convient de se reporter aux sections pertinentes desdits rapports.</w:t>
      </w:r>
    </w:p>
    <w:p w:rsidR="00000000" w:rsidRDefault="00000000">
      <w:pPr>
        <w:spacing w:after="240"/>
      </w:pPr>
      <w:r>
        <w:t>126.</w:t>
      </w:r>
      <w:r>
        <w:tab/>
        <w:t>En ce qui concerne la signification du mot «famille», voir le paragraphe 418 du rapport sur la mise en œuvre du Pacte international relatif aux droits civils et politiques.</w:t>
      </w:r>
    </w:p>
    <w:p w:rsidR="00000000" w:rsidRDefault="00000000">
      <w:pPr>
        <w:spacing w:after="240"/>
      </w:pPr>
      <w:r>
        <w:t>127.</w:t>
      </w:r>
      <w:r>
        <w:tab/>
        <w:t>En ce qui concerne la question de l’âge de la majorité, voir les paragraphes 520, 521 et 523 du rapport sur l’application du Pacte international relatif aux droits civils et politiques.</w:t>
      </w:r>
    </w:p>
    <w:p w:rsidR="00000000" w:rsidRDefault="00000000">
      <w:pPr>
        <w:spacing w:after="240"/>
      </w:pPr>
      <w:r>
        <w:t>128.</w:t>
      </w:r>
      <w:r>
        <w:tab/>
        <w:t>Les informations sur les problèmes de protection et de soutien de la famille figurent aux paragraphes 501 à 513 et 516 du rapport sur la mise en œuvre du Pacte international relatif aux droits civils et politiques et aux paragraphes 138 à 144 du rapport sur l’application de la Convention internationale sur l’élimination de toutes les formes de discrimination raciale.</w:t>
      </w:r>
    </w:p>
    <w:p w:rsidR="00000000" w:rsidRDefault="00000000">
      <w:pPr>
        <w:spacing w:after="240"/>
      </w:pPr>
      <w:r>
        <w:t>129.</w:t>
      </w:r>
      <w:r>
        <w:tab/>
        <w:t>Pour compléter ces informations, on trouvera ci</w:t>
      </w:r>
      <w:r>
        <w:noBreakHyphen/>
        <w:t>après quelques données statistiques.</w:t>
      </w:r>
    </w:p>
    <w:p w:rsidR="00000000" w:rsidRDefault="00000000">
      <w:pPr>
        <w:spacing w:after="240"/>
      </w:pPr>
      <w:r>
        <w:t>130.</w:t>
      </w:r>
      <w:r>
        <w:tab/>
        <w:t>En 1999, on a enregistré 13 800 mariages et 1 600 divorces. Le taux de mariage était de 3 pour 1 000 habitants et le taux de divorce de 0,4 pour ‰. L’indicateur de la durée moyenne du mariage jusqu’au divorce s’établissait à 11,5. L’analyse montre que ces cinq dernières années, il s’est dégagé une tendance régulière à la diminution tant du nombre de mariages que (mais dans une moindre mesure) du nombre de divorces, aussi bien en chiffres absolus qu’en proportion pour 1 000 habitants.</w:t>
      </w:r>
    </w:p>
    <w:p w:rsidR="00000000" w:rsidRDefault="00000000">
      <w:pPr>
        <w:keepNext/>
        <w:spacing w:after="240"/>
        <w:jc w:val="center"/>
        <w:rPr>
          <w:u w:val="single"/>
        </w:rPr>
      </w:pPr>
      <w:r>
        <w:rPr>
          <w:u w:val="single"/>
        </w:rPr>
        <w:t>Âge moyen au premier mariage</w:t>
      </w:r>
    </w:p>
    <w:tbl>
      <w:tblPr>
        <w:tblW w:w="0" w:type="auto"/>
        <w:tblInd w:w="1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98"/>
        <w:gridCol w:w="2400"/>
        <w:gridCol w:w="2400"/>
      </w:tblGrid>
      <w:tr w:rsidR="00000000">
        <w:tblPrEx>
          <w:tblCellMar>
            <w:top w:w="0" w:type="dxa"/>
            <w:bottom w:w="0" w:type="dxa"/>
          </w:tblCellMar>
        </w:tblPrEx>
        <w:tc>
          <w:tcPr>
            <w:tcW w:w="2398" w:type="dxa"/>
          </w:tcPr>
          <w:p w:rsidR="00000000" w:rsidRDefault="00000000">
            <w:pPr>
              <w:spacing w:before="60" w:after="60"/>
              <w:jc w:val="center"/>
              <w:rPr>
                <w:sz w:val="22"/>
              </w:rPr>
            </w:pPr>
            <w:r>
              <w:rPr>
                <w:sz w:val="22"/>
              </w:rPr>
              <w:t>Année</w:t>
            </w:r>
          </w:p>
        </w:tc>
        <w:tc>
          <w:tcPr>
            <w:tcW w:w="2400" w:type="dxa"/>
          </w:tcPr>
          <w:p w:rsidR="00000000" w:rsidRDefault="00000000">
            <w:pPr>
              <w:spacing w:before="60" w:after="60"/>
              <w:jc w:val="center"/>
              <w:rPr>
                <w:sz w:val="22"/>
              </w:rPr>
            </w:pPr>
            <w:r>
              <w:rPr>
                <w:sz w:val="22"/>
              </w:rPr>
              <w:t>Hommes (ans)</w:t>
            </w:r>
          </w:p>
        </w:tc>
        <w:tc>
          <w:tcPr>
            <w:tcW w:w="2400" w:type="dxa"/>
          </w:tcPr>
          <w:p w:rsidR="00000000" w:rsidRDefault="00000000">
            <w:pPr>
              <w:spacing w:before="60" w:after="60"/>
              <w:jc w:val="center"/>
              <w:rPr>
                <w:sz w:val="22"/>
              </w:rPr>
            </w:pPr>
            <w:r>
              <w:rPr>
                <w:sz w:val="22"/>
              </w:rPr>
              <w:t>Femmes (ans)</w:t>
            </w:r>
          </w:p>
        </w:tc>
      </w:tr>
      <w:tr w:rsidR="00000000">
        <w:tblPrEx>
          <w:tblCellMar>
            <w:top w:w="0" w:type="dxa"/>
            <w:bottom w:w="0" w:type="dxa"/>
          </w:tblCellMar>
        </w:tblPrEx>
        <w:tc>
          <w:tcPr>
            <w:tcW w:w="2398" w:type="dxa"/>
          </w:tcPr>
          <w:p w:rsidR="00000000" w:rsidRDefault="00000000">
            <w:pPr>
              <w:spacing w:before="60" w:after="60"/>
              <w:jc w:val="center"/>
              <w:rPr>
                <w:sz w:val="22"/>
              </w:rPr>
            </w:pPr>
            <w:r>
              <w:rPr>
                <w:sz w:val="22"/>
              </w:rPr>
              <w:t>1995</w:t>
            </w:r>
          </w:p>
        </w:tc>
        <w:tc>
          <w:tcPr>
            <w:tcW w:w="2400" w:type="dxa"/>
          </w:tcPr>
          <w:p w:rsidR="00000000" w:rsidRDefault="00000000">
            <w:pPr>
              <w:spacing w:before="60" w:after="60"/>
              <w:jc w:val="center"/>
              <w:rPr>
                <w:sz w:val="22"/>
              </w:rPr>
            </w:pPr>
            <w:r>
              <w:rPr>
                <w:sz w:val="22"/>
              </w:rPr>
              <w:t>27,2</w:t>
            </w:r>
          </w:p>
        </w:tc>
        <w:tc>
          <w:tcPr>
            <w:tcW w:w="2400" w:type="dxa"/>
          </w:tcPr>
          <w:p w:rsidR="00000000" w:rsidRDefault="00000000">
            <w:pPr>
              <w:spacing w:before="60" w:after="60"/>
              <w:jc w:val="center"/>
              <w:rPr>
                <w:sz w:val="22"/>
              </w:rPr>
            </w:pPr>
            <w:r>
              <w:rPr>
                <w:sz w:val="22"/>
              </w:rPr>
              <w:t>23,7</w:t>
            </w:r>
          </w:p>
        </w:tc>
      </w:tr>
      <w:tr w:rsidR="00000000">
        <w:tblPrEx>
          <w:tblCellMar>
            <w:top w:w="0" w:type="dxa"/>
            <w:bottom w:w="0" w:type="dxa"/>
          </w:tblCellMar>
        </w:tblPrEx>
        <w:tc>
          <w:tcPr>
            <w:tcW w:w="2398" w:type="dxa"/>
          </w:tcPr>
          <w:p w:rsidR="00000000" w:rsidRDefault="00000000">
            <w:pPr>
              <w:spacing w:before="60" w:after="60"/>
              <w:jc w:val="center"/>
              <w:rPr>
                <w:sz w:val="22"/>
              </w:rPr>
            </w:pPr>
            <w:r>
              <w:rPr>
                <w:sz w:val="22"/>
              </w:rPr>
              <w:t>1996</w:t>
            </w:r>
          </w:p>
        </w:tc>
        <w:tc>
          <w:tcPr>
            <w:tcW w:w="2400" w:type="dxa"/>
          </w:tcPr>
          <w:p w:rsidR="00000000" w:rsidRDefault="00000000">
            <w:pPr>
              <w:spacing w:before="60" w:after="60"/>
              <w:jc w:val="center"/>
              <w:rPr>
                <w:sz w:val="22"/>
              </w:rPr>
            </w:pPr>
            <w:r>
              <w:rPr>
                <w:sz w:val="22"/>
              </w:rPr>
              <w:t>27,3</w:t>
            </w:r>
          </w:p>
        </w:tc>
        <w:tc>
          <w:tcPr>
            <w:tcW w:w="2400" w:type="dxa"/>
          </w:tcPr>
          <w:p w:rsidR="00000000" w:rsidRDefault="00000000">
            <w:pPr>
              <w:spacing w:before="60" w:after="60"/>
              <w:jc w:val="center"/>
              <w:rPr>
                <w:sz w:val="22"/>
              </w:rPr>
            </w:pPr>
            <w:r>
              <w:rPr>
                <w:sz w:val="22"/>
              </w:rPr>
              <w:t>23,8</w:t>
            </w:r>
          </w:p>
        </w:tc>
      </w:tr>
      <w:tr w:rsidR="00000000">
        <w:tblPrEx>
          <w:tblCellMar>
            <w:top w:w="0" w:type="dxa"/>
            <w:bottom w:w="0" w:type="dxa"/>
          </w:tblCellMar>
        </w:tblPrEx>
        <w:tc>
          <w:tcPr>
            <w:tcW w:w="2398" w:type="dxa"/>
          </w:tcPr>
          <w:p w:rsidR="00000000" w:rsidRDefault="00000000">
            <w:pPr>
              <w:spacing w:before="60" w:after="60"/>
              <w:jc w:val="center"/>
              <w:rPr>
                <w:sz w:val="22"/>
              </w:rPr>
            </w:pPr>
            <w:r>
              <w:rPr>
                <w:sz w:val="22"/>
              </w:rPr>
              <w:t>1997</w:t>
            </w:r>
          </w:p>
        </w:tc>
        <w:tc>
          <w:tcPr>
            <w:tcW w:w="2400" w:type="dxa"/>
          </w:tcPr>
          <w:p w:rsidR="00000000" w:rsidRDefault="00000000">
            <w:pPr>
              <w:spacing w:before="60" w:after="60"/>
              <w:jc w:val="center"/>
              <w:rPr>
                <w:sz w:val="22"/>
              </w:rPr>
            </w:pPr>
            <w:r>
              <w:rPr>
                <w:sz w:val="22"/>
              </w:rPr>
              <w:t>27,8</w:t>
            </w:r>
          </w:p>
        </w:tc>
        <w:tc>
          <w:tcPr>
            <w:tcW w:w="2400" w:type="dxa"/>
          </w:tcPr>
          <w:p w:rsidR="00000000" w:rsidRDefault="00000000">
            <w:pPr>
              <w:spacing w:before="60" w:after="60"/>
              <w:jc w:val="center"/>
              <w:rPr>
                <w:sz w:val="22"/>
              </w:rPr>
            </w:pPr>
            <w:r>
              <w:rPr>
                <w:sz w:val="22"/>
              </w:rPr>
              <w:t>24,0</w:t>
            </w:r>
          </w:p>
        </w:tc>
      </w:tr>
      <w:tr w:rsidR="00000000">
        <w:tblPrEx>
          <w:tblCellMar>
            <w:top w:w="0" w:type="dxa"/>
            <w:bottom w:w="0" w:type="dxa"/>
          </w:tblCellMar>
        </w:tblPrEx>
        <w:tc>
          <w:tcPr>
            <w:tcW w:w="2398" w:type="dxa"/>
          </w:tcPr>
          <w:p w:rsidR="00000000" w:rsidRDefault="00000000">
            <w:pPr>
              <w:spacing w:before="60" w:after="60"/>
              <w:jc w:val="center"/>
              <w:rPr>
                <w:sz w:val="22"/>
              </w:rPr>
            </w:pPr>
            <w:r>
              <w:rPr>
                <w:sz w:val="22"/>
              </w:rPr>
              <w:t>1998</w:t>
            </w:r>
          </w:p>
        </w:tc>
        <w:tc>
          <w:tcPr>
            <w:tcW w:w="2400" w:type="dxa"/>
          </w:tcPr>
          <w:p w:rsidR="00000000" w:rsidRDefault="00000000">
            <w:pPr>
              <w:spacing w:before="60" w:after="60"/>
              <w:jc w:val="center"/>
              <w:rPr>
                <w:sz w:val="22"/>
              </w:rPr>
            </w:pPr>
            <w:r>
              <w:rPr>
                <w:sz w:val="22"/>
              </w:rPr>
              <w:t>28,0</w:t>
            </w:r>
          </w:p>
        </w:tc>
        <w:tc>
          <w:tcPr>
            <w:tcW w:w="2400" w:type="dxa"/>
          </w:tcPr>
          <w:p w:rsidR="00000000" w:rsidRDefault="00000000">
            <w:pPr>
              <w:spacing w:before="60" w:after="60"/>
              <w:jc w:val="center"/>
              <w:rPr>
                <w:sz w:val="22"/>
              </w:rPr>
            </w:pPr>
            <w:r>
              <w:rPr>
                <w:sz w:val="22"/>
              </w:rPr>
              <w:t>24,4</w:t>
            </w:r>
          </w:p>
        </w:tc>
      </w:tr>
      <w:tr w:rsidR="00000000">
        <w:tblPrEx>
          <w:tblCellMar>
            <w:top w:w="0" w:type="dxa"/>
            <w:bottom w:w="0" w:type="dxa"/>
          </w:tblCellMar>
        </w:tblPrEx>
        <w:tc>
          <w:tcPr>
            <w:tcW w:w="2398" w:type="dxa"/>
          </w:tcPr>
          <w:p w:rsidR="00000000" w:rsidRDefault="00000000">
            <w:pPr>
              <w:spacing w:before="60" w:after="60"/>
              <w:jc w:val="center"/>
              <w:rPr>
                <w:sz w:val="22"/>
              </w:rPr>
            </w:pPr>
            <w:r>
              <w:rPr>
                <w:sz w:val="22"/>
              </w:rPr>
              <w:t>1999</w:t>
            </w:r>
          </w:p>
        </w:tc>
        <w:tc>
          <w:tcPr>
            <w:tcW w:w="2400" w:type="dxa"/>
          </w:tcPr>
          <w:p w:rsidR="00000000" w:rsidRDefault="00000000">
            <w:pPr>
              <w:spacing w:before="60" w:after="60"/>
              <w:jc w:val="center"/>
              <w:rPr>
                <w:sz w:val="22"/>
              </w:rPr>
            </w:pPr>
            <w:r>
              <w:rPr>
                <w:sz w:val="22"/>
              </w:rPr>
              <w:t>28,3</w:t>
            </w:r>
          </w:p>
        </w:tc>
        <w:tc>
          <w:tcPr>
            <w:tcW w:w="2400" w:type="dxa"/>
          </w:tcPr>
          <w:p w:rsidR="00000000" w:rsidRDefault="00000000">
            <w:pPr>
              <w:spacing w:before="60" w:after="60"/>
              <w:jc w:val="center"/>
              <w:rPr>
                <w:sz w:val="22"/>
              </w:rPr>
            </w:pPr>
            <w:r>
              <w:rPr>
                <w:sz w:val="22"/>
              </w:rPr>
              <w:t>24,6</w:t>
            </w:r>
          </w:p>
        </w:tc>
      </w:tr>
    </w:tbl>
    <w:p w:rsidR="00000000" w:rsidRDefault="00000000">
      <w:pPr>
        <w:spacing w:after="240"/>
      </w:pPr>
    </w:p>
    <w:p w:rsidR="00000000" w:rsidRDefault="00000000">
      <w:pPr>
        <w:spacing w:after="240"/>
      </w:pPr>
      <w:r>
        <w:t>131.</w:t>
      </w:r>
      <w:r>
        <w:tab/>
        <w:t>Ainsi que le montre le tableau ci</w:t>
      </w:r>
      <w:r>
        <w:noBreakHyphen/>
        <w:t>dessus, il s’est dégagé au cours des cinq dernières années une tendance à l’augmentation de l’âge au premier mariage tant parmi les hommes que parmi les femmes. Il convient de noter que dans la période 1980</w:t>
      </w:r>
      <w:r>
        <w:noBreakHyphen/>
        <w:t>1992, c’est exactement le contraire que l’on a observé – l’âge au premier mariage diminuait lentement, mais régulièrement.</w:t>
      </w:r>
    </w:p>
    <w:p w:rsidR="00000000" w:rsidRDefault="00000000">
      <w:pPr>
        <w:keepNext/>
        <w:spacing w:after="240"/>
        <w:ind w:firstLine="567"/>
        <w:rPr>
          <w:u w:val="single"/>
        </w:rPr>
      </w:pPr>
      <w:r>
        <w:rPr>
          <w:u w:val="single"/>
        </w:rPr>
        <w:t>Le système de protection de la maternité</w:t>
      </w:r>
    </w:p>
    <w:p w:rsidR="00000000" w:rsidRDefault="00000000">
      <w:pPr>
        <w:spacing w:after="240"/>
      </w:pPr>
      <w:r>
        <w:t>132.</w:t>
      </w:r>
      <w:r>
        <w:tab/>
        <w:t>Les renseignements fournis dans le rapport initial en ce qui concerne le système de protection de la maternité (par. 136 à 138) restent valables. Dans la période à l’examen, ce système n’a subi aucune modification; il englobe sur un pied d’égalité tous les groupes de femmes représentés dans la société géorgienne.</w:t>
      </w:r>
    </w:p>
    <w:p w:rsidR="00000000" w:rsidRDefault="00000000">
      <w:pPr>
        <w:keepNext/>
        <w:spacing w:after="240"/>
        <w:ind w:firstLine="567"/>
        <w:rPr>
          <w:u w:val="single"/>
        </w:rPr>
      </w:pPr>
      <w:r>
        <w:rPr>
          <w:u w:val="single"/>
        </w:rPr>
        <w:t>La protection des enfants et des adolescents contre l’exploitation économique</w:t>
      </w:r>
    </w:p>
    <w:p w:rsidR="00000000" w:rsidRDefault="00000000">
      <w:pPr>
        <w:spacing w:after="240"/>
      </w:pPr>
      <w:r>
        <w:t>133.</w:t>
      </w:r>
      <w:r>
        <w:tab/>
        <w:t>En ce qui concerne la limite d’âge au</w:t>
      </w:r>
      <w:r>
        <w:noBreakHyphen/>
        <w:t>dessous de laquelle il est interdit d’employer un enfant en Géorgie, voir le deuxième rapport périodique sur la mise en œuvre du Pacte international relatif aux droits civils et politiques (par. 523) et le rapport initial sur l’application de la Convention relative aux droits de l’enfant (par. 30).</w:t>
      </w:r>
    </w:p>
    <w:p w:rsidR="00000000" w:rsidRDefault="00000000">
      <w:pPr>
        <w:spacing w:after="240"/>
      </w:pPr>
      <w:r>
        <w:t>134.</w:t>
      </w:r>
      <w:r>
        <w:tab/>
        <w:t>Le Département national de statistique a effectué en 1999</w:t>
      </w:r>
      <w:r>
        <w:noBreakHyphen/>
        <w:t>2000 une étude de l’activité professionnelle des enfants en âge d’exercer une activité économique (7 à 17 ans). Selon les résultats de cette étude, 4,5 % du nombre total d’enfants exerçent une activité économique; 50,9 % d’entre eux sont employés dans l’entreprise familiale, 39,5 % sont scolarisés à temps complet et n’exercent aucune activité économique, 5,1 % ne sont pas scolarisés, 1,4 % ne sont pas scolarisés et ne travaillent pas.</w:t>
      </w:r>
    </w:p>
    <w:p w:rsidR="00000000" w:rsidRDefault="00000000">
      <w:pPr>
        <w:spacing w:after="240"/>
      </w:pPr>
      <w:r>
        <w:t>135.</w:t>
      </w:r>
      <w:r>
        <w:tab/>
        <w:t>On dénombre en Géorgie 829 600 enfants âgés de 7 à 17 ans. L’effectif des différents groupes d’âge est le suivant: 7 à 8 ans – 141 200 (17 %); 9 à 11 ans – 214 000 (25,8 %); 12 à 14 ans – 237 800 (28,7 %); 15 à 17 ans – 236 600 (28,5 %).</w:t>
      </w:r>
    </w:p>
    <w:p w:rsidR="00000000" w:rsidRDefault="00000000">
      <w:pPr>
        <w:spacing w:after="240"/>
      </w:pPr>
      <w:r>
        <w:t>136.</w:t>
      </w:r>
      <w:r>
        <w:tab/>
        <w:t>La répartition entre filles et garçons est la suivante: 49 % de filles (406 900) et 51 % de garçons (422 700).</w:t>
      </w:r>
    </w:p>
    <w:p w:rsidR="00000000" w:rsidRDefault="00000000">
      <w:pPr>
        <w:spacing w:after="240"/>
      </w:pPr>
      <w:r>
        <w:t>137.</w:t>
      </w:r>
      <w:r>
        <w:tab/>
        <w:t>Parmi les enfants de 15 à 17 ans, (l’âge minimum d’admission à l’emploi est de 15 ans) 7,66 % exercent une activité économique, 61,9 % sont employés dans l’entreprise familiale et 14,1 % ne sont pas scolarisés. Ventilés par sexe, ces chiffres sont les suivants:</w:t>
      </w:r>
    </w:p>
    <w:p w:rsidR="00000000" w:rsidRDefault="00000000">
      <w:pPr>
        <w:spacing w:after="240"/>
        <w:ind w:firstLine="567"/>
      </w:pPr>
      <w:r>
        <w:t>–</w:t>
      </w:r>
      <w:r>
        <w:tab/>
        <w:t>Garçons: 5,2 %; 41,1 %; 5,2 %</w:t>
      </w:r>
    </w:p>
    <w:p w:rsidR="00000000" w:rsidRDefault="00000000">
      <w:pPr>
        <w:spacing w:after="240"/>
        <w:ind w:firstLine="567"/>
      </w:pPr>
      <w:r>
        <w:t>–</w:t>
      </w:r>
      <w:r>
        <w:tab/>
        <w:t>Filles: 3,8 %; 61,1 %; 3,8 %.</w:t>
      </w:r>
    </w:p>
    <w:p w:rsidR="00000000" w:rsidRDefault="00000000">
      <w:pPr>
        <w:spacing w:after="240"/>
      </w:pPr>
      <w:r>
        <w:t>138.</w:t>
      </w:r>
      <w:r>
        <w:tab/>
        <w:t>La répartition par branche d’activité des enfants occupant un emploi est la suivante: agriculture – 70,3 %; industries de transformation – 3,6 %; bâtiment et travaux publics – 1,4 %; services techniques – 15,2 %; transports et communications – 1,2 %; éducation – 0,5 %; autres branches – 7,8 %.</w:t>
      </w:r>
    </w:p>
    <w:p w:rsidR="00000000" w:rsidRDefault="00000000">
      <w:pPr>
        <w:spacing w:after="240"/>
      </w:pPr>
      <w:r>
        <w:t>139.</w:t>
      </w:r>
      <w:r>
        <w:tab/>
        <w:t>La journée de travail moyenne des enfants employés est de 5,8 heures.</w:t>
      </w:r>
    </w:p>
    <w:p w:rsidR="00000000" w:rsidRDefault="00000000">
      <w:pPr>
        <w:spacing w:after="240"/>
      </w:pPr>
      <w:r>
        <w:t>140.</w:t>
      </w:r>
      <w:r>
        <w:tab/>
        <w:t>Il n’existe dans le pays aucun groupe d’enfants ou d’adolescents qui ne seraient pas couverts par les mesures de protection et d’aide. Des renseignements assez détaillés sur la protection spéciale accordée à certains groupes d’enfants figurent dans le rapport initial de la Géorgie sur l’application de la Convention relative aux droits des enfants ainsi que dans les réponses écrites à la liste des points à traiter du Comité des droits de l’enfant (avril 2000).</w:t>
      </w:r>
    </w:p>
    <w:p w:rsidR="00000000" w:rsidRDefault="00000000">
      <w:pPr>
        <w:keepNext/>
        <w:spacing w:after="240"/>
      </w:pPr>
      <w:r>
        <w:t>141.</w:t>
      </w:r>
      <w:r>
        <w:tab/>
        <w:t>Pour compléter ces renseignements, il est utile de se reporter également au deuxième rapport périodique sur la mise en œuvre du Pacte international relatif aux droits civils et politiques, (par. 525 à 530).</w:t>
      </w:r>
    </w:p>
    <w:p w:rsidR="00000000" w:rsidRDefault="00000000">
      <w:pPr>
        <w:keepNext/>
        <w:spacing w:after="240"/>
        <w:rPr>
          <w:u w:val="single"/>
        </w:rPr>
      </w:pPr>
      <w:r>
        <w:rPr>
          <w:u w:val="single"/>
        </w:rPr>
        <w:t>Article 11</w:t>
      </w:r>
    </w:p>
    <w:p w:rsidR="00000000" w:rsidRDefault="00000000">
      <w:pPr>
        <w:keepNext/>
        <w:spacing w:after="240"/>
        <w:ind w:firstLine="567"/>
        <w:rPr>
          <w:u w:val="single"/>
        </w:rPr>
      </w:pPr>
      <w:r>
        <w:rPr>
          <w:u w:val="single"/>
        </w:rPr>
        <w:t>Le niveau de vie de la population</w:t>
      </w:r>
    </w:p>
    <w:p w:rsidR="00000000" w:rsidRDefault="00000000">
      <w:pPr>
        <w:spacing w:after="240"/>
      </w:pPr>
      <w:r>
        <w:t>142.</w:t>
      </w:r>
      <w:r>
        <w:tab/>
        <w:t>En décembre 2000, le minimum vital dans les villes de Géorgie, calculé en prix constants conformément aux normes en vigueur actuellement s’établissait comme suit: pour les hommes en âge de travailler – 104,5 lari; pour le consommateur moyen – 100,4 lari; pour la famille moyenne – 199,2 lari. L’évolution du minimum vital calculé de cette façon pour divers types de familles a été la suivante: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27"/>
        <w:gridCol w:w="1202"/>
        <w:gridCol w:w="1203"/>
        <w:gridCol w:w="1202"/>
        <w:gridCol w:w="1203"/>
        <w:gridCol w:w="1203"/>
        <w:gridCol w:w="1320"/>
      </w:tblGrid>
      <w:tr w:rsidR="00000000">
        <w:tblPrEx>
          <w:tblCellMar>
            <w:top w:w="0" w:type="dxa"/>
            <w:bottom w:w="0" w:type="dxa"/>
          </w:tblCellMar>
        </w:tblPrEx>
        <w:tc>
          <w:tcPr>
            <w:tcW w:w="2027" w:type="dxa"/>
            <w:vAlign w:val="center"/>
          </w:tcPr>
          <w:p w:rsidR="00000000" w:rsidRDefault="00000000">
            <w:pPr>
              <w:spacing w:before="60" w:after="60"/>
              <w:jc w:val="center"/>
              <w:rPr>
                <w:sz w:val="22"/>
              </w:rPr>
            </w:pPr>
            <w:r>
              <w:rPr>
                <w:sz w:val="22"/>
              </w:rPr>
              <w:t>Composition de la famille</w:t>
            </w:r>
          </w:p>
        </w:tc>
        <w:tc>
          <w:tcPr>
            <w:tcW w:w="1202" w:type="dxa"/>
            <w:vAlign w:val="center"/>
          </w:tcPr>
          <w:p w:rsidR="00000000" w:rsidRDefault="00000000">
            <w:pPr>
              <w:spacing w:before="60" w:after="60"/>
              <w:jc w:val="center"/>
              <w:rPr>
                <w:sz w:val="22"/>
              </w:rPr>
            </w:pPr>
            <w:r>
              <w:rPr>
                <w:sz w:val="22"/>
              </w:rPr>
              <w:t>Membre unique</w:t>
            </w:r>
          </w:p>
        </w:tc>
        <w:tc>
          <w:tcPr>
            <w:tcW w:w="1203" w:type="dxa"/>
            <w:vAlign w:val="center"/>
          </w:tcPr>
          <w:p w:rsidR="00000000" w:rsidRDefault="00000000">
            <w:pPr>
              <w:spacing w:before="60" w:after="60"/>
              <w:jc w:val="center"/>
              <w:rPr>
                <w:sz w:val="22"/>
              </w:rPr>
            </w:pPr>
            <w:r>
              <w:rPr>
                <w:sz w:val="22"/>
              </w:rPr>
              <w:t>Deux membres</w:t>
            </w:r>
          </w:p>
        </w:tc>
        <w:tc>
          <w:tcPr>
            <w:tcW w:w="1202" w:type="dxa"/>
            <w:vAlign w:val="center"/>
          </w:tcPr>
          <w:p w:rsidR="00000000" w:rsidRDefault="00000000">
            <w:pPr>
              <w:spacing w:before="60" w:after="60"/>
              <w:jc w:val="center"/>
              <w:rPr>
                <w:sz w:val="22"/>
              </w:rPr>
            </w:pPr>
            <w:r>
              <w:rPr>
                <w:sz w:val="22"/>
              </w:rPr>
              <w:t>Trois membres</w:t>
            </w:r>
          </w:p>
        </w:tc>
        <w:tc>
          <w:tcPr>
            <w:tcW w:w="1203" w:type="dxa"/>
            <w:vAlign w:val="center"/>
          </w:tcPr>
          <w:p w:rsidR="00000000" w:rsidRDefault="00000000">
            <w:pPr>
              <w:spacing w:before="60" w:after="60"/>
              <w:jc w:val="center"/>
              <w:rPr>
                <w:sz w:val="22"/>
              </w:rPr>
            </w:pPr>
            <w:r>
              <w:rPr>
                <w:sz w:val="22"/>
              </w:rPr>
              <w:t>Quatre membres</w:t>
            </w:r>
          </w:p>
        </w:tc>
        <w:tc>
          <w:tcPr>
            <w:tcW w:w="1203" w:type="dxa"/>
            <w:vAlign w:val="center"/>
          </w:tcPr>
          <w:p w:rsidR="00000000" w:rsidRDefault="00000000">
            <w:pPr>
              <w:spacing w:before="60" w:after="60"/>
              <w:jc w:val="center"/>
              <w:rPr>
                <w:sz w:val="22"/>
              </w:rPr>
            </w:pPr>
            <w:r>
              <w:rPr>
                <w:sz w:val="22"/>
              </w:rPr>
              <w:t>Cinq membres</w:t>
            </w:r>
          </w:p>
        </w:tc>
        <w:tc>
          <w:tcPr>
            <w:tcW w:w="1320" w:type="dxa"/>
            <w:vAlign w:val="center"/>
          </w:tcPr>
          <w:p w:rsidR="00000000" w:rsidRDefault="00000000">
            <w:pPr>
              <w:spacing w:before="60" w:after="60"/>
              <w:jc w:val="center"/>
              <w:rPr>
                <w:sz w:val="22"/>
              </w:rPr>
            </w:pPr>
            <w:r>
              <w:rPr>
                <w:sz w:val="22"/>
              </w:rPr>
              <w:t>Six membres et plus</w:t>
            </w:r>
          </w:p>
        </w:tc>
      </w:tr>
      <w:tr w:rsidR="00000000">
        <w:tblPrEx>
          <w:tblCellMar>
            <w:top w:w="0" w:type="dxa"/>
            <w:bottom w:w="0" w:type="dxa"/>
          </w:tblCellMar>
        </w:tblPrEx>
        <w:tc>
          <w:tcPr>
            <w:tcW w:w="2027" w:type="dxa"/>
          </w:tcPr>
          <w:p w:rsidR="00000000" w:rsidRDefault="00000000">
            <w:pPr>
              <w:spacing w:before="60" w:after="60"/>
              <w:rPr>
                <w:sz w:val="22"/>
              </w:rPr>
            </w:pPr>
            <w:r>
              <w:rPr>
                <w:sz w:val="22"/>
              </w:rPr>
              <w:t>Décembre 1999</w:t>
            </w:r>
          </w:p>
        </w:tc>
        <w:tc>
          <w:tcPr>
            <w:tcW w:w="1202" w:type="dxa"/>
          </w:tcPr>
          <w:p w:rsidR="00000000" w:rsidRDefault="00000000">
            <w:pPr>
              <w:spacing w:before="60" w:after="60"/>
              <w:jc w:val="right"/>
              <w:rPr>
                <w:sz w:val="22"/>
              </w:rPr>
            </w:pPr>
            <w:r>
              <w:rPr>
                <w:sz w:val="22"/>
              </w:rPr>
              <w:t>96,7</w:t>
            </w:r>
          </w:p>
        </w:tc>
        <w:tc>
          <w:tcPr>
            <w:tcW w:w="1203" w:type="dxa"/>
          </w:tcPr>
          <w:p w:rsidR="00000000" w:rsidRDefault="00000000">
            <w:pPr>
              <w:spacing w:before="60" w:after="60"/>
              <w:jc w:val="right"/>
              <w:rPr>
                <w:sz w:val="22"/>
              </w:rPr>
            </w:pPr>
            <w:r>
              <w:rPr>
                <w:sz w:val="22"/>
              </w:rPr>
              <w:t>154,8</w:t>
            </w:r>
          </w:p>
        </w:tc>
        <w:tc>
          <w:tcPr>
            <w:tcW w:w="1202" w:type="dxa"/>
          </w:tcPr>
          <w:p w:rsidR="00000000" w:rsidRDefault="00000000">
            <w:pPr>
              <w:spacing w:before="60" w:after="60"/>
              <w:jc w:val="right"/>
              <w:rPr>
                <w:sz w:val="22"/>
              </w:rPr>
            </w:pPr>
            <w:r>
              <w:rPr>
                <w:sz w:val="22"/>
              </w:rPr>
              <w:t>174,1</w:t>
            </w:r>
          </w:p>
        </w:tc>
        <w:tc>
          <w:tcPr>
            <w:tcW w:w="1203" w:type="dxa"/>
          </w:tcPr>
          <w:p w:rsidR="00000000" w:rsidRDefault="00000000">
            <w:pPr>
              <w:spacing w:before="60" w:after="60"/>
              <w:jc w:val="right"/>
              <w:rPr>
                <w:sz w:val="22"/>
              </w:rPr>
            </w:pPr>
            <w:r>
              <w:rPr>
                <w:sz w:val="22"/>
              </w:rPr>
              <w:t>193,5</w:t>
            </w:r>
          </w:p>
        </w:tc>
        <w:tc>
          <w:tcPr>
            <w:tcW w:w="1203" w:type="dxa"/>
          </w:tcPr>
          <w:p w:rsidR="00000000" w:rsidRDefault="00000000">
            <w:pPr>
              <w:spacing w:before="60" w:after="60"/>
              <w:jc w:val="right"/>
              <w:rPr>
                <w:sz w:val="22"/>
              </w:rPr>
            </w:pPr>
            <w:r>
              <w:rPr>
                <w:sz w:val="22"/>
              </w:rPr>
              <w:t>217,6</w:t>
            </w:r>
          </w:p>
        </w:tc>
        <w:tc>
          <w:tcPr>
            <w:tcW w:w="1320" w:type="dxa"/>
          </w:tcPr>
          <w:p w:rsidR="00000000" w:rsidRDefault="00000000">
            <w:pPr>
              <w:spacing w:before="60" w:after="60"/>
              <w:jc w:val="right"/>
              <w:rPr>
                <w:sz w:val="22"/>
              </w:rPr>
            </w:pPr>
            <w:r>
              <w:rPr>
                <w:sz w:val="22"/>
              </w:rPr>
              <w:t>301,8</w:t>
            </w:r>
          </w:p>
        </w:tc>
      </w:tr>
      <w:tr w:rsidR="00000000">
        <w:tblPrEx>
          <w:tblCellMar>
            <w:top w:w="0" w:type="dxa"/>
            <w:bottom w:w="0" w:type="dxa"/>
          </w:tblCellMar>
        </w:tblPrEx>
        <w:tc>
          <w:tcPr>
            <w:tcW w:w="2027" w:type="dxa"/>
          </w:tcPr>
          <w:p w:rsidR="00000000" w:rsidRDefault="00000000">
            <w:pPr>
              <w:spacing w:before="60" w:after="60"/>
              <w:rPr>
                <w:sz w:val="22"/>
              </w:rPr>
            </w:pPr>
            <w:r>
              <w:rPr>
                <w:sz w:val="22"/>
              </w:rPr>
              <w:t>2000</w:t>
            </w:r>
          </w:p>
        </w:tc>
        <w:tc>
          <w:tcPr>
            <w:tcW w:w="1202" w:type="dxa"/>
          </w:tcPr>
          <w:p w:rsidR="00000000" w:rsidRDefault="00000000">
            <w:pPr>
              <w:spacing w:before="60" w:after="60"/>
              <w:jc w:val="right"/>
              <w:rPr>
                <w:sz w:val="22"/>
              </w:rPr>
            </w:pPr>
          </w:p>
        </w:tc>
        <w:tc>
          <w:tcPr>
            <w:tcW w:w="1203" w:type="dxa"/>
          </w:tcPr>
          <w:p w:rsidR="00000000" w:rsidRDefault="00000000">
            <w:pPr>
              <w:spacing w:before="60" w:after="60"/>
              <w:jc w:val="right"/>
              <w:rPr>
                <w:sz w:val="22"/>
              </w:rPr>
            </w:pPr>
          </w:p>
        </w:tc>
        <w:tc>
          <w:tcPr>
            <w:tcW w:w="1202" w:type="dxa"/>
          </w:tcPr>
          <w:p w:rsidR="00000000" w:rsidRDefault="00000000">
            <w:pPr>
              <w:spacing w:before="60" w:after="60"/>
              <w:jc w:val="right"/>
              <w:rPr>
                <w:sz w:val="22"/>
              </w:rPr>
            </w:pPr>
          </w:p>
        </w:tc>
        <w:tc>
          <w:tcPr>
            <w:tcW w:w="1203" w:type="dxa"/>
          </w:tcPr>
          <w:p w:rsidR="00000000" w:rsidRDefault="00000000">
            <w:pPr>
              <w:spacing w:before="60" w:after="60"/>
              <w:jc w:val="right"/>
              <w:rPr>
                <w:sz w:val="22"/>
              </w:rPr>
            </w:pPr>
          </w:p>
        </w:tc>
        <w:tc>
          <w:tcPr>
            <w:tcW w:w="1203" w:type="dxa"/>
          </w:tcPr>
          <w:p w:rsidR="00000000" w:rsidRDefault="00000000">
            <w:pPr>
              <w:spacing w:before="60" w:after="60"/>
              <w:jc w:val="right"/>
              <w:rPr>
                <w:sz w:val="22"/>
              </w:rPr>
            </w:pPr>
          </w:p>
        </w:tc>
        <w:tc>
          <w:tcPr>
            <w:tcW w:w="1320" w:type="dxa"/>
          </w:tcPr>
          <w:p w:rsidR="00000000" w:rsidRDefault="00000000">
            <w:pPr>
              <w:spacing w:before="60" w:after="60"/>
              <w:jc w:val="right"/>
              <w:rPr>
                <w:sz w:val="22"/>
              </w:rPr>
            </w:pPr>
          </w:p>
        </w:tc>
      </w:tr>
      <w:tr w:rsidR="00000000">
        <w:tblPrEx>
          <w:tblCellMar>
            <w:top w:w="0" w:type="dxa"/>
            <w:bottom w:w="0" w:type="dxa"/>
          </w:tblCellMar>
        </w:tblPrEx>
        <w:tc>
          <w:tcPr>
            <w:tcW w:w="2027" w:type="dxa"/>
          </w:tcPr>
          <w:p w:rsidR="00000000" w:rsidRDefault="00000000">
            <w:pPr>
              <w:spacing w:before="60" w:after="60"/>
              <w:rPr>
                <w:sz w:val="22"/>
              </w:rPr>
            </w:pPr>
            <w:r>
              <w:rPr>
                <w:sz w:val="22"/>
              </w:rPr>
              <w:t>Janvier</w:t>
            </w:r>
          </w:p>
        </w:tc>
        <w:tc>
          <w:tcPr>
            <w:tcW w:w="1202" w:type="dxa"/>
          </w:tcPr>
          <w:p w:rsidR="00000000" w:rsidRDefault="00000000">
            <w:pPr>
              <w:spacing w:before="60" w:after="60"/>
              <w:jc w:val="right"/>
              <w:rPr>
                <w:sz w:val="22"/>
              </w:rPr>
            </w:pPr>
            <w:r>
              <w:rPr>
                <w:sz w:val="22"/>
              </w:rPr>
              <w:t>103,4</w:t>
            </w:r>
          </w:p>
        </w:tc>
        <w:tc>
          <w:tcPr>
            <w:tcW w:w="1203" w:type="dxa"/>
          </w:tcPr>
          <w:p w:rsidR="00000000" w:rsidRDefault="00000000">
            <w:pPr>
              <w:spacing w:before="60" w:after="60"/>
              <w:jc w:val="right"/>
              <w:rPr>
                <w:sz w:val="22"/>
              </w:rPr>
            </w:pPr>
            <w:r>
              <w:rPr>
                <w:sz w:val="22"/>
              </w:rPr>
              <w:t>165,5</w:t>
            </w:r>
          </w:p>
        </w:tc>
        <w:tc>
          <w:tcPr>
            <w:tcW w:w="1202" w:type="dxa"/>
          </w:tcPr>
          <w:p w:rsidR="00000000" w:rsidRDefault="00000000">
            <w:pPr>
              <w:spacing w:before="60" w:after="60"/>
              <w:jc w:val="right"/>
              <w:rPr>
                <w:sz w:val="22"/>
              </w:rPr>
            </w:pPr>
            <w:r>
              <w:rPr>
                <w:sz w:val="22"/>
              </w:rPr>
              <w:t>186,2</w:t>
            </w:r>
          </w:p>
        </w:tc>
        <w:tc>
          <w:tcPr>
            <w:tcW w:w="1203" w:type="dxa"/>
          </w:tcPr>
          <w:p w:rsidR="00000000" w:rsidRDefault="00000000">
            <w:pPr>
              <w:spacing w:before="60" w:after="60"/>
              <w:jc w:val="right"/>
              <w:rPr>
                <w:sz w:val="22"/>
              </w:rPr>
            </w:pPr>
            <w:r>
              <w:rPr>
                <w:sz w:val="22"/>
              </w:rPr>
              <w:t>206,9</w:t>
            </w:r>
          </w:p>
        </w:tc>
        <w:tc>
          <w:tcPr>
            <w:tcW w:w="1203" w:type="dxa"/>
          </w:tcPr>
          <w:p w:rsidR="00000000" w:rsidRDefault="00000000">
            <w:pPr>
              <w:spacing w:before="60" w:after="60"/>
              <w:jc w:val="right"/>
              <w:rPr>
                <w:sz w:val="22"/>
              </w:rPr>
            </w:pPr>
            <w:r>
              <w:rPr>
                <w:sz w:val="22"/>
              </w:rPr>
              <w:t>232,7</w:t>
            </w:r>
          </w:p>
        </w:tc>
        <w:tc>
          <w:tcPr>
            <w:tcW w:w="1320" w:type="dxa"/>
          </w:tcPr>
          <w:p w:rsidR="00000000" w:rsidRDefault="00000000">
            <w:pPr>
              <w:spacing w:before="60" w:after="60"/>
              <w:jc w:val="right"/>
              <w:rPr>
                <w:sz w:val="22"/>
              </w:rPr>
            </w:pPr>
            <w:r>
              <w:rPr>
                <w:sz w:val="22"/>
              </w:rPr>
              <w:t>322,7</w:t>
            </w:r>
          </w:p>
        </w:tc>
      </w:tr>
      <w:tr w:rsidR="00000000">
        <w:tblPrEx>
          <w:tblCellMar>
            <w:top w:w="0" w:type="dxa"/>
            <w:bottom w:w="0" w:type="dxa"/>
          </w:tblCellMar>
        </w:tblPrEx>
        <w:tc>
          <w:tcPr>
            <w:tcW w:w="2027" w:type="dxa"/>
          </w:tcPr>
          <w:p w:rsidR="00000000" w:rsidRDefault="00000000">
            <w:pPr>
              <w:spacing w:before="60" w:after="60"/>
              <w:rPr>
                <w:sz w:val="22"/>
              </w:rPr>
            </w:pPr>
            <w:r>
              <w:rPr>
                <w:sz w:val="22"/>
              </w:rPr>
              <w:t>Février</w:t>
            </w:r>
          </w:p>
        </w:tc>
        <w:tc>
          <w:tcPr>
            <w:tcW w:w="1202" w:type="dxa"/>
          </w:tcPr>
          <w:p w:rsidR="00000000" w:rsidRDefault="00000000">
            <w:pPr>
              <w:spacing w:before="60" w:after="60"/>
              <w:jc w:val="right"/>
              <w:rPr>
                <w:sz w:val="22"/>
              </w:rPr>
            </w:pPr>
            <w:r>
              <w:rPr>
                <w:sz w:val="22"/>
              </w:rPr>
              <w:t>104,0</w:t>
            </w:r>
          </w:p>
        </w:tc>
        <w:tc>
          <w:tcPr>
            <w:tcW w:w="1203" w:type="dxa"/>
          </w:tcPr>
          <w:p w:rsidR="00000000" w:rsidRDefault="00000000">
            <w:pPr>
              <w:spacing w:before="60" w:after="60"/>
              <w:jc w:val="right"/>
              <w:rPr>
                <w:sz w:val="22"/>
              </w:rPr>
            </w:pPr>
            <w:r>
              <w:rPr>
                <w:sz w:val="22"/>
              </w:rPr>
              <w:t>166,3</w:t>
            </w:r>
          </w:p>
        </w:tc>
        <w:tc>
          <w:tcPr>
            <w:tcW w:w="1202" w:type="dxa"/>
          </w:tcPr>
          <w:p w:rsidR="00000000" w:rsidRDefault="00000000">
            <w:pPr>
              <w:spacing w:before="60" w:after="60"/>
              <w:jc w:val="right"/>
              <w:rPr>
                <w:sz w:val="22"/>
              </w:rPr>
            </w:pPr>
            <w:r>
              <w:rPr>
                <w:sz w:val="22"/>
              </w:rPr>
              <w:t>186,1</w:t>
            </w:r>
          </w:p>
        </w:tc>
        <w:tc>
          <w:tcPr>
            <w:tcW w:w="1203" w:type="dxa"/>
          </w:tcPr>
          <w:p w:rsidR="00000000" w:rsidRDefault="00000000">
            <w:pPr>
              <w:spacing w:before="60" w:after="60"/>
              <w:jc w:val="right"/>
              <w:rPr>
                <w:sz w:val="22"/>
              </w:rPr>
            </w:pPr>
            <w:r>
              <w:rPr>
                <w:sz w:val="22"/>
              </w:rPr>
              <w:t>207,9</w:t>
            </w:r>
          </w:p>
        </w:tc>
        <w:tc>
          <w:tcPr>
            <w:tcW w:w="1203" w:type="dxa"/>
          </w:tcPr>
          <w:p w:rsidR="00000000" w:rsidRDefault="00000000">
            <w:pPr>
              <w:spacing w:before="60" w:after="60"/>
              <w:jc w:val="right"/>
              <w:rPr>
                <w:sz w:val="22"/>
              </w:rPr>
            </w:pPr>
            <w:r>
              <w:rPr>
                <w:sz w:val="22"/>
              </w:rPr>
              <w:t>233,9</w:t>
            </w:r>
          </w:p>
        </w:tc>
        <w:tc>
          <w:tcPr>
            <w:tcW w:w="1320" w:type="dxa"/>
          </w:tcPr>
          <w:p w:rsidR="00000000" w:rsidRDefault="00000000">
            <w:pPr>
              <w:spacing w:before="60" w:after="60"/>
              <w:jc w:val="right"/>
              <w:rPr>
                <w:sz w:val="22"/>
              </w:rPr>
            </w:pPr>
            <w:r>
              <w:rPr>
                <w:sz w:val="22"/>
              </w:rPr>
              <w:t>324,4</w:t>
            </w:r>
          </w:p>
        </w:tc>
      </w:tr>
      <w:tr w:rsidR="00000000">
        <w:tblPrEx>
          <w:tblCellMar>
            <w:top w:w="0" w:type="dxa"/>
            <w:bottom w:w="0" w:type="dxa"/>
          </w:tblCellMar>
        </w:tblPrEx>
        <w:tc>
          <w:tcPr>
            <w:tcW w:w="2027" w:type="dxa"/>
          </w:tcPr>
          <w:p w:rsidR="00000000" w:rsidRDefault="00000000">
            <w:pPr>
              <w:spacing w:before="60" w:after="60"/>
              <w:rPr>
                <w:sz w:val="22"/>
              </w:rPr>
            </w:pPr>
            <w:r>
              <w:rPr>
                <w:sz w:val="22"/>
              </w:rPr>
              <w:t>Mars</w:t>
            </w:r>
          </w:p>
        </w:tc>
        <w:tc>
          <w:tcPr>
            <w:tcW w:w="1202" w:type="dxa"/>
          </w:tcPr>
          <w:p w:rsidR="00000000" w:rsidRDefault="00000000">
            <w:pPr>
              <w:spacing w:before="60" w:after="60"/>
              <w:jc w:val="right"/>
              <w:rPr>
                <w:sz w:val="22"/>
              </w:rPr>
            </w:pPr>
            <w:r>
              <w:rPr>
                <w:sz w:val="22"/>
              </w:rPr>
              <w:t>102,2</w:t>
            </w:r>
          </w:p>
        </w:tc>
        <w:tc>
          <w:tcPr>
            <w:tcW w:w="1203" w:type="dxa"/>
          </w:tcPr>
          <w:p w:rsidR="00000000" w:rsidRDefault="00000000">
            <w:pPr>
              <w:spacing w:before="60" w:after="60"/>
              <w:jc w:val="right"/>
              <w:rPr>
                <w:sz w:val="22"/>
              </w:rPr>
            </w:pPr>
            <w:r>
              <w:rPr>
                <w:sz w:val="22"/>
              </w:rPr>
              <w:t>163,5</w:t>
            </w:r>
          </w:p>
        </w:tc>
        <w:tc>
          <w:tcPr>
            <w:tcW w:w="1202" w:type="dxa"/>
          </w:tcPr>
          <w:p w:rsidR="00000000" w:rsidRDefault="00000000">
            <w:pPr>
              <w:spacing w:before="60" w:after="60"/>
              <w:jc w:val="right"/>
              <w:rPr>
                <w:sz w:val="22"/>
              </w:rPr>
            </w:pPr>
            <w:r>
              <w:rPr>
                <w:sz w:val="22"/>
              </w:rPr>
              <w:t>183,9</w:t>
            </w:r>
          </w:p>
        </w:tc>
        <w:tc>
          <w:tcPr>
            <w:tcW w:w="1203" w:type="dxa"/>
          </w:tcPr>
          <w:p w:rsidR="00000000" w:rsidRDefault="00000000">
            <w:pPr>
              <w:spacing w:before="60" w:after="60"/>
              <w:jc w:val="right"/>
              <w:rPr>
                <w:sz w:val="22"/>
              </w:rPr>
            </w:pPr>
            <w:r>
              <w:rPr>
                <w:sz w:val="22"/>
              </w:rPr>
              <w:t>204,4</w:t>
            </w:r>
          </w:p>
        </w:tc>
        <w:tc>
          <w:tcPr>
            <w:tcW w:w="1203" w:type="dxa"/>
          </w:tcPr>
          <w:p w:rsidR="00000000" w:rsidRDefault="00000000">
            <w:pPr>
              <w:spacing w:before="60" w:after="60"/>
              <w:jc w:val="right"/>
              <w:rPr>
                <w:sz w:val="22"/>
              </w:rPr>
            </w:pPr>
            <w:r>
              <w:rPr>
                <w:sz w:val="22"/>
              </w:rPr>
              <w:t>229,9</w:t>
            </w:r>
          </w:p>
        </w:tc>
        <w:tc>
          <w:tcPr>
            <w:tcW w:w="1320" w:type="dxa"/>
          </w:tcPr>
          <w:p w:rsidR="00000000" w:rsidRDefault="00000000">
            <w:pPr>
              <w:spacing w:before="60" w:after="60"/>
              <w:jc w:val="right"/>
              <w:rPr>
                <w:sz w:val="22"/>
              </w:rPr>
            </w:pPr>
            <w:r>
              <w:rPr>
                <w:sz w:val="22"/>
              </w:rPr>
              <w:t>318,8</w:t>
            </w:r>
          </w:p>
        </w:tc>
      </w:tr>
      <w:tr w:rsidR="00000000">
        <w:tblPrEx>
          <w:tblCellMar>
            <w:top w:w="0" w:type="dxa"/>
            <w:bottom w:w="0" w:type="dxa"/>
          </w:tblCellMar>
        </w:tblPrEx>
        <w:tc>
          <w:tcPr>
            <w:tcW w:w="2027" w:type="dxa"/>
          </w:tcPr>
          <w:p w:rsidR="00000000" w:rsidRDefault="00000000">
            <w:pPr>
              <w:spacing w:before="60" w:after="60"/>
              <w:rPr>
                <w:sz w:val="22"/>
              </w:rPr>
            </w:pPr>
            <w:r>
              <w:rPr>
                <w:sz w:val="22"/>
              </w:rPr>
              <w:t>Avril</w:t>
            </w:r>
          </w:p>
        </w:tc>
        <w:tc>
          <w:tcPr>
            <w:tcW w:w="1202" w:type="dxa"/>
          </w:tcPr>
          <w:p w:rsidR="00000000" w:rsidRDefault="00000000">
            <w:pPr>
              <w:spacing w:before="60" w:after="60"/>
              <w:jc w:val="right"/>
              <w:rPr>
                <w:sz w:val="22"/>
              </w:rPr>
            </w:pPr>
            <w:r>
              <w:rPr>
                <w:sz w:val="22"/>
              </w:rPr>
              <w:t>103,3</w:t>
            </w:r>
          </w:p>
        </w:tc>
        <w:tc>
          <w:tcPr>
            <w:tcW w:w="1203" w:type="dxa"/>
          </w:tcPr>
          <w:p w:rsidR="00000000" w:rsidRDefault="00000000">
            <w:pPr>
              <w:spacing w:before="60" w:after="60"/>
              <w:jc w:val="right"/>
              <w:rPr>
                <w:sz w:val="22"/>
              </w:rPr>
            </w:pPr>
            <w:r>
              <w:rPr>
                <w:sz w:val="22"/>
              </w:rPr>
              <w:t>165,3</w:t>
            </w:r>
          </w:p>
        </w:tc>
        <w:tc>
          <w:tcPr>
            <w:tcW w:w="1202" w:type="dxa"/>
          </w:tcPr>
          <w:p w:rsidR="00000000" w:rsidRDefault="00000000">
            <w:pPr>
              <w:spacing w:before="60" w:after="60"/>
              <w:jc w:val="right"/>
              <w:rPr>
                <w:sz w:val="22"/>
              </w:rPr>
            </w:pPr>
            <w:r>
              <w:rPr>
                <w:sz w:val="22"/>
              </w:rPr>
              <w:t>186,0</w:t>
            </w:r>
          </w:p>
        </w:tc>
        <w:tc>
          <w:tcPr>
            <w:tcW w:w="1203" w:type="dxa"/>
          </w:tcPr>
          <w:p w:rsidR="00000000" w:rsidRDefault="00000000">
            <w:pPr>
              <w:spacing w:before="60" w:after="60"/>
              <w:jc w:val="right"/>
              <w:rPr>
                <w:sz w:val="22"/>
              </w:rPr>
            </w:pPr>
            <w:r>
              <w:rPr>
                <w:sz w:val="22"/>
              </w:rPr>
              <w:t>206,6</w:t>
            </w:r>
          </w:p>
        </w:tc>
        <w:tc>
          <w:tcPr>
            <w:tcW w:w="1203" w:type="dxa"/>
          </w:tcPr>
          <w:p w:rsidR="00000000" w:rsidRDefault="00000000">
            <w:pPr>
              <w:spacing w:before="60" w:after="60"/>
              <w:jc w:val="right"/>
              <w:rPr>
                <w:sz w:val="22"/>
              </w:rPr>
            </w:pPr>
            <w:r>
              <w:rPr>
                <w:sz w:val="22"/>
              </w:rPr>
              <w:t>232,5</w:t>
            </w:r>
          </w:p>
        </w:tc>
        <w:tc>
          <w:tcPr>
            <w:tcW w:w="1320" w:type="dxa"/>
          </w:tcPr>
          <w:p w:rsidR="00000000" w:rsidRDefault="00000000">
            <w:pPr>
              <w:spacing w:before="60" w:after="60"/>
              <w:jc w:val="right"/>
              <w:rPr>
                <w:sz w:val="22"/>
              </w:rPr>
            </w:pPr>
            <w:r>
              <w:rPr>
                <w:sz w:val="22"/>
              </w:rPr>
              <w:t>322,4</w:t>
            </w:r>
          </w:p>
        </w:tc>
      </w:tr>
      <w:tr w:rsidR="00000000">
        <w:tblPrEx>
          <w:tblCellMar>
            <w:top w:w="0" w:type="dxa"/>
            <w:bottom w:w="0" w:type="dxa"/>
          </w:tblCellMar>
        </w:tblPrEx>
        <w:tc>
          <w:tcPr>
            <w:tcW w:w="2027" w:type="dxa"/>
          </w:tcPr>
          <w:p w:rsidR="00000000" w:rsidRDefault="00000000">
            <w:pPr>
              <w:spacing w:before="60" w:after="60"/>
              <w:rPr>
                <w:sz w:val="22"/>
              </w:rPr>
            </w:pPr>
            <w:r>
              <w:rPr>
                <w:sz w:val="22"/>
              </w:rPr>
              <w:t>Mai</w:t>
            </w:r>
          </w:p>
        </w:tc>
        <w:tc>
          <w:tcPr>
            <w:tcW w:w="1202" w:type="dxa"/>
          </w:tcPr>
          <w:p w:rsidR="00000000" w:rsidRDefault="00000000">
            <w:pPr>
              <w:spacing w:before="60" w:after="60"/>
              <w:jc w:val="right"/>
              <w:rPr>
                <w:sz w:val="22"/>
              </w:rPr>
            </w:pPr>
            <w:r>
              <w:rPr>
                <w:sz w:val="22"/>
              </w:rPr>
              <w:t>100,5</w:t>
            </w:r>
          </w:p>
        </w:tc>
        <w:tc>
          <w:tcPr>
            <w:tcW w:w="1203" w:type="dxa"/>
          </w:tcPr>
          <w:p w:rsidR="00000000" w:rsidRDefault="00000000">
            <w:pPr>
              <w:spacing w:before="60" w:after="60"/>
              <w:jc w:val="right"/>
              <w:rPr>
                <w:sz w:val="22"/>
              </w:rPr>
            </w:pPr>
            <w:r>
              <w:rPr>
                <w:sz w:val="22"/>
              </w:rPr>
              <w:t>160,8</w:t>
            </w:r>
          </w:p>
        </w:tc>
        <w:tc>
          <w:tcPr>
            <w:tcW w:w="1202" w:type="dxa"/>
          </w:tcPr>
          <w:p w:rsidR="00000000" w:rsidRDefault="00000000">
            <w:pPr>
              <w:spacing w:before="60" w:after="60"/>
              <w:jc w:val="right"/>
              <w:rPr>
                <w:sz w:val="22"/>
              </w:rPr>
            </w:pPr>
            <w:r>
              <w:rPr>
                <w:sz w:val="22"/>
              </w:rPr>
              <w:t>180,9</w:t>
            </w:r>
          </w:p>
        </w:tc>
        <w:tc>
          <w:tcPr>
            <w:tcW w:w="1203" w:type="dxa"/>
          </w:tcPr>
          <w:p w:rsidR="00000000" w:rsidRDefault="00000000">
            <w:pPr>
              <w:spacing w:before="60" w:after="60"/>
              <w:jc w:val="right"/>
              <w:rPr>
                <w:sz w:val="22"/>
              </w:rPr>
            </w:pPr>
            <w:r>
              <w:rPr>
                <w:sz w:val="22"/>
              </w:rPr>
              <w:t>201,1</w:t>
            </w:r>
          </w:p>
        </w:tc>
        <w:tc>
          <w:tcPr>
            <w:tcW w:w="1203" w:type="dxa"/>
          </w:tcPr>
          <w:p w:rsidR="00000000" w:rsidRDefault="00000000">
            <w:pPr>
              <w:spacing w:before="60" w:after="60"/>
              <w:jc w:val="right"/>
              <w:rPr>
                <w:sz w:val="22"/>
              </w:rPr>
            </w:pPr>
            <w:r>
              <w:rPr>
                <w:sz w:val="22"/>
              </w:rPr>
              <w:t>226,2</w:t>
            </w:r>
          </w:p>
        </w:tc>
        <w:tc>
          <w:tcPr>
            <w:tcW w:w="1320" w:type="dxa"/>
          </w:tcPr>
          <w:p w:rsidR="00000000" w:rsidRDefault="00000000">
            <w:pPr>
              <w:spacing w:before="60" w:after="60"/>
              <w:jc w:val="right"/>
              <w:rPr>
                <w:sz w:val="22"/>
              </w:rPr>
            </w:pPr>
            <w:r>
              <w:rPr>
                <w:sz w:val="22"/>
              </w:rPr>
              <w:t>313,6</w:t>
            </w:r>
          </w:p>
        </w:tc>
      </w:tr>
      <w:tr w:rsidR="00000000">
        <w:tblPrEx>
          <w:tblCellMar>
            <w:top w:w="0" w:type="dxa"/>
            <w:bottom w:w="0" w:type="dxa"/>
          </w:tblCellMar>
        </w:tblPrEx>
        <w:tc>
          <w:tcPr>
            <w:tcW w:w="2027" w:type="dxa"/>
          </w:tcPr>
          <w:p w:rsidR="00000000" w:rsidRDefault="00000000">
            <w:pPr>
              <w:spacing w:before="60" w:after="60"/>
              <w:rPr>
                <w:sz w:val="22"/>
              </w:rPr>
            </w:pPr>
            <w:r>
              <w:rPr>
                <w:sz w:val="22"/>
              </w:rPr>
              <w:t>Juin</w:t>
            </w:r>
          </w:p>
        </w:tc>
        <w:tc>
          <w:tcPr>
            <w:tcW w:w="1202" w:type="dxa"/>
          </w:tcPr>
          <w:p w:rsidR="00000000" w:rsidRDefault="00000000">
            <w:pPr>
              <w:spacing w:before="60" w:after="60"/>
              <w:jc w:val="right"/>
              <w:rPr>
                <w:sz w:val="22"/>
              </w:rPr>
            </w:pPr>
            <w:r>
              <w:rPr>
                <w:sz w:val="22"/>
              </w:rPr>
              <w:t>99,0</w:t>
            </w:r>
          </w:p>
        </w:tc>
        <w:tc>
          <w:tcPr>
            <w:tcW w:w="1203" w:type="dxa"/>
          </w:tcPr>
          <w:p w:rsidR="00000000" w:rsidRDefault="00000000">
            <w:pPr>
              <w:spacing w:before="60" w:after="60"/>
              <w:jc w:val="right"/>
              <w:rPr>
                <w:sz w:val="22"/>
              </w:rPr>
            </w:pPr>
            <w:r>
              <w:rPr>
                <w:sz w:val="22"/>
              </w:rPr>
              <w:t>158,3</w:t>
            </w:r>
          </w:p>
        </w:tc>
        <w:tc>
          <w:tcPr>
            <w:tcW w:w="1202" w:type="dxa"/>
          </w:tcPr>
          <w:p w:rsidR="00000000" w:rsidRDefault="00000000">
            <w:pPr>
              <w:spacing w:before="60" w:after="60"/>
              <w:jc w:val="right"/>
              <w:rPr>
                <w:sz w:val="22"/>
              </w:rPr>
            </w:pPr>
            <w:r>
              <w:rPr>
                <w:sz w:val="22"/>
              </w:rPr>
              <w:t>178,1</w:t>
            </w:r>
          </w:p>
        </w:tc>
        <w:tc>
          <w:tcPr>
            <w:tcW w:w="1203" w:type="dxa"/>
          </w:tcPr>
          <w:p w:rsidR="00000000" w:rsidRDefault="00000000">
            <w:pPr>
              <w:spacing w:before="60" w:after="60"/>
              <w:jc w:val="right"/>
              <w:rPr>
                <w:sz w:val="22"/>
              </w:rPr>
            </w:pPr>
            <w:r>
              <w:rPr>
                <w:sz w:val="22"/>
              </w:rPr>
              <w:t>197,9</w:t>
            </w:r>
          </w:p>
        </w:tc>
        <w:tc>
          <w:tcPr>
            <w:tcW w:w="1203" w:type="dxa"/>
          </w:tcPr>
          <w:p w:rsidR="00000000" w:rsidRDefault="00000000">
            <w:pPr>
              <w:spacing w:before="60" w:after="60"/>
              <w:jc w:val="right"/>
              <w:rPr>
                <w:sz w:val="22"/>
              </w:rPr>
            </w:pPr>
            <w:r>
              <w:rPr>
                <w:sz w:val="22"/>
              </w:rPr>
              <w:t>222,7</w:t>
            </w:r>
          </w:p>
        </w:tc>
        <w:tc>
          <w:tcPr>
            <w:tcW w:w="1320" w:type="dxa"/>
          </w:tcPr>
          <w:p w:rsidR="00000000" w:rsidRDefault="00000000">
            <w:pPr>
              <w:spacing w:before="60" w:after="60"/>
              <w:jc w:val="right"/>
              <w:rPr>
                <w:sz w:val="22"/>
              </w:rPr>
            </w:pPr>
            <w:r>
              <w:rPr>
                <w:sz w:val="22"/>
              </w:rPr>
              <w:t>308,8</w:t>
            </w:r>
          </w:p>
        </w:tc>
      </w:tr>
      <w:tr w:rsidR="00000000">
        <w:tblPrEx>
          <w:tblCellMar>
            <w:top w:w="0" w:type="dxa"/>
            <w:bottom w:w="0" w:type="dxa"/>
          </w:tblCellMar>
        </w:tblPrEx>
        <w:tc>
          <w:tcPr>
            <w:tcW w:w="2027" w:type="dxa"/>
          </w:tcPr>
          <w:p w:rsidR="00000000" w:rsidRDefault="00000000">
            <w:pPr>
              <w:spacing w:before="60" w:after="60"/>
              <w:rPr>
                <w:sz w:val="22"/>
              </w:rPr>
            </w:pPr>
            <w:r>
              <w:rPr>
                <w:sz w:val="22"/>
              </w:rPr>
              <w:t>Juillet</w:t>
            </w:r>
          </w:p>
        </w:tc>
        <w:tc>
          <w:tcPr>
            <w:tcW w:w="1202" w:type="dxa"/>
          </w:tcPr>
          <w:p w:rsidR="00000000" w:rsidRDefault="00000000">
            <w:pPr>
              <w:spacing w:before="60" w:after="60"/>
              <w:jc w:val="right"/>
              <w:rPr>
                <w:sz w:val="22"/>
              </w:rPr>
            </w:pPr>
            <w:r>
              <w:rPr>
                <w:sz w:val="22"/>
              </w:rPr>
              <w:t>96,1</w:t>
            </w:r>
          </w:p>
        </w:tc>
        <w:tc>
          <w:tcPr>
            <w:tcW w:w="1203" w:type="dxa"/>
          </w:tcPr>
          <w:p w:rsidR="00000000" w:rsidRDefault="00000000">
            <w:pPr>
              <w:spacing w:before="60" w:after="60"/>
              <w:jc w:val="right"/>
              <w:rPr>
                <w:sz w:val="22"/>
              </w:rPr>
            </w:pPr>
            <w:r>
              <w:rPr>
                <w:sz w:val="22"/>
              </w:rPr>
              <w:t>153,8</w:t>
            </w:r>
          </w:p>
        </w:tc>
        <w:tc>
          <w:tcPr>
            <w:tcW w:w="1202" w:type="dxa"/>
          </w:tcPr>
          <w:p w:rsidR="00000000" w:rsidRDefault="00000000">
            <w:pPr>
              <w:spacing w:before="60" w:after="60"/>
              <w:jc w:val="right"/>
              <w:rPr>
                <w:sz w:val="22"/>
              </w:rPr>
            </w:pPr>
            <w:r>
              <w:rPr>
                <w:sz w:val="22"/>
              </w:rPr>
              <w:t>175,0</w:t>
            </w:r>
          </w:p>
        </w:tc>
        <w:tc>
          <w:tcPr>
            <w:tcW w:w="1203" w:type="dxa"/>
          </w:tcPr>
          <w:p w:rsidR="00000000" w:rsidRDefault="00000000">
            <w:pPr>
              <w:spacing w:before="60" w:after="60"/>
              <w:jc w:val="right"/>
              <w:rPr>
                <w:sz w:val="22"/>
              </w:rPr>
            </w:pPr>
            <w:r>
              <w:rPr>
                <w:sz w:val="22"/>
              </w:rPr>
              <w:t>192,2</w:t>
            </w:r>
          </w:p>
        </w:tc>
        <w:tc>
          <w:tcPr>
            <w:tcW w:w="1203" w:type="dxa"/>
          </w:tcPr>
          <w:p w:rsidR="00000000" w:rsidRDefault="00000000">
            <w:pPr>
              <w:spacing w:before="60" w:after="60"/>
              <w:jc w:val="right"/>
              <w:rPr>
                <w:sz w:val="22"/>
              </w:rPr>
            </w:pPr>
            <w:r>
              <w:rPr>
                <w:sz w:val="22"/>
              </w:rPr>
              <w:t>216,2</w:t>
            </w:r>
          </w:p>
        </w:tc>
        <w:tc>
          <w:tcPr>
            <w:tcW w:w="1320" w:type="dxa"/>
          </w:tcPr>
          <w:p w:rsidR="00000000" w:rsidRDefault="00000000">
            <w:pPr>
              <w:spacing w:before="60" w:after="60"/>
              <w:jc w:val="right"/>
              <w:rPr>
                <w:sz w:val="22"/>
              </w:rPr>
            </w:pPr>
            <w:r>
              <w:rPr>
                <w:sz w:val="22"/>
              </w:rPr>
              <w:t>299,8</w:t>
            </w:r>
          </w:p>
        </w:tc>
      </w:tr>
      <w:tr w:rsidR="00000000">
        <w:tblPrEx>
          <w:tblCellMar>
            <w:top w:w="0" w:type="dxa"/>
            <w:bottom w:w="0" w:type="dxa"/>
          </w:tblCellMar>
        </w:tblPrEx>
        <w:tc>
          <w:tcPr>
            <w:tcW w:w="2027" w:type="dxa"/>
          </w:tcPr>
          <w:p w:rsidR="00000000" w:rsidRDefault="00000000">
            <w:pPr>
              <w:spacing w:before="60" w:after="60"/>
              <w:rPr>
                <w:sz w:val="22"/>
              </w:rPr>
            </w:pPr>
            <w:r>
              <w:rPr>
                <w:sz w:val="22"/>
              </w:rPr>
              <w:t>Août</w:t>
            </w:r>
          </w:p>
        </w:tc>
        <w:tc>
          <w:tcPr>
            <w:tcW w:w="1202" w:type="dxa"/>
          </w:tcPr>
          <w:p w:rsidR="00000000" w:rsidRDefault="00000000">
            <w:pPr>
              <w:spacing w:before="60" w:after="60"/>
              <w:jc w:val="right"/>
              <w:rPr>
                <w:sz w:val="22"/>
              </w:rPr>
            </w:pPr>
            <w:r>
              <w:rPr>
                <w:sz w:val="22"/>
              </w:rPr>
              <w:t>98,5</w:t>
            </w:r>
          </w:p>
        </w:tc>
        <w:tc>
          <w:tcPr>
            <w:tcW w:w="1203" w:type="dxa"/>
          </w:tcPr>
          <w:p w:rsidR="00000000" w:rsidRDefault="00000000">
            <w:pPr>
              <w:spacing w:before="60" w:after="60"/>
              <w:jc w:val="right"/>
              <w:rPr>
                <w:sz w:val="22"/>
              </w:rPr>
            </w:pPr>
            <w:r>
              <w:rPr>
                <w:sz w:val="22"/>
              </w:rPr>
              <w:t>157,5</w:t>
            </w:r>
          </w:p>
        </w:tc>
        <w:tc>
          <w:tcPr>
            <w:tcW w:w="1202" w:type="dxa"/>
          </w:tcPr>
          <w:p w:rsidR="00000000" w:rsidRDefault="00000000">
            <w:pPr>
              <w:spacing w:before="60" w:after="60"/>
              <w:jc w:val="right"/>
              <w:rPr>
                <w:sz w:val="22"/>
              </w:rPr>
            </w:pPr>
            <w:r>
              <w:rPr>
                <w:sz w:val="22"/>
              </w:rPr>
              <w:t>177,2</w:t>
            </w:r>
          </w:p>
        </w:tc>
        <w:tc>
          <w:tcPr>
            <w:tcW w:w="1203" w:type="dxa"/>
          </w:tcPr>
          <w:p w:rsidR="00000000" w:rsidRDefault="00000000">
            <w:pPr>
              <w:spacing w:before="60" w:after="60"/>
              <w:jc w:val="right"/>
              <w:rPr>
                <w:sz w:val="22"/>
              </w:rPr>
            </w:pPr>
            <w:r>
              <w:rPr>
                <w:sz w:val="22"/>
              </w:rPr>
              <w:t>196,9</w:t>
            </w:r>
          </w:p>
        </w:tc>
        <w:tc>
          <w:tcPr>
            <w:tcW w:w="1203" w:type="dxa"/>
          </w:tcPr>
          <w:p w:rsidR="00000000" w:rsidRDefault="00000000">
            <w:pPr>
              <w:spacing w:before="60" w:after="60"/>
              <w:jc w:val="right"/>
              <w:rPr>
                <w:sz w:val="22"/>
              </w:rPr>
            </w:pPr>
            <w:r>
              <w:rPr>
                <w:sz w:val="22"/>
              </w:rPr>
              <w:t>221,5</w:t>
            </w:r>
          </w:p>
        </w:tc>
        <w:tc>
          <w:tcPr>
            <w:tcW w:w="1320" w:type="dxa"/>
          </w:tcPr>
          <w:p w:rsidR="00000000" w:rsidRDefault="00000000">
            <w:pPr>
              <w:spacing w:before="60" w:after="60"/>
              <w:jc w:val="right"/>
              <w:rPr>
                <w:sz w:val="22"/>
              </w:rPr>
            </w:pPr>
            <w:r>
              <w:rPr>
                <w:sz w:val="22"/>
              </w:rPr>
              <w:t>307,2</w:t>
            </w:r>
          </w:p>
        </w:tc>
      </w:tr>
      <w:tr w:rsidR="00000000">
        <w:tblPrEx>
          <w:tblCellMar>
            <w:top w:w="0" w:type="dxa"/>
            <w:bottom w:w="0" w:type="dxa"/>
          </w:tblCellMar>
        </w:tblPrEx>
        <w:tc>
          <w:tcPr>
            <w:tcW w:w="2027" w:type="dxa"/>
          </w:tcPr>
          <w:p w:rsidR="00000000" w:rsidRDefault="00000000">
            <w:pPr>
              <w:spacing w:before="60" w:after="60"/>
              <w:rPr>
                <w:sz w:val="22"/>
              </w:rPr>
            </w:pPr>
            <w:r>
              <w:rPr>
                <w:sz w:val="22"/>
              </w:rPr>
              <w:t>Septembre</w:t>
            </w:r>
          </w:p>
        </w:tc>
        <w:tc>
          <w:tcPr>
            <w:tcW w:w="1202" w:type="dxa"/>
          </w:tcPr>
          <w:p w:rsidR="00000000" w:rsidRDefault="00000000">
            <w:pPr>
              <w:spacing w:before="60" w:after="60"/>
              <w:jc w:val="right"/>
              <w:rPr>
                <w:sz w:val="22"/>
              </w:rPr>
            </w:pPr>
            <w:r>
              <w:rPr>
                <w:sz w:val="22"/>
              </w:rPr>
              <w:t>99,3</w:t>
            </w:r>
          </w:p>
        </w:tc>
        <w:tc>
          <w:tcPr>
            <w:tcW w:w="1203" w:type="dxa"/>
          </w:tcPr>
          <w:p w:rsidR="00000000" w:rsidRDefault="00000000">
            <w:pPr>
              <w:spacing w:before="60" w:after="60"/>
              <w:jc w:val="right"/>
              <w:rPr>
                <w:sz w:val="22"/>
              </w:rPr>
            </w:pPr>
            <w:r>
              <w:rPr>
                <w:sz w:val="22"/>
              </w:rPr>
              <w:t>158,9</w:t>
            </w:r>
          </w:p>
        </w:tc>
        <w:tc>
          <w:tcPr>
            <w:tcW w:w="1202" w:type="dxa"/>
          </w:tcPr>
          <w:p w:rsidR="00000000" w:rsidRDefault="00000000">
            <w:pPr>
              <w:spacing w:before="60" w:after="60"/>
              <w:jc w:val="right"/>
              <w:rPr>
                <w:sz w:val="22"/>
              </w:rPr>
            </w:pPr>
            <w:r>
              <w:rPr>
                <w:sz w:val="22"/>
              </w:rPr>
              <w:t>178,8</w:t>
            </w:r>
          </w:p>
        </w:tc>
        <w:tc>
          <w:tcPr>
            <w:tcW w:w="1203" w:type="dxa"/>
          </w:tcPr>
          <w:p w:rsidR="00000000" w:rsidRDefault="00000000">
            <w:pPr>
              <w:spacing w:before="60" w:after="60"/>
              <w:jc w:val="right"/>
              <w:rPr>
                <w:sz w:val="22"/>
              </w:rPr>
            </w:pPr>
            <w:r>
              <w:rPr>
                <w:sz w:val="22"/>
              </w:rPr>
              <w:t>198,7</w:t>
            </w:r>
          </w:p>
        </w:tc>
        <w:tc>
          <w:tcPr>
            <w:tcW w:w="1203" w:type="dxa"/>
          </w:tcPr>
          <w:p w:rsidR="00000000" w:rsidRDefault="00000000">
            <w:pPr>
              <w:spacing w:before="60" w:after="60"/>
              <w:jc w:val="right"/>
              <w:rPr>
                <w:sz w:val="22"/>
              </w:rPr>
            </w:pPr>
            <w:r>
              <w:rPr>
                <w:sz w:val="22"/>
              </w:rPr>
              <w:t>223,5</w:t>
            </w:r>
          </w:p>
        </w:tc>
        <w:tc>
          <w:tcPr>
            <w:tcW w:w="1320" w:type="dxa"/>
          </w:tcPr>
          <w:p w:rsidR="00000000" w:rsidRDefault="00000000">
            <w:pPr>
              <w:spacing w:before="60" w:after="60"/>
              <w:jc w:val="right"/>
              <w:rPr>
                <w:sz w:val="22"/>
              </w:rPr>
            </w:pPr>
            <w:r>
              <w:rPr>
                <w:sz w:val="22"/>
              </w:rPr>
              <w:t>309,9</w:t>
            </w:r>
          </w:p>
        </w:tc>
      </w:tr>
      <w:tr w:rsidR="00000000">
        <w:tblPrEx>
          <w:tblCellMar>
            <w:top w:w="0" w:type="dxa"/>
            <w:bottom w:w="0" w:type="dxa"/>
          </w:tblCellMar>
        </w:tblPrEx>
        <w:tc>
          <w:tcPr>
            <w:tcW w:w="2027" w:type="dxa"/>
          </w:tcPr>
          <w:p w:rsidR="00000000" w:rsidRDefault="00000000">
            <w:pPr>
              <w:spacing w:before="60" w:after="60"/>
              <w:rPr>
                <w:sz w:val="22"/>
              </w:rPr>
            </w:pPr>
            <w:r>
              <w:rPr>
                <w:sz w:val="22"/>
              </w:rPr>
              <w:t>Octobre</w:t>
            </w:r>
          </w:p>
        </w:tc>
        <w:tc>
          <w:tcPr>
            <w:tcW w:w="1202" w:type="dxa"/>
          </w:tcPr>
          <w:p w:rsidR="00000000" w:rsidRDefault="00000000">
            <w:pPr>
              <w:spacing w:before="60" w:after="60"/>
              <w:jc w:val="right"/>
              <w:rPr>
                <w:sz w:val="22"/>
              </w:rPr>
            </w:pPr>
            <w:r>
              <w:rPr>
                <w:sz w:val="22"/>
              </w:rPr>
              <w:t>100,4</w:t>
            </w:r>
          </w:p>
        </w:tc>
        <w:tc>
          <w:tcPr>
            <w:tcW w:w="1203" w:type="dxa"/>
          </w:tcPr>
          <w:p w:rsidR="00000000" w:rsidRDefault="00000000">
            <w:pPr>
              <w:spacing w:before="60" w:after="60"/>
              <w:jc w:val="right"/>
              <w:rPr>
                <w:sz w:val="22"/>
              </w:rPr>
            </w:pPr>
            <w:r>
              <w:rPr>
                <w:sz w:val="22"/>
              </w:rPr>
              <w:t>160,7</w:t>
            </w:r>
          </w:p>
        </w:tc>
        <w:tc>
          <w:tcPr>
            <w:tcW w:w="1202" w:type="dxa"/>
          </w:tcPr>
          <w:p w:rsidR="00000000" w:rsidRDefault="00000000">
            <w:pPr>
              <w:spacing w:before="60" w:after="60"/>
              <w:jc w:val="right"/>
              <w:rPr>
                <w:sz w:val="22"/>
              </w:rPr>
            </w:pPr>
            <w:r>
              <w:rPr>
                <w:sz w:val="22"/>
              </w:rPr>
              <w:t>180,8</w:t>
            </w:r>
          </w:p>
        </w:tc>
        <w:tc>
          <w:tcPr>
            <w:tcW w:w="1203" w:type="dxa"/>
          </w:tcPr>
          <w:p w:rsidR="00000000" w:rsidRDefault="00000000">
            <w:pPr>
              <w:spacing w:before="60" w:after="60"/>
              <w:jc w:val="right"/>
              <w:rPr>
                <w:sz w:val="22"/>
              </w:rPr>
            </w:pPr>
            <w:r>
              <w:rPr>
                <w:sz w:val="22"/>
              </w:rPr>
              <w:t>200,9</w:t>
            </w:r>
          </w:p>
        </w:tc>
        <w:tc>
          <w:tcPr>
            <w:tcW w:w="1203" w:type="dxa"/>
          </w:tcPr>
          <w:p w:rsidR="00000000" w:rsidRDefault="00000000">
            <w:pPr>
              <w:spacing w:before="60" w:after="60"/>
              <w:jc w:val="right"/>
              <w:rPr>
                <w:sz w:val="22"/>
              </w:rPr>
            </w:pPr>
            <w:r>
              <w:rPr>
                <w:sz w:val="22"/>
              </w:rPr>
              <w:t>226,0</w:t>
            </w:r>
          </w:p>
        </w:tc>
        <w:tc>
          <w:tcPr>
            <w:tcW w:w="1320" w:type="dxa"/>
          </w:tcPr>
          <w:p w:rsidR="00000000" w:rsidRDefault="00000000">
            <w:pPr>
              <w:spacing w:before="60" w:after="60"/>
              <w:jc w:val="right"/>
              <w:rPr>
                <w:sz w:val="22"/>
              </w:rPr>
            </w:pPr>
            <w:r>
              <w:rPr>
                <w:sz w:val="22"/>
              </w:rPr>
              <w:t>313,3</w:t>
            </w:r>
          </w:p>
        </w:tc>
      </w:tr>
      <w:tr w:rsidR="00000000">
        <w:tblPrEx>
          <w:tblCellMar>
            <w:top w:w="0" w:type="dxa"/>
            <w:bottom w:w="0" w:type="dxa"/>
          </w:tblCellMar>
        </w:tblPrEx>
        <w:tc>
          <w:tcPr>
            <w:tcW w:w="2027" w:type="dxa"/>
          </w:tcPr>
          <w:p w:rsidR="00000000" w:rsidRDefault="00000000">
            <w:pPr>
              <w:spacing w:before="60" w:after="60"/>
              <w:rPr>
                <w:sz w:val="22"/>
              </w:rPr>
            </w:pPr>
            <w:r>
              <w:rPr>
                <w:sz w:val="22"/>
              </w:rPr>
              <w:t>Novembre</w:t>
            </w:r>
          </w:p>
        </w:tc>
        <w:tc>
          <w:tcPr>
            <w:tcW w:w="1202" w:type="dxa"/>
          </w:tcPr>
          <w:p w:rsidR="00000000" w:rsidRDefault="00000000">
            <w:pPr>
              <w:spacing w:before="60" w:after="60"/>
              <w:jc w:val="right"/>
              <w:rPr>
                <w:sz w:val="22"/>
              </w:rPr>
            </w:pPr>
            <w:r>
              <w:rPr>
                <w:sz w:val="22"/>
              </w:rPr>
              <w:t>101,7</w:t>
            </w:r>
          </w:p>
        </w:tc>
        <w:tc>
          <w:tcPr>
            <w:tcW w:w="1203" w:type="dxa"/>
          </w:tcPr>
          <w:p w:rsidR="00000000" w:rsidRDefault="00000000">
            <w:pPr>
              <w:spacing w:before="60" w:after="60"/>
              <w:jc w:val="right"/>
              <w:rPr>
                <w:sz w:val="22"/>
              </w:rPr>
            </w:pPr>
            <w:r>
              <w:rPr>
                <w:sz w:val="22"/>
              </w:rPr>
              <w:t>162,7</w:t>
            </w:r>
          </w:p>
        </w:tc>
        <w:tc>
          <w:tcPr>
            <w:tcW w:w="1202" w:type="dxa"/>
          </w:tcPr>
          <w:p w:rsidR="00000000" w:rsidRDefault="00000000">
            <w:pPr>
              <w:spacing w:before="60" w:after="60"/>
              <w:jc w:val="right"/>
              <w:rPr>
                <w:sz w:val="22"/>
              </w:rPr>
            </w:pPr>
            <w:r>
              <w:rPr>
                <w:sz w:val="22"/>
              </w:rPr>
              <w:t>183,1</w:t>
            </w:r>
          </w:p>
        </w:tc>
        <w:tc>
          <w:tcPr>
            <w:tcW w:w="1203" w:type="dxa"/>
          </w:tcPr>
          <w:p w:rsidR="00000000" w:rsidRDefault="00000000">
            <w:pPr>
              <w:spacing w:before="60" w:after="60"/>
              <w:jc w:val="right"/>
              <w:rPr>
                <w:sz w:val="22"/>
              </w:rPr>
            </w:pPr>
            <w:r>
              <w:rPr>
                <w:sz w:val="22"/>
              </w:rPr>
              <w:t>203,4</w:t>
            </w:r>
          </w:p>
        </w:tc>
        <w:tc>
          <w:tcPr>
            <w:tcW w:w="1203" w:type="dxa"/>
          </w:tcPr>
          <w:p w:rsidR="00000000" w:rsidRDefault="00000000">
            <w:pPr>
              <w:spacing w:before="60" w:after="60"/>
              <w:jc w:val="right"/>
              <w:rPr>
                <w:sz w:val="22"/>
              </w:rPr>
            </w:pPr>
            <w:r>
              <w:rPr>
                <w:sz w:val="22"/>
              </w:rPr>
              <w:t>228,8</w:t>
            </w:r>
          </w:p>
        </w:tc>
        <w:tc>
          <w:tcPr>
            <w:tcW w:w="1320" w:type="dxa"/>
          </w:tcPr>
          <w:p w:rsidR="00000000" w:rsidRDefault="00000000">
            <w:pPr>
              <w:spacing w:before="60" w:after="60"/>
              <w:jc w:val="right"/>
              <w:rPr>
                <w:sz w:val="22"/>
              </w:rPr>
            </w:pPr>
            <w:r>
              <w:rPr>
                <w:sz w:val="22"/>
              </w:rPr>
              <w:t>317,3</w:t>
            </w:r>
          </w:p>
        </w:tc>
      </w:tr>
      <w:tr w:rsidR="00000000">
        <w:tblPrEx>
          <w:tblCellMar>
            <w:top w:w="0" w:type="dxa"/>
            <w:bottom w:w="0" w:type="dxa"/>
          </w:tblCellMar>
        </w:tblPrEx>
        <w:tc>
          <w:tcPr>
            <w:tcW w:w="2027" w:type="dxa"/>
          </w:tcPr>
          <w:p w:rsidR="00000000" w:rsidRDefault="00000000">
            <w:pPr>
              <w:spacing w:before="60" w:after="60"/>
              <w:rPr>
                <w:sz w:val="22"/>
              </w:rPr>
            </w:pPr>
            <w:r>
              <w:rPr>
                <w:sz w:val="22"/>
              </w:rPr>
              <w:t>Décembre</w:t>
            </w:r>
          </w:p>
        </w:tc>
        <w:tc>
          <w:tcPr>
            <w:tcW w:w="1202" w:type="dxa"/>
          </w:tcPr>
          <w:p w:rsidR="00000000" w:rsidRDefault="00000000">
            <w:pPr>
              <w:spacing w:before="60" w:after="60"/>
              <w:jc w:val="right"/>
              <w:rPr>
                <w:sz w:val="22"/>
              </w:rPr>
            </w:pPr>
            <w:r>
              <w:rPr>
                <w:sz w:val="22"/>
              </w:rPr>
              <w:t>100,4</w:t>
            </w:r>
          </w:p>
        </w:tc>
        <w:tc>
          <w:tcPr>
            <w:tcW w:w="1203" w:type="dxa"/>
          </w:tcPr>
          <w:p w:rsidR="00000000" w:rsidRDefault="00000000">
            <w:pPr>
              <w:spacing w:before="60" w:after="60"/>
              <w:jc w:val="right"/>
              <w:rPr>
                <w:sz w:val="22"/>
              </w:rPr>
            </w:pPr>
            <w:r>
              <w:rPr>
                <w:sz w:val="22"/>
              </w:rPr>
              <w:t>160,7</w:t>
            </w:r>
          </w:p>
        </w:tc>
        <w:tc>
          <w:tcPr>
            <w:tcW w:w="1202" w:type="dxa"/>
          </w:tcPr>
          <w:p w:rsidR="00000000" w:rsidRDefault="00000000">
            <w:pPr>
              <w:spacing w:before="60" w:after="60"/>
              <w:jc w:val="right"/>
              <w:rPr>
                <w:sz w:val="22"/>
              </w:rPr>
            </w:pPr>
            <w:r>
              <w:rPr>
                <w:sz w:val="22"/>
              </w:rPr>
              <w:t>180,8</w:t>
            </w:r>
          </w:p>
        </w:tc>
        <w:tc>
          <w:tcPr>
            <w:tcW w:w="1203" w:type="dxa"/>
          </w:tcPr>
          <w:p w:rsidR="00000000" w:rsidRDefault="00000000">
            <w:pPr>
              <w:spacing w:before="60" w:after="60"/>
              <w:jc w:val="right"/>
              <w:rPr>
                <w:sz w:val="22"/>
              </w:rPr>
            </w:pPr>
            <w:r>
              <w:rPr>
                <w:sz w:val="22"/>
              </w:rPr>
              <w:t>200,9</w:t>
            </w:r>
          </w:p>
        </w:tc>
        <w:tc>
          <w:tcPr>
            <w:tcW w:w="1203" w:type="dxa"/>
          </w:tcPr>
          <w:p w:rsidR="00000000" w:rsidRDefault="00000000">
            <w:pPr>
              <w:spacing w:before="60" w:after="60"/>
              <w:jc w:val="right"/>
              <w:rPr>
                <w:sz w:val="22"/>
              </w:rPr>
            </w:pPr>
            <w:r>
              <w:rPr>
                <w:sz w:val="22"/>
              </w:rPr>
              <w:t>226,0</w:t>
            </w:r>
          </w:p>
        </w:tc>
        <w:tc>
          <w:tcPr>
            <w:tcW w:w="1320" w:type="dxa"/>
          </w:tcPr>
          <w:p w:rsidR="00000000" w:rsidRDefault="00000000">
            <w:pPr>
              <w:spacing w:before="60" w:after="60"/>
              <w:jc w:val="right"/>
              <w:rPr>
                <w:sz w:val="22"/>
              </w:rPr>
            </w:pPr>
            <w:r>
              <w:rPr>
                <w:sz w:val="22"/>
              </w:rPr>
              <w:t>313,4</w:t>
            </w:r>
          </w:p>
        </w:tc>
      </w:tr>
    </w:tbl>
    <w:p w:rsidR="00000000" w:rsidRDefault="00000000">
      <w:pPr>
        <w:spacing w:after="240"/>
      </w:pPr>
    </w:p>
    <w:p w:rsidR="00000000" w:rsidRDefault="00000000">
      <w:pPr>
        <w:spacing w:after="240"/>
      </w:pPr>
      <w:r>
        <w:t>143.</w:t>
      </w:r>
      <w:r>
        <w:tab/>
        <w:t>Il convient de faire observer que dans la capitale, l’indicateur du minimum vital est supérieur de 4 % à la moyenne du pays.</w:t>
      </w:r>
    </w:p>
    <w:p w:rsidR="00000000" w:rsidRDefault="00000000">
      <w:pPr>
        <w:spacing w:after="240"/>
      </w:pPr>
      <w:r>
        <w:t>144.</w:t>
      </w:r>
      <w:r>
        <w:tab/>
        <w:t>Le salaire minimum normatif, c’est</w:t>
      </w:r>
      <w:r>
        <w:noBreakHyphen/>
        <w:t>à</w:t>
      </w:r>
      <w:r>
        <w:noBreakHyphen/>
        <w:t>dire le salaire qui, conformément à la situation établie dans la période précédente permettrait, compte tenu des autres revenus, à une famille de quatre personnes d’avoir un budget non déficitaire au niveau du minimum vital, s’établissait en décembre 2000 dans le cas d’une famille ne comportant qu’un seul membre en activité à 43,5 lari. Le salaire minimum (20 lari) représente 43,9 % du salaire normatif.</w:t>
      </w:r>
    </w:p>
    <w:p w:rsidR="00000000" w:rsidRDefault="00000000">
      <w:pPr>
        <w:keepLines/>
        <w:spacing w:after="240"/>
      </w:pPr>
      <w:r>
        <w:t>145.</w:t>
      </w:r>
      <w:r>
        <w:tab/>
        <w:t>Ainsi, il n’a pas été possible pour le moment à la Géorgie de donner suite à l’invitation que lui avait faite le Comité des droits économiques, sociaux et culturels dans ses propositions et recommandations (par. 23) de «faire en sorte que le salaire minimum permette aux salariés de pourvoir aux besoins essentiels de leur famille».</w:t>
      </w:r>
    </w:p>
    <w:p w:rsidR="00000000" w:rsidRDefault="00000000">
      <w:pPr>
        <w:spacing w:after="240"/>
      </w:pPr>
      <w:r>
        <w:t>146.</w:t>
      </w:r>
      <w:r>
        <w:tab/>
        <w:t xml:space="preserve">Ainsi qu’on l’a mentionné plus haut, le Gouvernement géorgien, avec l’appui de nombreuses organisations sociales, a élaboré le texte préliminaire d’un programme d’élimination de la pauvreté et de croissance économique. Ses objectifs principaux, outre ceux proclamés dans son intitulé, sont d’améliorer les conditions sociales, d’élever le niveau de vie de la population, de faire participer les pauvres au processus de développement du pays. Le programme fixe des délais précis pour l’exécution de ses principaux objectifs et prévoit des mécanismes de suivi. Ce texte a été présenté au Fonds monétaire international et à la Banque mondiale et adressé à d’autres bailleurs de fonds (voir l’annexe au présent rapport). </w:t>
      </w:r>
    </w:p>
    <w:p w:rsidR="00000000" w:rsidRDefault="00000000">
      <w:pPr>
        <w:keepNext/>
        <w:spacing w:after="240"/>
      </w:pPr>
      <w:r>
        <w:t>147.</w:t>
      </w:r>
      <w:r>
        <w:tab/>
        <w:t>On trouvera ci</w:t>
      </w:r>
      <w:r>
        <w:noBreakHyphen/>
        <w:t xml:space="preserve">après des statistiques relatives aux revenus de la population pour la période 1995-1999.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9"/>
        <w:gridCol w:w="1912"/>
        <w:gridCol w:w="1077"/>
        <w:gridCol w:w="1078"/>
        <w:gridCol w:w="1078"/>
        <w:gridCol w:w="1078"/>
        <w:gridCol w:w="1078"/>
      </w:tblGrid>
      <w:tr w:rsidR="00000000">
        <w:tblPrEx>
          <w:tblCellMar>
            <w:top w:w="0" w:type="dxa"/>
            <w:bottom w:w="0" w:type="dxa"/>
          </w:tblCellMar>
        </w:tblPrEx>
        <w:tc>
          <w:tcPr>
            <w:tcW w:w="2059" w:type="dxa"/>
          </w:tcPr>
          <w:p w:rsidR="00000000" w:rsidRDefault="00000000">
            <w:pPr>
              <w:spacing w:before="60" w:after="60"/>
              <w:jc w:val="center"/>
              <w:rPr>
                <w:sz w:val="22"/>
              </w:rPr>
            </w:pPr>
            <w:r>
              <w:rPr>
                <w:sz w:val="22"/>
              </w:rPr>
              <w:t>Indicateur</w:t>
            </w:r>
          </w:p>
        </w:tc>
        <w:tc>
          <w:tcPr>
            <w:tcW w:w="1912" w:type="dxa"/>
          </w:tcPr>
          <w:p w:rsidR="00000000" w:rsidRDefault="00000000">
            <w:pPr>
              <w:spacing w:before="60" w:after="60"/>
              <w:jc w:val="center"/>
              <w:rPr>
                <w:sz w:val="22"/>
              </w:rPr>
            </w:pPr>
            <w:r>
              <w:rPr>
                <w:sz w:val="22"/>
              </w:rPr>
              <w:t>Unité de compte</w:t>
            </w:r>
          </w:p>
        </w:tc>
        <w:tc>
          <w:tcPr>
            <w:tcW w:w="1077" w:type="dxa"/>
          </w:tcPr>
          <w:p w:rsidR="00000000" w:rsidRDefault="00000000">
            <w:pPr>
              <w:spacing w:before="60" w:after="60"/>
              <w:jc w:val="center"/>
              <w:rPr>
                <w:sz w:val="22"/>
              </w:rPr>
            </w:pPr>
            <w:r>
              <w:rPr>
                <w:sz w:val="22"/>
              </w:rPr>
              <w:t>1995</w:t>
            </w:r>
          </w:p>
        </w:tc>
        <w:tc>
          <w:tcPr>
            <w:tcW w:w="1078" w:type="dxa"/>
          </w:tcPr>
          <w:p w:rsidR="00000000" w:rsidRDefault="00000000">
            <w:pPr>
              <w:spacing w:before="60" w:after="60"/>
              <w:jc w:val="center"/>
              <w:rPr>
                <w:sz w:val="22"/>
              </w:rPr>
            </w:pPr>
            <w:r>
              <w:rPr>
                <w:sz w:val="22"/>
              </w:rPr>
              <w:t>1996</w:t>
            </w:r>
          </w:p>
        </w:tc>
        <w:tc>
          <w:tcPr>
            <w:tcW w:w="1078" w:type="dxa"/>
          </w:tcPr>
          <w:p w:rsidR="00000000" w:rsidRDefault="00000000">
            <w:pPr>
              <w:spacing w:before="60" w:after="60"/>
              <w:jc w:val="center"/>
              <w:rPr>
                <w:sz w:val="22"/>
              </w:rPr>
            </w:pPr>
            <w:r>
              <w:rPr>
                <w:sz w:val="22"/>
              </w:rPr>
              <w:t>1997</w:t>
            </w:r>
          </w:p>
        </w:tc>
        <w:tc>
          <w:tcPr>
            <w:tcW w:w="1078" w:type="dxa"/>
          </w:tcPr>
          <w:p w:rsidR="00000000" w:rsidRDefault="00000000">
            <w:pPr>
              <w:spacing w:before="60" w:after="60"/>
              <w:jc w:val="center"/>
              <w:rPr>
                <w:sz w:val="22"/>
              </w:rPr>
            </w:pPr>
            <w:r>
              <w:rPr>
                <w:sz w:val="22"/>
              </w:rPr>
              <w:t>1998</w:t>
            </w:r>
          </w:p>
        </w:tc>
        <w:tc>
          <w:tcPr>
            <w:tcW w:w="1078" w:type="dxa"/>
          </w:tcPr>
          <w:p w:rsidR="00000000" w:rsidRDefault="00000000">
            <w:pPr>
              <w:spacing w:before="60" w:after="60"/>
              <w:jc w:val="center"/>
              <w:rPr>
                <w:sz w:val="22"/>
              </w:rPr>
            </w:pPr>
            <w:r>
              <w:rPr>
                <w:sz w:val="22"/>
              </w:rPr>
              <w:t>1999</w:t>
            </w:r>
          </w:p>
        </w:tc>
      </w:tr>
      <w:tr w:rsidR="00000000">
        <w:tblPrEx>
          <w:tblCellMar>
            <w:top w:w="0" w:type="dxa"/>
            <w:bottom w:w="0" w:type="dxa"/>
          </w:tblCellMar>
        </w:tblPrEx>
        <w:tc>
          <w:tcPr>
            <w:tcW w:w="2059" w:type="dxa"/>
          </w:tcPr>
          <w:p w:rsidR="00000000" w:rsidRDefault="00000000">
            <w:pPr>
              <w:spacing w:before="60" w:after="60"/>
              <w:rPr>
                <w:sz w:val="22"/>
              </w:rPr>
            </w:pPr>
            <w:r>
              <w:rPr>
                <w:sz w:val="22"/>
              </w:rPr>
              <w:t>Revenus monétaires de la population</w:t>
            </w:r>
          </w:p>
        </w:tc>
        <w:tc>
          <w:tcPr>
            <w:tcW w:w="1912" w:type="dxa"/>
          </w:tcPr>
          <w:p w:rsidR="00000000" w:rsidRDefault="00000000">
            <w:pPr>
              <w:spacing w:before="60" w:after="60"/>
              <w:jc w:val="center"/>
              <w:rPr>
                <w:sz w:val="22"/>
              </w:rPr>
            </w:pPr>
            <w:r>
              <w:rPr>
                <w:sz w:val="22"/>
              </w:rPr>
              <w:t>En millions de lari</w:t>
            </w:r>
          </w:p>
        </w:tc>
        <w:tc>
          <w:tcPr>
            <w:tcW w:w="1077" w:type="dxa"/>
          </w:tcPr>
          <w:p w:rsidR="00000000" w:rsidRDefault="00000000">
            <w:pPr>
              <w:spacing w:before="60" w:after="60"/>
              <w:jc w:val="right"/>
              <w:rPr>
                <w:sz w:val="22"/>
              </w:rPr>
            </w:pPr>
            <w:r>
              <w:rPr>
                <w:sz w:val="22"/>
              </w:rPr>
              <w:t>1 164,0</w:t>
            </w:r>
          </w:p>
        </w:tc>
        <w:tc>
          <w:tcPr>
            <w:tcW w:w="1078" w:type="dxa"/>
          </w:tcPr>
          <w:p w:rsidR="00000000" w:rsidRDefault="00000000">
            <w:pPr>
              <w:spacing w:before="60" w:after="60"/>
              <w:jc w:val="right"/>
              <w:rPr>
                <w:sz w:val="22"/>
              </w:rPr>
            </w:pPr>
            <w:r>
              <w:rPr>
                <w:sz w:val="22"/>
              </w:rPr>
              <w:t>2 500,0</w:t>
            </w:r>
          </w:p>
        </w:tc>
        <w:tc>
          <w:tcPr>
            <w:tcW w:w="1078" w:type="dxa"/>
          </w:tcPr>
          <w:p w:rsidR="00000000" w:rsidRDefault="00000000">
            <w:pPr>
              <w:spacing w:before="60" w:after="60"/>
              <w:jc w:val="right"/>
              <w:rPr>
                <w:sz w:val="22"/>
              </w:rPr>
            </w:pPr>
            <w:r>
              <w:rPr>
                <w:sz w:val="22"/>
              </w:rPr>
              <w:t>1 800,0</w:t>
            </w:r>
          </w:p>
        </w:tc>
        <w:tc>
          <w:tcPr>
            <w:tcW w:w="1078" w:type="dxa"/>
          </w:tcPr>
          <w:p w:rsidR="00000000" w:rsidRDefault="00000000">
            <w:pPr>
              <w:spacing w:before="60" w:after="60"/>
              <w:jc w:val="right"/>
              <w:rPr>
                <w:sz w:val="22"/>
              </w:rPr>
            </w:pPr>
            <w:r>
              <w:rPr>
                <w:sz w:val="22"/>
              </w:rPr>
              <w:t>1 751,8</w:t>
            </w:r>
          </w:p>
        </w:tc>
        <w:tc>
          <w:tcPr>
            <w:tcW w:w="1078" w:type="dxa"/>
          </w:tcPr>
          <w:p w:rsidR="00000000" w:rsidRDefault="00000000">
            <w:pPr>
              <w:spacing w:before="60" w:after="60"/>
              <w:jc w:val="right"/>
              <w:rPr>
                <w:sz w:val="22"/>
              </w:rPr>
            </w:pPr>
            <w:r>
              <w:rPr>
                <w:sz w:val="22"/>
              </w:rPr>
              <w:t>1 723,7</w:t>
            </w:r>
          </w:p>
        </w:tc>
      </w:tr>
      <w:tr w:rsidR="00000000">
        <w:tblPrEx>
          <w:tblCellMar>
            <w:top w:w="0" w:type="dxa"/>
            <w:bottom w:w="0" w:type="dxa"/>
          </w:tblCellMar>
        </w:tblPrEx>
        <w:tc>
          <w:tcPr>
            <w:tcW w:w="2059" w:type="dxa"/>
          </w:tcPr>
          <w:p w:rsidR="00000000" w:rsidRDefault="00000000">
            <w:pPr>
              <w:spacing w:before="60" w:after="60"/>
              <w:rPr>
                <w:sz w:val="22"/>
              </w:rPr>
            </w:pPr>
            <w:r>
              <w:rPr>
                <w:sz w:val="22"/>
              </w:rPr>
              <w:t>Dépenses monétaires de la population</w:t>
            </w:r>
          </w:p>
        </w:tc>
        <w:tc>
          <w:tcPr>
            <w:tcW w:w="1912" w:type="dxa"/>
          </w:tcPr>
          <w:p w:rsidR="00000000" w:rsidRDefault="00000000">
            <w:pPr>
              <w:spacing w:before="60" w:after="60"/>
              <w:jc w:val="center"/>
              <w:rPr>
                <w:sz w:val="22"/>
              </w:rPr>
            </w:pPr>
            <w:r>
              <w:rPr>
                <w:sz w:val="22"/>
              </w:rPr>
              <w:t>En millions de lari</w:t>
            </w:r>
          </w:p>
        </w:tc>
        <w:tc>
          <w:tcPr>
            <w:tcW w:w="1077" w:type="dxa"/>
          </w:tcPr>
          <w:p w:rsidR="00000000" w:rsidRDefault="00000000">
            <w:pPr>
              <w:spacing w:before="60" w:after="60"/>
              <w:jc w:val="right"/>
              <w:rPr>
                <w:sz w:val="22"/>
              </w:rPr>
            </w:pPr>
            <w:r>
              <w:rPr>
                <w:sz w:val="22"/>
              </w:rPr>
              <w:t>1 077,0</w:t>
            </w:r>
          </w:p>
        </w:tc>
        <w:tc>
          <w:tcPr>
            <w:tcW w:w="1078" w:type="dxa"/>
          </w:tcPr>
          <w:p w:rsidR="00000000" w:rsidRDefault="00000000">
            <w:pPr>
              <w:spacing w:before="60" w:after="60"/>
              <w:jc w:val="right"/>
              <w:rPr>
                <w:sz w:val="22"/>
              </w:rPr>
            </w:pPr>
            <w:r>
              <w:rPr>
                <w:sz w:val="22"/>
              </w:rPr>
              <w:t>2 454,6</w:t>
            </w:r>
          </w:p>
        </w:tc>
        <w:tc>
          <w:tcPr>
            <w:tcW w:w="1078" w:type="dxa"/>
          </w:tcPr>
          <w:p w:rsidR="00000000" w:rsidRDefault="00000000">
            <w:pPr>
              <w:spacing w:before="60" w:after="60"/>
              <w:jc w:val="right"/>
              <w:rPr>
                <w:sz w:val="22"/>
              </w:rPr>
            </w:pPr>
            <w:r>
              <w:rPr>
                <w:sz w:val="22"/>
              </w:rPr>
              <w:t>2 390,0</w:t>
            </w:r>
          </w:p>
        </w:tc>
        <w:tc>
          <w:tcPr>
            <w:tcW w:w="1078" w:type="dxa"/>
          </w:tcPr>
          <w:p w:rsidR="00000000" w:rsidRDefault="00000000">
            <w:pPr>
              <w:spacing w:before="60" w:after="60"/>
              <w:jc w:val="right"/>
              <w:rPr>
                <w:sz w:val="22"/>
              </w:rPr>
            </w:pPr>
            <w:r>
              <w:rPr>
                <w:sz w:val="22"/>
              </w:rPr>
              <w:t>2 534,6</w:t>
            </w:r>
          </w:p>
        </w:tc>
        <w:tc>
          <w:tcPr>
            <w:tcW w:w="1078" w:type="dxa"/>
          </w:tcPr>
          <w:p w:rsidR="00000000" w:rsidRDefault="00000000">
            <w:pPr>
              <w:spacing w:before="60" w:after="60"/>
              <w:jc w:val="right"/>
              <w:rPr>
                <w:sz w:val="22"/>
              </w:rPr>
            </w:pPr>
            <w:r>
              <w:rPr>
                <w:sz w:val="22"/>
              </w:rPr>
              <w:t>2 677,2</w:t>
            </w:r>
          </w:p>
        </w:tc>
      </w:tr>
      <w:tr w:rsidR="00000000">
        <w:tblPrEx>
          <w:tblCellMar>
            <w:top w:w="0" w:type="dxa"/>
            <w:bottom w:w="0" w:type="dxa"/>
          </w:tblCellMar>
        </w:tblPrEx>
        <w:tc>
          <w:tcPr>
            <w:tcW w:w="2059" w:type="dxa"/>
          </w:tcPr>
          <w:p w:rsidR="00000000" w:rsidRDefault="00000000">
            <w:pPr>
              <w:spacing w:before="60" w:after="60"/>
              <w:rPr>
                <w:sz w:val="22"/>
              </w:rPr>
            </w:pPr>
            <w:r>
              <w:rPr>
                <w:sz w:val="22"/>
              </w:rPr>
              <w:t>Salaire moyen</w:t>
            </w:r>
          </w:p>
        </w:tc>
        <w:tc>
          <w:tcPr>
            <w:tcW w:w="1912" w:type="dxa"/>
          </w:tcPr>
          <w:p w:rsidR="00000000" w:rsidRDefault="00000000">
            <w:pPr>
              <w:spacing w:before="60" w:after="60"/>
              <w:jc w:val="center"/>
              <w:rPr>
                <w:sz w:val="22"/>
              </w:rPr>
            </w:pPr>
            <w:r>
              <w:rPr>
                <w:sz w:val="22"/>
              </w:rPr>
              <w:t>lari</w:t>
            </w:r>
          </w:p>
        </w:tc>
        <w:tc>
          <w:tcPr>
            <w:tcW w:w="1077" w:type="dxa"/>
          </w:tcPr>
          <w:p w:rsidR="00000000" w:rsidRDefault="00000000">
            <w:pPr>
              <w:spacing w:before="60" w:after="60"/>
              <w:jc w:val="right"/>
              <w:rPr>
                <w:sz w:val="22"/>
              </w:rPr>
            </w:pPr>
            <w:r>
              <w:rPr>
                <w:sz w:val="22"/>
              </w:rPr>
              <w:t>13,6</w:t>
            </w:r>
          </w:p>
        </w:tc>
        <w:tc>
          <w:tcPr>
            <w:tcW w:w="1078" w:type="dxa"/>
          </w:tcPr>
          <w:p w:rsidR="00000000" w:rsidRDefault="00000000">
            <w:pPr>
              <w:spacing w:before="60" w:after="60"/>
              <w:jc w:val="right"/>
              <w:rPr>
                <w:sz w:val="22"/>
              </w:rPr>
            </w:pPr>
            <w:r>
              <w:rPr>
                <w:sz w:val="22"/>
              </w:rPr>
              <w:t>29,0</w:t>
            </w:r>
          </w:p>
        </w:tc>
        <w:tc>
          <w:tcPr>
            <w:tcW w:w="1078" w:type="dxa"/>
          </w:tcPr>
          <w:p w:rsidR="00000000" w:rsidRDefault="00000000">
            <w:pPr>
              <w:spacing w:before="60" w:after="60"/>
              <w:jc w:val="right"/>
              <w:rPr>
                <w:sz w:val="22"/>
              </w:rPr>
            </w:pPr>
            <w:r>
              <w:rPr>
                <w:sz w:val="22"/>
              </w:rPr>
              <w:t>42,5</w:t>
            </w:r>
          </w:p>
        </w:tc>
        <w:tc>
          <w:tcPr>
            <w:tcW w:w="1078" w:type="dxa"/>
          </w:tcPr>
          <w:p w:rsidR="00000000" w:rsidRDefault="00000000">
            <w:pPr>
              <w:spacing w:before="60" w:after="60"/>
              <w:jc w:val="right"/>
              <w:rPr>
                <w:sz w:val="22"/>
              </w:rPr>
            </w:pPr>
            <w:r>
              <w:rPr>
                <w:sz w:val="22"/>
              </w:rPr>
              <w:t>127,6</w:t>
            </w:r>
          </w:p>
        </w:tc>
        <w:tc>
          <w:tcPr>
            <w:tcW w:w="1078" w:type="dxa"/>
          </w:tcPr>
          <w:p w:rsidR="00000000" w:rsidRDefault="00000000">
            <w:pPr>
              <w:spacing w:before="60" w:after="60"/>
              <w:jc w:val="right"/>
              <w:rPr>
                <w:sz w:val="22"/>
              </w:rPr>
            </w:pPr>
            <w:r>
              <w:rPr>
                <w:sz w:val="22"/>
              </w:rPr>
              <w:t>114,4</w:t>
            </w:r>
          </w:p>
        </w:tc>
      </w:tr>
      <w:tr w:rsidR="00000000">
        <w:tblPrEx>
          <w:tblCellMar>
            <w:top w:w="0" w:type="dxa"/>
            <w:bottom w:w="0" w:type="dxa"/>
          </w:tblCellMar>
        </w:tblPrEx>
        <w:tc>
          <w:tcPr>
            <w:tcW w:w="2059" w:type="dxa"/>
          </w:tcPr>
          <w:p w:rsidR="00000000" w:rsidRDefault="00000000">
            <w:pPr>
              <w:spacing w:before="60" w:after="60"/>
              <w:rPr>
                <w:sz w:val="22"/>
              </w:rPr>
            </w:pPr>
            <w:r>
              <w:rPr>
                <w:sz w:val="22"/>
              </w:rPr>
              <w:t>Taux de croissance réelle du salaire mensuel</w:t>
            </w:r>
          </w:p>
        </w:tc>
        <w:tc>
          <w:tcPr>
            <w:tcW w:w="1912" w:type="dxa"/>
          </w:tcPr>
          <w:p w:rsidR="00000000" w:rsidRDefault="00000000">
            <w:pPr>
              <w:spacing w:before="60" w:after="60"/>
              <w:jc w:val="center"/>
              <w:rPr>
                <w:sz w:val="22"/>
              </w:rPr>
            </w:pPr>
            <w:r>
              <w:rPr>
                <w:sz w:val="22"/>
              </w:rPr>
              <w:t>%</w:t>
            </w:r>
          </w:p>
        </w:tc>
        <w:tc>
          <w:tcPr>
            <w:tcW w:w="1077" w:type="dxa"/>
          </w:tcPr>
          <w:p w:rsidR="00000000" w:rsidRDefault="00000000">
            <w:pPr>
              <w:spacing w:before="60" w:after="60"/>
              <w:jc w:val="right"/>
              <w:rPr>
                <w:sz w:val="22"/>
              </w:rPr>
            </w:pPr>
            <w:r>
              <w:rPr>
                <w:sz w:val="22"/>
              </w:rPr>
              <w:t>134,4</w:t>
            </w:r>
          </w:p>
        </w:tc>
        <w:tc>
          <w:tcPr>
            <w:tcW w:w="1078" w:type="dxa"/>
          </w:tcPr>
          <w:p w:rsidR="00000000" w:rsidRDefault="00000000">
            <w:pPr>
              <w:spacing w:before="60" w:after="60"/>
              <w:jc w:val="right"/>
              <w:rPr>
                <w:sz w:val="22"/>
              </w:rPr>
            </w:pPr>
            <w:r>
              <w:rPr>
                <w:sz w:val="22"/>
              </w:rPr>
              <w:t>152,9</w:t>
            </w:r>
          </w:p>
        </w:tc>
        <w:tc>
          <w:tcPr>
            <w:tcW w:w="1078" w:type="dxa"/>
          </w:tcPr>
          <w:p w:rsidR="00000000" w:rsidRDefault="00000000">
            <w:pPr>
              <w:spacing w:before="60" w:after="60"/>
              <w:jc w:val="right"/>
              <w:rPr>
                <w:sz w:val="22"/>
              </w:rPr>
            </w:pPr>
            <w:r>
              <w:rPr>
                <w:sz w:val="22"/>
              </w:rPr>
              <w:t>139,8</w:t>
            </w:r>
          </w:p>
        </w:tc>
        <w:tc>
          <w:tcPr>
            <w:tcW w:w="1078" w:type="dxa"/>
          </w:tcPr>
          <w:p w:rsidR="00000000" w:rsidRDefault="00000000">
            <w:pPr>
              <w:spacing w:before="60" w:after="60"/>
              <w:jc w:val="right"/>
              <w:rPr>
                <w:sz w:val="22"/>
              </w:rPr>
            </w:pPr>
            <w:r>
              <w:rPr>
                <w:sz w:val="22"/>
              </w:rPr>
              <w:t>123,2</w:t>
            </w:r>
          </w:p>
        </w:tc>
        <w:tc>
          <w:tcPr>
            <w:tcW w:w="1078" w:type="dxa"/>
          </w:tcPr>
          <w:p w:rsidR="00000000" w:rsidRDefault="00000000">
            <w:pPr>
              <w:spacing w:before="60" w:after="60"/>
              <w:jc w:val="right"/>
              <w:rPr>
                <w:sz w:val="22"/>
              </w:rPr>
            </w:pPr>
            <w:r>
              <w:rPr>
                <w:sz w:val="22"/>
              </w:rPr>
              <w:t>103,6</w:t>
            </w:r>
          </w:p>
        </w:tc>
      </w:tr>
      <w:tr w:rsidR="00000000">
        <w:tblPrEx>
          <w:tblCellMar>
            <w:top w:w="0" w:type="dxa"/>
            <w:bottom w:w="0" w:type="dxa"/>
          </w:tblCellMar>
        </w:tblPrEx>
        <w:tc>
          <w:tcPr>
            <w:tcW w:w="2059" w:type="dxa"/>
          </w:tcPr>
          <w:p w:rsidR="00000000" w:rsidRDefault="00000000">
            <w:pPr>
              <w:spacing w:before="60" w:after="60"/>
              <w:rPr>
                <w:sz w:val="22"/>
              </w:rPr>
            </w:pPr>
            <w:r>
              <w:rPr>
                <w:sz w:val="22"/>
              </w:rPr>
              <w:t>Panier de la ménagère minimum</w:t>
            </w:r>
          </w:p>
        </w:tc>
        <w:tc>
          <w:tcPr>
            <w:tcW w:w="1912" w:type="dxa"/>
          </w:tcPr>
          <w:p w:rsidR="00000000" w:rsidRDefault="00000000">
            <w:pPr>
              <w:spacing w:before="60" w:after="60"/>
              <w:jc w:val="center"/>
              <w:rPr>
                <w:sz w:val="22"/>
              </w:rPr>
            </w:pPr>
            <w:r>
              <w:rPr>
                <w:sz w:val="22"/>
              </w:rPr>
              <w:t>lari</w:t>
            </w:r>
          </w:p>
        </w:tc>
        <w:tc>
          <w:tcPr>
            <w:tcW w:w="1077" w:type="dxa"/>
          </w:tcPr>
          <w:p w:rsidR="00000000" w:rsidRDefault="00000000">
            <w:pPr>
              <w:spacing w:before="60" w:after="60"/>
              <w:jc w:val="right"/>
              <w:rPr>
                <w:sz w:val="22"/>
              </w:rPr>
            </w:pPr>
            <w:r>
              <w:rPr>
                <w:sz w:val="22"/>
              </w:rPr>
              <w:t>41,3</w:t>
            </w:r>
          </w:p>
        </w:tc>
        <w:tc>
          <w:tcPr>
            <w:tcW w:w="1078" w:type="dxa"/>
          </w:tcPr>
          <w:p w:rsidR="00000000" w:rsidRDefault="00000000">
            <w:pPr>
              <w:spacing w:before="60" w:after="60"/>
              <w:jc w:val="right"/>
              <w:rPr>
                <w:sz w:val="22"/>
              </w:rPr>
            </w:pPr>
            <w:r>
              <w:rPr>
                <w:sz w:val="22"/>
              </w:rPr>
              <w:t>47,7</w:t>
            </w:r>
          </w:p>
        </w:tc>
        <w:tc>
          <w:tcPr>
            <w:tcW w:w="1078" w:type="dxa"/>
          </w:tcPr>
          <w:p w:rsidR="00000000" w:rsidRDefault="00000000">
            <w:pPr>
              <w:spacing w:before="60" w:after="60"/>
              <w:jc w:val="right"/>
              <w:rPr>
                <w:sz w:val="22"/>
              </w:rPr>
            </w:pPr>
            <w:r>
              <w:rPr>
                <w:sz w:val="22"/>
              </w:rPr>
              <w:t>182,7</w:t>
            </w:r>
          </w:p>
        </w:tc>
        <w:tc>
          <w:tcPr>
            <w:tcW w:w="1078" w:type="dxa"/>
          </w:tcPr>
          <w:p w:rsidR="00000000" w:rsidRDefault="00000000">
            <w:pPr>
              <w:spacing w:before="60" w:after="60"/>
              <w:jc w:val="right"/>
              <w:rPr>
                <w:sz w:val="22"/>
              </w:rPr>
            </w:pPr>
            <w:r>
              <w:rPr>
                <w:sz w:val="22"/>
              </w:rPr>
              <w:t>183,9</w:t>
            </w:r>
          </w:p>
        </w:tc>
        <w:tc>
          <w:tcPr>
            <w:tcW w:w="1078" w:type="dxa"/>
          </w:tcPr>
          <w:p w:rsidR="00000000" w:rsidRDefault="00000000">
            <w:pPr>
              <w:spacing w:before="60" w:after="60"/>
              <w:jc w:val="right"/>
              <w:rPr>
                <w:sz w:val="22"/>
              </w:rPr>
            </w:pPr>
            <w:r>
              <w:rPr>
                <w:sz w:val="22"/>
              </w:rPr>
              <w:t>193,5</w:t>
            </w:r>
          </w:p>
        </w:tc>
      </w:tr>
      <w:tr w:rsidR="00000000">
        <w:tblPrEx>
          <w:tblCellMar>
            <w:top w:w="0" w:type="dxa"/>
            <w:bottom w:w="0" w:type="dxa"/>
          </w:tblCellMar>
        </w:tblPrEx>
        <w:tc>
          <w:tcPr>
            <w:tcW w:w="2059" w:type="dxa"/>
          </w:tcPr>
          <w:p w:rsidR="00000000" w:rsidRDefault="00000000">
            <w:pPr>
              <w:spacing w:before="60" w:after="60"/>
              <w:rPr>
                <w:sz w:val="22"/>
              </w:rPr>
            </w:pPr>
            <w:r>
              <w:rPr>
                <w:sz w:val="22"/>
              </w:rPr>
              <w:t>Panier minimum de denrées alimentaires</w:t>
            </w:r>
          </w:p>
        </w:tc>
        <w:tc>
          <w:tcPr>
            <w:tcW w:w="1912" w:type="dxa"/>
          </w:tcPr>
          <w:p w:rsidR="00000000" w:rsidRDefault="00000000">
            <w:pPr>
              <w:spacing w:before="60" w:after="60"/>
              <w:jc w:val="center"/>
              <w:rPr>
                <w:sz w:val="22"/>
              </w:rPr>
            </w:pPr>
            <w:r>
              <w:rPr>
                <w:sz w:val="22"/>
              </w:rPr>
              <w:t>lari</w:t>
            </w:r>
          </w:p>
        </w:tc>
        <w:tc>
          <w:tcPr>
            <w:tcW w:w="1077" w:type="dxa"/>
          </w:tcPr>
          <w:p w:rsidR="00000000" w:rsidRDefault="00000000">
            <w:pPr>
              <w:spacing w:before="60" w:after="60"/>
              <w:jc w:val="right"/>
              <w:rPr>
                <w:sz w:val="22"/>
              </w:rPr>
            </w:pPr>
            <w:r>
              <w:rPr>
                <w:sz w:val="22"/>
              </w:rPr>
              <w:t>28,9</w:t>
            </w:r>
          </w:p>
        </w:tc>
        <w:tc>
          <w:tcPr>
            <w:tcW w:w="1078" w:type="dxa"/>
          </w:tcPr>
          <w:p w:rsidR="00000000" w:rsidRDefault="00000000">
            <w:pPr>
              <w:spacing w:before="60" w:after="60"/>
              <w:jc w:val="right"/>
              <w:rPr>
                <w:sz w:val="22"/>
              </w:rPr>
            </w:pPr>
            <w:r>
              <w:rPr>
                <w:sz w:val="22"/>
              </w:rPr>
              <w:t>33,4</w:t>
            </w:r>
          </w:p>
        </w:tc>
        <w:tc>
          <w:tcPr>
            <w:tcW w:w="1078" w:type="dxa"/>
          </w:tcPr>
          <w:p w:rsidR="00000000" w:rsidRDefault="00000000">
            <w:pPr>
              <w:spacing w:before="60" w:after="60"/>
              <w:jc w:val="right"/>
              <w:rPr>
                <w:sz w:val="22"/>
              </w:rPr>
            </w:pPr>
            <w:r>
              <w:rPr>
                <w:sz w:val="22"/>
              </w:rPr>
              <w:t>128,0</w:t>
            </w:r>
          </w:p>
        </w:tc>
        <w:tc>
          <w:tcPr>
            <w:tcW w:w="1078" w:type="dxa"/>
          </w:tcPr>
          <w:p w:rsidR="00000000" w:rsidRDefault="00000000">
            <w:pPr>
              <w:spacing w:before="60" w:after="60"/>
              <w:jc w:val="right"/>
              <w:rPr>
                <w:sz w:val="22"/>
              </w:rPr>
            </w:pPr>
            <w:r>
              <w:rPr>
                <w:sz w:val="22"/>
              </w:rPr>
              <w:t>128,7</w:t>
            </w:r>
          </w:p>
        </w:tc>
        <w:tc>
          <w:tcPr>
            <w:tcW w:w="1078" w:type="dxa"/>
          </w:tcPr>
          <w:p w:rsidR="00000000" w:rsidRDefault="00000000">
            <w:pPr>
              <w:spacing w:before="60" w:after="60"/>
              <w:jc w:val="right"/>
              <w:rPr>
                <w:sz w:val="22"/>
              </w:rPr>
            </w:pPr>
            <w:r>
              <w:rPr>
                <w:sz w:val="22"/>
              </w:rPr>
              <w:t>135,5</w:t>
            </w:r>
          </w:p>
        </w:tc>
      </w:tr>
    </w:tbl>
    <w:p w:rsidR="00000000" w:rsidRDefault="00000000">
      <w:pPr>
        <w:spacing w:after="240"/>
        <w:ind w:firstLine="567"/>
        <w:rPr>
          <w:u w:val="single"/>
        </w:rPr>
      </w:pPr>
    </w:p>
    <w:p w:rsidR="00000000" w:rsidRDefault="00000000">
      <w:pPr>
        <w:keepNext/>
        <w:spacing w:after="240"/>
        <w:ind w:firstLine="567"/>
        <w:rPr>
          <w:u w:val="single"/>
        </w:rPr>
      </w:pPr>
      <w:r>
        <w:rPr>
          <w:u w:val="single"/>
        </w:rPr>
        <w:t>Le droit à une alimentation suffisante</w:t>
      </w:r>
    </w:p>
    <w:p w:rsidR="00000000" w:rsidRDefault="00000000">
      <w:pPr>
        <w:spacing w:after="240"/>
      </w:pPr>
      <w:r>
        <w:t>148.</w:t>
      </w:r>
      <w:r>
        <w:tab/>
        <w:t>En ce qui concerne la réalisation de ce droit, on présente ci</w:t>
      </w:r>
      <w:r>
        <w:noBreakHyphen/>
        <w:t xml:space="preserve">après des renseignements fournis par le Ministère géorgien de l’agriculture, lequel s’est appuyé sur des données officielles et confirmées du Département national de statistique. </w:t>
      </w:r>
    </w:p>
    <w:p w:rsidR="00000000" w:rsidRDefault="00000000">
      <w:pPr>
        <w:spacing w:after="240"/>
      </w:pPr>
      <w:r>
        <w:t>149.</w:t>
      </w:r>
      <w:r>
        <w:tab/>
        <w:t>Selon ces statistiques, à la fin de 2000, 1 643 entreprises étaient en activité dans le domaine de la production de denrées alimentaires et de boissons et dans celui de la transformation du tabac. En 2000, le volume de la production dans cette branche représentait 298 millions de lari en prix comparables.</w:t>
      </w:r>
    </w:p>
    <w:p w:rsidR="00000000" w:rsidRDefault="00000000">
      <w:pPr>
        <w:keepNext/>
        <w:spacing w:after="240"/>
      </w:pPr>
      <w:r>
        <w:t>150.</w:t>
      </w:r>
      <w:r>
        <w:tab/>
        <w:t>On trouvera ci</w:t>
      </w:r>
      <w:r>
        <w:noBreakHyphen/>
        <w:t>après les statistiques de la production de denrées alimentaires comptabilisées en nature pour la période 1997</w:t>
      </w:r>
      <w:r>
        <w:noBreakHyphen/>
        <w:t>2000.</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7"/>
        <w:gridCol w:w="3000"/>
        <w:gridCol w:w="2013"/>
        <w:gridCol w:w="996"/>
        <w:gridCol w:w="997"/>
        <w:gridCol w:w="997"/>
        <w:gridCol w:w="997"/>
      </w:tblGrid>
      <w:tr w:rsidR="00000000">
        <w:tblPrEx>
          <w:tblCellMar>
            <w:top w:w="0" w:type="dxa"/>
            <w:bottom w:w="0" w:type="dxa"/>
          </w:tblCellMar>
        </w:tblPrEx>
        <w:trPr>
          <w:tblHeader/>
        </w:trPr>
        <w:tc>
          <w:tcPr>
            <w:tcW w:w="387" w:type="dxa"/>
            <w:vAlign w:val="center"/>
          </w:tcPr>
          <w:p w:rsidR="00000000" w:rsidRDefault="00000000">
            <w:pPr>
              <w:keepNext/>
              <w:spacing w:before="60" w:after="60"/>
              <w:jc w:val="center"/>
              <w:rPr>
                <w:sz w:val="22"/>
              </w:rPr>
            </w:pPr>
            <w:r>
              <w:rPr>
                <w:sz w:val="22"/>
              </w:rPr>
              <w:t>N°</w:t>
            </w:r>
          </w:p>
        </w:tc>
        <w:tc>
          <w:tcPr>
            <w:tcW w:w="3000" w:type="dxa"/>
            <w:vAlign w:val="center"/>
          </w:tcPr>
          <w:p w:rsidR="00000000" w:rsidRDefault="00000000">
            <w:pPr>
              <w:keepNext/>
              <w:spacing w:before="60" w:after="60"/>
              <w:jc w:val="center"/>
              <w:rPr>
                <w:sz w:val="22"/>
              </w:rPr>
            </w:pPr>
            <w:r>
              <w:rPr>
                <w:sz w:val="22"/>
              </w:rPr>
              <w:t>Désignation du produit</w:t>
            </w:r>
          </w:p>
        </w:tc>
        <w:tc>
          <w:tcPr>
            <w:tcW w:w="2013" w:type="dxa"/>
            <w:vAlign w:val="center"/>
          </w:tcPr>
          <w:p w:rsidR="00000000" w:rsidRDefault="00000000">
            <w:pPr>
              <w:keepNext/>
              <w:spacing w:before="60" w:after="60"/>
              <w:jc w:val="center"/>
              <w:rPr>
                <w:sz w:val="22"/>
              </w:rPr>
            </w:pPr>
            <w:r>
              <w:rPr>
                <w:sz w:val="22"/>
              </w:rPr>
              <w:t>Unité de compte</w:t>
            </w:r>
          </w:p>
        </w:tc>
        <w:tc>
          <w:tcPr>
            <w:tcW w:w="996" w:type="dxa"/>
            <w:vAlign w:val="center"/>
          </w:tcPr>
          <w:p w:rsidR="00000000" w:rsidRDefault="00000000">
            <w:pPr>
              <w:keepNext/>
              <w:spacing w:before="60" w:after="60"/>
              <w:jc w:val="center"/>
              <w:rPr>
                <w:sz w:val="22"/>
              </w:rPr>
            </w:pPr>
            <w:r>
              <w:rPr>
                <w:sz w:val="22"/>
              </w:rPr>
              <w:t>1997</w:t>
            </w:r>
          </w:p>
        </w:tc>
        <w:tc>
          <w:tcPr>
            <w:tcW w:w="997" w:type="dxa"/>
            <w:vAlign w:val="center"/>
          </w:tcPr>
          <w:p w:rsidR="00000000" w:rsidRDefault="00000000">
            <w:pPr>
              <w:keepNext/>
              <w:spacing w:before="60" w:after="60"/>
              <w:jc w:val="center"/>
              <w:rPr>
                <w:sz w:val="22"/>
              </w:rPr>
            </w:pPr>
            <w:r>
              <w:rPr>
                <w:sz w:val="22"/>
              </w:rPr>
              <w:t>1998</w:t>
            </w:r>
          </w:p>
        </w:tc>
        <w:tc>
          <w:tcPr>
            <w:tcW w:w="997" w:type="dxa"/>
            <w:vAlign w:val="center"/>
          </w:tcPr>
          <w:p w:rsidR="00000000" w:rsidRDefault="00000000">
            <w:pPr>
              <w:keepNext/>
              <w:spacing w:before="60" w:after="60"/>
              <w:jc w:val="center"/>
              <w:rPr>
                <w:sz w:val="22"/>
              </w:rPr>
            </w:pPr>
            <w:r>
              <w:rPr>
                <w:sz w:val="22"/>
              </w:rPr>
              <w:t>1999</w:t>
            </w:r>
          </w:p>
        </w:tc>
        <w:tc>
          <w:tcPr>
            <w:tcW w:w="997" w:type="dxa"/>
            <w:vAlign w:val="center"/>
          </w:tcPr>
          <w:p w:rsidR="00000000" w:rsidRDefault="00000000">
            <w:pPr>
              <w:keepNext/>
              <w:spacing w:before="60" w:after="60"/>
              <w:jc w:val="center"/>
              <w:rPr>
                <w:sz w:val="22"/>
              </w:rPr>
            </w:pPr>
            <w:r>
              <w:rPr>
                <w:sz w:val="22"/>
              </w:rPr>
              <w:t>2000</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1</w:t>
            </w:r>
          </w:p>
        </w:tc>
        <w:tc>
          <w:tcPr>
            <w:tcW w:w="3000" w:type="dxa"/>
          </w:tcPr>
          <w:p w:rsidR="00000000" w:rsidRDefault="00000000">
            <w:pPr>
              <w:keepNext/>
              <w:spacing w:before="60" w:after="60"/>
              <w:rPr>
                <w:sz w:val="22"/>
              </w:rPr>
            </w:pPr>
            <w:r>
              <w:rPr>
                <w:sz w:val="22"/>
              </w:rPr>
              <w:t>Thé conditionné</w:t>
            </w:r>
          </w:p>
        </w:tc>
        <w:tc>
          <w:tcPr>
            <w:tcW w:w="2013" w:type="dxa"/>
          </w:tcPr>
          <w:p w:rsidR="00000000" w:rsidRDefault="00000000">
            <w:pPr>
              <w:keepNext/>
              <w:spacing w:before="60" w:after="60"/>
              <w:rPr>
                <w:sz w:val="22"/>
              </w:rPr>
            </w:pPr>
            <w:r>
              <w:rPr>
                <w:sz w:val="22"/>
              </w:rPr>
              <w:t>Tonnes</w:t>
            </w:r>
          </w:p>
        </w:tc>
        <w:tc>
          <w:tcPr>
            <w:tcW w:w="996" w:type="dxa"/>
          </w:tcPr>
          <w:p w:rsidR="00000000" w:rsidRDefault="00000000">
            <w:pPr>
              <w:keepNext/>
              <w:spacing w:before="60" w:after="60"/>
              <w:jc w:val="right"/>
              <w:rPr>
                <w:sz w:val="22"/>
              </w:rPr>
            </w:pPr>
            <w:r>
              <w:rPr>
                <w:sz w:val="22"/>
              </w:rPr>
              <w:t>6 303</w:t>
            </w:r>
          </w:p>
        </w:tc>
        <w:tc>
          <w:tcPr>
            <w:tcW w:w="997" w:type="dxa"/>
          </w:tcPr>
          <w:p w:rsidR="00000000" w:rsidRDefault="00000000">
            <w:pPr>
              <w:keepNext/>
              <w:spacing w:before="60" w:after="60"/>
              <w:jc w:val="right"/>
              <w:rPr>
                <w:sz w:val="22"/>
              </w:rPr>
            </w:pPr>
            <w:r>
              <w:rPr>
                <w:sz w:val="22"/>
              </w:rPr>
              <w:t>2 956</w:t>
            </w:r>
          </w:p>
        </w:tc>
        <w:tc>
          <w:tcPr>
            <w:tcW w:w="997" w:type="dxa"/>
          </w:tcPr>
          <w:p w:rsidR="00000000" w:rsidRDefault="00000000">
            <w:pPr>
              <w:keepNext/>
              <w:spacing w:before="60" w:after="60"/>
              <w:jc w:val="right"/>
              <w:rPr>
                <w:sz w:val="22"/>
              </w:rPr>
            </w:pPr>
            <w:r>
              <w:rPr>
                <w:sz w:val="22"/>
              </w:rPr>
              <w:t>2 648</w:t>
            </w:r>
          </w:p>
        </w:tc>
        <w:tc>
          <w:tcPr>
            <w:tcW w:w="997" w:type="dxa"/>
          </w:tcPr>
          <w:p w:rsidR="00000000" w:rsidRDefault="00000000">
            <w:pPr>
              <w:keepNext/>
              <w:spacing w:before="60" w:after="60"/>
              <w:jc w:val="right"/>
              <w:rPr>
                <w:sz w:val="22"/>
              </w:rPr>
            </w:pPr>
            <w:r>
              <w:rPr>
                <w:sz w:val="22"/>
              </w:rPr>
              <w:t>2 031</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2</w:t>
            </w:r>
          </w:p>
        </w:tc>
        <w:tc>
          <w:tcPr>
            <w:tcW w:w="3000" w:type="dxa"/>
          </w:tcPr>
          <w:p w:rsidR="00000000" w:rsidRDefault="00000000">
            <w:pPr>
              <w:keepNext/>
              <w:spacing w:before="60" w:after="60"/>
              <w:rPr>
                <w:sz w:val="22"/>
              </w:rPr>
            </w:pPr>
            <w:r>
              <w:rPr>
                <w:sz w:val="22"/>
              </w:rPr>
              <w:t>Thé de première transformation</w:t>
            </w:r>
          </w:p>
        </w:tc>
        <w:tc>
          <w:tcPr>
            <w:tcW w:w="2013" w:type="dxa"/>
          </w:tcPr>
          <w:p w:rsidR="00000000" w:rsidRDefault="00000000">
            <w:pPr>
              <w:keepNext/>
              <w:spacing w:before="60" w:after="60"/>
              <w:rPr>
                <w:sz w:val="22"/>
              </w:rPr>
            </w:pPr>
            <w:r>
              <w:rPr>
                <w:sz w:val="22"/>
              </w:rPr>
              <w:t>Tonnes</w:t>
            </w:r>
          </w:p>
        </w:tc>
        <w:tc>
          <w:tcPr>
            <w:tcW w:w="996" w:type="dxa"/>
          </w:tcPr>
          <w:p w:rsidR="00000000" w:rsidRDefault="00000000">
            <w:pPr>
              <w:keepNext/>
              <w:spacing w:before="60" w:after="60"/>
              <w:jc w:val="right"/>
              <w:rPr>
                <w:sz w:val="22"/>
              </w:rPr>
            </w:pPr>
            <w:r>
              <w:rPr>
                <w:sz w:val="22"/>
              </w:rPr>
              <w:t>9 274</w:t>
            </w:r>
          </w:p>
        </w:tc>
        <w:tc>
          <w:tcPr>
            <w:tcW w:w="997" w:type="dxa"/>
          </w:tcPr>
          <w:p w:rsidR="00000000" w:rsidRDefault="00000000">
            <w:pPr>
              <w:keepNext/>
              <w:spacing w:before="60" w:after="60"/>
              <w:jc w:val="right"/>
              <w:rPr>
                <w:sz w:val="22"/>
              </w:rPr>
            </w:pPr>
            <w:r>
              <w:rPr>
                <w:sz w:val="22"/>
              </w:rPr>
              <w:t>9 989</w:t>
            </w:r>
          </w:p>
        </w:tc>
        <w:tc>
          <w:tcPr>
            <w:tcW w:w="997" w:type="dxa"/>
          </w:tcPr>
          <w:p w:rsidR="00000000" w:rsidRDefault="00000000">
            <w:pPr>
              <w:keepNext/>
              <w:spacing w:before="60" w:after="60"/>
              <w:jc w:val="right"/>
              <w:rPr>
                <w:sz w:val="22"/>
              </w:rPr>
            </w:pPr>
            <w:r>
              <w:rPr>
                <w:sz w:val="22"/>
              </w:rPr>
              <w:t>12 898</w:t>
            </w:r>
          </w:p>
        </w:tc>
        <w:tc>
          <w:tcPr>
            <w:tcW w:w="997" w:type="dxa"/>
          </w:tcPr>
          <w:p w:rsidR="00000000" w:rsidRDefault="00000000">
            <w:pPr>
              <w:keepNext/>
              <w:spacing w:before="60" w:after="60"/>
              <w:jc w:val="right"/>
              <w:rPr>
                <w:sz w:val="22"/>
              </w:rPr>
            </w:pPr>
            <w:r>
              <w:rPr>
                <w:sz w:val="22"/>
              </w:rPr>
              <w:t>4 949</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3</w:t>
            </w:r>
          </w:p>
        </w:tc>
        <w:tc>
          <w:tcPr>
            <w:tcW w:w="3000" w:type="dxa"/>
          </w:tcPr>
          <w:p w:rsidR="00000000" w:rsidRDefault="00000000">
            <w:pPr>
              <w:keepNext/>
              <w:spacing w:before="60" w:after="60"/>
              <w:rPr>
                <w:sz w:val="22"/>
              </w:rPr>
            </w:pPr>
            <w:r>
              <w:rPr>
                <w:sz w:val="22"/>
              </w:rPr>
              <w:t>Thé vert en briquettes</w:t>
            </w:r>
          </w:p>
        </w:tc>
        <w:tc>
          <w:tcPr>
            <w:tcW w:w="2013" w:type="dxa"/>
          </w:tcPr>
          <w:p w:rsidR="00000000" w:rsidRDefault="00000000">
            <w:pPr>
              <w:keepNext/>
              <w:spacing w:before="60" w:after="60"/>
              <w:rPr>
                <w:sz w:val="22"/>
              </w:rPr>
            </w:pPr>
            <w:r>
              <w:rPr>
                <w:sz w:val="22"/>
              </w:rPr>
              <w:t>Tonnes</w:t>
            </w:r>
          </w:p>
        </w:tc>
        <w:tc>
          <w:tcPr>
            <w:tcW w:w="996" w:type="dxa"/>
          </w:tcPr>
          <w:p w:rsidR="00000000" w:rsidRDefault="00000000">
            <w:pPr>
              <w:keepNext/>
              <w:spacing w:before="60" w:after="60"/>
              <w:jc w:val="right"/>
              <w:rPr>
                <w:sz w:val="22"/>
              </w:rPr>
            </w:pPr>
            <w:r>
              <w:rPr>
                <w:sz w:val="22"/>
              </w:rPr>
              <w:t>1 249</w:t>
            </w:r>
          </w:p>
        </w:tc>
        <w:tc>
          <w:tcPr>
            <w:tcW w:w="997" w:type="dxa"/>
          </w:tcPr>
          <w:p w:rsidR="00000000" w:rsidRDefault="00000000">
            <w:pPr>
              <w:keepNext/>
              <w:spacing w:before="60" w:after="60"/>
              <w:jc w:val="right"/>
              <w:rPr>
                <w:sz w:val="22"/>
              </w:rPr>
            </w:pPr>
            <w:r>
              <w:rPr>
                <w:sz w:val="22"/>
              </w:rPr>
              <w:t>1 915</w:t>
            </w:r>
          </w:p>
        </w:tc>
        <w:tc>
          <w:tcPr>
            <w:tcW w:w="997" w:type="dxa"/>
          </w:tcPr>
          <w:p w:rsidR="00000000" w:rsidRDefault="00000000">
            <w:pPr>
              <w:keepNext/>
              <w:spacing w:before="60" w:after="60"/>
              <w:jc w:val="right"/>
              <w:rPr>
                <w:sz w:val="22"/>
              </w:rPr>
            </w:pPr>
            <w:r>
              <w:rPr>
                <w:sz w:val="22"/>
              </w:rPr>
              <w:t>1 861</w:t>
            </w:r>
          </w:p>
        </w:tc>
        <w:tc>
          <w:tcPr>
            <w:tcW w:w="997" w:type="dxa"/>
          </w:tcPr>
          <w:p w:rsidR="00000000" w:rsidRDefault="00000000">
            <w:pPr>
              <w:keepNext/>
              <w:spacing w:before="60" w:after="60"/>
              <w:jc w:val="right"/>
              <w:rPr>
                <w:sz w:val="22"/>
              </w:rPr>
            </w:pPr>
            <w:r>
              <w:rPr>
                <w:sz w:val="22"/>
              </w:rPr>
              <w:t>1 110</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4</w:t>
            </w:r>
          </w:p>
        </w:tc>
        <w:tc>
          <w:tcPr>
            <w:tcW w:w="3000" w:type="dxa"/>
          </w:tcPr>
          <w:p w:rsidR="00000000" w:rsidRDefault="00000000">
            <w:pPr>
              <w:keepNext/>
              <w:spacing w:before="60" w:after="60"/>
              <w:rPr>
                <w:sz w:val="22"/>
              </w:rPr>
            </w:pPr>
            <w:r>
              <w:rPr>
                <w:sz w:val="22"/>
              </w:rPr>
              <w:t>Vins et produits vinicoles</w:t>
            </w:r>
          </w:p>
        </w:tc>
        <w:tc>
          <w:tcPr>
            <w:tcW w:w="2013" w:type="dxa"/>
          </w:tcPr>
          <w:p w:rsidR="00000000" w:rsidRDefault="00000000">
            <w:pPr>
              <w:keepNext/>
              <w:spacing w:before="60" w:after="60"/>
              <w:rPr>
                <w:sz w:val="22"/>
              </w:rPr>
            </w:pPr>
            <w:r>
              <w:rPr>
                <w:sz w:val="22"/>
              </w:rPr>
              <w:t>Milliers de dl</w:t>
            </w:r>
          </w:p>
        </w:tc>
        <w:tc>
          <w:tcPr>
            <w:tcW w:w="996" w:type="dxa"/>
          </w:tcPr>
          <w:p w:rsidR="00000000" w:rsidRDefault="00000000">
            <w:pPr>
              <w:keepNext/>
              <w:spacing w:before="60" w:after="60"/>
              <w:jc w:val="right"/>
              <w:rPr>
                <w:sz w:val="22"/>
              </w:rPr>
            </w:pPr>
            <w:r>
              <w:rPr>
                <w:sz w:val="22"/>
              </w:rPr>
              <w:t>2 883</w:t>
            </w:r>
          </w:p>
        </w:tc>
        <w:tc>
          <w:tcPr>
            <w:tcW w:w="997" w:type="dxa"/>
          </w:tcPr>
          <w:p w:rsidR="00000000" w:rsidRDefault="00000000">
            <w:pPr>
              <w:keepNext/>
              <w:spacing w:before="60" w:after="60"/>
              <w:jc w:val="right"/>
              <w:rPr>
                <w:sz w:val="22"/>
              </w:rPr>
            </w:pPr>
            <w:r>
              <w:rPr>
                <w:sz w:val="22"/>
              </w:rPr>
              <w:t>2 304</w:t>
            </w:r>
          </w:p>
        </w:tc>
        <w:tc>
          <w:tcPr>
            <w:tcW w:w="997" w:type="dxa"/>
          </w:tcPr>
          <w:p w:rsidR="00000000" w:rsidRDefault="00000000">
            <w:pPr>
              <w:keepNext/>
              <w:spacing w:before="60" w:after="60"/>
              <w:jc w:val="right"/>
              <w:rPr>
                <w:sz w:val="22"/>
              </w:rPr>
            </w:pPr>
            <w:r>
              <w:rPr>
                <w:sz w:val="22"/>
              </w:rPr>
              <w:t>1 939</w:t>
            </w:r>
          </w:p>
        </w:tc>
        <w:tc>
          <w:tcPr>
            <w:tcW w:w="997" w:type="dxa"/>
          </w:tcPr>
          <w:p w:rsidR="00000000" w:rsidRDefault="00000000">
            <w:pPr>
              <w:keepNext/>
              <w:spacing w:before="60" w:after="60"/>
              <w:jc w:val="right"/>
              <w:rPr>
                <w:sz w:val="22"/>
              </w:rPr>
            </w:pPr>
            <w:r>
              <w:rPr>
                <w:sz w:val="22"/>
              </w:rPr>
              <w:t>1 816</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5</w:t>
            </w:r>
          </w:p>
        </w:tc>
        <w:tc>
          <w:tcPr>
            <w:tcW w:w="3000" w:type="dxa"/>
          </w:tcPr>
          <w:p w:rsidR="00000000" w:rsidRDefault="00000000">
            <w:pPr>
              <w:keepNext/>
              <w:spacing w:before="60" w:after="60"/>
              <w:rPr>
                <w:sz w:val="22"/>
              </w:rPr>
            </w:pPr>
            <w:r>
              <w:rPr>
                <w:sz w:val="22"/>
              </w:rPr>
              <w:t>Eau</w:t>
            </w:r>
            <w:r>
              <w:rPr>
                <w:sz w:val="22"/>
              </w:rPr>
              <w:noBreakHyphen/>
              <w:t>de</w:t>
            </w:r>
            <w:r>
              <w:rPr>
                <w:sz w:val="22"/>
              </w:rPr>
              <w:noBreakHyphen/>
              <w:t>vie</w:t>
            </w:r>
          </w:p>
        </w:tc>
        <w:tc>
          <w:tcPr>
            <w:tcW w:w="2013" w:type="dxa"/>
          </w:tcPr>
          <w:p w:rsidR="00000000" w:rsidRDefault="00000000">
            <w:pPr>
              <w:keepNext/>
              <w:spacing w:before="60" w:after="60"/>
              <w:rPr>
                <w:sz w:val="22"/>
              </w:rPr>
            </w:pPr>
            <w:r>
              <w:rPr>
                <w:sz w:val="22"/>
              </w:rPr>
              <w:t>Milliers de dl</w:t>
            </w:r>
          </w:p>
        </w:tc>
        <w:tc>
          <w:tcPr>
            <w:tcW w:w="996" w:type="dxa"/>
          </w:tcPr>
          <w:p w:rsidR="00000000" w:rsidRDefault="00000000">
            <w:pPr>
              <w:keepNext/>
              <w:spacing w:before="60" w:after="60"/>
              <w:jc w:val="right"/>
              <w:rPr>
                <w:sz w:val="22"/>
              </w:rPr>
            </w:pPr>
            <w:r>
              <w:rPr>
                <w:sz w:val="22"/>
              </w:rPr>
              <w:t>78,1</w:t>
            </w:r>
          </w:p>
        </w:tc>
        <w:tc>
          <w:tcPr>
            <w:tcW w:w="997" w:type="dxa"/>
          </w:tcPr>
          <w:p w:rsidR="00000000" w:rsidRDefault="00000000">
            <w:pPr>
              <w:keepNext/>
              <w:spacing w:before="60" w:after="60"/>
              <w:jc w:val="right"/>
              <w:rPr>
                <w:sz w:val="22"/>
              </w:rPr>
            </w:pPr>
            <w:r>
              <w:rPr>
                <w:sz w:val="22"/>
              </w:rPr>
              <w:t>37,8</w:t>
            </w:r>
          </w:p>
        </w:tc>
        <w:tc>
          <w:tcPr>
            <w:tcW w:w="997" w:type="dxa"/>
          </w:tcPr>
          <w:p w:rsidR="00000000" w:rsidRDefault="00000000">
            <w:pPr>
              <w:keepNext/>
              <w:spacing w:before="60" w:after="60"/>
              <w:jc w:val="right"/>
              <w:rPr>
                <w:sz w:val="22"/>
              </w:rPr>
            </w:pPr>
            <w:r>
              <w:rPr>
                <w:sz w:val="22"/>
              </w:rPr>
              <w:t>31,1</w:t>
            </w:r>
          </w:p>
        </w:tc>
        <w:tc>
          <w:tcPr>
            <w:tcW w:w="997" w:type="dxa"/>
          </w:tcPr>
          <w:p w:rsidR="00000000" w:rsidRDefault="00000000">
            <w:pPr>
              <w:keepNext/>
              <w:spacing w:before="60" w:after="60"/>
              <w:jc w:val="right"/>
              <w:rPr>
                <w:sz w:val="22"/>
              </w:rPr>
            </w:pPr>
            <w:r>
              <w:rPr>
                <w:sz w:val="22"/>
              </w:rPr>
              <w:t>70,6</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6</w:t>
            </w:r>
          </w:p>
        </w:tc>
        <w:tc>
          <w:tcPr>
            <w:tcW w:w="3000" w:type="dxa"/>
          </w:tcPr>
          <w:p w:rsidR="00000000" w:rsidRDefault="00000000">
            <w:pPr>
              <w:keepNext/>
              <w:spacing w:before="60" w:after="60"/>
              <w:rPr>
                <w:sz w:val="22"/>
              </w:rPr>
            </w:pPr>
            <w:r>
              <w:rPr>
                <w:sz w:val="22"/>
              </w:rPr>
              <w:t>Vodka et produits liquoreux</w:t>
            </w:r>
          </w:p>
        </w:tc>
        <w:tc>
          <w:tcPr>
            <w:tcW w:w="2013" w:type="dxa"/>
          </w:tcPr>
          <w:p w:rsidR="00000000" w:rsidRDefault="00000000">
            <w:pPr>
              <w:keepNext/>
              <w:spacing w:before="60" w:after="60"/>
              <w:rPr>
                <w:sz w:val="22"/>
              </w:rPr>
            </w:pPr>
            <w:r>
              <w:rPr>
                <w:sz w:val="22"/>
              </w:rPr>
              <w:t>Milliers de dl</w:t>
            </w:r>
          </w:p>
        </w:tc>
        <w:tc>
          <w:tcPr>
            <w:tcW w:w="996" w:type="dxa"/>
          </w:tcPr>
          <w:p w:rsidR="00000000" w:rsidRDefault="00000000">
            <w:pPr>
              <w:keepNext/>
              <w:spacing w:before="60" w:after="60"/>
              <w:jc w:val="right"/>
              <w:rPr>
                <w:sz w:val="22"/>
              </w:rPr>
            </w:pPr>
            <w:r>
              <w:rPr>
                <w:sz w:val="22"/>
              </w:rPr>
              <w:t>276,0</w:t>
            </w:r>
          </w:p>
        </w:tc>
        <w:tc>
          <w:tcPr>
            <w:tcW w:w="997" w:type="dxa"/>
          </w:tcPr>
          <w:p w:rsidR="00000000" w:rsidRDefault="00000000">
            <w:pPr>
              <w:keepNext/>
              <w:spacing w:before="60" w:after="60"/>
              <w:jc w:val="right"/>
              <w:rPr>
                <w:sz w:val="22"/>
              </w:rPr>
            </w:pPr>
            <w:r>
              <w:rPr>
                <w:sz w:val="22"/>
              </w:rPr>
              <w:t>112,7</w:t>
            </w:r>
          </w:p>
        </w:tc>
        <w:tc>
          <w:tcPr>
            <w:tcW w:w="997" w:type="dxa"/>
          </w:tcPr>
          <w:p w:rsidR="00000000" w:rsidRDefault="00000000">
            <w:pPr>
              <w:keepNext/>
              <w:spacing w:before="60" w:after="60"/>
              <w:jc w:val="right"/>
              <w:rPr>
                <w:sz w:val="22"/>
              </w:rPr>
            </w:pPr>
            <w:r>
              <w:rPr>
                <w:sz w:val="22"/>
              </w:rPr>
              <w:t>463,8</w:t>
            </w:r>
          </w:p>
        </w:tc>
        <w:tc>
          <w:tcPr>
            <w:tcW w:w="997" w:type="dxa"/>
          </w:tcPr>
          <w:p w:rsidR="00000000" w:rsidRDefault="00000000">
            <w:pPr>
              <w:keepNext/>
              <w:spacing w:before="60" w:after="60"/>
              <w:jc w:val="right"/>
              <w:rPr>
                <w:sz w:val="22"/>
              </w:rPr>
            </w:pPr>
            <w:r>
              <w:rPr>
                <w:sz w:val="22"/>
              </w:rPr>
              <w:t>430,1</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7</w:t>
            </w:r>
          </w:p>
        </w:tc>
        <w:tc>
          <w:tcPr>
            <w:tcW w:w="3000" w:type="dxa"/>
          </w:tcPr>
          <w:p w:rsidR="00000000" w:rsidRDefault="00000000">
            <w:pPr>
              <w:keepNext/>
              <w:spacing w:before="60" w:after="60"/>
              <w:rPr>
                <w:sz w:val="22"/>
              </w:rPr>
            </w:pPr>
            <w:r>
              <w:rPr>
                <w:sz w:val="22"/>
              </w:rPr>
              <w:t>Vins mousseux</w:t>
            </w:r>
          </w:p>
        </w:tc>
        <w:tc>
          <w:tcPr>
            <w:tcW w:w="2013" w:type="dxa"/>
          </w:tcPr>
          <w:p w:rsidR="00000000" w:rsidRDefault="00000000">
            <w:pPr>
              <w:keepNext/>
              <w:spacing w:before="60" w:after="60"/>
              <w:rPr>
                <w:sz w:val="22"/>
              </w:rPr>
            </w:pPr>
            <w:r>
              <w:rPr>
                <w:sz w:val="22"/>
              </w:rPr>
              <w:t>Milliers de bouteilles</w:t>
            </w:r>
          </w:p>
        </w:tc>
        <w:tc>
          <w:tcPr>
            <w:tcW w:w="996" w:type="dxa"/>
          </w:tcPr>
          <w:p w:rsidR="00000000" w:rsidRDefault="00000000">
            <w:pPr>
              <w:keepNext/>
              <w:spacing w:before="60" w:after="60"/>
              <w:jc w:val="right"/>
              <w:rPr>
                <w:sz w:val="22"/>
              </w:rPr>
            </w:pPr>
            <w:r>
              <w:rPr>
                <w:sz w:val="22"/>
              </w:rPr>
              <w:t>133,4</w:t>
            </w:r>
          </w:p>
        </w:tc>
        <w:tc>
          <w:tcPr>
            <w:tcW w:w="997" w:type="dxa"/>
          </w:tcPr>
          <w:p w:rsidR="00000000" w:rsidRDefault="00000000">
            <w:pPr>
              <w:keepNext/>
              <w:spacing w:before="60" w:after="60"/>
              <w:jc w:val="right"/>
              <w:rPr>
                <w:sz w:val="22"/>
              </w:rPr>
            </w:pPr>
            <w:r>
              <w:rPr>
                <w:sz w:val="22"/>
              </w:rPr>
              <w:t>40,3</w:t>
            </w:r>
          </w:p>
        </w:tc>
        <w:tc>
          <w:tcPr>
            <w:tcW w:w="997" w:type="dxa"/>
          </w:tcPr>
          <w:p w:rsidR="00000000" w:rsidRDefault="00000000">
            <w:pPr>
              <w:keepNext/>
              <w:spacing w:before="60" w:after="60"/>
              <w:jc w:val="right"/>
              <w:rPr>
                <w:sz w:val="22"/>
              </w:rPr>
            </w:pPr>
            <w:r>
              <w:rPr>
                <w:sz w:val="22"/>
              </w:rPr>
              <w:t>66,9</w:t>
            </w:r>
          </w:p>
        </w:tc>
        <w:tc>
          <w:tcPr>
            <w:tcW w:w="997" w:type="dxa"/>
          </w:tcPr>
          <w:p w:rsidR="00000000" w:rsidRDefault="00000000">
            <w:pPr>
              <w:keepNext/>
              <w:spacing w:before="60" w:after="60"/>
              <w:jc w:val="right"/>
              <w:rPr>
                <w:sz w:val="22"/>
              </w:rPr>
            </w:pPr>
            <w:r>
              <w:rPr>
                <w:sz w:val="22"/>
              </w:rPr>
              <w:t>87,9</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8</w:t>
            </w:r>
          </w:p>
        </w:tc>
        <w:tc>
          <w:tcPr>
            <w:tcW w:w="3000" w:type="dxa"/>
          </w:tcPr>
          <w:p w:rsidR="00000000" w:rsidRDefault="00000000">
            <w:pPr>
              <w:keepNext/>
              <w:spacing w:before="60" w:after="60"/>
              <w:rPr>
                <w:sz w:val="22"/>
              </w:rPr>
            </w:pPr>
            <w:r>
              <w:rPr>
                <w:sz w:val="22"/>
              </w:rPr>
              <w:t>Papirossi (cigarettes russes à embout de carton) et cigarettes</w:t>
            </w:r>
          </w:p>
        </w:tc>
        <w:tc>
          <w:tcPr>
            <w:tcW w:w="2013" w:type="dxa"/>
          </w:tcPr>
          <w:p w:rsidR="00000000" w:rsidRDefault="00000000">
            <w:pPr>
              <w:keepNext/>
              <w:spacing w:before="60" w:after="60"/>
              <w:rPr>
                <w:sz w:val="22"/>
              </w:rPr>
            </w:pPr>
            <w:r>
              <w:rPr>
                <w:sz w:val="22"/>
              </w:rPr>
              <w:t>Milliers d’unités</w:t>
            </w:r>
          </w:p>
        </w:tc>
        <w:tc>
          <w:tcPr>
            <w:tcW w:w="996" w:type="dxa"/>
          </w:tcPr>
          <w:p w:rsidR="00000000" w:rsidRDefault="00000000">
            <w:pPr>
              <w:keepNext/>
              <w:spacing w:before="60" w:after="60"/>
              <w:jc w:val="right"/>
              <w:rPr>
                <w:sz w:val="22"/>
              </w:rPr>
            </w:pPr>
            <w:r>
              <w:rPr>
                <w:sz w:val="22"/>
              </w:rPr>
              <w:t>917</w:t>
            </w:r>
          </w:p>
        </w:tc>
        <w:tc>
          <w:tcPr>
            <w:tcW w:w="997" w:type="dxa"/>
          </w:tcPr>
          <w:p w:rsidR="00000000" w:rsidRDefault="00000000">
            <w:pPr>
              <w:keepNext/>
              <w:spacing w:before="60" w:after="60"/>
              <w:jc w:val="right"/>
              <w:rPr>
                <w:sz w:val="22"/>
              </w:rPr>
            </w:pPr>
            <w:r>
              <w:rPr>
                <w:sz w:val="22"/>
              </w:rPr>
              <w:t>601</w:t>
            </w:r>
          </w:p>
        </w:tc>
        <w:tc>
          <w:tcPr>
            <w:tcW w:w="997" w:type="dxa"/>
          </w:tcPr>
          <w:p w:rsidR="00000000" w:rsidRDefault="00000000">
            <w:pPr>
              <w:keepNext/>
              <w:spacing w:before="60" w:after="60"/>
              <w:jc w:val="right"/>
              <w:rPr>
                <w:sz w:val="22"/>
              </w:rPr>
            </w:pPr>
            <w:r>
              <w:rPr>
                <w:sz w:val="22"/>
              </w:rPr>
              <w:t>1 327</w:t>
            </w:r>
          </w:p>
        </w:tc>
        <w:tc>
          <w:tcPr>
            <w:tcW w:w="997" w:type="dxa"/>
          </w:tcPr>
          <w:p w:rsidR="00000000" w:rsidRDefault="00000000">
            <w:pPr>
              <w:keepNext/>
              <w:spacing w:before="60" w:after="60"/>
              <w:jc w:val="right"/>
              <w:rPr>
                <w:sz w:val="22"/>
              </w:rPr>
            </w:pPr>
            <w:r>
              <w:rPr>
                <w:sz w:val="22"/>
              </w:rPr>
              <w:t>285</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9</w:t>
            </w:r>
          </w:p>
        </w:tc>
        <w:tc>
          <w:tcPr>
            <w:tcW w:w="3000" w:type="dxa"/>
          </w:tcPr>
          <w:p w:rsidR="00000000" w:rsidRDefault="00000000">
            <w:pPr>
              <w:keepNext/>
              <w:spacing w:before="60" w:after="60"/>
              <w:rPr>
                <w:sz w:val="22"/>
              </w:rPr>
            </w:pPr>
            <w:r>
              <w:rPr>
                <w:sz w:val="22"/>
              </w:rPr>
              <w:t>Tabac fermenté</w:t>
            </w:r>
          </w:p>
        </w:tc>
        <w:tc>
          <w:tcPr>
            <w:tcW w:w="2013" w:type="dxa"/>
          </w:tcPr>
          <w:p w:rsidR="00000000" w:rsidRDefault="00000000">
            <w:pPr>
              <w:keepNext/>
              <w:spacing w:before="60" w:after="60"/>
              <w:rPr>
                <w:sz w:val="22"/>
              </w:rPr>
            </w:pPr>
            <w:r>
              <w:rPr>
                <w:sz w:val="22"/>
              </w:rPr>
              <w:t>Tonnes</w:t>
            </w:r>
          </w:p>
        </w:tc>
        <w:tc>
          <w:tcPr>
            <w:tcW w:w="996" w:type="dxa"/>
          </w:tcPr>
          <w:p w:rsidR="00000000" w:rsidRDefault="00000000">
            <w:pPr>
              <w:keepNext/>
              <w:spacing w:before="60" w:after="60"/>
              <w:jc w:val="right"/>
              <w:rPr>
                <w:sz w:val="22"/>
              </w:rPr>
            </w:pPr>
            <w:r>
              <w:rPr>
                <w:sz w:val="22"/>
              </w:rPr>
              <w:t>318</w:t>
            </w:r>
          </w:p>
        </w:tc>
        <w:tc>
          <w:tcPr>
            <w:tcW w:w="997" w:type="dxa"/>
          </w:tcPr>
          <w:p w:rsidR="00000000" w:rsidRDefault="00000000">
            <w:pPr>
              <w:keepNext/>
              <w:spacing w:before="60" w:after="60"/>
              <w:jc w:val="right"/>
              <w:rPr>
                <w:sz w:val="22"/>
              </w:rPr>
            </w:pPr>
            <w:r>
              <w:rPr>
                <w:sz w:val="22"/>
              </w:rPr>
              <w:t>-</w:t>
            </w:r>
          </w:p>
        </w:tc>
        <w:tc>
          <w:tcPr>
            <w:tcW w:w="997" w:type="dxa"/>
          </w:tcPr>
          <w:p w:rsidR="00000000" w:rsidRDefault="00000000">
            <w:pPr>
              <w:keepNext/>
              <w:spacing w:before="60" w:after="60"/>
              <w:jc w:val="right"/>
              <w:rPr>
                <w:sz w:val="22"/>
              </w:rPr>
            </w:pPr>
            <w:r>
              <w:rPr>
                <w:sz w:val="22"/>
              </w:rPr>
              <w:t>791</w:t>
            </w:r>
          </w:p>
        </w:tc>
        <w:tc>
          <w:tcPr>
            <w:tcW w:w="997" w:type="dxa"/>
          </w:tcPr>
          <w:p w:rsidR="00000000" w:rsidRDefault="00000000">
            <w:pPr>
              <w:keepNext/>
              <w:spacing w:before="60" w:after="60"/>
              <w:jc w:val="right"/>
              <w:rPr>
                <w:sz w:val="22"/>
              </w:rPr>
            </w:pPr>
            <w:r>
              <w:rPr>
                <w:sz w:val="22"/>
              </w:rPr>
              <w:t>161</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10</w:t>
            </w:r>
          </w:p>
        </w:tc>
        <w:tc>
          <w:tcPr>
            <w:tcW w:w="3000" w:type="dxa"/>
          </w:tcPr>
          <w:p w:rsidR="00000000" w:rsidRDefault="00000000">
            <w:pPr>
              <w:keepNext/>
              <w:spacing w:before="60" w:after="60"/>
              <w:rPr>
                <w:sz w:val="22"/>
              </w:rPr>
            </w:pPr>
            <w:r>
              <w:rPr>
                <w:sz w:val="22"/>
              </w:rPr>
              <w:t>Confiserie</w:t>
            </w:r>
          </w:p>
        </w:tc>
        <w:tc>
          <w:tcPr>
            <w:tcW w:w="2013" w:type="dxa"/>
          </w:tcPr>
          <w:p w:rsidR="00000000" w:rsidRDefault="00000000">
            <w:pPr>
              <w:keepNext/>
              <w:spacing w:before="60" w:after="60"/>
              <w:rPr>
                <w:sz w:val="22"/>
              </w:rPr>
            </w:pPr>
            <w:r>
              <w:rPr>
                <w:sz w:val="22"/>
              </w:rPr>
              <w:t>Tonnes</w:t>
            </w:r>
          </w:p>
        </w:tc>
        <w:tc>
          <w:tcPr>
            <w:tcW w:w="996" w:type="dxa"/>
          </w:tcPr>
          <w:p w:rsidR="00000000" w:rsidRDefault="00000000">
            <w:pPr>
              <w:keepNext/>
              <w:spacing w:before="60" w:after="60"/>
              <w:jc w:val="right"/>
              <w:rPr>
                <w:sz w:val="22"/>
              </w:rPr>
            </w:pPr>
            <w:r>
              <w:rPr>
                <w:sz w:val="22"/>
              </w:rPr>
              <w:t>234</w:t>
            </w:r>
          </w:p>
        </w:tc>
        <w:tc>
          <w:tcPr>
            <w:tcW w:w="997" w:type="dxa"/>
          </w:tcPr>
          <w:p w:rsidR="00000000" w:rsidRDefault="00000000">
            <w:pPr>
              <w:keepNext/>
              <w:spacing w:before="60" w:after="60"/>
              <w:jc w:val="right"/>
              <w:rPr>
                <w:sz w:val="22"/>
              </w:rPr>
            </w:pPr>
            <w:r>
              <w:rPr>
                <w:sz w:val="22"/>
              </w:rPr>
              <w:t>276</w:t>
            </w:r>
          </w:p>
        </w:tc>
        <w:tc>
          <w:tcPr>
            <w:tcW w:w="997" w:type="dxa"/>
          </w:tcPr>
          <w:p w:rsidR="00000000" w:rsidRDefault="00000000">
            <w:pPr>
              <w:keepNext/>
              <w:spacing w:before="60" w:after="60"/>
              <w:jc w:val="right"/>
              <w:rPr>
                <w:sz w:val="22"/>
              </w:rPr>
            </w:pPr>
            <w:r>
              <w:rPr>
                <w:sz w:val="22"/>
              </w:rPr>
              <w:t>154</w:t>
            </w:r>
          </w:p>
        </w:tc>
        <w:tc>
          <w:tcPr>
            <w:tcW w:w="997" w:type="dxa"/>
          </w:tcPr>
          <w:p w:rsidR="00000000" w:rsidRDefault="00000000">
            <w:pPr>
              <w:keepNext/>
              <w:spacing w:before="60" w:after="60"/>
              <w:jc w:val="right"/>
              <w:rPr>
                <w:sz w:val="22"/>
              </w:rPr>
            </w:pPr>
            <w:r>
              <w:rPr>
                <w:sz w:val="22"/>
              </w:rPr>
              <w:t>143</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11</w:t>
            </w:r>
          </w:p>
        </w:tc>
        <w:tc>
          <w:tcPr>
            <w:tcW w:w="3000" w:type="dxa"/>
          </w:tcPr>
          <w:p w:rsidR="00000000" w:rsidRDefault="00000000">
            <w:pPr>
              <w:keepNext/>
              <w:spacing w:before="60" w:after="60"/>
              <w:rPr>
                <w:sz w:val="22"/>
              </w:rPr>
            </w:pPr>
            <w:r>
              <w:rPr>
                <w:sz w:val="22"/>
              </w:rPr>
              <w:t>Sucre en poudre</w:t>
            </w:r>
          </w:p>
        </w:tc>
        <w:tc>
          <w:tcPr>
            <w:tcW w:w="2013" w:type="dxa"/>
          </w:tcPr>
          <w:p w:rsidR="00000000" w:rsidRDefault="00000000">
            <w:pPr>
              <w:keepNext/>
              <w:spacing w:before="60" w:after="60"/>
              <w:rPr>
                <w:sz w:val="22"/>
              </w:rPr>
            </w:pPr>
            <w:r>
              <w:rPr>
                <w:sz w:val="22"/>
              </w:rPr>
              <w:t>Tonnes</w:t>
            </w:r>
          </w:p>
        </w:tc>
        <w:tc>
          <w:tcPr>
            <w:tcW w:w="996" w:type="dxa"/>
          </w:tcPr>
          <w:p w:rsidR="00000000" w:rsidRDefault="00000000">
            <w:pPr>
              <w:keepNext/>
              <w:spacing w:before="60" w:after="60"/>
              <w:jc w:val="right"/>
              <w:rPr>
                <w:sz w:val="22"/>
              </w:rPr>
            </w:pPr>
            <w:r>
              <w:rPr>
                <w:sz w:val="22"/>
              </w:rPr>
              <w:t>19 695</w:t>
            </w:r>
          </w:p>
        </w:tc>
        <w:tc>
          <w:tcPr>
            <w:tcW w:w="997" w:type="dxa"/>
          </w:tcPr>
          <w:p w:rsidR="00000000" w:rsidRDefault="00000000">
            <w:pPr>
              <w:keepNext/>
              <w:spacing w:before="60" w:after="60"/>
              <w:jc w:val="right"/>
              <w:rPr>
                <w:sz w:val="22"/>
              </w:rPr>
            </w:pPr>
            <w:r>
              <w:rPr>
                <w:sz w:val="22"/>
              </w:rPr>
              <w:t>-</w:t>
            </w:r>
          </w:p>
        </w:tc>
        <w:tc>
          <w:tcPr>
            <w:tcW w:w="997" w:type="dxa"/>
          </w:tcPr>
          <w:p w:rsidR="00000000" w:rsidRDefault="00000000">
            <w:pPr>
              <w:keepNext/>
              <w:spacing w:before="60" w:after="60"/>
              <w:jc w:val="right"/>
              <w:rPr>
                <w:sz w:val="22"/>
              </w:rPr>
            </w:pPr>
            <w:r>
              <w:rPr>
                <w:sz w:val="22"/>
              </w:rPr>
              <w:t>20 012</w:t>
            </w:r>
          </w:p>
        </w:tc>
        <w:tc>
          <w:tcPr>
            <w:tcW w:w="997" w:type="dxa"/>
          </w:tcPr>
          <w:p w:rsidR="00000000" w:rsidRDefault="00000000">
            <w:pPr>
              <w:keepNext/>
              <w:spacing w:before="60" w:after="60"/>
              <w:jc w:val="right"/>
              <w:rPr>
                <w:sz w:val="22"/>
              </w:rPr>
            </w:pPr>
            <w:r>
              <w:rPr>
                <w:sz w:val="22"/>
              </w:rPr>
              <w:t>35 282</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12</w:t>
            </w:r>
          </w:p>
        </w:tc>
        <w:tc>
          <w:tcPr>
            <w:tcW w:w="3000" w:type="dxa"/>
          </w:tcPr>
          <w:p w:rsidR="00000000" w:rsidRDefault="00000000">
            <w:pPr>
              <w:keepNext/>
              <w:spacing w:before="60" w:after="60"/>
              <w:rPr>
                <w:sz w:val="22"/>
              </w:rPr>
            </w:pPr>
            <w:r>
              <w:rPr>
                <w:sz w:val="22"/>
              </w:rPr>
              <w:t>Eaux minérales</w:t>
            </w:r>
          </w:p>
        </w:tc>
        <w:tc>
          <w:tcPr>
            <w:tcW w:w="2013" w:type="dxa"/>
          </w:tcPr>
          <w:p w:rsidR="00000000" w:rsidRDefault="00000000">
            <w:pPr>
              <w:keepNext/>
              <w:spacing w:before="60" w:after="60"/>
              <w:rPr>
                <w:sz w:val="22"/>
              </w:rPr>
            </w:pPr>
            <w:r>
              <w:rPr>
                <w:sz w:val="22"/>
              </w:rPr>
              <w:t>Milliers de bouteilles</w:t>
            </w:r>
          </w:p>
        </w:tc>
        <w:tc>
          <w:tcPr>
            <w:tcW w:w="996" w:type="dxa"/>
          </w:tcPr>
          <w:p w:rsidR="00000000" w:rsidRDefault="00000000">
            <w:pPr>
              <w:keepNext/>
              <w:spacing w:before="60" w:after="60"/>
              <w:jc w:val="right"/>
              <w:rPr>
                <w:sz w:val="22"/>
              </w:rPr>
            </w:pPr>
            <w:r>
              <w:rPr>
                <w:sz w:val="22"/>
              </w:rPr>
              <w:t>66 443</w:t>
            </w:r>
          </w:p>
        </w:tc>
        <w:tc>
          <w:tcPr>
            <w:tcW w:w="997" w:type="dxa"/>
          </w:tcPr>
          <w:p w:rsidR="00000000" w:rsidRDefault="00000000">
            <w:pPr>
              <w:keepNext/>
              <w:spacing w:before="60" w:after="60"/>
              <w:jc w:val="right"/>
              <w:rPr>
                <w:sz w:val="22"/>
              </w:rPr>
            </w:pPr>
            <w:r>
              <w:rPr>
                <w:sz w:val="22"/>
              </w:rPr>
              <w:t>61 286</w:t>
            </w:r>
          </w:p>
        </w:tc>
        <w:tc>
          <w:tcPr>
            <w:tcW w:w="997" w:type="dxa"/>
          </w:tcPr>
          <w:p w:rsidR="00000000" w:rsidRDefault="00000000">
            <w:pPr>
              <w:keepNext/>
              <w:spacing w:before="60" w:after="60"/>
              <w:jc w:val="right"/>
              <w:rPr>
                <w:sz w:val="22"/>
              </w:rPr>
            </w:pPr>
            <w:r>
              <w:rPr>
                <w:sz w:val="22"/>
              </w:rPr>
              <w:t>49 662</w:t>
            </w:r>
          </w:p>
        </w:tc>
        <w:tc>
          <w:tcPr>
            <w:tcW w:w="997" w:type="dxa"/>
          </w:tcPr>
          <w:p w:rsidR="00000000" w:rsidRDefault="00000000">
            <w:pPr>
              <w:keepNext/>
              <w:spacing w:before="60" w:after="60"/>
              <w:jc w:val="right"/>
              <w:rPr>
                <w:sz w:val="22"/>
              </w:rPr>
            </w:pPr>
            <w:r>
              <w:rPr>
                <w:sz w:val="22"/>
              </w:rPr>
              <w:t>72 265</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13</w:t>
            </w:r>
          </w:p>
        </w:tc>
        <w:tc>
          <w:tcPr>
            <w:tcW w:w="3000" w:type="dxa"/>
          </w:tcPr>
          <w:p w:rsidR="00000000" w:rsidRDefault="00000000">
            <w:pPr>
              <w:keepNext/>
              <w:spacing w:before="60" w:after="60"/>
              <w:rPr>
                <w:sz w:val="22"/>
              </w:rPr>
            </w:pPr>
            <w:r>
              <w:rPr>
                <w:sz w:val="22"/>
              </w:rPr>
              <w:t>Eau douce</w:t>
            </w:r>
          </w:p>
        </w:tc>
        <w:tc>
          <w:tcPr>
            <w:tcW w:w="2013" w:type="dxa"/>
          </w:tcPr>
          <w:p w:rsidR="00000000" w:rsidRDefault="00000000">
            <w:pPr>
              <w:keepNext/>
              <w:spacing w:before="60" w:after="60"/>
              <w:rPr>
                <w:sz w:val="22"/>
              </w:rPr>
            </w:pPr>
            <w:r>
              <w:rPr>
                <w:sz w:val="22"/>
              </w:rPr>
              <w:t>Milliers de bouteilles</w:t>
            </w:r>
          </w:p>
        </w:tc>
        <w:tc>
          <w:tcPr>
            <w:tcW w:w="996" w:type="dxa"/>
          </w:tcPr>
          <w:p w:rsidR="00000000" w:rsidRDefault="00000000">
            <w:pPr>
              <w:keepNext/>
              <w:spacing w:before="60" w:after="60"/>
              <w:jc w:val="right"/>
              <w:rPr>
                <w:sz w:val="22"/>
              </w:rPr>
            </w:pPr>
            <w:r>
              <w:rPr>
                <w:sz w:val="22"/>
              </w:rPr>
              <w:t>865</w:t>
            </w:r>
          </w:p>
        </w:tc>
        <w:tc>
          <w:tcPr>
            <w:tcW w:w="997" w:type="dxa"/>
          </w:tcPr>
          <w:p w:rsidR="00000000" w:rsidRDefault="00000000">
            <w:pPr>
              <w:keepNext/>
              <w:spacing w:before="60" w:after="60"/>
              <w:jc w:val="right"/>
              <w:rPr>
                <w:sz w:val="22"/>
              </w:rPr>
            </w:pPr>
            <w:r>
              <w:rPr>
                <w:sz w:val="22"/>
              </w:rPr>
              <w:t>7 462</w:t>
            </w:r>
          </w:p>
        </w:tc>
        <w:tc>
          <w:tcPr>
            <w:tcW w:w="997" w:type="dxa"/>
          </w:tcPr>
          <w:p w:rsidR="00000000" w:rsidRDefault="00000000">
            <w:pPr>
              <w:keepNext/>
              <w:spacing w:before="60" w:after="60"/>
              <w:jc w:val="right"/>
              <w:rPr>
                <w:sz w:val="22"/>
              </w:rPr>
            </w:pPr>
            <w:r>
              <w:rPr>
                <w:sz w:val="22"/>
              </w:rPr>
              <w:t>3 248</w:t>
            </w:r>
          </w:p>
        </w:tc>
        <w:tc>
          <w:tcPr>
            <w:tcW w:w="997" w:type="dxa"/>
          </w:tcPr>
          <w:p w:rsidR="00000000" w:rsidRDefault="00000000">
            <w:pPr>
              <w:keepNext/>
              <w:spacing w:before="60" w:after="60"/>
              <w:jc w:val="right"/>
              <w:rPr>
                <w:sz w:val="22"/>
              </w:rPr>
            </w:pPr>
            <w:r>
              <w:rPr>
                <w:sz w:val="22"/>
              </w:rPr>
              <w:t>8 186</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14</w:t>
            </w:r>
          </w:p>
        </w:tc>
        <w:tc>
          <w:tcPr>
            <w:tcW w:w="3000" w:type="dxa"/>
          </w:tcPr>
          <w:p w:rsidR="00000000" w:rsidRDefault="00000000">
            <w:pPr>
              <w:keepNext/>
              <w:spacing w:before="60" w:after="60"/>
              <w:rPr>
                <w:sz w:val="22"/>
              </w:rPr>
            </w:pPr>
            <w:r>
              <w:rPr>
                <w:sz w:val="22"/>
              </w:rPr>
              <w:t>Bière</w:t>
            </w:r>
          </w:p>
        </w:tc>
        <w:tc>
          <w:tcPr>
            <w:tcW w:w="2013" w:type="dxa"/>
          </w:tcPr>
          <w:p w:rsidR="00000000" w:rsidRDefault="00000000">
            <w:pPr>
              <w:keepNext/>
              <w:spacing w:before="60" w:after="60"/>
              <w:rPr>
                <w:sz w:val="22"/>
              </w:rPr>
            </w:pPr>
            <w:r>
              <w:rPr>
                <w:sz w:val="22"/>
              </w:rPr>
              <w:t>Milliers de bouteilles</w:t>
            </w:r>
          </w:p>
        </w:tc>
        <w:tc>
          <w:tcPr>
            <w:tcW w:w="996" w:type="dxa"/>
          </w:tcPr>
          <w:p w:rsidR="00000000" w:rsidRDefault="00000000">
            <w:pPr>
              <w:keepNext/>
              <w:spacing w:before="60" w:after="60"/>
              <w:jc w:val="right"/>
              <w:rPr>
                <w:sz w:val="22"/>
              </w:rPr>
            </w:pPr>
            <w:r>
              <w:rPr>
                <w:sz w:val="22"/>
              </w:rPr>
              <w:t>783</w:t>
            </w:r>
          </w:p>
        </w:tc>
        <w:tc>
          <w:tcPr>
            <w:tcW w:w="997" w:type="dxa"/>
          </w:tcPr>
          <w:p w:rsidR="00000000" w:rsidRDefault="00000000">
            <w:pPr>
              <w:keepNext/>
              <w:spacing w:before="60" w:after="60"/>
              <w:jc w:val="right"/>
              <w:rPr>
                <w:sz w:val="22"/>
              </w:rPr>
            </w:pPr>
            <w:r>
              <w:rPr>
                <w:sz w:val="22"/>
              </w:rPr>
              <w:t>971</w:t>
            </w:r>
          </w:p>
        </w:tc>
        <w:tc>
          <w:tcPr>
            <w:tcW w:w="997" w:type="dxa"/>
          </w:tcPr>
          <w:p w:rsidR="00000000" w:rsidRDefault="00000000">
            <w:pPr>
              <w:keepNext/>
              <w:spacing w:before="60" w:after="60"/>
              <w:jc w:val="right"/>
              <w:rPr>
                <w:sz w:val="22"/>
              </w:rPr>
            </w:pPr>
            <w:r>
              <w:rPr>
                <w:sz w:val="22"/>
              </w:rPr>
              <w:t>1 257</w:t>
            </w:r>
          </w:p>
        </w:tc>
        <w:tc>
          <w:tcPr>
            <w:tcW w:w="997" w:type="dxa"/>
          </w:tcPr>
          <w:p w:rsidR="00000000" w:rsidRDefault="00000000">
            <w:pPr>
              <w:keepNext/>
              <w:spacing w:before="60" w:after="60"/>
              <w:jc w:val="right"/>
              <w:rPr>
                <w:sz w:val="22"/>
              </w:rPr>
            </w:pPr>
            <w:r>
              <w:rPr>
                <w:sz w:val="22"/>
              </w:rPr>
              <w:t>2 345</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15</w:t>
            </w:r>
          </w:p>
        </w:tc>
        <w:tc>
          <w:tcPr>
            <w:tcW w:w="3000" w:type="dxa"/>
          </w:tcPr>
          <w:p w:rsidR="00000000" w:rsidRDefault="00000000">
            <w:pPr>
              <w:keepNext/>
              <w:spacing w:before="60" w:after="60"/>
              <w:rPr>
                <w:sz w:val="22"/>
              </w:rPr>
            </w:pPr>
            <w:r>
              <w:rPr>
                <w:sz w:val="22"/>
              </w:rPr>
              <w:t>Boissons non alcoolisées</w:t>
            </w:r>
          </w:p>
        </w:tc>
        <w:tc>
          <w:tcPr>
            <w:tcW w:w="2013" w:type="dxa"/>
          </w:tcPr>
          <w:p w:rsidR="00000000" w:rsidRDefault="00000000">
            <w:pPr>
              <w:keepNext/>
              <w:spacing w:before="60" w:after="60"/>
              <w:rPr>
                <w:sz w:val="22"/>
              </w:rPr>
            </w:pPr>
            <w:r>
              <w:rPr>
                <w:sz w:val="22"/>
              </w:rPr>
              <w:t>Milliers de bouteilles</w:t>
            </w:r>
          </w:p>
        </w:tc>
        <w:tc>
          <w:tcPr>
            <w:tcW w:w="996" w:type="dxa"/>
          </w:tcPr>
          <w:p w:rsidR="00000000" w:rsidRDefault="00000000">
            <w:pPr>
              <w:keepNext/>
              <w:spacing w:before="60" w:after="60"/>
              <w:jc w:val="right"/>
              <w:rPr>
                <w:sz w:val="22"/>
              </w:rPr>
            </w:pPr>
            <w:r>
              <w:rPr>
                <w:sz w:val="22"/>
              </w:rPr>
              <w:t>4 031</w:t>
            </w:r>
          </w:p>
        </w:tc>
        <w:tc>
          <w:tcPr>
            <w:tcW w:w="997" w:type="dxa"/>
          </w:tcPr>
          <w:p w:rsidR="00000000" w:rsidRDefault="00000000">
            <w:pPr>
              <w:keepNext/>
              <w:spacing w:before="60" w:after="60"/>
              <w:jc w:val="right"/>
              <w:rPr>
                <w:sz w:val="22"/>
              </w:rPr>
            </w:pPr>
            <w:r>
              <w:rPr>
                <w:sz w:val="22"/>
              </w:rPr>
              <w:t>2 903</w:t>
            </w:r>
          </w:p>
        </w:tc>
        <w:tc>
          <w:tcPr>
            <w:tcW w:w="997" w:type="dxa"/>
          </w:tcPr>
          <w:p w:rsidR="00000000" w:rsidRDefault="00000000">
            <w:pPr>
              <w:keepNext/>
              <w:spacing w:before="60" w:after="60"/>
              <w:jc w:val="right"/>
              <w:rPr>
                <w:sz w:val="22"/>
              </w:rPr>
            </w:pPr>
            <w:r>
              <w:rPr>
                <w:sz w:val="22"/>
              </w:rPr>
              <w:t>2 195</w:t>
            </w:r>
          </w:p>
        </w:tc>
        <w:tc>
          <w:tcPr>
            <w:tcW w:w="997" w:type="dxa"/>
          </w:tcPr>
          <w:p w:rsidR="00000000" w:rsidRDefault="00000000">
            <w:pPr>
              <w:keepNext/>
              <w:spacing w:before="60" w:after="60"/>
              <w:jc w:val="right"/>
              <w:rPr>
                <w:sz w:val="22"/>
              </w:rPr>
            </w:pPr>
            <w:r>
              <w:rPr>
                <w:sz w:val="22"/>
              </w:rPr>
              <w:t>2 867</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16</w:t>
            </w:r>
          </w:p>
        </w:tc>
        <w:tc>
          <w:tcPr>
            <w:tcW w:w="3000" w:type="dxa"/>
          </w:tcPr>
          <w:p w:rsidR="00000000" w:rsidRDefault="00000000">
            <w:pPr>
              <w:keepNext/>
              <w:spacing w:before="60" w:after="60"/>
              <w:rPr>
                <w:sz w:val="22"/>
              </w:rPr>
            </w:pPr>
            <w:r>
              <w:rPr>
                <w:sz w:val="22"/>
              </w:rPr>
              <w:t>Conserves de fruits et de légumes</w:t>
            </w:r>
          </w:p>
        </w:tc>
        <w:tc>
          <w:tcPr>
            <w:tcW w:w="2013" w:type="dxa"/>
          </w:tcPr>
          <w:p w:rsidR="00000000" w:rsidRDefault="00000000">
            <w:pPr>
              <w:keepNext/>
              <w:spacing w:before="60" w:after="60"/>
              <w:rPr>
                <w:sz w:val="22"/>
              </w:rPr>
            </w:pPr>
            <w:r>
              <w:rPr>
                <w:sz w:val="22"/>
              </w:rPr>
              <w:t>Milliers de boîtes</w:t>
            </w:r>
          </w:p>
        </w:tc>
        <w:tc>
          <w:tcPr>
            <w:tcW w:w="996" w:type="dxa"/>
          </w:tcPr>
          <w:p w:rsidR="00000000" w:rsidRDefault="00000000">
            <w:pPr>
              <w:keepNext/>
              <w:spacing w:before="60" w:after="60"/>
              <w:jc w:val="right"/>
              <w:rPr>
                <w:sz w:val="22"/>
              </w:rPr>
            </w:pPr>
            <w:r>
              <w:rPr>
                <w:sz w:val="22"/>
              </w:rPr>
              <w:t>9 078</w:t>
            </w:r>
          </w:p>
        </w:tc>
        <w:tc>
          <w:tcPr>
            <w:tcW w:w="997" w:type="dxa"/>
          </w:tcPr>
          <w:p w:rsidR="00000000" w:rsidRDefault="00000000">
            <w:pPr>
              <w:keepNext/>
              <w:spacing w:before="60" w:after="60"/>
              <w:jc w:val="right"/>
              <w:rPr>
                <w:sz w:val="22"/>
              </w:rPr>
            </w:pPr>
            <w:r>
              <w:rPr>
                <w:sz w:val="22"/>
              </w:rPr>
              <w:t>2 943</w:t>
            </w:r>
          </w:p>
        </w:tc>
        <w:tc>
          <w:tcPr>
            <w:tcW w:w="997" w:type="dxa"/>
          </w:tcPr>
          <w:p w:rsidR="00000000" w:rsidRDefault="00000000">
            <w:pPr>
              <w:keepNext/>
              <w:spacing w:before="60" w:after="60"/>
              <w:jc w:val="right"/>
              <w:rPr>
                <w:sz w:val="22"/>
              </w:rPr>
            </w:pPr>
            <w:r>
              <w:rPr>
                <w:sz w:val="22"/>
              </w:rPr>
              <w:t>6 626</w:t>
            </w:r>
          </w:p>
        </w:tc>
        <w:tc>
          <w:tcPr>
            <w:tcW w:w="997" w:type="dxa"/>
          </w:tcPr>
          <w:p w:rsidR="00000000" w:rsidRDefault="00000000">
            <w:pPr>
              <w:keepNext/>
              <w:spacing w:before="60" w:after="60"/>
              <w:jc w:val="right"/>
              <w:rPr>
                <w:sz w:val="22"/>
              </w:rPr>
            </w:pPr>
            <w:r>
              <w:rPr>
                <w:sz w:val="22"/>
              </w:rPr>
              <w:t>4 625</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17</w:t>
            </w:r>
          </w:p>
        </w:tc>
        <w:tc>
          <w:tcPr>
            <w:tcW w:w="3000" w:type="dxa"/>
          </w:tcPr>
          <w:p w:rsidR="00000000" w:rsidRDefault="00000000">
            <w:pPr>
              <w:keepNext/>
              <w:spacing w:before="60" w:after="60"/>
              <w:rPr>
                <w:sz w:val="22"/>
              </w:rPr>
            </w:pPr>
            <w:r>
              <w:rPr>
                <w:sz w:val="22"/>
              </w:rPr>
              <w:t>Viande de première catégorie (et sous</w:t>
            </w:r>
            <w:r>
              <w:rPr>
                <w:sz w:val="22"/>
              </w:rPr>
              <w:noBreakHyphen/>
              <w:t>produits)</w:t>
            </w:r>
          </w:p>
        </w:tc>
        <w:tc>
          <w:tcPr>
            <w:tcW w:w="2013" w:type="dxa"/>
          </w:tcPr>
          <w:p w:rsidR="00000000" w:rsidRDefault="00000000">
            <w:pPr>
              <w:keepNext/>
              <w:spacing w:before="60" w:after="60"/>
              <w:rPr>
                <w:sz w:val="22"/>
              </w:rPr>
            </w:pPr>
            <w:r>
              <w:rPr>
                <w:sz w:val="22"/>
              </w:rPr>
              <w:t>Tonnes</w:t>
            </w:r>
          </w:p>
        </w:tc>
        <w:tc>
          <w:tcPr>
            <w:tcW w:w="996" w:type="dxa"/>
          </w:tcPr>
          <w:p w:rsidR="00000000" w:rsidRDefault="00000000">
            <w:pPr>
              <w:keepNext/>
              <w:spacing w:before="60" w:after="60"/>
              <w:jc w:val="right"/>
              <w:rPr>
                <w:sz w:val="22"/>
              </w:rPr>
            </w:pPr>
            <w:r>
              <w:rPr>
                <w:sz w:val="22"/>
              </w:rPr>
              <w:t>39</w:t>
            </w:r>
          </w:p>
        </w:tc>
        <w:tc>
          <w:tcPr>
            <w:tcW w:w="997" w:type="dxa"/>
          </w:tcPr>
          <w:p w:rsidR="00000000" w:rsidRDefault="00000000">
            <w:pPr>
              <w:keepNext/>
              <w:spacing w:before="60" w:after="60"/>
              <w:jc w:val="right"/>
              <w:rPr>
                <w:sz w:val="22"/>
              </w:rPr>
            </w:pPr>
            <w:r>
              <w:rPr>
                <w:sz w:val="22"/>
              </w:rPr>
              <w:t>178</w:t>
            </w:r>
          </w:p>
        </w:tc>
        <w:tc>
          <w:tcPr>
            <w:tcW w:w="997" w:type="dxa"/>
          </w:tcPr>
          <w:p w:rsidR="00000000" w:rsidRDefault="00000000">
            <w:pPr>
              <w:keepNext/>
              <w:spacing w:before="60" w:after="60"/>
              <w:jc w:val="right"/>
              <w:rPr>
                <w:sz w:val="22"/>
              </w:rPr>
            </w:pPr>
            <w:r>
              <w:rPr>
                <w:sz w:val="22"/>
              </w:rPr>
              <w:t>6</w:t>
            </w:r>
          </w:p>
        </w:tc>
        <w:tc>
          <w:tcPr>
            <w:tcW w:w="997" w:type="dxa"/>
          </w:tcPr>
          <w:p w:rsidR="00000000" w:rsidRDefault="00000000">
            <w:pPr>
              <w:keepNext/>
              <w:spacing w:before="60" w:after="60"/>
              <w:jc w:val="right"/>
              <w:rPr>
                <w:sz w:val="22"/>
              </w:rPr>
            </w:pPr>
            <w:r>
              <w:rPr>
                <w:sz w:val="22"/>
              </w:rPr>
              <w:t>9</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18</w:t>
            </w:r>
          </w:p>
        </w:tc>
        <w:tc>
          <w:tcPr>
            <w:tcW w:w="3000" w:type="dxa"/>
          </w:tcPr>
          <w:p w:rsidR="00000000" w:rsidRDefault="00000000">
            <w:pPr>
              <w:keepNext/>
              <w:spacing w:before="60" w:after="60"/>
              <w:rPr>
                <w:sz w:val="22"/>
              </w:rPr>
            </w:pPr>
            <w:r>
              <w:rPr>
                <w:sz w:val="22"/>
              </w:rPr>
              <w:t>Aliments dérivés du lait non écrémé</w:t>
            </w:r>
          </w:p>
        </w:tc>
        <w:tc>
          <w:tcPr>
            <w:tcW w:w="2013" w:type="dxa"/>
          </w:tcPr>
          <w:p w:rsidR="00000000" w:rsidRDefault="00000000">
            <w:pPr>
              <w:keepNext/>
              <w:spacing w:before="60" w:after="60"/>
              <w:rPr>
                <w:sz w:val="22"/>
              </w:rPr>
            </w:pPr>
            <w:r>
              <w:rPr>
                <w:sz w:val="22"/>
              </w:rPr>
              <w:t>Tonnes</w:t>
            </w:r>
          </w:p>
        </w:tc>
        <w:tc>
          <w:tcPr>
            <w:tcW w:w="996" w:type="dxa"/>
          </w:tcPr>
          <w:p w:rsidR="00000000" w:rsidRDefault="00000000">
            <w:pPr>
              <w:keepNext/>
              <w:spacing w:before="60" w:after="60"/>
              <w:jc w:val="right"/>
              <w:rPr>
                <w:sz w:val="22"/>
              </w:rPr>
            </w:pPr>
            <w:r>
              <w:rPr>
                <w:sz w:val="22"/>
              </w:rPr>
              <w:t>5 354</w:t>
            </w:r>
          </w:p>
        </w:tc>
        <w:tc>
          <w:tcPr>
            <w:tcW w:w="997" w:type="dxa"/>
          </w:tcPr>
          <w:p w:rsidR="00000000" w:rsidRDefault="00000000">
            <w:pPr>
              <w:keepNext/>
              <w:spacing w:before="60" w:after="60"/>
              <w:jc w:val="right"/>
              <w:rPr>
                <w:sz w:val="22"/>
              </w:rPr>
            </w:pPr>
            <w:r>
              <w:rPr>
                <w:sz w:val="22"/>
              </w:rPr>
              <w:t>6 639</w:t>
            </w:r>
          </w:p>
        </w:tc>
        <w:tc>
          <w:tcPr>
            <w:tcW w:w="997" w:type="dxa"/>
          </w:tcPr>
          <w:p w:rsidR="00000000" w:rsidRDefault="00000000">
            <w:pPr>
              <w:keepNext/>
              <w:spacing w:before="60" w:after="60"/>
              <w:jc w:val="right"/>
              <w:rPr>
                <w:sz w:val="22"/>
              </w:rPr>
            </w:pPr>
            <w:r>
              <w:rPr>
                <w:sz w:val="22"/>
              </w:rPr>
              <w:t>4 587</w:t>
            </w:r>
          </w:p>
        </w:tc>
        <w:tc>
          <w:tcPr>
            <w:tcW w:w="997" w:type="dxa"/>
          </w:tcPr>
          <w:p w:rsidR="00000000" w:rsidRDefault="00000000">
            <w:pPr>
              <w:keepNext/>
              <w:spacing w:before="60" w:after="60"/>
              <w:jc w:val="right"/>
              <w:rPr>
                <w:sz w:val="22"/>
              </w:rPr>
            </w:pPr>
            <w:r>
              <w:rPr>
                <w:sz w:val="22"/>
              </w:rPr>
              <w:t>3 739</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19</w:t>
            </w:r>
          </w:p>
        </w:tc>
        <w:tc>
          <w:tcPr>
            <w:tcW w:w="3000" w:type="dxa"/>
          </w:tcPr>
          <w:p w:rsidR="00000000" w:rsidRDefault="00000000">
            <w:pPr>
              <w:keepNext/>
              <w:spacing w:before="60" w:after="60"/>
              <w:rPr>
                <w:sz w:val="22"/>
              </w:rPr>
            </w:pPr>
            <w:r>
              <w:rPr>
                <w:sz w:val="22"/>
              </w:rPr>
              <w:t>Fromages gras et brynza (fromage de brebis)</w:t>
            </w:r>
          </w:p>
        </w:tc>
        <w:tc>
          <w:tcPr>
            <w:tcW w:w="2013" w:type="dxa"/>
          </w:tcPr>
          <w:p w:rsidR="00000000" w:rsidRDefault="00000000">
            <w:pPr>
              <w:keepNext/>
              <w:spacing w:before="60" w:after="60"/>
              <w:rPr>
                <w:sz w:val="22"/>
              </w:rPr>
            </w:pPr>
            <w:r>
              <w:rPr>
                <w:sz w:val="22"/>
              </w:rPr>
              <w:t>Tonnes</w:t>
            </w:r>
          </w:p>
        </w:tc>
        <w:tc>
          <w:tcPr>
            <w:tcW w:w="996" w:type="dxa"/>
          </w:tcPr>
          <w:p w:rsidR="00000000" w:rsidRDefault="00000000">
            <w:pPr>
              <w:keepNext/>
              <w:spacing w:before="60" w:after="60"/>
              <w:jc w:val="right"/>
              <w:rPr>
                <w:sz w:val="22"/>
              </w:rPr>
            </w:pPr>
            <w:r>
              <w:rPr>
                <w:sz w:val="22"/>
              </w:rPr>
              <w:t>132</w:t>
            </w:r>
          </w:p>
        </w:tc>
        <w:tc>
          <w:tcPr>
            <w:tcW w:w="997" w:type="dxa"/>
          </w:tcPr>
          <w:p w:rsidR="00000000" w:rsidRDefault="00000000">
            <w:pPr>
              <w:keepNext/>
              <w:spacing w:before="60" w:after="60"/>
              <w:jc w:val="right"/>
              <w:rPr>
                <w:sz w:val="22"/>
              </w:rPr>
            </w:pPr>
            <w:r>
              <w:rPr>
                <w:sz w:val="22"/>
              </w:rPr>
              <w:t>47</w:t>
            </w:r>
          </w:p>
        </w:tc>
        <w:tc>
          <w:tcPr>
            <w:tcW w:w="997" w:type="dxa"/>
          </w:tcPr>
          <w:p w:rsidR="00000000" w:rsidRDefault="00000000">
            <w:pPr>
              <w:keepNext/>
              <w:spacing w:before="60" w:after="60"/>
              <w:jc w:val="right"/>
              <w:rPr>
                <w:sz w:val="22"/>
              </w:rPr>
            </w:pPr>
            <w:r>
              <w:rPr>
                <w:sz w:val="22"/>
              </w:rPr>
              <w:t>92</w:t>
            </w:r>
          </w:p>
        </w:tc>
        <w:tc>
          <w:tcPr>
            <w:tcW w:w="997" w:type="dxa"/>
          </w:tcPr>
          <w:p w:rsidR="00000000" w:rsidRDefault="00000000">
            <w:pPr>
              <w:keepNext/>
              <w:spacing w:before="60" w:after="60"/>
              <w:jc w:val="right"/>
              <w:rPr>
                <w:sz w:val="22"/>
              </w:rPr>
            </w:pPr>
            <w:r>
              <w:rPr>
                <w:sz w:val="22"/>
              </w:rPr>
              <w:t>65</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20</w:t>
            </w:r>
          </w:p>
        </w:tc>
        <w:tc>
          <w:tcPr>
            <w:tcW w:w="3000" w:type="dxa"/>
          </w:tcPr>
          <w:p w:rsidR="00000000" w:rsidRDefault="00000000">
            <w:pPr>
              <w:keepNext/>
              <w:spacing w:before="60" w:after="60"/>
              <w:rPr>
                <w:sz w:val="22"/>
              </w:rPr>
            </w:pPr>
            <w:r>
              <w:rPr>
                <w:sz w:val="22"/>
              </w:rPr>
              <w:t>Beurre (au total)</w:t>
            </w:r>
          </w:p>
        </w:tc>
        <w:tc>
          <w:tcPr>
            <w:tcW w:w="2013" w:type="dxa"/>
          </w:tcPr>
          <w:p w:rsidR="00000000" w:rsidRDefault="00000000">
            <w:pPr>
              <w:keepNext/>
              <w:spacing w:before="60" w:after="60"/>
              <w:rPr>
                <w:sz w:val="22"/>
              </w:rPr>
            </w:pPr>
            <w:r>
              <w:rPr>
                <w:sz w:val="22"/>
              </w:rPr>
              <w:t>Tonnes</w:t>
            </w:r>
          </w:p>
        </w:tc>
        <w:tc>
          <w:tcPr>
            <w:tcW w:w="996" w:type="dxa"/>
          </w:tcPr>
          <w:p w:rsidR="00000000" w:rsidRDefault="00000000">
            <w:pPr>
              <w:keepNext/>
              <w:spacing w:before="60" w:after="60"/>
              <w:jc w:val="right"/>
              <w:rPr>
                <w:sz w:val="22"/>
              </w:rPr>
            </w:pPr>
            <w:r>
              <w:rPr>
                <w:sz w:val="22"/>
              </w:rPr>
              <w:t>887</w:t>
            </w:r>
          </w:p>
        </w:tc>
        <w:tc>
          <w:tcPr>
            <w:tcW w:w="997" w:type="dxa"/>
          </w:tcPr>
          <w:p w:rsidR="00000000" w:rsidRDefault="00000000">
            <w:pPr>
              <w:keepNext/>
              <w:spacing w:before="60" w:after="60"/>
              <w:jc w:val="right"/>
              <w:rPr>
                <w:sz w:val="22"/>
              </w:rPr>
            </w:pPr>
            <w:r>
              <w:rPr>
                <w:sz w:val="22"/>
              </w:rPr>
              <w:t>265</w:t>
            </w:r>
          </w:p>
        </w:tc>
        <w:tc>
          <w:tcPr>
            <w:tcW w:w="997" w:type="dxa"/>
          </w:tcPr>
          <w:p w:rsidR="00000000" w:rsidRDefault="00000000">
            <w:pPr>
              <w:keepNext/>
              <w:spacing w:before="60" w:after="60"/>
              <w:jc w:val="right"/>
              <w:rPr>
                <w:sz w:val="22"/>
              </w:rPr>
            </w:pPr>
            <w:r>
              <w:rPr>
                <w:sz w:val="22"/>
              </w:rPr>
              <w:t>1 490</w:t>
            </w:r>
          </w:p>
        </w:tc>
        <w:tc>
          <w:tcPr>
            <w:tcW w:w="997" w:type="dxa"/>
          </w:tcPr>
          <w:p w:rsidR="00000000" w:rsidRDefault="00000000">
            <w:pPr>
              <w:keepNext/>
              <w:spacing w:before="60" w:after="60"/>
              <w:jc w:val="right"/>
              <w:rPr>
                <w:sz w:val="22"/>
              </w:rPr>
            </w:pPr>
            <w:r>
              <w:rPr>
                <w:sz w:val="22"/>
              </w:rPr>
              <w:t>812</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21</w:t>
            </w:r>
          </w:p>
        </w:tc>
        <w:tc>
          <w:tcPr>
            <w:tcW w:w="3000" w:type="dxa"/>
          </w:tcPr>
          <w:p w:rsidR="00000000" w:rsidRDefault="00000000">
            <w:pPr>
              <w:keepNext/>
              <w:spacing w:before="60" w:after="60"/>
              <w:rPr>
                <w:sz w:val="22"/>
              </w:rPr>
            </w:pPr>
            <w:r>
              <w:rPr>
                <w:sz w:val="22"/>
              </w:rPr>
              <w:t>Charcuterie</w:t>
            </w:r>
          </w:p>
        </w:tc>
        <w:tc>
          <w:tcPr>
            <w:tcW w:w="2013" w:type="dxa"/>
          </w:tcPr>
          <w:p w:rsidR="00000000" w:rsidRDefault="00000000">
            <w:pPr>
              <w:keepNext/>
              <w:spacing w:before="60" w:after="60"/>
              <w:rPr>
                <w:sz w:val="22"/>
              </w:rPr>
            </w:pPr>
            <w:r>
              <w:rPr>
                <w:sz w:val="22"/>
              </w:rPr>
              <w:t>Tonnes</w:t>
            </w:r>
          </w:p>
        </w:tc>
        <w:tc>
          <w:tcPr>
            <w:tcW w:w="996" w:type="dxa"/>
          </w:tcPr>
          <w:p w:rsidR="00000000" w:rsidRDefault="00000000">
            <w:pPr>
              <w:keepNext/>
              <w:spacing w:before="60" w:after="60"/>
              <w:jc w:val="right"/>
              <w:rPr>
                <w:sz w:val="22"/>
              </w:rPr>
            </w:pPr>
            <w:r>
              <w:rPr>
                <w:sz w:val="22"/>
              </w:rPr>
              <w:t>898</w:t>
            </w:r>
          </w:p>
        </w:tc>
        <w:tc>
          <w:tcPr>
            <w:tcW w:w="997" w:type="dxa"/>
          </w:tcPr>
          <w:p w:rsidR="00000000" w:rsidRDefault="00000000">
            <w:pPr>
              <w:keepNext/>
              <w:spacing w:before="60" w:after="60"/>
              <w:jc w:val="right"/>
              <w:rPr>
                <w:sz w:val="22"/>
              </w:rPr>
            </w:pPr>
            <w:r>
              <w:rPr>
                <w:sz w:val="22"/>
              </w:rPr>
              <w:t>1 152</w:t>
            </w:r>
          </w:p>
        </w:tc>
        <w:tc>
          <w:tcPr>
            <w:tcW w:w="997" w:type="dxa"/>
          </w:tcPr>
          <w:p w:rsidR="00000000" w:rsidRDefault="00000000">
            <w:pPr>
              <w:keepNext/>
              <w:spacing w:before="60" w:after="60"/>
              <w:jc w:val="right"/>
              <w:rPr>
                <w:sz w:val="22"/>
              </w:rPr>
            </w:pPr>
            <w:r>
              <w:rPr>
                <w:sz w:val="22"/>
              </w:rPr>
              <w:t>1 422</w:t>
            </w:r>
          </w:p>
        </w:tc>
        <w:tc>
          <w:tcPr>
            <w:tcW w:w="997" w:type="dxa"/>
          </w:tcPr>
          <w:p w:rsidR="00000000" w:rsidRDefault="00000000">
            <w:pPr>
              <w:keepNext/>
              <w:spacing w:before="60" w:after="60"/>
              <w:jc w:val="right"/>
              <w:rPr>
                <w:sz w:val="22"/>
              </w:rPr>
            </w:pPr>
            <w:r>
              <w:rPr>
                <w:sz w:val="22"/>
              </w:rPr>
              <w:t>906</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22</w:t>
            </w:r>
          </w:p>
        </w:tc>
        <w:tc>
          <w:tcPr>
            <w:tcW w:w="3000" w:type="dxa"/>
          </w:tcPr>
          <w:p w:rsidR="00000000" w:rsidRDefault="00000000">
            <w:pPr>
              <w:keepNext/>
              <w:spacing w:before="60" w:after="60"/>
              <w:rPr>
                <w:sz w:val="22"/>
              </w:rPr>
            </w:pPr>
            <w:r>
              <w:rPr>
                <w:sz w:val="22"/>
              </w:rPr>
              <w:t>Produits à base de poisson (y compris les conserves)</w:t>
            </w:r>
          </w:p>
        </w:tc>
        <w:tc>
          <w:tcPr>
            <w:tcW w:w="2013" w:type="dxa"/>
          </w:tcPr>
          <w:p w:rsidR="00000000" w:rsidRDefault="00000000">
            <w:pPr>
              <w:keepNext/>
              <w:spacing w:before="60" w:after="60"/>
              <w:rPr>
                <w:sz w:val="22"/>
              </w:rPr>
            </w:pPr>
            <w:r>
              <w:rPr>
                <w:sz w:val="22"/>
              </w:rPr>
              <w:t>Tonnes</w:t>
            </w:r>
          </w:p>
        </w:tc>
        <w:tc>
          <w:tcPr>
            <w:tcW w:w="996" w:type="dxa"/>
          </w:tcPr>
          <w:p w:rsidR="00000000" w:rsidRDefault="00000000">
            <w:pPr>
              <w:keepNext/>
              <w:spacing w:before="60" w:after="60"/>
              <w:jc w:val="right"/>
              <w:rPr>
                <w:sz w:val="22"/>
              </w:rPr>
            </w:pPr>
            <w:r>
              <w:rPr>
                <w:sz w:val="22"/>
              </w:rPr>
              <w:t>107</w:t>
            </w:r>
          </w:p>
        </w:tc>
        <w:tc>
          <w:tcPr>
            <w:tcW w:w="997" w:type="dxa"/>
          </w:tcPr>
          <w:p w:rsidR="00000000" w:rsidRDefault="00000000">
            <w:pPr>
              <w:keepNext/>
              <w:spacing w:before="60" w:after="60"/>
              <w:jc w:val="right"/>
              <w:rPr>
                <w:sz w:val="22"/>
              </w:rPr>
            </w:pPr>
            <w:r>
              <w:rPr>
                <w:sz w:val="22"/>
              </w:rPr>
              <w:t>15,9</w:t>
            </w:r>
          </w:p>
        </w:tc>
        <w:tc>
          <w:tcPr>
            <w:tcW w:w="997" w:type="dxa"/>
          </w:tcPr>
          <w:p w:rsidR="00000000" w:rsidRDefault="00000000">
            <w:pPr>
              <w:keepNext/>
              <w:spacing w:before="60" w:after="60"/>
              <w:jc w:val="right"/>
              <w:rPr>
                <w:sz w:val="22"/>
              </w:rPr>
            </w:pPr>
            <w:r>
              <w:rPr>
                <w:sz w:val="22"/>
              </w:rPr>
              <w:t>3,1</w:t>
            </w:r>
          </w:p>
        </w:tc>
        <w:tc>
          <w:tcPr>
            <w:tcW w:w="997" w:type="dxa"/>
          </w:tcPr>
          <w:p w:rsidR="00000000" w:rsidRDefault="00000000">
            <w:pPr>
              <w:keepNext/>
              <w:spacing w:before="60" w:after="60"/>
              <w:jc w:val="right"/>
              <w:rPr>
                <w:sz w:val="22"/>
              </w:rPr>
            </w:pPr>
            <w:r>
              <w:rPr>
                <w:sz w:val="22"/>
              </w:rPr>
              <w:t>62</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23</w:t>
            </w:r>
          </w:p>
        </w:tc>
        <w:tc>
          <w:tcPr>
            <w:tcW w:w="3000" w:type="dxa"/>
          </w:tcPr>
          <w:p w:rsidR="00000000" w:rsidRDefault="00000000">
            <w:pPr>
              <w:keepNext/>
              <w:spacing w:before="60" w:after="60"/>
              <w:rPr>
                <w:sz w:val="22"/>
              </w:rPr>
            </w:pPr>
            <w:r>
              <w:rPr>
                <w:sz w:val="22"/>
              </w:rPr>
              <w:t>Huiles végétales (au total)</w:t>
            </w:r>
          </w:p>
        </w:tc>
        <w:tc>
          <w:tcPr>
            <w:tcW w:w="2013" w:type="dxa"/>
          </w:tcPr>
          <w:p w:rsidR="00000000" w:rsidRDefault="00000000">
            <w:pPr>
              <w:keepNext/>
              <w:spacing w:before="60" w:after="60"/>
              <w:rPr>
                <w:sz w:val="22"/>
              </w:rPr>
            </w:pPr>
            <w:r>
              <w:rPr>
                <w:sz w:val="22"/>
              </w:rPr>
              <w:t>Tonnes</w:t>
            </w:r>
          </w:p>
        </w:tc>
        <w:tc>
          <w:tcPr>
            <w:tcW w:w="996" w:type="dxa"/>
          </w:tcPr>
          <w:p w:rsidR="00000000" w:rsidRDefault="00000000">
            <w:pPr>
              <w:keepNext/>
              <w:spacing w:before="60" w:after="60"/>
              <w:jc w:val="right"/>
              <w:rPr>
                <w:sz w:val="22"/>
              </w:rPr>
            </w:pPr>
            <w:r>
              <w:rPr>
                <w:sz w:val="22"/>
              </w:rPr>
              <w:t>830</w:t>
            </w:r>
          </w:p>
        </w:tc>
        <w:tc>
          <w:tcPr>
            <w:tcW w:w="997" w:type="dxa"/>
          </w:tcPr>
          <w:p w:rsidR="00000000" w:rsidRDefault="00000000">
            <w:pPr>
              <w:keepNext/>
              <w:spacing w:before="60" w:after="60"/>
              <w:jc w:val="right"/>
              <w:rPr>
                <w:sz w:val="22"/>
              </w:rPr>
            </w:pPr>
            <w:r>
              <w:rPr>
                <w:sz w:val="22"/>
              </w:rPr>
              <w:t>542</w:t>
            </w:r>
          </w:p>
        </w:tc>
        <w:tc>
          <w:tcPr>
            <w:tcW w:w="997" w:type="dxa"/>
          </w:tcPr>
          <w:p w:rsidR="00000000" w:rsidRDefault="00000000">
            <w:pPr>
              <w:keepNext/>
              <w:spacing w:before="60" w:after="60"/>
              <w:jc w:val="right"/>
              <w:rPr>
                <w:sz w:val="22"/>
              </w:rPr>
            </w:pPr>
            <w:r>
              <w:rPr>
                <w:sz w:val="22"/>
              </w:rPr>
              <w:t>476</w:t>
            </w:r>
          </w:p>
        </w:tc>
        <w:tc>
          <w:tcPr>
            <w:tcW w:w="997" w:type="dxa"/>
          </w:tcPr>
          <w:p w:rsidR="00000000" w:rsidRDefault="00000000">
            <w:pPr>
              <w:keepNext/>
              <w:spacing w:before="60" w:after="60"/>
              <w:jc w:val="right"/>
              <w:rPr>
                <w:sz w:val="22"/>
              </w:rPr>
            </w:pPr>
            <w:r>
              <w:rPr>
                <w:sz w:val="22"/>
              </w:rPr>
              <w:t>189</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24</w:t>
            </w:r>
          </w:p>
        </w:tc>
        <w:tc>
          <w:tcPr>
            <w:tcW w:w="3000" w:type="dxa"/>
          </w:tcPr>
          <w:p w:rsidR="00000000" w:rsidRDefault="00000000">
            <w:pPr>
              <w:keepNext/>
              <w:spacing w:before="60" w:after="60"/>
              <w:rPr>
                <w:sz w:val="22"/>
              </w:rPr>
            </w:pPr>
            <w:r>
              <w:rPr>
                <w:sz w:val="22"/>
              </w:rPr>
              <w:t>Pain et produits panifiés</w:t>
            </w:r>
          </w:p>
        </w:tc>
        <w:tc>
          <w:tcPr>
            <w:tcW w:w="2013" w:type="dxa"/>
          </w:tcPr>
          <w:p w:rsidR="00000000" w:rsidRDefault="00000000">
            <w:pPr>
              <w:keepNext/>
              <w:spacing w:before="60" w:after="60"/>
              <w:rPr>
                <w:sz w:val="22"/>
              </w:rPr>
            </w:pPr>
            <w:r>
              <w:rPr>
                <w:sz w:val="22"/>
              </w:rPr>
              <w:t>Milliers de tonnes</w:t>
            </w:r>
          </w:p>
        </w:tc>
        <w:tc>
          <w:tcPr>
            <w:tcW w:w="996" w:type="dxa"/>
          </w:tcPr>
          <w:p w:rsidR="00000000" w:rsidRDefault="00000000">
            <w:pPr>
              <w:keepNext/>
              <w:spacing w:before="60" w:after="60"/>
              <w:jc w:val="right"/>
              <w:rPr>
                <w:sz w:val="22"/>
              </w:rPr>
            </w:pPr>
            <w:r>
              <w:rPr>
                <w:sz w:val="22"/>
              </w:rPr>
              <w:t>197,9</w:t>
            </w:r>
          </w:p>
        </w:tc>
        <w:tc>
          <w:tcPr>
            <w:tcW w:w="997" w:type="dxa"/>
          </w:tcPr>
          <w:p w:rsidR="00000000" w:rsidRDefault="00000000">
            <w:pPr>
              <w:keepNext/>
              <w:spacing w:before="60" w:after="60"/>
              <w:jc w:val="right"/>
              <w:rPr>
                <w:sz w:val="22"/>
              </w:rPr>
            </w:pPr>
            <w:r>
              <w:rPr>
                <w:sz w:val="22"/>
              </w:rPr>
              <w:t>172,5</w:t>
            </w:r>
          </w:p>
        </w:tc>
        <w:tc>
          <w:tcPr>
            <w:tcW w:w="997" w:type="dxa"/>
          </w:tcPr>
          <w:p w:rsidR="00000000" w:rsidRDefault="00000000">
            <w:pPr>
              <w:keepNext/>
              <w:spacing w:before="60" w:after="60"/>
              <w:jc w:val="right"/>
              <w:rPr>
                <w:sz w:val="22"/>
              </w:rPr>
            </w:pPr>
            <w:r>
              <w:rPr>
                <w:sz w:val="22"/>
              </w:rPr>
              <w:t>113,6</w:t>
            </w:r>
          </w:p>
        </w:tc>
        <w:tc>
          <w:tcPr>
            <w:tcW w:w="997" w:type="dxa"/>
          </w:tcPr>
          <w:p w:rsidR="00000000" w:rsidRDefault="00000000">
            <w:pPr>
              <w:keepNext/>
              <w:spacing w:before="60" w:after="60"/>
              <w:jc w:val="right"/>
              <w:rPr>
                <w:sz w:val="22"/>
              </w:rPr>
            </w:pPr>
            <w:r>
              <w:rPr>
                <w:sz w:val="22"/>
              </w:rPr>
              <w:t>109,4</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25</w:t>
            </w:r>
          </w:p>
        </w:tc>
        <w:tc>
          <w:tcPr>
            <w:tcW w:w="3000" w:type="dxa"/>
          </w:tcPr>
          <w:p w:rsidR="00000000" w:rsidRDefault="00000000">
            <w:pPr>
              <w:keepNext/>
              <w:spacing w:before="60" w:after="60"/>
              <w:rPr>
                <w:sz w:val="22"/>
              </w:rPr>
            </w:pPr>
            <w:r>
              <w:rPr>
                <w:sz w:val="22"/>
              </w:rPr>
              <w:t>Farine (au total)</w:t>
            </w:r>
          </w:p>
        </w:tc>
        <w:tc>
          <w:tcPr>
            <w:tcW w:w="2013" w:type="dxa"/>
          </w:tcPr>
          <w:p w:rsidR="00000000" w:rsidRDefault="00000000">
            <w:pPr>
              <w:keepNext/>
              <w:spacing w:before="60" w:after="60"/>
              <w:rPr>
                <w:sz w:val="22"/>
              </w:rPr>
            </w:pPr>
            <w:r>
              <w:rPr>
                <w:sz w:val="22"/>
              </w:rPr>
              <w:t>Milliers de tonnes</w:t>
            </w:r>
          </w:p>
        </w:tc>
        <w:tc>
          <w:tcPr>
            <w:tcW w:w="996" w:type="dxa"/>
          </w:tcPr>
          <w:p w:rsidR="00000000" w:rsidRDefault="00000000">
            <w:pPr>
              <w:keepNext/>
              <w:spacing w:before="60" w:after="60"/>
              <w:jc w:val="right"/>
              <w:rPr>
                <w:sz w:val="22"/>
              </w:rPr>
            </w:pPr>
            <w:r>
              <w:rPr>
                <w:sz w:val="22"/>
              </w:rPr>
              <w:t>180,2</w:t>
            </w:r>
          </w:p>
        </w:tc>
        <w:tc>
          <w:tcPr>
            <w:tcW w:w="997" w:type="dxa"/>
          </w:tcPr>
          <w:p w:rsidR="00000000" w:rsidRDefault="00000000">
            <w:pPr>
              <w:keepNext/>
              <w:spacing w:before="60" w:after="60"/>
              <w:jc w:val="right"/>
              <w:rPr>
                <w:sz w:val="22"/>
              </w:rPr>
            </w:pPr>
            <w:r>
              <w:rPr>
                <w:sz w:val="22"/>
              </w:rPr>
              <w:t>147,6</w:t>
            </w:r>
          </w:p>
        </w:tc>
        <w:tc>
          <w:tcPr>
            <w:tcW w:w="997" w:type="dxa"/>
          </w:tcPr>
          <w:p w:rsidR="00000000" w:rsidRDefault="00000000">
            <w:pPr>
              <w:keepNext/>
              <w:spacing w:before="60" w:after="60"/>
              <w:jc w:val="right"/>
              <w:rPr>
                <w:sz w:val="22"/>
              </w:rPr>
            </w:pPr>
            <w:r>
              <w:rPr>
                <w:sz w:val="22"/>
              </w:rPr>
              <w:t>114,4</w:t>
            </w:r>
          </w:p>
        </w:tc>
        <w:tc>
          <w:tcPr>
            <w:tcW w:w="997" w:type="dxa"/>
          </w:tcPr>
          <w:p w:rsidR="00000000" w:rsidRDefault="00000000">
            <w:pPr>
              <w:keepNext/>
              <w:spacing w:before="60" w:after="60"/>
              <w:jc w:val="right"/>
              <w:rPr>
                <w:sz w:val="22"/>
              </w:rPr>
            </w:pPr>
            <w:r>
              <w:rPr>
                <w:sz w:val="22"/>
              </w:rPr>
              <w:t>101,4</w:t>
            </w:r>
          </w:p>
        </w:tc>
      </w:tr>
      <w:tr w:rsidR="00000000">
        <w:tblPrEx>
          <w:tblCellMar>
            <w:top w:w="0" w:type="dxa"/>
            <w:bottom w:w="0" w:type="dxa"/>
          </w:tblCellMar>
        </w:tblPrEx>
        <w:tc>
          <w:tcPr>
            <w:tcW w:w="387" w:type="dxa"/>
          </w:tcPr>
          <w:p w:rsidR="00000000" w:rsidRDefault="00000000">
            <w:pPr>
              <w:keepNext/>
              <w:spacing w:before="60" w:after="60"/>
              <w:jc w:val="center"/>
              <w:rPr>
                <w:sz w:val="22"/>
              </w:rPr>
            </w:pPr>
            <w:r>
              <w:rPr>
                <w:sz w:val="22"/>
              </w:rPr>
              <w:t>26</w:t>
            </w:r>
          </w:p>
        </w:tc>
        <w:tc>
          <w:tcPr>
            <w:tcW w:w="3000" w:type="dxa"/>
          </w:tcPr>
          <w:p w:rsidR="00000000" w:rsidRDefault="00000000">
            <w:pPr>
              <w:keepNext/>
              <w:spacing w:before="60" w:after="60"/>
              <w:rPr>
                <w:sz w:val="22"/>
              </w:rPr>
            </w:pPr>
            <w:r>
              <w:rPr>
                <w:sz w:val="22"/>
              </w:rPr>
              <w:t>Pâtes alimentaires</w:t>
            </w:r>
          </w:p>
        </w:tc>
        <w:tc>
          <w:tcPr>
            <w:tcW w:w="2013" w:type="dxa"/>
          </w:tcPr>
          <w:p w:rsidR="00000000" w:rsidRDefault="00000000">
            <w:pPr>
              <w:keepNext/>
              <w:spacing w:before="60" w:after="60"/>
              <w:rPr>
                <w:sz w:val="22"/>
              </w:rPr>
            </w:pPr>
            <w:r>
              <w:rPr>
                <w:sz w:val="22"/>
              </w:rPr>
              <w:t>Tonnes</w:t>
            </w:r>
          </w:p>
        </w:tc>
        <w:tc>
          <w:tcPr>
            <w:tcW w:w="996" w:type="dxa"/>
          </w:tcPr>
          <w:p w:rsidR="00000000" w:rsidRDefault="00000000">
            <w:pPr>
              <w:keepNext/>
              <w:spacing w:before="60" w:after="60"/>
              <w:jc w:val="right"/>
              <w:rPr>
                <w:sz w:val="22"/>
              </w:rPr>
            </w:pPr>
            <w:r>
              <w:rPr>
                <w:sz w:val="22"/>
              </w:rPr>
              <w:t>344</w:t>
            </w:r>
          </w:p>
        </w:tc>
        <w:tc>
          <w:tcPr>
            <w:tcW w:w="997" w:type="dxa"/>
          </w:tcPr>
          <w:p w:rsidR="00000000" w:rsidRDefault="00000000">
            <w:pPr>
              <w:keepNext/>
              <w:spacing w:before="60" w:after="60"/>
              <w:jc w:val="right"/>
              <w:rPr>
                <w:sz w:val="22"/>
              </w:rPr>
            </w:pPr>
            <w:r>
              <w:rPr>
                <w:sz w:val="22"/>
              </w:rPr>
              <w:t>860</w:t>
            </w:r>
          </w:p>
        </w:tc>
        <w:tc>
          <w:tcPr>
            <w:tcW w:w="997" w:type="dxa"/>
          </w:tcPr>
          <w:p w:rsidR="00000000" w:rsidRDefault="00000000">
            <w:pPr>
              <w:keepNext/>
              <w:spacing w:before="60" w:after="60"/>
              <w:jc w:val="right"/>
              <w:rPr>
                <w:sz w:val="22"/>
              </w:rPr>
            </w:pPr>
            <w:r>
              <w:rPr>
                <w:sz w:val="22"/>
              </w:rPr>
              <w:t>470</w:t>
            </w:r>
          </w:p>
        </w:tc>
        <w:tc>
          <w:tcPr>
            <w:tcW w:w="997" w:type="dxa"/>
          </w:tcPr>
          <w:p w:rsidR="00000000" w:rsidRDefault="00000000">
            <w:pPr>
              <w:keepNext/>
              <w:spacing w:before="60" w:after="60"/>
              <w:jc w:val="right"/>
              <w:rPr>
                <w:sz w:val="22"/>
              </w:rPr>
            </w:pPr>
            <w:r>
              <w:rPr>
                <w:sz w:val="22"/>
              </w:rPr>
              <w:t>270</w:t>
            </w:r>
          </w:p>
        </w:tc>
      </w:tr>
    </w:tbl>
    <w:p w:rsidR="00000000" w:rsidRDefault="00000000">
      <w:pPr>
        <w:spacing w:after="240"/>
      </w:pPr>
    </w:p>
    <w:p w:rsidR="00000000" w:rsidRDefault="00000000">
      <w:pPr>
        <w:keepLines/>
        <w:spacing w:after="240"/>
      </w:pPr>
      <w:r>
        <w:t>151.</w:t>
      </w:r>
      <w:r>
        <w:tab/>
        <w:t>Comme le montre le tableau ci</w:t>
      </w:r>
      <w:r>
        <w:noBreakHyphen/>
        <w:t>dessus, la suspension momentanée de la chute de production qui s’était produite au début du processus de réforme économique (1997) ne s’est malheureusement pas confirmée par la suite. En 2000, par rapport à 1997, sur les 26 types de production de denrées alimentaires, seuls quatre (vodka et produits liquoreux, sucre, eaux minérales et bières) accusent une augmentation. En tout état de cause, le niveau de la partie de la production qui fait l’objet d’une comptabilité est faible en ce qui concerne tous les postes, ce qui s’explique d’une manière générale par toute une série de facteurs d’ordre juridique, financier et social.</w:t>
      </w:r>
    </w:p>
    <w:p w:rsidR="00000000" w:rsidRDefault="00000000">
      <w:pPr>
        <w:keepNext/>
        <w:spacing w:after="240"/>
      </w:pPr>
      <w:r>
        <w:t>152.</w:t>
      </w:r>
      <w:r>
        <w:tab/>
        <w:t>Afin de brosser un tableau plus complet de la façon dont est réalisé le droit à une alimentation suffisante dans le pays, on présente ci</w:t>
      </w:r>
      <w:r>
        <w:noBreakHyphen/>
        <w:t>après les chiffres principaux concernant les exportations et les importations de denrées alimentaires pour la période 1997</w:t>
      </w:r>
      <w:r>
        <w:noBreakHyphen/>
        <w:t xml:space="preserve">2000 (en tonnes). </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11"/>
        <w:gridCol w:w="943"/>
        <w:gridCol w:w="944"/>
        <w:gridCol w:w="943"/>
        <w:gridCol w:w="944"/>
        <w:gridCol w:w="944"/>
        <w:gridCol w:w="943"/>
        <w:gridCol w:w="944"/>
        <w:gridCol w:w="944"/>
      </w:tblGrid>
      <w:tr w:rsidR="00000000">
        <w:tblPrEx>
          <w:tblCellMar>
            <w:top w:w="0" w:type="dxa"/>
            <w:bottom w:w="0" w:type="dxa"/>
          </w:tblCellMar>
        </w:tblPrEx>
        <w:trPr>
          <w:cantSplit/>
          <w:trHeight w:val="960"/>
        </w:trPr>
        <w:tc>
          <w:tcPr>
            <w:tcW w:w="1811" w:type="dxa"/>
            <w:vMerge w:val="restart"/>
            <w:vAlign w:val="center"/>
          </w:tcPr>
          <w:p w:rsidR="00000000" w:rsidRDefault="00000000">
            <w:pPr>
              <w:spacing w:before="60" w:after="60"/>
              <w:ind w:right="170"/>
              <w:jc w:val="center"/>
              <w:rPr>
                <w:sz w:val="18"/>
              </w:rPr>
            </w:pPr>
            <w:r>
              <w:rPr>
                <w:sz w:val="18"/>
              </w:rPr>
              <w:t>Produits</w:t>
            </w:r>
          </w:p>
        </w:tc>
        <w:tc>
          <w:tcPr>
            <w:tcW w:w="1887" w:type="dxa"/>
            <w:gridSpan w:val="2"/>
            <w:vAlign w:val="center"/>
          </w:tcPr>
          <w:p w:rsidR="00000000" w:rsidRDefault="00000000">
            <w:pPr>
              <w:spacing w:before="60" w:after="60"/>
              <w:ind w:right="170"/>
              <w:jc w:val="center"/>
              <w:rPr>
                <w:sz w:val="18"/>
              </w:rPr>
            </w:pPr>
            <w:r>
              <w:rPr>
                <w:sz w:val="18"/>
              </w:rPr>
              <w:t>1997</w:t>
            </w:r>
          </w:p>
        </w:tc>
        <w:tc>
          <w:tcPr>
            <w:tcW w:w="1887" w:type="dxa"/>
            <w:gridSpan w:val="2"/>
            <w:vAlign w:val="center"/>
          </w:tcPr>
          <w:p w:rsidR="00000000" w:rsidRDefault="00000000">
            <w:pPr>
              <w:spacing w:before="60" w:after="60"/>
              <w:ind w:right="170"/>
              <w:jc w:val="center"/>
              <w:rPr>
                <w:sz w:val="18"/>
              </w:rPr>
            </w:pPr>
            <w:r>
              <w:rPr>
                <w:sz w:val="18"/>
              </w:rPr>
              <w:t>1998</w:t>
            </w:r>
          </w:p>
        </w:tc>
        <w:tc>
          <w:tcPr>
            <w:tcW w:w="1887" w:type="dxa"/>
            <w:gridSpan w:val="2"/>
            <w:vAlign w:val="center"/>
          </w:tcPr>
          <w:p w:rsidR="00000000" w:rsidRDefault="00000000">
            <w:pPr>
              <w:spacing w:before="60" w:after="60"/>
              <w:ind w:right="170"/>
              <w:jc w:val="center"/>
              <w:rPr>
                <w:sz w:val="18"/>
              </w:rPr>
            </w:pPr>
            <w:r>
              <w:rPr>
                <w:sz w:val="18"/>
              </w:rPr>
              <w:t>1999</w:t>
            </w:r>
          </w:p>
        </w:tc>
        <w:tc>
          <w:tcPr>
            <w:tcW w:w="1888" w:type="dxa"/>
            <w:gridSpan w:val="2"/>
            <w:vAlign w:val="center"/>
          </w:tcPr>
          <w:p w:rsidR="00000000" w:rsidRDefault="00000000">
            <w:pPr>
              <w:spacing w:before="60" w:after="60"/>
              <w:ind w:right="170"/>
              <w:jc w:val="center"/>
              <w:rPr>
                <w:sz w:val="18"/>
              </w:rPr>
            </w:pPr>
            <w:r>
              <w:rPr>
                <w:sz w:val="18"/>
              </w:rPr>
              <w:t>2000</w:t>
            </w:r>
          </w:p>
        </w:tc>
      </w:tr>
      <w:tr w:rsidR="00000000">
        <w:tblPrEx>
          <w:tblCellMar>
            <w:top w:w="0" w:type="dxa"/>
            <w:bottom w:w="0" w:type="dxa"/>
          </w:tblCellMar>
        </w:tblPrEx>
        <w:trPr>
          <w:cantSplit/>
          <w:trHeight w:val="1457"/>
        </w:trPr>
        <w:tc>
          <w:tcPr>
            <w:tcW w:w="1811" w:type="dxa"/>
            <w:vMerge/>
          </w:tcPr>
          <w:p w:rsidR="00000000" w:rsidRDefault="00000000">
            <w:pPr>
              <w:spacing w:before="60" w:after="60"/>
              <w:ind w:right="170"/>
              <w:rPr>
                <w:sz w:val="18"/>
              </w:rPr>
            </w:pPr>
          </w:p>
        </w:tc>
        <w:tc>
          <w:tcPr>
            <w:tcW w:w="943" w:type="dxa"/>
            <w:textDirection w:val="btLr"/>
            <w:vAlign w:val="center"/>
          </w:tcPr>
          <w:p w:rsidR="00000000" w:rsidRDefault="00000000">
            <w:pPr>
              <w:spacing w:before="60" w:after="60"/>
              <w:ind w:left="113" w:right="170"/>
              <w:jc w:val="center"/>
              <w:rPr>
                <w:sz w:val="18"/>
              </w:rPr>
            </w:pPr>
            <w:r>
              <w:rPr>
                <w:sz w:val="18"/>
              </w:rPr>
              <w:t>Importations</w:t>
            </w:r>
          </w:p>
        </w:tc>
        <w:tc>
          <w:tcPr>
            <w:tcW w:w="944" w:type="dxa"/>
            <w:textDirection w:val="btLr"/>
            <w:vAlign w:val="center"/>
          </w:tcPr>
          <w:p w:rsidR="00000000" w:rsidRDefault="00000000">
            <w:pPr>
              <w:spacing w:before="60" w:after="60"/>
              <w:ind w:left="113" w:right="170"/>
              <w:jc w:val="center"/>
              <w:rPr>
                <w:sz w:val="18"/>
              </w:rPr>
            </w:pPr>
            <w:r>
              <w:rPr>
                <w:sz w:val="18"/>
              </w:rPr>
              <w:t>Exportations</w:t>
            </w:r>
          </w:p>
        </w:tc>
        <w:tc>
          <w:tcPr>
            <w:tcW w:w="943" w:type="dxa"/>
            <w:textDirection w:val="btLr"/>
            <w:vAlign w:val="center"/>
          </w:tcPr>
          <w:p w:rsidR="00000000" w:rsidRDefault="00000000">
            <w:pPr>
              <w:spacing w:before="60" w:after="60"/>
              <w:ind w:left="113" w:right="170"/>
              <w:jc w:val="center"/>
              <w:rPr>
                <w:sz w:val="18"/>
              </w:rPr>
            </w:pPr>
            <w:r>
              <w:rPr>
                <w:sz w:val="18"/>
              </w:rPr>
              <w:t>Importations</w:t>
            </w:r>
          </w:p>
        </w:tc>
        <w:tc>
          <w:tcPr>
            <w:tcW w:w="944" w:type="dxa"/>
            <w:textDirection w:val="btLr"/>
            <w:vAlign w:val="center"/>
          </w:tcPr>
          <w:p w:rsidR="00000000" w:rsidRDefault="00000000">
            <w:pPr>
              <w:spacing w:before="60" w:after="60"/>
              <w:ind w:left="113" w:right="170"/>
              <w:jc w:val="center"/>
              <w:rPr>
                <w:sz w:val="18"/>
              </w:rPr>
            </w:pPr>
            <w:r>
              <w:rPr>
                <w:sz w:val="18"/>
              </w:rPr>
              <w:t>Exportations</w:t>
            </w:r>
          </w:p>
        </w:tc>
        <w:tc>
          <w:tcPr>
            <w:tcW w:w="944" w:type="dxa"/>
            <w:textDirection w:val="btLr"/>
            <w:vAlign w:val="center"/>
          </w:tcPr>
          <w:p w:rsidR="00000000" w:rsidRDefault="00000000">
            <w:pPr>
              <w:spacing w:before="60" w:after="60"/>
              <w:ind w:left="113" w:right="170"/>
              <w:jc w:val="center"/>
              <w:rPr>
                <w:sz w:val="18"/>
              </w:rPr>
            </w:pPr>
            <w:r>
              <w:rPr>
                <w:sz w:val="18"/>
              </w:rPr>
              <w:t>Importations</w:t>
            </w:r>
          </w:p>
        </w:tc>
        <w:tc>
          <w:tcPr>
            <w:tcW w:w="943" w:type="dxa"/>
            <w:textDirection w:val="btLr"/>
            <w:vAlign w:val="center"/>
          </w:tcPr>
          <w:p w:rsidR="00000000" w:rsidRDefault="00000000">
            <w:pPr>
              <w:spacing w:before="60" w:after="60"/>
              <w:ind w:left="113" w:right="170"/>
              <w:jc w:val="center"/>
              <w:rPr>
                <w:sz w:val="18"/>
              </w:rPr>
            </w:pPr>
            <w:r>
              <w:rPr>
                <w:sz w:val="18"/>
              </w:rPr>
              <w:t>Exportations</w:t>
            </w:r>
          </w:p>
        </w:tc>
        <w:tc>
          <w:tcPr>
            <w:tcW w:w="944" w:type="dxa"/>
            <w:textDirection w:val="btLr"/>
            <w:vAlign w:val="center"/>
          </w:tcPr>
          <w:p w:rsidR="00000000" w:rsidRDefault="00000000">
            <w:pPr>
              <w:spacing w:before="60" w:after="60"/>
              <w:ind w:left="113" w:right="170"/>
              <w:jc w:val="center"/>
              <w:rPr>
                <w:sz w:val="18"/>
              </w:rPr>
            </w:pPr>
            <w:r>
              <w:rPr>
                <w:sz w:val="18"/>
              </w:rPr>
              <w:t>Importations</w:t>
            </w:r>
          </w:p>
        </w:tc>
        <w:tc>
          <w:tcPr>
            <w:tcW w:w="944" w:type="dxa"/>
            <w:textDirection w:val="btLr"/>
            <w:vAlign w:val="center"/>
          </w:tcPr>
          <w:p w:rsidR="00000000" w:rsidRDefault="00000000">
            <w:pPr>
              <w:spacing w:before="60" w:after="60"/>
              <w:ind w:left="113" w:right="170"/>
              <w:jc w:val="center"/>
              <w:rPr>
                <w:sz w:val="18"/>
              </w:rPr>
            </w:pPr>
            <w:r>
              <w:rPr>
                <w:sz w:val="18"/>
              </w:rPr>
              <w:t>Exportations</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Blé</w:t>
            </w:r>
          </w:p>
        </w:tc>
        <w:tc>
          <w:tcPr>
            <w:tcW w:w="943" w:type="dxa"/>
          </w:tcPr>
          <w:p w:rsidR="00000000" w:rsidRDefault="00000000">
            <w:pPr>
              <w:spacing w:before="60" w:after="60"/>
              <w:ind w:right="170"/>
              <w:jc w:val="right"/>
              <w:rPr>
                <w:sz w:val="18"/>
              </w:rPr>
            </w:pPr>
            <w:r>
              <w:rPr>
                <w:sz w:val="18"/>
              </w:rPr>
              <w:t>300 811</w:t>
            </w:r>
          </w:p>
        </w:tc>
        <w:tc>
          <w:tcPr>
            <w:tcW w:w="944" w:type="dxa"/>
          </w:tcPr>
          <w:p w:rsidR="00000000" w:rsidRDefault="00000000">
            <w:pPr>
              <w:spacing w:before="60" w:after="60"/>
              <w:ind w:right="170"/>
              <w:jc w:val="right"/>
              <w:rPr>
                <w:sz w:val="18"/>
              </w:rPr>
            </w:pPr>
            <w:r>
              <w:rPr>
                <w:sz w:val="18"/>
              </w:rPr>
              <w:t>-</w:t>
            </w:r>
          </w:p>
        </w:tc>
        <w:tc>
          <w:tcPr>
            <w:tcW w:w="943" w:type="dxa"/>
          </w:tcPr>
          <w:p w:rsidR="00000000" w:rsidRDefault="00000000">
            <w:pPr>
              <w:spacing w:before="60" w:after="60"/>
              <w:ind w:right="170"/>
              <w:jc w:val="right"/>
              <w:rPr>
                <w:sz w:val="18"/>
              </w:rPr>
            </w:pPr>
            <w:r>
              <w:rPr>
                <w:sz w:val="18"/>
              </w:rPr>
              <w:t>222 623</w:t>
            </w:r>
          </w:p>
        </w:tc>
        <w:tc>
          <w:tcPr>
            <w:tcW w:w="944" w:type="dxa"/>
          </w:tcPr>
          <w:p w:rsidR="00000000" w:rsidRDefault="00000000">
            <w:pPr>
              <w:spacing w:before="60" w:after="60"/>
              <w:ind w:right="170"/>
              <w:jc w:val="right"/>
              <w:rPr>
                <w:sz w:val="18"/>
              </w:rPr>
            </w:pPr>
            <w:r>
              <w:rPr>
                <w:sz w:val="18"/>
              </w:rPr>
              <w:t>11 728</w:t>
            </w:r>
          </w:p>
        </w:tc>
        <w:tc>
          <w:tcPr>
            <w:tcW w:w="944" w:type="dxa"/>
          </w:tcPr>
          <w:p w:rsidR="00000000" w:rsidRDefault="00000000">
            <w:pPr>
              <w:spacing w:before="60" w:after="60"/>
              <w:ind w:right="170"/>
              <w:jc w:val="right"/>
              <w:rPr>
                <w:sz w:val="18"/>
              </w:rPr>
            </w:pPr>
            <w:r>
              <w:rPr>
                <w:sz w:val="18"/>
              </w:rPr>
              <w:t>162 410</w:t>
            </w:r>
          </w:p>
        </w:tc>
        <w:tc>
          <w:tcPr>
            <w:tcW w:w="943" w:type="dxa"/>
          </w:tcPr>
          <w:p w:rsidR="00000000" w:rsidRDefault="00000000">
            <w:pPr>
              <w:spacing w:before="60" w:after="60"/>
              <w:ind w:right="170"/>
              <w:jc w:val="right"/>
              <w:rPr>
                <w:sz w:val="18"/>
              </w:rPr>
            </w:pPr>
            <w:r>
              <w:rPr>
                <w:sz w:val="18"/>
              </w:rPr>
              <w:t>10 594</w:t>
            </w:r>
          </w:p>
        </w:tc>
        <w:tc>
          <w:tcPr>
            <w:tcW w:w="944" w:type="dxa"/>
          </w:tcPr>
          <w:p w:rsidR="00000000" w:rsidRDefault="00000000">
            <w:pPr>
              <w:spacing w:before="60" w:after="60"/>
              <w:ind w:right="170"/>
              <w:jc w:val="right"/>
              <w:rPr>
                <w:sz w:val="18"/>
              </w:rPr>
            </w:pPr>
            <w:r>
              <w:rPr>
                <w:sz w:val="18"/>
              </w:rPr>
              <w:t>202 250</w:t>
            </w:r>
          </w:p>
        </w:tc>
        <w:tc>
          <w:tcPr>
            <w:tcW w:w="944" w:type="dxa"/>
          </w:tcPr>
          <w:p w:rsidR="00000000" w:rsidRDefault="00000000">
            <w:pPr>
              <w:spacing w:before="60" w:after="60"/>
              <w:ind w:right="170"/>
              <w:jc w:val="right"/>
              <w:rPr>
                <w:sz w:val="18"/>
              </w:rPr>
            </w:pPr>
            <w:r>
              <w:rPr>
                <w:sz w:val="18"/>
              </w:rPr>
              <w:t>6 952</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Farine</w:t>
            </w:r>
          </w:p>
        </w:tc>
        <w:tc>
          <w:tcPr>
            <w:tcW w:w="943" w:type="dxa"/>
          </w:tcPr>
          <w:p w:rsidR="00000000" w:rsidRDefault="00000000">
            <w:pPr>
              <w:spacing w:before="60" w:after="60"/>
              <w:ind w:right="170"/>
              <w:jc w:val="right"/>
              <w:rPr>
                <w:sz w:val="18"/>
              </w:rPr>
            </w:pPr>
            <w:r>
              <w:rPr>
                <w:sz w:val="18"/>
              </w:rPr>
              <w:t>126 540</w:t>
            </w:r>
          </w:p>
        </w:tc>
        <w:tc>
          <w:tcPr>
            <w:tcW w:w="944" w:type="dxa"/>
          </w:tcPr>
          <w:p w:rsidR="00000000" w:rsidRDefault="00000000">
            <w:pPr>
              <w:spacing w:before="60" w:after="60"/>
              <w:ind w:right="170"/>
              <w:jc w:val="right"/>
              <w:rPr>
                <w:sz w:val="18"/>
              </w:rPr>
            </w:pPr>
            <w:r>
              <w:rPr>
                <w:sz w:val="18"/>
              </w:rPr>
              <w:t>1 792</w:t>
            </w:r>
          </w:p>
        </w:tc>
        <w:tc>
          <w:tcPr>
            <w:tcW w:w="943" w:type="dxa"/>
          </w:tcPr>
          <w:p w:rsidR="00000000" w:rsidRDefault="00000000">
            <w:pPr>
              <w:spacing w:before="60" w:after="60"/>
              <w:ind w:right="170"/>
              <w:jc w:val="right"/>
              <w:rPr>
                <w:sz w:val="18"/>
              </w:rPr>
            </w:pPr>
            <w:r>
              <w:rPr>
                <w:sz w:val="18"/>
              </w:rPr>
              <w:t>95 815</w:t>
            </w:r>
          </w:p>
        </w:tc>
        <w:tc>
          <w:tcPr>
            <w:tcW w:w="944" w:type="dxa"/>
          </w:tcPr>
          <w:p w:rsidR="00000000" w:rsidRDefault="00000000">
            <w:pPr>
              <w:spacing w:before="60" w:after="60"/>
              <w:ind w:right="170"/>
              <w:jc w:val="right"/>
              <w:rPr>
                <w:sz w:val="18"/>
              </w:rPr>
            </w:pPr>
            <w:r>
              <w:rPr>
                <w:sz w:val="18"/>
              </w:rPr>
              <w:t>1 688</w:t>
            </w:r>
          </w:p>
        </w:tc>
        <w:tc>
          <w:tcPr>
            <w:tcW w:w="944" w:type="dxa"/>
          </w:tcPr>
          <w:p w:rsidR="00000000" w:rsidRDefault="00000000">
            <w:pPr>
              <w:spacing w:before="60" w:after="60"/>
              <w:ind w:right="170"/>
              <w:jc w:val="right"/>
              <w:rPr>
                <w:sz w:val="18"/>
              </w:rPr>
            </w:pPr>
            <w:r>
              <w:rPr>
                <w:sz w:val="18"/>
              </w:rPr>
              <w:t>85 845</w:t>
            </w:r>
          </w:p>
        </w:tc>
        <w:tc>
          <w:tcPr>
            <w:tcW w:w="943" w:type="dxa"/>
          </w:tcPr>
          <w:p w:rsidR="00000000" w:rsidRDefault="00000000">
            <w:pPr>
              <w:spacing w:before="60" w:after="60"/>
              <w:ind w:right="170"/>
              <w:jc w:val="right"/>
              <w:rPr>
                <w:sz w:val="18"/>
              </w:rPr>
            </w:pPr>
            <w:r>
              <w:rPr>
                <w:sz w:val="18"/>
              </w:rPr>
              <w:t>3 510</w:t>
            </w:r>
          </w:p>
        </w:tc>
        <w:tc>
          <w:tcPr>
            <w:tcW w:w="944" w:type="dxa"/>
          </w:tcPr>
          <w:p w:rsidR="00000000" w:rsidRDefault="00000000">
            <w:pPr>
              <w:spacing w:before="60" w:after="60"/>
              <w:ind w:right="170"/>
              <w:jc w:val="right"/>
              <w:rPr>
                <w:sz w:val="18"/>
              </w:rPr>
            </w:pPr>
            <w:r>
              <w:rPr>
                <w:sz w:val="18"/>
              </w:rPr>
              <w:t>130 666</w:t>
            </w:r>
          </w:p>
        </w:tc>
        <w:tc>
          <w:tcPr>
            <w:tcW w:w="944" w:type="dxa"/>
          </w:tcPr>
          <w:p w:rsidR="00000000" w:rsidRDefault="00000000">
            <w:pPr>
              <w:spacing w:before="60" w:after="60"/>
              <w:ind w:right="170"/>
              <w:jc w:val="right"/>
              <w:rPr>
                <w:sz w:val="18"/>
              </w:rPr>
            </w:pPr>
            <w:r>
              <w:rPr>
                <w:sz w:val="18"/>
              </w:rPr>
              <w:t>9 648</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Viande</w:t>
            </w:r>
          </w:p>
        </w:tc>
        <w:tc>
          <w:tcPr>
            <w:tcW w:w="943" w:type="dxa"/>
          </w:tcPr>
          <w:p w:rsidR="00000000" w:rsidRDefault="00000000">
            <w:pPr>
              <w:spacing w:before="60" w:after="60"/>
              <w:ind w:right="170"/>
              <w:jc w:val="right"/>
              <w:rPr>
                <w:sz w:val="18"/>
              </w:rPr>
            </w:pPr>
            <w:r>
              <w:rPr>
                <w:sz w:val="18"/>
              </w:rPr>
              <w:t>10 396</w:t>
            </w:r>
          </w:p>
        </w:tc>
        <w:tc>
          <w:tcPr>
            <w:tcW w:w="944" w:type="dxa"/>
          </w:tcPr>
          <w:p w:rsidR="00000000" w:rsidRDefault="00000000">
            <w:pPr>
              <w:spacing w:before="60" w:after="60"/>
              <w:ind w:right="170"/>
              <w:jc w:val="right"/>
              <w:rPr>
                <w:sz w:val="18"/>
              </w:rPr>
            </w:pPr>
            <w:r>
              <w:rPr>
                <w:sz w:val="18"/>
              </w:rPr>
              <w:t>381</w:t>
            </w:r>
          </w:p>
        </w:tc>
        <w:tc>
          <w:tcPr>
            <w:tcW w:w="943" w:type="dxa"/>
          </w:tcPr>
          <w:p w:rsidR="00000000" w:rsidRDefault="00000000">
            <w:pPr>
              <w:spacing w:before="60" w:after="60"/>
              <w:ind w:right="170"/>
              <w:jc w:val="right"/>
              <w:rPr>
                <w:sz w:val="18"/>
              </w:rPr>
            </w:pPr>
            <w:r>
              <w:rPr>
                <w:sz w:val="18"/>
              </w:rPr>
              <w:t>25 252</w:t>
            </w:r>
          </w:p>
        </w:tc>
        <w:tc>
          <w:tcPr>
            <w:tcW w:w="944" w:type="dxa"/>
          </w:tcPr>
          <w:p w:rsidR="00000000" w:rsidRDefault="00000000">
            <w:pPr>
              <w:spacing w:before="60" w:after="60"/>
              <w:ind w:right="170"/>
              <w:jc w:val="right"/>
              <w:rPr>
                <w:sz w:val="18"/>
              </w:rPr>
            </w:pPr>
            <w:r>
              <w:rPr>
                <w:sz w:val="18"/>
              </w:rPr>
              <w:t>-</w:t>
            </w:r>
          </w:p>
        </w:tc>
        <w:tc>
          <w:tcPr>
            <w:tcW w:w="944" w:type="dxa"/>
          </w:tcPr>
          <w:p w:rsidR="00000000" w:rsidRDefault="00000000">
            <w:pPr>
              <w:spacing w:before="60" w:after="60"/>
              <w:ind w:right="170"/>
              <w:jc w:val="right"/>
              <w:rPr>
                <w:sz w:val="18"/>
              </w:rPr>
            </w:pPr>
            <w:r>
              <w:rPr>
                <w:sz w:val="18"/>
              </w:rPr>
              <w:t>20 782</w:t>
            </w:r>
          </w:p>
        </w:tc>
        <w:tc>
          <w:tcPr>
            <w:tcW w:w="943" w:type="dxa"/>
          </w:tcPr>
          <w:p w:rsidR="00000000" w:rsidRDefault="00000000">
            <w:pPr>
              <w:spacing w:before="60" w:after="60"/>
              <w:ind w:right="170"/>
              <w:jc w:val="right"/>
              <w:rPr>
                <w:sz w:val="18"/>
              </w:rPr>
            </w:pPr>
            <w:r>
              <w:rPr>
                <w:sz w:val="18"/>
              </w:rPr>
              <w:t>22 995</w:t>
            </w:r>
          </w:p>
        </w:tc>
        <w:tc>
          <w:tcPr>
            <w:tcW w:w="944" w:type="dxa"/>
          </w:tcPr>
          <w:p w:rsidR="00000000" w:rsidRDefault="00000000">
            <w:pPr>
              <w:spacing w:before="60" w:after="60"/>
              <w:ind w:right="170"/>
              <w:jc w:val="right"/>
              <w:rPr>
                <w:sz w:val="18"/>
              </w:rPr>
            </w:pPr>
            <w:r>
              <w:rPr>
                <w:sz w:val="18"/>
              </w:rPr>
              <w:t>17 520</w:t>
            </w:r>
          </w:p>
        </w:tc>
        <w:tc>
          <w:tcPr>
            <w:tcW w:w="944" w:type="dxa"/>
          </w:tcPr>
          <w:p w:rsidR="00000000" w:rsidRDefault="00000000">
            <w:pPr>
              <w:spacing w:before="60" w:after="60"/>
              <w:ind w:right="170"/>
              <w:jc w:val="right"/>
              <w:rPr>
                <w:sz w:val="18"/>
              </w:rPr>
            </w:pPr>
            <w:r>
              <w:rPr>
                <w:sz w:val="18"/>
              </w:rPr>
              <w:t>549</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Lait et produits laitiers</w:t>
            </w:r>
          </w:p>
        </w:tc>
        <w:tc>
          <w:tcPr>
            <w:tcW w:w="943" w:type="dxa"/>
          </w:tcPr>
          <w:p w:rsidR="00000000" w:rsidRDefault="00000000">
            <w:pPr>
              <w:spacing w:before="60" w:after="60"/>
              <w:ind w:right="170"/>
              <w:jc w:val="right"/>
              <w:rPr>
                <w:sz w:val="18"/>
              </w:rPr>
            </w:pPr>
            <w:r>
              <w:rPr>
                <w:sz w:val="18"/>
              </w:rPr>
              <w:t>1 943</w:t>
            </w:r>
          </w:p>
        </w:tc>
        <w:tc>
          <w:tcPr>
            <w:tcW w:w="944" w:type="dxa"/>
          </w:tcPr>
          <w:p w:rsidR="00000000" w:rsidRDefault="00000000">
            <w:pPr>
              <w:spacing w:before="60" w:after="60"/>
              <w:ind w:right="170"/>
              <w:jc w:val="right"/>
              <w:rPr>
                <w:sz w:val="18"/>
              </w:rPr>
            </w:pPr>
            <w:r>
              <w:rPr>
                <w:sz w:val="18"/>
              </w:rPr>
              <w:t>15</w:t>
            </w:r>
          </w:p>
        </w:tc>
        <w:tc>
          <w:tcPr>
            <w:tcW w:w="943" w:type="dxa"/>
          </w:tcPr>
          <w:p w:rsidR="00000000" w:rsidRDefault="00000000">
            <w:pPr>
              <w:spacing w:before="60" w:after="60"/>
              <w:ind w:right="170"/>
              <w:jc w:val="right"/>
              <w:rPr>
                <w:sz w:val="18"/>
              </w:rPr>
            </w:pPr>
            <w:r>
              <w:rPr>
                <w:sz w:val="18"/>
              </w:rPr>
              <w:t>1 960</w:t>
            </w:r>
          </w:p>
        </w:tc>
        <w:tc>
          <w:tcPr>
            <w:tcW w:w="944" w:type="dxa"/>
          </w:tcPr>
          <w:p w:rsidR="00000000" w:rsidRDefault="00000000">
            <w:pPr>
              <w:spacing w:before="60" w:after="60"/>
              <w:ind w:right="170"/>
              <w:jc w:val="right"/>
              <w:rPr>
                <w:sz w:val="18"/>
              </w:rPr>
            </w:pPr>
            <w:r>
              <w:rPr>
                <w:sz w:val="18"/>
              </w:rPr>
              <w:t>-</w:t>
            </w:r>
          </w:p>
        </w:tc>
        <w:tc>
          <w:tcPr>
            <w:tcW w:w="944" w:type="dxa"/>
          </w:tcPr>
          <w:p w:rsidR="00000000" w:rsidRDefault="00000000">
            <w:pPr>
              <w:spacing w:before="60" w:after="60"/>
              <w:ind w:right="170"/>
              <w:jc w:val="right"/>
              <w:rPr>
                <w:sz w:val="18"/>
              </w:rPr>
            </w:pPr>
            <w:r>
              <w:rPr>
                <w:sz w:val="18"/>
              </w:rPr>
              <w:t>1 112</w:t>
            </w:r>
          </w:p>
        </w:tc>
        <w:tc>
          <w:tcPr>
            <w:tcW w:w="943" w:type="dxa"/>
          </w:tcPr>
          <w:p w:rsidR="00000000" w:rsidRDefault="00000000">
            <w:pPr>
              <w:spacing w:before="60" w:after="60"/>
              <w:ind w:right="170"/>
              <w:jc w:val="right"/>
              <w:rPr>
                <w:sz w:val="18"/>
              </w:rPr>
            </w:pPr>
            <w:r>
              <w:rPr>
                <w:sz w:val="18"/>
              </w:rPr>
              <w:t>16,7</w:t>
            </w:r>
          </w:p>
        </w:tc>
        <w:tc>
          <w:tcPr>
            <w:tcW w:w="944" w:type="dxa"/>
          </w:tcPr>
          <w:p w:rsidR="00000000" w:rsidRDefault="00000000">
            <w:pPr>
              <w:spacing w:before="60" w:after="60"/>
              <w:ind w:right="170"/>
              <w:jc w:val="right"/>
              <w:rPr>
                <w:sz w:val="18"/>
              </w:rPr>
            </w:pPr>
            <w:r>
              <w:rPr>
                <w:sz w:val="18"/>
              </w:rPr>
              <w:t>556</w:t>
            </w:r>
          </w:p>
        </w:tc>
        <w:tc>
          <w:tcPr>
            <w:tcW w:w="944" w:type="dxa"/>
          </w:tcPr>
          <w:p w:rsidR="00000000" w:rsidRDefault="00000000">
            <w:pPr>
              <w:spacing w:before="60" w:after="60"/>
              <w:ind w:right="170"/>
              <w:jc w:val="right"/>
              <w:rPr>
                <w:sz w:val="18"/>
              </w:rPr>
            </w:pPr>
            <w:r>
              <w:rPr>
                <w:sz w:val="18"/>
              </w:rPr>
              <w:t>36,2</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Beurre</w:t>
            </w:r>
          </w:p>
        </w:tc>
        <w:tc>
          <w:tcPr>
            <w:tcW w:w="943" w:type="dxa"/>
          </w:tcPr>
          <w:p w:rsidR="00000000" w:rsidRDefault="00000000">
            <w:pPr>
              <w:spacing w:before="60" w:after="60"/>
              <w:ind w:right="170"/>
              <w:jc w:val="right"/>
              <w:rPr>
                <w:sz w:val="18"/>
              </w:rPr>
            </w:pPr>
            <w:r>
              <w:rPr>
                <w:sz w:val="18"/>
              </w:rPr>
              <w:t>2 837</w:t>
            </w:r>
          </w:p>
        </w:tc>
        <w:tc>
          <w:tcPr>
            <w:tcW w:w="944" w:type="dxa"/>
          </w:tcPr>
          <w:p w:rsidR="00000000" w:rsidRDefault="00000000">
            <w:pPr>
              <w:spacing w:before="60" w:after="60"/>
              <w:ind w:right="170"/>
              <w:jc w:val="right"/>
              <w:rPr>
                <w:sz w:val="18"/>
              </w:rPr>
            </w:pPr>
            <w:r>
              <w:rPr>
                <w:sz w:val="18"/>
              </w:rPr>
              <w:t>78</w:t>
            </w:r>
          </w:p>
        </w:tc>
        <w:tc>
          <w:tcPr>
            <w:tcW w:w="943" w:type="dxa"/>
          </w:tcPr>
          <w:p w:rsidR="00000000" w:rsidRDefault="00000000">
            <w:pPr>
              <w:spacing w:before="60" w:after="60"/>
              <w:ind w:right="170"/>
              <w:jc w:val="right"/>
              <w:rPr>
                <w:sz w:val="18"/>
              </w:rPr>
            </w:pPr>
            <w:r>
              <w:rPr>
                <w:sz w:val="18"/>
              </w:rPr>
              <w:t>4 151</w:t>
            </w:r>
          </w:p>
        </w:tc>
        <w:tc>
          <w:tcPr>
            <w:tcW w:w="944" w:type="dxa"/>
          </w:tcPr>
          <w:p w:rsidR="00000000" w:rsidRDefault="00000000">
            <w:pPr>
              <w:spacing w:before="60" w:after="60"/>
              <w:ind w:right="170"/>
              <w:jc w:val="right"/>
              <w:rPr>
                <w:sz w:val="18"/>
              </w:rPr>
            </w:pPr>
            <w:r>
              <w:rPr>
                <w:sz w:val="18"/>
              </w:rPr>
              <w:t>262</w:t>
            </w:r>
          </w:p>
        </w:tc>
        <w:tc>
          <w:tcPr>
            <w:tcW w:w="944" w:type="dxa"/>
          </w:tcPr>
          <w:p w:rsidR="00000000" w:rsidRDefault="00000000">
            <w:pPr>
              <w:spacing w:before="60" w:after="60"/>
              <w:ind w:right="170"/>
              <w:jc w:val="right"/>
              <w:rPr>
                <w:sz w:val="18"/>
              </w:rPr>
            </w:pPr>
            <w:r>
              <w:rPr>
                <w:sz w:val="18"/>
              </w:rPr>
              <w:t>2 900</w:t>
            </w:r>
          </w:p>
        </w:tc>
        <w:tc>
          <w:tcPr>
            <w:tcW w:w="943" w:type="dxa"/>
          </w:tcPr>
          <w:p w:rsidR="00000000" w:rsidRDefault="00000000">
            <w:pPr>
              <w:spacing w:before="60" w:after="60"/>
              <w:ind w:right="170"/>
              <w:jc w:val="right"/>
              <w:rPr>
                <w:sz w:val="18"/>
              </w:rPr>
            </w:pPr>
            <w:r>
              <w:rPr>
                <w:sz w:val="18"/>
              </w:rPr>
              <w:t>109</w:t>
            </w:r>
          </w:p>
        </w:tc>
        <w:tc>
          <w:tcPr>
            <w:tcW w:w="944" w:type="dxa"/>
          </w:tcPr>
          <w:p w:rsidR="00000000" w:rsidRDefault="00000000">
            <w:pPr>
              <w:spacing w:before="60" w:after="60"/>
              <w:ind w:right="170"/>
              <w:jc w:val="right"/>
              <w:rPr>
                <w:sz w:val="18"/>
              </w:rPr>
            </w:pPr>
            <w:r>
              <w:rPr>
                <w:sz w:val="18"/>
              </w:rPr>
              <w:t>1 927</w:t>
            </w:r>
          </w:p>
        </w:tc>
        <w:tc>
          <w:tcPr>
            <w:tcW w:w="944" w:type="dxa"/>
          </w:tcPr>
          <w:p w:rsidR="00000000" w:rsidRDefault="00000000">
            <w:pPr>
              <w:spacing w:before="60" w:after="60"/>
              <w:ind w:right="170"/>
              <w:jc w:val="right"/>
              <w:rPr>
                <w:sz w:val="18"/>
              </w:rPr>
            </w:pPr>
            <w:r>
              <w:rPr>
                <w:sz w:val="18"/>
              </w:rPr>
              <w:t>-</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Fromages</w:t>
            </w:r>
          </w:p>
        </w:tc>
        <w:tc>
          <w:tcPr>
            <w:tcW w:w="943" w:type="dxa"/>
          </w:tcPr>
          <w:p w:rsidR="00000000" w:rsidRDefault="00000000">
            <w:pPr>
              <w:spacing w:before="60" w:after="60"/>
              <w:ind w:right="170"/>
              <w:jc w:val="right"/>
              <w:rPr>
                <w:sz w:val="18"/>
              </w:rPr>
            </w:pPr>
            <w:r>
              <w:rPr>
                <w:sz w:val="18"/>
              </w:rPr>
              <w:t>70</w:t>
            </w:r>
          </w:p>
        </w:tc>
        <w:tc>
          <w:tcPr>
            <w:tcW w:w="944" w:type="dxa"/>
          </w:tcPr>
          <w:p w:rsidR="00000000" w:rsidRDefault="00000000">
            <w:pPr>
              <w:spacing w:before="60" w:after="60"/>
              <w:ind w:right="170"/>
              <w:jc w:val="right"/>
              <w:rPr>
                <w:sz w:val="18"/>
              </w:rPr>
            </w:pPr>
            <w:r>
              <w:rPr>
                <w:sz w:val="18"/>
              </w:rPr>
              <w:t>-</w:t>
            </w:r>
          </w:p>
        </w:tc>
        <w:tc>
          <w:tcPr>
            <w:tcW w:w="943" w:type="dxa"/>
          </w:tcPr>
          <w:p w:rsidR="00000000" w:rsidRDefault="00000000">
            <w:pPr>
              <w:spacing w:before="60" w:after="60"/>
              <w:ind w:right="170"/>
              <w:jc w:val="right"/>
              <w:rPr>
                <w:sz w:val="18"/>
              </w:rPr>
            </w:pPr>
            <w:r>
              <w:rPr>
                <w:sz w:val="18"/>
              </w:rPr>
              <w:t>50</w:t>
            </w:r>
          </w:p>
        </w:tc>
        <w:tc>
          <w:tcPr>
            <w:tcW w:w="944" w:type="dxa"/>
          </w:tcPr>
          <w:p w:rsidR="00000000" w:rsidRDefault="00000000">
            <w:pPr>
              <w:spacing w:before="60" w:after="60"/>
              <w:ind w:right="170"/>
              <w:jc w:val="right"/>
              <w:rPr>
                <w:sz w:val="18"/>
              </w:rPr>
            </w:pPr>
            <w:r>
              <w:rPr>
                <w:sz w:val="18"/>
              </w:rPr>
              <w:t>-</w:t>
            </w:r>
          </w:p>
        </w:tc>
        <w:tc>
          <w:tcPr>
            <w:tcW w:w="944" w:type="dxa"/>
          </w:tcPr>
          <w:p w:rsidR="00000000" w:rsidRDefault="00000000">
            <w:pPr>
              <w:spacing w:before="60" w:after="60"/>
              <w:ind w:right="170"/>
              <w:jc w:val="right"/>
              <w:rPr>
                <w:sz w:val="18"/>
              </w:rPr>
            </w:pPr>
            <w:r>
              <w:rPr>
                <w:sz w:val="18"/>
              </w:rPr>
              <w:t>68</w:t>
            </w:r>
          </w:p>
        </w:tc>
        <w:tc>
          <w:tcPr>
            <w:tcW w:w="943" w:type="dxa"/>
          </w:tcPr>
          <w:p w:rsidR="00000000" w:rsidRDefault="00000000">
            <w:pPr>
              <w:spacing w:before="60" w:after="60"/>
              <w:ind w:right="170"/>
              <w:jc w:val="right"/>
              <w:rPr>
                <w:sz w:val="18"/>
              </w:rPr>
            </w:pPr>
            <w:r>
              <w:rPr>
                <w:sz w:val="18"/>
              </w:rPr>
              <w:t>2,5</w:t>
            </w:r>
          </w:p>
        </w:tc>
        <w:tc>
          <w:tcPr>
            <w:tcW w:w="944" w:type="dxa"/>
          </w:tcPr>
          <w:p w:rsidR="00000000" w:rsidRDefault="00000000">
            <w:pPr>
              <w:spacing w:before="60" w:after="60"/>
              <w:ind w:right="170"/>
              <w:jc w:val="right"/>
              <w:rPr>
                <w:sz w:val="18"/>
              </w:rPr>
            </w:pPr>
            <w:r>
              <w:rPr>
                <w:sz w:val="18"/>
              </w:rPr>
              <w:t>927</w:t>
            </w:r>
          </w:p>
        </w:tc>
        <w:tc>
          <w:tcPr>
            <w:tcW w:w="944" w:type="dxa"/>
          </w:tcPr>
          <w:p w:rsidR="00000000" w:rsidRDefault="00000000">
            <w:pPr>
              <w:spacing w:before="60" w:after="60"/>
              <w:ind w:right="170"/>
              <w:jc w:val="right"/>
              <w:rPr>
                <w:sz w:val="18"/>
              </w:rPr>
            </w:pPr>
            <w:r>
              <w:rPr>
                <w:sz w:val="18"/>
              </w:rPr>
              <w:t>1</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Poisson et produits dérivés</w:t>
            </w:r>
          </w:p>
        </w:tc>
        <w:tc>
          <w:tcPr>
            <w:tcW w:w="943" w:type="dxa"/>
          </w:tcPr>
          <w:p w:rsidR="00000000" w:rsidRDefault="00000000">
            <w:pPr>
              <w:spacing w:before="60" w:after="60"/>
              <w:ind w:right="170"/>
              <w:jc w:val="right"/>
              <w:rPr>
                <w:sz w:val="18"/>
              </w:rPr>
            </w:pPr>
            <w:r>
              <w:rPr>
                <w:sz w:val="18"/>
              </w:rPr>
              <w:t>4 259</w:t>
            </w:r>
          </w:p>
        </w:tc>
        <w:tc>
          <w:tcPr>
            <w:tcW w:w="944" w:type="dxa"/>
          </w:tcPr>
          <w:p w:rsidR="00000000" w:rsidRDefault="00000000">
            <w:pPr>
              <w:spacing w:before="60" w:after="60"/>
              <w:ind w:right="170"/>
              <w:jc w:val="right"/>
              <w:rPr>
                <w:sz w:val="18"/>
              </w:rPr>
            </w:pPr>
            <w:r>
              <w:rPr>
                <w:sz w:val="18"/>
              </w:rPr>
              <w:t>1 409</w:t>
            </w:r>
          </w:p>
        </w:tc>
        <w:tc>
          <w:tcPr>
            <w:tcW w:w="943" w:type="dxa"/>
          </w:tcPr>
          <w:p w:rsidR="00000000" w:rsidRDefault="00000000">
            <w:pPr>
              <w:spacing w:before="60" w:after="60"/>
              <w:ind w:right="170"/>
              <w:jc w:val="right"/>
              <w:rPr>
                <w:sz w:val="18"/>
              </w:rPr>
            </w:pPr>
            <w:r>
              <w:rPr>
                <w:sz w:val="18"/>
              </w:rPr>
              <w:t>7 160</w:t>
            </w:r>
          </w:p>
        </w:tc>
        <w:tc>
          <w:tcPr>
            <w:tcW w:w="944" w:type="dxa"/>
          </w:tcPr>
          <w:p w:rsidR="00000000" w:rsidRDefault="00000000">
            <w:pPr>
              <w:spacing w:before="60" w:after="60"/>
              <w:ind w:right="170"/>
              <w:jc w:val="right"/>
              <w:rPr>
                <w:sz w:val="18"/>
              </w:rPr>
            </w:pPr>
            <w:r>
              <w:rPr>
                <w:sz w:val="18"/>
              </w:rPr>
              <w:t>126</w:t>
            </w:r>
          </w:p>
        </w:tc>
        <w:tc>
          <w:tcPr>
            <w:tcW w:w="944" w:type="dxa"/>
          </w:tcPr>
          <w:p w:rsidR="00000000" w:rsidRDefault="00000000">
            <w:pPr>
              <w:spacing w:before="60" w:after="60"/>
              <w:ind w:right="170"/>
              <w:jc w:val="right"/>
              <w:rPr>
                <w:sz w:val="18"/>
              </w:rPr>
            </w:pPr>
            <w:r>
              <w:rPr>
                <w:sz w:val="18"/>
              </w:rPr>
              <w:t>4 532</w:t>
            </w:r>
          </w:p>
        </w:tc>
        <w:tc>
          <w:tcPr>
            <w:tcW w:w="943" w:type="dxa"/>
          </w:tcPr>
          <w:p w:rsidR="00000000" w:rsidRDefault="00000000">
            <w:pPr>
              <w:spacing w:before="60" w:after="60"/>
              <w:ind w:right="170"/>
              <w:jc w:val="right"/>
              <w:rPr>
                <w:sz w:val="18"/>
              </w:rPr>
            </w:pPr>
            <w:r>
              <w:rPr>
                <w:sz w:val="18"/>
              </w:rPr>
              <w:t>2 638</w:t>
            </w:r>
          </w:p>
        </w:tc>
        <w:tc>
          <w:tcPr>
            <w:tcW w:w="944" w:type="dxa"/>
          </w:tcPr>
          <w:p w:rsidR="00000000" w:rsidRDefault="00000000">
            <w:pPr>
              <w:spacing w:before="60" w:after="60"/>
              <w:ind w:right="170"/>
              <w:jc w:val="right"/>
              <w:rPr>
                <w:sz w:val="18"/>
              </w:rPr>
            </w:pPr>
            <w:r>
              <w:rPr>
                <w:sz w:val="18"/>
              </w:rPr>
              <w:t>2 570</w:t>
            </w:r>
          </w:p>
        </w:tc>
        <w:tc>
          <w:tcPr>
            <w:tcW w:w="944" w:type="dxa"/>
          </w:tcPr>
          <w:p w:rsidR="00000000" w:rsidRDefault="00000000">
            <w:pPr>
              <w:spacing w:before="60" w:after="60"/>
              <w:ind w:right="170"/>
              <w:jc w:val="right"/>
              <w:rPr>
                <w:sz w:val="18"/>
              </w:rPr>
            </w:pPr>
            <w:r>
              <w:rPr>
                <w:sz w:val="18"/>
              </w:rPr>
              <w:t>103</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Huiles végétales</w:t>
            </w:r>
          </w:p>
        </w:tc>
        <w:tc>
          <w:tcPr>
            <w:tcW w:w="943" w:type="dxa"/>
          </w:tcPr>
          <w:p w:rsidR="00000000" w:rsidRDefault="00000000">
            <w:pPr>
              <w:spacing w:before="60" w:after="60"/>
              <w:ind w:right="170"/>
              <w:jc w:val="right"/>
              <w:rPr>
                <w:sz w:val="18"/>
              </w:rPr>
            </w:pPr>
            <w:r>
              <w:rPr>
                <w:sz w:val="18"/>
              </w:rPr>
              <w:t>3 377</w:t>
            </w:r>
          </w:p>
        </w:tc>
        <w:tc>
          <w:tcPr>
            <w:tcW w:w="944" w:type="dxa"/>
          </w:tcPr>
          <w:p w:rsidR="00000000" w:rsidRDefault="00000000">
            <w:pPr>
              <w:spacing w:before="60" w:after="60"/>
              <w:ind w:right="170"/>
              <w:jc w:val="right"/>
              <w:rPr>
                <w:sz w:val="18"/>
              </w:rPr>
            </w:pPr>
            <w:r>
              <w:rPr>
                <w:sz w:val="18"/>
              </w:rPr>
              <w:t>74</w:t>
            </w:r>
          </w:p>
        </w:tc>
        <w:tc>
          <w:tcPr>
            <w:tcW w:w="943" w:type="dxa"/>
          </w:tcPr>
          <w:p w:rsidR="00000000" w:rsidRDefault="00000000">
            <w:pPr>
              <w:spacing w:before="60" w:after="60"/>
              <w:ind w:right="170"/>
              <w:jc w:val="right"/>
              <w:rPr>
                <w:sz w:val="18"/>
              </w:rPr>
            </w:pPr>
            <w:r>
              <w:rPr>
                <w:sz w:val="18"/>
              </w:rPr>
              <w:t>12 244</w:t>
            </w:r>
          </w:p>
        </w:tc>
        <w:tc>
          <w:tcPr>
            <w:tcW w:w="944" w:type="dxa"/>
          </w:tcPr>
          <w:p w:rsidR="00000000" w:rsidRDefault="00000000">
            <w:pPr>
              <w:spacing w:before="60" w:after="60"/>
              <w:ind w:right="170"/>
              <w:jc w:val="right"/>
              <w:rPr>
                <w:sz w:val="18"/>
              </w:rPr>
            </w:pPr>
            <w:r>
              <w:rPr>
                <w:sz w:val="18"/>
              </w:rPr>
              <w:t>6</w:t>
            </w:r>
          </w:p>
        </w:tc>
        <w:tc>
          <w:tcPr>
            <w:tcW w:w="944" w:type="dxa"/>
          </w:tcPr>
          <w:p w:rsidR="00000000" w:rsidRDefault="00000000">
            <w:pPr>
              <w:spacing w:before="60" w:after="60"/>
              <w:ind w:right="170"/>
              <w:jc w:val="right"/>
              <w:rPr>
                <w:sz w:val="18"/>
              </w:rPr>
            </w:pPr>
            <w:r>
              <w:rPr>
                <w:sz w:val="18"/>
              </w:rPr>
              <w:t>2 578</w:t>
            </w:r>
          </w:p>
        </w:tc>
        <w:tc>
          <w:tcPr>
            <w:tcW w:w="943" w:type="dxa"/>
          </w:tcPr>
          <w:p w:rsidR="00000000" w:rsidRDefault="00000000">
            <w:pPr>
              <w:spacing w:before="60" w:after="60"/>
              <w:ind w:right="170"/>
              <w:jc w:val="right"/>
              <w:rPr>
                <w:sz w:val="18"/>
              </w:rPr>
            </w:pPr>
            <w:r>
              <w:rPr>
                <w:sz w:val="18"/>
              </w:rPr>
              <w:t>18</w:t>
            </w:r>
          </w:p>
        </w:tc>
        <w:tc>
          <w:tcPr>
            <w:tcW w:w="944" w:type="dxa"/>
          </w:tcPr>
          <w:p w:rsidR="00000000" w:rsidRDefault="00000000">
            <w:pPr>
              <w:spacing w:before="60" w:after="60"/>
              <w:ind w:right="170"/>
              <w:jc w:val="right"/>
              <w:rPr>
                <w:sz w:val="18"/>
              </w:rPr>
            </w:pPr>
            <w:r>
              <w:rPr>
                <w:sz w:val="18"/>
              </w:rPr>
              <w:t>5 389</w:t>
            </w:r>
          </w:p>
        </w:tc>
        <w:tc>
          <w:tcPr>
            <w:tcW w:w="944" w:type="dxa"/>
          </w:tcPr>
          <w:p w:rsidR="00000000" w:rsidRDefault="00000000">
            <w:pPr>
              <w:spacing w:before="60" w:after="60"/>
              <w:ind w:right="170"/>
              <w:jc w:val="right"/>
              <w:rPr>
                <w:sz w:val="18"/>
              </w:rPr>
            </w:pPr>
            <w:r>
              <w:rPr>
                <w:sz w:val="18"/>
              </w:rPr>
              <w:t>6</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Margarine</w:t>
            </w:r>
          </w:p>
        </w:tc>
        <w:tc>
          <w:tcPr>
            <w:tcW w:w="943" w:type="dxa"/>
          </w:tcPr>
          <w:p w:rsidR="00000000" w:rsidRDefault="00000000">
            <w:pPr>
              <w:spacing w:before="60" w:after="60"/>
              <w:ind w:right="170"/>
              <w:jc w:val="right"/>
              <w:rPr>
                <w:sz w:val="18"/>
              </w:rPr>
            </w:pPr>
            <w:r>
              <w:rPr>
                <w:sz w:val="18"/>
              </w:rPr>
              <w:t>-</w:t>
            </w:r>
          </w:p>
        </w:tc>
        <w:tc>
          <w:tcPr>
            <w:tcW w:w="944" w:type="dxa"/>
          </w:tcPr>
          <w:p w:rsidR="00000000" w:rsidRDefault="00000000">
            <w:pPr>
              <w:spacing w:before="60" w:after="60"/>
              <w:ind w:right="170"/>
              <w:jc w:val="right"/>
              <w:rPr>
                <w:sz w:val="18"/>
              </w:rPr>
            </w:pPr>
            <w:r>
              <w:rPr>
                <w:sz w:val="18"/>
              </w:rPr>
              <w:t>-</w:t>
            </w:r>
          </w:p>
        </w:tc>
        <w:tc>
          <w:tcPr>
            <w:tcW w:w="943" w:type="dxa"/>
          </w:tcPr>
          <w:p w:rsidR="00000000" w:rsidRDefault="00000000">
            <w:pPr>
              <w:spacing w:before="60" w:after="60"/>
              <w:ind w:right="170"/>
              <w:jc w:val="right"/>
              <w:rPr>
                <w:sz w:val="18"/>
              </w:rPr>
            </w:pPr>
            <w:r>
              <w:rPr>
                <w:sz w:val="18"/>
              </w:rPr>
              <w:t>30</w:t>
            </w:r>
          </w:p>
        </w:tc>
        <w:tc>
          <w:tcPr>
            <w:tcW w:w="944" w:type="dxa"/>
          </w:tcPr>
          <w:p w:rsidR="00000000" w:rsidRDefault="00000000">
            <w:pPr>
              <w:spacing w:before="60" w:after="60"/>
              <w:ind w:right="170"/>
              <w:jc w:val="right"/>
              <w:rPr>
                <w:sz w:val="18"/>
              </w:rPr>
            </w:pPr>
            <w:r>
              <w:rPr>
                <w:sz w:val="18"/>
              </w:rPr>
              <w:t>3 993</w:t>
            </w:r>
          </w:p>
        </w:tc>
        <w:tc>
          <w:tcPr>
            <w:tcW w:w="944" w:type="dxa"/>
          </w:tcPr>
          <w:p w:rsidR="00000000" w:rsidRDefault="00000000">
            <w:pPr>
              <w:spacing w:before="60" w:after="60"/>
              <w:ind w:right="170"/>
              <w:jc w:val="right"/>
              <w:rPr>
                <w:sz w:val="18"/>
              </w:rPr>
            </w:pPr>
            <w:r>
              <w:rPr>
                <w:sz w:val="18"/>
              </w:rPr>
              <w:t>3 891</w:t>
            </w:r>
          </w:p>
        </w:tc>
        <w:tc>
          <w:tcPr>
            <w:tcW w:w="943" w:type="dxa"/>
          </w:tcPr>
          <w:p w:rsidR="00000000" w:rsidRDefault="00000000">
            <w:pPr>
              <w:spacing w:before="60" w:after="60"/>
              <w:ind w:right="170"/>
              <w:jc w:val="right"/>
              <w:rPr>
                <w:sz w:val="18"/>
              </w:rPr>
            </w:pPr>
            <w:r>
              <w:rPr>
                <w:sz w:val="18"/>
              </w:rPr>
              <w:t>37</w:t>
            </w:r>
          </w:p>
        </w:tc>
        <w:tc>
          <w:tcPr>
            <w:tcW w:w="944" w:type="dxa"/>
          </w:tcPr>
          <w:p w:rsidR="00000000" w:rsidRDefault="00000000">
            <w:pPr>
              <w:spacing w:before="60" w:after="60"/>
              <w:ind w:right="170"/>
              <w:jc w:val="right"/>
              <w:rPr>
                <w:sz w:val="18"/>
              </w:rPr>
            </w:pPr>
            <w:r>
              <w:rPr>
                <w:sz w:val="18"/>
              </w:rPr>
              <w:t>4 090</w:t>
            </w:r>
          </w:p>
        </w:tc>
        <w:tc>
          <w:tcPr>
            <w:tcW w:w="944" w:type="dxa"/>
          </w:tcPr>
          <w:p w:rsidR="00000000" w:rsidRDefault="00000000">
            <w:pPr>
              <w:spacing w:before="60" w:after="60"/>
              <w:ind w:right="170"/>
              <w:jc w:val="right"/>
              <w:rPr>
                <w:sz w:val="18"/>
              </w:rPr>
            </w:pPr>
            <w:r>
              <w:rPr>
                <w:sz w:val="18"/>
              </w:rPr>
              <w:t>50</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Sucre</w:t>
            </w:r>
          </w:p>
        </w:tc>
        <w:tc>
          <w:tcPr>
            <w:tcW w:w="943" w:type="dxa"/>
          </w:tcPr>
          <w:p w:rsidR="00000000" w:rsidRDefault="00000000">
            <w:pPr>
              <w:spacing w:before="60" w:after="60"/>
              <w:ind w:right="170"/>
              <w:jc w:val="right"/>
              <w:rPr>
                <w:sz w:val="18"/>
              </w:rPr>
            </w:pPr>
            <w:r>
              <w:rPr>
                <w:sz w:val="18"/>
              </w:rPr>
              <w:t>99 635</w:t>
            </w:r>
          </w:p>
        </w:tc>
        <w:tc>
          <w:tcPr>
            <w:tcW w:w="944" w:type="dxa"/>
          </w:tcPr>
          <w:p w:rsidR="00000000" w:rsidRDefault="00000000">
            <w:pPr>
              <w:spacing w:before="60" w:after="60"/>
              <w:ind w:right="170"/>
              <w:jc w:val="right"/>
              <w:rPr>
                <w:sz w:val="18"/>
              </w:rPr>
            </w:pPr>
            <w:r>
              <w:rPr>
                <w:sz w:val="18"/>
              </w:rPr>
              <w:t>300</w:t>
            </w:r>
          </w:p>
        </w:tc>
        <w:tc>
          <w:tcPr>
            <w:tcW w:w="943" w:type="dxa"/>
          </w:tcPr>
          <w:p w:rsidR="00000000" w:rsidRDefault="00000000">
            <w:pPr>
              <w:spacing w:before="60" w:after="60"/>
              <w:ind w:right="170"/>
              <w:jc w:val="right"/>
              <w:rPr>
                <w:sz w:val="18"/>
              </w:rPr>
            </w:pPr>
            <w:r>
              <w:rPr>
                <w:sz w:val="18"/>
              </w:rPr>
              <w:t>69 252</w:t>
            </w:r>
          </w:p>
        </w:tc>
        <w:tc>
          <w:tcPr>
            <w:tcW w:w="944" w:type="dxa"/>
          </w:tcPr>
          <w:p w:rsidR="00000000" w:rsidRDefault="00000000">
            <w:pPr>
              <w:spacing w:before="60" w:after="60"/>
              <w:ind w:right="170"/>
              <w:jc w:val="right"/>
              <w:rPr>
                <w:sz w:val="18"/>
              </w:rPr>
            </w:pPr>
            <w:r>
              <w:rPr>
                <w:sz w:val="18"/>
              </w:rPr>
              <w:t>6 142</w:t>
            </w:r>
          </w:p>
        </w:tc>
        <w:tc>
          <w:tcPr>
            <w:tcW w:w="944" w:type="dxa"/>
          </w:tcPr>
          <w:p w:rsidR="00000000" w:rsidRDefault="00000000">
            <w:pPr>
              <w:spacing w:before="60" w:after="60"/>
              <w:ind w:right="170"/>
              <w:jc w:val="right"/>
              <w:rPr>
                <w:sz w:val="18"/>
              </w:rPr>
            </w:pPr>
            <w:r>
              <w:rPr>
                <w:sz w:val="18"/>
              </w:rPr>
              <w:t>77 370</w:t>
            </w:r>
          </w:p>
        </w:tc>
        <w:tc>
          <w:tcPr>
            <w:tcW w:w="943" w:type="dxa"/>
          </w:tcPr>
          <w:p w:rsidR="00000000" w:rsidRDefault="00000000">
            <w:pPr>
              <w:spacing w:before="60" w:after="60"/>
              <w:ind w:right="170"/>
              <w:jc w:val="right"/>
              <w:rPr>
                <w:sz w:val="18"/>
              </w:rPr>
            </w:pPr>
            <w:r>
              <w:rPr>
                <w:sz w:val="18"/>
              </w:rPr>
              <w:t>7 950</w:t>
            </w:r>
          </w:p>
        </w:tc>
        <w:tc>
          <w:tcPr>
            <w:tcW w:w="944" w:type="dxa"/>
          </w:tcPr>
          <w:p w:rsidR="00000000" w:rsidRDefault="00000000">
            <w:pPr>
              <w:spacing w:before="60" w:after="60"/>
              <w:ind w:right="170"/>
              <w:jc w:val="right"/>
              <w:rPr>
                <w:sz w:val="18"/>
              </w:rPr>
            </w:pPr>
            <w:r>
              <w:rPr>
                <w:sz w:val="18"/>
              </w:rPr>
              <w:t>74 159</w:t>
            </w:r>
          </w:p>
        </w:tc>
        <w:tc>
          <w:tcPr>
            <w:tcW w:w="944" w:type="dxa"/>
          </w:tcPr>
          <w:p w:rsidR="00000000" w:rsidRDefault="00000000">
            <w:pPr>
              <w:spacing w:before="60" w:after="60"/>
              <w:ind w:right="170"/>
              <w:jc w:val="right"/>
              <w:rPr>
                <w:sz w:val="18"/>
              </w:rPr>
            </w:pPr>
            <w:r>
              <w:rPr>
                <w:sz w:val="18"/>
              </w:rPr>
              <w:t>10 471</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Fruits</w:t>
            </w:r>
          </w:p>
        </w:tc>
        <w:tc>
          <w:tcPr>
            <w:tcW w:w="943" w:type="dxa"/>
          </w:tcPr>
          <w:p w:rsidR="00000000" w:rsidRDefault="00000000">
            <w:pPr>
              <w:spacing w:before="60" w:after="60"/>
              <w:ind w:right="170"/>
              <w:jc w:val="right"/>
              <w:rPr>
                <w:sz w:val="18"/>
              </w:rPr>
            </w:pPr>
            <w:r>
              <w:rPr>
                <w:sz w:val="18"/>
              </w:rPr>
              <w:t>1 236</w:t>
            </w:r>
          </w:p>
        </w:tc>
        <w:tc>
          <w:tcPr>
            <w:tcW w:w="944" w:type="dxa"/>
          </w:tcPr>
          <w:p w:rsidR="00000000" w:rsidRDefault="00000000">
            <w:pPr>
              <w:spacing w:before="60" w:after="60"/>
              <w:ind w:right="170"/>
              <w:jc w:val="right"/>
              <w:rPr>
                <w:sz w:val="18"/>
              </w:rPr>
            </w:pPr>
            <w:r>
              <w:rPr>
                <w:sz w:val="18"/>
              </w:rPr>
              <w:t>27 000</w:t>
            </w:r>
          </w:p>
        </w:tc>
        <w:tc>
          <w:tcPr>
            <w:tcW w:w="943" w:type="dxa"/>
          </w:tcPr>
          <w:p w:rsidR="00000000" w:rsidRDefault="00000000">
            <w:pPr>
              <w:spacing w:before="60" w:after="60"/>
              <w:ind w:right="170"/>
              <w:jc w:val="right"/>
              <w:rPr>
                <w:sz w:val="18"/>
              </w:rPr>
            </w:pPr>
            <w:r>
              <w:rPr>
                <w:sz w:val="18"/>
              </w:rPr>
              <w:t>1 521</w:t>
            </w:r>
          </w:p>
        </w:tc>
        <w:tc>
          <w:tcPr>
            <w:tcW w:w="944" w:type="dxa"/>
          </w:tcPr>
          <w:p w:rsidR="00000000" w:rsidRDefault="00000000">
            <w:pPr>
              <w:spacing w:before="60" w:after="60"/>
              <w:ind w:right="170"/>
              <w:jc w:val="right"/>
              <w:rPr>
                <w:sz w:val="18"/>
              </w:rPr>
            </w:pPr>
            <w:r>
              <w:rPr>
                <w:sz w:val="18"/>
              </w:rPr>
              <w:t>32 000</w:t>
            </w:r>
          </w:p>
        </w:tc>
        <w:tc>
          <w:tcPr>
            <w:tcW w:w="944" w:type="dxa"/>
          </w:tcPr>
          <w:p w:rsidR="00000000" w:rsidRDefault="00000000">
            <w:pPr>
              <w:spacing w:before="60" w:after="60"/>
              <w:ind w:right="170"/>
              <w:jc w:val="right"/>
              <w:rPr>
                <w:sz w:val="18"/>
              </w:rPr>
            </w:pPr>
            <w:r>
              <w:rPr>
                <w:sz w:val="18"/>
              </w:rPr>
              <w:t>1 232</w:t>
            </w:r>
          </w:p>
        </w:tc>
        <w:tc>
          <w:tcPr>
            <w:tcW w:w="943" w:type="dxa"/>
          </w:tcPr>
          <w:p w:rsidR="00000000" w:rsidRDefault="00000000">
            <w:pPr>
              <w:spacing w:before="60" w:after="60"/>
              <w:ind w:right="170"/>
              <w:jc w:val="right"/>
              <w:rPr>
                <w:sz w:val="18"/>
              </w:rPr>
            </w:pPr>
            <w:r>
              <w:rPr>
                <w:sz w:val="18"/>
              </w:rPr>
              <w:t>13 607</w:t>
            </w:r>
          </w:p>
        </w:tc>
        <w:tc>
          <w:tcPr>
            <w:tcW w:w="944" w:type="dxa"/>
          </w:tcPr>
          <w:p w:rsidR="00000000" w:rsidRDefault="00000000">
            <w:pPr>
              <w:spacing w:before="60" w:after="60"/>
              <w:ind w:right="170"/>
              <w:jc w:val="right"/>
              <w:rPr>
                <w:sz w:val="18"/>
              </w:rPr>
            </w:pPr>
            <w:r>
              <w:rPr>
                <w:sz w:val="18"/>
              </w:rPr>
              <w:t>7 092</w:t>
            </w:r>
          </w:p>
        </w:tc>
        <w:tc>
          <w:tcPr>
            <w:tcW w:w="944" w:type="dxa"/>
          </w:tcPr>
          <w:p w:rsidR="00000000" w:rsidRDefault="00000000">
            <w:pPr>
              <w:spacing w:before="60" w:after="60"/>
              <w:ind w:right="170"/>
              <w:jc w:val="right"/>
              <w:rPr>
                <w:sz w:val="18"/>
              </w:rPr>
            </w:pPr>
            <w:r>
              <w:rPr>
                <w:sz w:val="18"/>
              </w:rPr>
              <w:t>14 001</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Légumes</w:t>
            </w:r>
          </w:p>
        </w:tc>
        <w:tc>
          <w:tcPr>
            <w:tcW w:w="943" w:type="dxa"/>
          </w:tcPr>
          <w:p w:rsidR="00000000" w:rsidRDefault="00000000">
            <w:pPr>
              <w:spacing w:before="60" w:after="60"/>
              <w:ind w:right="170"/>
              <w:jc w:val="right"/>
              <w:rPr>
                <w:sz w:val="18"/>
              </w:rPr>
            </w:pPr>
            <w:r>
              <w:rPr>
                <w:sz w:val="18"/>
              </w:rPr>
              <w:t>6 036</w:t>
            </w:r>
          </w:p>
        </w:tc>
        <w:tc>
          <w:tcPr>
            <w:tcW w:w="944" w:type="dxa"/>
          </w:tcPr>
          <w:p w:rsidR="00000000" w:rsidRDefault="00000000">
            <w:pPr>
              <w:spacing w:before="60" w:after="60"/>
              <w:ind w:right="170"/>
              <w:jc w:val="right"/>
              <w:rPr>
                <w:sz w:val="18"/>
              </w:rPr>
            </w:pPr>
            <w:r>
              <w:rPr>
                <w:sz w:val="18"/>
              </w:rPr>
              <w:t>177</w:t>
            </w:r>
          </w:p>
        </w:tc>
        <w:tc>
          <w:tcPr>
            <w:tcW w:w="943" w:type="dxa"/>
          </w:tcPr>
          <w:p w:rsidR="00000000" w:rsidRDefault="00000000">
            <w:pPr>
              <w:spacing w:before="60" w:after="60"/>
              <w:ind w:right="170"/>
              <w:jc w:val="right"/>
              <w:rPr>
                <w:sz w:val="18"/>
              </w:rPr>
            </w:pPr>
            <w:r>
              <w:rPr>
                <w:sz w:val="18"/>
              </w:rPr>
              <w:t>7 836</w:t>
            </w:r>
          </w:p>
        </w:tc>
        <w:tc>
          <w:tcPr>
            <w:tcW w:w="944" w:type="dxa"/>
          </w:tcPr>
          <w:p w:rsidR="00000000" w:rsidRDefault="00000000">
            <w:pPr>
              <w:spacing w:before="60" w:after="60"/>
              <w:ind w:right="170"/>
              <w:jc w:val="right"/>
              <w:rPr>
                <w:sz w:val="18"/>
              </w:rPr>
            </w:pPr>
            <w:r>
              <w:rPr>
                <w:sz w:val="18"/>
              </w:rPr>
              <w:t>342</w:t>
            </w:r>
          </w:p>
        </w:tc>
        <w:tc>
          <w:tcPr>
            <w:tcW w:w="944" w:type="dxa"/>
          </w:tcPr>
          <w:p w:rsidR="00000000" w:rsidRDefault="00000000">
            <w:pPr>
              <w:spacing w:before="60" w:after="60"/>
              <w:ind w:right="170"/>
              <w:jc w:val="right"/>
              <w:rPr>
                <w:sz w:val="18"/>
              </w:rPr>
            </w:pPr>
            <w:r>
              <w:rPr>
                <w:sz w:val="18"/>
              </w:rPr>
              <w:t>2 212</w:t>
            </w:r>
          </w:p>
        </w:tc>
        <w:tc>
          <w:tcPr>
            <w:tcW w:w="943" w:type="dxa"/>
          </w:tcPr>
          <w:p w:rsidR="00000000" w:rsidRDefault="00000000">
            <w:pPr>
              <w:spacing w:before="60" w:after="60"/>
              <w:ind w:right="170"/>
              <w:jc w:val="right"/>
              <w:rPr>
                <w:sz w:val="18"/>
              </w:rPr>
            </w:pPr>
            <w:r>
              <w:rPr>
                <w:sz w:val="18"/>
              </w:rPr>
              <w:t>624</w:t>
            </w:r>
          </w:p>
        </w:tc>
        <w:tc>
          <w:tcPr>
            <w:tcW w:w="944" w:type="dxa"/>
          </w:tcPr>
          <w:p w:rsidR="00000000" w:rsidRDefault="00000000">
            <w:pPr>
              <w:spacing w:before="60" w:after="60"/>
              <w:ind w:right="170"/>
              <w:jc w:val="right"/>
              <w:rPr>
                <w:sz w:val="18"/>
              </w:rPr>
            </w:pPr>
            <w:r>
              <w:rPr>
                <w:sz w:val="18"/>
              </w:rPr>
              <w:t>2 374</w:t>
            </w:r>
          </w:p>
        </w:tc>
        <w:tc>
          <w:tcPr>
            <w:tcW w:w="944" w:type="dxa"/>
          </w:tcPr>
          <w:p w:rsidR="00000000" w:rsidRDefault="00000000">
            <w:pPr>
              <w:spacing w:before="60" w:after="60"/>
              <w:ind w:right="170"/>
              <w:jc w:val="right"/>
              <w:rPr>
                <w:sz w:val="18"/>
              </w:rPr>
            </w:pPr>
            <w:r>
              <w:rPr>
                <w:sz w:val="18"/>
              </w:rPr>
              <w:t>697</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Pommes de terre</w:t>
            </w:r>
          </w:p>
        </w:tc>
        <w:tc>
          <w:tcPr>
            <w:tcW w:w="943" w:type="dxa"/>
          </w:tcPr>
          <w:p w:rsidR="00000000" w:rsidRDefault="00000000">
            <w:pPr>
              <w:tabs>
                <w:tab w:val="decimal" w:pos="290"/>
              </w:tabs>
              <w:spacing w:before="60" w:after="60"/>
              <w:ind w:right="170"/>
              <w:jc w:val="right"/>
              <w:rPr>
                <w:sz w:val="18"/>
              </w:rPr>
            </w:pPr>
            <w:r>
              <w:rPr>
                <w:sz w:val="18"/>
              </w:rPr>
              <w:t>21 612</w:t>
            </w:r>
          </w:p>
        </w:tc>
        <w:tc>
          <w:tcPr>
            <w:tcW w:w="944" w:type="dxa"/>
          </w:tcPr>
          <w:p w:rsidR="00000000" w:rsidRDefault="00000000">
            <w:pPr>
              <w:tabs>
                <w:tab w:val="decimal" w:pos="290"/>
              </w:tabs>
              <w:spacing w:before="60" w:after="60"/>
              <w:ind w:right="170"/>
              <w:jc w:val="right"/>
              <w:rPr>
                <w:sz w:val="18"/>
              </w:rPr>
            </w:pPr>
            <w:r>
              <w:rPr>
                <w:sz w:val="18"/>
              </w:rPr>
              <w:t>532</w:t>
            </w:r>
          </w:p>
        </w:tc>
        <w:tc>
          <w:tcPr>
            <w:tcW w:w="943" w:type="dxa"/>
          </w:tcPr>
          <w:p w:rsidR="00000000" w:rsidRDefault="00000000">
            <w:pPr>
              <w:spacing w:before="60" w:after="60"/>
              <w:ind w:right="170"/>
              <w:jc w:val="right"/>
              <w:rPr>
                <w:sz w:val="18"/>
              </w:rPr>
            </w:pPr>
            <w:r>
              <w:rPr>
                <w:sz w:val="18"/>
              </w:rPr>
              <w:t>12 579</w:t>
            </w:r>
          </w:p>
        </w:tc>
        <w:tc>
          <w:tcPr>
            <w:tcW w:w="944" w:type="dxa"/>
          </w:tcPr>
          <w:p w:rsidR="00000000" w:rsidRDefault="00000000">
            <w:pPr>
              <w:tabs>
                <w:tab w:val="decimal" w:pos="290"/>
              </w:tabs>
              <w:spacing w:before="60" w:after="60"/>
              <w:ind w:right="170"/>
              <w:jc w:val="right"/>
              <w:rPr>
                <w:sz w:val="18"/>
              </w:rPr>
            </w:pPr>
            <w:r>
              <w:rPr>
                <w:sz w:val="18"/>
              </w:rPr>
              <w:t>141</w:t>
            </w:r>
          </w:p>
        </w:tc>
        <w:tc>
          <w:tcPr>
            <w:tcW w:w="944" w:type="dxa"/>
          </w:tcPr>
          <w:p w:rsidR="00000000" w:rsidRDefault="00000000">
            <w:pPr>
              <w:spacing w:before="60" w:after="60"/>
              <w:ind w:right="170"/>
              <w:jc w:val="right"/>
              <w:rPr>
                <w:sz w:val="18"/>
              </w:rPr>
            </w:pPr>
            <w:r>
              <w:rPr>
                <w:sz w:val="18"/>
              </w:rPr>
              <w:t>9 065</w:t>
            </w:r>
          </w:p>
        </w:tc>
        <w:tc>
          <w:tcPr>
            <w:tcW w:w="943" w:type="dxa"/>
          </w:tcPr>
          <w:p w:rsidR="00000000" w:rsidRDefault="00000000">
            <w:pPr>
              <w:spacing w:before="60" w:after="60"/>
              <w:ind w:right="170"/>
              <w:jc w:val="right"/>
              <w:rPr>
                <w:sz w:val="18"/>
              </w:rPr>
            </w:pPr>
            <w:r>
              <w:rPr>
                <w:sz w:val="18"/>
              </w:rPr>
              <w:t>361,6</w:t>
            </w:r>
          </w:p>
        </w:tc>
        <w:tc>
          <w:tcPr>
            <w:tcW w:w="944" w:type="dxa"/>
          </w:tcPr>
          <w:p w:rsidR="00000000" w:rsidRDefault="00000000">
            <w:pPr>
              <w:spacing w:before="60" w:after="60"/>
              <w:ind w:right="170"/>
              <w:jc w:val="right"/>
              <w:rPr>
                <w:sz w:val="18"/>
              </w:rPr>
            </w:pPr>
            <w:r>
              <w:rPr>
                <w:sz w:val="18"/>
              </w:rPr>
              <w:t>4 807</w:t>
            </w:r>
          </w:p>
        </w:tc>
        <w:tc>
          <w:tcPr>
            <w:tcW w:w="944" w:type="dxa"/>
          </w:tcPr>
          <w:p w:rsidR="00000000" w:rsidRDefault="00000000">
            <w:pPr>
              <w:spacing w:before="60" w:after="60"/>
              <w:ind w:right="170"/>
              <w:jc w:val="right"/>
              <w:rPr>
                <w:sz w:val="18"/>
              </w:rPr>
            </w:pPr>
            <w:r>
              <w:rPr>
                <w:sz w:val="18"/>
              </w:rPr>
              <w:t>99</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Conserves de fruits et de légumes</w:t>
            </w:r>
          </w:p>
        </w:tc>
        <w:tc>
          <w:tcPr>
            <w:tcW w:w="943" w:type="dxa"/>
          </w:tcPr>
          <w:p w:rsidR="00000000" w:rsidRDefault="00000000">
            <w:pPr>
              <w:spacing w:before="60" w:after="60"/>
              <w:ind w:right="170"/>
              <w:jc w:val="right"/>
              <w:rPr>
                <w:sz w:val="18"/>
              </w:rPr>
            </w:pPr>
            <w:r>
              <w:rPr>
                <w:sz w:val="18"/>
              </w:rPr>
              <w:t>5 348</w:t>
            </w:r>
          </w:p>
        </w:tc>
        <w:tc>
          <w:tcPr>
            <w:tcW w:w="944" w:type="dxa"/>
          </w:tcPr>
          <w:p w:rsidR="00000000" w:rsidRDefault="00000000">
            <w:pPr>
              <w:spacing w:before="60" w:after="60"/>
              <w:ind w:right="170"/>
              <w:jc w:val="right"/>
              <w:rPr>
                <w:sz w:val="18"/>
              </w:rPr>
            </w:pPr>
            <w:r>
              <w:rPr>
                <w:sz w:val="18"/>
              </w:rPr>
              <w:t>3 030</w:t>
            </w:r>
          </w:p>
        </w:tc>
        <w:tc>
          <w:tcPr>
            <w:tcW w:w="943" w:type="dxa"/>
          </w:tcPr>
          <w:p w:rsidR="00000000" w:rsidRDefault="00000000">
            <w:pPr>
              <w:spacing w:before="60" w:after="60"/>
              <w:ind w:right="170"/>
              <w:jc w:val="right"/>
              <w:rPr>
                <w:sz w:val="18"/>
              </w:rPr>
            </w:pPr>
            <w:r>
              <w:rPr>
                <w:sz w:val="18"/>
              </w:rPr>
              <w:t>2 381</w:t>
            </w:r>
          </w:p>
        </w:tc>
        <w:tc>
          <w:tcPr>
            <w:tcW w:w="944" w:type="dxa"/>
          </w:tcPr>
          <w:p w:rsidR="00000000" w:rsidRDefault="00000000">
            <w:pPr>
              <w:spacing w:before="60" w:after="60"/>
              <w:ind w:right="170"/>
              <w:jc w:val="right"/>
              <w:rPr>
                <w:sz w:val="18"/>
              </w:rPr>
            </w:pPr>
            <w:r>
              <w:rPr>
                <w:sz w:val="18"/>
              </w:rPr>
              <w:t>4 284</w:t>
            </w:r>
          </w:p>
        </w:tc>
        <w:tc>
          <w:tcPr>
            <w:tcW w:w="944" w:type="dxa"/>
          </w:tcPr>
          <w:p w:rsidR="00000000" w:rsidRDefault="00000000">
            <w:pPr>
              <w:spacing w:before="60" w:after="60"/>
              <w:ind w:right="170"/>
              <w:jc w:val="right"/>
              <w:rPr>
                <w:sz w:val="18"/>
              </w:rPr>
            </w:pPr>
            <w:r>
              <w:rPr>
                <w:sz w:val="18"/>
              </w:rPr>
              <w:t>2 038</w:t>
            </w:r>
          </w:p>
        </w:tc>
        <w:tc>
          <w:tcPr>
            <w:tcW w:w="943" w:type="dxa"/>
          </w:tcPr>
          <w:p w:rsidR="00000000" w:rsidRDefault="00000000">
            <w:pPr>
              <w:spacing w:before="60" w:after="60"/>
              <w:ind w:right="170"/>
              <w:jc w:val="right"/>
              <w:rPr>
                <w:sz w:val="18"/>
              </w:rPr>
            </w:pPr>
            <w:r>
              <w:rPr>
                <w:sz w:val="18"/>
              </w:rPr>
              <w:t>4 082</w:t>
            </w:r>
          </w:p>
        </w:tc>
        <w:tc>
          <w:tcPr>
            <w:tcW w:w="944" w:type="dxa"/>
          </w:tcPr>
          <w:p w:rsidR="00000000" w:rsidRDefault="00000000">
            <w:pPr>
              <w:spacing w:before="60" w:after="60"/>
              <w:ind w:right="170"/>
              <w:jc w:val="right"/>
              <w:rPr>
                <w:sz w:val="18"/>
              </w:rPr>
            </w:pPr>
            <w:r>
              <w:rPr>
                <w:sz w:val="18"/>
              </w:rPr>
              <w:t>2 647</w:t>
            </w:r>
          </w:p>
        </w:tc>
        <w:tc>
          <w:tcPr>
            <w:tcW w:w="944" w:type="dxa"/>
          </w:tcPr>
          <w:p w:rsidR="00000000" w:rsidRDefault="00000000">
            <w:pPr>
              <w:spacing w:before="60" w:after="60"/>
              <w:ind w:right="170"/>
              <w:jc w:val="right"/>
              <w:rPr>
                <w:sz w:val="18"/>
              </w:rPr>
            </w:pPr>
            <w:r>
              <w:rPr>
                <w:sz w:val="18"/>
              </w:rPr>
              <w:t>2 653</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Confiserie</w:t>
            </w:r>
          </w:p>
        </w:tc>
        <w:tc>
          <w:tcPr>
            <w:tcW w:w="943" w:type="dxa"/>
          </w:tcPr>
          <w:p w:rsidR="00000000" w:rsidRDefault="00000000">
            <w:pPr>
              <w:spacing w:before="60" w:after="60"/>
              <w:ind w:right="170"/>
              <w:jc w:val="right"/>
              <w:rPr>
                <w:sz w:val="18"/>
              </w:rPr>
            </w:pPr>
            <w:r>
              <w:rPr>
                <w:sz w:val="18"/>
              </w:rPr>
              <w:t>9 361</w:t>
            </w:r>
          </w:p>
        </w:tc>
        <w:tc>
          <w:tcPr>
            <w:tcW w:w="944" w:type="dxa"/>
          </w:tcPr>
          <w:p w:rsidR="00000000" w:rsidRDefault="00000000">
            <w:pPr>
              <w:spacing w:before="60" w:after="60"/>
              <w:ind w:right="170"/>
              <w:jc w:val="right"/>
              <w:rPr>
                <w:sz w:val="18"/>
              </w:rPr>
            </w:pPr>
            <w:r>
              <w:rPr>
                <w:sz w:val="18"/>
              </w:rPr>
              <w:t>129</w:t>
            </w:r>
          </w:p>
        </w:tc>
        <w:tc>
          <w:tcPr>
            <w:tcW w:w="943" w:type="dxa"/>
          </w:tcPr>
          <w:p w:rsidR="00000000" w:rsidRDefault="00000000">
            <w:pPr>
              <w:spacing w:before="60" w:after="60"/>
              <w:ind w:right="170"/>
              <w:jc w:val="right"/>
              <w:rPr>
                <w:sz w:val="18"/>
              </w:rPr>
            </w:pPr>
            <w:r>
              <w:rPr>
                <w:sz w:val="18"/>
              </w:rPr>
              <w:t>10 549</w:t>
            </w:r>
          </w:p>
        </w:tc>
        <w:tc>
          <w:tcPr>
            <w:tcW w:w="944" w:type="dxa"/>
          </w:tcPr>
          <w:p w:rsidR="00000000" w:rsidRDefault="00000000">
            <w:pPr>
              <w:spacing w:before="60" w:after="60"/>
              <w:ind w:right="170"/>
              <w:jc w:val="right"/>
              <w:rPr>
                <w:sz w:val="18"/>
              </w:rPr>
            </w:pPr>
            <w:r>
              <w:rPr>
                <w:sz w:val="18"/>
              </w:rPr>
              <w:t>4 780</w:t>
            </w:r>
          </w:p>
        </w:tc>
        <w:tc>
          <w:tcPr>
            <w:tcW w:w="944" w:type="dxa"/>
          </w:tcPr>
          <w:p w:rsidR="00000000" w:rsidRDefault="00000000">
            <w:pPr>
              <w:spacing w:before="60" w:after="60"/>
              <w:ind w:right="170"/>
              <w:jc w:val="right"/>
              <w:rPr>
                <w:sz w:val="18"/>
              </w:rPr>
            </w:pPr>
            <w:r>
              <w:rPr>
                <w:sz w:val="18"/>
              </w:rPr>
              <w:t>1 097</w:t>
            </w:r>
          </w:p>
        </w:tc>
        <w:tc>
          <w:tcPr>
            <w:tcW w:w="943" w:type="dxa"/>
          </w:tcPr>
          <w:p w:rsidR="00000000" w:rsidRDefault="00000000">
            <w:pPr>
              <w:spacing w:before="60" w:after="60"/>
              <w:ind w:right="170"/>
              <w:jc w:val="right"/>
              <w:rPr>
                <w:sz w:val="18"/>
              </w:rPr>
            </w:pPr>
            <w:r>
              <w:rPr>
                <w:sz w:val="18"/>
              </w:rPr>
              <w:t>15</w:t>
            </w:r>
          </w:p>
        </w:tc>
        <w:tc>
          <w:tcPr>
            <w:tcW w:w="944" w:type="dxa"/>
          </w:tcPr>
          <w:p w:rsidR="00000000" w:rsidRDefault="00000000">
            <w:pPr>
              <w:spacing w:before="60" w:after="60"/>
              <w:ind w:right="170"/>
              <w:jc w:val="right"/>
              <w:rPr>
                <w:sz w:val="18"/>
              </w:rPr>
            </w:pPr>
            <w:r>
              <w:rPr>
                <w:sz w:val="18"/>
              </w:rPr>
              <w:t>2 604</w:t>
            </w:r>
          </w:p>
        </w:tc>
        <w:tc>
          <w:tcPr>
            <w:tcW w:w="944" w:type="dxa"/>
          </w:tcPr>
          <w:p w:rsidR="00000000" w:rsidRDefault="00000000">
            <w:pPr>
              <w:spacing w:before="60" w:after="60"/>
              <w:ind w:right="170"/>
              <w:jc w:val="right"/>
              <w:rPr>
                <w:sz w:val="18"/>
              </w:rPr>
            </w:pPr>
            <w:r>
              <w:rPr>
                <w:sz w:val="18"/>
              </w:rPr>
              <w:t>28</w:t>
            </w:r>
          </w:p>
        </w:tc>
      </w:tr>
      <w:tr w:rsidR="00000000">
        <w:tblPrEx>
          <w:tblCellMar>
            <w:top w:w="0" w:type="dxa"/>
            <w:bottom w:w="0" w:type="dxa"/>
          </w:tblCellMar>
        </w:tblPrEx>
        <w:tc>
          <w:tcPr>
            <w:tcW w:w="1811" w:type="dxa"/>
          </w:tcPr>
          <w:p w:rsidR="00000000" w:rsidRDefault="00000000">
            <w:pPr>
              <w:spacing w:before="60" w:after="60"/>
              <w:ind w:right="170"/>
              <w:rPr>
                <w:sz w:val="18"/>
              </w:rPr>
            </w:pPr>
            <w:r>
              <w:rPr>
                <w:sz w:val="18"/>
              </w:rPr>
              <w:t>Thé</w:t>
            </w:r>
          </w:p>
        </w:tc>
        <w:tc>
          <w:tcPr>
            <w:tcW w:w="943" w:type="dxa"/>
          </w:tcPr>
          <w:p w:rsidR="00000000" w:rsidRDefault="00000000">
            <w:pPr>
              <w:spacing w:before="60" w:after="60"/>
              <w:ind w:right="170"/>
              <w:jc w:val="right"/>
              <w:rPr>
                <w:sz w:val="18"/>
              </w:rPr>
            </w:pPr>
            <w:r>
              <w:rPr>
                <w:sz w:val="18"/>
              </w:rPr>
              <w:t>400</w:t>
            </w:r>
          </w:p>
        </w:tc>
        <w:tc>
          <w:tcPr>
            <w:tcW w:w="944" w:type="dxa"/>
          </w:tcPr>
          <w:p w:rsidR="00000000" w:rsidRDefault="00000000">
            <w:pPr>
              <w:spacing w:before="60" w:after="60"/>
              <w:ind w:right="170"/>
              <w:jc w:val="right"/>
              <w:rPr>
                <w:sz w:val="18"/>
              </w:rPr>
            </w:pPr>
            <w:r>
              <w:rPr>
                <w:sz w:val="18"/>
              </w:rPr>
              <w:t>15 007</w:t>
            </w:r>
          </w:p>
        </w:tc>
        <w:tc>
          <w:tcPr>
            <w:tcW w:w="943" w:type="dxa"/>
          </w:tcPr>
          <w:p w:rsidR="00000000" w:rsidRDefault="00000000">
            <w:pPr>
              <w:spacing w:before="60" w:after="60"/>
              <w:ind w:right="170"/>
              <w:jc w:val="right"/>
              <w:rPr>
                <w:sz w:val="18"/>
              </w:rPr>
            </w:pPr>
            <w:r>
              <w:rPr>
                <w:sz w:val="18"/>
              </w:rPr>
              <w:t>4 010</w:t>
            </w:r>
          </w:p>
        </w:tc>
        <w:tc>
          <w:tcPr>
            <w:tcW w:w="944" w:type="dxa"/>
          </w:tcPr>
          <w:p w:rsidR="00000000" w:rsidRDefault="00000000">
            <w:pPr>
              <w:spacing w:before="60" w:after="60"/>
              <w:ind w:right="170"/>
              <w:jc w:val="right"/>
              <w:rPr>
                <w:sz w:val="18"/>
              </w:rPr>
            </w:pPr>
            <w:r>
              <w:rPr>
                <w:sz w:val="18"/>
              </w:rPr>
              <w:t>10 060</w:t>
            </w:r>
          </w:p>
        </w:tc>
        <w:tc>
          <w:tcPr>
            <w:tcW w:w="944" w:type="dxa"/>
          </w:tcPr>
          <w:p w:rsidR="00000000" w:rsidRDefault="00000000">
            <w:pPr>
              <w:spacing w:before="60" w:after="60"/>
              <w:ind w:right="170"/>
              <w:jc w:val="right"/>
              <w:rPr>
                <w:sz w:val="18"/>
              </w:rPr>
            </w:pPr>
            <w:r>
              <w:rPr>
                <w:sz w:val="18"/>
              </w:rPr>
              <w:t>2 917</w:t>
            </w:r>
          </w:p>
        </w:tc>
        <w:tc>
          <w:tcPr>
            <w:tcW w:w="943" w:type="dxa"/>
          </w:tcPr>
          <w:p w:rsidR="00000000" w:rsidRDefault="00000000">
            <w:pPr>
              <w:spacing w:before="60" w:after="60"/>
              <w:ind w:right="170"/>
              <w:jc w:val="right"/>
              <w:rPr>
                <w:sz w:val="18"/>
              </w:rPr>
            </w:pPr>
            <w:r>
              <w:rPr>
                <w:sz w:val="18"/>
              </w:rPr>
              <w:t>14 322</w:t>
            </w:r>
          </w:p>
        </w:tc>
        <w:tc>
          <w:tcPr>
            <w:tcW w:w="944" w:type="dxa"/>
          </w:tcPr>
          <w:p w:rsidR="00000000" w:rsidRDefault="00000000">
            <w:pPr>
              <w:spacing w:before="60" w:after="60"/>
              <w:ind w:right="170"/>
              <w:jc w:val="right"/>
              <w:rPr>
                <w:sz w:val="18"/>
              </w:rPr>
            </w:pPr>
            <w:r>
              <w:rPr>
                <w:sz w:val="18"/>
              </w:rPr>
              <w:t>661</w:t>
            </w:r>
          </w:p>
        </w:tc>
        <w:tc>
          <w:tcPr>
            <w:tcW w:w="944" w:type="dxa"/>
          </w:tcPr>
          <w:p w:rsidR="00000000" w:rsidRDefault="00000000">
            <w:pPr>
              <w:spacing w:before="60" w:after="60"/>
              <w:ind w:right="170"/>
              <w:jc w:val="right"/>
              <w:rPr>
                <w:sz w:val="18"/>
              </w:rPr>
            </w:pPr>
            <w:r>
              <w:rPr>
                <w:sz w:val="18"/>
              </w:rPr>
              <w:t>9 023</w:t>
            </w:r>
          </w:p>
        </w:tc>
      </w:tr>
    </w:tbl>
    <w:p w:rsidR="00000000" w:rsidRDefault="00000000"/>
    <w:p w:rsidR="00000000" w:rsidRDefault="00000000">
      <w:pPr>
        <w:keepNext/>
        <w:spacing w:after="240"/>
      </w:pPr>
      <w:r>
        <w:br w:type="page"/>
        <w:t>153.</w:t>
      </w:r>
      <w:r>
        <w:tab/>
        <w:t>En valeur monétaire, les exportations et importations de denrées alimentaires pendant la période considérée s’établissent comme suit (en millions de dollars des États</w:t>
      </w:r>
      <w:r>
        <w:noBreakHyphen/>
        <w:t>Unis):</w:t>
      </w:r>
    </w:p>
    <w:p w:rsidR="00000000" w:rsidRDefault="00000000">
      <w:pPr>
        <w:numPr>
          <w:ilvl w:val="0"/>
          <w:numId w:val="83"/>
        </w:numPr>
        <w:spacing w:after="240"/>
      </w:pPr>
      <w:r>
        <w:t>1997: exportations – 79,4; importations – 326,8; déficit commercial: 247,4;</w:t>
      </w:r>
    </w:p>
    <w:p w:rsidR="00000000" w:rsidRDefault="00000000">
      <w:pPr>
        <w:numPr>
          <w:ilvl w:val="0"/>
          <w:numId w:val="83"/>
        </w:numPr>
        <w:spacing w:after="240"/>
      </w:pPr>
      <w:r>
        <w:t>1998: exportations – 69,8; importations – 168,5; déficit commercial: 98,7;</w:t>
      </w:r>
    </w:p>
    <w:p w:rsidR="00000000" w:rsidRDefault="00000000">
      <w:pPr>
        <w:numPr>
          <w:ilvl w:val="0"/>
          <w:numId w:val="83"/>
        </w:numPr>
        <w:spacing w:after="240"/>
      </w:pPr>
      <w:r>
        <w:t>1999: exportations – 66,2; importations – 138; déficit commercial: 71,8;</w:t>
      </w:r>
    </w:p>
    <w:p w:rsidR="00000000" w:rsidRDefault="00000000">
      <w:pPr>
        <w:numPr>
          <w:ilvl w:val="0"/>
          <w:numId w:val="83"/>
        </w:numPr>
        <w:spacing w:after="240"/>
      </w:pPr>
      <w:r>
        <w:t>2000: exportations – 94,8: importations – 163,2: déficit commercial: 68,4.</w:t>
      </w:r>
    </w:p>
    <w:p w:rsidR="00000000" w:rsidRDefault="00000000">
      <w:pPr>
        <w:spacing w:after="240"/>
      </w:pPr>
      <w:r>
        <w:t>154.</w:t>
      </w:r>
      <w:r>
        <w:tab/>
        <w:t xml:space="preserve">Il faut rechercher les raisons de cette situation, d’une part, dans le fait que le potentiel traditionnel d’exportation du pays n’est pas exploité et, d’autre part, dans la stagnation chronique de l’activité économique. </w:t>
      </w:r>
    </w:p>
    <w:p w:rsidR="00000000" w:rsidRDefault="00000000">
      <w:pPr>
        <w:keepNext/>
        <w:spacing w:after="240"/>
        <w:ind w:firstLine="567"/>
        <w:rPr>
          <w:u w:val="single"/>
        </w:rPr>
      </w:pPr>
      <w:r>
        <w:rPr>
          <w:u w:val="single"/>
        </w:rPr>
        <w:t>La satisfaction des besoins de la population en denrées alimentaires</w:t>
      </w:r>
    </w:p>
    <w:p w:rsidR="00000000" w:rsidRDefault="00000000">
      <w:pPr>
        <w:spacing w:after="240"/>
      </w:pPr>
      <w:r>
        <w:t>155.</w:t>
      </w:r>
      <w:r>
        <w:tab/>
        <w:t>Comme on peut l’inférer des statistiques données plus haut dans le cadre de la présente section, la satisfaction des besoins de la population en légumes, fruits, thé et pommes de terre est assurée pour l’essentiel par la production locale. La situation est bien pire en ce qui concerne la production de beurre, de fromage et d’huile. En ce qui concerne les besoins en produits à base de viande, lait et produits laitiers, confiserie, ils sont presque entièrement satisfaits par les importations.</w:t>
      </w:r>
    </w:p>
    <w:p w:rsidR="00000000" w:rsidRDefault="00000000">
      <w:pPr>
        <w:keepNext/>
        <w:spacing w:after="240"/>
      </w:pPr>
      <w:r>
        <w:t>156.</w:t>
      </w:r>
      <w:r>
        <w:tab/>
        <w:t>Pour l’analyse de cette question, il semble utile de présenter des statistiques sur la consommation des principaux produits alimentaires par habitant dans la période 1997</w:t>
      </w:r>
      <w:r>
        <w:noBreakHyphen/>
        <w:t>1999. Aux fins de comparaison, on présente également sous forme de tableau les données de 1985 et les projections pour 2005 (en kilogrammes).</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2"/>
        <w:gridCol w:w="4057"/>
        <w:gridCol w:w="1014"/>
        <w:gridCol w:w="1014"/>
        <w:gridCol w:w="1014"/>
        <w:gridCol w:w="949"/>
        <w:gridCol w:w="1080"/>
      </w:tblGrid>
      <w:tr w:rsidR="00000000">
        <w:tblPrEx>
          <w:tblCellMar>
            <w:top w:w="0" w:type="dxa"/>
            <w:bottom w:w="0" w:type="dxa"/>
          </w:tblCellMar>
        </w:tblPrEx>
        <w:trPr>
          <w:cantSplit/>
          <w:trHeight w:val="557"/>
        </w:trPr>
        <w:tc>
          <w:tcPr>
            <w:tcW w:w="422" w:type="dxa"/>
            <w:vMerge w:val="restart"/>
            <w:vAlign w:val="center"/>
          </w:tcPr>
          <w:p w:rsidR="00000000" w:rsidRDefault="00000000">
            <w:pPr>
              <w:spacing w:before="60" w:after="60"/>
              <w:jc w:val="center"/>
              <w:rPr>
                <w:sz w:val="22"/>
              </w:rPr>
            </w:pPr>
            <w:r>
              <w:rPr>
                <w:sz w:val="22"/>
              </w:rPr>
              <w:t>N</w:t>
            </w:r>
            <w:r>
              <w:rPr>
                <w:sz w:val="22"/>
                <w:vertAlign w:val="superscript"/>
              </w:rPr>
              <w:t>o</w:t>
            </w:r>
          </w:p>
        </w:tc>
        <w:tc>
          <w:tcPr>
            <w:tcW w:w="4057" w:type="dxa"/>
            <w:vMerge w:val="restart"/>
            <w:vAlign w:val="center"/>
          </w:tcPr>
          <w:p w:rsidR="00000000" w:rsidRDefault="00000000">
            <w:pPr>
              <w:spacing w:before="60" w:after="60"/>
              <w:jc w:val="center"/>
              <w:rPr>
                <w:sz w:val="22"/>
              </w:rPr>
            </w:pPr>
            <w:r>
              <w:rPr>
                <w:sz w:val="22"/>
              </w:rPr>
              <w:t>Type de produit alimentaire</w:t>
            </w:r>
          </w:p>
        </w:tc>
        <w:tc>
          <w:tcPr>
            <w:tcW w:w="1014" w:type="dxa"/>
            <w:vAlign w:val="center"/>
          </w:tcPr>
          <w:p w:rsidR="00000000" w:rsidRDefault="00000000">
            <w:pPr>
              <w:spacing w:before="60" w:after="60"/>
              <w:jc w:val="center"/>
              <w:rPr>
                <w:sz w:val="22"/>
              </w:rPr>
            </w:pPr>
            <w:r>
              <w:rPr>
                <w:sz w:val="22"/>
              </w:rPr>
              <w:t>1985</w:t>
            </w:r>
          </w:p>
        </w:tc>
        <w:tc>
          <w:tcPr>
            <w:tcW w:w="1014" w:type="dxa"/>
            <w:vAlign w:val="center"/>
          </w:tcPr>
          <w:p w:rsidR="00000000" w:rsidRDefault="00000000">
            <w:pPr>
              <w:spacing w:before="60" w:after="60"/>
              <w:jc w:val="center"/>
              <w:rPr>
                <w:sz w:val="22"/>
              </w:rPr>
            </w:pPr>
            <w:r>
              <w:rPr>
                <w:sz w:val="22"/>
              </w:rPr>
              <w:t>1997</w:t>
            </w:r>
          </w:p>
        </w:tc>
        <w:tc>
          <w:tcPr>
            <w:tcW w:w="1014" w:type="dxa"/>
            <w:vAlign w:val="center"/>
          </w:tcPr>
          <w:p w:rsidR="00000000" w:rsidRDefault="00000000">
            <w:pPr>
              <w:spacing w:before="60" w:after="60"/>
              <w:jc w:val="center"/>
              <w:rPr>
                <w:sz w:val="22"/>
              </w:rPr>
            </w:pPr>
            <w:r>
              <w:rPr>
                <w:sz w:val="22"/>
              </w:rPr>
              <w:t>1998</w:t>
            </w:r>
          </w:p>
        </w:tc>
        <w:tc>
          <w:tcPr>
            <w:tcW w:w="949" w:type="dxa"/>
            <w:vAlign w:val="center"/>
          </w:tcPr>
          <w:p w:rsidR="00000000" w:rsidRDefault="00000000">
            <w:pPr>
              <w:spacing w:before="60" w:after="60"/>
              <w:jc w:val="center"/>
              <w:rPr>
                <w:sz w:val="22"/>
              </w:rPr>
            </w:pPr>
            <w:r>
              <w:rPr>
                <w:sz w:val="22"/>
              </w:rPr>
              <w:t>1999</w:t>
            </w:r>
          </w:p>
        </w:tc>
        <w:tc>
          <w:tcPr>
            <w:tcW w:w="1080" w:type="dxa"/>
            <w:vAlign w:val="center"/>
          </w:tcPr>
          <w:p w:rsidR="00000000" w:rsidRDefault="00000000">
            <w:pPr>
              <w:spacing w:before="60" w:after="60"/>
              <w:jc w:val="center"/>
              <w:rPr>
                <w:sz w:val="22"/>
              </w:rPr>
            </w:pPr>
            <w:r>
              <w:rPr>
                <w:sz w:val="22"/>
              </w:rPr>
              <w:t>2005</w:t>
            </w:r>
          </w:p>
        </w:tc>
      </w:tr>
      <w:tr w:rsidR="00000000">
        <w:tblPrEx>
          <w:tblCellMar>
            <w:top w:w="0" w:type="dxa"/>
            <w:bottom w:w="0" w:type="dxa"/>
          </w:tblCellMar>
        </w:tblPrEx>
        <w:trPr>
          <w:cantSplit/>
          <w:trHeight w:val="471"/>
        </w:trPr>
        <w:tc>
          <w:tcPr>
            <w:tcW w:w="422" w:type="dxa"/>
            <w:vMerge/>
          </w:tcPr>
          <w:p w:rsidR="00000000" w:rsidRDefault="00000000">
            <w:pPr>
              <w:spacing w:before="60" w:after="60"/>
              <w:rPr>
                <w:sz w:val="22"/>
              </w:rPr>
            </w:pPr>
          </w:p>
        </w:tc>
        <w:tc>
          <w:tcPr>
            <w:tcW w:w="4057" w:type="dxa"/>
            <w:vMerge/>
          </w:tcPr>
          <w:p w:rsidR="00000000" w:rsidRDefault="00000000">
            <w:pPr>
              <w:spacing w:before="60" w:after="60"/>
              <w:rPr>
                <w:sz w:val="22"/>
              </w:rPr>
            </w:pPr>
          </w:p>
        </w:tc>
        <w:tc>
          <w:tcPr>
            <w:tcW w:w="3991" w:type="dxa"/>
            <w:gridSpan w:val="4"/>
            <w:vAlign w:val="center"/>
          </w:tcPr>
          <w:p w:rsidR="00000000" w:rsidRDefault="00000000">
            <w:pPr>
              <w:spacing w:before="60" w:after="60"/>
              <w:jc w:val="center"/>
              <w:rPr>
                <w:sz w:val="22"/>
              </w:rPr>
            </w:pPr>
            <w:r>
              <w:rPr>
                <w:sz w:val="22"/>
              </w:rPr>
              <w:t>Chiffres effectifs</w:t>
            </w:r>
          </w:p>
        </w:tc>
        <w:tc>
          <w:tcPr>
            <w:tcW w:w="1080" w:type="dxa"/>
            <w:vAlign w:val="center"/>
          </w:tcPr>
          <w:p w:rsidR="00000000" w:rsidRDefault="00000000">
            <w:pPr>
              <w:spacing w:before="60" w:after="60"/>
              <w:jc w:val="center"/>
              <w:rPr>
                <w:sz w:val="22"/>
              </w:rPr>
            </w:pPr>
            <w:r>
              <w:rPr>
                <w:sz w:val="20"/>
              </w:rPr>
              <w:t>Projections</w:t>
            </w:r>
          </w:p>
        </w:tc>
      </w:tr>
      <w:tr w:rsidR="00000000">
        <w:tblPrEx>
          <w:tblCellMar>
            <w:top w:w="0" w:type="dxa"/>
            <w:bottom w:w="0" w:type="dxa"/>
          </w:tblCellMar>
        </w:tblPrEx>
        <w:tc>
          <w:tcPr>
            <w:tcW w:w="422" w:type="dxa"/>
          </w:tcPr>
          <w:p w:rsidR="00000000" w:rsidRDefault="00000000">
            <w:pPr>
              <w:spacing w:before="60" w:after="60"/>
              <w:rPr>
                <w:sz w:val="22"/>
              </w:rPr>
            </w:pPr>
            <w:r>
              <w:rPr>
                <w:sz w:val="22"/>
              </w:rPr>
              <w:t>1</w:t>
            </w:r>
          </w:p>
        </w:tc>
        <w:tc>
          <w:tcPr>
            <w:tcW w:w="4057" w:type="dxa"/>
          </w:tcPr>
          <w:p w:rsidR="00000000" w:rsidRDefault="00000000">
            <w:pPr>
              <w:spacing w:before="60" w:after="60"/>
              <w:rPr>
                <w:sz w:val="22"/>
              </w:rPr>
            </w:pPr>
            <w:r>
              <w:rPr>
                <w:sz w:val="22"/>
              </w:rPr>
              <w:t>Produits panifiés, au total (revalorisation du poste «farine»)</w:t>
            </w:r>
          </w:p>
        </w:tc>
        <w:tc>
          <w:tcPr>
            <w:tcW w:w="1014" w:type="dxa"/>
          </w:tcPr>
          <w:p w:rsidR="00000000" w:rsidRDefault="00000000">
            <w:pPr>
              <w:tabs>
                <w:tab w:val="decimal" w:pos="561"/>
              </w:tabs>
              <w:spacing w:before="60" w:after="60"/>
              <w:rPr>
                <w:sz w:val="22"/>
              </w:rPr>
            </w:pPr>
            <w:r>
              <w:rPr>
                <w:sz w:val="22"/>
              </w:rPr>
              <w:t>190</w:t>
            </w:r>
          </w:p>
        </w:tc>
        <w:tc>
          <w:tcPr>
            <w:tcW w:w="1014" w:type="dxa"/>
          </w:tcPr>
          <w:p w:rsidR="00000000" w:rsidRDefault="00000000">
            <w:pPr>
              <w:tabs>
                <w:tab w:val="decimal" w:pos="507"/>
              </w:tabs>
              <w:spacing w:before="60" w:after="60"/>
              <w:rPr>
                <w:sz w:val="22"/>
              </w:rPr>
            </w:pPr>
            <w:r>
              <w:rPr>
                <w:sz w:val="22"/>
              </w:rPr>
              <w:t>154,2</w:t>
            </w:r>
          </w:p>
        </w:tc>
        <w:tc>
          <w:tcPr>
            <w:tcW w:w="1014" w:type="dxa"/>
          </w:tcPr>
          <w:p w:rsidR="00000000" w:rsidRDefault="00000000">
            <w:pPr>
              <w:tabs>
                <w:tab w:val="decimal" w:pos="507"/>
              </w:tabs>
              <w:spacing w:before="60" w:after="60"/>
              <w:rPr>
                <w:sz w:val="22"/>
              </w:rPr>
            </w:pPr>
            <w:r>
              <w:rPr>
                <w:sz w:val="22"/>
              </w:rPr>
              <w:t>151,4</w:t>
            </w:r>
          </w:p>
        </w:tc>
        <w:tc>
          <w:tcPr>
            <w:tcW w:w="949" w:type="dxa"/>
          </w:tcPr>
          <w:p w:rsidR="00000000" w:rsidRDefault="00000000">
            <w:pPr>
              <w:tabs>
                <w:tab w:val="decimal" w:pos="507"/>
              </w:tabs>
              <w:spacing w:before="60" w:after="60"/>
              <w:rPr>
                <w:sz w:val="22"/>
              </w:rPr>
            </w:pPr>
            <w:r>
              <w:rPr>
                <w:sz w:val="22"/>
              </w:rPr>
              <w:t>141,1</w:t>
            </w:r>
          </w:p>
        </w:tc>
        <w:tc>
          <w:tcPr>
            <w:tcW w:w="1080" w:type="dxa"/>
          </w:tcPr>
          <w:p w:rsidR="00000000" w:rsidRDefault="00000000">
            <w:pPr>
              <w:tabs>
                <w:tab w:val="decimal" w:pos="507"/>
              </w:tabs>
              <w:spacing w:before="60" w:after="60"/>
              <w:rPr>
                <w:sz w:val="22"/>
              </w:rPr>
            </w:pPr>
            <w:r>
              <w:rPr>
                <w:sz w:val="22"/>
              </w:rPr>
              <w:t>124</w:t>
            </w:r>
          </w:p>
        </w:tc>
      </w:tr>
      <w:tr w:rsidR="00000000">
        <w:tblPrEx>
          <w:tblCellMar>
            <w:top w:w="0" w:type="dxa"/>
            <w:bottom w:w="0" w:type="dxa"/>
          </w:tblCellMar>
        </w:tblPrEx>
        <w:tc>
          <w:tcPr>
            <w:tcW w:w="422" w:type="dxa"/>
          </w:tcPr>
          <w:p w:rsidR="00000000" w:rsidRDefault="00000000">
            <w:pPr>
              <w:spacing w:before="60" w:after="60"/>
              <w:rPr>
                <w:sz w:val="22"/>
              </w:rPr>
            </w:pPr>
            <w:r>
              <w:rPr>
                <w:sz w:val="22"/>
              </w:rPr>
              <w:t>2</w:t>
            </w:r>
          </w:p>
        </w:tc>
        <w:tc>
          <w:tcPr>
            <w:tcW w:w="4057" w:type="dxa"/>
          </w:tcPr>
          <w:p w:rsidR="00000000" w:rsidRDefault="00000000">
            <w:pPr>
              <w:spacing w:before="60" w:after="60"/>
              <w:rPr>
                <w:sz w:val="22"/>
              </w:rPr>
            </w:pPr>
            <w:r>
              <w:rPr>
                <w:sz w:val="22"/>
              </w:rPr>
              <w:t>Légumes et cucurbitacées, au total</w:t>
            </w:r>
          </w:p>
        </w:tc>
        <w:tc>
          <w:tcPr>
            <w:tcW w:w="1014" w:type="dxa"/>
          </w:tcPr>
          <w:p w:rsidR="00000000" w:rsidRDefault="00000000">
            <w:pPr>
              <w:tabs>
                <w:tab w:val="decimal" w:pos="561"/>
              </w:tabs>
              <w:spacing w:before="60" w:after="60"/>
              <w:rPr>
                <w:sz w:val="22"/>
              </w:rPr>
            </w:pPr>
            <w:r>
              <w:rPr>
                <w:sz w:val="22"/>
              </w:rPr>
              <w:t>87</w:t>
            </w:r>
          </w:p>
        </w:tc>
        <w:tc>
          <w:tcPr>
            <w:tcW w:w="1014" w:type="dxa"/>
          </w:tcPr>
          <w:p w:rsidR="00000000" w:rsidRDefault="00000000">
            <w:pPr>
              <w:tabs>
                <w:tab w:val="decimal" w:pos="507"/>
              </w:tabs>
              <w:spacing w:before="60" w:after="60"/>
              <w:rPr>
                <w:sz w:val="22"/>
              </w:rPr>
            </w:pPr>
            <w:r>
              <w:rPr>
                <w:sz w:val="22"/>
              </w:rPr>
              <w:t>93,4</w:t>
            </w:r>
          </w:p>
        </w:tc>
        <w:tc>
          <w:tcPr>
            <w:tcW w:w="1014" w:type="dxa"/>
          </w:tcPr>
          <w:p w:rsidR="00000000" w:rsidRDefault="00000000">
            <w:pPr>
              <w:tabs>
                <w:tab w:val="decimal" w:pos="507"/>
              </w:tabs>
              <w:spacing w:before="60" w:after="60"/>
              <w:rPr>
                <w:sz w:val="22"/>
              </w:rPr>
            </w:pPr>
            <w:r>
              <w:rPr>
                <w:sz w:val="22"/>
              </w:rPr>
              <w:t>58,8</w:t>
            </w:r>
          </w:p>
        </w:tc>
        <w:tc>
          <w:tcPr>
            <w:tcW w:w="949" w:type="dxa"/>
          </w:tcPr>
          <w:p w:rsidR="00000000" w:rsidRDefault="00000000">
            <w:pPr>
              <w:tabs>
                <w:tab w:val="decimal" w:pos="507"/>
              </w:tabs>
              <w:spacing w:before="60" w:after="60"/>
              <w:rPr>
                <w:sz w:val="22"/>
              </w:rPr>
            </w:pPr>
            <w:r>
              <w:rPr>
                <w:sz w:val="22"/>
              </w:rPr>
              <w:t>55,2</w:t>
            </w:r>
          </w:p>
        </w:tc>
        <w:tc>
          <w:tcPr>
            <w:tcW w:w="1080" w:type="dxa"/>
          </w:tcPr>
          <w:p w:rsidR="00000000" w:rsidRDefault="00000000">
            <w:pPr>
              <w:tabs>
                <w:tab w:val="decimal" w:pos="507"/>
              </w:tabs>
              <w:spacing w:before="60" w:after="60"/>
              <w:rPr>
                <w:sz w:val="22"/>
              </w:rPr>
            </w:pPr>
            <w:r>
              <w:rPr>
                <w:sz w:val="22"/>
              </w:rPr>
              <w:t>141</w:t>
            </w:r>
          </w:p>
        </w:tc>
      </w:tr>
      <w:tr w:rsidR="00000000">
        <w:tblPrEx>
          <w:tblCellMar>
            <w:top w:w="0" w:type="dxa"/>
            <w:bottom w:w="0" w:type="dxa"/>
          </w:tblCellMar>
        </w:tblPrEx>
        <w:tc>
          <w:tcPr>
            <w:tcW w:w="422" w:type="dxa"/>
          </w:tcPr>
          <w:p w:rsidR="00000000" w:rsidRDefault="00000000">
            <w:pPr>
              <w:spacing w:before="60" w:after="60"/>
              <w:rPr>
                <w:sz w:val="22"/>
              </w:rPr>
            </w:pPr>
            <w:r>
              <w:rPr>
                <w:sz w:val="22"/>
              </w:rPr>
              <w:t>3</w:t>
            </w:r>
          </w:p>
        </w:tc>
        <w:tc>
          <w:tcPr>
            <w:tcW w:w="4057" w:type="dxa"/>
          </w:tcPr>
          <w:p w:rsidR="00000000" w:rsidRDefault="00000000">
            <w:pPr>
              <w:spacing w:before="60" w:after="60"/>
              <w:rPr>
                <w:sz w:val="22"/>
              </w:rPr>
            </w:pPr>
            <w:r>
              <w:rPr>
                <w:sz w:val="22"/>
              </w:rPr>
              <w:t>Fruits, au total</w:t>
            </w:r>
          </w:p>
        </w:tc>
        <w:tc>
          <w:tcPr>
            <w:tcW w:w="1014" w:type="dxa"/>
          </w:tcPr>
          <w:p w:rsidR="00000000" w:rsidRDefault="00000000">
            <w:pPr>
              <w:tabs>
                <w:tab w:val="decimal" w:pos="561"/>
              </w:tabs>
              <w:spacing w:before="60" w:after="60"/>
              <w:rPr>
                <w:sz w:val="22"/>
              </w:rPr>
            </w:pPr>
            <w:r>
              <w:rPr>
                <w:sz w:val="22"/>
              </w:rPr>
              <w:t>67</w:t>
            </w:r>
          </w:p>
        </w:tc>
        <w:tc>
          <w:tcPr>
            <w:tcW w:w="1014" w:type="dxa"/>
          </w:tcPr>
          <w:p w:rsidR="00000000" w:rsidRDefault="00000000">
            <w:pPr>
              <w:tabs>
                <w:tab w:val="decimal" w:pos="507"/>
              </w:tabs>
              <w:spacing w:before="60" w:after="60"/>
              <w:rPr>
                <w:sz w:val="22"/>
              </w:rPr>
            </w:pPr>
            <w:r>
              <w:rPr>
                <w:sz w:val="22"/>
              </w:rPr>
              <w:t>60,2</w:t>
            </w:r>
          </w:p>
        </w:tc>
        <w:tc>
          <w:tcPr>
            <w:tcW w:w="1014" w:type="dxa"/>
          </w:tcPr>
          <w:p w:rsidR="00000000" w:rsidRDefault="00000000">
            <w:pPr>
              <w:tabs>
                <w:tab w:val="decimal" w:pos="507"/>
              </w:tabs>
              <w:spacing w:before="60" w:after="60"/>
              <w:rPr>
                <w:sz w:val="22"/>
              </w:rPr>
            </w:pPr>
            <w:r>
              <w:rPr>
                <w:sz w:val="22"/>
              </w:rPr>
              <w:t>57,8</w:t>
            </w:r>
          </w:p>
        </w:tc>
        <w:tc>
          <w:tcPr>
            <w:tcW w:w="949" w:type="dxa"/>
          </w:tcPr>
          <w:p w:rsidR="00000000" w:rsidRDefault="00000000">
            <w:pPr>
              <w:tabs>
                <w:tab w:val="decimal" w:pos="507"/>
              </w:tabs>
              <w:spacing w:before="60" w:after="60"/>
              <w:rPr>
                <w:sz w:val="22"/>
              </w:rPr>
            </w:pPr>
            <w:r>
              <w:rPr>
                <w:sz w:val="22"/>
              </w:rPr>
              <w:t>43,5</w:t>
            </w:r>
          </w:p>
        </w:tc>
        <w:tc>
          <w:tcPr>
            <w:tcW w:w="1080" w:type="dxa"/>
          </w:tcPr>
          <w:p w:rsidR="00000000" w:rsidRDefault="00000000">
            <w:pPr>
              <w:tabs>
                <w:tab w:val="decimal" w:pos="507"/>
              </w:tabs>
              <w:spacing w:before="60" w:after="60"/>
              <w:rPr>
                <w:sz w:val="22"/>
              </w:rPr>
            </w:pPr>
            <w:r>
              <w:rPr>
                <w:sz w:val="22"/>
              </w:rPr>
              <w:t>92</w:t>
            </w:r>
          </w:p>
        </w:tc>
      </w:tr>
      <w:tr w:rsidR="00000000">
        <w:tblPrEx>
          <w:tblCellMar>
            <w:top w:w="0" w:type="dxa"/>
            <w:bottom w:w="0" w:type="dxa"/>
          </w:tblCellMar>
        </w:tblPrEx>
        <w:tc>
          <w:tcPr>
            <w:tcW w:w="422" w:type="dxa"/>
          </w:tcPr>
          <w:p w:rsidR="00000000" w:rsidRDefault="00000000">
            <w:pPr>
              <w:spacing w:before="60" w:after="60"/>
              <w:rPr>
                <w:sz w:val="22"/>
              </w:rPr>
            </w:pPr>
            <w:r>
              <w:rPr>
                <w:sz w:val="22"/>
              </w:rPr>
              <w:t>4</w:t>
            </w:r>
          </w:p>
        </w:tc>
        <w:tc>
          <w:tcPr>
            <w:tcW w:w="4057" w:type="dxa"/>
          </w:tcPr>
          <w:p w:rsidR="00000000" w:rsidRDefault="00000000">
            <w:pPr>
              <w:spacing w:before="60" w:after="60"/>
              <w:rPr>
                <w:sz w:val="22"/>
              </w:rPr>
            </w:pPr>
            <w:r>
              <w:rPr>
                <w:sz w:val="22"/>
              </w:rPr>
              <w:t>Sucre, au total (y compris les confiseries et les conserves de fruits)</w:t>
            </w:r>
          </w:p>
        </w:tc>
        <w:tc>
          <w:tcPr>
            <w:tcW w:w="1014" w:type="dxa"/>
          </w:tcPr>
          <w:p w:rsidR="00000000" w:rsidRDefault="00000000">
            <w:pPr>
              <w:tabs>
                <w:tab w:val="decimal" w:pos="561"/>
              </w:tabs>
              <w:spacing w:before="60" w:after="60"/>
              <w:rPr>
                <w:sz w:val="22"/>
              </w:rPr>
            </w:pPr>
            <w:r>
              <w:rPr>
                <w:sz w:val="22"/>
              </w:rPr>
              <w:t>43,5</w:t>
            </w:r>
          </w:p>
        </w:tc>
        <w:tc>
          <w:tcPr>
            <w:tcW w:w="1014" w:type="dxa"/>
          </w:tcPr>
          <w:p w:rsidR="00000000" w:rsidRDefault="00000000">
            <w:pPr>
              <w:tabs>
                <w:tab w:val="decimal" w:pos="507"/>
              </w:tabs>
              <w:spacing w:before="60" w:after="60"/>
              <w:rPr>
                <w:sz w:val="22"/>
              </w:rPr>
            </w:pPr>
            <w:r>
              <w:rPr>
                <w:sz w:val="22"/>
              </w:rPr>
              <w:t>23,6</w:t>
            </w:r>
          </w:p>
        </w:tc>
        <w:tc>
          <w:tcPr>
            <w:tcW w:w="1014" w:type="dxa"/>
          </w:tcPr>
          <w:p w:rsidR="00000000" w:rsidRDefault="00000000">
            <w:pPr>
              <w:tabs>
                <w:tab w:val="decimal" w:pos="507"/>
              </w:tabs>
              <w:spacing w:before="60" w:after="60"/>
              <w:rPr>
                <w:sz w:val="22"/>
              </w:rPr>
            </w:pPr>
            <w:r>
              <w:rPr>
                <w:sz w:val="22"/>
              </w:rPr>
              <w:t>25,0</w:t>
            </w:r>
          </w:p>
        </w:tc>
        <w:tc>
          <w:tcPr>
            <w:tcW w:w="949" w:type="dxa"/>
          </w:tcPr>
          <w:p w:rsidR="00000000" w:rsidRDefault="00000000">
            <w:pPr>
              <w:tabs>
                <w:tab w:val="decimal" w:pos="507"/>
              </w:tabs>
              <w:spacing w:before="60" w:after="60"/>
              <w:rPr>
                <w:sz w:val="22"/>
              </w:rPr>
            </w:pPr>
            <w:r>
              <w:rPr>
                <w:sz w:val="22"/>
              </w:rPr>
              <w:t>24,8</w:t>
            </w:r>
          </w:p>
        </w:tc>
        <w:tc>
          <w:tcPr>
            <w:tcW w:w="1080" w:type="dxa"/>
          </w:tcPr>
          <w:p w:rsidR="00000000" w:rsidRDefault="00000000">
            <w:pPr>
              <w:tabs>
                <w:tab w:val="decimal" w:pos="507"/>
              </w:tabs>
              <w:spacing w:before="60" w:after="60"/>
              <w:rPr>
                <w:sz w:val="22"/>
              </w:rPr>
            </w:pPr>
            <w:r>
              <w:rPr>
                <w:sz w:val="22"/>
              </w:rPr>
              <w:t>34,5</w:t>
            </w:r>
          </w:p>
        </w:tc>
      </w:tr>
      <w:tr w:rsidR="00000000">
        <w:tblPrEx>
          <w:tblCellMar>
            <w:top w:w="0" w:type="dxa"/>
            <w:bottom w:w="0" w:type="dxa"/>
          </w:tblCellMar>
        </w:tblPrEx>
        <w:tc>
          <w:tcPr>
            <w:tcW w:w="422" w:type="dxa"/>
          </w:tcPr>
          <w:p w:rsidR="00000000" w:rsidRDefault="00000000">
            <w:pPr>
              <w:spacing w:before="60" w:after="60"/>
              <w:rPr>
                <w:sz w:val="22"/>
              </w:rPr>
            </w:pPr>
            <w:r>
              <w:rPr>
                <w:sz w:val="22"/>
              </w:rPr>
              <w:t>5</w:t>
            </w:r>
          </w:p>
        </w:tc>
        <w:tc>
          <w:tcPr>
            <w:tcW w:w="4057" w:type="dxa"/>
          </w:tcPr>
          <w:p w:rsidR="00000000" w:rsidRDefault="00000000">
            <w:pPr>
              <w:spacing w:before="60" w:after="60"/>
              <w:rPr>
                <w:sz w:val="22"/>
              </w:rPr>
            </w:pPr>
            <w:r>
              <w:rPr>
                <w:sz w:val="22"/>
              </w:rPr>
              <w:t xml:space="preserve">Viande et conserves de viande, au total </w:t>
            </w:r>
          </w:p>
        </w:tc>
        <w:tc>
          <w:tcPr>
            <w:tcW w:w="1014" w:type="dxa"/>
          </w:tcPr>
          <w:p w:rsidR="00000000" w:rsidRDefault="00000000">
            <w:pPr>
              <w:tabs>
                <w:tab w:val="decimal" w:pos="561"/>
              </w:tabs>
              <w:spacing w:before="60" w:after="60"/>
              <w:rPr>
                <w:sz w:val="22"/>
              </w:rPr>
            </w:pPr>
            <w:r>
              <w:rPr>
                <w:sz w:val="22"/>
              </w:rPr>
              <w:t>47</w:t>
            </w:r>
          </w:p>
        </w:tc>
        <w:tc>
          <w:tcPr>
            <w:tcW w:w="1014" w:type="dxa"/>
          </w:tcPr>
          <w:p w:rsidR="00000000" w:rsidRDefault="00000000">
            <w:pPr>
              <w:tabs>
                <w:tab w:val="decimal" w:pos="507"/>
              </w:tabs>
              <w:spacing w:before="60" w:after="60"/>
              <w:rPr>
                <w:sz w:val="22"/>
              </w:rPr>
            </w:pPr>
            <w:r>
              <w:rPr>
                <w:sz w:val="22"/>
              </w:rPr>
              <w:t>15,6</w:t>
            </w:r>
          </w:p>
        </w:tc>
        <w:tc>
          <w:tcPr>
            <w:tcW w:w="1014" w:type="dxa"/>
          </w:tcPr>
          <w:p w:rsidR="00000000" w:rsidRDefault="00000000">
            <w:pPr>
              <w:tabs>
                <w:tab w:val="decimal" w:pos="507"/>
              </w:tabs>
              <w:spacing w:before="60" w:after="60"/>
              <w:rPr>
                <w:sz w:val="22"/>
              </w:rPr>
            </w:pPr>
            <w:r>
              <w:rPr>
                <w:sz w:val="22"/>
              </w:rPr>
              <w:t>20,8</w:t>
            </w:r>
          </w:p>
        </w:tc>
        <w:tc>
          <w:tcPr>
            <w:tcW w:w="949" w:type="dxa"/>
          </w:tcPr>
          <w:p w:rsidR="00000000" w:rsidRDefault="00000000">
            <w:pPr>
              <w:tabs>
                <w:tab w:val="decimal" w:pos="507"/>
              </w:tabs>
              <w:spacing w:before="60" w:after="60"/>
              <w:rPr>
                <w:sz w:val="22"/>
              </w:rPr>
            </w:pPr>
            <w:r>
              <w:rPr>
                <w:sz w:val="22"/>
              </w:rPr>
              <w:t>19,8</w:t>
            </w:r>
          </w:p>
        </w:tc>
        <w:tc>
          <w:tcPr>
            <w:tcW w:w="1080" w:type="dxa"/>
          </w:tcPr>
          <w:p w:rsidR="00000000" w:rsidRDefault="00000000">
            <w:pPr>
              <w:tabs>
                <w:tab w:val="decimal" w:pos="507"/>
              </w:tabs>
              <w:spacing w:before="60" w:after="60"/>
              <w:rPr>
                <w:sz w:val="22"/>
              </w:rPr>
            </w:pPr>
            <w:r>
              <w:rPr>
                <w:sz w:val="22"/>
              </w:rPr>
              <w:t>75</w:t>
            </w:r>
          </w:p>
        </w:tc>
      </w:tr>
      <w:tr w:rsidR="00000000">
        <w:tblPrEx>
          <w:tblCellMar>
            <w:top w:w="0" w:type="dxa"/>
            <w:bottom w:w="0" w:type="dxa"/>
          </w:tblCellMar>
        </w:tblPrEx>
        <w:tc>
          <w:tcPr>
            <w:tcW w:w="422" w:type="dxa"/>
          </w:tcPr>
          <w:p w:rsidR="00000000" w:rsidRDefault="00000000">
            <w:pPr>
              <w:spacing w:before="60" w:after="60"/>
              <w:rPr>
                <w:sz w:val="22"/>
              </w:rPr>
            </w:pPr>
            <w:r>
              <w:rPr>
                <w:sz w:val="22"/>
              </w:rPr>
              <w:t>6</w:t>
            </w:r>
          </w:p>
        </w:tc>
        <w:tc>
          <w:tcPr>
            <w:tcW w:w="4057" w:type="dxa"/>
          </w:tcPr>
          <w:p w:rsidR="00000000" w:rsidRDefault="00000000">
            <w:pPr>
              <w:spacing w:before="60" w:after="60"/>
              <w:rPr>
                <w:sz w:val="22"/>
              </w:rPr>
            </w:pPr>
            <w:r>
              <w:rPr>
                <w:sz w:val="22"/>
              </w:rPr>
              <w:t>Poisson et produits à base de poisson, au total</w:t>
            </w:r>
          </w:p>
        </w:tc>
        <w:tc>
          <w:tcPr>
            <w:tcW w:w="1014" w:type="dxa"/>
          </w:tcPr>
          <w:p w:rsidR="00000000" w:rsidRDefault="00000000">
            <w:pPr>
              <w:tabs>
                <w:tab w:val="decimal" w:pos="561"/>
              </w:tabs>
              <w:spacing w:before="60" w:after="60"/>
              <w:rPr>
                <w:sz w:val="22"/>
              </w:rPr>
            </w:pPr>
            <w:r>
              <w:rPr>
                <w:sz w:val="22"/>
              </w:rPr>
              <w:t>9,1</w:t>
            </w:r>
          </w:p>
        </w:tc>
        <w:tc>
          <w:tcPr>
            <w:tcW w:w="1014" w:type="dxa"/>
          </w:tcPr>
          <w:p w:rsidR="00000000" w:rsidRDefault="00000000">
            <w:pPr>
              <w:tabs>
                <w:tab w:val="decimal" w:pos="507"/>
              </w:tabs>
              <w:spacing w:before="60" w:after="60"/>
              <w:rPr>
                <w:sz w:val="22"/>
              </w:rPr>
            </w:pPr>
            <w:r>
              <w:rPr>
                <w:sz w:val="22"/>
              </w:rPr>
              <w:t xml:space="preserve">1,4  </w:t>
            </w:r>
          </w:p>
        </w:tc>
        <w:tc>
          <w:tcPr>
            <w:tcW w:w="1014" w:type="dxa"/>
          </w:tcPr>
          <w:p w:rsidR="00000000" w:rsidRDefault="00000000">
            <w:pPr>
              <w:tabs>
                <w:tab w:val="decimal" w:pos="507"/>
              </w:tabs>
              <w:spacing w:before="60" w:after="60"/>
              <w:rPr>
                <w:sz w:val="22"/>
              </w:rPr>
            </w:pPr>
            <w:r>
              <w:rPr>
                <w:sz w:val="22"/>
              </w:rPr>
              <w:t>1,8</w:t>
            </w:r>
          </w:p>
        </w:tc>
        <w:tc>
          <w:tcPr>
            <w:tcW w:w="949" w:type="dxa"/>
          </w:tcPr>
          <w:p w:rsidR="00000000" w:rsidRDefault="00000000">
            <w:pPr>
              <w:tabs>
                <w:tab w:val="decimal" w:pos="507"/>
              </w:tabs>
              <w:spacing w:before="60" w:after="60"/>
              <w:rPr>
                <w:sz w:val="22"/>
              </w:rPr>
            </w:pPr>
            <w:r>
              <w:rPr>
                <w:sz w:val="22"/>
              </w:rPr>
              <w:t>-</w:t>
            </w:r>
          </w:p>
        </w:tc>
        <w:tc>
          <w:tcPr>
            <w:tcW w:w="1080" w:type="dxa"/>
          </w:tcPr>
          <w:p w:rsidR="00000000" w:rsidRDefault="00000000">
            <w:pPr>
              <w:tabs>
                <w:tab w:val="decimal" w:pos="507"/>
              </w:tabs>
              <w:spacing w:before="60" w:after="60"/>
              <w:rPr>
                <w:sz w:val="22"/>
              </w:rPr>
            </w:pPr>
            <w:r>
              <w:rPr>
                <w:sz w:val="22"/>
              </w:rPr>
              <w:t>12,8</w:t>
            </w:r>
          </w:p>
        </w:tc>
      </w:tr>
      <w:tr w:rsidR="00000000">
        <w:tblPrEx>
          <w:tblCellMar>
            <w:top w:w="0" w:type="dxa"/>
            <w:bottom w:w="0" w:type="dxa"/>
          </w:tblCellMar>
        </w:tblPrEx>
        <w:tc>
          <w:tcPr>
            <w:tcW w:w="422" w:type="dxa"/>
          </w:tcPr>
          <w:p w:rsidR="00000000" w:rsidRDefault="00000000">
            <w:pPr>
              <w:spacing w:before="60" w:after="60"/>
              <w:rPr>
                <w:sz w:val="22"/>
              </w:rPr>
            </w:pPr>
            <w:r>
              <w:rPr>
                <w:sz w:val="22"/>
              </w:rPr>
              <w:t>7</w:t>
            </w:r>
          </w:p>
        </w:tc>
        <w:tc>
          <w:tcPr>
            <w:tcW w:w="4057" w:type="dxa"/>
          </w:tcPr>
          <w:p w:rsidR="00000000" w:rsidRDefault="00000000">
            <w:pPr>
              <w:spacing w:before="60" w:after="60"/>
              <w:rPr>
                <w:sz w:val="22"/>
              </w:rPr>
            </w:pPr>
            <w:r>
              <w:rPr>
                <w:sz w:val="22"/>
              </w:rPr>
              <w:t>Lait et produits laitiers, au total (revalorisation du poste «lait»)</w:t>
            </w:r>
          </w:p>
        </w:tc>
        <w:tc>
          <w:tcPr>
            <w:tcW w:w="1014" w:type="dxa"/>
          </w:tcPr>
          <w:p w:rsidR="00000000" w:rsidRDefault="00000000">
            <w:pPr>
              <w:tabs>
                <w:tab w:val="decimal" w:pos="561"/>
              </w:tabs>
              <w:spacing w:before="60" w:after="60"/>
              <w:rPr>
                <w:sz w:val="22"/>
              </w:rPr>
            </w:pPr>
            <w:r>
              <w:rPr>
                <w:sz w:val="22"/>
              </w:rPr>
              <w:t>309</w:t>
            </w:r>
          </w:p>
        </w:tc>
        <w:tc>
          <w:tcPr>
            <w:tcW w:w="1014" w:type="dxa"/>
          </w:tcPr>
          <w:p w:rsidR="00000000" w:rsidRDefault="00000000">
            <w:pPr>
              <w:tabs>
                <w:tab w:val="decimal" w:pos="507"/>
              </w:tabs>
              <w:spacing w:before="60" w:after="60"/>
              <w:rPr>
                <w:sz w:val="22"/>
              </w:rPr>
            </w:pPr>
            <w:r>
              <w:rPr>
                <w:sz w:val="22"/>
              </w:rPr>
              <w:t>217,8</w:t>
            </w:r>
          </w:p>
        </w:tc>
        <w:tc>
          <w:tcPr>
            <w:tcW w:w="1014" w:type="dxa"/>
          </w:tcPr>
          <w:p w:rsidR="00000000" w:rsidRDefault="00000000">
            <w:pPr>
              <w:tabs>
                <w:tab w:val="decimal" w:pos="507"/>
              </w:tabs>
              <w:spacing w:before="60" w:after="60"/>
              <w:rPr>
                <w:sz w:val="22"/>
              </w:rPr>
            </w:pPr>
            <w:r>
              <w:rPr>
                <w:sz w:val="22"/>
              </w:rPr>
              <w:t>202,5</w:t>
            </w:r>
          </w:p>
        </w:tc>
        <w:tc>
          <w:tcPr>
            <w:tcW w:w="949" w:type="dxa"/>
          </w:tcPr>
          <w:p w:rsidR="00000000" w:rsidRDefault="00000000">
            <w:pPr>
              <w:tabs>
                <w:tab w:val="decimal" w:pos="507"/>
              </w:tabs>
              <w:spacing w:before="60" w:after="60"/>
              <w:rPr>
                <w:sz w:val="22"/>
              </w:rPr>
            </w:pPr>
            <w:r>
              <w:rPr>
                <w:sz w:val="22"/>
              </w:rPr>
              <w:t>209</w:t>
            </w:r>
          </w:p>
        </w:tc>
        <w:tc>
          <w:tcPr>
            <w:tcW w:w="1080" w:type="dxa"/>
          </w:tcPr>
          <w:p w:rsidR="00000000" w:rsidRDefault="00000000">
            <w:pPr>
              <w:tabs>
                <w:tab w:val="decimal" w:pos="507"/>
              </w:tabs>
              <w:spacing w:before="60" w:after="60"/>
              <w:rPr>
                <w:sz w:val="22"/>
              </w:rPr>
            </w:pPr>
            <w:r>
              <w:rPr>
                <w:sz w:val="22"/>
              </w:rPr>
              <w:t>359</w:t>
            </w:r>
          </w:p>
        </w:tc>
      </w:tr>
    </w:tbl>
    <w:p w:rsidR="00000000" w:rsidRDefault="00000000">
      <w:pPr>
        <w:keepNext/>
        <w:spacing w:after="240"/>
      </w:pPr>
      <w:r>
        <w:t>157.</w:t>
      </w:r>
      <w:r>
        <w:tab/>
        <w:t>Comme le montrent les données présentées, on constate dans la période examinée une diminution de la consommation effective de denrées alimentaires, et ce pour pratiquement tous les paramètres globaux.</w:t>
      </w:r>
    </w:p>
    <w:p w:rsidR="00000000" w:rsidRDefault="00000000">
      <w:pPr>
        <w:spacing w:after="240"/>
      </w:pPr>
      <w:r>
        <w:t>158.</w:t>
      </w:r>
      <w:r>
        <w:tab/>
        <w:t>Dans ce contexte, il convient de faire observer que de larges couches de la population sont insuffisamment informées des principes d’une alimentation saine, tant il est vrai que les efforts entrepris en ce sens sont tout à fait insuffisants. Telle est l’opinion du Ministère du travail, de la santé et de la protection sociale.</w:t>
      </w:r>
    </w:p>
    <w:p w:rsidR="00000000" w:rsidRDefault="00000000">
      <w:pPr>
        <w:spacing w:after="240"/>
      </w:pPr>
      <w:r>
        <w:t>159.</w:t>
      </w:r>
      <w:r>
        <w:tab/>
        <w:t>S’agissant des mesures que le Gouvernement juge nécessaire de prendre pour assurer une alimentation suffisante des groupes les plus défavorisés, il convient de faire observer que le problème de la sécurité alimentaire est étroitement lié à celui de la croissance de l’emploi, des revenus et des avoirs.</w:t>
      </w:r>
    </w:p>
    <w:p w:rsidR="00000000" w:rsidRDefault="00000000">
      <w:pPr>
        <w:spacing w:after="240"/>
      </w:pPr>
      <w:r>
        <w:t>160.</w:t>
      </w:r>
      <w:r>
        <w:tab/>
        <w:t>C’est pourquoi le Ministère géorgien de l’agriculture et des produits alimentaires juge indispensable d’accentuer son action dans les directions suivantes:</w:t>
      </w:r>
    </w:p>
    <w:p w:rsidR="00000000" w:rsidRDefault="00000000">
      <w:pPr>
        <w:numPr>
          <w:ilvl w:val="0"/>
          <w:numId w:val="84"/>
        </w:numPr>
        <w:spacing w:after="240"/>
      </w:pPr>
      <w:r>
        <w:t>Définir les priorités de la politique économique et commerciale;</w:t>
      </w:r>
    </w:p>
    <w:p w:rsidR="00000000" w:rsidRDefault="00000000">
      <w:pPr>
        <w:numPr>
          <w:ilvl w:val="0"/>
          <w:numId w:val="84"/>
        </w:numPr>
        <w:spacing w:after="240"/>
      </w:pPr>
      <w:r>
        <w:t>Soutenir les branches pertinentes de l’économie dans le but de fournir à la population davantage de produits alimentaires locaux;</w:t>
      </w:r>
    </w:p>
    <w:p w:rsidR="00000000" w:rsidRDefault="00000000">
      <w:pPr>
        <w:numPr>
          <w:ilvl w:val="0"/>
          <w:numId w:val="84"/>
        </w:numPr>
        <w:spacing w:after="240"/>
      </w:pPr>
      <w:r>
        <w:t>Éliminer la pauvreté en créant des emplois effectifs;</w:t>
      </w:r>
    </w:p>
    <w:p w:rsidR="00000000" w:rsidRDefault="00000000">
      <w:pPr>
        <w:numPr>
          <w:ilvl w:val="0"/>
          <w:numId w:val="84"/>
        </w:numPr>
        <w:spacing w:after="240"/>
      </w:pPr>
      <w:r>
        <w:t>Réduire l’ampleur de l’économie souterraine et du rôle des fonds publics;</w:t>
      </w:r>
    </w:p>
    <w:p w:rsidR="00000000" w:rsidRDefault="00000000">
      <w:pPr>
        <w:numPr>
          <w:ilvl w:val="0"/>
          <w:numId w:val="84"/>
        </w:numPr>
        <w:spacing w:after="240"/>
      </w:pPr>
      <w:r>
        <w:t>Optimiser les taux d’imposition et les droits de douanes.</w:t>
      </w:r>
    </w:p>
    <w:p w:rsidR="00000000" w:rsidRDefault="00000000">
      <w:pPr>
        <w:spacing w:after="240"/>
      </w:pPr>
      <w:r>
        <w:t>161.</w:t>
      </w:r>
      <w:r>
        <w:tab/>
        <w:t>Il convient de noter que le décret présidentiel n</w:t>
      </w:r>
      <w:r>
        <w:rPr>
          <w:vertAlign w:val="superscript"/>
        </w:rPr>
        <w:t>o</w:t>
      </w:r>
      <w:r>
        <w:t> 26 du 26 janvier 2000, portant approbation des orientations fondamentales du programme national d’instauration de la sécurité alimentaire en Géorgie énonce les principales mesures que le Gouvernement devra mettre en œuvre en ce sens.</w:t>
      </w:r>
    </w:p>
    <w:p w:rsidR="00000000" w:rsidRDefault="00000000">
      <w:pPr>
        <w:keepNext/>
        <w:keepLines/>
        <w:spacing w:after="240"/>
      </w:pPr>
      <w:r>
        <w:t>162.</w:t>
      </w:r>
      <w:r>
        <w:tab/>
        <w:t>À ce propos, il apparaît nécessaire de présenter les données concernant la répartition de l’aide alimentaire reçue par le pays que possède le Ministère de l’agriculture et des produits alimentaires pour la période 1997</w:t>
      </w:r>
      <w:r>
        <w:noBreakHyphen/>
        <w:t>2000 (en tonnes):</w:t>
      </w:r>
    </w:p>
    <w:p w:rsidR="00000000" w:rsidRDefault="0000000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9"/>
        <w:gridCol w:w="1911"/>
        <w:gridCol w:w="853"/>
        <w:gridCol w:w="1049"/>
        <w:gridCol w:w="1051"/>
        <w:gridCol w:w="1049"/>
        <w:gridCol w:w="1051"/>
        <w:gridCol w:w="1052"/>
        <w:gridCol w:w="1051"/>
      </w:tblGrid>
      <w:tr w:rsidR="00000000">
        <w:tblPrEx>
          <w:tblCellMar>
            <w:top w:w="0" w:type="dxa"/>
            <w:bottom w:w="0" w:type="dxa"/>
          </w:tblCellMar>
        </w:tblPrEx>
        <w:trPr>
          <w:cantSplit/>
          <w:trHeight w:val="534"/>
          <w:tblHeader/>
        </w:trPr>
        <w:tc>
          <w:tcPr>
            <w:tcW w:w="429" w:type="dxa"/>
            <w:vMerge w:val="restart"/>
            <w:vAlign w:val="center"/>
          </w:tcPr>
          <w:p w:rsidR="00000000" w:rsidRDefault="00000000">
            <w:pPr>
              <w:spacing w:before="60" w:after="60"/>
              <w:jc w:val="center"/>
              <w:rPr>
                <w:sz w:val="20"/>
              </w:rPr>
            </w:pPr>
            <w:r>
              <w:rPr>
                <w:sz w:val="20"/>
              </w:rPr>
              <w:t>N</w:t>
            </w:r>
            <w:r>
              <w:rPr>
                <w:sz w:val="20"/>
                <w:vertAlign w:val="superscript"/>
              </w:rPr>
              <w:t>o</w:t>
            </w:r>
          </w:p>
        </w:tc>
        <w:tc>
          <w:tcPr>
            <w:tcW w:w="1911" w:type="dxa"/>
            <w:vMerge w:val="restart"/>
            <w:textDirection w:val="btLr"/>
            <w:vAlign w:val="center"/>
          </w:tcPr>
          <w:p w:rsidR="00000000" w:rsidRDefault="00000000">
            <w:pPr>
              <w:spacing w:before="60" w:after="60"/>
              <w:ind w:left="113" w:right="113"/>
              <w:rPr>
                <w:sz w:val="20"/>
              </w:rPr>
            </w:pPr>
            <w:r>
              <w:rPr>
                <w:sz w:val="20"/>
              </w:rPr>
              <w:t>Désignation du produit (par année)</w:t>
            </w:r>
          </w:p>
        </w:tc>
        <w:tc>
          <w:tcPr>
            <w:tcW w:w="853" w:type="dxa"/>
            <w:vMerge w:val="restart"/>
            <w:textDirection w:val="btLr"/>
            <w:vAlign w:val="center"/>
          </w:tcPr>
          <w:p w:rsidR="00000000" w:rsidRDefault="00000000">
            <w:pPr>
              <w:spacing w:before="60" w:after="60"/>
              <w:ind w:left="113" w:right="113"/>
              <w:rPr>
                <w:sz w:val="20"/>
              </w:rPr>
            </w:pPr>
            <w:r>
              <w:rPr>
                <w:sz w:val="20"/>
              </w:rPr>
              <w:t>Quantité reçue (en tonnes)</w:t>
            </w:r>
          </w:p>
        </w:tc>
        <w:tc>
          <w:tcPr>
            <w:tcW w:w="6303" w:type="dxa"/>
            <w:gridSpan w:val="6"/>
          </w:tcPr>
          <w:p w:rsidR="00000000" w:rsidRDefault="00000000">
            <w:pPr>
              <w:spacing w:before="60" w:after="60"/>
              <w:rPr>
                <w:sz w:val="20"/>
              </w:rPr>
            </w:pPr>
            <w:r>
              <w:rPr>
                <w:sz w:val="20"/>
              </w:rPr>
              <w:t>Quantité distribuée conformément aux dispositions pertinentes de l’ordonnance présidentielle</w:t>
            </w:r>
          </w:p>
        </w:tc>
      </w:tr>
      <w:tr w:rsidR="00000000">
        <w:tblPrEx>
          <w:tblCellMar>
            <w:top w:w="0" w:type="dxa"/>
            <w:bottom w:w="0" w:type="dxa"/>
          </w:tblCellMar>
        </w:tblPrEx>
        <w:trPr>
          <w:cantSplit/>
          <w:trHeight w:val="2239"/>
          <w:tblHeader/>
        </w:trPr>
        <w:tc>
          <w:tcPr>
            <w:tcW w:w="429" w:type="dxa"/>
            <w:vMerge/>
          </w:tcPr>
          <w:p w:rsidR="00000000" w:rsidRDefault="00000000">
            <w:pPr>
              <w:spacing w:before="60" w:after="60"/>
              <w:rPr>
                <w:sz w:val="20"/>
              </w:rPr>
            </w:pPr>
          </w:p>
        </w:tc>
        <w:tc>
          <w:tcPr>
            <w:tcW w:w="1911" w:type="dxa"/>
            <w:vMerge/>
          </w:tcPr>
          <w:p w:rsidR="00000000" w:rsidRDefault="00000000">
            <w:pPr>
              <w:spacing w:before="60" w:after="60"/>
              <w:rPr>
                <w:sz w:val="20"/>
              </w:rPr>
            </w:pPr>
          </w:p>
        </w:tc>
        <w:tc>
          <w:tcPr>
            <w:tcW w:w="853" w:type="dxa"/>
            <w:vMerge/>
          </w:tcPr>
          <w:p w:rsidR="00000000" w:rsidRDefault="00000000">
            <w:pPr>
              <w:spacing w:before="60" w:after="60"/>
              <w:rPr>
                <w:sz w:val="20"/>
              </w:rPr>
            </w:pPr>
          </w:p>
        </w:tc>
        <w:tc>
          <w:tcPr>
            <w:tcW w:w="1049" w:type="dxa"/>
            <w:textDirection w:val="btLr"/>
          </w:tcPr>
          <w:p w:rsidR="00000000" w:rsidRDefault="00000000">
            <w:pPr>
              <w:spacing w:before="60" w:after="60"/>
              <w:ind w:left="113" w:right="113"/>
              <w:rPr>
                <w:sz w:val="20"/>
              </w:rPr>
            </w:pPr>
            <w:r>
              <w:rPr>
                <w:sz w:val="20"/>
              </w:rPr>
              <w:t>Pour l’hivernage de la population du col de Kodor</w:t>
            </w:r>
          </w:p>
        </w:tc>
        <w:tc>
          <w:tcPr>
            <w:tcW w:w="1051" w:type="dxa"/>
            <w:textDirection w:val="btLr"/>
          </w:tcPr>
          <w:p w:rsidR="00000000" w:rsidRDefault="00000000">
            <w:pPr>
              <w:spacing w:before="60" w:after="60"/>
              <w:ind w:left="113" w:right="113"/>
              <w:rPr>
                <w:sz w:val="20"/>
              </w:rPr>
            </w:pPr>
            <w:r>
              <w:rPr>
                <w:sz w:val="20"/>
              </w:rPr>
              <w:t>Pour les personnes déplacées</w:t>
            </w:r>
          </w:p>
        </w:tc>
        <w:tc>
          <w:tcPr>
            <w:tcW w:w="1049" w:type="dxa"/>
            <w:textDirection w:val="btLr"/>
          </w:tcPr>
          <w:p w:rsidR="00000000" w:rsidRDefault="00000000">
            <w:pPr>
              <w:spacing w:before="60" w:after="60"/>
              <w:ind w:left="113" w:right="113"/>
              <w:rPr>
                <w:sz w:val="20"/>
              </w:rPr>
            </w:pPr>
            <w:r>
              <w:rPr>
                <w:sz w:val="20"/>
              </w:rPr>
              <w:t>À l’intention du Ministère de la défense</w:t>
            </w:r>
          </w:p>
        </w:tc>
        <w:tc>
          <w:tcPr>
            <w:tcW w:w="1051" w:type="dxa"/>
            <w:textDirection w:val="btLr"/>
          </w:tcPr>
          <w:p w:rsidR="00000000" w:rsidRDefault="00000000">
            <w:pPr>
              <w:spacing w:before="60" w:after="60"/>
              <w:ind w:left="113" w:right="113"/>
              <w:rPr>
                <w:sz w:val="20"/>
              </w:rPr>
            </w:pPr>
            <w:r>
              <w:rPr>
                <w:sz w:val="20"/>
              </w:rPr>
              <w:t>À l’intention des organismes publics et autres</w:t>
            </w:r>
          </w:p>
        </w:tc>
        <w:tc>
          <w:tcPr>
            <w:tcW w:w="1052" w:type="dxa"/>
            <w:textDirection w:val="btLr"/>
          </w:tcPr>
          <w:p w:rsidR="00000000" w:rsidRDefault="00000000">
            <w:pPr>
              <w:spacing w:before="60" w:after="60"/>
              <w:ind w:left="113" w:right="113"/>
              <w:rPr>
                <w:sz w:val="20"/>
              </w:rPr>
            </w:pPr>
            <w:r>
              <w:rPr>
                <w:sz w:val="20"/>
              </w:rPr>
              <w:t>Quantité vendue en bourse (pour compléter le budget)</w:t>
            </w:r>
          </w:p>
        </w:tc>
        <w:tc>
          <w:tcPr>
            <w:tcW w:w="1051" w:type="dxa"/>
            <w:textDirection w:val="btLr"/>
          </w:tcPr>
          <w:p w:rsidR="00000000" w:rsidRDefault="00000000">
            <w:pPr>
              <w:spacing w:before="60" w:after="60"/>
              <w:ind w:left="113" w:right="113"/>
              <w:rPr>
                <w:sz w:val="20"/>
              </w:rPr>
            </w:pPr>
            <w:r>
              <w:rPr>
                <w:sz w:val="20"/>
              </w:rPr>
              <w:t>Quantité avariée, passée par profits et pertes  après expertise</w:t>
            </w:r>
          </w:p>
        </w:tc>
      </w:tr>
      <w:tr w:rsidR="00000000">
        <w:tblPrEx>
          <w:tblCellMar>
            <w:top w:w="0" w:type="dxa"/>
            <w:bottom w:w="0" w:type="dxa"/>
          </w:tblCellMar>
        </w:tblPrEx>
        <w:trPr>
          <w:cantSplit/>
          <w:trHeight w:val="293"/>
        </w:trPr>
        <w:tc>
          <w:tcPr>
            <w:tcW w:w="429" w:type="dxa"/>
            <w:vAlign w:val="bottom"/>
          </w:tcPr>
          <w:p w:rsidR="00000000" w:rsidRDefault="00000000">
            <w:pPr>
              <w:spacing w:before="60" w:after="60"/>
              <w:jc w:val="center"/>
              <w:rPr>
                <w:sz w:val="20"/>
              </w:rPr>
            </w:pPr>
          </w:p>
        </w:tc>
        <w:tc>
          <w:tcPr>
            <w:tcW w:w="1911" w:type="dxa"/>
          </w:tcPr>
          <w:p w:rsidR="00000000" w:rsidRDefault="00000000">
            <w:pPr>
              <w:spacing w:before="60" w:after="60"/>
              <w:rPr>
                <w:sz w:val="20"/>
              </w:rPr>
            </w:pPr>
            <w:r>
              <w:rPr>
                <w:sz w:val="20"/>
              </w:rPr>
              <w:t>1997</w:t>
            </w:r>
          </w:p>
        </w:tc>
        <w:tc>
          <w:tcPr>
            <w:tcW w:w="853" w:type="dxa"/>
            <w:vAlign w:val="bottom"/>
          </w:tcPr>
          <w:p w:rsidR="00000000" w:rsidRDefault="00000000">
            <w:pPr>
              <w:spacing w:before="60" w:after="60"/>
              <w:ind w:right="113"/>
              <w:jc w:val="right"/>
              <w:rPr>
                <w:sz w:val="20"/>
              </w:rPr>
            </w:pPr>
          </w:p>
        </w:tc>
        <w:tc>
          <w:tcPr>
            <w:tcW w:w="1049" w:type="dxa"/>
            <w:vAlign w:val="bottom"/>
          </w:tcPr>
          <w:p w:rsidR="00000000" w:rsidRDefault="00000000">
            <w:pPr>
              <w:spacing w:before="60" w:after="60"/>
              <w:ind w:right="113"/>
              <w:jc w:val="right"/>
              <w:rPr>
                <w:sz w:val="20"/>
              </w:rPr>
            </w:pPr>
          </w:p>
        </w:tc>
        <w:tc>
          <w:tcPr>
            <w:tcW w:w="1051" w:type="dxa"/>
            <w:vAlign w:val="bottom"/>
          </w:tcPr>
          <w:p w:rsidR="00000000" w:rsidRDefault="00000000">
            <w:pPr>
              <w:spacing w:before="60" w:after="60"/>
              <w:ind w:right="113"/>
              <w:jc w:val="right"/>
              <w:rPr>
                <w:sz w:val="20"/>
              </w:rPr>
            </w:pPr>
          </w:p>
        </w:tc>
        <w:tc>
          <w:tcPr>
            <w:tcW w:w="1049" w:type="dxa"/>
            <w:vAlign w:val="bottom"/>
          </w:tcPr>
          <w:p w:rsidR="00000000" w:rsidRDefault="00000000">
            <w:pPr>
              <w:spacing w:before="60" w:after="60"/>
              <w:ind w:right="113"/>
              <w:jc w:val="right"/>
              <w:rPr>
                <w:sz w:val="20"/>
              </w:rPr>
            </w:pPr>
          </w:p>
        </w:tc>
        <w:tc>
          <w:tcPr>
            <w:tcW w:w="1051" w:type="dxa"/>
            <w:vAlign w:val="bottom"/>
          </w:tcPr>
          <w:p w:rsidR="00000000" w:rsidRDefault="00000000">
            <w:pPr>
              <w:spacing w:before="60" w:after="60"/>
              <w:ind w:right="113"/>
              <w:jc w:val="right"/>
              <w:rPr>
                <w:sz w:val="20"/>
              </w:rPr>
            </w:pPr>
          </w:p>
        </w:tc>
        <w:tc>
          <w:tcPr>
            <w:tcW w:w="1052" w:type="dxa"/>
            <w:vAlign w:val="bottom"/>
          </w:tcPr>
          <w:p w:rsidR="00000000" w:rsidRDefault="00000000">
            <w:pPr>
              <w:spacing w:before="60" w:after="60"/>
              <w:ind w:right="113"/>
              <w:jc w:val="right"/>
              <w:rPr>
                <w:sz w:val="20"/>
              </w:rPr>
            </w:pPr>
          </w:p>
        </w:tc>
        <w:tc>
          <w:tcPr>
            <w:tcW w:w="1051" w:type="dxa"/>
            <w:vAlign w:val="bottom"/>
          </w:tcPr>
          <w:p w:rsidR="00000000" w:rsidRDefault="00000000">
            <w:pPr>
              <w:spacing w:before="60" w:after="60"/>
              <w:ind w:right="113"/>
              <w:jc w:val="right"/>
              <w:rPr>
                <w:sz w:val="20"/>
              </w:rPr>
            </w:pPr>
          </w:p>
        </w:tc>
      </w:tr>
      <w:tr w:rsidR="00000000">
        <w:tblPrEx>
          <w:tblCellMar>
            <w:top w:w="0" w:type="dxa"/>
            <w:bottom w:w="0" w:type="dxa"/>
          </w:tblCellMar>
        </w:tblPrEx>
        <w:trPr>
          <w:cantSplit/>
          <w:trHeight w:val="293"/>
        </w:trPr>
        <w:tc>
          <w:tcPr>
            <w:tcW w:w="429" w:type="dxa"/>
            <w:vAlign w:val="bottom"/>
          </w:tcPr>
          <w:p w:rsidR="00000000" w:rsidRDefault="00000000">
            <w:pPr>
              <w:spacing w:before="60" w:after="60"/>
              <w:jc w:val="center"/>
              <w:rPr>
                <w:sz w:val="20"/>
              </w:rPr>
            </w:pPr>
            <w:r>
              <w:rPr>
                <w:sz w:val="20"/>
              </w:rPr>
              <w:t>1</w:t>
            </w:r>
          </w:p>
        </w:tc>
        <w:tc>
          <w:tcPr>
            <w:tcW w:w="1911" w:type="dxa"/>
          </w:tcPr>
          <w:p w:rsidR="00000000" w:rsidRDefault="00000000">
            <w:pPr>
              <w:spacing w:before="60" w:after="60"/>
              <w:rPr>
                <w:sz w:val="20"/>
              </w:rPr>
            </w:pPr>
            <w:r>
              <w:rPr>
                <w:sz w:val="20"/>
              </w:rPr>
              <w:t>Blé</w:t>
            </w:r>
          </w:p>
        </w:tc>
        <w:tc>
          <w:tcPr>
            <w:tcW w:w="853" w:type="dxa"/>
            <w:vAlign w:val="bottom"/>
          </w:tcPr>
          <w:p w:rsidR="00000000" w:rsidRDefault="00000000">
            <w:pPr>
              <w:spacing w:before="60" w:after="60"/>
              <w:ind w:right="113"/>
              <w:jc w:val="right"/>
              <w:rPr>
                <w:sz w:val="20"/>
              </w:rPr>
            </w:pPr>
            <w:r>
              <w:rPr>
                <w:sz w:val="20"/>
              </w:rPr>
              <w:t>8 576</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c>
          <w:tcPr>
            <w:tcW w:w="1052" w:type="dxa"/>
            <w:vAlign w:val="bottom"/>
          </w:tcPr>
          <w:p w:rsidR="00000000" w:rsidRDefault="00000000">
            <w:pPr>
              <w:spacing w:before="60" w:after="60"/>
              <w:ind w:right="113"/>
              <w:jc w:val="right"/>
              <w:rPr>
                <w:sz w:val="20"/>
              </w:rPr>
            </w:pPr>
            <w:r>
              <w:rPr>
                <w:sz w:val="20"/>
              </w:rPr>
              <w:t>8 576</w:t>
            </w:r>
          </w:p>
        </w:tc>
        <w:tc>
          <w:tcPr>
            <w:tcW w:w="1051" w:type="dxa"/>
            <w:vAlign w:val="bottom"/>
          </w:tcPr>
          <w:p w:rsidR="00000000" w:rsidRDefault="00000000">
            <w:pPr>
              <w:spacing w:before="60" w:after="60"/>
              <w:ind w:right="113"/>
              <w:jc w:val="right"/>
              <w:rPr>
                <w:sz w:val="20"/>
              </w:rPr>
            </w:pPr>
            <w:r>
              <w:rPr>
                <w:sz w:val="20"/>
              </w:rPr>
              <w:t>–</w:t>
            </w:r>
          </w:p>
        </w:tc>
      </w:tr>
      <w:tr w:rsidR="00000000">
        <w:tblPrEx>
          <w:tblCellMar>
            <w:top w:w="0" w:type="dxa"/>
            <w:bottom w:w="0" w:type="dxa"/>
          </w:tblCellMar>
        </w:tblPrEx>
        <w:trPr>
          <w:cantSplit/>
          <w:trHeight w:val="293"/>
        </w:trPr>
        <w:tc>
          <w:tcPr>
            <w:tcW w:w="429" w:type="dxa"/>
            <w:vAlign w:val="bottom"/>
          </w:tcPr>
          <w:p w:rsidR="00000000" w:rsidRDefault="00000000">
            <w:pPr>
              <w:spacing w:before="60" w:after="60"/>
              <w:jc w:val="center"/>
              <w:rPr>
                <w:sz w:val="20"/>
              </w:rPr>
            </w:pPr>
          </w:p>
        </w:tc>
        <w:tc>
          <w:tcPr>
            <w:tcW w:w="1911" w:type="dxa"/>
          </w:tcPr>
          <w:p w:rsidR="00000000" w:rsidRDefault="00000000">
            <w:pPr>
              <w:spacing w:before="60" w:after="60"/>
              <w:rPr>
                <w:sz w:val="20"/>
              </w:rPr>
            </w:pPr>
            <w:r>
              <w:rPr>
                <w:sz w:val="20"/>
              </w:rPr>
              <w:t>1998</w:t>
            </w:r>
          </w:p>
        </w:tc>
        <w:tc>
          <w:tcPr>
            <w:tcW w:w="853" w:type="dxa"/>
            <w:vAlign w:val="bottom"/>
          </w:tcPr>
          <w:p w:rsidR="00000000" w:rsidRDefault="00000000">
            <w:pPr>
              <w:spacing w:before="60" w:after="60"/>
              <w:ind w:right="113"/>
              <w:jc w:val="right"/>
              <w:rPr>
                <w:sz w:val="20"/>
              </w:rPr>
            </w:pPr>
          </w:p>
        </w:tc>
        <w:tc>
          <w:tcPr>
            <w:tcW w:w="1049" w:type="dxa"/>
            <w:vAlign w:val="bottom"/>
          </w:tcPr>
          <w:p w:rsidR="00000000" w:rsidRDefault="00000000">
            <w:pPr>
              <w:spacing w:before="60" w:after="60"/>
              <w:ind w:right="113"/>
              <w:jc w:val="right"/>
              <w:rPr>
                <w:sz w:val="20"/>
              </w:rPr>
            </w:pPr>
          </w:p>
        </w:tc>
        <w:tc>
          <w:tcPr>
            <w:tcW w:w="1051" w:type="dxa"/>
            <w:vAlign w:val="bottom"/>
          </w:tcPr>
          <w:p w:rsidR="00000000" w:rsidRDefault="00000000">
            <w:pPr>
              <w:spacing w:before="60" w:after="60"/>
              <w:ind w:right="113"/>
              <w:jc w:val="right"/>
              <w:rPr>
                <w:sz w:val="20"/>
              </w:rPr>
            </w:pPr>
          </w:p>
        </w:tc>
        <w:tc>
          <w:tcPr>
            <w:tcW w:w="1049" w:type="dxa"/>
            <w:vAlign w:val="bottom"/>
          </w:tcPr>
          <w:p w:rsidR="00000000" w:rsidRDefault="00000000">
            <w:pPr>
              <w:spacing w:before="60" w:after="60"/>
              <w:ind w:right="113"/>
              <w:jc w:val="right"/>
              <w:rPr>
                <w:sz w:val="20"/>
              </w:rPr>
            </w:pPr>
          </w:p>
        </w:tc>
        <w:tc>
          <w:tcPr>
            <w:tcW w:w="1051" w:type="dxa"/>
            <w:vAlign w:val="bottom"/>
          </w:tcPr>
          <w:p w:rsidR="00000000" w:rsidRDefault="00000000">
            <w:pPr>
              <w:spacing w:before="60" w:after="60"/>
              <w:ind w:right="113"/>
              <w:jc w:val="right"/>
              <w:rPr>
                <w:sz w:val="20"/>
              </w:rPr>
            </w:pPr>
          </w:p>
        </w:tc>
        <w:tc>
          <w:tcPr>
            <w:tcW w:w="1052" w:type="dxa"/>
            <w:vAlign w:val="bottom"/>
          </w:tcPr>
          <w:p w:rsidR="00000000" w:rsidRDefault="00000000">
            <w:pPr>
              <w:spacing w:before="60" w:after="60"/>
              <w:ind w:right="113"/>
              <w:jc w:val="right"/>
              <w:rPr>
                <w:sz w:val="20"/>
              </w:rPr>
            </w:pPr>
          </w:p>
        </w:tc>
        <w:tc>
          <w:tcPr>
            <w:tcW w:w="1051" w:type="dxa"/>
            <w:vAlign w:val="bottom"/>
          </w:tcPr>
          <w:p w:rsidR="00000000" w:rsidRDefault="00000000">
            <w:pPr>
              <w:spacing w:before="60" w:after="60"/>
              <w:ind w:right="113"/>
              <w:jc w:val="right"/>
              <w:rPr>
                <w:sz w:val="20"/>
              </w:rPr>
            </w:pPr>
          </w:p>
        </w:tc>
      </w:tr>
      <w:tr w:rsidR="00000000">
        <w:tblPrEx>
          <w:tblCellMar>
            <w:top w:w="0" w:type="dxa"/>
            <w:bottom w:w="0" w:type="dxa"/>
          </w:tblCellMar>
        </w:tblPrEx>
        <w:trPr>
          <w:cantSplit/>
          <w:trHeight w:val="293"/>
        </w:trPr>
        <w:tc>
          <w:tcPr>
            <w:tcW w:w="429" w:type="dxa"/>
            <w:vAlign w:val="bottom"/>
          </w:tcPr>
          <w:p w:rsidR="00000000" w:rsidRDefault="00000000">
            <w:pPr>
              <w:spacing w:before="60" w:after="60"/>
              <w:jc w:val="center"/>
              <w:rPr>
                <w:sz w:val="20"/>
              </w:rPr>
            </w:pPr>
            <w:r>
              <w:rPr>
                <w:sz w:val="20"/>
              </w:rPr>
              <w:t>1</w:t>
            </w:r>
          </w:p>
        </w:tc>
        <w:tc>
          <w:tcPr>
            <w:tcW w:w="1911" w:type="dxa"/>
          </w:tcPr>
          <w:p w:rsidR="00000000" w:rsidRDefault="00000000">
            <w:pPr>
              <w:spacing w:before="60" w:after="60"/>
              <w:rPr>
                <w:sz w:val="20"/>
              </w:rPr>
            </w:pPr>
            <w:r>
              <w:rPr>
                <w:sz w:val="20"/>
              </w:rPr>
              <w:t>Riz</w:t>
            </w:r>
          </w:p>
        </w:tc>
        <w:tc>
          <w:tcPr>
            <w:tcW w:w="853" w:type="dxa"/>
            <w:vAlign w:val="bottom"/>
          </w:tcPr>
          <w:p w:rsidR="00000000" w:rsidRDefault="00000000">
            <w:pPr>
              <w:spacing w:before="60" w:after="60"/>
              <w:ind w:right="113"/>
              <w:jc w:val="right"/>
              <w:rPr>
                <w:sz w:val="20"/>
              </w:rPr>
            </w:pPr>
            <w:r>
              <w:rPr>
                <w:sz w:val="20"/>
              </w:rPr>
              <w:t>1 193,3</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487</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304,3</w:t>
            </w:r>
          </w:p>
        </w:tc>
        <w:tc>
          <w:tcPr>
            <w:tcW w:w="1052" w:type="dxa"/>
            <w:vAlign w:val="bottom"/>
          </w:tcPr>
          <w:p w:rsidR="00000000" w:rsidRDefault="00000000">
            <w:pPr>
              <w:spacing w:before="60" w:after="60"/>
              <w:ind w:right="113"/>
              <w:jc w:val="right"/>
              <w:rPr>
                <w:sz w:val="20"/>
              </w:rPr>
            </w:pPr>
            <w:r>
              <w:rPr>
                <w:sz w:val="20"/>
              </w:rPr>
              <w:t>401</w:t>
            </w:r>
          </w:p>
        </w:tc>
        <w:tc>
          <w:tcPr>
            <w:tcW w:w="1051" w:type="dxa"/>
            <w:vAlign w:val="bottom"/>
          </w:tcPr>
          <w:p w:rsidR="00000000" w:rsidRDefault="00000000">
            <w:pPr>
              <w:spacing w:before="60" w:after="60"/>
              <w:ind w:right="113"/>
              <w:jc w:val="right"/>
              <w:rPr>
                <w:sz w:val="20"/>
              </w:rPr>
            </w:pPr>
            <w:r>
              <w:rPr>
                <w:sz w:val="20"/>
              </w:rPr>
              <w:t>1,3</w:t>
            </w:r>
          </w:p>
        </w:tc>
      </w:tr>
      <w:tr w:rsidR="00000000">
        <w:tblPrEx>
          <w:tblCellMar>
            <w:top w:w="0" w:type="dxa"/>
            <w:bottom w:w="0" w:type="dxa"/>
          </w:tblCellMar>
        </w:tblPrEx>
        <w:trPr>
          <w:cantSplit/>
          <w:trHeight w:val="293"/>
        </w:trPr>
        <w:tc>
          <w:tcPr>
            <w:tcW w:w="429" w:type="dxa"/>
            <w:vAlign w:val="bottom"/>
          </w:tcPr>
          <w:p w:rsidR="00000000" w:rsidRDefault="00000000">
            <w:pPr>
              <w:spacing w:before="60" w:after="60"/>
              <w:jc w:val="center"/>
              <w:rPr>
                <w:sz w:val="20"/>
              </w:rPr>
            </w:pPr>
            <w:r>
              <w:rPr>
                <w:sz w:val="20"/>
              </w:rPr>
              <w:t>2</w:t>
            </w:r>
          </w:p>
        </w:tc>
        <w:tc>
          <w:tcPr>
            <w:tcW w:w="1911" w:type="dxa"/>
          </w:tcPr>
          <w:p w:rsidR="00000000" w:rsidRDefault="00000000">
            <w:pPr>
              <w:spacing w:before="60" w:after="60"/>
              <w:rPr>
                <w:sz w:val="20"/>
              </w:rPr>
            </w:pPr>
            <w:r>
              <w:rPr>
                <w:sz w:val="20"/>
              </w:rPr>
              <w:t>Fécule</w:t>
            </w:r>
          </w:p>
        </w:tc>
        <w:tc>
          <w:tcPr>
            <w:tcW w:w="853" w:type="dxa"/>
            <w:vAlign w:val="bottom"/>
          </w:tcPr>
          <w:p w:rsidR="00000000" w:rsidRDefault="00000000">
            <w:pPr>
              <w:spacing w:before="60" w:after="60"/>
              <w:ind w:right="113"/>
              <w:jc w:val="right"/>
              <w:rPr>
                <w:sz w:val="20"/>
              </w:rPr>
            </w:pPr>
            <w:r>
              <w:rPr>
                <w:sz w:val="20"/>
              </w:rPr>
              <w:t>125</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60</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64,5</w:t>
            </w:r>
          </w:p>
        </w:tc>
        <w:tc>
          <w:tcPr>
            <w:tcW w:w="1052"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0,5</w:t>
            </w:r>
          </w:p>
        </w:tc>
      </w:tr>
      <w:tr w:rsidR="00000000">
        <w:tblPrEx>
          <w:tblCellMar>
            <w:top w:w="0" w:type="dxa"/>
            <w:bottom w:w="0" w:type="dxa"/>
          </w:tblCellMar>
        </w:tblPrEx>
        <w:trPr>
          <w:cantSplit/>
          <w:trHeight w:val="293"/>
        </w:trPr>
        <w:tc>
          <w:tcPr>
            <w:tcW w:w="429" w:type="dxa"/>
            <w:vAlign w:val="bottom"/>
          </w:tcPr>
          <w:p w:rsidR="00000000" w:rsidRDefault="00000000">
            <w:pPr>
              <w:spacing w:before="60" w:after="60"/>
              <w:jc w:val="center"/>
              <w:rPr>
                <w:sz w:val="20"/>
              </w:rPr>
            </w:pPr>
            <w:r>
              <w:rPr>
                <w:sz w:val="20"/>
              </w:rPr>
              <w:t>3</w:t>
            </w:r>
          </w:p>
        </w:tc>
        <w:tc>
          <w:tcPr>
            <w:tcW w:w="1911" w:type="dxa"/>
          </w:tcPr>
          <w:p w:rsidR="00000000" w:rsidRDefault="00000000">
            <w:pPr>
              <w:spacing w:before="60" w:after="60"/>
              <w:rPr>
                <w:sz w:val="20"/>
              </w:rPr>
            </w:pPr>
            <w:r>
              <w:rPr>
                <w:sz w:val="20"/>
              </w:rPr>
              <w:t>Huile végétale</w:t>
            </w:r>
          </w:p>
        </w:tc>
        <w:tc>
          <w:tcPr>
            <w:tcW w:w="853" w:type="dxa"/>
            <w:vAlign w:val="bottom"/>
          </w:tcPr>
          <w:p w:rsidR="00000000" w:rsidRDefault="00000000">
            <w:pPr>
              <w:spacing w:before="60" w:after="60"/>
              <w:ind w:right="113"/>
              <w:jc w:val="right"/>
              <w:rPr>
                <w:sz w:val="20"/>
              </w:rPr>
            </w:pPr>
            <w:r>
              <w:rPr>
                <w:sz w:val="20"/>
              </w:rPr>
              <w:t>5 978</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68,7</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c>
          <w:tcPr>
            <w:tcW w:w="1052" w:type="dxa"/>
            <w:vAlign w:val="bottom"/>
          </w:tcPr>
          <w:p w:rsidR="00000000" w:rsidRDefault="00000000">
            <w:pPr>
              <w:spacing w:before="60" w:after="60"/>
              <w:ind w:right="113"/>
              <w:jc w:val="right"/>
              <w:rPr>
                <w:sz w:val="20"/>
              </w:rPr>
            </w:pPr>
            <w:r>
              <w:rPr>
                <w:sz w:val="20"/>
              </w:rPr>
              <w:t>3 074</w:t>
            </w:r>
          </w:p>
        </w:tc>
        <w:tc>
          <w:tcPr>
            <w:tcW w:w="1051" w:type="dxa"/>
            <w:vAlign w:val="bottom"/>
          </w:tcPr>
          <w:p w:rsidR="00000000" w:rsidRDefault="00000000">
            <w:pPr>
              <w:spacing w:before="60" w:after="60"/>
              <w:ind w:right="113"/>
              <w:jc w:val="right"/>
              <w:rPr>
                <w:sz w:val="20"/>
              </w:rPr>
            </w:pPr>
            <w:r>
              <w:rPr>
                <w:sz w:val="20"/>
              </w:rPr>
              <w:t>29,5</w:t>
            </w:r>
          </w:p>
        </w:tc>
      </w:tr>
      <w:tr w:rsidR="00000000">
        <w:tblPrEx>
          <w:tblCellMar>
            <w:top w:w="0" w:type="dxa"/>
            <w:bottom w:w="0" w:type="dxa"/>
          </w:tblCellMar>
        </w:tblPrEx>
        <w:trPr>
          <w:cantSplit/>
          <w:trHeight w:val="293"/>
        </w:trPr>
        <w:tc>
          <w:tcPr>
            <w:tcW w:w="429" w:type="dxa"/>
            <w:vAlign w:val="bottom"/>
          </w:tcPr>
          <w:p w:rsidR="00000000" w:rsidRDefault="00000000">
            <w:pPr>
              <w:spacing w:before="60" w:after="60"/>
              <w:jc w:val="center"/>
              <w:rPr>
                <w:sz w:val="20"/>
              </w:rPr>
            </w:pPr>
          </w:p>
        </w:tc>
        <w:tc>
          <w:tcPr>
            <w:tcW w:w="1911" w:type="dxa"/>
          </w:tcPr>
          <w:p w:rsidR="00000000" w:rsidRDefault="00000000">
            <w:pPr>
              <w:spacing w:before="60" w:after="60"/>
              <w:rPr>
                <w:sz w:val="20"/>
              </w:rPr>
            </w:pPr>
            <w:r>
              <w:rPr>
                <w:sz w:val="20"/>
              </w:rPr>
              <w:t>1999</w:t>
            </w:r>
          </w:p>
        </w:tc>
        <w:tc>
          <w:tcPr>
            <w:tcW w:w="853" w:type="dxa"/>
            <w:vAlign w:val="bottom"/>
          </w:tcPr>
          <w:p w:rsidR="00000000" w:rsidRDefault="00000000">
            <w:pPr>
              <w:spacing w:before="60" w:after="60"/>
              <w:ind w:right="113"/>
              <w:jc w:val="right"/>
              <w:rPr>
                <w:sz w:val="20"/>
              </w:rPr>
            </w:pPr>
          </w:p>
        </w:tc>
        <w:tc>
          <w:tcPr>
            <w:tcW w:w="1049" w:type="dxa"/>
            <w:vAlign w:val="bottom"/>
          </w:tcPr>
          <w:p w:rsidR="00000000" w:rsidRDefault="00000000">
            <w:pPr>
              <w:spacing w:before="60" w:after="60"/>
              <w:ind w:right="113"/>
              <w:jc w:val="right"/>
              <w:rPr>
                <w:sz w:val="20"/>
              </w:rPr>
            </w:pPr>
          </w:p>
        </w:tc>
        <w:tc>
          <w:tcPr>
            <w:tcW w:w="1051" w:type="dxa"/>
            <w:vAlign w:val="bottom"/>
          </w:tcPr>
          <w:p w:rsidR="00000000" w:rsidRDefault="00000000">
            <w:pPr>
              <w:spacing w:before="60" w:after="60"/>
              <w:ind w:right="113"/>
              <w:jc w:val="right"/>
              <w:rPr>
                <w:sz w:val="20"/>
              </w:rPr>
            </w:pPr>
          </w:p>
        </w:tc>
        <w:tc>
          <w:tcPr>
            <w:tcW w:w="1049" w:type="dxa"/>
            <w:vAlign w:val="bottom"/>
          </w:tcPr>
          <w:p w:rsidR="00000000" w:rsidRDefault="00000000">
            <w:pPr>
              <w:spacing w:before="60" w:after="60"/>
              <w:ind w:right="113"/>
              <w:jc w:val="right"/>
              <w:rPr>
                <w:sz w:val="20"/>
              </w:rPr>
            </w:pPr>
          </w:p>
        </w:tc>
        <w:tc>
          <w:tcPr>
            <w:tcW w:w="1051" w:type="dxa"/>
            <w:vAlign w:val="bottom"/>
          </w:tcPr>
          <w:p w:rsidR="00000000" w:rsidRDefault="00000000">
            <w:pPr>
              <w:spacing w:before="60" w:after="60"/>
              <w:ind w:right="113"/>
              <w:jc w:val="right"/>
              <w:rPr>
                <w:sz w:val="20"/>
              </w:rPr>
            </w:pPr>
          </w:p>
        </w:tc>
        <w:tc>
          <w:tcPr>
            <w:tcW w:w="1052" w:type="dxa"/>
            <w:vAlign w:val="bottom"/>
          </w:tcPr>
          <w:p w:rsidR="00000000" w:rsidRDefault="00000000">
            <w:pPr>
              <w:spacing w:before="60" w:after="60"/>
              <w:ind w:right="113"/>
              <w:jc w:val="right"/>
              <w:rPr>
                <w:sz w:val="20"/>
              </w:rPr>
            </w:pPr>
          </w:p>
        </w:tc>
        <w:tc>
          <w:tcPr>
            <w:tcW w:w="1051" w:type="dxa"/>
            <w:vAlign w:val="bottom"/>
          </w:tcPr>
          <w:p w:rsidR="00000000" w:rsidRDefault="00000000">
            <w:pPr>
              <w:spacing w:before="60" w:after="60"/>
              <w:ind w:right="113"/>
              <w:jc w:val="right"/>
              <w:rPr>
                <w:sz w:val="20"/>
              </w:rPr>
            </w:pPr>
          </w:p>
        </w:tc>
      </w:tr>
      <w:tr w:rsidR="00000000">
        <w:tblPrEx>
          <w:tblCellMar>
            <w:top w:w="0" w:type="dxa"/>
            <w:bottom w:w="0" w:type="dxa"/>
          </w:tblCellMar>
        </w:tblPrEx>
        <w:tc>
          <w:tcPr>
            <w:tcW w:w="429" w:type="dxa"/>
            <w:vAlign w:val="bottom"/>
          </w:tcPr>
          <w:p w:rsidR="00000000" w:rsidRDefault="00000000">
            <w:pPr>
              <w:spacing w:before="60" w:after="60"/>
              <w:jc w:val="center"/>
              <w:rPr>
                <w:sz w:val="20"/>
              </w:rPr>
            </w:pPr>
            <w:r>
              <w:rPr>
                <w:sz w:val="20"/>
              </w:rPr>
              <w:t>1</w:t>
            </w:r>
          </w:p>
        </w:tc>
        <w:tc>
          <w:tcPr>
            <w:tcW w:w="1911" w:type="dxa"/>
          </w:tcPr>
          <w:p w:rsidR="00000000" w:rsidRDefault="00000000">
            <w:pPr>
              <w:spacing w:before="60" w:after="60"/>
              <w:rPr>
                <w:sz w:val="20"/>
              </w:rPr>
            </w:pPr>
            <w:r>
              <w:rPr>
                <w:sz w:val="20"/>
              </w:rPr>
              <w:t>Blé</w:t>
            </w:r>
          </w:p>
        </w:tc>
        <w:tc>
          <w:tcPr>
            <w:tcW w:w="853" w:type="dxa"/>
            <w:vAlign w:val="bottom"/>
          </w:tcPr>
          <w:p w:rsidR="00000000" w:rsidRDefault="00000000">
            <w:pPr>
              <w:spacing w:before="60" w:after="60"/>
              <w:ind w:right="113"/>
              <w:jc w:val="right"/>
              <w:rPr>
                <w:sz w:val="20"/>
              </w:rPr>
            </w:pPr>
            <w:r>
              <w:rPr>
                <w:sz w:val="20"/>
              </w:rPr>
              <w:t>36 060</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5 000</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140</w:t>
            </w:r>
          </w:p>
        </w:tc>
        <w:tc>
          <w:tcPr>
            <w:tcW w:w="1052" w:type="dxa"/>
            <w:vAlign w:val="bottom"/>
          </w:tcPr>
          <w:p w:rsidR="00000000" w:rsidRDefault="00000000">
            <w:pPr>
              <w:spacing w:before="60" w:after="60"/>
              <w:ind w:right="113"/>
              <w:jc w:val="right"/>
              <w:rPr>
                <w:sz w:val="20"/>
              </w:rPr>
            </w:pPr>
            <w:r>
              <w:rPr>
                <w:sz w:val="20"/>
              </w:rPr>
              <w:t>30 920</w:t>
            </w:r>
          </w:p>
        </w:tc>
        <w:tc>
          <w:tcPr>
            <w:tcW w:w="1051" w:type="dxa"/>
            <w:vAlign w:val="bottom"/>
          </w:tcPr>
          <w:p w:rsidR="00000000" w:rsidRDefault="00000000">
            <w:pPr>
              <w:spacing w:before="60" w:after="60"/>
              <w:ind w:right="113"/>
              <w:jc w:val="right"/>
              <w:rPr>
                <w:sz w:val="20"/>
              </w:rPr>
            </w:pPr>
            <w:r>
              <w:rPr>
                <w:sz w:val="20"/>
              </w:rPr>
              <w:t>–</w:t>
            </w:r>
          </w:p>
        </w:tc>
      </w:tr>
      <w:tr w:rsidR="00000000">
        <w:tblPrEx>
          <w:tblCellMar>
            <w:top w:w="0" w:type="dxa"/>
            <w:bottom w:w="0" w:type="dxa"/>
          </w:tblCellMar>
        </w:tblPrEx>
        <w:tc>
          <w:tcPr>
            <w:tcW w:w="429" w:type="dxa"/>
            <w:vAlign w:val="bottom"/>
          </w:tcPr>
          <w:p w:rsidR="00000000" w:rsidRDefault="00000000">
            <w:pPr>
              <w:spacing w:before="60" w:after="60"/>
              <w:jc w:val="center"/>
              <w:rPr>
                <w:sz w:val="20"/>
              </w:rPr>
            </w:pPr>
          </w:p>
        </w:tc>
        <w:tc>
          <w:tcPr>
            <w:tcW w:w="1911" w:type="dxa"/>
          </w:tcPr>
          <w:p w:rsidR="00000000" w:rsidRDefault="00000000">
            <w:pPr>
              <w:spacing w:before="60" w:after="60"/>
              <w:rPr>
                <w:sz w:val="20"/>
              </w:rPr>
            </w:pPr>
            <w:r>
              <w:rPr>
                <w:sz w:val="20"/>
              </w:rPr>
              <w:t>2000</w:t>
            </w:r>
          </w:p>
        </w:tc>
        <w:tc>
          <w:tcPr>
            <w:tcW w:w="853" w:type="dxa"/>
            <w:vAlign w:val="bottom"/>
          </w:tcPr>
          <w:p w:rsidR="00000000" w:rsidRDefault="00000000">
            <w:pPr>
              <w:spacing w:before="60" w:after="60"/>
              <w:ind w:right="113"/>
              <w:jc w:val="right"/>
              <w:rPr>
                <w:sz w:val="20"/>
              </w:rPr>
            </w:pPr>
          </w:p>
        </w:tc>
        <w:tc>
          <w:tcPr>
            <w:tcW w:w="1049" w:type="dxa"/>
            <w:vAlign w:val="bottom"/>
          </w:tcPr>
          <w:p w:rsidR="00000000" w:rsidRDefault="00000000">
            <w:pPr>
              <w:spacing w:before="60" w:after="60"/>
              <w:ind w:right="113"/>
              <w:jc w:val="right"/>
              <w:rPr>
                <w:sz w:val="20"/>
              </w:rPr>
            </w:pPr>
          </w:p>
        </w:tc>
        <w:tc>
          <w:tcPr>
            <w:tcW w:w="1051" w:type="dxa"/>
            <w:vAlign w:val="bottom"/>
          </w:tcPr>
          <w:p w:rsidR="00000000" w:rsidRDefault="00000000">
            <w:pPr>
              <w:spacing w:before="60" w:after="60"/>
              <w:ind w:right="113"/>
              <w:jc w:val="right"/>
              <w:rPr>
                <w:sz w:val="20"/>
              </w:rPr>
            </w:pPr>
          </w:p>
        </w:tc>
        <w:tc>
          <w:tcPr>
            <w:tcW w:w="1049" w:type="dxa"/>
            <w:vAlign w:val="bottom"/>
          </w:tcPr>
          <w:p w:rsidR="00000000" w:rsidRDefault="00000000">
            <w:pPr>
              <w:spacing w:before="60" w:after="60"/>
              <w:ind w:right="113"/>
              <w:jc w:val="right"/>
              <w:rPr>
                <w:sz w:val="20"/>
              </w:rPr>
            </w:pPr>
          </w:p>
        </w:tc>
        <w:tc>
          <w:tcPr>
            <w:tcW w:w="1051" w:type="dxa"/>
            <w:vAlign w:val="bottom"/>
          </w:tcPr>
          <w:p w:rsidR="00000000" w:rsidRDefault="00000000">
            <w:pPr>
              <w:spacing w:before="60" w:after="60"/>
              <w:ind w:right="113"/>
              <w:jc w:val="right"/>
              <w:rPr>
                <w:sz w:val="20"/>
              </w:rPr>
            </w:pPr>
          </w:p>
        </w:tc>
        <w:tc>
          <w:tcPr>
            <w:tcW w:w="1052" w:type="dxa"/>
            <w:vAlign w:val="bottom"/>
          </w:tcPr>
          <w:p w:rsidR="00000000" w:rsidRDefault="00000000">
            <w:pPr>
              <w:spacing w:before="60" w:after="60"/>
              <w:ind w:right="113"/>
              <w:jc w:val="right"/>
              <w:rPr>
                <w:sz w:val="20"/>
              </w:rPr>
            </w:pPr>
          </w:p>
        </w:tc>
        <w:tc>
          <w:tcPr>
            <w:tcW w:w="1051" w:type="dxa"/>
            <w:vAlign w:val="bottom"/>
          </w:tcPr>
          <w:p w:rsidR="00000000" w:rsidRDefault="00000000">
            <w:pPr>
              <w:spacing w:before="60" w:after="60"/>
              <w:ind w:right="113"/>
              <w:jc w:val="right"/>
              <w:rPr>
                <w:sz w:val="20"/>
              </w:rPr>
            </w:pPr>
          </w:p>
        </w:tc>
      </w:tr>
      <w:tr w:rsidR="00000000">
        <w:tblPrEx>
          <w:tblCellMar>
            <w:top w:w="0" w:type="dxa"/>
            <w:bottom w:w="0" w:type="dxa"/>
          </w:tblCellMar>
        </w:tblPrEx>
        <w:tc>
          <w:tcPr>
            <w:tcW w:w="429" w:type="dxa"/>
            <w:vAlign w:val="bottom"/>
          </w:tcPr>
          <w:p w:rsidR="00000000" w:rsidRDefault="00000000">
            <w:pPr>
              <w:spacing w:before="60" w:after="60"/>
              <w:jc w:val="center"/>
              <w:rPr>
                <w:sz w:val="20"/>
              </w:rPr>
            </w:pPr>
            <w:r>
              <w:rPr>
                <w:sz w:val="20"/>
              </w:rPr>
              <w:t>1</w:t>
            </w:r>
          </w:p>
        </w:tc>
        <w:tc>
          <w:tcPr>
            <w:tcW w:w="1911" w:type="dxa"/>
          </w:tcPr>
          <w:p w:rsidR="00000000" w:rsidRDefault="00000000">
            <w:pPr>
              <w:spacing w:before="60" w:after="60"/>
              <w:rPr>
                <w:sz w:val="20"/>
              </w:rPr>
            </w:pPr>
            <w:r>
              <w:rPr>
                <w:sz w:val="20"/>
              </w:rPr>
              <w:t>Blé</w:t>
            </w:r>
            <w:r>
              <w:rPr>
                <w:sz w:val="20"/>
                <w:vertAlign w:val="superscript"/>
              </w:rPr>
              <w:t>1</w:t>
            </w:r>
          </w:p>
        </w:tc>
        <w:tc>
          <w:tcPr>
            <w:tcW w:w="853" w:type="dxa"/>
            <w:vAlign w:val="bottom"/>
          </w:tcPr>
          <w:p w:rsidR="00000000" w:rsidRDefault="00000000">
            <w:pPr>
              <w:spacing w:before="60" w:after="60"/>
              <w:ind w:right="113"/>
              <w:jc w:val="right"/>
              <w:rPr>
                <w:sz w:val="20"/>
              </w:rPr>
            </w:pPr>
            <w:r>
              <w:rPr>
                <w:sz w:val="20"/>
              </w:rPr>
              <w:t>40 676</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c>
          <w:tcPr>
            <w:tcW w:w="1052"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r>
      <w:tr w:rsidR="00000000">
        <w:tblPrEx>
          <w:tblCellMar>
            <w:top w:w="0" w:type="dxa"/>
            <w:bottom w:w="0" w:type="dxa"/>
          </w:tblCellMar>
        </w:tblPrEx>
        <w:tc>
          <w:tcPr>
            <w:tcW w:w="429" w:type="dxa"/>
            <w:vAlign w:val="bottom"/>
          </w:tcPr>
          <w:p w:rsidR="00000000" w:rsidRDefault="00000000">
            <w:pPr>
              <w:spacing w:before="60" w:after="60"/>
              <w:jc w:val="center"/>
              <w:rPr>
                <w:sz w:val="20"/>
              </w:rPr>
            </w:pPr>
            <w:r>
              <w:rPr>
                <w:sz w:val="20"/>
              </w:rPr>
              <w:t>2</w:t>
            </w:r>
          </w:p>
        </w:tc>
        <w:tc>
          <w:tcPr>
            <w:tcW w:w="1911" w:type="dxa"/>
          </w:tcPr>
          <w:p w:rsidR="00000000" w:rsidRDefault="00000000">
            <w:pPr>
              <w:spacing w:before="60" w:after="60"/>
              <w:rPr>
                <w:sz w:val="20"/>
              </w:rPr>
            </w:pPr>
            <w:r>
              <w:rPr>
                <w:sz w:val="20"/>
              </w:rPr>
              <w:t>Conserves de viande</w:t>
            </w:r>
            <w:r>
              <w:rPr>
                <w:sz w:val="20"/>
                <w:vertAlign w:val="superscript"/>
              </w:rPr>
              <w:t>2</w:t>
            </w:r>
          </w:p>
        </w:tc>
        <w:tc>
          <w:tcPr>
            <w:tcW w:w="853" w:type="dxa"/>
            <w:vAlign w:val="bottom"/>
          </w:tcPr>
          <w:p w:rsidR="00000000" w:rsidRDefault="00000000">
            <w:pPr>
              <w:spacing w:before="60" w:after="60"/>
              <w:ind w:right="113"/>
              <w:jc w:val="right"/>
              <w:rPr>
                <w:sz w:val="20"/>
              </w:rPr>
            </w:pPr>
            <w:r>
              <w:rPr>
                <w:sz w:val="20"/>
              </w:rPr>
              <w:t>587,6</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c>
          <w:tcPr>
            <w:tcW w:w="1052" w:type="dxa"/>
            <w:vAlign w:val="bottom"/>
          </w:tcPr>
          <w:p w:rsidR="00000000" w:rsidRDefault="00000000">
            <w:pPr>
              <w:spacing w:before="60" w:after="60"/>
              <w:ind w:right="113"/>
              <w:jc w:val="right"/>
              <w:rPr>
                <w:sz w:val="20"/>
              </w:rPr>
            </w:pPr>
            <w:r>
              <w:rPr>
                <w:sz w:val="20"/>
              </w:rPr>
              <w:t>228</w:t>
            </w:r>
          </w:p>
        </w:tc>
        <w:tc>
          <w:tcPr>
            <w:tcW w:w="1051" w:type="dxa"/>
            <w:vAlign w:val="bottom"/>
          </w:tcPr>
          <w:p w:rsidR="00000000" w:rsidRDefault="00000000">
            <w:pPr>
              <w:spacing w:before="60" w:after="60"/>
              <w:ind w:right="113"/>
              <w:jc w:val="right"/>
              <w:rPr>
                <w:sz w:val="20"/>
              </w:rPr>
            </w:pPr>
            <w:r>
              <w:rPr>
                <w:sz w:val="20"/>
              </w:rPr>
              <w:t>–</w:t>
            </w:r>
          </w:p>
        </w:tc>
      </w:tr>
      <w:tr w:rsidR="00000000">
        <w:tblPrEx>
          <w:tblCellMar>
            <w:top w:w="0" w:type="dxa"/>
            <w:bottom w:w="0" w:type="dxa"/>
          </w:tblCellMar>
        </w:tblPrEx>
        <w:tc>
          <w:tcPr>
            <w:tcW w:w="429" w:type="dxa"/>
            <w:vAlign w:val="bottom"/>
          </w:tcPr>
          <w:p w:rsidR="00000000" w:rsidRDefault="00000000">
            <w:pPr>
              <w:spacing w:before="60" w:after="60"/>
              <w:jc w:val="center"/>
              <w:rPr>
                <w:sz w:val="20"/>
              </w:rPr>
            </w:pPr>
            <w:r>
              <w:rPr>
                <w:sz w:val="20"/>
              </w:rPr>
              <w:t>3</w:t>
            </w:r>
          </w:p>
        </w:tc>
        <w:tc>
          <w:tcPr>
            <w:tcW w:w="1911" w:type="dxa"/>
          </w:tcPr>
          <w:p w:rsidR="00000000" w:rsidRDefault="00000000">
            <w:pPr>
              <w:spacing w:before="60" w:after="60"/>
              <w:rPr>
                <w:sz w:val="20"/>
              </w:rPr>
            </w:pPr>
            <w:r>
              <w:rPr>
                <w:sz w:val="20"/>
              </w:rPr>
              <w:t>Farine</w:t>
            </w:r>
            <w:r>
              <w:rPr>
                <w:sz w:val="20"/>
                <w:vertAlign w:val="superscript"/>
              </w:rPr>
              <w:t>3</w:t>
            </w:r>
          </w:p>
        </w:tc>
        <w:tc>
          <w:tcPr>
            <w:tcW w:w="853" w:type="dxa"/>
            <w:vAlign w:val="bottom"/>
          </w:tcPr>
          <w:p w:rsidR="00000000" w:rsidRDefault="00000000">
            <w:pPr>
              <w:spacing w:before="60" w:after="60"/>
              <w:ind w:right="113"/>
              <w:jc w:val="right"/>
              <w:rPr>
                <w:sz w:val="20"/>
              </w:rPr>
            </w:pPr>
            <w:r>
              <w:rPr>
                <w:sz w:val="20"/>
              </w:rPr>
              <w:t>20</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c>
          <w:tcPr>
            <w:tcW w:w="1052"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r>
      <w:tr w:rsidR="00000000">
        <w:tblPrEx>
          <w:tblCellMar>
            <w:top w:w="0" w:type="dxa"/>
            <w:bottom w:w="0" w:type="dxa"/>
          </w:tblCellMar>
        </w:tblPrEx>
        <w:tc>
          <w:tcPr>
            <w:tcW w:w="429" w:type="dxa"/>
            <w:vAlign w:val="bottom"/>
          </w:tcPr>
          <w:p w:rsidR="00000000" w:rsidRDefault="00000000">
            <w:pPr>
              <w:spacing w:before="60" w:after="60"/>
              <w:jc w:val="center"/>
              <w:rPr>
                <w:sz w:val="20"/>
              </w:rPr>
            </w:pPr>
            <w:r>
              <w:rPr>
                <w:sz w:val="20"/>
              </w:rPr>
              <w:t>4</w:t>
            </w:r>
          </w:p>
        </w:tc>
        <w:tc>
          <w:tcPr>
            <w:tcW w:w="1911" w:type="dxa"/>
          </w:tcPr>
          <w:p w:rsidR="00000000" w:rsidRDefault="00000000">
            <w:pPr>
              <w:spacing w:before="60" w:after="60"/>
              <w:rPr>
                <w:sz w:val="20"/>
              </w:rPr>
            </w:pPr>
            <w:r>
              <w:rPr>
                <w:sz w:val="20"/>
              </w:rPr>
              <w:t>Huile végétale</w:t>
            </w:r>
            <w:r>
              <w:rPr>
                <w:sz w:val="20"/>
                <w:vertAlign w:val="superscript"/>
              </w:rPr>
              <w:t>3</w:t>
            </w:r>
          </w:p>
        </w:tc>
        <w:tc>
          <w:tcPr>
            <w:tcW w:w="853" w:type="dxa"/>
            <w:vAlign w:val="bottom"/>
          </w:tcPr>
          <w:p w:rsidR="00000000" w:rsidRDefault="00000000">
            <w:pPr>
              <w:spacing w:before="60" w:after="60"/>
              <w:ind w:right="113"/>
              <w:jc w:val="right"/>
              <w:rPr>
                <w:sz w:val="20"/>
              </w:rPr>
            </w:pPr>
            <w:r>
              <w:rPr>
                <w:sz w:val="20"/>
              </w:rPr>
              <w:t>10</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c>
          <w:tcPr>
            <w:tcW w:w="1052"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r>
      <w:tr w:rsidR="00000000">
        <w:tblPrEx>
          <w:tblCellMar>
            <w:top w:w="0" w:type="dxa"/>
            <w:bottom w:w="0" w:type="dxa"/>
          </w:tblCellMar>
        </w:tblPrEx>
        <w:tc>
          <w:tcPr>
            <w:tcW w:w="429" w:type="dxa"/>
            <w:vAlign w:val="bottom"/>
          </w:tcPr>
          <w:p w:rsidR="00000000" w:rsidRDefault="00000000">
            <w:pPr>
              <w:spacing w:before="60" w:after="60"/>
              <w:jc w:val="center"/>
              <w:rPr>
                <w:sz w:val="20"/>
              </w:rPr>
            </w:pPr>
            <w:r>
              <w:rPr>
                <w:sz w:val="20"/>
              </w:rPr>
              <w:t>5</w:t>
            </w:r>
          </w:p>
        </w:tc>
        <w:tc>
          <w:tcPr>
            <w:tcW w:w="1911" w:type="dxa"/>
          </w:tcPr>
          <w:p w:rsidR="00000000" w:rsidRDefault="00000000">
            <w:pPr>
              <w:spacing w:before="60" w:after="60"/>
              <w:rPr>
                <w:sz w:val="20"/>
              </w:rPr>
            </w:pPr>
            <w:r>
              <w:rPr>
                <w:sz w:val="20"/>
              </w:rPr>
              <w:t>Haricots</w:t>
            </w:r>
            <w:r>
              <w:rPr>
                <w:sz w:val="20"/>
                <w:vertAlign w:val="superscript"/>
              </w:rPr>
              <w:t>3</w:t>
            </w:r>
          </w:p>
        </w:tc>
        <w:tc>
          <w:tcPr>
            <w:tcW w:w="853" w:type="dxa"/>
            <w:vAlign w:val="bottom"/>
          </w:tcPr>
          <w:p w:rsidR="00000000" w:rsidRDefault="00000000">
            <w:pPr>
              <w:spacing w:before="60" w:after="60"/>
              <w:ind w:right="113"/>
              <w:jc w:val="right"/>
              <w:rPr>
                <w:sz w:val="20"/>
              </w:rPr>
            </w:pPr>
            <w:r>
              <w:rPr>
                <w:sz w:val="20"/>
              </w:rPr>
              <w:t>10</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c>
          <w:tcPr>
            <w:tcW w:w="1049"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c>
          <w:tcPr>
            <w:tcW w:w="1052" w:type="dxa"/>
            <w:vAlign w:val="bottom"/>
          </w:tcPr>
          <w:p w:rsidR="00000000" w:rsidRDefault="00000000">
            <w:pPr>
              <w:spacing w:before="60" w:after="60"/>
              <w:ind w:right="113"/>
              <w:jc w:val="right"/>
              <w:rPr>
                <w:sz w:val="20"/>
              </w:rPr>
            </w:pPr>
            <w:r>
              <w:rPr>
                <w:sz w:val="20"/>
              </w:rPr>
              <w:t>–</w:t>
            </w:r>
          </w:p>
        </w:tc>
        <w:tc>
          <w:tcPr>
            <w:tcW w:w="1051" w:type="dxa"/>
            <w:vAlign w:val="bottom"/>
          </w:tcPr>
          <w:p w:rsidR="00000000" w:rsidRDefault="00000000">
            <w:pPr>
              <w:spacing w:before="60" w:after="60"/>
              <w:ind w:right="113"/>
              <w:jc w:val="right"/>
              <w:rPr>
                <w:sz w:val="20"/>
              </w:rPr>
            </w:pPr>
            <w:r>
              <w:rPr>
                <w:sz w:val="20"/>
              </w:rPr>
              <w:t>–</w:t>
            </w:r>
          </w:p>
        </w:tc>
      </w:tr>
    </w:tbl>
    <w:p w:rsidR="00000000" w:rsidRDefault="00000000">
      <w:pPr>
        <w:spacing w:after="240"/>
      </w:pPr>
      <w:r>
        <w:rPr>
          <w:i/>
          <w:iCs/>
        </w:rPr>
        <w:br/>
        <w:t>Notes:</w:t>
      </w:r>
    </w:p>
    <w:p w:rsidR="00000000" w:rsidRDefault="00000000">
      <w:pPr>
        <w:spacing w:after="240"/>
      </w:pPr>
      <w:r>
        <w:rPr>
          <w:vertAlign w:val="superscript"/>
        </w:rPr>
        <w:t>1</w:t>
      </w:r>
      <w:r>
        <w:t xml:space="preserve"> </w:t>
      </w:r>
      <w:r>
        <w:rPr>
          <w:sz w:val="22"/>
        </w:rPr>
        <w:t>Dont 5 676 tonnes de plants fournis par la FAO à l’intention des populations victimes de la sécheresse.</w:t>
      </w:r>
    </w:p>
    <w:p w:rsidR="00000000" w:rsidRDefault="00000000">
      <w:pPr>
        <w:spacing w:after="240"/>
      </w:pPr>
      <w:r>
        <w:rPr>
          <w:vertAlign w:val="superscript"/>
        </w:rPr>
        <w:t>2</w:t>
      </w:r>
      <w:r>
        <w:t xml:space="preserve"> </w:t>
      </w:r>
      <w:r>
        <w:rPr>
          <w:sz w:val="22"/>
        </w:rPr>
        <w:t>Dont 216,8 tonnes vendues sur les marchés boursiers conformément au décret présidentiel, afin de s’acquitter de la contribution de membre de la FAO, de couvrir les dépenses d’entretien des délégations de la Géorgie au siège de la FAO, etc.</w:t>
      </w:r>
    </w:p>
    <w:p w:rsidR="00000000" w:rsidRDefault="00000000">
      <w:pPr>
        <w:spacing w:after="240"/>
      </w:pPr>
      <w:r>
        <w:rPr>
          <w:vertAlign w:val="superscript"/>
        </w:rPr>
        <w:t>3</w:t>
      </w:r>
      <w:r>
        <w:t xml:space="preserve"> </w:t>
      </w:r>
      <w:r>
        <w:rPr>
          <w:sz w:val="22"/>
        </w:rPr>
        <w:t>Aide humanitaire de la Société du Croissant</w:t>
      </w:r>
      <w:r>
        <w:rPr>
          <w:sz w:val="22"/>
        </w:rPr>
        <w:noBreakHyphen/>
        <w:t>Rouge de Turquie, distribuée conformément à l’ordonnance présidentielle</w:t>
      </w:r>
      <w:r>
        <w:t>.</w:t>
      </w:r>
    </w:p>
    <w:p w:rsidR="00000000" w:rsidRDefault="00000000">
      <w:pPr>
        <w:spacing w:after="240"/>
        <w:ind w:firstLine="567"/>
      </w:pPr>
      <w:r>
        <w:rPr>
          <w:u w:val="single"/>
        </w:rPr>
        <w:br w:type="page"/>
        <w:t>Les mesures de mise en œuvre de la réforme agraire</w:t>
      </w:r>
    </w:p>
    <w:p w:rsidR="00000000" w:rsidRDefault="00000000">
      <w:pPr>
        <w:spacing w:after="240"/>
      </w:pPr>
      <w:r>
        <w:t>163.</w:t>
      </w:r>
      <w:r>
        <w:tab/>
        <w:t>On trouvera des informations sur la progression de la réforme agraire dans les réponses écrites de la Géorgie à la liste de points à traiter du Comité des droits économiques, sociaux et culturels concernant l’examen du rapport initial sur la mise en œuvre du Pacte (document HR/CESCR/None/1999/15) et plus particulièrement dans la réponse à la question n</w:t>
      </w:r>
      <w:r>
        <w:rPr>
          <w:vertAlign w:val="superscript"/>
        </w:rPr>
        <w:t>o</w:t>
      </w:r>
      <w:r>
        <w:t> 15.</w:t>
      </w:r>
    </w:p>
    <w:p w:rsidR="00000000" w:rsidRDefault="00000000">
      <w:pPr>
        <w:spacing w:after="220" w:line="270" w:lineRule="exact"/>
      </w:pPr>
      <w:r>
        <w:t>164.</w:t>
      </w:r>
      <w:r>
        <w:tab/>
        <w:t>Pour compléter ces informations, il convient de faire observer que, selon les dernières données disponibles, 1 390 600 familles ont reçu en toute propriété 930 000 hectares de terres agricoles, c’est</w:t>
      </w:r>
      <w:r>
        <w:noBreakHyphen/>
        <w:t>à</w:t>
      </w:r>
      <w:r>
        <w:noBreakHyphen/>
        <w:t>dire en moyenne 0,9 hectare par famille. Toujours selon les dernières données disponibles, 957 500 hectares de terres agricoles appartenant encore à l’État sont affermés. Trente</w:t>
      </w:r>
      <w:r>
        <w:noBreakHyphen/>
        <w:t>six mille personnes physiques et 6 300 personnes morales sont ainsi devenues fermiers. En moyenne, 9,3 hectares par personne physique et 97,8 hectares par personne morale ont été cédés à ferme. Au total, 1 719 600 hectares de terres agricoles ont été cédés en toute propriété ou à ferme (57 % de leur superficie totale), dont: 704 300 hectares de terres arables (89,1 % de leur superficie totale), 215 100 hectares de plantations de plantes vivaces (79,6 %), 100 600 hectares de prés (79,6 %) et 680 200 hectares de pâturages (39,9 %). D’après le Ministère de l’agriculture et des produits alimentaires, l’approvisionnement de la population en denrées alimentaires s’en est trouvé sensiblement amélioré.</w:t>
      </w:r>
    </w:p>
    <w:p w:rsidR="00000000" w:rsidRDefault="00000000">
      <w:pPr>
        <w:keepNext/>
        <w:spacing w:after="220" w:line="270" w:lineRule="exact"/>
        <w:ind w:firstLine="567"/>
      </w:pPr>
      <w:r>
        <w:rPr>
          <w:u w:val="single"/>
        </w:rPr>
        <w:t>Le droit à un logement décent</w:t>
      </w:r>
    </w:p>
    <w:p w:rsidR="00000000" w:rsidRDefault="00000000">
      <w:pPr>
        <w:spacing w:after="220" w:line="270" w:lineRule="exact"/>
      </w:pPr>
      <w:r>
        <w:t>165.</w:t>
      </w:r>
      <w:r>
        <w:tab/>
        <w:t>Pour ce qui est de la définition de la notion de «logement», voir le deuxième rapport périodique de la Géorgie sur la mise en œuvre du Pacte international relatif aux droits civils et politiques, (par. 419).</w:t>
      </w:r>
    </w:p>
    <w:p w:rsidR="00000000" w:rsidRDefault="00000000">
      <w:pPr>
        <w:spacing w:after="220" w:line="270" w:lineRule="exact"/>
      </w:pPr>
      <w:r>
        <w:t>166.</w:t>
      </w:r>
      <w:r>
        <w:tab/>
        <w:t>À propos des garanties juridiques du droit au logement, voir le rapport initial de la Géorgie sur l’application de la Convention pour l’élimination de la discrimination raciale, (par. 221 à 230). On trouvera dans ce même rapport quelques statistiques (par. 231) et une courte évaluation de la situation effective dans ce domaine (par. 232).</w:t>
      </w:r>
    </w:p>
    <w:p w:rsidR="00000000" w:rsidRDefault="00000000">
      <w:pPr>
        <w:spacing w:after="220" w:line="270" w:lineRule="exact"/>
      </w:pPr>
      <w:r>
        <w:t>167.</w:t>
      </w:r>
      <w:r>
        <w:tab/>
        <w:t>On trouvera ci</w:t>
      </w:r>
      <w:r>
        <w:noBreakHyphen/>
        <w:t>après des renseignements complémentaires sur la réalisation en Géorgie du droit à un logement décent, communiqués par le Ministère de l’urbanisation et de la construction et par le Ministère de la justice.</w:t>
      </w:r>
    </w:p>
    <w:p w:rsidR="00000000" w:rsidRDefault="00000000">
      <w:pPr>
        <w:spacing w:after="220" w:line="270" w:lineRule="exact"/>
      </w:pPr>
      <w:r>
        <w:t>168.</w:t>
      </w:r>
      <w:r>
        <w:tab/>
        <w:t>Selon les données disponibles, la superficie totale du parc national de logements est de 101,5 millions de m</w:t>
      </w:r>
      <w:r>
        <w:rPr>
          <w:vertAlign w:val="superscript"/>
        </w:rPr>
        <w:t>2</w:t>
      </w:r>
      <w:r>
        <w:t>, dont:</w:t>
      </w:r>
    </w:p>
    <w:p w:rsidR="00000000" w:rsidRDefault="00000000">
      <w:pPr>
        <w:numPr>
          <w:ilvl w:val="0"/>
          <w:numId w:val="71"/>
        </w:numPr>
        <w:spacing w:after="220" w:line="270" w:lineRule="exact"/>
      </w:pPr>
      <w:r>
        <w:t>Parc de logements appartenant aux collectivités locales (municipalités)</w:t>
      </w:r>
      <w:r>
        <w:br/>
        <w:t xml:space="preserve"> – 18,5 millions de m</w:t>
      </w:r>
      <w:r>
        <w:rPr>
          <w:vertAlign w:val="superscript"/>
        </w:rPr>
        <w:t>2</w:t>
      </w:r>
      <w:r>
        <w:t>; 15 millions de m</w:t>
      </w:r>
      <w:r>
        <w:rPr>
          <w:vertAlign w:val="superscript"/>
        </w:rPr>
        <w:t>2</w:t>
      </w:r>
      <w:r>
        <w:t xml:space="preserve"> ont été privatisés (280 000 appartements);</w:t>
      </w:r>
    </w:p>
    <w:p w:rsidR="00000000" w:rsidRDefault="00000000">
      <w:pPr>
        <w:numPr>
          <w:ilvl w:val="0"/>
          <w:numId w:val="71"/>
        </w:numPr>
        <w:spacing w:after="220" w:line="270" w:lineRule="exact"/>
      </w:pPr>
      <w:r>
        <w:t>Parc de logements appartenant aux institutions – 4,5 millions de m</w:t>
      </w:r>
      <w:r>
        <w:rPr>
          <w:vertAlign w:val="superscript"/>
        </w:rPr>
        <w:t>2</w:t>
      </w:r>
      <w:r>
        <w:t xml:space="preserve"> en superficie totale; 2 millions de m</w:t>
      </w:r>
      <w:r>
        <w:rPr>
          <w:vertAlign w:val="superscript"/>
        </w:rPr>
        <w:t>2</w:t>
      </w:r>
      <w:r>
        <w:t xml:space="preserve"> ont été privatisés (34 000 appartements);</w:t>
      </w:r>
    </w:p>
    <w:p w:rsidR="00000000" w:rsidRDefault="00000000">
      <w:pPr>
        <w:numPr>
          <w:ilvl w:val="0"/>
          <w:numId w:val="71"/>
        </w:numPr>
        <w:spacing w:after="220" w:line="270" w:lineRule="exact"/>
      </w:pPr>
      <w:r>
        <w:t>Parc de logements appartenant aux coopératives d’habitation et de construction</w:t>
      </w:r>
      <w:r>
        <w:br/>
        <w:t xml:space="preserve"> – 4,5 millions de m</w:t>
      </w:r>
      <w:r>
        <w:rPr>
          <w:vertAlign w:val="superscript"/>
        </w:rPr>
        <w:t>2</w:t>
      </w:r>
      <w:r>
        <w:t>; 2,8 millions de m</w:t>
      </w:r>
      <w:r>
        <w:rPr>
          <w:vertAlign w:val="superscript"/>
        </w:rPr>
        <w:t>2</w:t>
      </w:r>
      <w:r>
        <w:t xml:space="preserve"> ont été privatisés (32 000 appartements);</w:t>
      </w:r>
    </w:p>
    <w:p w:rsidR="00000000" w:rsidRDefault="00000000">
      <w:pPr>
        <w:numPr>
          <w:ilvl w:val="0"/>
          <w:numId w:val="71"/>
        </w:numPr>
        <w:spacing w:after="220" w:line="270" w:lineRule="exact"/>
      </w:pPr>
      <w:r>
        <w:t>Parc de logements appartenant en propriété privée à des particuliers – 74 millions de m</w:t>
      </w:r>
      <w:r>
        <w:rPr>
          <w:vertAlign w:val="superscript"/>
        </w:rPr>
        <w:t>2</w:t>
      </w:r>
      <w:r>
        <w:t>, dont: 20 millions de m</w:t>
      </w:r>
      <w:r>
        <w:rPr>
          <w:vertAlign w:val="superscript"/>
        </w:rPr>
        <w:t>2</w:t>
      </w:r>
      <w:r>
        <w:t xml:space="preserve"> en milieu urbain, 54 millions de m</w:t>
      </w:r>
      <w:r>
        <w:rPr>
          <w:vertAlign w:val="superscript"/>
        </w:rPr>
        <w:t>2</w:t>
      </w:r>
      <w:r>
        <w:t xml:space="preserve"> en milieu rural.</w:t>
      </w:r>
    </w:p>
    <w:p w:rsidR="00000000" w:rsidRDefault="00000000">
      <w:pPr>
        <w:keepNext/>
        <w:spacing w:after="220" w:line="270" w:lineRule="exact"/>
      </w:pPr>
      <w:r>
        <w:t>169.</w:t>
      </w:r>
      <w:r>
        <w:tab/>
        <w:t>Sur le total des logements existants, 24 millions de m</w:t>
      </w:r>
      <w:r>
        <w:rPr>
          <w:vertAlign w:val="superscript"/>
        </w:rPr>
        <w:t>2</w:t>
      </w:r>
      <w:r>
        <w:t xml:space="preserve"> (9 000 logements) sont en mauvais état, et 1 200 000 logements sont à démolir en raison de leur décrépitude. La somme totale nécessaire à la réhabilitation du parc de logements est évaluée à 750 millions de lari.</w:t>
      </w:r>
    </w:p>
    <w:p w:rsidR="00000000" w:rsidRDefault="00000000">
      <w:pPr>
        <w:spacing w:after="220" w:line="270" w:lineRule="exact"/>
      </w:pPr>
      <w:r>
        <w:t>170.</w:t>
      </w:r>
      <w:r>
        <w:tab/>
        <w:t>Dans la période 1997</w:t>
      </w:r>
      <w:r>
        <w:noBreakHyphen/>
        <w:t>2000, 71 500 m</w:t>
      </w:r>
      <w:r>
        <w:rPr>
          <w:vertAlign w:val="superscript"/>
        </w:rPr>
        <w:t>2</w:t>
      </w:r>
      <w:r>
        <w:t xml:space="preserve"> de logements ont été construits sur fonds publics et 490 000 m</w:t>
      </w:r>
      <w:r>
        <w:rPr>
          <w:vertAlign w:val="superscript"/>
        </w:rPr>
        <w:t>2</w:t>
      </w:r>
      <w:r>
        <w:t xml:space="preserve"> par des bâtisseurs individuels.</w:t>
      </w:r>
    </w:p>
    <w:p w:rsidR="00000000" w:rsidRDefault="00000000">
      <w:pPr>
        <w:keepNext/>
        <w:spacing w:after="220" w:line="270" w:lineRule="exact"/>
      </w:pPr>
      <w:r>
        <w:t>171.</w:t>
      </w:r>
      <w:r>
        <w:tab/>
        <w:t>Le niveau d’équipement du parc de logements existant se caractérise par les indicateurs suivants:</w:t>
      </w:r>
    </w:p>
    <w:p w:rsidR="00000000" w:rsidRDefault="00000000">
      <w:pPr>
        <w:numPr>
          <w:ilvl w:val="0"/>
          <w:numId w:val="72"/>
        </w:numPr>
        <w:spacing w:after="220" w:line="270" w:lineRule="exact"/>
      </w:pPr>
      <w:r>
        <w:t>Eau courante – 97,5 %;</w:t>
      </w:r>
    </w:p>
    <w:p w:rsidR="00000000" w:rsidRDefault="00000000">
      <w:pPr>
        <w:numPr>
          <w:ilvl w:val="0"/>
          <w:numId w:val="72"/>
        </w:numPr>
        <w:spacing w:after="220" w:line="270" w:lineRule="exact"/>
      </w:pPr>
      <w:r>
        <w:t>Tout</w:t>
      </w:r>
      <w:r>
        <w:noBreakHyphen/>
        <w:t>à</w:t>
      </w:r>
      <w:r>
        <w:noBreakHyphen/>
        <w:t>l’égout – 94,6 %;</w:t>
      </w:r>
    </w:p>
    <w:p w:rsidR="00000000" w:rsidRDefault="00000000">
      <w:pPr>
        <w:numPr>
          <w:ilvl w:val="0"/>
          <w:numId w:val="72"/>
        </w:numPr>
        <w:spacing w:after="220" w:line="270" w:lineRule="exact"/>
      </w:pPr>
      <w:r>
        <w:t>Toilettes – 86,2 %;</w:t>
      </w:r>
    </w:p>
    <w:p w:rsidR="00000000" w:rsidRDefault="00000000">
      <w:pPr>
        <w:numPr>
          <w:ilvl w:val="0"/>
          <w:numId w:val="72"/>
        </w:numPr>
        <w:spacing w:after="220" w:line="270" w:lineRule="exact"/>
      </w:pPr>
      <w:r>
        <w:t>Eau chaude – 55,5 %;</w:t>
      </w:r>
    </w:p>
    <w:p w:rsidR="00000000" w:rsidRDefault="00000000">
      <w:pPr>
        <w:numPr>
          <w:ilvl w:val="0"/>
          <w:numId w:val="72"/>
        </w:numPr>
        <w:spacing w:after="220" w:line="270" w:lineRule="exact"/>
      </w:pPr>
      <w:r>
        <w:t>Chauffage central – 98 %;</w:t>
      </w:r>
    </w:p>
    <w:p w:rsidR="00000000" w:rsidRDefault="00000000">
      <w:pPr>
        <w:numPr>
          <w:ilvl w:val="0"/>
          <w:numId w:val="72"/>
        </w:numPr>
        <w:spacing w:after="220" w:line="270" w:lineRule="exact"/>
      </w:pPr>
      <w:r>
        <w:t>Gaz – 76 %;</w:t>
      </w:r>
    </w:p>
    <w:p w:rsidR="00000000" w:rsidRDefault="00000000">
      <w:pPr>
        <w:numPr>
          <w:ilvl w:val="0"/>
          <w:numId w:val="72"/>
        </w:numPr>
        <w:spacing w:after="220" w:line="270" w:lineRule="exact"/>
      </w:pPr>
      <w:r>
        <w:t>Cuisinière électrique – 12 %.</w:t>
      </w:r>
    </w:p>
    <w:p w:rsidR="00000000" w:rsidRDefault="00000000">
      <w:pPr>
        <w:spacing w:after="220" w:line="270" w:lineRule="exact"/>
      </w:pPr>
      <w:r>
        <w:t>172.</w:t>
      </w:r>
      <w:r>
        <w:tab/>
        <w:t>Les chiffres ci</w:t>
      </w:r>
      <w:r>
        <w:noBreakHyphen/>
        <w:t>dessus appellent les commentaires suivants: il convient de souligner tout particulièrement qu’en raison de la situation économique difficile que traverse le pays, la quasi</w:t>
      </w:r>
      <w:r>
        <w:noBreakHyphen/>
        <w:t>totalité des logements n’ont actuellement ni l’eau chaude ni le chauffage central.</w:t>
      </w:r>
    </w:p>
    <w:p w:rsidR="00000000" w:rsidRDefault="00000000">
      <w:pPr>
        <w:spacing w:after="220" w:line="270" w:lineRule="exact"/>
      </w:pPr>
      <w:r>
        <w:t>173.</w:t>
      </w:r>
      <w:r>
        <w:tab/>
        <w:t>On trouvera plus loin, à la section consacrée aux problèmes de santé, des renseignements plus fournis sur l’accès de la population à l’eau potable et au réseau d’assainissement.</w:t>
      </w:r>
    </w:p>
    <w:p w:rsidR="00000000" w:rsidRDefault="00000000">
      <w:pPr>
        <w:spacing w:after="220" w:line="270" w:lineRule="exact"/>
      </w:pPr>
      <w:r>
        <w:t>174.</w:t>
      </w:r>
      <w:r>
        <w:tab/>
        <w:t>Selon les données dont disposent les organismes publics, 110 500 familles sont actuellement sans logis, soit environ 386 750 personnes. La superficie totale des logements anciens, en mauvais état nécessitant une réfection totale et insalubres est de 20,5 millions de m</w:t>
      </w:r>
      <w:r>
        <w:rPr>
          <w:vertAlign w:val="superscript"/>
        </w:rPr>
        <w:t>2</w:t>
      </w:r>
      <w:r>
        <w:t>, soit 20,2 % de l’ensemble du parc. Dans ce type de logements vivent 1 138 800 personnes.</w:t>
      </w:r>
    </w:p>
    <w:p w:rsidR="00000000" w:rsidRDefault="00000000">
      <w:pPr>
        <w:spacing w:after="220" w:line="270" w:lineRule="exact"/>
      </w:pPr>
      <w:r>
        <w:t>175.</w:t>
      </w:r>
      <w:r>
        <w:tab/>
        <w:t>Le nombre de personnes que l’on peut considérer comme vivant dans des logements «illégaux» avoisine 26 000. Il convient de faire observer que, conformément à l’arrêté du Conseil des ministres adopté dès 1983 (et modifié en 1994 par arrêté du Premier Ministre), les collectivités locales ont le droit de procéder dans les conditions prévues par la loi, à l’enregistrement des logements «illégaux» construits par des propriétaires privés jusqu’en mars 1994.</w:t>
      </w:r>
    </w:p>
    <w:p w:rsidR="00000000" w:rsidRDefault="00000000">
      <w:pPr>
        <w:spacing w:after="220" w:line="270" w:lineRule="exact"/>
      </w:pPr>
      <w:r>
        <w:t>176.</w:t>
      </w:r>
      <w:r>
        <w:tab/>
        <w:t>La construction de logements est effectuée à l’heure actuelle aussi bien par des organismes publics que par des personnes morales non étatiques et des bâtisseurs privés. Sous réserve d’avoir obtenu la licence appropriée, ils ne se heurtent à aucun obstacle dans leurs activités de construction. Le financement de la construction provient de diverses sources, mais les organismes privés ne sont pas subventionnés par l’État et font appel dans leur majorité à des crédits bancaires (en l’absence de fonds propres).</w:t>
      </w:r>
    </w:p>
    <w:p w:rsidR="00000000" w:rsidRDefault="00000000">
      <w:pPr>
        <w:keepLines/>
        <w:spacing w:after="220" w:line="270" w:lineRule="exact"/>
      </w:pPr>
      <w:r>
        <w:t>177.</w:t>
      </w:r>
      <w:r>
        <w:tab/>
        <w:t>Il découle à l’évidence de ce qui précède que l’un des problèmes les plus brûlants de l’heure est de loger les couches de la population socialement défavorisées. Dans le cadre du Programme national d’élimination de la pauvreté et de croissance économique (évoqué plus haut), le Ministère de l’urbanisme et de la construction a élaboré un projet de programme national de construction de logements publics. Dans le cadre de l’assistance technique fournie par la Banque mondiale, un programme de réforme de la politique du logement a été mis en place avec la participation d’experts de cette organisation. L’exécution de ce programme est cependant restée en plan faute des ressources financières nécessaires.</w:t>
      </w:r>
    </w:p>
    <w:p w:rsidR="00000000" w:rsidRDefault="00000000">
      <w:pPr>
        <w:keepNext/>
        <w:spacing w:after="220" w:line="270" w:lineRule="exact"/>
        <w:ind w:firstLine="567"/>
        <w:rPr>
          <w:u w:val="single"/>
        </w:rPr>
      </w:pPr>
      <w:r>
        <w:rPr>
          <w:u w:val="single"/>
        </w:rPr>
        <w:t>Les actes normatifs en rapport avec la réalisation du droit à un logement décent</w:t>
      </w:r>
    </w:p>
    <w:p w:rsidR="00000000" w:rsidRDefault="00000000">
      <w:pPr>
        <w:spacing w:after="220" w:line="270" w:lineRule="exact"/>
      </w:pPr>
      <w:r>
        <w:t>178.</w:t>
      </w:r>
      <w:r>
        <w:tab/>
        <w:t>Comme on l’a mentionné plus haut, dans cette même section du rapport, les informations concernant les lois qui définissent le droit matériel à un logement figurent dans le rapport initial sur la mise en œuvre de la Convention internationale pour l’élimination de toutes les formes de discrimination raciale. Pour compléter ces informations, il convient d’ajouter ce qui suit.</w:t>
      </w:r>
    </w:p>
    <w:p w:rsidR="00000000" w:rsidRDefault="00000000">
      <w:pPr>
        <w:spacing w:after="220" w:line="270" w:lineRule="exact"/>
      </w:pPr>
      <w:r>
        <w:t>179.</w:t>
      </w:r>
      <w:r>
        <w:tab/>
        <w:t>Les questions d’exploitation, de répartition et d’affectation des sols, de zonage, de fixation du prix maximum des terres, d’indemnisation en cas d’expropriation sont, selon les renseignements fournis par le Ministère de la justice, régies par les textes législatifs suivants:</w:t>
      </w:r>
    </w:p>
    <w:p w:rsidR="00000000" w:rsidRDefault="00000000">
      <w:pPr>
        <w:numPr>
          <w:ilvl w:val="0"/>
          <w:numId w:val="73"/>
        </w:numPr>
        <w:spacing w:after="220" w:line="270" w:lineRule="exact"/>
      </w:pPr>
      <w:r>
        <w:t>Loi du 22 mars 1996 sur la propriété des terres agricoles;</w:t>
      </w:r>
    </w:p>
    <w:p w:rsidR="00000000" w:rsidRDefault="00000000">
      <w:pPr>
        <w:numPr>
          <w:ilvl w:val="0"/>
          <w:numId w:val="73"/>
        </w:numPr>
        <w:spacing w:after="220" w:line="270" w:lineRule="exact"/>
      </w:pPr>
      <w:r>
        <w:t>Loi du 2 octobre 1997 sur la mise en valeur, l’indemnité de plus</w:t>
      </w:r>
      <w:r>
        <w:noBreakHyphen/>
        <w:t>value et l’indemnisation des dommages causés lors de la transformation d’une terre agricole en terre à usage non agricole;</w:t>
      </w:r>
    </w:p>
    <w:p w:rsidR="00000000" w:rsidRDefault="00000000">
      <w:pPr>
        <w:numPr>
          <w:ilvl w:val="0"/>
          <w:numId w:val="73"/>
        </w:numPr>
        <w:spacing w:after="220" w:line="270" w:lineRule="exact"/>
      </w:pPr>
      <w:r>
        <w:t>Loi du 28 octobre 1998 sur la gestion et l’administration des terres à usage non agricole appartenant à l’État;</w:t>
      </w:r>
    </w:p>
    <w:p w:rsidR="00000000" w:rsidRDefault="00000000">
      <w:pPr>
        <w:numPr>
          <w:ilvl w:val="0"/>
          <w:numId w:val="73"/>
        </w:numPr>
        <w:spacing w:after="220" w:line="270" w:lineRule="exact"/>
      </w:pPr>
      <w:r>
        <w:t>Loi du 28 octobre 1998 sur la déclaration de propriété privée des terres à usage non agricole dont des personnes physiques et morales de droit privé ont la jouissance;</w:t>
      </w:r>
    </w:p>
    <w:p w:rsidR="00000000" w:rsidRDefault="00000000">
      <w:pPr>
        <w:numPr>
          <w:ilvl w:val="0"/>
          <w:numId w:val="73"/>
        </w:numPr>
        <w:spacing w:after="220" w:line="270" w:lineRule="exact"/>
      </w:pPr>
      <w:r>
        <w:t>Loi du 30 avril 1999 sur les taxes d’enregistrement prélevées par l’État sur les pièces de terrain et les biens immeubles connexes;</w:t>
      </w:r>
    </w:p>
    <w:p w:rsidR="00000000" w:rsidRDefault="00000000">
      <w:pPr>
        <w:numPr>
          <w:ilvl w:val="0"/>
          <w:numId w:val="73"/>
        </w:numPr>
        <w:spacing w:after="220" w:line="270" w:lineRule="exact"/>
      </w:pPr>
      <w:r>
        <w:t>Loi du 23 juillet 1999 portant procédure d’expropriation de biens pour cause d’utilité publique;</w:t>
      </w:r>
    </w:p>
    <w:p w:rsidR="00000000" w:rsidRDefault="00000000">
      <w:pPr>
        <w:numPr>
          <w:ilvl w:val="0"/>
          <w:numId w:val="73"/>
        </w:numPr>
        <w:spacing w:after="220" w:line="270" w:lineRule="exact"/>
      </w:pPr>
      <w:r>
        <w:t>Loi du 14 novembre 1996 sur le cadastre des terres.</w:t>
      </w:r>
    </w:p>
    <w:p w:rsidR="00000000" w:rsidRDefault="00000000">
      <w:pPr>
        <w:spacing w:after="220" w:line="270" w:lineRule="exact"/>
      </w:pPr>
      <w:r>
        <w:t>180.</w:t>
      </w:r>
      <w:r>
        <w:tab/>
        <w:t>Conformément à l’article 160 du Code pénal, toute atteinte à l’inviolabilité du domicile ou de toute autre possession est réprimée au pénal. En application d’un arrêté pris par le Ministre géorgien de l’urbanisation et de la construction en février 2001, toutes les normes et règles en matière de construction élaborées et adoptées avant 1992, de même que les autres actes normatifs en vigueur dans cette branche qui ne sont pas contraires à la législation géorgienne et aux traités internationaux auxquels la Géorgie est partie, restent en vigueur. Il convient toutefois de faire observer que le processus d’élaboration des nouveaux actes normatifs dans cette branche est considérablement compliqué par l’absence de deniers publics. De plus, les actes normatifs en vigueur à l’époque de l’ex</w:t>
      </w:r>
      <w:r>
        <w:noBreakHyphen/>
        <w:t>URSS ne répondent plus pour beaucoup aux prescriptions actuelles.</w:t>
      </w:r>
    </w:p>
    <w:p w:rsidR="00000000" w:rsidRDefault="00000000">
      <w:pPr>
        <w:keepNext/>
        <w:spacing w:after="180" w:line="270" w:lineRule="exact"/>
      </w:pPr>
      <w:r>
        <w:t>181.</w:t>
      </w:r>
      <w:r>
        <w:tab/>
        <w:t>Les questions de planification économique et de santé publique dans les zones habitées sont régies par les lois suivantes:</w:t>
      </w:r>
    </w:p>
    <w:p w:rsidR="00000000" w:rsidRDefault="00000000">
      <w:pPr>
        <w:numPr>
          <w:ilvl w:val="0"/>
          <w:numId w:val="74"/>
        </w:numPr>
        <w:spacing w:after="180" w:line="270" w:lineRule="exact"/>
      </w:pPr>
      <w:r>
        <w:t>Loi du 16 avril 1996 sur l’expertise et l’homologation intégrées par l’État des projets immobiliers;</w:t>
      </w:r>
    </w:p>
    <w:p w:rsidR="00000000" w:rsidRDefault="00000000">
      <w:pPr>
        <w:numPr>
          <w:ilvl w:val="0"/>
          <w:numId w:val="74"/>
        </w:numPr>
        <w:spacing w:after="180" w:line="270" w:lineRule="exact"/>
      </w:pPr>
      <w:r>
        <w:t>Loi du 9 septembre 1999 sur l’octroi de licences aux bureaux d’études de génie civil;</w:t>
      </w:r>
    </w:p>
    <w:p w:rsidR="00000000" w:rsidRDefault="00000000">
      <w:pPr>
        <w:numPr>
          <w:ilvl w:val="0"/>
          <w:numId w:val="74"/>
        </w:numPr>
        <w:spacing w:after="180" w:line="270" w:lineRule="exact"/>
      </w:pPr>
      <w:r>
        <w:t>Loi du 27 octobre 2000 sur les activités de construction;</w:t>
      </w:r>
    </w:p>
    <w:p w:rsidR="00000000" w:rsidRDefault="00000000">
      <w:pPr>
        <w:numPr>
          <w:ilvl w:val="0"/>
          <w:numId w:val="74"/>
        </w:numPr>
        <w:spacing w:after="180" w:line="270" w:lineRule="exact"/>
      </w:pPr>
      <w:r>
        <w:t>Loi du 15 octobre 1996 sur l’expertise écologique d’État.</w:t>
      </w:r>
    </w:p>
    <w:p w:rsidR="00000000" w:rsidRDefault="00000000">
      <w:pPr>
        <w:keepNext/>
        <w:spacing w:after="180" w:line="270" w:lineRule="exact"/>
        <w:ind w:firstLine="567"/>
        <w:rPr>
          <w:u w:val="single"/>
        </w:rPr>
      </w:pPr>
      <w:r>
        <w:rPr>
          <w:u w:val="single"/>
        </w:rPr>
        <w:t>Les expulsions</w:t>
      </w:r>
    </w:p>
    <w:p w:rsidR="00000000" w:rsidRDefault="00000000">
      <w:pPr>
        <w:spacing w:after="180" w:line="270" w:lineRule="exact"/>
      </w:pPr>
      <w:r>
        <w:t>182.</w:t>
      </w:r>
      <w:r>
        <w:tab/>
        <w:t>La loi prévoit des procédures judiciaires d’expulsion, ce qui en interdit pratiquement le caractère arbitraire. Les modalités pratiques de l’expulsion en application d’une décision judiciaire ad hoc sont régies par l’article 90 de la loi sur les procédures d’exécution aux termes duquel l’individu expulsé se voit accorder un délai d’exécution volontaire de la décision de justice (qui ne peut excéder un mois). Les frais de l’expulsion sont à la charge de l’expulsé. En cas d’infraction à la procédure d’expulsion, les parties ont le droit, conformément à l’article 18 de ladite loi, d’interjeter appel des actes de l’huissier de justice devant un tribunal, dans le délai d’un mois à compter de la date de mise en application de la contrainte exécutive.</w:t>
      </w:r>
    </w:p>
    <w:p w:rsidR="00000000" w:rsidRDefault="00000000">
      <w:pPr>
        <w:spacing w:after="180" w:line="270" w:lineRule="exact"/>
      </w:pPr>
      <w:r>
        <w:t>183.</w:t>
      </w:r>
      <w:r>
        <w:tab/>
        <w:t>Selon les statistiques du Ministère de la justice, en 2000, les cabinets d’huissiers de district ont été saisis de 333 décisions d’expulsion exécutoires. Deux cent trente</w:t>
      </w:r>
      <w:r>
        <w:noBreakHyphen/>
        <w:t>quatre d’entre elles ont été exécutées; dans 18 affaires, le titre exécutoire a été renvoyé à la personne qui avait engagé l’action en expulsion (par suite d’un règlement à l’amiable), et dans trois cas, le titre exécutoire a été adressé à qui de droit.</w:t>
      </w:r>
    </w:p>
    <w:p w:rsidR="00000000" w:rsidRDefault="00000000">
      <w:pPr>
        <w:keepNext/>
        <w:spacing w:after="180" w:line="270" w:lineRule="exact"/>
        <w:ind w:firstLine="567"/>
        <w:rPr>
          <w:u w:val="single"/>
        </w:rPr>
      </w:pPr>
      <w:r>
        <w:rPr>
          <w:u w:val="single"/>
        </w:rPr>
        <w:t>Les mesures à appliquer pour réaliser le droit à un logement décent</w:t>
      </w:r>
    </w:p>
    <w:p w:rsidR="00000000" w:rsidRDefault="00000000">
      <w:pPr>
        <w:spacing w:after="180" w:line="270" w:lineRule="exact"/>
      </w:pPr>
      <w:r>
        <w:t>184.</w:t>
      </w:r>
      <w:r>
        <w:tab/>
        <w:t>Dans ses recommandations, le Comité des droits économiques, sociaux et culturels a invité l’État partie à prendre des mesures pour créer les conditions qui permettraient aux personnes déplacées de retourner dans leur lieu de résidence antérieur (par. 29). Il convient malheureusement de faire observer que, du fait que les conflits dont il était question dans le rapport initial n’ont pas trouvé de règlement politique, il n’a pas été possible de donner suite à cette recommandation du Comité dans la période à l’examen.</w:t>
      </w:r>
    </w:p>
    <w:p w:rsidR="00000000" w:rsidRDefault="00000000">
      <w:pPr>
        <w:spacing w:after="180" w:line="270" w:lineRule="exact"/>
      </w:pPr>
      <w:r>
        <w:t>185.</w:t>
      </w:r>
      <w:r>
        <w:tab/>
        <w:t>Afin d’éliminer les problèmes qui font obstacle à la réalisation du droit au logement et à la construction de logements, le Ministère de l’urbanisme et de la construction juge indispensable d’améliorer la base législative pertinente. Ainsi, le Ministère a élaboré et présenté pour examen au Gouvernement géorgien un projet de loi sur les condominiums. De même, ont été élaborés un projet de loi sur la planification spatio</w:t>
      </w:r>
      <w:r>
        <w:noBreakHyphen/>
        <w:t>territoriale de l’urbanisme et un projet de texte réglementaire sur la construction de bâtiments dans la ville de Tbilissi, qui sont en voie d’être adoptés.</w:t>
      </w:r>
    </w:p>
    <w:p w:rsidR="00000000" w:rsidRDefault="00000000">
      <w:pPr>
        <w:keepNext/>
        <w:spacing w:after="180" w:line="270" w:lineRule="exact"/>
        <w:ind w:firstLine="567"/>
        <w:rPr>
          <w:u w:val="single"/>
        </w:rPr>
      </w:pPr>
      <w:r>
        <w:rPr>
          <w:u w:val="single"/>
        </w:rPr>
        <w:t>Le budget du Ministère de l’urbanisme et de la construction</w:t>
      </w:r>
    </w:p>
    <w:p w:rsidR="00000000" w:rsidRDefault="00000000">
      <w:pPr>
        <w:spacing w:after="180" w:line="270" w:lineRule="exact"/>
      </w:pPr>
      <w:r>
        <w:t>186.</w:t>
      </w:r>
      <w:r>
        <w:tab/>
        <w:t>Le financement du Ministère est assuré par prélèvement sur le budget de l’État, et les fonds qui lui sont affectés servent à entretenir l’appareil central et à couvrir les dépenses courantes. Le budget du Ministère n’est pas très important; ainsi, en 2001, il s’élève à 235 400 lari, ce qui représente 0,026 % des dépenses inscrites au budget (central) de l’État.</w:t>
      </w:r>
    </w:p>
    <w:p w:rsidR="00000000" w:rsidRDefault="00000000">
      <w:pPr>
        <w:keepNext/>
        <w:spacing w:after="220" w:line="270" w:lineRule="exact"/>
      </w:pPr>
      <w:r>
        <w:rPr>
          <w:u w:val="single"/>
        </w:rPr>
        <w:t>Article 12</w:t>
      </w:r>
    </w:p>
    <w:p w:rsidR="00000000" w:rsidRDefault="00000000">
      <w:pPr>
        <w:keepNext/>
        <w:spacing w:after="220" w:line="270" w:lineRule="exact"/>
        <w:ind w:firstLine="567"/>
        <w:rPr>
          <w:u w:val="single"/>
        </w:rPr>
      </w:pPr>
      <w:r>
        <w:rPr>
          <w:u w:val="single"/>
        </w:rPr>
        <w:t>Santé physique et mentale de la population</w:t>
      </w:r>
    </w:p>
    <w:p w:rsidR="00000000" w:rsidRDefault="00000000">
      <w:pPr>
        <w:spacing w:after="220" w:line="270" w:lineRule="exact"/>
      </w:pPr>
      <w:r>
        <w:t>187.</w:t>
      </w:r>
      <w:r>
        <w:tab/>
        <w:t>L’état de santé de la population géorgienne et son amélioration font l’objet d’une attention particulière de la part du Gouvernement. À titre d’exemple, il suffit de mentionner le fait que le Conseil de la sécurité nationale, qui est dirigé par le Président de la République, a examiné (en mars 2001) le Rapport national sur l’état de santé de la population géorgienne en 1999, établi par le Ministère du travail, de la santé et de la protection sociale.</w:t>
      </w:r>
    </w:p>
    <w:p w:rsidR="00000000" w:rsidRDefault="00000000">
      <w:pPr>
        <w:spacing w:after="220" w:line="270" w:lineRule="exact"/>
      </w:pPr>
      <w:r>
        <w:t>188.</w:t>
      </w:r>
      <w:r>
        <w:tab/>
        <w:t>On trouvera ci</w:t>
      </w:r>
      <w:r>
        <w:noBreakHyphen/>
        <w:t>après, sous forme de tableaux, les principaux indicateurs relatifs à la santé de la population.</w:t>
      </w:r>
    </w:p>
    <w:p w:rsidR="00000000" w:rsidRDefault="00000000">
      <w:pPr>
        <w:keepNext/>
        <w:spacing w:after="240"/>
        <w:jc w:val="center"/>
      </w:pPr>
      <w:r>
        <w:rPr>
          <w:u w:val="single"/>
        </w:rPr>
        <w:t>Taux de mortalité, par groupe d’âge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5"/>
        <w:gridCol w:w="1287"/>
        <w:gridCol w:w="1326"/>
        <w:gridCol w:w="1365"/>
        <w:gridCol w:w="1287"/>
        <w:gridCol w:w="1235"/>
      </w:tblGrid>
      <w:tr w:rsidR="00000000">
        <w:tblPrEx>
          <w:tblCellMar>
            <w:top w:w="0" w:type="dxa"/>
            <w:bottom w:w="0" w:type="dxa"/>
          </w:tblCellMar>
        </w:tblPrEx>
        <w:trPr>
          <w:cantSplit/>
        </w:trPr>
        <w:tc>
          <w:tcPr>
            <w:tcW w:w="2995" w:type="dxa"/>
            <w:vMerge w:val="restart"/>
            <w:vAlign w:val="center"/>
          </w:tcPr>
          <w:p w:rsidR="00000000" w:rsidRDefault="00000000">
            <w:pPr>
              <w:spacing w:before="60" w:after="60"/>
              <w:rPr>
                <w:sz w:val="22"/>
              </w:rPr>
            </w:pPr>
          </w:p>
        </w:tc>
        <w:tc>
          <w:tcPr>
            <w:tcW w:w="6500" w:type="dxa"/>
            <w:gridSpan w:val="5"/>
            <w:vAlign w:val="center"/>
          </w:tcPr>
          <w:p w:rsidR="00000000" w:rsidRDefault="00000000">
            <w:pPr>
              <w:keepNext/>
              <w:spacing w:before="60" w:after="60"/>
              <w:jc w:val="center"/>
              <w:rPr>
                <w:sz w:val="22"/>
              </w:rPr>
            </w:pPr>
            <w:r>
              <w:rPr>
                <w:sz w:val="22"/>
              </w:rPr>
              <w:t>Nombre de décès par groupe d’âge, pour 1000</w:t>
            </w:r>
          </w:p>
        </w:tc>
      </w:tr>
      <w:tr w:rsidR="00000000">
        <w:tblPrEx>
          <w:tblCellMar>
            <w:top w:w="0" w:type="dxa"/>
            <w:bottom w:w="0" w:type="dxa"/>
          </w:tblCellMar>
        </w:tblPrEx>
        <w:trPr>
          <w:cantSplit/>
        </w:trPr>
        <w:tc>
          <w:tcPr>
            <w:tcW w:w="2995" w:type="dxa"/>
            <w:vMerge/>
            <w:vAlign w:val="center"/>
          </w:tcPr>
          <w:p w:rsidR="00000000" w:rsidRDefault="00000000">
            <w:pPr>
              <w:keepNext/>
              <w:spacing w:before="60" w:after="60"/>
              <w:rPr>
                <w:sz w:val="22"/>
              </w:rPr>
            </w:pPr>
          </w:p>
        </w:tc>
        <w:tc>
          <w:tcPr>
            <w:tcW w:w="1287" w:type="dxa"/>
            <w:vAlign w:val="center"/>
          </w:tcPr>
          <w:p w:rsidR="00000000" w:rsidRDefault="00000000">
            <w:pPr>
              <w:keepNext/>
              <w:spacing w:before="60" w:after="60"/>
              <w:jc w:val="center"/>
              <w:rPr>
                <w:sz w:val="22"/>
              </w:rPr>
            </w:pPr>
            <w:r>
              <w:rPr>
                <w:sz w:val="22"/>
              </w:rPr>
              <w:t>1990</w:t>
            </w:r>
          </w:p>
        </w:tc>
        <w:tc>
          <w:tcPr>
            <w:tcW w:w="1326" w:type="dxa"/>
            <w:vAlign w:val="center"/>
          </w:tcPr>
          <w:p w:rsidR="00000000" w:rsidRDefault="00000000">
            <w:pPr>
              <w:keepNext/>
              <w:spacing w:before="60" w:after="60"/>
              <w:jc w:val="center"/>
              <w:rPr>
                <w:sz w:val="22"/>
              </w:rPr>
            </w:pPr>
            <w:r>
              <w:rPr>
                <w:sz w:val="22"/>
              </w:rPr>
              <w:t>1996</w:t>
            </w:r>
          </w:p>
        </w:tc>
        <w:tc>
          <w:tcPr>
            <w:tcW w:w="1365" w:type="dxa"/>
            <w:vAlign w:val="center"/>
          </w:tcPr>
          <w:p w:rsidR="00000000" w:rsidRDefault="00000000">
            <w:pPr>
              <w:keepNext/>
              <w:spacing w:before="60" w:after="60"/>
              <w:jc w:val="center"/>
              <w:rPr>
                <w:sz w:val="22"/>
              </w:rPr>
            </w:pPr>
            <w:r>
              <w:rPr>
                <w:sz w:val="22"/>
              </w:rPr>
              <w:t>1997</w:t>
            </w:r>
          </w:p>
        </w:tc>
        <w:tc>
          <w:tcPr>
            <w:tcW w:w="1287" w:type="dxa"/>
            <w:vAlign w:val="center"/>
          </w:tcPr>
          <w:p w:rsidR="00000000" w:rsidRDefault="00000000">
            <w:pPr>
              <w:keepNext/>
              <w:spacing w:before="60" w:after="60"/>
              <w:jc w:val="center"/>
              <w:rPr>
                <w:sz w:val="22"/>
              </w:rPr>
            </w:pPr>
            <w:r>
              <w:rPr>
                <w:sz w:val="22"/>
              </w:rPr>
              <w:t>1998</w:t>
            </w:r>
          </w:p>
        </w:tc>
        <w:tc>
          <w:tcPr>
            <w:tcW w:w="1235" w:type="dxa"/>
            <w:vAlign w:val="center"/>
          </w:tcPr>
          <w:p w:rsidR="00000000" w:rsidRDefault="00000000">
            <w:pPr>
              <w:keepNext/>
              <w:spacing w:before="60" w:after="60"/>
              <w:jc w:val="center"/>
              <w:rPr>
                <w:sz w:val="22"/>
              </w:rPr>
            </w:pPr>
            <w:r>
              <w:rPr>
                <w:sz w:val="22"/>
              </w:rPr>
              <w:t>1999</w:t>
            </w:r>
          </w:p>
        </w:tc>
      </w:tr>
      <w:tr w:rsidR="00000000">
        <w:tblPrEx>
          <w:tblCellMar>
            <w:top w:w="0" w:type="dxa"/>
            <w:bottom w:w="0" w:type="dxa"/>
          </w:tblCellMar>
        </w:tblPrEx>
        <w:tc>
          <w:tcPr>
            <w:tcW w:w="2995" w:type="dxa"/>
            <w:vAlign w:val="center"/>
          </w:tcPr>
          <w:p w:rsidR="00000000" w:rsidRDefault="00000000">
            <w:pPr>
              <w:spacing w:before="60" w:after="60"/>
              <w:rPr>
                <w:sz w:val="22"/>
              </w:rPr>
            </w:pPr>
            <w:r>
              <w:rPr>
                <w:sz w:val="22"/>
              </w:rPr>
              <w:t>Nombre total de décès</w:t>
            </w:r>
          </w:p>
        </w:tc>
        <w:tc>
          <w:tcPr>
            <w:tcW w:w="1287" w:type="dxa"/>
            <w:vAlign w:val="center"/>
          </w:tcPr>
          <w:p w:rsidR="00000000" w:rsidRDefault="00000000">
            <w:pPr>
              <w:keepNext/>
              <w:spacing w:before="60" w:after="60"/>
              <w:jc w:val="right"/>
              <w:rPr>
                <w:sz w:val="22"/>
              </w:rPr>
            </w:pPr>
            <w:r>
              <w:rPr>
                <w:sz w:val="22"/>
              </w:rPr>
              <w:t>8,5</w:t>
            </w:r>
          </w:p>
        </w:tc>
        <w:tc>
          <w:tcPr>
            <w:tcW w:w="1326" w:type="dxa"/>
            <w:vAlign w:val="center"/>
          </w:tcPr>
          <w:p w:rsidR="00000000" w:rsidRDefault="00000000">
            <w:pPr>
              <w:keepNext/>
              <w:spacing w:before="60" w:after="60"/>
              <w:jc w:val="right"/>
              <w:rPr>
                <w:sz w:val="22"/>
              </w:rPr>
            </w:pPr>
            <w:r>
              <w:rPr>
                <w:sz w:val="22"/>
              </w:rPr>
              <w:t>6,4</w:t>
            </w:r>
          </w:p>
        </w:tc>
        <w:tc>
          <w:tcPr>
            <w:tcW w:w="1365" w:type="dxa"/>
            <w:vAlign w:val="center"/>
          </w:tcPr>
          <w:p w:rsidR="00000000" w:rsidRDefault="00000000">
            <w:pPr>
              <w:keepNext/>
              <w:spacing w:before="60" w:after="60"/>
              <w:jc w:val="right"/>
              <w:rPr>
                <w:sz w:val="22"/>
              </w:rPr>
            </w:pPr>
            <w:r>
              <w:rPr>
                <w:sz w:val="22"/>
              </w:rPr>
              <w:t>7,0</w:t>
            </w:r>
          </w:p>
        </w:tc>
        <w:tc>
          <w:tcPr>
            <w:tcW w:w="1287" w:type="dxa"/>
            <w:vAlign w:val="center"/>
          </w:tcPr>
          <w:p w:rsidR="00000000" w:rsidRDefault="00000000">
            <w:pPr>
              <w:keepNext/>
              <w:spacing w:before="60" w:after="60"/>
              <w:jc w:val="right"/>
              <w:rPr>
                <w:sz w:val="22"/>
              </w:rPr>
            </w:pPr>
            <w:r>
              <w:rPr>
                <w:sz w:val="22"/>
              </w:rPr>
              <w:t>7,3</w:t>
            </w:r>
          </w:p>
        </w:tc>
        <w:tc>
          <w:tcPr>
            <w:tcW w:w="1235" w:type="dxa"/>
            <w:vAlign w:val="center"/>
          </w:tcPr>
          <w:p w:rsidR="00000000" w:rsidRDefault="00000000">
            <w:pPr>
              <w:keepNext/>
              <w:spacing w:before="60" w:after="60"/>
              <w:jc w:val="right"/>
              <w:rPr>
                <w:sz w:val="22"/>
              </w:rPr>
            </w:pPr>
            <w:r>
              <w:rPr>
                <w:sz w:val="22"/>
              </w:rPr>
              <w:t>7,9</w:t>
            </w:r>
          </w:p>
        </w:tc>
      </w:tr>
      <w:tr w:rsidR="00000000">
        <w:tblPrEx>
          <w:tblCellMar>
            <w:top w:w="0" w:type="dxa"/>
            <w:bottom w:w="0" w:type="dxa"/>
          </w:tblCellMar>
        </w:tblPrEx>
        <w:trPr>
          <w:cantSplit/>
        </w:trPr>
        <w:tc>
          <w:tcPr>
            <w:tcW w:w="2995" w:type="dxa"/>
            <w:vAlign w:val="center"/>
          </w:tcPr>
          <w:p w:rsidR="00000000" w:rsidRDefault="00000000">
            <w:pPr>
              <w:tabs>
                <w:tab w:val="left" w:pos="360"/>
              </w:tabs>
              <w:spacing w:before="60" w:after="60"/>
              <w:rPr>
                <w:sz w:val="22"/>
              </w:rPr>
            </w:pPr>
            <w:r>
              <w:rPr>
                <w:sz w:val="22"/>
              </w:rPr>
              <w:tab/>
              <w:t xml:space="preserve">dont décès de personnes </w:t>
            </w:r>
            <w:r>
              <w:rPr>
                <w:sz w:val="22"/>
              </w:rPr>
              <w:tab/>
              <w:t>âgées de:</w:t>
            </w:r>
          </w:p>
        </w:tc>
        <w:tc>
          <w:tcPr>
            <w:tcW w:w="6500" w:type="dxa"/>
            <w:gridSpan w:val="5"/>
            <w:vAlign w:val="center"/>
          </w:tcPr>
          <w:p w:rsidR="00000000" w:rsidRDefault="00000000">
            <w:pPr>
              <w:keepNext/>
              <w:spacing w:before="60" w:after="60"/>
              <w:jc w:val="right"/>
              <w:rPr>
                <w:sz w:val="22"/>
              </w:rPr>
            </w:pP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0 à 4 ans</w:t>
            </w:r>
          </w:p>
        </w:tc>
        <w:tc>
          <w:tcPr>
            <w:tcW w:w="1287" w:type="dxa"/>
            <w:vAlign w:val="center"/>
          </w:tcPr>
          <w:p w:rsidR="00000000" w:rsidRDefault="00000000">
            <w:pPr>
              <w:spacing w:before="60" w:after="60"/>
              <w:jc w:val="right"/>
              <w:rPr>
                <w:sz w:val="22"/>
              </w:rPr>
            </w:pPr>
            <w:r>
              <w:rPr>
                <w:sz w:val="22"/>
              </w:rPr>
              <w:t>4,1</w:t>
            </w:r>
          </w:p>
        </w:tc>
        <w:tc>
          <w:tcPr>
            <w:tcW w:w="1326" w:type="dxa"/>
            <w:vAlign w:val="center"/>
          </w:tcPr>
          <w:p w:rsidR="00000000" w:rsidRDefault="00000000">
            <w:pPr>
              <w:spacing w:before="60" w:after="60"/>
              <w:jc w:val="right"/>
              <w:rPr>
                <w:sz w:val="22"/>
              </w:rPr>
            </w:pPr>
            <w:r>
              <w:rPr>
                <w:sz w:val="22"/>
              </w:rPr>
              <w:t>3,5</w:t>
            </w:r>
          </w:p>
        </w:tc>
        <w:tc>
          <w:tcPr>
            <w:tcW w:w="1365" w:type="dxa"/>
            <w:vAlign w:val="center"/>
          </w:tcPr>
          <w:p w:rsidR="00000000" w:rsidRDefault="00000000">
            <w:pPr>
              <w:spacing w:before="60" w:after="60"/>
              <w:jc w:val="right"/>
              <w:rPr>
                <w:sz w:val="22"/>
              </w:rPr>
            </w:pPr>
            <w:r>
              <w:rPr>
                <w:sz w:val="22"/>
              </w:rPr>
              <w:t>3,5</w:t>
            </w:r>
          </w:p>
        </w:tc>
        <w:tc>
          <w:tcPr>
            <w:tcW w:w="1287" w:type="dxa"/>
            <w:vAlign w:val="center"/>
          </w:tcPr>
          <w:p w:rsidR="00000000" w:rsidRDefault="00000000">
            <w:pPr>
              <w:spacing w:before="60" w:after="60"/>
              <w:jc w:val="right"/>
              <w:rPr>
                <w:sz w:val="22"/>
              </w:rPr>
            </w:pPr>
            <w:r>
              <w:rPr>
                <w:sz w:val="22"/>
              </w:rPr>
              <w:t>3,1</w:t>
            </w:r>
          </w:p>
        </w:tc>
        <w:tc>
          <w:tcPr>
            <w:tcW w:w="1235" w:type="dxa"/>
            <w:vAlign w:val="center"/>
          </w:tcPr>
          <w:p w:rsidR="00000000" w:rsidRDefault="00000000">
            <w:pPr>
              <w:spacing w:before="60" w:after="60"/>
              <w:jc w:val="right"/>
              <w:rPr>
                <w:sz w:val="22"/>
              </w:rPr>
            </w:pPr>
            <w:r>
              <w:rPr>
                <w:sz w:val="22"/>
              </w:rPr>
              <w:t>3,2</w:t>
            </w: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5 à 9 ans</w:t>
            </w:r>
          </w:p>
        </w:tc>
        <w:tc>
          <w:tcPr>
            <w:tcW w:w="1287" w:type="dxa"/>
            <w:vAlign w:val="center"/>
          </w:tcPr>
          <w:p w:rsidR="00000000" w:rsidRDefault="00000000">
            <w:pPr>
              <w:spacing w:before="60" w:after="60"/>
              <w:jc w:val="right"/>
              <w:rPr>
                <w:sz w:val="22"/>
              </w:rPr>
            </w:pPr>
            <w:r>
              <w:rPr>
                <w:sz w:val="22"/>
              </w:rPr>
              <w:t>0,3</w:t>
            </w:r>
          </w:p>
        </w:tc>
        <w:tc>
          <w:tcPr>
            <w:tcW w:w="1326" w:type="dxa"/>
            <w:vAlign w:val="center"/>
          </w:tcPr>
          <w:p w:rsidR="00000000" w:rsidRDefault="00000000">
            <w:pPr>
              <w:spacing w:before="60" w:after="60"/>
              <w:jc w:val="right"/>
              <w:rPr>
                <w:sz w:val="22"/>
              </w:rPr>
            </w:pPr>
            <w:r>
              <w:rPr>
                <w:sz w:val="22"/>
              </w:rPr>
              <w:t>0,2</w:t>
            </w:r>
          </w:p>
        </w:tc>
        <w:tc>
          <w:tcPr>
            <w:tcW w:w="1365" w:type="dxa"/>
            <w:vAlign w:val="center"/>
          </w:tcPr>
          <w:p w:rsidR="00000000" w:rsidRDefault="00000000">
            <w:pPr>
              <w:spacing w:before="60" w:after="60"/>
              <w:jc w:val="right"/>
              <w:rPr>
                <w:sz w:val="22"/>
              </w:rPr>
            </w:pPr>
            <w:r>
              <w:rPr>
                <w:sz w:val="22"/>
              </w:rPr>
              <w:t>0,2</w:t>
            </w:r>
          </w:p>
        </w:tc>
        <w:tc>
          <w:tcPr>
            <w:tcW w:w="1287" w:type="dxa"/>
            <w:vAlign w:val="center"/>
          </w:tcPr>
          <w:p w:rsidR="00000000" w:rsidRDefault="00000000">
            <w:pPr>
              <w:spacing w:before="60" w:after="60"/>
              <w:jc w:val="right"/>
              <w:rPr>
                <w:sz w:val="22"/>
              </w:rPr>
            </w:pPr>
            <w:r>
              <w:rPr>
                <w:sz w:val="22"/>
              </w:rPr>
              <w:t>0,2</w:t>
            </w:r>
          </w:p>
        </w:tc>
        <w:tc>
          <w:tcPr>
            <w:tcW w:w="1235" w:type="dxa"/>
            <w:vAlign w:val="center"/>
          </w:tcPr>
          <w:p w:rsidR="00000000" w:rsidRDefault="00000000">
            <w:pPr>
              <w:spacing w:before="60" w:after="60"/>
              <w:jc w:val="right"/>
              <w:rPr>
                <w:sz w:val="22"/>
              </w:rPr>
            </w:pPr>
            <w:r>
              <w:rPr>
                <w:sz w:val="22"/>
              </w:rPr>
              <w:t>0,2</w:t>
            </w: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10 à 14 ans</w:t>
            </w:r>
          </w:p>
        </w:tc>
        <w:tc>
          <w:tcPr>
            <w:tcW w:w="1287" w:type="dxa"/>
            <w:vAlign w:val="center"/>
          </w:tcPr>
          <w:p w:rsidR="00000000" w:rsidRDefault="00000000">
            <w:pPr>
              <w:spacing w:before="60" w:after="60"/>
              <w:jc w:val="right"/>
              <w:rPr>
                <w:sz w:val="22"/>
              </w:rPr>
            </w:pPr>
            <w:r>
              <w:rPr>
                <w:sz w:val="22"/>
              </w:rPr>
              <w:t>0,3</w:t>
            </w:r>
          </w:p>
        </w:tc>
        <w:tc>
          <w:tcPr>
            <w:tcW w:w="1326" w:type="dxa"/>
            <w:vAlign w:val="center"/>
          </w:tcPr>
          <w:p w:rsidR="00000000" w:rsidRDefault="00000000">
            <w:pPr>
              <w:spacing w:before="60" w:after="60"/>
              <w:jc w:val="right"/>
              <w:rPr>
                <w:sz w:val="22"/>
              </w:rPr>
            </w:pPr>
            <w:r>
              <w:rPr>
                <w:sz w:val="22"/>
              </w:rPr>
              <w:t>0,1</w:t>
            </w:r>
          </w:p>
        </w:tc>
        <w:tc>
          <w:tcPr>
            <w:tcW w:w="1365" w:type="dxa"/>
            <w:vAlign w:val="center"/>
          </w:tcPr>
          <w:p w:rsidR="00000000" w:rsidRDefault="00000000">
            <w:pPr>
              <w:spacing w:before="60" w:after="60"/>
              <w:jc w:val="right"/>
              <w:rPr>
                <w:sz w:val="22"/>
              </w:rPr>
            </w:pPr>
            <w:r>
              <w:rPr>
                <w:sz w:val="22"/>
              </w:rPr>
              <w:t>0,1</w:t>
            </w:r>
          </w:p>
        </w:tc>
        <w:tc>
          <w:tcPr>
            <w:tcW w:w="1287" w:type="dxa"/>
            <w:vAlign w:val="center"/>
          </w:tcPr>
          <w:p w:rsidR="00000000" w:rsidRDefault="00000000">
            <w:pPr>
              <w:spacing w:before="60" w:after="60"/>
              <w:jc w:val="right"/>
              <w:rPr>
                <w:sz w:val="22"/>
              </w:rPr>
            </w:pPr>
            <w:r>
              <w:rPr>
                <w:sz w:val="22"/>
              </w:rPr>
              <w:t>0,2</w:t>
            </w:r>
          </w:p>
        </w:tc>
        <w:tc>
          <w:tcPr>
            <w:tcW w:w="1235" w:type="dxa"/>
            <w:vAlign w:val="center"/>
          </w:tcPr>
          <w:p w:rsidR="00000000" w:rsidRDefault="00000000">
            <w:pPr>
              <w:spacing w:before="60" w:after="60"/>
              <w:jc w:val="right"/>
              <w:rPr>
                <w:sz w:val="22"/>
              </w:rPr>
            </w:pPr>
            <w:r>
              <w:rPr>
                <w:sz w:val="22"/>
              </w:rPr>
              <w:t>0,2</w:t>
            </w: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15 à 19 ans</w:t>
            </w:r>
          </w:p>
        </w:tc>
        <w:tc>
          <w:tcPr>
            <w:tcW w:w="1287" w:type="dxa"/>
            <w:vAlign w:val="center"/>
          </w:tcPr>
          <w:p w:rsidR="00000000" w:rsidRDefault="00000000">
            <w:pPr>
              <w:spacing w:before="60" w:after="60"/>
              <w:jc w:val="right"/>
              <w:rPr>
                <w:sz w:val="22"/>
              </w:rPr>
            </w:pPr>
            <w:r>
              <w:rPr>
                <w:sz w:val="22"/>
              </w:rPr>
              <w:t>0,6</w:t>
            </w:r>
          </w:p>
        </w:tc>
        <w:tc>
          <w:tcPr>
            <w:tcW w:w="1326" w:type="dxa"/>
            <w:vAlign w:val="center"/>
          </w:tcPr>
          <w:p w:rsidR="00000000" w:rsidRDefault="00000000">
            <w:pPr>
              <w:spacing w:before="60" w:after="60"/>
              <w:jc w:val="right"/>
              <w:rPr>
                <w:sz w:val="22"/>
              </w:rPr>
            </w:pPr>
            <w:r>
              <w:rPr>
                <w:sz w:val="22"/>
              </w:rPr>
              <w:t>0,3</w:t>
            </w:r>
          </w:p>
        </w:tc>
        <w:tc>
          <w:tcPr>
            <w:tcW w:w="1365" w:type="dxa"/>
            <w:vAlign w:val="center"/>
          </w:tcPr>
          <w:p w:rsidR="00000000" w:rsidRDefault="00000000">
            <w:pPr>
              <w:spacing w:before="60" w:after="60"/>
              <w:jc w:val="right"/>
              <w:rPr>
                <w:sz w:val="22"/>
              </w:rPr>
            </w:pPr>
            <w:r>
              <w:rPr>
                <w:sz w:val="22"/>
              </w:rPr>
              <w:t>0,3</w:t>
            </w:r>
          </w:p>
        </w:tc>
        <w:tc>
          <w:tcPr>
            <w:tcW w:w="1287" w:type="dxa"/>
            <w:vAlign w:val="center"/>
          </w:tcPr>
          <w:p w:rsidR="00000000" w:rsidRDefault="00000000">
            <w:pPr>
              <w:spacing w:before="60" w:after="60"/>
              <w:jc w:val="right"/>
              <w:rPr>
                <w:sz w:val="22"/>
              </w:rPr>
            </w:pPr>
            <w:r>
              <w:rPr>
                <w:sz w:val="22"/>
              </w:rPr>
              <w:t>0,4</w:t>
            </w:r>
          </w:p>
        </w:tc>
        <w:tc>
          <w:tcPr>
            <w:tcW w:w="1235" w:type="dxa"/>
            <w:vAlign w:val="center"/>
          </w:tcPr>
          <w:p w:rsidR="00000000" w:rsidRDefault="00000000">
            <w:pPr>
              <w:spacing w:before="60" w:after="60"/>
              <w:jc w:val="right"/>
              <w:rPr>
                <w:sz w:val="22"/>
              </w:rPr>
            </w:pPr>
            <w:r>
              <w:rPr>
                <w:sz w:val="22"/>
              </w:rPr>
              <w:t>0,4</w:t>
            </w: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20 à 24 ans</w:t>
            </w:r>
          </w:p>
        </w:tc>
        <w:tc>
          <w:tcPr>
            <w:tcW w:w="1287" w:type="dxa"/>
            <w:vAlign w:val="center"/>
          </w:tcPr>
          <w:p w:rsidR="00000000" w:rsidRDefault="00000000">
            <w:pPr>
              <w:spacing w:before="60" w:after="60"/>
              <w:jc w:val="right"/>
              <w:rPr>
                <w:sz w:val="22"/>
              </w:rPr>
            </w:pPr>
            <w:r>
              <w:rPr>
                <w:sz w:val="22"/>
              </w:rPr>
              <w:t>1,0</w:t>
            </w:r>
          </w:p>
        </w:tc>
        <w:tc>
          <w:tcPr>
            <w:tcW w:w="1326" w:type="dxa"/>
            <w:vAlign w:val="center"/>
          </w:tcPr>
          <w:p w:rsidR="00000000" w:rsidRDefault="00000000">
            <w:pPr>
              <w:spacing w:before="60" w:after="60"/>
              <w:jc w:val="right"/>
              <w:rPr>
                <w:sz w:val="22"/>
              </w:rPr>
            </w:pPr>
            <w:r>
              <w:rPr>
                <w:sz w:val="22"/>
              </w:rPr>
              <w:t>0,6</w:t>
            </w:r>
          </w:p>
        </w:tc>
        <w:tc>
          <w:tcPr>
            <w:tcW w:w="1365" w:type="dxa"/>
            <w:vAlign w:val="center"/>
          </w:tcPr>
          <w:p w:rsidR="00000000" w:rsidRDefault="00000000">
            <w:pPr>
              <w:spacing w:before="60" w:after="60"/>
              <w:jc w:val="right"/>
              <w:rPr>
                <w:sz w:val="22"/>
              </w:rPr>
            </w:pPr>
            <w:r>
              <w:rPr>
                <w:sz w:val="22"/>
              </w:rPr>
              <w:t>0,6</w:t>
            </w:r>
          </w:p>
        </w:tc>
        <w:tc>
          <w:tcPr>
            <w:tcW w:w="1287" w:type="dxa"/>
            <w:vAlign w:val="center"/>
          </w:tcPr>
          <w:p w:rsidR="00000000" w:rsidRDefault="00000000">
            <w:pPr>
              <w:spacing w:before="60" w:after="60"/>
              <w:jc w:val="right"/>
              <w:rPr>
                <w:sz w:val="22"/>
              </w:rPr>
            </w:pPr>
            <w:r>
              <w:rPr>
                <w:sz w:val="22"/>
              </w:rPr>
              <w:t>0,7</w:t>
            </w:r>
          </w:p>
        </w:tc>
        <w:tc>
          <w:tcPr>
            <w:tcW w:w="1235" w:type="dxa"/>
            <w:vAlign w:val="center"/>
          </w:tcPr>
          <w:p w:rsidR="00000000" w:rsidRDefault="00000000">
            <w:pPr>
              <w:spacing w:before="60" w:after="60"/>
              <w:jc w:val="right"/>
              <w:rPr>
                <w:sz w:val="22"/>
              </w:rPr>
            </w:pPr>
            <w:r>
              <w:rPr>
                <w:sz w:val="22"/>
              </w:rPr>
              <w:t>0,6</w:t>
            </w: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25 à 29 ans</w:t>
            </w:r>
          </w:p>
        </w:tc>
        <w:tc>
          <w:tcPr>
            <w:tcW w:w="1287" w:type="dxa"/>
            <w:vAlign w:val="center"/>
          </w:tcPr>
          <w:p w:rsidR="00000000" w:rsidRDefault="00000000">
            <w:pPr>
              <w:spacing w:before="60" w:after="60"/>
              <w:jc w:val="right"/>
              <w:rPr>
                <w:sz w:val="22"/>
              </w:rPr>
            </w:pPr>
            <w:r>
              <w:rPr>
                <w:sz w:val="22"/>
              </w:rPr>
              <w:t>1,3</w:t>
            </w:r>
          </w:p>
        </w:tc>
        <w:tc>
          <w:tcPr>
            <w:tcW w:w="1326" w:type="dxa"/>
            <w:vAlign w:val="center"/>
          </w:tcPr>
          <w:p w:rsidR="00000000" w:rsidRDefault="00000000">
            <w:pPr>
              <w:spacing w:before="60" w:after="60"/>
              <w:jc w:val="right"/>
              <w:rPr>
                <w:sz w:val="22"/>
              </w:rPr>
            </w:pPr>
            <w:r>
              <w:rPr>
                <w:sz w:val="22"/>
              </w:rPr>
              <w:t>0,9</w:t>
            </w:r>
          </w:p>
        </w:tc>
        <w:tc>
          <w:tcPr>
            <w:tcW w:w="1365" w:type="dxa"/>
            <w:vAlign w:val="center"/>
          </w:tcPr>
          <w:p w:rsidR="00000000" w:rsidRDefault="00000000">
            <w:pPr>
              <w:spacing w:before="60" w:after="60"/>
              <w:jc w:val="right"/>
              <w:rPr>
                <w:sz w:val="22"/>
              </w:rPr>
            </w:pPr>
            <w:r>
              <w:rPr>
                <w:sz w:val="22"/>
              </w:rPr>
              <w:t>0,9</w:t>
            </w:r>
          </w:p>
        </w:tc>
        <w:tc>
          <w:tcPr>
            <w:tcW w:w="1287" w:type="dxa"/>
            <w:vAlign w:val="center"/>
          </w:tcPr>
          <w:p w:rsidR="00000000" w:rsidRDefault="00000000">
            <w:pPr>
              <w:spacing w:before="60" w:after="60"/>
              <w:jc w:val="right"/>
              <w:rPr>
                <w:sz w:val="22"/>
              </w:rPr>
            </w:pPr>
            <w:r>
              <w:rPr>
                <w:sz w:val="22"/>
              </w:rPr>
              <w:t>0,9</w:t>
            </w:r>
          </w:p>
        </w:tc>
        <w:tc>
          <w:tcPr>
            <w:tcW w:w="1235" w:type="dxa"/>
            <w:vAlign w:val="center"/>
          </w:tcPr>
          <w:p w:rsidR="00000000" w:rsidRDefault="00000000">
            <w:pPr>
              <w:spacing w:before="60" w:after="60"/>
              <w:jc w:val="right"/>
              <w:rPr>
                <w:sz w:val="22"/>
              </w:rPr>
            </w:pPr>
            <w:r>
              <w:rPr>
                <w:sz w:val="22"/>
              </w:rPr>
              <w:t>0,9</w:t>
            </w: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30 à 34 ans</w:t>
            </w:r>
          </w:p>
        </w:tc>
        <w:tc>
          <w:tcPr>
            <w:tcW w:w="1287" w:type="dxa"/>
            <w:vAlign w:val="center"/>
          </w:tcPr>
          <w:p w:rsidR="00000000" w:rsidRDefault="00000000">
            <w:pPr>
              <w:spacing w:before="60" w:after="60"/>
              <w:jc w:val="right"/>
              <w:rPr>
                <w:sz w:val="22"/>
              </w:rPr>
            </w:pPr>
            <w:r>
              <w:rPr>
                <w:sz w:val="22"/>
              </w:rPr>
              <w:t>1,6</w:t>
            </w:r>
          </w:p>
        </w:tc>
        <w:tc>
          <w:tcPr>
            <w:tcW w:w="1326" w:type="dxa"/>
            <w:vAlign w:val="center"/>
          </w:tcPr>
          <w:p w:rsidR="00000000" w:rsidRDefault="00000000">
            <w:pPr>
              <w:spacing w:before="60" w:after="60"/>
              <w:jc w:val="right"/>
              <w:rPr>
                <w:sz w:val="22"/>
              </w:rPr>
            </w:pPr>
            <w:r>
              <w:rPr>
                <w:sz w:val="22"/>
              </w:rPr>
              <w:t>1,2</w:t>
            </w:r>
          </w:p>
        </w:tc>
        <w:tc>
          <w:tcPr>
            <w:tcW w:w="1365" w:type="dxa"/>
            <w:vAlign w:val="center"/>
          </w:tcPr>
          <w:p w:rsidR="00000000" w:rsidRDefault="00000000">
            <w:pPr>
              <w:spacing w:before="60" w:after="60"/>
              <w:jc w:val="right"/>
              <w:rPr>
                <w:sz w:val="22"/>
              </w:rPr>
            </w:pPr>
            <w:r>
              <w:rPr>
                <w:sz w:val="22"/>
              </w:rPr>
              <w:t>1,3</w:t>
            </w:r>
          </w:p>
        </w:tc>
        <w:tc>
          <w:tcPr>
            <w:tcW w:w="1287" w:type="dxa"/>
            <w:vAlign w:val="center"/>
          </w:tcPr>
          <w:p w:rsidR="00000000" w:rsidRDefault="00000000">
            <w:pPr>
              <w:spacing w:before="60" w:after="60"/>
              <w:jc w:val="right"/>
              <w:rPr>
                <w:sz w:val="22"/>
              </w:rPr>
            </w:pPr>
            <w:r>
              <w:rPr>
                <w:sz w:val="22"/>
              </w:rPr>
              <w:t>1,2</w:t>
            </w:r>
          </w:p>
        </w:tc>
        <w:tc>
          <w:tcPr>
            <w:tcW w:w="1235" w:type="dxa"/>
            <w:vAlign w:val="center"/>
          </w:tcPr>
          <w:p w:rsidR="00000000" w:rsidRDefault="00000000">
            <w:pPr>
              <w:spacing w:before="60" w:after="60"/>
              <w:jc w:val="right"/>
              <w:rPr>
                <w:sz w:val="22"/>
              </w:rPr>
            </w:pPr>
            <w:r>
              <w:rPr>
                <w:sz w:val="22"/>
              </w:rPr>
              <w:t>1,2</w:t>
            </w: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35 à 39 ans</w:t>
            </w:r>
          </w:p>
        </w:tc>
        <w:tc>
          <w:tcPr>
            <w:tcW w:w="1287" w:type="dxa"/>
            <w:vAlign w:val="center"/>
          </w:tcPr>
          <w:p w:rsidR="00000000" w:rsidRDefault="00000000">
            <w:pPr>
              <w:spacing w:before="60" w:after="60"/>
              <w:jc w:val="right"/>
              <w:rPr>
                <w:sz w:val="22"/>
              </w:rPr>
            </w:pPr>
            <w:r>
              <w:rPr>
                <w:sz w:val="22"/>
              </w:rPr>
              <w:t>2,2</w:t>
            </w:r>
          </w:p>
        </w:tc>
        <w:tc>
          <w:tcPr>
            <w:tcW w:w="1326" w:type="dxa"/>
            <w:vAlign w:val="center"/>
          </w:tcPr>
          <w:p w:rsidR="00000000" w:rsidRDefault="00000000">
            <w:pPr>
              <w:spacing w:before="60" w:after="60"/>
              <w:jc w:val="right"/>
              <w:rPr>
                <w:sz w:val="22"/>
              </w:rPr>
            </w:pPr>
            <w:r>
              <w:rPr>
                <w:sz w:val="22"/>
              </w:rPr>
              <w:t>1,7</w:t>
            </w:r>
          </w:p>
        </w:tc>
        <w:tc>
          <w:tcPr>
            <w:tcW w:w="1365" w:type="dxa"/>
            <w:vAlign w:val="center"/>
          </w:tcPr>
          <w:p w:rsidR="00000000" w:rsidRDefault="00000000">
            <w:pPr>
              <w:spacing w:before="60" w:after="60"/>
              <w:jc w:val="right"/>
              <w:rPr>
                <w:sz w:val="22"/>
              </w:rPr>
            </w:pPr>
            <w:r>
              <w:rPr>
                <w:sz w:val="22"/>
              </w:rPr>
              <w:t>1,9</w:t>
            </w:r>
          </w:p>
        </w:tc>
        <w:tc>
          <w:tcPr>
            <w:tcW w:w="1287" w:type="dxa"/>
            <w:vAlign w:val="center"/>
          </w:tcPr>
          <w:p w:rsidR="00000000" w:rsidRDefault="00000000">
            <w:pPr>
              <w:spacing w:before="60" w:after="60"/>
              <w:jc w:val="right"/>
              <w:rPr>
                <w:sz w:val="22"/>
              </w:rPr>
            </w:pPr>
            <w:r>
              <w:rPr>
                <w:sz w:val="22"/>
              </w:rPr>
              <w:t>1,8</w:t>
            </w:r>
          </w:p>
        </w:tc>
        <w:tc>
          <w:tcPr>
            <w:tcW w:w="1235" w:type="dxa"/>
            <w:vAlign w:val="center"/>
          </w:tcPr>
          <w:p w:rsidR="00000000" w:rsidRDefault="00000000">
            <w:pPr>
              <w:spacing w:before="60" w:after="60"/>
              <w:jc w:val="right"/>
              <w:rPr>
                <w:sz w:val="22"/>
              </w:rPr>
            </w:pPr>
            <w:r>
              <w:rPr>
                <w:sz w:val="22"/>
              </w:rPr>
              <w:t>1,8</w:t>
            </w: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40 à 44 ans</w:t>
            </w:r>
          </w:p>
        </w:tc>
        <w:tc>
          <w:tcPr>
            <w:tcW w:w="1287" w:type="dxa"/>
            <w:vAlign w:val="center"/>
          </w:tcPr>
          <w:p w:rsidR="00000000" w:rsidRDefault="00000000">
            <w:pPr>
              <w:spacing w:before="60" w:after="60"/>
              <w:jc w:val="right"/>
              <w:rPr>
                <w:sz w:val="22"/>
              </w:rPr>
            </w:pPr>
            <w:r>
              <w:rPr>
                <w:sz w:val="22"/>
              </w:rPr>
              <w:t>3,2</w:t>
            </w:r>
          </w:p>
        </w:tc>
        <w:tc>
          <w:tcPr>
            <w:tcW w:w="1326" w:type="dxa"/>
            <w:vAlign w:val="center"/>
          </w:tcPr>
          <w:p w:rsidR="00000000" w:rsidRDefault="00000000">
            <w:pPr>
              <w:spacing w:before="60" w:after="60"/>
              <w:jc w:val="right"/>
              <w:rPr>
                <w:sz w:val="22"/>
              </w:rPr>
            </w:pPr>
            <w:r>
              <w:rPr>
                <w:sz w:val="22"/>
              </w:rPr>
              <w:t>2,6</w:t>
            </w:r>
          </w:p>
        </w:tc>
        <w:tc>
          <w:tcPr>
            <w:tcW w:w="1365" w:type="dxa"/>
            <w:vAlign w:val="center"/>
          </w:tcPr>
          <w:p w:rsidR="00000000" w:rsidRDefault="00000000">
            <w:pPr>
              <w:spacing w:before="60" w:after="60"/>
              <w:jc w:val="right"/>
              <w:rPr>
                <w:sz w:val="22"/>
              </w:rPr>
            </w:pPr>
            <w:r>
              <w:rPr>
                <w:sz w:val="22"/>
              </w:rPr>
              <w:t>2,5</w:t>
            </w:r>
          </w:p>
        </w:tc>
        <w:tc>
          <w:tcPr>
            <w:tcW w:w="1287" w:type="dxa"/>
            <w:vAlign w:val="center"/>
          </w:tcPr>
          <w:p w:rsidR="00000000" w:rsidRDefault="00000000">
            <w:pPr>
              <w:spacing w:before="60" w:after="60"/>
              <w:jc w:val="right"/>
              <w:rPr>
                <w:sz w:val="22"/>
              </w:rPr>
            </w:pPr>
            <w:r>
              <w:rPr>
                <w:sz w:val="22"/>
              </w:rPr>
              <w:t>2,6</w:t>
            </w:r>
          </w:p>
        </w:tc>
        <w:tc>
          <w:tcPr>
            <w:tcW w:w="1235" w:type="dxa"/>
            <w:vAlign w:val="center"/>
          </w:tcPr>
          <w:p w:rsidR="00000000" w:rsidRDefault="00000000">
            <w:pPr>
              <w:spacing w:before="60" w:after="60"/>
              <w:jc w:val="right"/>
              <w:rPr>
                <w:sz w:val="22"/>
              </w:rPr>
            </w:pPr>
            <w:r>
              <w:rPr>
                <w:sz w:val="22"/>
              </w:rPr>
              <w:t>2,6</w:t>
            </w: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45 à 49 ans</w:t>
            </w:r>
          </w:p>
        </w:tc>
        <w:tc>
          <w:tcPr>
            <w:tcW w:w="1287" w:type="dxa"/>
            <w:vAlign w:val="center"/>
          </w:tcPr>
          <w:p w:rsidR="00000000" w:rsidRDefault="00000000">
            <w:pPr>
              <w:spacing w:before="60" w:after="60"/>
              <w:jc w:val="right"/>
              <w:rPr>
                <w:sz w:val="22"/>
              </w:rPr>
            </w:pPr>
            <w:r>
              <w:rPr>
                <w:sz w:val="22"/>
              </w:rPr>
              <w:t>5,0</w:t>
            </w:r>
          </w:p>
        </w:tc>
        <w:tc>
          <w:tcPr>
            <w:tcW w:w="1326" w:type="dxa"/>
            <w:vAlign w:val="center"/>
          </w:tcPr>
          <w:p w:rsidR="00000000" w:rsidRDefault="00000000">
            <w:pPr>
              <w:spacing w:before="60" w:after="60"/>
              <w:jc w:val="right"/>
              <w:rPr>
                <w:sz w:val="22"/>
              </w:rPr>
            </w:pPr>
            <w:r>
              <w:rPr>
                <w:sz w:val="22"/>
              </w:rPr>
              <w:t>3,4</w:t>
            </w:r>
          </w:p>
        </w:tc>
        <w:tc>
          <w:tcPr>
            <w:tcW w:w="1365" w:type="dxa"/>
            <w:vAlign w:val="center"/>
          </w:tcPr>
          <w:p w:rsidR="00000000" w:rsidRDefault="00000000">
            <w:pPr>
              <w:spacing w:before="60" w:after="60"/>
              <w:jc w:val="right"/>
              <w:rPr>
                <w:sz w:val="22"/>
              </w:rPr>
            </w:pPr>
            <w:r>
              <w:rPr>
                <w:sz w:val="22"/>
              </w:rPr>
              <w:t>3,4</w:t>
            </w:r>
          </w:p>
        </w:tc>
        <w:tc>
          <w:tcPr>
            <w:tcW w:w="1287" w:type="dxa"/>
            <w:vAlign w:val="center"/>
          </w:tcPr>
          <w:p w:rsidR="00000000" w:rsidRDefault="00000000">
            <w:pPr>
              <w:spacing w:before="60" w:after="60"/>
              <w:jc w:val="right"/>
              <w:rPr>
                <w:sz w:val="22"/>
              </w:rPr>
            </w:pPr>
            <w:r>
              <w:rPr>
                <w:sz w:val="22"/>
              </w:rPr>
              <w:t>3,5</w:t>
            </w:r>
          </w:p>
        </w:tc>
        <w:tc>
          <w:tcPr>
            <w:tcW w:w="1235" w:type="dxa"/>
            <w:vAlign w:val="center"/>
          </w:tcPr>
          <w:p w:rsidR="00000000" w:rsidRDefault="00000000">
            <w:pPr>
              <w:spacing w:before="60" w:after="60"/>
              <w:jc w:val="right"/>
              <w:rPr>
                <w:sz w:val="22"/>
              </w:rPr>
            </w:pPr>
            <w:r>
              <w:rPr>
                <w:sz w:val="22"/>
              </w:rPr>
              <w:t>3,6</w:t>
            </w: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50 à 54 ans</w:t>
            </w:r>
          </w:p>
        </w:tc>
        <w:tc>
          <w:tcPr>
            <w:tcW w:w="1287" w:type="dxa"/>
            <w:vAlign w:val="center"/>
          </w:tcPr>
          <w:p w:rsidR="00000000" w:rsidRDefault="00000000">
            <w:pPr>
              <w:spacing w:before="60" w:after="60"/>
              <w:jc w:val="right"/>
              <w:rPr>
                <w:sz w:val="22"/>
              </w:rPr>
            </w:pPr>
            <w:r>
              <w:rPr>
                <w:sz w:val="22"/>
              </w:rPr>
              <w:t>7,4</w:t>
            </w:r>
          </w:p>
        </w:tc>
        <w:tc>
          <w:tcPr>
            <w:tcW w:w="1326" w:type="dxa"/>
            <w:vAlign w:val="center"/>
          </w:tcPr>
          <w:p w:rsidR="00000000" w:rsidRDefault="00000000">
            <w:pPr>
              <w:spacing w:before="60" w:after="60"/>
              <w:jc w:val="right"/>
              <w:rPr>
                <w:sz w:val="22"/>
              </w:rPr>
            </w:pPr>
            <w:r>
              <w:rPr>
                <w:sz w:val="22"/>
              </w:rPr>
              <w:t>5,5</w:t>
            </w:r>
          </w:p>
        </w:tc>
        <w:tc>
          <w:tcPr>
            <w:tcW w:w="1365" w:type="dxa"/>
            <w:vAlign w:val="center"/>
          </w:tcPr>
          <w:p w:rsidR="00000000" w:rsidRDefault="00000000">
            <w:pPr>
              <w:spacing w:before="60" w:after="60"/>
              <w:jc w:val="right"/>
              <w:rPr>
                <w:sz w:val="22"/>
              </w:rPr>
            </w:pPr>
            <w:r>
              <w:rPr>
                <w:sz w:val="22"/>
              </w:rPr>
              <w:t>4,9</w:t>
            </w:r>
          </w:p>
        </w:tc>
        <w:tc>
          <w:tcPr>
            <w:tcW w:w="1287" w:type="dxa"/>
            <w:vAlign w:val="center"/>
          </w:tcPr>
          <w:p w:rsidR="00000000" w:rsidRDefault="00000000">
            <w:pPr>
              <w:spacing w:before="60" w:after="60"/>
              <w:jc w:val="right"/>
              <w:rPr>
                <w:sz w:val="22"/>
              </w:rPr>
            </w:pPr>
            <w:r>
              <w:rPr>
                <w:sz w:val="22"/>
              </w:rPr>
              <w:t>5,2</w:t>
            </w:r>
          </w:p>
        </w:tc>
        <w:tc>
          <w:tcPr>
            <w:tcW w:w="1235" w:type="dxa"/>
            <w:vAlign w:val="center"/>
          </w:tcPr>
          <w:p w:rsidR="00000000" w:rsidRDefault="00000000">
            <w:pPr>
              <w:spacing w:before="60" w:after="60"/>
              <w:jc w:val="right"/>
              <w:rPr>
                <w:sz w:val="22"/>
              </w:rPr>
            </w:pPr>
            <w:r>
              <w:rPr>
                <w:sz w:val="22"/>
              </w:rPr>
              <w:t>5,3</w:t>
            </w: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55 à 59 ans</w:t>
            </w:r>
          </w:p>
        </w:tc>
        <w:tc>
          <w:tcPr>
            <w:tcW w:w="1287" w:type="dxa"/>
            <w:vAlign w:val="center"/>
          </w:tcPr>
          <w:p w:rsidR="00000000" w:rsidRDefault="00000000">
            <w:pPr>
              <w:spacing w:before="60" w:after="60"/>
              <w:jc w:val="right"/>
              <w:rPr>
                <w:sz w:val="22"/>
              </w:rPr>
            </w:pPr>
            <w:r>
              <w:rPr>
                <w:sz w:val="22"/>
              </w:rPr>
              <w:t>11,0</w:t>
            </w:r>
          </w:p>
        </w:tc>
        <w:tc>
          <w:tcPr>
            <w:tcW w:w="1326" w:type="dxa"/>
            <w:vAlign w:val="center"/>
          </w:tcPr>
          <w:p w:rsidR="00000000" w:rsidRDefault="00000000">
            <w:pPr>
              <w:spacing w:before="60" w:after="60"/>
              <w:jc w:val="right"/>
              <w:rPr>
                <w:sz w:val="22"/>
              </w:rPr>
            </w:pPr>
            <w:r>
              <w:rPr>
                <w:sz w:val="22"/>
              </w:rPr>
              <w:t>7,9</w:t>
            </w:r>
          </w:p>
        </w:tc>
        <w:tc>
          <w:tcPr>
            <w:tcW w:w="1365" w:type="dxa"/>
            <w:vAlign w:val="center"/>
          </w:tcPr>
          <w:p w:rsidR="00000000" w:rsidRDefault="00000000">
            <w:pPr>
              <w:spacing w:before="60" w:after="60"/>
              <w:jc w:val="right"/>
              <w:rPr>
                <w:sz w:val="22"/>
              </w:rPr>
            </w:pPr>
            <w:r>
              <w:rPr>
                <w:sz w:val="22"/>
              </w:rPr>
              <w:t>7,6</w:t>
            </w:r>
          </w:p>
        </w:tc>
        <w:tc>
          <w:tcPr>
            <w:tcW w:w="1287" w:type="dxa"/>
            <w:vAlign w:val="center"/>
          </w:tcPr>
          <w:p w:rsidR="00000000" w:rsidRDefault="00000000">
            <w:pPr>
              <w:spacing w:before="60" w:after="60"/>
              <w:jc w:val="right"/>
              <w:rPr>
                <w:sz w:val="22"/>
              </w:rPr>
            </w:pPr>
            <w:r>
              <w:rPr>
                <w:sz w:val="22"/>
              </w:rPr>
              <w:t>7,3</w:t>
            </w:r>
          </w:p>
        </w:tc>
        <w:tc>
          <w:tcPr>
            <w:tcW w:w="1235" w:type="dxa"/>
            <w:vAlign w:val="center"/>
          </w:tcPr>
          <w:p w:rsidR="00000000" w:rsidRDefault="00000000">
            <w:pPr>
              <w:spacing w:before="60" w:after="60"/>
              <w:jc w:val="right"/>
              <w:rPr>
                <w:sz w:val="22"/>
              </w:rPr>
            </w:pPr>
            <w:r>
              <w:rPr>
                <w:sz w:val="22"/>
              </w:rPr>
              <w:t>7,1</w:t>
            </w: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60 à 64 ans</w:t>
            </w:r>
          </w:p>
        </w:tc>
        <w:tc>
          <w:tcPr>
            <w:tcW w:w="1287" w:type="dxa"/>
            <w:vAlign w:val="center"/>
          </w:tcPr>
          <w:p w:rsidR="00000000" w:rsidRDefault="00000000">
            <w:pPr>
              <w:spacing w:before="60" w:after="60"/>
              <w:jc w:val="right"/>
              <w:rPr>
                <w:sz w:val="22"/>
              </w:rPr>
            </w:pPr>
            <w:r>
              <w:rPr>
                <w:sz w:val="22"/>
              </w:rPr>
              <w:t>17,1</w:t>
            </w:r>
          </w:p>
        </w:tc>
        <w:tc>
          <w:tcPr>
            <w:tcW w:w="1326" w:type="dxa"/>
            <w:vAlign w:val="center"/>
          </w:tcPr>
          <w:p w:rsidR="00000000" w:rsidRDefault="00000000">
            <w:pPr>
              <w:spacing w:before="60" w:after="60"/>
              <w:jc w:val="right"/>
              <w:rPr>
                <w:sz w:val="22"/>
              </w:rPr>
            </w:pPr>
            <w:r>
              <w:rPr>
                <w:sz w:val="22"/>
              </w:rPr>
              <w:t>11,7</w:t>
            </w:r>
          </w:p>
        </w:tc>
        <w:tc>
          <w:tcPr>
            <w:tcW w:w="1365" w:type="dxa"/>
            <w:vAlign w:val="center"/>
          </w:tcPr>
          <w:p w:rsidR="00000000" w:rsidRDefault="00000000">
            <w:pPr>
              <w:spacing w:before="60" w:after="60"/>
              <w:jc w:val="right"/>
              <w:rPr>
                <w:sz w:val="22"/>
              </w:rPr>
            </w:pPr>
            <w:r>
              <w:rPr>
                <w:sz w:val="22"/>
              </w:rPr>
              <w:t>13,1</w:t>
            </w:r>
          </w:p>
        </w:tc>
        <w:tc>
          <w:tcPr>
            <w:tcW w:w="1287" w:type="dxa"/>
            <w:vAlign w:val="center"/>
          </w:tcPr>
          <w:p w:rsidR="00000000" w:rsidRDefault="00000000">
            <w:pPr>
              <w:spacing w:before="60" w:after="60"/>
              <w:jc w:val="right"/>
              <w:rPr>
                <w:sz w:val="22"/>
              </w:rPr>
            </w:pPr>
            <w:r>
              <w:rPr>
                <w:sz w:val="22"/>
              </w:rPr>
              <w:t>12,8</w:t>
            </w:r>
          </w:p>
        </w:tc>
        <w:tc>
          <w:tcPr>
            <w:tcW w:w="1235" w:type="dxa"/>
            <w:vAlign w:val="center"/>
          </w:tcPr>
          <w:p w:rsidR="00000000" w:rsidRDefault="00000000">
            <w:pPr>
              <w:spacing w:before="60" w:after="60"/>
              <w:jc w:val="right"/>
              <w:rPr>
                <w:sz w:val="22"/>
              </w:rPr>
            </w:pPr>
            <w:r>
              <w:rPr>
                <w:sz w:val="22"/>
              </w:rPr>
              <w:t>13,7</w:t>
            </w: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65 à 69 ans</w:t>
            </w:r>
          </w:p>
        </w:tc>
        <w:tc>
          <w:tcPr>
            <w:tcW w:w="1287" w:type="dxa"/>
            <w:vAlign w:val="center"/>
          </w:tcPr>
          <w:p w:rsidR="00000000" w:rsidRDefault="00000000">
            <w:pPr>
              <w:spacing w:before="60" w:after="60"/>
              <w:jc w:val="right"/>
              <w:rPr>
                <w:sz w:val="22"/>
              </w:rPr>
            </w:pPr>
            <w:r>
              <w:rPr>
                <w:sz w:val="22"/>
              </w:rPr>
              <w:t>24,6</w:t>
            </w:r>
          </w:p>
        </w:tc>
        <w:tc>
          <w:tcPr>
            <w:tcW w:w="1326" w:type="dxa"/>
            <w:vAlign w:val="center"/>
          </w:tcPr>
          <w:p w:rsidR="00000000" w:rsidRDefault="00000000">
            <w:pPr>
              <w:spacing w:before="60" w:after="60"/>
              <w:jc w:val="right"/>
              <w:rPr>
                <w:sz w:val="22"/>
              </w:rPr>
            </w:pPr>
            <w:r>
              <w:rPr>
                <w:sz w:val="22"/>
              </w:rPr>
              <w:t>17,9</w:t>
            </w:r>
          </w:p>
        </w:tc>
        <w:tc>
          <w:tcPr>
            <w:tcW w:w="1365" w:type="dxa"/>
            <w:vAlign w:val="center"/>
          </w:tcPr>
          <w:p w:rsidR="00000000" w:rsidRDefault="00000000">
            <w:pPr>
              <w:spacing w:before="60" w:after="60"/>
              <w:jc w:val="right"/>
              <w:rPr>
                <w:sz w:val="22"/>
              </w:rPr>
            </w:pPr>
            <w:r>
              <w:rPr>
                <w:sz w:val="22"/>
              </w:rPr>
              <w:t>19,5</w:t>
            </w:r>
          </w:p>
        </w:tc>
        <w:tc>
          <w:tcPr>
            <w:tcW w:w="1287" w:type="dxa"/>
            <w:vAlign w:val="center"/>
          </w:tcPr>
          <w:p w:rsidR="00000000" w:rsidRDefault="00000000">
            <w:pPr>
              <w:spacing w:before="60" w:after="60"/>
              <w:jc w:val="right"/>
              <w:rPr>
                <w:sz w:val="22"/>
              </w:rPr>
            </w:pPr>
            <w:r>
              <w:rPr>
                <w:sz w:val="22"/>
              </w:rPr>
              <w:t>20,9</w:t>
            </w:r>
          </w:p>
        </w:tc>
        <w:tc>
          <w:tcPr>
            <w:tcW w:w="1235" w:type="dxa"/>
            <w:vAlign w:val="center"/>
          </w:tcPr>
          <w:p w:rsidR="00000000" w:rsidRDefault="00000000">
            <w:pPr>
              <w:spacing w:before="60" w:after="60"/>
              <w:jc w:val="right"/>
              <w:rPr>
                <w:sz w:val="22"/>
              </w:rPr>
            </w:pPr>
            <w:r>
              <w:rPr>
                <w:sz w:val="22"/>
              </w:rPr>
              <w:t>22,0</w:t>
            </w:r>
          </w:p>
        </w:tc>
      </w:tr>
      <w:tr w:rsidR="00000000">
        <w:tblPrEx>
          <w:tblCellMar>
            <w:top w:w="0" w:type="dxa"/>
            <w:bottom w:w="0" w:type="dxa"/>
          </w:tblCellMar>
        </w:tblPrEx>
        <w:tc>
          <w:tcPr>
            <w:tcW w:w="2995" w:type="dxa"/>
            <w:vAlign w:val="center"/>
          </w:tcPr>
          <w:p w:rsidR="00000000" w:rsidRDefault="00000000">
            <w:pPr>
              <w:tabs>
                <w:tab w:val="left" w:pos="360"/>
              </w:tabs>
              <w:spacing w:before="60" w:after="60"/>
              <w:rPr>
                <w:sz w:val="22"/>
              </w:rPr>
            </w:pPr>
            <w:r>
              <w:rPr>
                <w:sz w:val="22"/>
              </w:rPr>
              <w:tab/>
              <w:t>70 ans et plus</w:t>
            </w:r>
          </w:p>
        </w:tc>
        <w:tc>
          <w:tcPr>
            <w:tcW w:w="1287" w:type="dxa"/>
            <w:vAlign w:val="center"/>
          </w:tcPr>
          <w:p w:rsidR="00000000" w:rsidRDefault="00000000">
            <w:pPr>
              <w:spacing w:before="60" w:after="60"/>
              <w:jc w:val="right"/>
              <w:rPr>
                <w:sz w:val="22"/>
              </w:rPr>
            </w:pPr>
            <w:r>
              <w:rPr>
                <w:sz w:val="22"/>
              </w:rPr>
              <w:t>72,6</w:t>
            </w:r>
          </w:p>
        </w:tc>
        <w:tc>
          <w:tcPr>
            <w:tcW w:w="1326" w:type="dxa"/>
            <w:vAlign w:val="center"/>
          </w:tcPr>
          <w:p w:rsidR="00000000" w:rsidRDefault="00000000">
            <w:pPr>
              <w:spacing w:before="60" w:after="60"/>
              <w:jc w:val="right"/>
              <w:rPr>
                <w:sz w:val="22"/>
              </w:rPr>
            </w:pPr>
            <w:r>
              <w:rPr>
                <w:sz w:val="22"/>
              </w:rPr>
              <w:t>45,0</w:t>
            </w:r>
          </w:p>
        </w:tc>
        <w:tc>
          <w:tcPr>
            <w:tcW w:w="1365" w:type="dxa"/>
            <w:vAlign w:val="center"/>
          </w:tcPr>
          <w:p w:rsidR="00000000" w:rsidRDefault="00000000">
            <w:pPr>
              <w:spacing w:before="60" w:after="60"/>
              <w:jc w:val="right"/>
              <w:rPr>
                <w:sz w:val="22"/>
              </w:rPr>
            </w:pPr>
            <w:r>
              <w:rPr>
                <w:sz w:val="22"/>
              </w:rPr>
              <w:t>68,0</w:t>
            </w:r>
          </w:p>
        </w:tc>
        <w:tc>
          <w:tcPr>
            <w:tcW w:w="1287" w:type="dxa"/>
            <w:vAlign w:val="center"/>
          </w:tcPr>
          <w:p w:rsidR="00000000" w:rsidRDefault="00000000">
            <w:pPr>
              <w:spacing w:before="60" w:after="60"/>
              <w:jc w:val="right"/>
              <w:rPr>
                <w:sz w:val="22"/>
              </w:rPr>
            </w:pPr>
            <w:r>
              <w:rPr>
                <w:sz w:val="22"/>
              </w:rPr>
              <w:t>48,1</w:t>
            </w:r>
          </w:p>
        </w:tc>
        <w:tc>
          <w:tcPr>
            <w:tcW w:w="1235" w:type="dxa"/>
            <w:vAlign w:val="center"/>
          </w:tcPr>
          <w:p w:rsidR="00000000" w:rsidRDefault="00000000">
            <w:pPr>
              <w:spacing w:before="60" w:after="60"/>
              <w:jc w:val="right"/>
              <w:rPr>
                <w:sz w:val="22"/>
              </w:rPr>
            </w:pPr>
            <w:r>
              <w:rPr>
                <w:sz w:val="22"/>
              </w:rPr>
              <w:t>52,4</w:t>
            </w:r>
          </w:p>
        </w:tc>
      </w:tr>
    </w:tbl>
    <w:p w:rsidR="00000000" w:rsidRDefault="00000000">
      <w:pPr>
        <w:spacing w:before="240" w:after="240"/>
      </w:pPr>
      <w:r>
        <w:rPr>
          <w:i/>
          <w:iCs/>
        </w:rPr>
        <w:t>Source</w:t>
      </w:r>
      <w:r>
        <w:t>: «</w:t>
      </w:r>
      <w:r>
        <w:rPr>
          <w:i/>
          <w:iCs/>
        </w:rPr>
        <w:t>Annuaire statistique de la Géorgie, 2000</w:t>
      </w:r>
      <w:r>
        <w:t>», établi par le Département national de statistique.</w:t>
      </w:r>
    </w:p>
    <w:p w:rsidR="00000000" w:rsidRDefault="00000000">
      <w:pPr>
        <w:spacing w:after="240"/>
        <w:jc w:val="center"/>
        <w:rPr>
          <w:u w:val="single"/>
        </w:rPr>
      </w:pPr>
      <w:r>
        <w:rPr>
          <w:u w:val="single"/>
        </w:rPr>
        <w:br w:type="page"/>
        <w:t>Morbidité, par grand groupe de maladies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21"/>
        <w:gridCol w:w="635"/>
        <w:gridCol w:w="635"/>
        <w:gridCol w:w="635"/>
        <w:gridCol w:w="635"/>
        <w:gridCol w:w="635"/>
      </w:tblGrid>
      <w:tr w:rsidR="00000000">
        <w:tblPrEx>
          <w:tblCellMar>
            <w:top w:w="0" w:type="dxa"/>
            <w:bottom w:w="0" w:type="dxa"/>
          </w:tblCellMar>
        </w:tblPrEx>
        <w:trPr>
          <w:trHeight w:val="315"/>
        </w:trPr>
        <w:tc>
          <w:tcPr>
            <w:tcW w:w="6395" w:type="dxa"/>
          </w:tcPr>
          <w:p w:rsidR="00000000" w:rsidRDefault="00000000">
            <w:pPr>
              <w:keepNext/>
              <w:spacing w:before="60" w:after="60"/>
              <w:rPr>
                <w:sz w:val="22"/>
              </w:rPr>
            </w:pPr>
          </w:p>
        </w:tc>
        <w:tc>
          <w:tcPr>
            <w:tcW w:w="620" w:type="dxa"/>
          </w:tcPr>
          <w:p w:rsidR="00000000" w:rsidRDefault="00000000">
            <w:pPr>
              <w:keepNext/>
              <w:spacing w:before="60" w:after="60"/>
              <w:rPr>
                <w:sz w:val="22"/>
              </w:rPr>
            </w:pPr>
            <w:r>
              <w:rPr>
                <w:sz w:val="22"/>
              </w:rPr>
              <w:t>1995</w:t>
            </w:r>
          </w:p>
        </w:tc>
        <w:tc>
          <w:tcPr>
            <w:tcW w:w="0" w:type="auto"/>
          </w:tcPr>
          <w:p w:rsidR="00000000" w:rsidRDefault="00000000">
            <w:pPr>
              <w:keepNext/>
              <w:spacing w:before="60" w:after="60"/>
              <w:rPr>
                <w:sz w:val="22"/>
              </w:rPr>
            </w:pPr>
            <w:r>
              <w:rPr>
                <w:sz w:val="22"/>
              </w:rPr>
              <w:t>1996</w:t>
            </w:r>
          </w:p>
        </w:tc>
        <w:tc>
          <w:tcPr>
            <w:tcW w:w="0" w:type="auto"/>
          </w:tcPr>
          <w:p w:rsidR="00000000" w:rsidRDefault="00000000">
            <w:pPr>
              <w:keepNext/>
              <w:spacing w:before="60" w:after="60"/>
              <w:rPr>
                <w:sz w:val="22"/>
              </w:rPr>
            </w:pPr>
            <w:r>
              <w:rPr>
                <w:sz w:val="22"/>
              </w:rPr>
              <w:t>1997</w:t>
            </w:r>
          </w:p>
        </w:tc>
        <w:tc>
          <w:tcPr>
            <w:tcW w:w="0" w:type="auto"/>
          </w:tcPr>
          <w:p w:rsidR="00000000" w:rsidRDefault="00000000">
            <w:pPr>
              <w:keepNext/>
              <w:spacing w:before="60" w:after="60"/>
              <w:rPr>
                <w:sz w:val="22"/>
              </w:rPr>
            </w:pPr>
            <w:r>
              <w:rPr>
                <w:sz w:val="22"/>
              </w:rPr>
              <w:t>1998</w:t>
            </w:r>
          </w:p>
        </w:tc>
        <w:tc>
          <w:tcPr>
            <w:tcW w:w="0" w:type="auto"/>
          </w:tcPr>
          <w:p w:rsidR="00000000" w:rsidRDefault="00000000">
            <w:pPr>
              <w:keepNext/>
              <w:spacing w:before="60" w:after="60"/>
              <w:rPr>
                <w:sz w:val="22"/>
              </w:rPr>
            </w:pPr>
            <w:r>
              <w:rPr>
                <w:sz w:val="22"/>
              </w:rPr>
              <w:t>1999</w:t>
            </w:r>
          </w:p>
        </w:tc>
      </w:tr>
      <w:tr w:rsidR="00000000">
        <w:tblPrEx>
          <w:tblCellMar>
            <w:top w:w="0" w:type="dxa"/>
            <w:bottom w:w="0" w:type="dxa"/>
          </w:tblCellMar>
        </w:tblPrEx>
        <w:tc>
          <w:tcPr>
            <w:tcW w:w="6395" w:type="dxa"/>
          </w:tcPr>
          <w:p w:rsidR="00000000" w:rsidRDefault="00000000">
            <w:pPr>
              <w:keepNext/>
              <w:spacing w:before="60" w:after="60"/>
              <w:rPr>
                <w:sz w:val="22"/>
              </w:rPr>
            </w:pPr>
            <w:r>
              <w:rPr>
                <w:sz w:val="22"/>
              </w:rPr>
              <w:t>Nombre de maladies (diagnostic initial), en milliers de cas</w:t>
            </w:r>
          </w:p>
        </w:tc>
        <w:tc>
          <w:tcPr>
            <w:tcW w:w="620" w:type="dxa"/>
          </w:tcPr>
          <w:p w:rsidR="00000000" w:rsidRDefault="00000000">
            <w:pPr>
              <w:keepNext/>
              <w:spacing w:before="60" w:after="60"/>
              <w:jc w:val="right"/>
              <w:rPr>
                <w:sz w:val="22"/>
              </w:rPr>
            </w:pPr>
            <w:r>
              <w:rPr>
                <w:sz w:val="22"/>
              </w:rPr>
              <w:t>778,5</w:t>
            </w:r>
          </w:p>
        </w:tc>
        <w:tc>
          <w:tcPr>
            <w:tcW w:w="0" w:type="auto"/>
          </w:tcPr>
          <w:p w:rsidR="00000000" w:rsidRDefault="00000000">
            <w:pPr>
              <w:keepNext/>
              <w:spacing w:before="60" w:after="60"/>
              <w:jc w:val="right"/>
              <w:rPr>
                <w:sz w:val="22"/>
              </w:rPr>
            </w:pPr>
            <w:r>
              <w:rPr>
                <w:sz w:val="22"/>
              </w:rPr>
              <w:t>401,5</w:t>
            </w:r>
          </w:p>
        </w:tc>
        <w:tc>
          <w:tcPr>
            <w:tcW w:w="0" w:type="auto"/>
          </w:tcPr>
          <w:p w:rsidR="00000000" w:rsidRDefault="00000000">
            <w:pPr>
              <w:keepNext/>
              <w:spacing w:before="60" w:after="60"/>
              <w:jc w:val="right"/>
              <w:rPr>
                <w:sz w:val="22"/>
              </w:rPr>
            </w:pPr>
            <w:r>
              <w:rPr>
                <w:sz w:val="22"/>
              </w:rPr>
              <w:t>366,6</w:t>
            </w:r>
          </w:p>
        </w:tc>
        <w:tc>
          <w:tcPr>
            <w:tcW w:w="0" w:type="auto"/>
          </w:tcPr>
          <w:p w:rsidR="00000000" w:rsidRDefault="00000000">
            <w:pPr>
              <w:keepNext/>
              <w:spacing w:before="60" w:after="60"/>
              <w:jc w:val="right"/>
              <w:rPr>
                <w:sz w:val="22"/>
              </w:rPr>
            </w:pPr>
            <w:r>
              <w:rPr>
                <w:sz w:val="22"/>
              </w:rPr>
              <w:t>433,7</w:t>
            </w:r>
          </w:p>
        </w:tc>
        <w:tc>
          <w:tcPr>
            <w:tcW w:w="0" w:type="auto"/>
          </w:tcPr>
          <w:p w:rsidR="00000000" w:rsidRDefault="00000000">
            <w:pPr>
              <w:keepNext/>
              <w:spacing w:before="60" w:after="60"/>
              <w:jc w:val="right"/>
              <w:rPr>
                <w:sz w:val="22"/>
              </w:rPr>
            </w:pPr>
            <w:r>
              <w:rPr>
                <w:sz w:val="22"/>
              </w:rPr>
              <w:t>440,1</w:t>
            </w:r>
          </w:p>
        </w:tc>
      </w:tr>
      <w:tr w:rsidR="00000000">
        <w:tblPrEx>
          <w:tblCellMar>
            <w:top w:w="0" w:type="dxa"/>
            <w:bottom w:w="0" w:type="dxa"/>
          </w:tblCellMar>
        </w:tblPrEx>
        <w:trPr>
          <w:cantSplit/>
        </w:trPr>
        <w:tc>
          <w:tcPr>
            <w:tcW w:w="0" w:type="auto"/>
            <w:gridSpan w:val="6"/>
          </w:tcPr>
          <w:p w:rsidR="00000000" w:rsidRDefault="00000000">
            <w:pPr>
              <w:tabs>
                <w:tab w:val="left" w:pos="360"/>
              </w:tabs>
              <w:spacing w:before="60" w:after="60"/>
              <w:rPr>
                <w:sz w:val="22"/>
              </w:rPr>
            </w:pPr>
            <w:r>
              <w:rPr>
                <w:sz w:val="22"/>
              </w:rPr>
              <w:tab/>
              <w:t>dont:</w:t>
            </w:r>
          </w:p>
        </w:tc>
      </w:tr>
      <w:tr w:rsidR="00000000">
        <w:tblPrEx>
          <w:tblCellMar>
            <w:top w:w="0" w:type="dxa"/>
            <w:bottom w:w="0" w:type="dxa"/>
          </w:tblCellMar>
        </w:tblPrEx>
        <w:tc>
          <w:tcPr>
            <w:tcW w:w="6395" w:type="dxa"/>
          </w:tcPr>
          <w:p w:rsidR="00000000" w:rsidRDefault="00000000">
            <w:pPr>
              <w:tabs>
                <w:tab w:val="left" w:pos="360"/>
              </w:tabs>
              <w:spacing w:before="60" w:after="60"/>
              <w:rPr>
                <w:sz w:val="22"/>
              </w:rPr>
            </w:pPr>
            <w:r>
              <w:rPr>
                <w:sz w:val="22"/>
              </w:rPr>
              <w:tab/>
              <w:t>Maladies infectieuses et parasitaires</w:t>
            </w:r>
          </w:p>
        </w:tc>
        <w:tc>
          <w:tcPr>
            <w:tcW w:w="620" w:type="dxa"/>
          </w:tcPr>
          <w:p w:rsidR="00000000" w:rsidRDefault="00000000">
            <w:pPr>
              <w:keepNext/>
              <w:spacing w:before="60" w:after="60"/>
              <w:jc w:val="right"/>
              <w:rPr>
                <w:sz w:val="22"/>
              </w:rPr>
            </w:pPr>
            <w:r>
              <w:rPr>
                <w:sz w:val="22"/>
              </w:rPr>
              <w:t>19,4</w:t>
            </w:r>
          </w:p>
        </w:tc>
        <w:tc>
          <w:tcPr>
            <w:tcW w:w="0" w:type="auto"/>
          </w:tcPr>
          <w:p w:rsidR="00000000" w:rsidRDefault="00000000">
            <w:pPr>
              <w:keepNext/>
              <w:spacing w:before="60" w:after="60"/>
              <w:jc w:val="right"/>
              <w:rPr>
                <w:sz w:val="22"/>
              </w:rPr>
            </w:pPr>
            <w:r>
              <w:rPr>
                <w:sz w:val="22"/>
              </w:rPr>
              <w:t>35,5</w:t>
            </w:r>
          </w:p>
        </w:tc>
        <w:tc>
          <w:tcPr>
            <w:tcW w:w="0" w:type="auto"/>
          </w:tcPr>
          <w:p w:rsidR="00000000" w:rsidRDefault="00000000">
            <w:pPr>
              <w:keepNext/>
              <w:spacing w:before="60" w:after="60"/>
              <w:jc w:val="right"/>
              <w:rPr>
                <w:sz w:val="22"/>
              </w:rPr>
            </w:pPr>
            <w:r>
              <w:rPr>
                <w:sz w:val="22"/>
              </w:rPr>
              <w:t>38,1</w:t>
            </w:r>
          </w:p>
        </w:tc>
        <w:tc>
          <w:tcPr>
            <w:tcW w:w="0" w:type="auto"/>
          </w:tcPr>
          <w:p w:rsidR="00000000" w:rsidRDefault="00000000">
            <w:pPr>
              <w:keepNext/>
              <w:spacing w:before="60" w:after="60"/>
              <w:jc w:val="right"/>
              <w:rPr>
                <w:sz w:val="22"/>
              </w:rPr>
            </w:pPr>
            <w:r>
              <w:rPr>
                <w:sz w:val="22"/>
              </w:rPr>
              <w:t>37,6</w:t>
            </w:r>
          </w:p>
        </w:tc>
        <w:tc>
          <w:tcPr>
            <w:tcW w:w="0" w:type="auto"/>
          </w:tcPr>
          <w:p w:rsidR="00000000" w:rsidRDefault="00000000">
            <w:pPr>
              <w:keepNext/>
              <w:spacing w:before="60" w:after="60"/>
              <w:jc w:val="right"/>
              <w:rPr>
                <w:sz w:val="22"/>
              </w:rPr>
            </w:pPr>
            <w:r>
              <w:rPr>
                <w:sz w:val="22"/>
              </w:rPr>
              <w:t>33,0</w:t>
            </w:r>
          </w:p>
        </w:tc>
      </w:tr>
      <w:tr w:rsidR="00000000">
        <w:tblPrEx>
          <w:tblCellMar>
            <w:top w:w="0" w:type="dxa"/>
            <w:bottom w:w="0" w:type="dxa"/>
          </w:tblCellMar>
        </w:tblPrEx>
        <w:tc>
          <w:tcPr>
            <w:tcW w:w="6395" w:type="dxa"/>
          </w:tcPr>
          <w:p w:rsidR="00000000" w:rsidRDefault="00000000">
            <w:pPr>
              <w:tabs>
                <w:tab w:val="left" w:pos="360"/>
              </w:tabs>
              <w:spacing w:before="60" w:after="60"/>
              <w:rPr>
                <w:sz w:val="22"/>
              </w:rPr>
            </w:pPr>
            <w:r>
              <w:rPr>
                <w:sz w:val="22"/>
              </w:rPr>
              <w:tab/>
              <w:t>Cancers</w:t>
            </w:r>
          </w:p>
        </w:tc>
        <w:tc>
          <w:tcPr>
            <w:tcW w:w="620" w:type="dxa"/>
          </w:tcPr>
          <w:p w:rsidR="00000000" w:rsidRDefault="00000000">
            <w:pPr>
              <w:keepNext/>
              <w:spacing w:before="60" w:after="60"/>
              <w:jc w:val="right"/>
              <w:rPr>
                <w:sz w:val="22"/>
              </w:rPr>
            </w:pPr>
            <w:r>
              <w:rPr>
                <w:sz w:val="22"/>
              </w:rPr>
              <w:t>3,2</w:t>
            </w:r>
          </w:p>
        </w:tc>
        <w:tc>
          <w:tcPr>
            <w:tcW w:w="0" w:type="auto"/>
          </w:tcPr>
          <w:p w:rsidR="00000000" w:rsidRDefault="00000000">
            <w:pPr>
              <w:keepNext/>
              <w:spacing w:before="60" w:after="60"/>
              <w:jc w:val="right"/>
              <w:rPr>
                <w:sz w:val="22"/>
              </w:rPr>
            </w:pPr>
            <w:r>
              <w:rPr>
                <w:sz w:val="22"/>
              </w:rPr>
              <w:t>3,8</w:t>
            </w:r>
          </w:p>
        </w:tc>
        <w:tc>
          <w:tcPr>
            <w:tcW w:w="0" w:type="auto"/>
          </w:tcPr>
          <w:p w:rsidR="00000000" w:rsidRDefault="00000000">
            <w:pPr>
              <w:keepNext/>
              <w:spacing w:before="60" w:after="60"/>
              <w:jc w:val="right"/>
              <w:rPr>
                <w:sz w:val="22"/>
              </w:rPr>
            </w:pPr>
            <w:r>
              <w:rPr>
                <w:sz w:val="22"/>
              </w:rPr>
              <w:t>4,2</w:t>
            </w:r>
          </w:p>
        </w:tc>
        <w:tc>
          <w:tcPr>
            <w:tcW w:w="0" w:type="auto"/>
          </w:tcPr>
          <w:p w:rsidR="00000000" w:rsidRDefault="00000000">
            <w:pPr>
              <w:keepNext/>
              <w:spacing w:before="60" w:after="60"/>
              <w:jc w:val="right"/>
              <w:rPr>
                <w:sz w:val="22"/>
              </w:rPr>
            </w:pPr>
            <w:r>
              <w:rPr>
                <w:sz w:val="22"/>
              </w:rPr>
              <w:t>5,6</w:t>
            </w:r>
          </w:p>
        </w:tc>
        <w:tc>
          <w:tcPr>
            <w:tcW w:w="0" w:type="auto"/>
          </w:tcPr>
          <w:p w:rsidR="00000000" w:rsidRDefault="00000000">
            <w:pPr>
              <w:keepNext/>
              <w:spacing w:before="60" w:after="60"/>
              <w:jc w:val="right"/>
              <w:rPr>
                <w:sz w:val="22"/>
              </w:rPr>
            </w:pPr>
            <w:r>
              <w:rPr>
                <w:sz w:val="22"/>
              </w:rPr>
              <w:t>6,2</w:t>
            </w:r>
          </w:p>
        </w:tc>
      </w:tr>
      <w:tr w:rsidR="00000000">
        <w:tblPrEx>
          <w:tblCellMar>
            <w:top w:w="0" w:type="dxa"/>
            <w:bottom w:w="0" w:type="dxa"/>
          </w:tblCellMar>
        </w:tblPrEx>
        <w:tc>
          <w:tcPr>
            <w:tcW w:w="6395" w:type="dxa"/>
          </w:tcPr>
          <w:p w:rsidR="00000000" w:rsidRDefault="00000000">
            <w:pPr>
              <w:tabs>
                <w:tab w:val="left" w:pos="360"/>
              </w:tabs>
              <w:spacing w:before="60" w:after="60"/>
              <w:ind w:left="357" w:hanging="357"/>
              <w:rPr>
                <w:sz w:val="22"/>
              </w:rPr>
            </w:pPr>
            <w:r>
              <w:rPr>
                <w:sz w:val="22"/>
              </w:rPr>
              <w:tab/>
              <w:t>Maladies du système endocrinien et troubles du métabolisme</w:t>
            </w:r>
          </w:p>
        </w:tc>
        <w:tc>
          <w:tcPr>
            <w:tcW w:w="620" w:type="dxa"/>
          </w:tcPr>
          <w:p w:rsidR="00000000" w:rsidRDefault="00000000">
            <w:pPr>
              <w:keepNext/>
              <w:spacing w:before="60" w:after="60"/>
              <w:jc w:val="right"/>
              <w:rPr>
                <w:sz w:val="22"/>
              </w:rPr>
            </w:pPr>
            <w:r>
              <w:rPr>
                <w:sz w:val="22"/>
              </w:rPr>
              <w:t>9,3</w:t>
            </w:r>
          </w:p>
        </w:tc>
        <w:tc>
          <w:tcPr>
            <w:tcW w:w="0" w:type="auto"/>
          </w:tcPr>
          <w:p w:rsidR="00000000" w:rsidRDefault="00000000">
            <w:pPr>
              <w:keepNext/>
              <w:spacing w:before="60" w:after="60"/>
              <w:jc w:val="right"/>
              <w:rPr>
                <w:sz w:val="22"/>
              </w:rPr>
            </w:pPr>
            <w:r>
              <w:rPr>
                <w:sz w:val="22"/>
              </w:rPr>
              <w:t>14,8</w:t>
            </w:r>
          </w:p>
        </w:tc>
        <w:tc>
          <w:tcPr>
            <w:tcW w:w="0" w:type="auto"/>
          </w:tcPr>
          <w:p w:rsidR="00000000" w:rsidRDefault="00000000">
            <w:pPr>
              <w:keepNext/>
              <w:spacing w:before="60" w:after="60"/>
              <w:jc w:val="right"/>
              <w:rPr>
                <w:sz w:val="22"/>
              </w:rPr>
            </w:pPr>
            <w:r>
              <w:rPr>
                <w:sz w:val="22"/>
              </w:rPr>
              <w:t>25,4</w:t>
            </w:r>
          </w:p>
        </w:tc>
        <w:tc>
          <w:tcPr>
            <w:tcW w:w="0" w:type="auto"/>
          </w:tcPr>
          <w:p w:rsidR="00000000" w:rsidRDefault="00000000">
            <w:pPr>
              <w:keepNext/>
              <w:spacing w:before="60" w:after="60"/>
              <w:jc w:val="right"/>
              <w:rPr>
                <w:sz w:val="22"/>
              </w:rPr>
            </w:pPr>
            <w:r>
              <w:rPr>
                <w:sz w:val="22"/>
              </w:rPr>
              <w:t>42,6</w:t>
            </w:r>
          </w:p>
        </w:tc>
        <w:tc>
          <w:tcPr>
            <w:tcW w:w="0" w:type="auto"/>
          </w:tcPr>
          <w:p w:rsidR="00000000" w:rsidRDefault="00000000">
            <w:pPr>
              <w:keepNext/>
              <w:spacing w:before="60" w:after="60"/>
              <w:jc w:val="right"/>
              <w:rPr>
                <w:sz w:val="22"/>
              </w:rPr>
            </w:pPr>
            <w:r>
              <w:rPr>
                <w:sz w:val="22"/>
              </w:rPr>
              <w:t>33,9</w:t>
            </w:r>
          </w:p>
        </w:tc>
      </w:tr>
      <w:tr w:rsidR="00000000">
        <w:tblPrEx>
          <w:tblCellMar>
            <w:top w:w="0" w:type="dxa"/>
            <w:bottom w:w="0" w:type="dxa"/>
          </w:tblCellMar>
        </w:tblPrEx>
        <w:tc>
          <w:tcPr>
            <w:tcW w:w="6395" w:type="dxa"/>
          </w:tcPr>
          <w:p w:rsidR="00000000" w:rsidRDefault="00000000">
            <w:pPr>
              <w:tabs>
                <w:tab w:val="left" w:pos="360"/>
              </w:tabs>
              <w:spacing w:before="60" w:after="60"/>
              <w:rPr>
                <w:sz w:val="22"/>
              </w:rPr>
            </w:pPr>
            <w:r>
              <w:rPr>
                <w:sz w:val="22"/>
              </w:rPr>
              <w:tab/>
              <w:t>Maladies du sang et des organes hématopoïétiques</w:t>
            </w:r>
          </w:p>
        </w:tc>
        <w:tc>
          <w:tcPr>
            <w:tcW w:w="620" w:type="dxa"/>
          </w:tcPr>
          <w:p w:rsidR="00000000" w:rsidRDefault="00000000">
            <w:pPr>
              <w:keepNext/>
              <w:spacing w:before="60" w:after="60"/>
              <w:jc w:val="right"/>
              <w:rPr>
                <w:sz w:val="22"/>
              </w:rPr>
            </w:pPr>
            <w:r>
              <w:rPr>
                <w:sz w:val="22"/>
              </w:rPr>
              <w:t>3,5</w:t>
            </w:r>
          </w:p>
        </w:tc>
        <w:tc>
          <w:tcPr>
            <w:tcW w:w="0" w:type="auto"/>
          </w:tcPr>
          <w:p w:rsidR="00000000" w:rsidRDefault="00000000">
            <w:pPr>
              <w:keepNext/>
              <w:spacing w:before="60" w:after="60"/>
              <w:jc w:val="right"/>
              <w:rPr>
                <w:sz w:val="22"/>
              </w:rPr>
            </w:pPr>
            <w:r>
              <w:rPr>
                <w:sz w:val="22"/>
              </w:rPr>
              <w:t>5,0</w:t>
            </w:r>
          </w:p>
        </w:tc>
        <w:tc>
          <w:tcPr>
            <w:tcW w:w="0" w:type="auto"/>
          </w:tcPr>
          <w:p w:rsidR="00000000" w:rsidRDefault="00000000">
            <w:pPr>
              <w:keepNext/>
              <w:spacing w:before="60" w:after="60"/>
              <w:jc w:val="right"/>
              <w:rPr>
                <w:sz w:val="22"/>
              </w:rPr>
            </w:pPr>
            <w:r>
              <w:rPr>
                <w:sz w:val="22"/>
              </w:rPr>
              <w:t>4,8</w:t>
            </w:r>
          </w:p>
        </w:tc>
        <w:tc>
          <w:tcPr>
            <w:tcW w:w="0" w:type="auto"/>
          </w:tcPr>
          <w:p w:rsidR="00000000" w:rsidRDefault="00000000">
            <w:pPr>
              <w:keepNext/>
              <w:spacing w:before="60" w:after="60"/>
              <w:jc w:val="right"/>
              <w:rPr>
                <w:sz w:val="22"/>
              </w:rPr>
            </w:pPr>
            <w:r>
              <w:rPr>
                <w:sz w:val="22"/>
              </w:rPr>
              <w:t>6,0</w:t>
            </w:r>
          </w:p>
        </w:tc>
        <w:tc>
          <w:tcPr>
            <w:tcW w:w="0" w:type="auto"/>
          </w:tcPr>
          <w:p w:rsidR="00000000" w:rsidRDefault="00000000">
            <w:pPr>
              <w:keepNext/>
              <w:spacing w:before="60" w:after="60"/>
              <w:jc w:val="right"/>
              <w:rPr>
                <w:sz w:val="22"/>
              </w:rPr>
            </w:pPr>
            <w:r>
              <w:rPr>
                <w:sz w:val="22"/>
              </w:rPr>
              <w:t>6,7</w:t>
            </w:r>
          </w:p>
        </w:tc>
      </w:tr>
      <w:tr w:rsidR="00000000">
        <w:tblPrEx>
          <w:tblCellMar>
            <w:top w:w="0" w:type="dxa"/>
            <w:bottom w:w="0" w:type="dxa"/>
          </w:tblCellMar>
        </w:tblPrEx>
        <w:tc>
          <w:tcPr>
            <w:tcW w:w="6395" w:type="dxa"/>
          </w:tcPr>
          <w:p w:rsidR="00000000" w:rsidRDefault="00000000">
            <w:pPr>
              <w:tabs>
                <w:tab w:val="left" w:pos="360"/>
              </w:tabs>
              <w:spacing w:before="60" w:after="60"/>
              <w:rPr>
                <w:sz w:val="22"/>
              </w:rPr>
            </w:pPr>
            <w:r>
              <w:rPr>
                <w:sz w:val="22"/>
              </w:rPr>
              <w:tab/>
              <w:t>Troubles psychiques</w:t>
            </w:r>
          </w:p>
        </w:tc>
        <w:tc>
          <w:tcPr>
            <w:tcW w:w="620" w:type="dxa"/>
          </w:tcPr>
          <w:p w:rsidR="00000000" w:rsidRDefault="00000000">
            <w:pPr>
              <w:spacing w:before="60" w:after="60"/>
              <w:jc w:val="right"/>
              <w:rPr>
                <w:sz w:val="22"/>
              </w:rPr>
            </w:pPr>
            <w:r>
              <w:rPr>
                <w:sz w:val="22"/>
              </w:rPr>
              <w:t>2,9</w:t>
            </w:r>
          </w:p>
        </w:tc>
        <w:tc>
          <w:tcPr>
            <w:tcW w:w="0" w:type="auto"/>
          </w:tcPr>
          <w:p w:rsidR="00000000" w:rsidRDefault="00000000">
            <w:pPr>
              <w:spacing w:before="60" w:after="60"/>
              <w:jc w:val="right"/>
              <w:rPr>
                <w:sz w:val="22"/>
              </w:rPr>
            </w:pPr>
            <w:r>
              <w:rPr>
                <w:sz w:val="22"/>
              </w:rPr>
              <w:t>3,1</w:t>
            </w:r>
          </w:p>
        </w:tc>
        <w:tc>
          <w:tcPr>
            <w:tcW w:w="0" w:type="auto"/>
          </w:tcPr>
          <w:p w:rsidR="00000000" w:rsidRDefault="00000000">
            <w:pPr>
              <w:spacing w:before="60" w:after="60"/>
              <w:jc w:val="right"/>
              <w:rPr>
                <w:sz w:val="22"/>
              </w:rPr>
            </w:pPr>
            <w:r>
              <w:rPr>
                <w:sz w:val="22"/>
              </w:rPr>
              <w:t>4,2</w:t>
            </w:r>
          </w:p>
        </w:tc>
        <w:tc>
          <w:tcPr>
            <w:tcW w:w="0" w:type="auto"/>
          </w:tcPr>
          <w:p w:rsidR="00000000" w:rsidRDefault="00000000">
            <w:pPr>
              <w:spacing w:before="60" w:after="60"/>
              <w:jc w:val="right"/>
              <w:rPr>
                <w:sz w:val="22"/>
              </w:rPr>
            </w:pPr>
            <w:r>
              <w:rPr>
                <w:sz w:val="22"/>
              </w:rPr>
              <w:t>6,9</w:t>
            </w:r>
          </w:p>
        </w:tc>
        <w:tc>
          <w:tcPr>
            <w:tcW w:w="0" w:type="auto"/>
          </w:tcPr>
          <w:p w:rsidR="00000000" w:rsidRDefault="00000000">
            <w:pPr>
              <w:spacing w:before="60" w:after="60"/>
              <w:jc w:val="right"/>
              <w:rPr>
                <w:sz w:val="22"/>
              </w:rPr>
            </w:pPr>
            <w:r>
              <w:rPr>
                <w:sz w:val="22"/>
              </w:rPr>
              <w:t>6,5</w:t>
            </w:r>
          </w:p>
        </w:tc>
      </w:tr>
      <w:tr w:rsidR="00000000">
        <w:tblPrEx>
          <w:tblCellMar>
            <w:top w:w="0" w:type="dxa"/>
            <w:bottom w:w="0" w:type="dxa"/>
          </w:tblCellMar>
        </w:tblPrEx>
        <w:tc>
          <w:tcPr>
            <w:tcW w:w="6395" w:type="dxa"/>
          </w:tcPr>
          <w:p w:rsidR="00000000" w:rsidRDefault="00000000">
            <w:pPr>
              <w:tabs>
                <w:tab w:val="left" w:pos="360"/>
              </w:tabs>
              <w:spacing w:before="60" w:after="60"/>
              <w:rPr>
                <w:sz w:val="22"/>
              </w:rPr>
            </w:pPr>
            <w:r>
              <w:rPr>
                <w:sz w:val="22"/>
              </w:rPr>
              <w:tab/>
              <w:t>Maladies du système nerveux et des organes sensoriels</w:t>
            </w:r>
          </w:p>
        </w:tc>
        <w:tc>
          <w:tcPr>
            <w:tcW w:w="620" w:type="dxa"/>
          </w:tcPr>
          <w:p w:rsidR="00000000" w:rsidRDefault="00000000">
            <w:pPr>
              <w:spacing w:before="60" w:after="60"/>
              <w:jc w:val="right"/>
              <w:rPr>
                <w:sz w:val="22"/>
              </w:rPr>
            </w:pPr>
            <w:r>
              <w:rPr>
                <w:sz w:val="22"/>
              </w:rPr>
              <w:t>19,3</w:t>
            </w:r>
          </w:p>
        </w:tc>
        <w:tc>
          <w:tcPr>
            <w:tcW w:w="0" w:type="auto"/>
          </w:tcPr>
          <w:p w:rsidR="00000000" w:rsidRDefault="00000000">
            <w:pPr>
              <w:spacing w:before="60" w:after="60"/>
              <w:jc w:val="right"/>
              <w:rPr>
                <w:sz w:val="22"/>
              </w:rPr>
            </w:pPr>
            <w:r>
              <w:rPr>
                <w:sz w:val="22"/>
              </w:rPr>
              <w:t>19.2</w:t>
            </w:r>
          </w:p>
        </w:tc>
        <w:tc>
          <w:tcPr>
            <w:tcW w:w="0" w:type="auto"/>
          </w:tcPr>
          <w:p w:rsidR="00000000" w:rsidRDefault="00000000">
            <w:pPr>
              <w:spacing w:before="60" w:after="60"/>
              <w:jc w:val="right"/>
              <w:rPr>
                <w:sz w:val="22"/>
              </w:rPr>
            </w:pPr>
            <w:r>
              <w:rPr>
                <w:sz w:val="22"/>
              </w:rPr>
              <w:t>23,7</w:t>
            </w:r>
          </w:p>
        </w:tc>
        <w:tc>
          <w:tcPr>
            <w:tcW w:w="0" w:type="auto"/>
          </w:tcPr>
          <w:p w:rsidR="00000000" w:rsidRDefault="00000000">
            <w:pPr>
              <w:spacing w:before="60" w:after="60"/>
              <w:jc w:val="right"/>
              <w:rPr>
                <w:sz w:val="22"/>
              </w:rPr>
            </w:pPr>
            <w:r>
              <w:rPr>
                <w:sz w:val="22"/>
              </w:rPr>
              <w:t>33,3</w:t>
            </w:r>
          </w:p>
        </w:tc>
        <w:tc>
          <w:tcPr>
            <w:tcW w:w="0" w:type="auto"/>
          </w:tcPr>
          <w:p w:rsidR="00000000" w:rsidRDefault="00000000">
            <w:pPr>
              <w:spacing w:before="60" w:after="60"/>
              <w:jc w:val="right"/>
              <w:rPr>
                <w:sz w:val="22"/>
              </w:rPr>
            </w:pPr>
            <w:r>
              <w:rPr>
                <w:sz w:val="22"/>
              </w:rPr>
              <w:t>36,0</w:t>
            </w:r>
          </w:p>
        </w:tc>
      </w:tr>
      <w:tr w:rsidR="00000000">
        <w:tblPrEx>
          <w:tblCellMar>
            <w:top w:w="0" w:type="dxa"/>
            <w:bottom w:w="0" w:type="dxa"/>
          </w:tblCellMar>
        </w:tblPrEx>
        <w:tc>
          <w:tcPr>
            <w:tcW w:w="6395" w:type="dxa"/>
          </w:tcPr>
          <w:p w:rsidR="00000000" w:rsidRDefault="00000000">
            <w:pPr>
              <w:tabs>
                <w:tab w:val="left" w:pos="360"/>
              </w:tabs>
              <w:spacing w:before="60" w:after="60"/>
              <w:rPr>
                <w:sz w:val="22"/>
              </w:rPr>
            </w:pPr>
            <w:r>
              <w:rPr>
                <w:sz w:val="22"/>
              </w:rPr>
              <w:tab/>
              <w:t>Maladies du système circulatoire</w:t>
            </w:r>
          </w:p>
        </w:tc>
        <w:tc>
          <w:tcPr>
            <w:tcW w:w="620" w:type="dxa"/>
          </w:tcPr>
          <w:p w:rsidR="00000000" w:rsidRDefault="00000000">
            <w:pPr>
              <w:spacing w:before="60" w:after="60"/>
              <w:jc w:val="right"/>
              <w:rPr>
                <w:sz w:val="22"/>
              </w:rPr>
            </w:pPr>
            <w:r>
              <w:rPr>
                <w:sz w:val="22"/>
              </w:rPr>
              <w:t>23,6</w:t>
            </w:r>
          </w:p>
        </w:tc>
        <w:tc>
          <w:tcPr>
            <w:tcW w:w="0" w:type="auto"/>
          </w:tcPr>
          <w:p w:rsidR="00000000" w:rsidRDefault="00000000">
            <w:pPr>
              <w:spacing w:before="60" w:after="60"/>
              <w:jc w:val="right"/>
              <w:rPr>
                <w:sz w:val="22"/>
              </w:rPr>
            </w:pPr>
            <w:r>
              <w:rPr>
                <w:sz w:val="22"/>
              </w:rPr>
              <w:t>17,1</w:t>
            </w:r>
          </w:p>
        </w:tc>
        <w:tc>
          <w:tcPr>
            <w:tcW w:w="0" w:type="auto"/>
          </w:tcPr>
          <w:p w:rsidR="00000000" w:rsidRDefault="00000000">
            <w:pPr>
              <w:spacing w:before="60" w:after="60"/>
              <w:jc w:val="right"/>
              <w:rPr>
                <w:sz w:val="22"/>
              </w:rPr>
            </w:pPr>
            <w:r>
              <w:rPr>
                <w:sz w:val="22"/>
              </w:rPr>
              <w:t>27,0</w:t>
            </w:r>
          </w:p>
        </w:tc>
        <w:tc>
          <w:tcPr>
            <w:tcW w:w="0" w:type="auto"/>
          </w:tcPr>
          <w:p w:rsidR="00000000" w:rsidRDefault="00000000">
            <w:pPr>
              <w:spacing w:before="60" w:after="60"/>
              <w:jc w:val="right"/>
              <w:rPr>
                <w:sz w:val="22"/>
              </w:rPr>
            </w:pPr>
            <w:r>
              <w:rPr>
                <w:sz w:val="22"/>
              </w:rPr>
              <w:t>51,6</w:t>
            </w:r>
          </w:p>
        </w:tc>
        <w:tc>
          <w:tcPr>
            <w:tcW w:w="0" w:type="auto"/>
          </w:tcPr>
          <w:p w:rsidR="00000000" w:rsidRDefault="00000000">
            <w:pPr>
              <w:spacing w:before="60" w:after="60"/>
              <w:jc w:val="right"/>
              <w:rPr>
                <w:sz w:val="22"/>
              </w:rPr>
            </w:pPr>
            <w:r>
              <w:rPr>
                <w:sz w:val="22"/>
              </w:rPr>
              <w:t>47,4</w:t>
            </w:r>
          </w:p>
        </w:tc>
      </w:tr>
      <w:tr w:rsidR="00000000">
        <w:tblPrEx>
          <w:tblCellMar>
            <w:top w:w="0" w:type="dxa"/>
            <w:bottom w:w="0" w:type="dxa"/>
          </w:tblCellMar>
        </w:tblPrEx>
        <w:tc>
          <w:tcPr>
            <w:tcW w:w="0" w:type="auto"/>
          </w:tcPr>
          <w:p w:rsidR="00000000" w:rsidRDefault="00000000">
            <w:pPr>
              <w:tabs>
                <w:tab w:val="left" w:pos="360"/>
              </w:tabs>
              <w:spacing w:before="60" w:after="60"/>
              <w:rPr>
                <w:sz w:val="22"/>
              </w:rPr>
            </w:pPr>
            <w:r>
              <w:rPr>
                <w:sz w:val="22"/>
              </w:rPr>
              <w:tab/>
              <w:t>Maladies des organes respiratoires</w:t>
            </w:r>
          </w:p>
        </w:tc>
        <w:tc>
          <w:tcPr>
            <w:tcW w:w="0" w:type="auto"/>
          </w:tcPr>
          <w:p w:rsidR="00000000" w:rsidRDefault="00000000">
            <w:pPr>
              <w:spacing w:before="60" w:after="60"/>
              <w:jc w:val="right"/>
              <w:rPr>
                <w:sz w:val="22"/>
              </w:rPr>
            </w:pPr>
            <w:r>
              <w:rPr>
                <w:sz w:val="22"/>
              </w:rPr>
              <w:t>172,5</w:t>
            </w:r>
          </w:p>
        </w:tc>
        <w:tc>
          <w:tcPr>
            <w:tcW w:w="0" w:type="auto"/>
          </w:tcPr>
          <w:p w:rsidR="00000000" w:rsidRDefault="00000000">
            <w:pPr>
              <w:spacing w:before="60" w:after="60"/>
              <w:jc w:val="right"/>
              <w:rPr>
                <w:sz w:val="22"/>
              </w:rPr>
            </w:pPr>
            <w:r>
              <w:rPr>
                <w:sz w:val="22"/>
              </w:rPr>
              <w:t>160,3</w:t>
            </w:r>
          </w:p>
        </w:tc>
        <w:tc>
          <w:tcPr>
            <w:tcW w:w="0" w:type="auto"/>
          </w:tcPr>
          <w:p w:rsidR="00000000" w:rsidRDefault="00000000">
            <w:pPr>
              <w:spacing w:before="60" w:after="60"/>
              <w:jc w:val="right"/>
              <w:rPr>
                <w:sz w:val="22"/>
              </w:rPr>
            </w:pPr>
            <w:r>
              <w:rPr>
                <w:sz w:val="22"/>
              </w:rPr>
              <w:t>122,7</w:t>
            </w:r>
          </w:p>
        </w:tc>
        <w:tc>
          <w:tcPr>
            <w:tcW w:w="0" w:type="auto"/>
          </w:tcPr>
          <w:p w:rsidR="00000000" w:rsidRDefault="00000000">
            <w:pPr>
              <w:spacing w:before="60" w:after="60"/>
              <w:jc w:val="right"/>
              <w:rPr>
                <w:sz w:val="22"/>
              </w:rPr>
            </w:pPr>
            <w:r>
              <w:rPr>
                <w:sz w:val="22"/>
              </w:rPr>
              <w:t>130,4</w:t>
            </w:r>
          </w:p>
        </w:tc>
        <w:tc>
          <w:tcPr>
            <w:tcW w:w="0" w:type="auto"/>
          </w:tcPr>
          <w:p w:rsidR="00000000" w:rsidRDefault="00000000">
            <w:pPr>
              <w:spacing w:before="60" w:after="60"/>
              <w:jc w:val="right"/>
              <w:rPr>
                <w:sz w:val="22"/>
              </w:rPr>
            </w:pPr>
            <w:r>
              <w:rPr>
                <w:sz w:val="22"/>
              </w:rPr>
              <w:t>151,8</w:t>
            </w:r>
          </w:p>
        </w:tc>
      </w:tr>
      <w:tr w:rsidR="00000000">
        <w:tblPrEx>
          <w:tblCellMar>
            <w:top w:w="0" w:type="dxa"/>
            <w:bottom w:w="0" w:type="dxa"/>
          </w:tblCellMar>
        </w:tblPrEx>
        <w:tc>
          <w:tcPr>
            <w:tcW w:w="0" w:type="auto"/>
          </w:tcPr>
          <w:p w:rsidR="00000000" w:rsidRDefault="00000000">
            <w:pPr>
              <w:tabs>
                <w:tab w:val="left" w:pos="360"/>
              </w:tabs>
              <w:spacing w:before="60" w:after="60"/>
              <w:rPr>
                <w:sz w:val="22"/>
              </w:rPr>
            </w:pPr>
            <w:r>
              <w:rPr>
                <w:sz w:val="22"/>
              </w:rPr>
              <w:tab/>
              <w:t>Maladies du système digestif</w:t>
            </w:r>
          </w:p>
        </w:tc>
        <w:tc>
          <w:tcPr>
            <w:tcW w:w="0" w:type="auto"/>
          </w:tcPr>
          <w:p w:rsidR="00000000" w:rsidRDefault="00000000">
            <w:pPr>
              <w:spacing w:before="60" w:after="60"/>
              <w:jc w:val="right"/>
              <w:rPr>
                <w:sz w:val="22"/>
              </w:rPr>
            </w:pPr>
            <w:r>
              <w:rPr>
                <w:sz w:val="22"/>
              </w:rPr>
              <w:t>128,3</w:t>
            </w:r>
          </w:p>
        </w:tc>
        <w:tc>
          <w:tcPr>
            <w:tcW w:w="0" w:type="auto"/>
          </w:tcPr>
          <w:p w:rsidR="00000000" w:rsidRDefault="00000000">
            <w:pPr>
              <w:spacing w:before="60" w:after="60"/>
              <w:jc w:val="right"/>
              <w:rPr>
                <w:sz w:val="22"/>
              </w:rPr>
            </w:pPr>
            <w:r>
              <w:rPr>
                <w:sz w:val="22"/>
              </w:rPr>
              <w:t>79,8</w:t>
            </w:r>
          </w:p>
        </w:tc>
        <w:tc>
          <w:tcPr>
            <w:tcW w:w="0" w:type="auto"/>
          </w:tcPr>
          <w:p w:rsidR="00000000" w:rsidRDefault="00000000">
            <w:pPr>
              <w:spacing w:before="60" w:after="60"/>
              <w:jc w:val="right"/>
              <w:rPr>
                <w:sz w:val="22"/>
              </w:rPr>
            </w:pPr>
            <w:r>
              <w:rPr>
                <w:sz w:val="22"/>
              </w:rPr>
              <w:t>52,6</w:t>
            </w:r>
          </w:p>
        </w:tc>
        <w:tc>
          <w:tcPr>
            <w:tcW w:w="0" w:type="auto"/>
          </w:tcPr>
          <w:p w:rsidR="00000000" w:rsidRDefault="00000000">
            <w:pPr>
              <w:spacing w:before="60" w:after="60"/>
              <w:jc w:val="right"/>
              <w:rPr>
                <w:sz w:val="22"/>
              </w:rPr>
            </w:pPr>
            <w:r>
              <w:rPr>
                <w:sz w:val="22"/>
              </w:rPr>
              <w:t>44,5</w:t>
            </w:r>
          </w:p>
        </w:tc>
        <w:tc>
          <w:tcPr>
            <w:tcW w:w="0" w:type="auto"/>
          </w:tcPr>
          <w:p w:rsidR="00000000" w:rsidRDefault="00000000">
            <w:pPr>
              <w:spacing w:before="60" w:after="60"/>
              <w:jc w:val="right"/>
              <w:rPr>
                <w:sz w:val="22"/>
              </w:rPr>
            </w:pPr>
            <w:r>
              <w:rPr>
                <w:sz w:val="22"/>
              </w:rPr>
              <w:t>41,4</w:t>
            </w:r>
          </w:p>
        </w:tc>
      </w:tr>
      <w:tr w:rsidR="00000000">
        <w:tblPrEx>
          <w:tblCellMar>
            <w:top w:w="0" w:type="dxa"/>
            <w:bottom w:w="0" w:type="dxa"/>
          </w:tblCellMar>
        </w:tblPrEx>
        <w:tc>
          <w:tcPr>
            <w:tcW w:w="0" w:type="auto"/>
          </w:tcPr>
          <w:p w:rsidR="00000000" w:rsidRDefault="00000000">
            <w:pPr>
              <w:tabs>
                <w:tab w:val="left" w:pos="360"/>
              </w:tabs>
              <w:spacing w:before="60" w:after="60"/>
              <w:rPr>
                <w:sz w:val="22"/>
              </w:rPr>
            </w:pPr>
            <w:r>
              <w:rPr>
                <w:sz w:val="22"/>
              </w:rPr>
              <w:tab/>
              <w:t>Maladies génito-urinaires</w:t>
            </w:r>
          </w:p>
        </w:tc>
        <w:tc>
          <w:tcPr>
            <w:tcW w:w="0" w:type="auto"/>
          </w:tcPr>
          <w:p w:rsidR="00000000" w:rsidRDefault="00000000">
            <w:pPr>
              <w:spacing w:before="60" w:after="60"/>
              <w:jc w:val="right"/>
              <w:rPr>
                <w:sz w:val="22"/>
              </w:rPr>
            </w:pPr>
            <w:r>
              <w:rPr>
                <w:sz w:val="22"/>
              </w:rPr>
              <w:t>15,5</w:t>
            </w:r>
          </w:p>
        </w:tc>
        <w:tc>
          <w:tcPr>
            <w:tcW w:w="0" w:type="auto"/>
          </w:tcPr>
          <w:p w:rsidR="00000000" w:rsidRDefault="00000000">
            <w:pPr>
              <w:spacing w:before="60" w:after="60"/>
              <w:jc w:val="right"/>
              <w:rPr>
                <w:sz w:val="22"/>
              </w:rPr>
            </w:pPr>
            <w:r>
              <w:rPr>
                <w:sz w:val="22"/>
              </w:rPr>
              <w:t>15,6</w:t>
            </w:r>
          </w:p>
        </w:tc>
        <w:tc>
          <w:tcPr>
            <w:tcW w:w="0" w:type="auto"/>
          </w:tcPr>
          <w:p w:rsidR="00000000" w:rsidRDefault="00000000">
            <w:pPr>
              <w:spacing w:before="60" w:after="60"/>
              <w:jc w:val="right"/>
              <w:rPr>
                <w:sz w:val="22"/>
              </w:rPr>
            </w:pPr>
            <w:r>
              <w:rPr>
                <w:sz w:val="22"/>
              </w:rPr>
              <w:t>15,7</w:t>
            </w:r>
          </w:p>
        </w:tc>
        <w:tc>
          <w:tcPr>
            <w:tcW w:w="0" w:type="auto"/>
          </w:tcPr>
          <w:p w:rsidR="00000000" w:rsidRDefault="00000000">
            <w:pPr>
              <w:spacing w:before="60" w:after="60"/>
              <w:jc w:val="right"/>
              <w:rPr>
                <w:sz w:val="22"/>
              </w:rPr>
            </w:pPr>
            <w:r>
              <w:rPr>
                <w:sz w:val="22"/>
              </w:rPr>
              <w:t>18,1</w:t>
            </w:r>
          </w:p>
        </w:tc>
        <w:tc>
          <w:tcPr>
            <w:tcW w:w="0" w:type="auto"/>
          </w:tcPr>
          <w:p w:rsidR="00000000" w:rsidRDefault="00000000">
            <w:pPr>
              <w:spacing w:before="60" w:after="60"/>
              <w:jc w:val="right"/>
              <w:rPr>
                <w:sz w:val="22"/>
              </w:rPr>
            </w:pPr>
            <w:r>
              <w:rPr>
                <w:sz w:val="22"/>
              </w:rPr>
              <w:t>24,4</w:t>
            </w:r>
          </w:p>
        </w:tc>
      </w:tr>
      <w:tr w:rsidR="00000000">
        <w:tblPrEx>
          <w:tblCellMar>
            <w:top w:w="0" w:type="dxa"/>
            <w:bottom w:w="0" w:type="dxa"/>
          </w:tblCellMar>
        </w:tblPrEx>
        <w:tc>
          <w:tcPr>
            <w:tcW w:w="0" w:type="auto"/>
          </w:tcPr>
          <w:p w:rsidR="00000000" w:rsidRDefault="00000000">
            <w:pPr>
              <w:tabs>
                <w:tab w:val="left" w:pos="360"/>
              </w:tabs>
              <w:spacing w:before="60" w:after="60"/>
              <w:ind w:left="357" w:hanging="357"/>
              <w:rPr>
                <w:sz w:val="22"/>
              </w:rPr>
            </w:pPr>
            <w:r>
              <w:rPr>
                <w:sz w:val="22"/>
              </w:rPr>
              <w:tab/>
              <w:t>Complications survenant pendant la grossesse, l’accouchement et la période postnatale</w:t>
            </w:r>
          </w:p>
        </w:tc>
        <w:tc>
          <w:tcPr>
            <w:tcW w:w="0" w:type="auto"/>
          </w:tcPr>
          <w:p w:rsidR="00000000" w:rsidRDefault="00000000">
            <w:pPr>
              <w:spacing w:before="60" w:after="60"/>
              <w:jc w:val="right"/>
              <w:rPr>
                <w:sz w:val="22"/>
              </w:rPr>
            </w:pPr>
            <w:r>
              <w:rPr>
                <w:sz w:val="22"/>
              </w:rPr>
              <w:t>2,2</w:t>
            </w:r>
          </w:p>
        </w:tc>
        <w:tc>
          <w:tcPr>
            <w:tcW w:w="0" w:type="auto"/>
          </w:tcPr>
          <w:p w:rsidR="00000000" w:rsidRDefault="00000000">
            <w:pPr>
              <w:spacing w:before="60" w:after="60"/>
              <w:jc w:val="right"/>
              <w:rPr>
                <w:sz w:val="22"/>
              </w:rPr>
            </w:pPr>
            <w:r>
              <w:rPr>
                <w:sz w:val="22"/>
              </w:rPr>
              <w:t>2,7</w:t>
            </w:r>
          </w:p>
        </w:tc>
        <w:tc>
          <w:tcPr>
            <w:tcW w:w="0" w:type="auto"/>
          </w:tcPr>
          <w:p w:rsidR="00000000" w:rsidRDefault="00000000">
            <w:pPr>
              <w:spacing w:before="60" w:after="60"/>
              <w:jc w:val="right"/>
              <w:rPr>
                <w:sz w:val="22"/>
              </w:rPr>
            </w:pPr>
            <w:r>
              <w:rPr>
                <w:sz w:val="22"/>
              </w:rPr>
              <w:t>4,1</w:t>
            </w:r>
          </w:p>
        </w:tc>
        <w:tc>
          <w:tcPr>
            <w:tcW w:w="0" w:type="auto"/>
          </w:tcPr>
          <w:p w:rsidR="00000000" w:rsidRDefault="00000000">
            <w:pPr>
              <w:spacing w:before="60" w:after="60"/>
              <w:jc w:val="right"/>
              <w:rPr>
                <w:sz w:val="22"/>
              </w:rPr>
            </w:pPr>
            <w:r>
              <w:rPr>
                <w:sz w:val="22"/>
              </w:rPr>
              <w:t>4,1</w:t>
            </w:r>
          </w:p>
        </w:tc>
        <w:tc>
          <w:tcPr>
            <w:tcW w:w="0" w:type="auto"/>
          </w:tcPr>
          <w:p w:rsidR="00000000" w:rsidRDefault="00000000">
            <w:pPr>
              <w:spacing w:before="60" w:after="60"/>
              <w:jc w:val="right"/>
              <w:rPr>
                <w:sz w:val="22"/>
              </w:rPr>
            </w:pPr>
            <w:r>
              <w:rPr>
                <w:sz w:val="22"/>
              </w:rPr>
              <w:t>5,2</w:t>
            </w:r>
          </w:p>
        </w:tc>
      </w:tr>
      <w:tr w:rsidR="00000000">
        <w:tblPrEx>
          <w:tblCellMar>
            <w:top w:w="0" w:type="dxa"/>
            <w:bottom w:w="0" w:type="dxa"/>
          </w:tblCellMar>
        </w:tblPrEx>
        <w:tc>
          <w:tcPr>
            <w:tcW w:w="0" w:type="auto"/>
          </w:tcPr>
          <w:p w:rsidR="00000000" w:rsidRDefault="00000000">
            <w:pPr>
              <w:tabs>
                <w:tab w:val="left" w:pos="360"/>
              </w:tabs>
              <w:spacing w:before="60" w:after="60"/>
              <w:rPr>
                <w:sz w:val="22"/>
              </w:rPr>
            </w:pPr>
            <w:r>
              <w:rPr>
                <w:sz w:val="22"/>
              </w:rPr>
              <w:tab/>
              <w:t>Maladies de la peau et de la cellule hypodermique</w:t>
            </w:r>
          </w:p>
        </w:tc>
        <w:tc>
          <w:tcPr>
            <w:tcW w:w="0" w:type="auto"/>
          </w:tcPr>
          <w:p w:rsidR="00000000" w:rsidRDefault="00000000">
            <w:pPr>
              <w:spacing w:before="60" w:after="60"/>
              <w:jc w:val="right"/>
              <w:rPr>
                <w:sz w:val="22"/>
              </w:rPr>
            </w:pPr>
            <w:r>
              <w:rPr>
                <w:sz w:val="22"/>
              </w:rPr>
              <w:t>27,5</w:t>
            </w:r>
          </w:p>
        </w:tc>
        <w:tc>
          <w:tcPr>
            <w:tcW w:w="0" w:type="auto"/>
          </w:tcPr>
          <w:p w:rsidR="00000000" w:rsidRDefault="00000000">
            <w:pPr>
              <w:spacing w:before="60" w:after="60"/>
              <w:jc w:val="right"/>
              <w:rPr>
                <w:sz w:val="22"/>
              </w:rPr>
            </w:pPr>
            <w:r>
              <w:rPr>
                <w:sz w:val="22"/>
              </w:rPr>
              <w:t>15,6</w:t>
            </w:r>
          </w:p>
        </w:tc>
        <w:tc>
          <w:tcPr>
            <w:tcW w:w="0" w:type="auto"/>
          </w:tcPr>
          <w:p w:rsidR="00000000" w:rsidRDefault="00000000">
            <w:pPr>
              <w:spacing w:before="60" w:after="60"/>
              <w:jc w:val="right"/>
              <w:rPr>
                <w:sz w:val="22"/>
              </w:rPr>
            </w:pPr>
            <w:r>
              <w:rPr>
                <w:sz w:val="22"/>
              </w:rPr>
              <w:t>14,4</w:t>
            </w:r>
          </w:p>
        </w:tc>
        <w:tc>
          <w:tcPr>
            <w:tcW w:w="0" w:type="auto"/>
          </w:tcPr>
          <w:p w:rsidR="00000000" w:rsidRDefault="00000000">
            <w:pPr>
              <w:spacing w:before="60" w:after="60"/>
              <w:jc w:val="right"/>
              <w:rPr>
                <w:sz w:val="22"/>
              </w:rPr>
            </w:pPr>
            <w:r>
              <w:rPr>
                <w:sz w:val="22"/>
              </w:rPr>
              <w:t>18,8</w:t>
            </w:r>
          </w:p>
        </w:tc>
        <w:tc>
          <w:tcPr>
            <w:tcW w:w="0" w:type="auto"/>
          </w:tcPr>
          <w:p w:rsidR="00000000" w:rsidRDefault="00000000">
            <w:pPr>
              <w:spacing w:before="60" w:after="60"/>
              <w:jc w:val="right"/>
              <w:rPr>
                <w:sz w:val="22"/>
              </w:rPr>
            </w:pPr>
            <w:r>
              <w:rPr>
                <w:sz w:val="22"/>
              </w:rPr>
              <w:t>15,1</w:t>
            </w:r>
          </w:p>
        </w:tc>
      </w:tr>
      <w:tr w:rsidR="00000000">
        <w:tblPrEx>
          <w:tblCellMar>
            <w:top w:w="0" w:type="dxa"/>
            <w:bottom w:w="0" w:type="dxa"/>
          </w:tblCellMar>
        </w:tblPrEx>
        <w:tc>
          <w:tcPr>
            <w:tcW w:w="0" w:type="auto"/>
          </w:tcPr>
          <w:p w:rsidR="00000000" w:rsidRDefault="00000000">
            <w:pPr>
              <w:tabs>
                <w:tab w:val="left" w:pos="360"/>
              </w:tabs>
              <w:spacing w:before="60" w:after="60"/>
              <w:ind w:left="357" w:hanging="357"/>
              <w:rPr>
                <w:sz w:val="22"/>
              </w:rPr>
            </w:pPr>
            <w:r>
              <w:rPr>
                <w:sz w:val="22"/>
              </w:rPr>
              <w:tab/>
              <w:t>Maladies du système ostéomusculaire et du tissu conjonctif</w:t>
            </w:r>
          </w:p>
        </w:tc>
        <w:tc>
          <w:tcPr>
            <w:tcW w:w="0" w:type="auto"/>
          </w:tcPr>
          <w:p w:rsidR="00000000" w:rsidRDefault="00000000">
            <w:pPr>
              <w:spacing w:before="60" w:after="60"/>
              <w:jc w:val="right"/>
              <w:rPr>
                <w:sz w:val="22"/>
              </w:rPr>
            </w:pPr>
            <w:r>
              <w:rPr>
                <w:sz w:val="22"/>
              </w:rPr>
              <w:t>4,4</w:t>
            </w:r>
          </w:p>
        </w:tc>
        <w:tc>
          <w:tcPr>
            <w:tcW w:w="0" w:type="auto"/>
          </w:tcPr>
          <w:p w:rsidR="00000000" w:rsidRDefault="00000000">
            <w:pPr>
              <w:spacing w:before="60" w:after="60"/>
              <w:jc w:val="right"/>
              <w:rPr>
                <w:sz w:val="22"/>
              </w:rPr>
            </w:pPr>
            <w:r>
              <w:rPr>
                <w:sz w:val="22"/>
              </w:rPr>
              <w:t>3,6</w:t>
            </w:r>
          </w:p>
        </w:tc>
        <w:tc>
          <w:tcPr>
            <w:tcW w:w="0" w:type="auto"/>
          </w:tcPr>
          <w:p w:rsidR="00000000" w:rsidRDefault="00000000">
            <w:pPr>
              <w:spacing w:before="60" w:after="60"/>
              <w:jc w:val="right"/>
              <w:rPr>
                <w:sz w:val="22"/>
              </w:rPr>
            </w:pPr>
            <w:r>
              <w:rPr>
                <w:sz w:val="22"/>
              </w:rPr>
              <w:t>5,0</w:t>
            </w:r>
          </w:p>
        </w:tc>
        <w:tc>
          <w:tcPr>
            <w:tcW w:w="0" w:type="auto"/>
          </w:tcPr>
          <w:p w:rsidR="00000000" w:rsidRDefault="00000000">
            <w:pPr>
              <w:spacing w:before="60" w:after="60"/>
              <w:jc w:val="right"/>
              <w:rPr>
                <w:sz w:val="22"/>
              </w:rPr>
            </w:pPr>
            <w:r>
              <w:rPr>
                <w:sz w:val="22"/>
              </w:rPr>
              <w:t>7,4</w:t>
            </w:r>
          </w:p>
        </w:tc>
        <w:tc>
          <w:tcPr>
            <w:tcW w:w="0" w:type="auto"/>
          </w:tcPr>
          <w:p w:rsidR="00000000" w:rsidRDefault="00000000">
            <w:pPr>
              <w:spacing w:before="60" w:after="60"/>
              <w:jc w:val="right"/>
              <w:rPr>
                <w:sz w:val="22"/>
              </w:rPr>
            </w:pPr>
            <w:r>
              <w:rPr>
                <w:sz w:val="22"/>
              </w:rPr>
              <w:t>7,9</w:t>
            </w:r>
          </w:p>
        </w:tc>
      </w:tr>
      <w:tr w:rsidR="00000000">
        <w:tblPrEx>
          <w:tblCellMar>
            <w:top w:w="0" w:type="dxa"/>
            <w:bottom w:w="0" w:type="dxa"/>
          </w:tblCellMar>
        </w:tblPrEx>
        <w:tc>
          <w:tcPr>
            <w:tcW w:w="0" w:type="auto"/>
          </w:tcPr>
          <w:p w:rsidR="00000000" w:rsidRDefault="00000000">
            <w:pPr>
              <w:tabs>
                <w:tab w:val="left" w:pos="360"/>
              </w:tabs>
              <w:spacing w:before="60" w:after="60"/>
              <w:rPr>
                <w:sz w:val="22"/>
              </w:rPr>
            </w:pPr>
            <w:r>
              <w:rPr>
                <w:sz w:val="22"/>
              </w:rPr>
              <w:tab/>
              <w:t>Anomalies congénitales</w:t>
            </w:r>
          </w:p>
        </w:tc>
        <w:tc>
          <w:tcPr>
            <w:tcW w:w="0" w:type="auto"/>
          </w:tcPr>
          <w:p w:rsidR="00000000" w:rsidRDefault="00000000">
            <w:pPr>
              <w:spacing w:before="60" w:after="60"/>
              <w:jc w:val="right"/>
              <w:rPr>
                <w:sz w:val="22"/>
              </w:rPr>
            </w:pPr>
            <w:r>
              <w:rPr>
                <w:sz w:val="22"/>
              </w:rPr>
              <w:t>0,6</w:t>
            </w:r>
          </w:p>
        </w:tc>
        <w:tc>
          <w:tcPr>
            <w:tcW w:w="0" w:type="auto"/>
          </w:tcPr>
          <w:p w:rsidR="00000000" w:rsidRDefault="00000000">
            <w:pPr>
              <w:spacing w:before="60" w:after="60"/>
              <w:jc w:val="right"/>
              <w:rPr>
                <w:sz w:val="22"/>
              </w:rPr>
            </w:pPr>
            <w:r>
              <w:rPr>
                <w:sz w:val="22"/>
              </w:rPr>
              <w:t>0,7</w:t>
            </w:r>
          </w:p>
        </w:tc>
        <w:tc>
          <w:tcPr>
            <w:tcW w:w="0" w:type="auto"/>
          </w:tcPr>
          <w:p w:rsidR="00000000" w:rsidRDefault="00000000">
            <w:pPr>
              <w:spacing w:before="60" w:after="60"/>
              <w:jc w:val="right"/>
              <w:rPr>
                <w:sz w:val="22"/>
              </w:rPr>
            </w:pPr>
            <w:r>
              <w:rPr>
                <w:sz w:val="22"/>
              </w:rPr>
              <w:t>1,1</w:t>
            </w:r>
          </w:p>
        </w:tc>
        <w:tc>
          <w:tcPr>
            <w:tcW w:w="0" w:type="auto"/>
          </w:tcPr>
          <w:p w:rsidR="00000000" w:rsidRDefault="00000000">
            <w:pPr>
              <w:spacing w:before="60" w:after="60"/>
              <w:jc w:val="right"/>
              <w:rPr>
                <w:sz w:val="22"/>
              </w:rPr>
            </w:pPr>
            <w:r>
              <w:rPr>
                <w:sz w:val="22"/>
              </w:rPr>
              <w:t>1,7</w:t>
            </w:r>
          </w:p>
        </w:tc>
        <w:tc>
          <w:tcPr>
            <w:tcW w:w="0" w:type="auto"/>
          </w:tcPr>
          <w:p w:rsidR="00000000" w:rsidRDefault="00000000">
            <w:pPr>
              <w:spacing w:before="60" w:after="60"/>
              <w:jc w:val="right"/>
              <w:rPr>
                <w:sz w:val="22"/>
              </w:rPr>
            </w:pPr>
            <w:r>
              <w:rPr>
                <w:sz w:val="22"/>
              </w:rPr>
              <w:t>1,5</w:t>
            </w:r>
          </w:p>
        </w:tc>
      </w:tr>
      <w:tr w:rsidR="00000000">
        <w:tblPrEx>
          <w:tblCellMar>
            <w:top w:w="0" w:type="dxa"/>
            <w:bottom w:w="0" w:type="dxa"/>
          </w:tblCellMar>
        </w:tblPrEx>
        <w:tc>
          <w:tcPr>
            <w:tcW w:w="0" w:type="auto"/>
          </w:tcPr>
          <w:p w:rsidR="00000000" w:rsidRDefault="00000000">
            <w:pPr>
              <w:tabs>
                <w:tab w:val="left" w:pos="360"/>
              </w:tabs>
              <w:spacing w:before="60" w:after="60"/>
              <w:rPr>
                <w:sz w:val="22"/>
              </w:rPr>
            </w:pPr>
            <w:r>
              <w:rPr>
                <w:sz w:val="22"/>
              </w:rPr>
              <w:tab/>
              <w:t>Autres états pathologiques de la période périnatale</w:t>
            </w:r>
          </w:p>
        </w:tc>
        <w:tc>
          <w:tcPr>
            <w:tcW w:w="0" w:type="auto"/>
          </w:tcPr>
          <w:p w:rsidR="00000000" w:rsidRDefault="00000000">
            <w:pPr>
              <w:spacing w:before="60" w:after="60"/>
              <w:jc w:val="right"/>
              <w:rPr>
                <w:sz w:val="22"/>
              </w:rPr>
            </w:pPr>
            <w:r>
              <w:rPr>
                <w:sz w:val="22"/>
              </w:rPr>
              <w:t>0,2</w:t>
            </w:r>
          </w:p>
        </w:tc>
        <w:tc>
          <w:tcPr>
            <w:tcW w:w="0" w:type="auto"/>
          </w:tcPr>
          <w:p w:rsidR="00000000" w:rsidRDefault="00000000">
            <w:pPr>
              <w:spacing w:before="60" w:after="60"/>
              <w:jc w:val="right"/>
              <w:rPr>
                <w:sz w:val="22"/>
              </w:rPr>
            </w:pPr>
            <w:r>
              <w:rPr>
                <w:sz w:val="22"/>
              </w:rPr>
              <w:t>0,7</w:t>
            </w:r>
          </w:p>
        </w:tc>
        <w:tc>
          <w:tcPr>
            <w:tcW w:w="0" w:type="auto"/>
          </w:tcPr>
          <w:p w:rsidR="00000000" w:rsidRDefault="00000000">
            <w:pPr>
              <w:spacing w:before="60" w:after="60"/>
              <w:jc w:val="right"/>
              <w:rPr>
                <w:sz w:val="22"/>
              </w:rPr>
            </w:pPr>
            <w:r>
              <w:rPr>
                <w:sz w:val="22"/>
              </w:rPr>
              <w:t>1,4</w:t>
            </w:r>
          </w:p>
        </w:tc>
        <w:tc>
          <w:tcPr>
            <w:tcW w:w="0" w:type="auto"/>
          </w:tcPr>
          <w:p w:rsidR="00000000" w:rsidRDefault="00000000">
            <w:pPr>
              <w:spacing w:before="60" w:after="60"/>
              <w:jc w:val="right"/>
              <w:rPr>
                <w:sz w:val="22"/>
              </w:rPr>
            </w:pPr>
            <w:r>
              <w:rPr>
                <w:sz w:val="22"/>
              </w:rPr>
              <w:t>2,6</w:t>
            </w:r>
          </w:p>
        </w:tc>
        <w:tc>
          <w:tcPr>
            <w:tcW w:w="0" w:type="auto"/>
          </w:tcPr>
          <w:p w:rsidR="00000000" w:rsidRDefault="00000000">
            <w:pPr>
              <w:spacing w:before="60" w:after="60"/>
              <w:jc w:val="right"/>
              <w:rPr>
                <w:sz w:val="22"/>
              </w:rPr>
            </w:pPr>
            <w:r>
              <w:rPr>
                <w:sz w:val="22"/>
              </w:rPr>
              <w:t>3,1</w:t>
            </w:r>
          </w:p>
        </w:tc>
      </w:tr>
      <w:tr w:rsidR="00000000">
        <w:tblPrEx>
          <w:tblCellMar>
            <w:top w:w="0" w:type="dxa"/>
            <w:bottom w:w="0" w:type="dxa"/>
          </w:tblCellMar>
        </w:tblPrEx>
        <w:tc>
          <w:tcPr>
            <w:tcW w:w="0" w:type="auto"/>
          </w:tcPr>
          <w:p w:rsidR="00000000" w:rsidRDefault="00000000">
            <w:pPr>
              <w:tabs>
                <w:tab w:val="left" w:pos="360"/>
              </w:tabs>
              <w:spacing w:before="60" w:after="60"/>
              <w:rPr>
                <w:sz w:val="22"/>
              </w:rPr>
            </w:pPr>
            <w:r>
              <w:rPr>
                <w:sz w:val="22"/>
              </w:rPr>
              <w:tab/>
              <w:t>Symptômes, signes et états non précisés</w:t>
            </w:r>
          </w:p>
        </w:tc>
        <w:tc>
          <w:tcPr>
            <w:tcW w:w="0" w:type="auto"/>
          </w:tcPr>
          <w:p w:rsidR="00000000" w:rsidRDefault="00000000">
            <w:pPr>
              <w:spacing w:before="60" w:after="60"/>
              <w:jc w:val="right"/>
              <w:rPr>
                <w:sz w:val="22"/>
              </w:rPr>
            </w:pPr>
            <w:r>
              <w:rPr>
                <w:sz w:val="22"/>
              </w:rPr>
              <w:t>0,7</w:t>
            </w:r>
          </w:p>
        </w:tc>
        <w:tc>
          <w:tcPr>
            <w:tcW w:w="0" w:type="auto"/>
          </w:tcPr>
          <w:p w:rsidR="00000000" w:rsidRDefault="00000000">
            <w:pPr>
              <w:spacing w:before="60" w:after="60"/>
              <w:jc w:val="right"/>
              <w:rPr>
                <w:sz w:val="22"/>
              </w:rPr>
            </w:pPr>
            <w:r>
              <w:rPr>
                <w:sz w:val="22"/>
              </w:rPr>
              <w:t>1,1</w:t>
            </w:r>
          </w:p>
        </w:tc>
        <w:tc>
          <w:tcPr>
            <w:tcW w:w="0" w:type="auto"/>
          </w:tcPr>
          <w:p w:rsidR="00000000" w:rsidRDefault="00000000">
            <w:pPr>
              <w:spacing w:before="60" w:after="60"/>
              <w:jc w:val="right"/>
              <w:rPr>
                <w:sz w:val="22"/>
              </w:rPr>
            </w:pPr>
            <w:r>
              <w:rPr>
                <w:sz w:val="22"/>
              </w:rPr>
              <w:t>0,4</w:t>
            </w:r>
          </w:p>
        </w:tc>
        <w:tc>
          <w:tcPr>
            <w:tcW w:w="0" w:type="auto"/>
          </w:tcPr>
          <w:p w:rsidR="00000000" w:rsidRDefault="00000000">
            <w:pPr>
              <w:spacing w:before="60" w:after="60"/>
              <w:jc w:val="right"/>
              <w:rPr>
                <w:sz w:val="22"/>
              </w:rPr>
            </w:pPr>
            <w:r>
              <w:rPr>
                <w:sz w:val="22"/>
              </w:rPr>
              <w:t>1,7</w:t>
            </w:r>
          </w:p>
        </w:tc>
        <w:tc>
          <w:tcPr>
            <w:tcW w:w="0" w:type="auto"/>
          </w:tcPr>
          <w:p w:rsidR="00000000" w:rsidRDefault="00000000">
            <w:pPr>
              <w:spacing w:before="60" w:after="60"/>
              <w:jc w:val="right"/>
              <w:rPr>
                <w:sz w:val="22"/>
              </w:rPr>
            </w:pPr>
            <w:r>
              <w:rPr>
                <w:sz w:val="22"/>
              </w:rPr>
              <w:t>1,3</w:t>
            </w:r>
          </w:p>
        </w:tc>
      </w:tr>
      <w:tr w:rsidR="00000000">
        <w:tblPrEx>
          <w:tblCellMar>
            <w:top w:w="0" w:type="dxa"/>
            <w:bottom w:w="0" w:type="dxa"/>
          </w:tblCellMar>
        </w:tblPrEx>
        <w:tc>
          <w:tcPr>
            <w:tcW w:w="0" w:type="auto"/>
          </w:tcPr>
          <w:p w:rsidR="00000000" w:rsidRDefault="00000000">
            <w:pPr>
              <w:tabs>
                <w:tab w:val="left" w:pos="360"/>
              </w:tabs>
              <w:spacing w:before="60" w:after="60"/>
              <w:rPr>
                <w:sz w:val="22"/>
              </w:rPr>
            </w:pPr>
            <w:r>
              <w:rPr>
                <w:sz w:val="22"/>
              </w:rPr>
              <w:tab/>
              <w:t>Traumatismes et intoxications</w:t>
            </w:r>
          </w:p>
        </w:tc>
        <w:tc>
          <w:tcPr>
            <w:tcW w:w="0" w:type="auto"/>
          </w:tcPr>
          <w:p w:rsidR="00000000" w:rsidRDefault="00000000">
            <w:pPr>
              <w:spacing w:before="60" w:after="60"/>
              <w:jc w:val="right"/>
              <w:rPr>
                <w:sz w:val="22"/>
              </w:rPr>
            </w:pPr>
            <w:r>
              <w:rPr>
                <w:sz w:val="22"/>
              </w:rPr>
              <w:t>45,4</w:t>
            </w:r>
          </w:p>
        </w:tc>
        <w:tc>
          <w:tcPr>
            <w:tcW w:w="0" w:type="auto"/>
          </w:tcPr>
          <w:p w:rsidR="00000000" w:rsidRDefault="00000000">
            <w:pPr>
              <w:spacing w:before="60" w:after="60"/>
              <w:jc w:val="right"/>
              <w:rPr>
                <w:sz w:val="22"/>
              </w:rPr>
            </w:pPr>
            <w:r>
              <w:rPr>
                <w:sz w:val="22"/>
              </w:rPr>
              <w:t>22,9</w:t>
            </w:r>
          </w:p>
        </w:tc>
        <w:tc>
          <w:tcPr>
            <w:tcW w:w="0" w:type="auto"/>
          </w:tcPr>
          <w:p w:rsidR="00000000" w:rsidRDefault="00000000">
            <w:pPr>
              <w:spacing w:before="60" w:after="60"/>
              <w:jc w:val="right"/>
              <w:rPr>
                <w:sz w:val="22"/>
              </w:rPr>
            </w:pPr>
            <w:r>
              <w:rPr>
                <w:sz w:val="22"/>
              </w:rPr>
              <w:t>21,8</w:t>
            </w:r>
          </w:p>
        </w:tc>
        <w:tc>
          <w:tcPr>
            <w:tcW w:w="0" w:type="auto"/>
          </w:tcPr>
          <w:p w:rsidR="00000000" w:rsidRDefault="00000000">
            <w:pPr>
              <w:spacing w:before="60" w:after="60"/>
              <w:jc w:val="right"/>
              <w:rPr>
                <w:sz w:val="22"/>
              </w:rPr>
            </w:pPr>
            <w:r>
              <w:rPr>
                <w:sz w:val="22"/>
              </w:rPr>
              <w:t>20,8</w:t>
            </w:r>
          </w:p>
        </w:tc>
        <w:tc>
          <w:tcPr>
            <w:tcW w:w="0" w:type="auto"/>
          </w:tcPr>
          <w:p w:rsidR="00000000" w:rsidRDefault="00000000">
            <w:pPr>
              <w:spacing w:before="60" w:after="60"/>
              <w:jc w:val="right"/>
              <w:rPr>
                <w:sz w:val="22"/>
              </w:rPr>
            </w:pPr>
            <w:r>
              <w:rPr>
                <w:sz w:val="22"/>
              </w:rPr>
              <w:t>19,1</w:t>
            </w:r>
          </w:p>
        </w:tc>
      </w:tr>
    </w:tbl>
    <w:p w:rsidR="00000000" w:rsidRDefault="00000000">
      <w:pPr>
        <w:spacing w:before="240" w:after="240"/>
      </w:pPr>
      <w:r>
        <w:rPr>
          <w:i/>
          <w:iCs/>
        </w:rPr>
        <w:t>Source</w:t>
      </w:r>
      <w:r>
        <w:t>: «</w:t>
      </w:r>
      <w:r>
        <w:rPr>
          <w:i/>
          <w:iCs/>
        </w:rPr>
        <w:t>Annuaire statistique de la Géorgie, 2000</w:t>
      </w:r>
      <w:r>
        <w:t>», établi par le Département national de statistique.</w:t>
      </w:r>
    </w:p>
    <w:p w:rsidR="00000000" w:rsidRDefault="00000000">
      <w:pPr>
        <w:keepNext/>
        <w:spacing w:after="240"/>
        <w:jc w:val="center"/>
        <w:rPr>
          <w:u w:val="single"/>
        </w:rPr>
      </w:pPr>
      <w:r>
        <w:rPr>
          <w:u w:val="single"/>
        </w:rPr>
        <w:br w:type="page"/>
        <w:t>Morbidité des enfants de 0 à 14 ans, par grand groupe de maladies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1"/>
        <w:gridCol w:w="635"/>
        <w:gridCol w:w="635"/>
        <w:gridCol w:w="635"/>
        <w:gridCol w:w="635"/>
        <w:gridCol w:w="635"/>
      </w:tblGrid>
      <w:tr w:rsidR="00000000">
        <w:tblPrEx>
          <w:tblCellMar>
            <w:top w:w="0" w:type="dxa"/>
            <w:bottom w:w="0" w:type="dxa"/>
          </w:tblCellMar>
        </w:tblPrEx>
        <w:tc>
          <w:tcPr>
            <w:tcW w:w="0" w:type="auto"/>
          </w:tcPr>
          <w:p w:rsidR="00000000" w:rsidRDefault="00000000">
            <w:pPr>
              <w:keepNext/>
              <w:spacing w:before="60" w:after="60"/>
              <w:rPr>
                <w:sz w:val="22"/>
              </w:rPr>
            </w:pPr>
          </w:p>
        </w:tc>
        <w:tc>
          <w:tcPr>
            <w:tcW w:w="0" w:type="auto"/>
          </w:tcPr>
          <w:p w:rsidR="00000000" w:rsidRDefault="00000000">
            <w:pPr>
              <w:keepNext/>
              <w:spacing w:before="60" w:after="60"/>
              <w:jc w:val="center"/>
              <w:rPr>
                <w:sz w:val="22"/>
              </w:rPr>
            </w:pPr>
            <w:r>
              <w:rPr>
                <w:sz w:val="22"/>
              </w:rPr>
              <w:t>1995</w:t>
            </w:r>
          </w:p>
        </w:tc>
        <w:tc>
          <w:tcPr>
            <w:tcW w:w="0" w:type="auto"/>
          </w:tcPr>
          <w:p w:rsidR="00000000" w:rsidRDefault="00000000">
            <w:pPr>
              <w:keepNext/>
              <w:spacing w:before="60" w:after="60"/>
              <w:jc w:val="center"/>
              <w:rPr>
                <w:sz w:val="22"/>
              </w:rPr>
            </w:pPr>
            <w:r>
              <w:rPr>
                <w:sz w:val="22"/>
              </w:rPr>
              <w:t>1996</w:t>
            </w:r>
          </w:p>
        </w:tc>
        <w:tc>
          <w:tcPr>
            <w:tcW w:w="0" w:type="auto"/>
          </w:tcPr>
          <w:p w:rsidR="00000000" w:rsidRDefault="00000000">
            <w:pPr>
              <w:keepNext/>
              <w:spacing w:before="60" w:after="60"/>
              <w:jc w:val="center"/>
              <w:rPr>
                <w:sz w:val="22"/>
              </w:rPr>
            </w:pPr>
            <w:r>
              <w:rPr>
                <w:sz w:val="22"/>
              </w:rPr>
              <w:t>1997</w:t>
            </w:r>
          </w:p>
        </w:tc>
        <w:tc>
          <w:tcPr>
            <w:tcW w:w="0" w:type="auto"/>
          </w:tcPr>
          <w:p w:rsidR="00000000" w:rsidRDefault="00000000">
            <w:pPr>
              <w:keepNext/>
              <w:spacing w:before="60" w:after="60"/>
              <w:jc w:val="center"/>
              <w:rPr>
                <w:sz w:val="22"/>
              </w:rPr>
            </w:pPr>
            <w:r>
              <w:rPr>
                <w:sz w:val="22"/>
              </w:rPr>
              <w:t>1998</w:t>
            </w:r>
          </w:p>
        </w:tc>
        <w:tc>
          <w:tcPr>
            <w:tcW w:w="0" w:type="auto"/>
          </w:tcPr>
          <w:p w:rsidR="00000000" w:rsidRDefault="00000000">
            <w:pPr>
              <w:keepNext/>
              <w:spacing w:before="60" w:after="60"/>
              <w:jc w:val="center"/>
              <w:rPr>
                <w:sz w:val="22"/>
              </w:rPr>
            </w:pPr>
            <w:r>
              <w:rPr>
                <w:sz w:val="22"/>
              </w:rPr>
              <w:t>1999</w:t>
            </w:r>
          </w:p>
        </w:tc>
      </w:tr>
      <w:tr w:rsidR="00000000">
        <w:tblPrEx>
          <w:tblCellMar>
            <w:top w:w="0" w:type="dxa"/>
            <w:bottom w:w="0" w:type="dxa"/>
          </w:tblCellMar>
        </w:tblPrEx>
        <w:tc>
          <w:tcPr>
            <w:tcW w:w="0" w:type="auto"/>
          </w:tcPr>
          <w:p w:rsidR="00000000" w:rsidRDefault="00000000">
            <w:pPr>
              <w:keepNext/>
              <w:spacing w:before="60" w:after="60"/>
              <w:rPr>
                <w:sz w:val="22"/>
              </w:rPr>
            </w:pPr>
            <w:r>
              <w:rPr>
                <w:sz w:val="22"/>
              </w:rPr>
              <w:t>Nombre de maladies (diagnostic initial), en milliers de cas</w:t>
            </w:r>
          </w:p>
        </w:tc>
        <w:tc>
          <w:tcPr>
            <w:tcW w:w="0" w:type="auto"/>
          </w:tcPr>
          <w:p w:rsidR="00000000" w:rsidRDefault="00000000">
            <w:pPr>
              <w:keepNext/>
              <w:spacing w:before="60" w:after="60"/>
              <w:jc w:val="right"/>
              <w:rPr>
                <w:sz w:val="22"/>
              </w:rPr>
            </w:pPr>
            <w:r>
              <w:rPr>
                <w:sz w:val="22"/>
              </w:rPr>
              <w:t>204,6</w:t>
            </w:r>
          </w:p>
        </w:tc>
        <w:tc>
          <w:tcPr>
            <w:tcW w:w="0" w:type="auto"/>
          </w:tcPr>
          <w:p w:rsidR="00000000" w:rsidRDefault="00000000">
            <w:pPr>
              <w:keepNext/>
              <w:spacing w:before="60" w:after="60"/>
              <w:jc w:val="right"/>
              <w:rPr>
                <w:sz w:val="22"/>
              </w:rPr>
            </w:pPr>
            <w:r>
              <w:rPr>
                <w:sz w:val="22"/>
              </w:rPr>
              <w:t>196,5</w:t>
            </w:r>
          </w:p>
        </w:tc>
        <w:tc>
          <w:tcPr>
            <w:tcW w:w="0" w:type="auto"/>
          </w:tcPr>
          <w:p w:rsidR="00000000" w:rsidRDefault="00000000">
            <w:pPr>
              <w:keepNext/>
              <w:spacing w:before="60" w:after="60"/>
              <w:jc w:val="right"/>
              <w:rPr>
                <w:sz w:val="22"/>
              </w:rPr>
            </w:pPr>
            <w:r>
              <w:rPr>
                <w:sz w:val="22"/>
              </w:rPr>
              <w:t>148,7</w:t>
            </w:r>
          </w:p>
        </w:tc>
        <w:tc>
          <w:tcPr>
            <w:tcW w:w="0" w:type="auto"/>
          </w:tcPr>
          <w:p w:rsidR="00000000" w:rsidRDefault="00000000">
            <w:pPr>
              <w:keepNext/>
              <w:spacing w:before="60" w:after="60"/>
              <w:jc w:val="right"/>
              <w:rPr>
                <w:sz w:val="22"/>
              </w:rPr>
            </w:pPr>
            <w:r>
              <w:rPr>
                <w:sz w:val="22"/>
              </w:rPr>
              <w:t>151,8</w:t>
            </w:r>
          </w:p>
        </w:tc>
        <w:tc>
          <w:tcPr>
            <w:tcW w:w="0" w:type="auto"/>
          </w:tcPr>
          <w:p w:rsidR="00000000" w:rsidRDefault="00000000">
            <w:pPr>
              <w:keepNext/>
              <w:spacing w:before="60" w:after="60"/>
              <w:jc w:val="right"/>
              <w:rPr>
                <w:sz w:val="22"/>
              </w:rPr>
            </w:pPr>
            <w:r>
              <w:rPr>
                <w:sz w:val="22"/>
              </w:rPr>
              <w:t>139,5</w:t>
            </w:r>
          </w:p>
        </w:tc>
      </w:tr>
      <w:tr w:rsidR="00000000">
        <w:tblPrEx>
          <w:tblCellMar>
            <w:top w:w="0" w:type="dxa"/>
            <w:bottom w:w="0" w:type="dxa"/>
          </w:tblCellMar>
        </w:tblPrEx>
        <w:trPr>
          <w:cantSplit/>
        </w:trPr>
        <w:tc>
          <w:tcPr>
            <w:tcW w:w="0" w:type="auto"/>
            <w:gridSpan w:val="6"/>
          </w:tcPr>
          <w:p w:rsidR="00000000" w:rsidRDefault="00000000">
            <w:pPr>
              <w:spacing w:before="60" w:after="60"/>
              <w:ind w:left="340"/>
              <w:rPr>
                <w:sz w:val="22"/>
              </w:rPr>
            </w:pPr>
            <w:r>
              <w:rPr>
                <w:sz w:val="22"/>
              </w:rPr>
              <w:t>dont:</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Maladies infectieuses et parasitaires</w:t>
            </w:r>
          </w:p>
        </w:tc>
        <w:tc>
          <w:tcPr>
            <w:tcW w:w="0" w:type="auto"/>
          </w:tcPr>
          <w:p w:rsidR="00000000" w:rsidRDefault="00000000">
            <w:pPr>
              <w:keepNext/>
              <w:spacing w:before="60" w:after="60"/>
              <w:jc w:val="right"/>
              <w:rPr>
                <w:sz w:val="22"/>
              </w:rPr>
            </w:pPr>
            <w:r>
              <w:rPr>
                <w:sz w:val="22"/>
              </w:rPr>
              <w:t>8,5</w:t>
            </w:r>
          </w:p>
        </w:tc>
        <w:tc>
          <w:tcPr>
            <w:tcW w:w="0" w:type="auto"/>
          </w:tcPr>
          <w:p w:rsidR="00000000" w:rsidRDefault="00000000">
            <w:pPr>
              <w:keepNext/>
              <w:spacing w:before="60" w:after="60"/>
              <w:jc w:val="right"/>
              <w:rPr>
                <w:sz w:val="22"/>
              </w:rPr>
            </w:pPr>
            <w:r>
              <w:rPr>
                <w:sz w:val="22"/>
              </w:rPr>
              <w:t>19,5</w:t>
            </w:r>
          </w:p>
        </w:tc>
        <w:tc>
          <w:tcPr>
            <w:tcW w:w="0" w:type="auto"/>
          </w:tcPr>
          <w:p w:rsidR="00000000" w:rsidRDefault="00000000">
            <w:pPr>
              <w:keepNext/>
              <w:spacing w:before="60" w:after="60"/>
              <w:jc w:val="right"/>
              <w:rPr>
                <w:sz w:val="22"/>
              </w:rPr>
            </w:pPr>
            <w:r>
              <w:rPr>
                <w:sz w:val="22"/>
              </w:rPr>
              <w:t>19,2</w:t>
            </w:r>
          </w:p>
        </w:tc>
        <w:tc>
          <w:tcPr>
            <w:tcW w:w="0" w:type="auto"/>
          </w:tcPr>
          <w:p w:rsidR="00000000" w:rsidRDefault="00000000">
            <w:pPr>
              <w:keepNext/>
              <w:spacing w:before="60" w:after="60"/>
              <w:jc w:val="right"/>
              <w:rPr>
                <w:sz w:val="22"/>
              </w:rPr>
            </w:pPr>
            <w:r>
              <w:rPr>
                <w:sz w:val="22"/>
              </w:rPr>
              <w:t>17,2</w:t>
            </w:r>
          </w:p>
        </w:tc>
        <w:tc>
          <w:tcPr>
            <w:tcW w:w="0" w:type="auto"/>
          </w:tcPr>
          <w:p w:rsidR="00000000" w:rsidRDefault="00000000">
            <w:pPr>
              <w:keepNext/>
              <w:spacing w:before="60" w:after="60"/>
              <w:jc w:val="right"/>
              <w:rPr>
                <w:sz w:val="22"/>
              </w:rPr>
            </w:pPr>
            <w:r>
              <w:rPr>
                <w:sz w:val="22"/>
              </w:rPr>
              <w:t>14,4</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Cancers</w:t>
            </w:r>
          </w:p>
        </w:tc>
        <w:tc>
          <w:tcPr>
            <w:tcW w:w="0" w:type="auto"/>
          </w:tcPr>
          <w:p w:rsidR="00000000" w:rsidRDefault="00000000">
            <w:pPr>
              <w:keepNext/>
              <w:spacing w:before="60" w:after="60"/>
              <w:jc w:val="right"/>
              <w:rPr>
                <w:sz w:val="22"/>
              </w:rPr>
            </w:pPr>
            <w:r>
              <w:rPr>
                <w:sz w:val="22"/>
              </w:rPr>
              <w:t>0,1</w:t>
            </w:r>
          </w:p>
        </w:tc>
        <w:tc>
          <w:tcPr>
            <w:tcW w:w="0" w:type="auto"/>
          </w:tcPr>
          <w:p w:rsidR="00000000" w:rsidRDefault="00000000">
            <w:pPr>
              <w:keepNext/>
              <w:spacing w:before="60" w:after="60"/>
              <w:jc w:val="right"/>
              <w:rPr>
                <w:sz w:val="22"/>
              </w:rPr>
            </w:pPr>
            <w:r>
              <w:rPr>
                <w:sz w:val="22"/>
              </w:rPr>
              <w:t>0,0</w:t>
            </w:r>
          </w:p>
        </w:tc>
        <w:tc>
          <w:tcPr>
            <w:tcW w:w="0" w:type="auto"/>
          </w:tcPr>
          <w:p w:rsidR="00000000" w:rsidRDefault="00000000">
            <w:pPr>
              <w:keepNext/>
              <w:spacing w:before="60" w:after="60"/>
              <w:jc w:val="right"/>
              <w:rPr>
                <w:sz w:val="22"/>
              </w:rPr>
            </w:pPr>
            <w:r>
              <w:rPr>
                <w:sz w:val="22"/>
              </w:rPr>
              <w:t>0,8</w:t>
            </w:r>
          </w:p>
        </w:tc>
        <w:tc>
          <w:tcPr>
            <w:tcW w:w="0" w:type="auto"/>
          </w:tcPr>
          <w:p w:rsidR="00000000" w:rsidRDefault="00000000">
            <w:pPr>
              <w:keepNext/>
              <w:spacing w:before="60" w:after="60"/>
              <w:jc w:val="right"/>
              <w:rPr>
                <w:sz w:val="22"/>
              </w:rPr>
            </w:pPr>
            <w:r>
              <w:rPr>
                <w:sz w:val="22"/>
              </w:rPr>
              <w:t>0,2</w:t>
            </w:r>
          </w:p>
        </w:tc>
        <w:tc>
          <w:tcPr>
            <w:tcW w:w="0" w:type="auto"/>
          </w:tcPr>
          <w:p w:rsidR="00000000" w:rsidRDefault="00000000">
            <w:pPr>
              <w:keepNext/>
              <w:spacing w:before="60" w:after="60"/>
              <w:jc w:val="right"/>
              <w:rPr>
                <w:sz w:val="22"/>
              </w:rPr>
            </w:pPr>
            <w:r>
              <w:rPr>
                <w:sz w:val="22"/>
              </w:rPr>
              <w:t>0,1</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Maladies du système endocrinien et troubles du métabolisme</w:t>
            </w:r>
          </w:p>
        </w:tc>
        <w:tc>
          <w:tcPr>
            <w:tcW w:w="0" w:type="auto"/>
          </w:tcPr>
          <w:p w:rsidR="00000000" w:rsidRDefault="00000000">
            <w:pPr>
              <w:keepNext/>
              <w:spacing w:before="60" w:after="60"/>
              <w:jc w:val="right"/>
              <w:rPr>
                <w:sz w:val="22"/>
              </w:rPr>
            </w:pPr>
            <w:r>
              <w:rPr>
                <w:sz w:val="22"/>
              </w:rPr>
              <w:t>3,0</w:t>
            </w:r>
          </w:p>
        </w:tc>
        <w:tc>
          <w:tcPr>
            <w:tcW w:w="0" w:type="auto"/>
          </w:tcPr>
          <w:p w:rsidR="00000000" w:rsidRDefault="00000000">
            <w:pPr>
              <w:keepNext/>
              <w:spacing w:before="60" w:after="60"/>
              <w:jc w:val="right"/>
              <w:rPr>
                <w:sz w:val="22"/>
              </w:rPr>
            </w:pPr>
            <w:r>
              <w:rPr>
                <w:sz w:val="22"/>
              </w:rPr>
              <w:t>6,4</w:t>
            </w:r>
          </w:p>
        </w:tc>
        <w:tc>
          <w:tcPr>
            <w:tcW w:w="0" w:type="auto"/>
          </w:tcPr>
          <w:p w:rsidR="00000000" w:rsidRDefault="00000000">
            <w:pPr>
              <w:keepNext/>
              <w:spacing w:before="60" w:after="60"/>
              <w:jc w:val="right"/>
              <w:rPr>
                <w:sz w:val="22"/>
              </w:rPr>
            </w:pPr>
            <w:r>
              <w:rPr>
                <w:sz w:val="22"/>
              </w:rPr>
              <w:t>7,7</w:t>
            </w:r>
          </w:p>
        </w:tc>
        <w:tc>
          <w:tcPr>
            <w:tcW w:w="0" w:type="auto"/>
          </w:tcPr>
          <w:p w:rsidR="00000000" w:rsidRDefault="00000000">
            <w:pPr>
              <w:keepNext/>
              <w:spacing w:before="60" w:after="60"/>
              <w:jc w:val="right"/>
              <w:rPr>
                <w:sz w:val="22"/>
              </w:rPr>
            </w:pPr>
            <w:r>
              <w:rPr>
                <w:sz w:val="22"/>
              </w:rPr>
              <w:t>13,6</w:t>
            </w:r>
          </w:p>
        </w:tc>
        <w:tc>
          <w:tcPr>
            <w:tcW w:w="0" w:type="auto"/>
          </w:tcPr>
          <w:p w:rsidR="00000000" w:rsidRDefault="00000000">
            <w:pPr>
              <w:keepNext/>
              <w:spacing w:before="60" w:after="60"/>
              <w:jc w:val="right"/>
              <w:rPr>
                <w:sz w:val="22"/>
              </w:rPr>
            </w:pPr>
            <w:r>
              <w:rPr>
                <w:sz w:val="22"/>
              </w:rPr>
              <w:t>9,1</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Maladies du sang et des organes hématopoïétiques</w:t>
            </w:r>
          </w:p>
        </w:tc>
        <w:tc>
          <w:tcPr>
            <w:tcW w:w="0" w:type="auto"/>
          </w:tcPr>
          <w:p w:rsidR="00000000" w:rsidRDefault="00000000">
            <w:pPr>
              <w:spacing w:before="60" w:after="60"/>
              <w:jc w:val="right"/>
              <w:rPr>
                <w:sz w:val="22"/>
              </w:rPr>
            </w:pPr>
            <w:r>
              <w:rPr>
                <w:sz w:val="22"/>
              </w:rPr>
              <w:t>2,6</w:t>
            </w:r>
          </w:p>
        </w:tc>
        <w:tc>
          <w:tcPr>
            <w:tcW w:w="0" w:type="auto"/>
          </w:tcPr>
          <w:p w:rsidR="00000000" w:rsidRDefault="00000000">
            <w:pPr>
              <w:spacing w:before="60" w:after="60"/>
              <w:jc w:val="right"/>
              <w:rPr>
                <w:sz w:val="22"/>
              </w:rPr>
            </w:pPr>
            <w:r>
              <w:rPr>
                <w:sz w:val="22"/>
              </w:rPr>
              <w:t>3,3</w:t>
            </w:r>
          </w:p>
        </w:tc>
        <w:tc>
          <w:tcPr>
            <w:tcW w:w="0" w:type="auto"/>
          </w:tcPr>
          <w:p w:rsidR="00000000" w:rsidRDefault="00000000">
            <w:pPr>
              <w:spacing w:before="60" w:after="60"/>
              <w:jc w:val="right"/>
              <w:rPr>
                <w:sz w:val="22"/>
              </w:rPr>
            </w:pPr>
            <w:r>
              <w:rPr>
                <w:sz w:val="22"/>
              </w:rPr>
              <w:t>3,1</w:t>
            </w:r>
          </w:p>
        </w:tc>
        <w:tc>
          <w:tcPr>
            <w:tcW w:w="0" w:type="auto"/>
          </w:tcPr>
          <w:p w:rsidR="00000000" w:rsidRDefault="00000000">
            <w:pPr>
              <w:spacing w:before="60" w:after="60"/>
              <w:jc w:val="right"/>
              <w:rPr>
                <w:sz w:val="22"/>
              </w:rPr>
            </w:pPr>
            <w:r>
              <w:rPr>
                <w:sz w:val="22"/>
              </w:rPr>
              <w:t>3,1</w:t>
            </w:r>
          </w:p>
        </w:tc>
        <w:tc>
          <w:tcPr>
            <w:tcW w:w="0" w:type="auto"/>
          </w:tcPr>
          <w:p w:rsidR="00000000" w:rsidRDefault="00000000">
            <w:pPr>
              <w:spacing w:before="60" w:after="60"/>
              <w:jc w:val="right"/>
              <w:rPr>
                <w:sz w:val="22"/>
              </w:rPr>
            </w:pPr>
            <w:r>
              <w:rPr>
                <w:sz w:val="22"/>
              </w:rPr>
              <w:t>2,8</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Dérèglements psychiques</w:t>
            </w:r>
          </w:p>
        </w:tc>
        <w:tc>
          <w:tcPr>
            <w:tcW w:w="0" w:type="auto"/>
          </w:tcPr>
          <w:p w:rsidR="00000000" w:rsidRDefault="00000000">
            <w:pPr>
              <w:spacing w:before="60" w:after="60"/>
              <w:jc w:val="right"/>
              <w:rPr>
                <w:sz w:val="22"/>
              </w:rPr>
            </w:pPr>
            <w:r>
              <w:rPr>
                <w:sz w:val="22"/>
              </w:rPr>
              <w:t>0,2</w:t>
            </w:r>
          </w:p>
        </w:tc>
        <w:tc>
          <w:tcPr>
            <w:tcW w:w="0" w:type="auto"/>
          </w:tcPr>
          <w:p w:rsidR="00000000" w:rsidRDefault="00000000">
            <w:pPr>
              <w:spacing w:before="60" w:after="60"/>
              <w:jc w:val="right"/>
              <w:rPr>
                <w:sz w:val="22"/>
              </w:rPr>
            </w:pPr>
            <w:r>
              <w:rPr>
                <w:sz w:val="22"/>
              </w:rPr>
              <w:t>0,2</w:t>
            </w:r>
          </w:p>
        </w:tc>
        <w:tc>
          <w:tcPr>
            <w:tcW w:w="0" w:type="auto"/>
          </w:tcPr>
          <w:p w:rsidR="00000000" w:rsidRDefault="00000000">
            <w:pPr>
              <w:spacing w:before="60" w:after="60"/>
              <w:jc w:val="right"/>
              <w:rPr>
                <w:sz w:val="22"/>
              </w:rPr>
            </w:pPr>
            <w:r>
              <w:rPr>
                <w:sz w:val="22"/>
              </w:rPr>
              <w:t>0,3</w:t>
            </w:r>
          </w:p>
        </w:tc>
        <w:tc>
          <w:tcPr>
            <w:tcW w:w="0" w:type="auto"/>
          </w:tcPr>
          <w:p w:rsidR="00000000" w:rsidRDefault="00000000">
            <w:pPr>
              <w:spacing w:before="60" w:after="60"/>
              <w:jc w:val="right"/>
              <w:rPr>
                <w:sz w:val="22"/>
              </w:rPr>
            </w:pPr>
            <w:r>
              <w:rPr>
                <w:sz w:val="22"/>
              </w:rPr>
              <w:t>0,6</w:t>
            </w:r>
          </w:p>
        </w:tc>
        <w:tc>
          <w:tcPr>
            <w:tcW w:w="0" w:type="auto"/>
          </w:tcPr>
          <w:p w:rsidR="00000000" w:rsidRDefault="00000000">
            <w:pPr>
              <w:spacing w:before="60" w:after="60"/>
              <w:jc w:val="right"/>
              <w:rPr>
                <w:sz w:val="22"/>
              </w:rPr>
            </w:pPr>
            <w:r>
              <w:rPr>
                <w:sz w:val="22"/>
              </w:rPr>
              <w:t>0,6</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Maladies du système nerveux et des organes sensoriels</w:t>
            </w:r>
          </w:p>
        </w:tc>
        <w:tc>
          <w:tcPr>
            <w:tcW w:w="0" w:type="auto"/>
          </w:tcPr>
          <w:p w:rsidR="00000000" w:rsidRDefault="00000000">
            <w:pPr>
              <w:spacing w:before="60" w:after="60"/>
              <w:jc w:val="right"/>
              <w:rPr>
                <w:sz w:val="22"/>
              </w:rPr>
            </w:pPr>
            <w:r>
              <w:rPr>
                <w:sz w:val="22"/>
              </w:rPr>
              <w:t>6,5</w:t>
            </w:r>
          </w:p>
        </w:tc>
        <w:tc>
          <w:tcPr>
            <w:tcW w:w="0" w:type="auto"/>
          </w:tcPr>
          <w:p w:rsidR="00000000" w:rsidRDefault="00000000">
            <w:pPr>
              <w:spacing w:before="60" w:after="60"/>
              <w:jc w:val="right"/>
              <w:rPr>
                <w:sz w:val="22"/>
              </w:rPr>
            </w:pPr>
            <w:r>
              <w:rPr>
                <w:sz w:val="22"/>
              </w:rPr>
              <w:t>9,2</w:t>
            </w:r>
          </w:p>
        </w:tc>
        <w:tc>
          <w:tcPr>
            <w:tcW w:w="0" w:type="auto"/>
          </w:tcPr>
          <w:p w:rsidR="00000000" w:rsidRDefault="00000000">
            <w:pPr>
              <w:spacing w:before="60" w:after="60"/>
              <w:jc w:val="right"/>
              <w:rPr>
                <w:sz w:val="22"/>
              </w:rPr>
            </w:pPr>
            <w:r>
              <w:rPr>
                <w:sz w:val="22"/>
              </w:rPr>
              <w:t>11,6</w:t>
            </w:r>
          </w:p>
        </w:tc>
        <w:tc>
          <w:tcPr>
            <w:tcW w:w="0" w:type="auto"/>
          </w:tcPr>
          <w:p w:rsidR="00000000" w:rsidRDefault="00000000">
            <w:pPr>
              <w:spacing w:before="60" w:after="60"/>
              <w:jc w:val="right"/>
              <w:rPr>
                <w:sz w:val="22"/>
              </w:rPr>
            </w:pPr>
            <w:r>
              <w:rPr>
                <w:sz w:val="22"/>
              </w:rPr>
              <w:t>13,9</w:t>
            </w:r>
          </w:p>
        </w:tc>
        <w:tc>
          <w:tcPr>
            <w:tcW w:w="0" w:type="auto"/>
          </w:tcPr>
          <w:p w:rsidR="00000000" w:rsidRDefault="00000000">
            <w:pPr>
              <w:spacing w:before="60" w:after="60"/>
              <w:jc w:val="right"/>
              <w:rPr>
                <w:sz w:val="22"/>
              </w:rPr>
            </w:pPr>
            <w:r>
              <w:rPr>
                <w:sz w:val="22"/>
              </w:rPr>
              <w:t>12,1</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Maladies du système circulatoire</w:t>
            </w:r>
          </w:p>
        </w:tc>
        <w:tc>
          <w:tcPr>
            <w:tcW w:w="0" w:type="auto"/>
          </w:tcPr>
          <w:p w:rsidR="00000000" w:rsidRDefault="00000000">
            <w:pPr>
              <w:spacing w:before="60" w:after="60"/>
              <w:jc w:val="right"/>
              <w:rPr>
                <w:sz w:val="22"/>
              </w:rPr>
            </w:pPr>
            <w:r>
              <w:rPr>
                <w:sz w:val="22"/>
              </w:rPr>
              <w:t>0,9</w:t>
            </w:r>
          </w:p>
        </w:tc>
        <w:tc>
          <w:tcPr>
            <w:tcW w:w="0" w:type="auto"/>
          </w:tcPr>
          <w:p w:rsidR="00000000" w:rsidRDefault="00000000">
            <w:pPr>
              <w:spacing w:before="60" w:after="60"/>
              <w:jc w:val="right"/>
              <w:rPr>
                <w:sz w:val="22"/>
              </w:rPr>
            </w:pPr>
            <w:r>
              <w:rPr>
                <w:sz w:val="22"/>
              </w:rPr>
              <w:t>1,2</w:t>
            </w:r>
          </w:p>
        </w:tc>
        <w:tc>
          <w:tcPr>
            <w:tcW w:w="0" w:type="auto"/>
          </w:tcPr>
          <w:p w:rsidR="00000000" w:rsidRDefault="00000000">
            <w:pPr>
              <w:spacing w:before="60" w:after="60"/>
              <w:jc w:val="right"/>
              <w:rPr>
                <w:sz w:val="22"/>
              </w:rPr>
            </w:pPr>
            <w:r>
              <w:rPr>
                <w:sz w:val="22"/>
              </w:rPr>
              <w:t>1,6</w:t>
            </w:r>
          </w:p>
        </w:tc>
        <w:tc>
          <w:tcPr>
            <w:tcW w:w="0" w:type="auto"/>
          </w:tcPr>
          <w:p w:rsidR="00000000" w:rsidRDefault="00000000">
            <w:pPr>
              <w:spacing w:before="60" w:after="60"/>
              <w:jc w:val="right"/>
              <w:rPr>
                <w:sz w:val="22"/>
              </w:rPr>
            </w:pPr>
            <w:r>
              <w:rPr>
                <w:sz w:val="22"/>
              </w:rPr>
              <w:t>1,3</w:t>
            </w:r>
          </w:p>
        </w:tc>
        <w:tc>
          <w:tcPr>
            <w:tcW w:w="0" w:type="auto"/>
          </w:tcPr>
          <w:p w:rsidR="00000000" w:rsidRDefault="00000000">
            <w:pPr>
              <w:spacing w:before="60" w:after="60"/>
              <w:jc w:val="right"/>
              <w:rPr>
                <w:sz w:val="22"/>
              </w:rPr>
            </w:pPr>
            <w:r>
              <w:rPr>
                <w:sz w:val="22"/>
              </w:rPr>
              <w:t>1,5</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Maladies des organes respiratoires</w:t>
            </w:r>
          </w:p>
        </w:tc>
        <w:tc>
          <w:tcPr>
            <w:tcW w:w="0" w:type="auto"/>
          </w:tcPr>
          <w:p w:rsidR="00000000" w:rsidRDefault="00000000">
            <w:pPr>
              <w:spacing w:before="60" w:after="60"/>
              <w:jc w:val="right"/>
              <w:rPr>
                <w:sz w:val="22"/>
              </w:rPr>
            </w:pPr>
            <w:r>
              <w:rPr>
                <w:sz w:val="22"/>
              </w:rPr>
              <w:t>100,9</w:t>
            </w:r>
          </w:p>
        </w:tc>
        <w:tc>
          <w:tcPr>
            <w:tcW w:w="0" w:type="auto"/>
          </w:tcPr>
          <w:p w:rsidR="00000000" w:rsidRDefault="00000000">
            <w:pPr>
              <w:spacing w:before="60" w:after="60"/>
              <w:jc w:val="right"/>
              <w:rPr>
                <w:sz w:val="22"/>
              </w:rPr>
            </w:pPr>
            <w:r>
              <w:rPr>
                <w:sz w:val="22"/>
              </w:rPr>
              <w:t>97,4</w:t>
            </w:r>
          </w:p>
        </w:tc>
        <w:tc>
          <w:tcPr>
            <w:tcW w:w="0" w:type="auto"/>
          </w:tcPr>
          <w:p w:rsidR="00000000" w:rsidRDefault="00000000">
            <w:pPr>
              <w:spacing w:before="60" w:after="60"/>
              <w:jc w:val="right"/>
              <w:rPr>
                <w:sz w:val="22"/>
              </w:rPr>
            </w:pPr>
            <w:r>
              <w:rPr>
                <w:sz w:val="22"/>
              </w:rPr>
              <w:t>79,8</w:t>
            </w:r>
          </w:p>
        </w:tc>
        <w:tc>
          <w:tcPr>
            <w:tcW w:w="0" w:type="auto"/>
          </w:tcPr>
          <w:p w:rsidR="00000000" w:rsidRDefault="00000000">
            <w:pPr>
              <w:spacing w:before="60" w:after="60"/>
              <w:jc w:val="right"/>
              <w:rPr>
                <w:sz w:val="22"/>
              </w:rPr>
            </w:pPr>
            <w:r>
              <w:rPr>
                <w:sz w:val="22"/>
              </w:rPr>
              <w:t>72,5</w:t>
            </w:r>
          </w:p>
        </w:tc>
        <w:tc>
          <w:tcPr>
            <w:tcW w:w="0" w:type="auto"/>
          </w:tcPr>
          <w:p w:rsidR="00000000" w:rsidRDefault="00000000">
            <w:pPr>
              <w:spacing w:before="60" w:after="60"/>
              <w:jc w:val="right"/>
              <w:rPr>
                <w:sz w:val="22"/>
              </w:rPr>
            </w:pPr>
            <w:r>
              <w:rPr>
                <w:sz w:val="22"/>
              </w:rPr>
              <w:t>73,9</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Maladies du système digestif</w:t>
            </w:r>
          </w:p>
        </w:tc>
        <w:tc>
          <w:tcPr>
            <w:tcW w:w="0" w:type="auto"/>
          </w:tcPr>
          <w:p w:rsidR="00000000" w:rsidRDefault="00000000">
            <w:pPr>
              <w:spacing w:before="60" w:after="60"/>
              <w:jc w:val="right"/>
              <w:rPr>
                <w:sz w:val="22"/>
              </w:rPr>
            </w:pPr>
            <w:r>
              <w:rPr>
                <w:sz w:val="22"/>
              </w:rPr>
              <w:t>55,7</w:t>
            </w:r>
          </w:p>
        </w:tc>
        <w:tc>
          <w:tcPr>
            <w:tcW w:w="0" w:type="auto"/>
          </w:tcPr>
          <w:p w:rsidR="00000000" w:rsidRDefault="00000000">
            <w:pPr>
              <w:spacing w:before="60" w:after="60"/>
              <w:jc w:val="right"/>
              <w:rPr>
                <w:sz w:val="22"/>
              </w:rPr>
            </w:pPr>
            <w:r>
              <w:rPr>
                <w:sz w:val="22"/>
              </w:rPr>
              <w:t>42,6</w:t>
            </w:r>
          </w:p>
        </w:tc>
        <w:tc>
          <w:tcPr>
            <w:tcW w:w="0" w:type="auto"/>
          </w:tcPr>
          <w:p w:rsidR="00000000" w:rsidRDefault="00000000">
            <w:pPr>
              <w:spacing w:before="60" w:after="60"/>
              <w:jc w:val="right"/>
              <w:rPr>
                <w:sz w:val="22"/>
              </w:rPr>
            </w:pPr>
            <w:r>
              <w:rPr>
                <w:sz w:val="22"/>
              </w:rPr>
              <w:t>7,3</w:t>
            </w:r>
          </w:p>
        </w:tc>
        <w:tc>
          <w:tcPr>
            <w:tcW w:w="0" w:type="auto"/>
          </w:tcPr>
          <w:p w:rsidR="00000000" w:rsidRDefault="00000000">
            <w:pPr>
              <w:spacing w:before="60" w:after="60"/>
              <w:jc w:val="right"/>
              <w:rPr>
                <w:sz w:val="22"/>
              </w:rPr>
            </w:pPr>
            <w:r>
              <w:rPr>
                <w:sz w:val="22"/>
              </w:rPr>
              <w:t>10,3</w:t>
            </w:r>
          </w:p>
        </w:tc>
        <w:tc>
          <w:tcPr>
            <w:tcW w:w="0" w:type="auto"/>
          </w:tcPr>
          <w:p w:rsidR="00000000" w:rsidRDefault="00000000">
            <w:pPr>
              <w:spacing w:before="60" w:after="60"/>
              <w:jc w:val="right"/>
              <w:rPr>
                <w:sz w:val="22"/>
              </w:rPr>
            </w:pPr>
            <w:r>
              <w:rPr>
                <w:sz w:val="22"/>
              </w:rPr>
              <w:t>6,3</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Maladies génito-urinaires</w:t>
            </w:r>
          </w:p>
        </w:tc>
        <w:tc>
          <w:tcPr>
            <w:tcW w:w="0" w:type="auto"/>
          </w:tcPr>
          <w:p w:rsidR="00000000" w:rsidRDefault="00000000">
            <w:pPr>
              <w:spacing w:before="60" w:after="60"/>
              <w:jc w:val="right"/>
              <w:rPr>
                <w:sz w:val="22"/>
              </w:rPr>
            </w:pPr>
            <w:r>
              <w:rPr>
                <w:sz w:val="22"/>
              </w:rPr>
              <w:t>2,0</w:t>
            </w:r>
          </w:p>
        </w:tc>
        <w:tc>
          <w:tcPr>
            <w:tcW w:w="0" w:type="auto"/>
          </w:tcPr>
          <w:p w:rsidR="00000000" w:rsidRDefault="00000000">
            <w:pPr>
              <w:spacing w:before="60" w:after="60"/>
              <w:jc w:val="right"/>
              <w:rPr>
                <w:sz w:val="22"/>
              </w:rPr>
            </w:pPr>
            <w:r>
              <w:rPr>
                <w:sz w:val="22"/>
              </w:rPr>
              <w:t>2,4</w:t>
            </w:r>
          </w:p>
        </w:tc>
        <w:tc>
          <w:tcPr>
            <w:tcW w:w="0" w:type="auto"/>
          </w:tcPr>
          <w:p w:rsidR="00000000" w:rsidRDefault="00000000">
            <w:pPr>
              <w:spacing w:before="60" w:after="60"/>
              <w:jc w:val="right"/>
              <w:rPr>
                <w:sz w:val="22"/>
              </w:rPr>
            </w:pPr>
            <w:r>
              <w:rPr>
                <w:sz w:val="22"/>
              </w:rPr>
              <w:t>2,7</w:t>
            </w:r>
          </w:p>
        </w:tc>
        <w:tc>
          <w:tcPr>
            <w:tcW w:w="0" w:type="auto"/>
          </w:tcPr>
          <w:p w:rsidR="00000000" w:rsidRDefault="00000000">
            <w:pPr>
              <w:spacing w:before="60" w:after="60"/>
              <w:jc w:val="right"/>
              <w:rPr>
                <w:sz w:val="22"/>
              </w:rPr>
            </w:pPr>
            <w:r>
              <w:rPr>
                <w:sz w:val="22"/>
              </w:rPr>
              <w:t>2,8</w:t>
            </w:r>
          </w:p>
        </w:tc>
        <w:tc>
          <w:tcPr>
            <w:tcW w:w="0" w:type="auto"/>
          </w:tcPr>
          <w:p w:rsidR="00000000" w:rsidRDefault="00000000">
            <w:pPr>
              <w:spacing w:before="60" w:after="60"/>
              <w:jc w:val="right"/>
              <w:rPr>
                <w:sz w:val="22"/>
              </w:rPr>
            </w:pPr>
            <w:r>
              <w:rPr>
                <w:sz w:val="22"/>
              </w:rPr>
              <w:t>3,0</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Maladies de la peau et de la cellule hypodermique</w:t>
            </w:r>
          </w:p>
        </w:tc>
        <w:tc>
          <w:tcPr>
            <w:tcW w:w="0" w:type="auto"/>
          </w:tcPr>
          <w:p w:rsidR="00000000" w:rsidRDefault="00000000">
            <w:pPr>
              <w:spacing w:before="60" w:after="60"/>
              <w:jc w:val="right"/>
              <w:rPr>
                <w:sz w:val="22"/>
              </w:rPr>
            </w:pPr>
            <w:r>
              <w:rPr>
                <w:sz w:val="22"/>
              </w:rPr>
              <w:t>7,2</w:t>
            </w:r>
          </w:p>
        </w:tc>
        <w:tc>
          <w:tcPr>
            <w:tcW w:w="0" w:type="auto"/>
          </w:tcPr>
          <w:p w:rsidR="00000000" w:rsidRDefault="00000000">
            <w:pPr>
              <w:spacing w:before="60" w:after="60"/>
              <w:jc w:val="right"/>
              <w:rPr>
                <w:sz w:val="22"/>
              </w:rPr>
            </w:pPr>
            <w:r>
              <w:rPr>
                <w:sz w:val="22"/>
              </w:rPr>
              <w:t>5,0</w:t>
            </w:r>
          </w:p>
        </w:tc>
        <w:tc>
          <w:tcPr>
            <w:tcW w:w="0" w:type="auto"/>
          </w:tcPr>
          <w:p w:rsidR="00000000" w:rsidRDefault="00000000">
            <w:pPr>
              <w:spacing w:before="60" w:after="60"/>
              <w:jc w:val="right"/>
              <w:rPr>
                <w:sz w:val="22"/>
              </w:rPr>
            </w:pPr>
            <w:r>
              <w:rPr>
                <w:sz w:val="22"/>
              </w:rPr>
              <w:t>5,2</w:t>
            </w:r>
          </w:p>
        </w:tc>
        <w:tc>
          <w:tcPr>
            <w:tcW w:w="0" w:type="auto"/>
          </w:tcPr>
          <w:p w:rsidR="00000000" w:rsidRDefault="00000000">
            <w:pPr>
              <w:spacing w:before="60" w:after="60"/>
              <w:jc w:val="right"/>
              <w:rPr>
                <w:sz w:val="22"/>
              </w:rPr>
            </w:pPr>
            <w:r>
              <w:rPr>
                <w:sz w:val="22"/>
              </w:rPr>
              <w:t>5,7</w:t>
            </w:r>
          </w:p>
        </w:tc>
        <w:tc>
          <w:tcPr>
            <w:tcW w:w="0" w:type="auto"/>
          </w:tcPr>
          <w:p w:rsidR="00000000" w:rsidRDefault="00000000">
            <w:pPr>
              <w:spacing w:before="60" w:after="60"/>
              <w:jc w:val="right"/>
              <w:rPr>
                <w:sz w:val="22"/>
              </w:rPr>
            </w:pPr>
            <w:r>
              <w:rPr>
                <w:sz w:val="22"/>
              </w:rPr>
              <w:t>5,0</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Maladies du système ostéomusculaire et du tissu conjonctif</w:t>
            </w:r>
          </w:p>
        </w:tc>
        <w:tc>
          <w:tcPr>
            <w:tcW w:w="0" w:type="auto"/>
          </w:tcPr>
          <w:p w:rsidR="00000000" w:rsidRDefault="00000000">
            <w:pPr>
              <w:spacing w:before="60" w:after="60"/>
              <w:jc w:val="right"/>
              <w:rPr>
                <w:sz w:val="22"/>
              </w:rPr>
            </w:pPr>
            <w:r>
              <w:rPr>
                <w:sz w:val="22"/>
              </w:rPr>
              <w:t>1,2</w:t>
            </w:r>
          </w:p>
        </w:tc>
        <w:tc>
          <w:tcPr>
            <w:tcW w:w="0" w:type="auto"/>
          </w:tcPr>
          <w:p w:rsidR="00000000" w:rsidRDefault="00000000">
            <w:pPr>
              <w:spacing w:before="60" w:after="60"/>
              <w:jc w:val="right"/>
              <w:rPr>
                <w:sz w:val="22"/>
              </w:rPr>
            </w:pPr>
            <w:r>
              <w:rPr>
                <w:sz w:val="22"/>
              </w:rPr>
              <w:t>1,0</w:t>
            </w:r>
          </w:p>
        </w:tc>
        <w:tc>
          <w:tcPr>
            <w:tcW w:w="0" w:type="auto"/>
          </w:tcPr>
          <w:p w:rsidR="00000000" w:rsidRDefault="00000000">
            <w:pPr>
              <w:spacing w:before="60" w:after="60"/>
              <w:jc w:val="right"/>
              <w:rPr>
                <w:sz w:val="22"/>
              </w:rPr>
            </w:pPr>
            <w:r>
              <w:rPr>
                <w:sz w:val="22"/>
              </w:rPr>
              <w:t>1,5</w:t>
            </w:r>
          </w:p>
        </w:tc>
        <w:tc>
          <w:tcPr>
            <w:tcW w:w="0" w:type="auto"/>
          </w:tcPr>
          <w:p w:rsidR="00000000" w:rsidRDefault="00000000">
            <w:pPr>
              <w:spacing w:before="60" w:after="60"/>
              <w:jc w:val="right"/>
              <w:rPr>
                <w:sz w:val="22"/>
              </w:rPr>
            </w:pPr>
            <w:r>
              <w:rPr>
                <w:sz w:val="22"/>
              </w:rPr>
              <w:t>0,8</w:t>
            </w:r>
          </w:p>
        </w:tc>
        <w:tc>
          <w:tcPr>
            <w:tcW w:w="0" w:type="auto"/>
          </w:tcPr>
          <w:p w:rsidR="00000000" w:rsidRDefault="00000000">
            <w:pPr>
              <w:spacing w:before="60" w:after="60"/>
              <w:jc w:val="right"/>
              <w:rPr>
                <w:sz w:val="22"/>
              </w:rPr>
            </w:pPr>
            <w:r>
              <w:rPr>
                <w:sz w:val="22"/>
              </w:rPr>
              <w:t>0,2</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Anomalies congénitales (retard de développement)</w:t>
            </w:r>
          </w:p>
        </w:tc>
        <w:tc>
          <w:tcPr>
            <w:tcW w:w="0" w:type="auto"/>
          </w:tcPr>
          <w:p w:rsidR="00000000" w:rsidRDefault="00000000">
            <w:pPr>
              <w:spacing w:before="60" w:after="60"/>
              <w:jc w:val="right"/>
              <w:rPr>
                <w:sz w:val="22"/>
              </w:rPr>
            </w:pPr>
            <w:r>
              <w:rPr>
                <w:sz w:val="22"/>
              </w:rPr>
              <w:t>0,5</w:t>
            </w:r>
          </w:p>
        </w:tc>
        <w:tc>
          <w:tcPr>
            <w:tcW w:w="0" w:type="auto"/>
          </w:tcPr>
          <w:p w:rsidR="00000000" w:rsidRDefault="00000000">
            <w:pPr>
              <w:spacing w:before="60" w:after="60"/>
              <w:jc w:val="right"/>
              <w:rPr>
                <w:sz w:val="22"/>
              </w:rPr>
            </w:pPr>
            <w:r>
              <w:rPr>
                <w:sz w:val="22"/>
              </w:rPr>
              <w:t>0,5</w:t>
            </w:r>
          </w:p>
        </w:tc>
        <w:tc>
          <w:tcPr>
            <w:tcW w:w="0" w:type="auto"/>
          </w:tcPr>
          <w:p w:rsidR="00000000" w:rsidRDefault="00000000">
            <w:pPr>
              <w:spacing w:before="60" w:after="60"/>
              <w:jc w:val="right"/>
              <w:rPr>
                <w:sz w:val="22"/>
              </w:rPr>
            </w:pPr>
            <w:r>
              <w:rPr>
                <w:sz w:val="22"/>
              </w:rPr>
              <w:t>0,6</w:t>
            </w:r>
          </w:p>
        </w:tc>
        <w:tc>
          <w:tcPr>
            <w:tcW w:w="0" w:type="auto"/>
          </w:tcPr>
          <w:p w:rsidR="00000000" w:rsidRDefault="00000000">
            <w:pPr>
              <w:spacing w:before="60" w:after="60"/>
              <w:jc w:val="right"/>
              <w:rPr>
                <w:sz w:val="22"/>
              </w:rPr>
            </w:pPr>
            <w:r>
              <w:rPr>
                <w:sz w:val="22"/>
              </w:rPr>
              <w:t>1,3</w:t>
            </w:r>
          </w:p>
        </w:tc>
        <w:tc>
          <w:tcPr>
            <w:tcW w:w="0" w:type="auto"/>
          </w:tcPr>
          <w:p w:rsidR="00000000" w:rsidRDefault="00000000">
            <w:pPr>
              <w:spacing w:before="60" w:after="60"/>
              <w:jc w:val="right"/>
              <w:rPr>
                <w:sz w:val="22"/>
              </w:rPr>
            </w:pPr>
            <w:r>
              <w:rPr>
                <w:sz w:val="22"/>
              </w:rPr>
              <w:t>1,2</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Autres états pathologiques de la période périnatale</w:t>
            </w:r>
          </w:p>
        </w:tc>
        <w:tc>
          <w:tcPr>
            <w:tcW w:w="0" w:type="auto"/>
          </w:tcPr>
          <w:p w:rsidR="00000000" w:rsidRDefault="00000000">
            <w:pPr>
              <w:spacing w:before="60" w:after="60"/>
              <w:jc w:val="right"/>
              <w:rPr>
                <w:sz w:val="22"/>
              </w:rPr>
            </w:pPr>
            <w:r>
              <w:rPr>
                <w:sz w:val="22"/>
              </w:rPr>
              <w:t>0,3</w:t>
            </w:r>
          </w:p>
        </w:tc>
        <w:tc>
          <w:tcPr>
            <w:tcW w:w="0" w:type="auto"/>
          </w:tcPr>
          <w:p w:rsidR="00000000" w:rsidRDefault="00000000">
            <w:pPr>
              <w:spacing w:before="60" w:after="60"/>
              <w:jc w:val="right"/>
              <w:rPr>
                <w:sz w:val="22"/>
              </w:rPr>
            </w:pPr>
            <w:r>
              <w:rPr>
                <w:sz w:val="22"/>
              </w:rPr>
              <w:t>0,2</w:t>
            </w:r>
          </w:p>
        </w:tc>
        <w:tc>
          <w:tcPr>
            <w:tcW w:w="0" w:type="auto"/>
          </w:tcPr>
          <w:p w:rsidR="00000000" w:rsidRDefault="00000000">
            <w:pPr>
              <w:spacing w:before="60" w:after="60"/>
              <w:jc w:val="right"/>
              <w:rPr>
                <w:sz w:val="22"/>
              </w:rPr>
            </w:pPr>
            <w:r>
              <w:rPr>
                <w:sz w:val="22"/>
              </w:rPr>
              <w:t>0,5</w:t>
            </w:r>
          </w:p>
        </w:tc>
        <w:tc>
          <w:tcPr>
            <w:tcW w:w="0" w:type="auto"/>
          </w:tcPr>
          <w:p w:rsidR="00000000" w:rsidRDefault="00000000">
            <w:pPr>
              <w:spacing w:before="60" w:after="60"/>
              <w:jc w:val="right"/>
              <w:rPr>
                <w:sz w:val="22"/>
              </w:rPr>
            </w:pPr>
            <w:r>
              <w:rPr>
                <w:sz w:val="22"/>
              </w:rPr>
              <w:t>2,6</w:t>
            </w:r>
          </w:p>
        </w:tc>
        <w:tc>
          <w:tcPr>
            <w:tcW w:w="0" w:type="auto"/>
          </w:tcPr>
          <w:p w:rsidR="00000000" w:rsidRDefault="00000000">
            <w:pPr>
              <w:spacing w:before="60" w:after="60"/>
              <w:jc w:val="right"/>
              <w:rPr>
                <w:sz w:val="22"/>
              </w:rPr>
            </w:pPr>
            <w:r>
              <w:rPr>
                <w:sz w:val="22"/>
              </w:rPr>
              <w:t>3,0</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Symptômes, signes et états non précisés</w:t>
            </w:r>
          </w:p>
        </w:tc>
        <w:tc>
          <w:tcPr>
            <w:tcW w:w="0" w:type="auto"/>
          </w:tcPr>
          <w:p w:rsidR="00000000" w:rsidRDefault="00000000">
            <w:pPr>
              <w:spacing w:before="60" w:after="60"/>
              <w:jc w:val="right"/>
              <w:rPr>
                <w:sz w:val="22"/>
              </w:rPr>
            </w:pPr>
            <w:r>
              <w:rPr>
                <w:sz w:val="22"/>
              </w:rPr>
              <w:t>1,1</w:t>
            </w:r>
          </w:p>
        </w:tc>
        <w:tc>
          <w:tcPr>
            <w:tcW w:w="0" w:type="auto"/>
          </w:tcPr>
          <w:p w:rsidR="00000000" w:rsidRDefault="00000000">
            <w:pPr>
              <w:spacing w:before="60" w:after="60"/>
              <w:jc w:val="right"/>
              <w:rPr>
                <w:sz w:val="22"/>
              </w:rPr>
            </w:pPr>
            <w:r>
              <w:rPr>
                <w:sz w:val="22"/>
              </w:rPr>
              <w:t>0,6</w:t>
            </w:r>
          </w:p>
        </w:tc>
        <w:tc>
          <w:tcPr>
            <w:tcW w:w="0" w:type="auto"/>
          </w:tcPr>
          <w:p w:rsidR="00000000" w:rsidRDefault="00000000">
            <w:pPr>
              <w:spacing w:before="60" w:after="60"/>
              <w:jc w:val="right"/>
              <w:rPr>
                <w:sz w:val="22"/>
              </w:rPr>
            </w:pPr>
            <w:r>
              <w:rPr>
                <w:sz w:val="22"/>
              </w:rPr>
              <w:t>0,6</w:t>
            </w:r>
          </w:p>
        </w:tc>
        <w:tc>
          <w:tcPr>
            <w:tcW w:w="0" w:type="auto"/>
          </w:tcPr>
          <w:p w:rsidR="00000000" w:rsidRDefault="00000000">
            <w:pPr>
              <w:spacing w:before="60" w:after="60"/>
              <w:jc w:val="right"/>
              <w:rPr>
                <w:sz w:val="22"/>
              </w:rPr>
            </w:pPr>
            <w:r>
              <w:rPr>
                <w:sz w:val="22"/>
              </w:rPr>
              <w:t>1,4</w:t>
            </w:r>
          </w:p>
        </w:tc>
        <w:tc>
          <w:tcPr>
            <w:tcW w:w="0" w:type="auto"/>
          </w:tcPr>
          <w:p w:rsidR="00000000" w:rsidRDefault="00000000">
            <w:pPr>
              <w:spacing w:before="60" w:after="60"/>
              <w:jc w:val="right"/>
              <w:rPr>
                <w:sz w:val="22"/>
              </w:rPr>
            </w:pPr>
            <w:r>
              <w:rPr>
                <w:sz w:val="22"/>
              </w:rPr>
              <w:t>1,1</w:t>
            </w:r>
          </w:p>
        </w:tc>
      </w:tr>
      <w:tr w:rsidR="00000000">
        <w:tblPrEx>
          <w:tblCellMar>
            <w:top w:w="0" w:type="dxa"/>
            <w:bottom w:w="0" w:type="dxa"/>
          </w:tblCellMar>
        </w:tblPrEx>
        <w:tc>
          <w:tcPr>
            <w:tcW w:w="0" w:type="auto"/>
          </w:tcPr>
          <w:p w:rsidR="00000000" w:rsidRDefault="00000000">
            <w:pPr>
              <w:keepNext/>
              <w:spacing w:before="60" w:after="60"/>
              <w:ind w:left="340"/>
              <w:rPr>
                <w:sz w:val="22"/>
              </w:rPr>
            </w:pPr>
            <w:r>
              <w:rPr>
                <w:sz w:val="22"/>
              </w:rPr>
              <w:t>Traumatismes et intoxications</w:t>
            </w:r>
          </w:p>
        </w:tc>
        <w:tc>
          <w:tcPr>
            <w:tcW w:w="0" w:type="auto"/>
          </w:tcPr>
          <w:p w:rsidR="00000000" w:rsidRDefault="00000000">
            <w:pPr>
              <w:spacing w:before="60" w:after="60"/>
              <w:jc w:val="right"/>
              <w:rPr>
                <w:sz w:val="22"/>
              </w:rPr>
            </w:pPr>
            <w:r>
              <w:rPr>
                <w:sz w:val="22"/>
              </w:rPr>
              <w:t>13,9</w:t>
            </w:r>
          </w:p>
        </w:tc>
        <w:tc>
          <w:tcPr>
            <w:tcW w:w="0" w:type="auto"/>
          </w:tcPr>
          <w:p w:rsidR="00000000" w:rsidRDefault="00000000">
            <w:pPr>
              <w:spacing w:before="60" w:after="60"/>
              <w:jc w:val="right"/>
              <w:rPr>
                <w:sz w:val="22"/>
              </w:rPr>
            </w:pPr>
            <w:r>
              <w:rPr>
                <w:sz w:val="22"/>
              </w:rPr>
              <w:t>7,0</w:t>
            </w:r>
          </w:p>
        </w:tc>
        <w:tc>
          <w:tcPr>
            <w:tcW w:w="0" w:type="auto"/>
          </w:tcPr>
          <w:p w:rsidR="00000000" w:rsidRDefault="00000000">
            <w:pPr>
              <w:spacing w:before="60" w:after="60"/>
              <w:jc w:val="right"/>
              <w:rPr>
                <w:sz w:val="22"/>
              </w:rPr>
            </w:pPr>
            <w:r>
              <w:rPr>
                <w:sz w:val="22"/>
              </w:rPr>
              <w:t>6,2</w:t>
            </w:r>
          </w:p>
        </w:tc>
        <w:tc>
          <w:tcPr>
            <w:tcW w:w="0" w:type="auto"/>
          </w:tcPr>
          <w:p w:rsidR="00000000" w:rsidRDefault="00000000">
            <w:pPr>
              <w:spacing w:before="60" w:after="60"/>
              <w:jc w:val="right"/>
              <w:rPr>
                <w:sz w:val="22"/>
              </w:rPr>
            </w:pPr>
            <w:r>
              <w:rPr>
                <w:sz w:val="22"/>
              </w:rPr>
              <w:t>4,5</w:t>
            </w:r>
          </w:p>
        </w:tc>
        <w:tc>
          <w:tcPr>
            <w:tcW w:w="0" w:type="auto"/>
          </w:tcPr>
          <w:p w:rsidR="00000000" w:rsidRDefault="00000000">
            <w:pPr>
              <w:spacing w:before="60" w:after="60"/>
              <w:jc w:val="right"/>
              <w:rPr>
                <w:sz w:val="22"/>
              </w:rPr>
            </w:pPr>
            <w:r>
              <w:rPr>
                <w:sz w:val="22"/>
              </w:rPr>
              <w:t>4,2</w:t>
            </w:r>
          </w:p>
        </w:tc>
      </w:tr>
    </w:tbl>
    <w:p w:rsidR="00000000" w:rsidRDefault="00000000">
      <w:pPr>
        <w:spacing w:before="240" w:after="240"/>
      </w:pPr>
      <w:r>
        <w:rPr>
          <w:i/>
          <w:iCs/>
        </w:rPr>
        <w:t>Source</w:t>
      </w:r>
      <w:r>
        <w:t>: «</w:t>
      </w:r>
      <w:r>
        <w:rPr>
          <w:i/>
          <w:iCs/>
        </w:rPr>
        <w:t>Annuaire statistique de la Géorgie, 2000</w:t>
      </w:r>
      <w:r>
        <w:t>», établi par le Département national de statistique.</w:t>
      </w:r>
    </w:p>
    <w:p w:rsidR="00000000" w:rsidRDefault="00000000">
      <w:pPr>
        <w:keepNext/>
        <w:spacing w:after="240"/>
        <w:ind w:firstLine="567"/>
      </w:pPr>
      <w:r>
        <w:rPr>
          <w:u w:val="single"/>
        </w:rPr>
        <w:t>Politique nationale de santé publique</w:t>
      </w:r>
    </w:p>
    <w:p w:rsidR="00000000" w:rsidRDefault="00000000">
      <w:pPr>
        <w:widowControl w:val="0"/>
        <w:spacing w:after="240"/>
      </w:pPr>
      <w:r>
        <w:t>189.</w:t>
      </w:r>
      <w:r>
        <w:tab/>
        <w:t>Conformément au décret présidentiel n</w:t>
      </w:r>
      <w:r>
        <w:rPr>
          <w:vertAlign w:val="superscript"/>
        </w:rPr>
        <w:t>o</w:t>
      </w:r>
      <w:r>
        <w:t> 179 du 7 mai 2000, concernant les mesures à prendre d’urgence pour mettre en œuvre les principes relatifs au développement social de la Géorgie, les instruments relatifs a) à la politique nationale de santé publique, et b) au plan stratégique de promotion de la santé pendant la période 2000</w:t>
      </w:r>
      <w:r>
        <w:noBreakHyphen/>
        <w:t>2009 ont été adoptés. On procède actuellement à l’analyse des résultats de la première année d’application du plan stratégique. Celui</w:t>
      </w:r>
      <w:r>
        <w:noBreakHyphen/>
        <w:t>ci repose sur les prévisions macroéconomiques établies en 1999 par le Ministère de l’économie. Des corrections importantes ayant été apportées en 2001 à ces prévisions, la partie financière du plan est actuellement révisée, afin de l’aligner sur les nouveaux indicateurs macroéconomiques.</w:t>
      </w:r>
    </w:p>
    <w:p w:rsidR="00000000" w:rsidRDefault="00000000">
      <w:pPr>
        <w:keepNext/>
        <w:widowControl w:val="0"/>
        <w:spacing w:after="200"/>
        <w:ind w:firstLine="567"/>
      </w:pPr>
      <w:r>
        <w:rPr>
          <w:u w:val="single"/>
        </w:rPr>
        <w:br w:type="page"/>
        <w:t>Budget du système de santé publique</w:t>
      </w:r>
    </w:p>
    <w:p w:rsidR="00000000" w:rsidRDefault="00000000">
      <w:pPr>
        <w:widowControl w:val="0"/>
        <w:spacing w:after="200"/>
      </w:pPr>
      <w:r>
        <w:t>190.</w:t>
      </w:r>
      <w:r>
        <w:tab/>
        <w:t>On trouvera dans le tableau ci-après les indicateurs concernant le financement par l’État des programmes de santé exécutés pendant la période 1997</w:t>
      </w:r>
      <w:r>
        <w:noBreakHyphen/>
        <w:t>2000.</w:t>
      </w:r>
    </w:p>
    <w:tbl>
      <w:tblPr>
        <w:tblW w:w="0" w:type="auto"/>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0"/>
        <w:gridCol w:w="2760"/>
        <w:gridCol w:w="2760"/>
      </w:tblGrid>
      <w:tr w:rsidR="00000000">
        <w:tblPrEx>
          <w:tblCellMar>
            <w:top w:w="0" w:type="dxa"/>
            <w:bottom w:w="0" w:type="dxa"/>
          </w:tblCellMar>
        </w:tblPrEx>
        <w:tc>
          <w:tcPr>
            <w:tcW w:w="1560" w:type="dxa"/>
          </w:tcPr>
          <w:p w:rsidR="00000000" w:rsidRDefault="00000000">
            <w:pPr>
              <w:widowControl w:val="0"/>
              <w:spacing w:before="20" w:after="20"/>
              <w:jc w:val="center"/>
              <w:rPr>
                <w:sz w:val="22"/>
              </w:rPr>
            </w:pPr>
            <w:r>
              <w:rPr>
                <w:sz w:val="22"/>
              </w:rPr>
              <w:t>Année</w:t>
            </w:r>
          </w:p>
        </w:tc>
        <w:tc>
          <w:tcPr>
            <w:tcW w:w="2760" w:type="dxa"/>
          </w:tcPr>
          <w:p w:rsidR="00000000" w:rsidRDefault="00000000">
            <w:pPr>
              <w:widowControl w:val="0"/>
              <w:spacing w:before="20" w:after="20"/>
              <w:jc w:val="center"/>
              <w:rPr>
                <w:sz w:val="22"/>
              </w:rPr>
            </w:pPr>
            <w:r>
              <w:rPr>
                <w:sz w:val="22"/>
              </w:rPr>
              <w:t>Indicateur du plan</w:t>
            </w:r>
            <w:r>
              <w:rPr>
                <w:sz w:val="22"/>
              </w:rPr>
              <w:br/>
              <w:t>(en milliers de lari)</w:t>
            </w:r>
          </w:p>
        </w:tc>
        <w:tc>
          <w:tcPr>
            <w:tcW w:w="2760" w:type="dxa"/>
          </w:tcPr>
          <w:p w:rsidR="00000000" w:rsidRDefault="00000000">
            <w:pPr>
              <w:widowControl w:val="0"/>
              <w:spacing w:before="20" w:after="20"/>
              <w:jc w:val="center"/>
              <w:rPr>
                <w:sz w:val="22"/>
              </w:rPr>
            </w:pPr>
            <w:r>
              <w:rPr>
                <w:sz w:val="22"/>
              </w:rPr>
              <w:t>Exécution</w:t>
            </w:r>
            <w:r>
              <w:rPr>
                <w:sz w:val="22"/>
              </w:rPr>
              <w:br/>
              <w:t>(en pourcentage)</w:t>
            </w:r>
          </w:p>
        </w:tc>
      </w:tr>
      <w:tr w:rsidR="00000000">
        <w:tblPrEx>
          <w:tblCellMar>
            <w:top w:w="0" w:type="dxa"/>
            <w:bottom w:w="0" w:type="dxa"/>
          </w:tblCellMar>
        </w:tblPrEx>
        <w:tc>
          <w:tcPr>
            <w:tcW w:w="1560" w:type="dxa"/>
          </w:tcPr>
          <w:p w:rsidR="00000000" w:rsidRDefault="00000000">
            <w:pPr>
              <w:widowControl w:val="0"/>
              <w:spacing w:before="20" w:after="20"/>
              <w:rPr>
                <w:sz w:val="22"/>
              </w:rPr>
            </w:pPr>
            <w:r>
              <w:rPr>
                <w:sz w:val="22"/>
              </w:rPr>
              <w:t>1997</w:t>
            </w:r>
          </w:p>
        </w:tc>
        <w:tc>
          <w:tcPr>
            <w:tcW w:w="2760" w:type="dxa"/>
          </w:tcPr>
          <w:p w:rsidR="00000000" w:rsidRDefault="00000000">
            <w:pPr>
              <w:widowControl w:val="0"/>
              <w:spacing w:before="20" w:after="20"/>
              <w:jc w:val="right"/>
              <w:rPr>
                <w:sz w:val="22"/>
              </w:rPr>
            </w:pPr>
            <w:r>
              <w:rPr>
                <w:sz w:val="22"/>
              </w:rPr>
              <w:t>49 313</w:t>
            </w:r>
          </w:p>
        </w:tc>
        <w:tc>
          <w:tcPr>
            <w:tcW w:w="2760" w:type="dxa"/>
          </w:tcPr>
          <w:p w:rsidR="00000000" w:rsidRDefault="00000000">
            <w:pPr>
              <w:widowControl w:val="0"/>
              <w:spacing w:before="20" w:after="20"/>
              <w:jc w:val="right"/>
              <w:rPr>
                <w:sz w:val="22"/>
              </w:rPr>
            </w:pPr>
            <w:r>
              <w:rPr>
                <w:sz w:val="22"/>
              </w:rPr>
              <w:t>56,5</w:t>
            </w:r>
          </w:p>
        </w:tc>
      </w:tr>
      <w:tr w:rsidR="00000000">
        <w:tblPrEx>
          <w:tblCellMar>
            <w:top w:w="0" w:type="dxa"/>
            <w:bottom w:w="0" w:type="dxa"/>
          </w:tblCellMar>
        </w:tblPrEx>
        <w:tc>
          <w:tcPr>
            <w:tcW w:w="1560" w:type="dxa"/>
          </w:tcPr>
          <w:p w:rsidR="00000000" w:rsidRDefault="00000000">
            <w:pPr>
              <w:widowControl w:val="0"/>
              <w:spacing w:before="20" w:after="20"/>
              <w:rPr>
                <w:sz w:val="22"/>
              </w:rPr>
            </w:pPr>
            <w:r>
              <w:rPr>
                <w:sz w:val="22"/>
              </w:rPr>
              <w:t>1998</w:t>
            </w:r>
          </w:p>
        </w:tc>
        <w:tc>
          <w:tcPr>
            <w:tcW w:w="2760" w:type="dxa"/>
          </w:tcPr>
          <w:p w:rsidR="00000000" w:rsidRDefault="00000000">
            <w:pPr>
              <w:widowControl w:val="0"/>
              <w:spacing w:before="20" w:after="20"/>
              <w:jc w:val="right"/>
              <w:rPr>
                <w:sz w:val="22"/>
              </w:rPr>
            </w:pPr>
            <w:r>
              <w:rPr>
                <w:sz w:val="22"/>
              </w:rPr>
              <w:t>54 220</w:t>
            </w:r>
          </w:p>
        </w:tc>
        <w:tc>
          <w:tcPr>
            <w:tcW w:w="2760" w:type="dxa"/>
          </w:tcPr>
          <w:p w:rsidR="00000000" w:rsidRDefault="00000000">
            <w:pPr>
              <w:widowControl w:val="0"/>
              <w:spacing w:before="20" w:after="20"/>
              <w:jc w:val="right"/>
              <w:rPr>
                <w:sz w:val="22"/>
              </w:rPr>
            </w:pPr>
            <w:r>
              <w:rPr>
                <w:sz w:val="22"/>
              </w:rPr>
              <w:t>58,0</w:t>
            </w:r>
          </w:p>
        </w:tc>
      </w:tr>
      <w:tr w:rsidR="00000000">
        <w:tblPrEx>
          <w:tblCellMar>
            <w:top w:w="0" w:type="dxa"/>
            <w:bottom w:w="0" w:type="dxa"/>
          </w:tblCellMar>
        </w:tblPrEx>
        <w:tc>
          <w:tcPr>
            <w:tcW w:w="1560" w:type="dxa"/>
          </w:tcPr>
          <w:p w:rsidR="00000000" w:rsidRDefault="00000000">
            <w:pPr>
              <w:widowControl w:val="0"/>
              <w:spacing w:before="20" w:after="20"/>
              <w:rPr>
                <w:sz w:val="22"/>
              </w:rPr>
            </w:pPr>
            <w:r>
              <w:rPr>
                <w:sz w:val="22"/>
              </w:rPr>
              <w:t>1999</w:t>
            </w:r>
          </w:p>
        </w:tc>
        <w:tc>
          <w:tcPr>
            <w:tcW w:w="2760" w:type="dxa"/>
          </w:tcPr>
          <w:p w:rsidR="00000000" w:rsidRDefault="00000000">
            <w:pPr>
              <w:widowControl w:val="0"/>
              <w:spacing w:before="20" w:after="20"/>
              <w:jc w:val="right"/>
              <w:rPr>
                <w:sz w:val="22"/>
              </w:rPr>
            </w:pPr>
            <w:r>
              <w:rPr>
                <w:sz w:val="22"/>
              </w:rPr>
              <w:t>52 800</w:t>
            </w:r>
          </w:p>
        </w:tc>
        <w:tc>
          <w:tcPr>
            <w:tcW w:w="2760" w:type="dxa"/>
          </w:tcPr>
          <w:p w:rsidR="00000000" w:rsidRDefault="00000000">
            <w:pPr>
              <w:widowControl w:val="0"/>
              <w:spacing w:before="20" w:after="20"/>
              <w:jc w:val="right"/>
              <w:rPr>
                <w:sz w:val="22"/>
              </w:rPr>
            </w:pPr>
            <w:r>
              <w:rPr>
                <w:sz w:val="22"/>
              </w:rPr>
              <w:t>55,3</w:t>
            </w:r>
          </w:p>
        </w:tc>
      </w:tr>
      <w:tr w:rsidR="00000000">
        <w:tblPrEx>
          <w:tblCellMar>
            <w:top w:w="0" w:type="dxa"/>
            <w:bottom w:w="0" w:type="dxa"/>
          </w:tblCellMar>
        </w:tblPrEx>
        <w:tc>
          <w:tcPr>
            <w:tcW w:w="1560" w:type="dxa"/>
          </w:tcPr>
          <w:p w:rsidR="00000000" w:rsidRDefault="00000000">
            <w:pPr>
              <w:widowControl w:val="0"/>
              <w:spacing w:before="20" w:after="20"/>
              <w:rPr>
                <w:sz w:val="22"/>
              </w:rPr>
            </w:pPr>
            <w:r>
              <w:rPr>
                <w:sz w:val="22"/>
              </w:rPr>
              <w:t>2000</w:t>
            </w:r>
          </w:p>
        </w:tc>
        <w:tc>
          <w:tcPr>
            <w:tcW w:w="2760" w:type="dxa"/>
          </w:tcPr>
          <w:p w:rsidR="00000000" w:rsidRDefault="00000000">
            <w:pPr>
              <w:widowControl w:val="0"/>
              <w:spacing w:before="20" w:after="20"/>
              <w:jc w:val="right"/>
              <w:rPr>
                <w:sz w:val="22"/>
              </w:rPr>
            </w:pPr>
            <w:r>
              <w:rPr>
                <w:sz w:val="22"/>
              </w:rPr>
              <w:t>48 000</w:t>
            </w:r>
          </w:p>
        </w:tc>
        <w:tc>
          <w:tcPr>
            <w:tcW w:w="2760" w:type="dxa"/>
          </w:tcPr>
          <w:p w:rsidR="00000000" w:rsidRDefault="00000000">
            <w:pPr>
              <w:widowControl w:val="0"/>
              <w:spacing w:before="20" w:after="20"/>
              <w:jc w:val="right"/>
              <w:rPr>
                <w:sz w:val="22"/>
              </w:rPr>
            </w:pPr>
            <w:r>
              <w:rPr>
                <w:sz w:val="22"/>
              </w:rPr>
              <w:t>80,9</w:t>
            </w:r>
          </w:p>
        </w:tc>
      </w:tr>
    </w:tbl>
    <w:p w:rsidR="00000000" w:rsidRDefault="00000000">
      <w:pPr>
        <w:keepNext/>
        <w:widowControl w:val="0"/>
        <w:spacing w:before="240" w:after="200"/>
        <w:ind w:left="567"/>
      </w:pPr>
      <w:r>
        <w:rPr>
          <w:u w:val="single"/>
        </w:rPr>
        <w:t>Données correspondant aux indicateurs établis par l’Organisation mondiale de la santé (OMS)</w:t>
      </w:r>
    </w:p>
    <w:p w:rsidR="00000000" w:rsidRDefault="00000000">
      <w:pPr>
        <w:widowControl w:val="0"/>
        <w:spacing w:after="200"/>
        <w:ind w:left="567" w:firstLine="567"/>
      </w:pPr>
      <w:r>
        <w:t>a)</w:t>
      </w:r>
      <w:r>
        <w:tab/>
      </w:r>
      <w:r>
        <w:rPr>
          <w:u w:val="single"/>
        </w:rPr>
        <w:t>Mortalité infantile</w:t>
      </w:r>
    </w:p>
    <w:p w:rsidR="00000000" w:rsidRDefault="00000000">
      <w:pPr>
        <w:widowControl w:val="0"/>
        <w:spacing w:after="200"/>
      </w:pPr>
      <w:r>
        <w:t>191.</w:t>
      </w:r>
      <w:r>
        <w:tab/>
        <w:t>Voir tableaux ci</w:t>
      </w:r>
      <w:r>
        <w:noBreakHyphen/>
        <w:t>dessous.</w:t>
      </w:r>
    </w:p>
    <w:p w:rsidR="00000000" w:rsidRDefault="00000000">
      <w:pPr>
        <w:keepNext/>
        <w:widowControl w:val="0"/>
        <w:spacing w:after="200"/>
        <w:jc w:val="center"/>
      </w:pPr>
      <w:r>
        <w:rPr>
          <w:u w:val="single"/>
        </w:rPr>
        <w:t>Mortalité des enfants de moins d’un 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2"/>
        <w:gridCol w:w="1582"/>
        <w:gridCol w:w="1582"/>
        <w:gridCol w:w="1583"/>
        <w:gridCol w:w="1583"/>
        <w:gridCol w:w="1583"/>
      </w:tblGrid>
      <w:tr w:rsidR="00000000">
        <w:tblPrEx>
          <w:tblCellMar>
            <w:top w:w="0" w:type="dxa"/>
            <w:bottom w:w="0" w:type="dxa"/>
          </w:tblCellMar>
        </w:tblPrEx>
        <w:tc>
          <w:tcPr>
            <w:tcW w:w="1582" w:type="dxa"/>
          </w:tcPr>
          <w:p w:rsidR="00000000" w:rsidRDefault="00000000">
            <w:pPr>
              <w:widowControl w:val="0"/>
              <w:spacing w:before="20" w:after="20"/>
              <w:jc w:val="center"/>
              <w:rPr>
                <w:sz w:val="22"/>
              </w:rPr>
            </w:pPr>
            <w:r>
              <w:rPr>
                <w:sz w:val="22"/>
              </w:rPr>
              <w:t>Année</w:t>
            </w:r>
          </w:p>
        </w:tc>
        <w:tc>
          <w:tcPr>
            <w:tcW w:w="1582" w:type="dxa"/>
          </w:tcPr>
          <w:p w:rsidR="00000000" w:rsidRDefault="00000000">
            <w:pPr>
              <w:widowControl w:val="0"/>
              <w:spacing w:before="20" w:after="20"/>
              <w:jc w:val="center"/>
              <w:rPr>
                <w:sz w:val="22"/>
              </w:rPr>
            </w:pPr>
            <w:r>
              <w:rPr>
                <w:sz w:val="22"/>
              </w:rPr>
              <w:t>Nombre total</w:t>
            </w:r>
          </w:p>
        </w:tc>
        <w:tc>
          <w:tcPr>
            <w:tcW w:w="1582" w:type="dxa"/>
          </w:tcPr>
          <w:p w:rsidR="00000000" w:rsidRDefault="00000000">
            <w:pPr>
              <w:widowControl w:val="0"/>
              <w:spacing w:before="20" w:after="20"/>
              <w:jc w:val="center"/>
              <w:rPr>
                <w:sz w:val="22"/>
              </w:rPr>
            </w:pPr>
            <w:r>
              <w:rPr>
                <w:sz w:val="22"/>
              </w:rPr>
              <w:t>Garçons</w:t>
            </w:r>
          </w:p>
        </w:tc>
        <w:tc>
          <w:tcPr>
            <w:tcW w:w="1583" w:type="dxa"/>
          </w:tcPr>
          <w:p w:rsidR="00000000" w:rsidRDefault="00000000">
            <w:pPr>
              <w:widowControl w:val="0"/>
              <w:spacing w:before="20" w:after="20"/>
              <w:jc w:val="center"/>
              <w:rPr>
                <w:sz w:val="22"/>
              </w:rPr>
            </w:pPr>
            <w:r>
              <w:rPr>
                <w:sz w:val="22"/>
              </w:rPr>
              <w:t>Filles</w:t>
            </w:r>
          </w:p>
        </w:tc>
        <w:tc>
          <w:tcPr>
            <w:tcW w:w="1583" w:type="dxa"/>
          </w:tcPr>
          <w:p w:rsidR="00000000" w:rsidRDefault="00000000">
            <w:pPr>
              <w:widowControl w:val="0"/>
              <w:spacing w:before="20" w:after="20"/>
              <w:jc w:val="center"/>
              <w:rPr>
                <w:sz w:val="22"/>
              </w:rPr>
            </w:pPr>
            <w:r>
              <w:rPr>
                <w:sz w:val="22"/>
              </w:rPr>
              <w:t>Milieu urbain</w:t>
            </w:r>
          </w:p>
        </w:tc>
        <w:tc>
          <w:tcPr>
            <w:tcW w:w="1583" w:type="dxa"/>
          </w:tcPr>
          <w:p w:rsidR="00000000" w:rsidRDefault="00000000">
            <w:pPr>
              <w:widowControl w:val="0"/>
              <w:spacing w:before="20" w:after="20"/>
              <w:jc w:val="center"/>
              <w:rPr>
                <w:sz w:val="22"/>
              </w:rPr>
            </w:pPr>
            <w:r>
              <w:rPr>
                <w:sz w:val="22"/>
              </w:rPr>
              <w:t>Milieu rural</w:t>
            </w:r>
          </w:p>
        </w:tc>
      </w:tr>
      <w:tr w:rsidR="00000000">
        <w:tblPrEx>
          <w:tblCellMar>
            <w:top w:w="0" w:type="dxa"/>
            <w:bottom w:w="0" w:type="dxa"/>
          </w:tblCellMar>
        </w:tblPrEx>
        <w:tc>
          <w:tcPr>
            <w:tcW w:w="1582" w:type="dxa"/>
          </w:tcPr>
          <w:p w:rsidR="00000000" w:rsidRDefault="00000000">
            <w:pPr>
              <w:widowControl w:val="0"/>
              <w:spacing w:before="20" w:after="20"/>
              <w:rPr>
                <w:sz w:val="22"/>
              </w:rPr>
            </w:pPr>
            <w:r>
              <w:rPr>
                <w:sz w:val="22"/>
              </w:rPr>
              <w:t>1998</w:t>
            </w:r>
          </w:p>
        </w:tc>
        <w:tc>
          <w:tcPr>
            <w:tcW w:w="1582" w:type="dxa"/>
          </w:tcPr>
          <w:p w:rsidR="00000000" w:rsidRDefault="00000000">
            <w:pPr>
              <w:widowControl w:val="0"/>
              <w:spacing w:before="20" w:after="20"/>
              <w:jc w:val="right"/>
              <w:rPr>
                <w:sz w:val="22"/>
              </w:rPr>
            </w:pPr>
            <w:r>
              <w:rPr>
                <w:sz w:val="22"/>
              </w:rPr>
              <w:t>710</w:t>
            </w:r>
          </w:p>
        </w:tc>
        <w:tc>
          <w:tcPr>
            <w:tcW w:w="1582" w:type="dxa"/>
          </w:tcPr>
          <w:p w:rsidR="00000000" w:rsidRDefault="00000000">
            <w:pPr>
              <w:widowControl w:val="0"/>
              <w:spacing w:before="20" w:after="20"/>
              <w:jc w:val="right"/>
              <w:rPr>
                <w:sz w:val="22"/>
              </w:rPr>
            </w:pPr>
            <w:r>
              <w:rPr>
                <w:sz w:val="22"/>
              </w:rPr>
              <w:t>437</w:t>
            </w:r>
          </w:p>
        </w:tc>
        <w:tc>
          <w:tcPr>
            <w:tcW w:w="1583" w:type="dxa"/>
          </w:tcPr>
          <w:p w:rsidR="00000000" w:rsidRDefault="00000000">
            <w:pPr>
              <w:widowControl w:val="0"/>
              <w:spacing w:before="20" w:after="20"/>
              <w:jc w:val="right"/>
              <w:rPr>
                <w:sz w:val="22"/>
              </w:rPr>
            </w:pPr>
            <w:r>
              <w:rPr>
                <w:sz w:val="22"/>
              </w:rPr>
              <w:t>273</w:t>
            </w:r>
          </w:p>
        </w:tc>
        <w:tc>
          <w:tcPr>
            <w:tcW w:w="1583" w:type="dxa"/>
          </w:tcPr>
          <w:p w:rsidR="00000000" w:rsidRDefault="00000000">
            <w:pPr>
              <w:widowControl w:val="0"/>
              <w:spacing w:before="20" w:after="20"/>
              <w:jc w:val="right"/>
              <w:rPr>
                <w:sz w:val="22"/>
              </w:rPr>
            </w:pPr>
            <w:r>
              <w:rPr>
                <w:sz w:val="22"/>
              </w:rPr>
              <w:t>629</w:t>
            </w:r>
          </w:p>
        </w:tc>
        <w:tc>
          <w:tcPr>
            <w:tcW w:w="1583" w:type="dxa"/>
          </w:tcPr>
          <w:p w:rsidR="00000000" w:rsidRDefault="00000000">
            <w:pPr>
              <w:widowControl w:val="0"/>
              <w:spacing w:before="20" w:after="20"/>
              <w:jc w:val="right"/>
              <w:rPr>
                <w:sz w:val="22"/>
              </w:rPr>
            </w:pPr>
            <w:r>
              <w:rPr>
                <w:sz w:val="22"/>
              </w:rPr>
              <w:t>81</w:t>
            </w:r>
          </w:p>
        </w:tc>
      </w:tr>
      <w:tr w:rsidR="00000000">
        <w:tblPrEx>
          <w:tblCellMar>
            <w:top w:w="0" w:type="dxa"/>
            <w:bottom w:w="0" w:type="dxa"/>
          </w:tblCellMar>
        </w:tblPrEx>
        <w:tc>
          <w:tcPr>
            <w:tcW w:w="1582" w:type="dxa"/>
          </w:tcPr>
          <w:p w:rsidR="00000000" w:rsidRDefault="00000000">
            <w:pPr>
              <w:widowControl w:val="0"/>
              <w:spacing w:before="20" w:after="20"/>
              <w:rPr>
                <w:sz w:val="22"/>
              </w:rPr>
            </w:pPr>
            <w:r>
              <w:rPr>
                <w:sz w:val="22"/>
              </w:rPr>
              <w:t>1999</w:t>
            </w:r>
          </w:p>
        </w:tc>
        <w:tc>
          <w:tcPr>
            <w:tcW w:w="1582" w:type="dxa"/>
          </w:tcPr>
          <w:p w:rsidR="00000000" w:rsidRDefault="00000000">
            <w:pPr>
              <w:widowControl w:val="0"/>
              <w:spacing w:before="20" w:after="20"/>
              <w:jc w:val="right"/>
              <w:rPr>
                <w:sz w:val="22"/>
              </w:rPr>
            </w:pPr>
            <w:r>
              <w:rPr>
                <w:sz w:val="22"/>
              </w:rPr>
              <w:t>713</w:t>
            </w:r>
          </w:p>
        </w:tc>
        <w:tc>
          <w:tcPr>
            <w:tcW w:w="1582" w:type="dxa"/>
          </w:tcPr>
          <w:p w:rsidR="00000000" w:rsidRDefault="00000000">
            <w:pPr>
              <w:widowControl w:val="0"/>
              <w:spacing w:before="20" w:after="20"/>
              <w:jc w:val="right"/>
              <w:rPr>
                <w:sz w:val="22"/>
              </w:rPr>
            </w:pPr>
            <w:r>
              <w:rPr>
                <w:sz w:val="22"/>
              </w:rPr>
              <w:t>430</w:t>
            </w:r>
          </w:p>
        </w:tc>
        <w:tc>
          <w:tcPr>
            <w:tcW w:w="1583" w:type="dxa"/>
          </w:tcPr>
          <w:p w:rsidR="00000000" w:rsidRDefault="00000000">
            <w:pPr>
              <w:widowControl w:val="0"/>
              <w:spacing w:before="20" w:after="20"/>
              <w:jc w:val="right"/>
              <w:rPr>
                <w:sz w:val="22"/>
              </w:rPr>
            </w:pPr>
            <w:r>
              <w:rPr>
                <w:sz w:val="22"/>
              </w:rPr>
              <w:t>283</w:t>
            </w:r>
          </w:p>
        </w:tc>
        <w:tc>
          <w:tcPr>
            <w:tcW w:w="1583" w:type="dxa"/>
          </w:tcPr>
          <w:p w:rsidR="00000000" w:rsidRDefault="00000000">
            <w:pPr>
              <w:widowControl w:val="0"/>
              <w:spacing w:before="20" w:after="20"/>
              <w:jc w:val="right"/>
              <w:rPr>
                <w:sz w:val="22"/>
              </w:rPr>
            </w:pPr>
            <w:r>
              <w:rPr>
                <w:sz w:val="22"/>
              </w:rPr>
              <w:t>641</w:t>
            </w:r>
          </w:p>
        </w:tc>
        <w:tc>
          <w:tcPr>
            <w:tcW w:w="1583" w:type="dxa"/>
          </w:tcPr>
          <w:p w:rsidR="00000000" w:rsidRDefault="00000000">
            <w:pPr>
              <w:widowControl w:val="0"/>
              <w:spacing w:before="20" w:after="20"/>
              <w:jc w:val="right"/>
              <w:rPr>
                <w:sz w:val="22"/>
              </w:rPr>
            </w:pPr>
            <w:r>
              <w:rPr>
                <w:sz w:val="22"/>
              </w:rPr>
              <w:t>72</w:t>
            </w:r>
          </w:p>
        </w:tc>
      </w:tr>
    </w:tbl>
    <w:p w:rsidR="00000000" w:rsidRDefault="00000000">
      <w:pPr>
        <w:keepNext/>
        <w:widowControl w:val="0"/>
        <w:spacing w:before="240" w:after="200"/>
        <w:jc w:val="center"/>
      </w:pPr>
      <w:r>
        <w:rPr>
          <w:u w:val="single"/>
        </w:rPr>
        <w:t>Mortalité des enfants de moins de 5 ans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2"/>
        <w:gridCol w:w="1582"/>
        <w:gridCol w:w="1582"/>
        <w:gridCol w:w="1583"/>
        <w:gridCol w:w="1583"/>
        <w:gridCol w:w="1583"/>
      </w:tblGrid>
      <w:tr w:rsidR="00000000">
        <w:tblPrEx>
          <w:tblCellMar>
            <w:top w:w="0" w:type="dxa"/>
            <w:bottom w:w="0" w:type="dxa"/>
          </w:tblCellMar>
        </w:tblPrEx>
        <w:tc>
          <w:tcPr>
            <w:tcW w:w="1582" w:type="dxa"/>
          </w:tcPr>
          <w:p w:rsidR="00000000" w:rsidRDefault="00000000">
            <w:pPr>
              <w:widowControl w:val="0"/>
              <w:spacing w:before="20" w:after="20"/>
              <w:jc w:val="center"/>
              <w:rPr>
                <w:sz w:val="22"/>
              </w:rPr>
            </w:pPr>
            <w:r>
              <w:rPr>
                <w:sz w:val="22"/>
              </w:rPr>
              <w:t>Année</w:t>
            </w:r>
          </w:p>
        </w:tc>
        <w:tc>
          <w:tcPr>
            <w:tcW w:w="1582" w:type="dxa"/>
          </w:tcPr>
          <w:p w:rsidR="00000000" w:rsidRDefault="00000000">
            <w:pPr>
              <w:widowControl w:val="0"/>
              <w:spacing w:before="20" w:after="20"/>
              <w:jc w:val="center"/>
              <w:rPr>
                <w:sz w:val="22"/>
              </w:rPr>
            </w:pPr>
            <w:r>
              <w:rPr>
                <w:sz w:val="22"/>
              </w:rPr>
              <w:t>Nombre total</w:t>
            </w:r>
          </w:p>
        </w:tc>
        <w:tc>
          <w:tcPr>
            <w:tcW w:w="1582" w:type="dxa"/>
          </w:tcPr>
          <w:p w:rsidR="00000000" w:rsidRDefault="00000000">
            <w:pPr>
              <w:widowControl w:val="0"/>
              <w:spacing w:before="20" w:after="20"/>
              <w:jc w:val="center"/>
              <w:rPr>
                <w:sz w:val="22"/>
              </w:rPr>
            </w:pPr>
            <w:r>
              <w:rPr>
                <w:sz w:val="22"/>
              </w:rPr>
              <w:t>Garçons</w:t>
            </w:r>
          </w:p>
        </w:tc>
        <w:tc>
          <w:tcPr>
            <w:tcW w:w="1583" w:type="dxa"/>
          </w:tcPr>
          <w:p w:rsidR="00000000" w:rsidRDefault="00000000">
            <w:pPr>
              <w:widowControl w:val="0"/>
              <w:spacing w:before="20" w:after="20"/>
              <w:jc w:val="center"/>
              <w:rPr>
                <w:sz w:val="22"/>
              </w:rPr>
            </w:pPr>
            <w:r>
              <w:rPr>
                <w:sz w:val="22"/>
              </w:rPr>
              <w:t>Filles</w:t>
            </w:r>
          </w:p>
        </w:tc>
        <w:tc>
          <w:tcPr>
            <w:tcW w:w="1583" w:type="dxa"/>
          </w:tcPr>
          <w:p w:rsidR="00000000" w:rsidRDefault="00000000">
            <w:pPr>
              <w:widowControl w:val="0"/>
              <w:spacing w:before="20" w:after="20"/>
              <w:jc w:val="center"/>
              <w:rPr>
                <w:sz w:val="22"/>
              </w:rPr>
            </w:pPr>
            <w:r>
              <w:rPr>
                <w:sz w:val="22"/>
              </w:rPr>
              <w:t>Milieu urbain</w:t>
            </w:r>
          </w:p>
        </w:tc>
        <w:tc>
          <w:tcPr>
            <w:tcW w:w="1583" w:type="dxa"/>
          </w:tcPr>
          <w:p w:rsidR="00000000" w:rsidRDefault="00000000">
            <w:pPr>
              <w:widowControl w:val="0"/>
              <w:spacing w:before="20" w:after="20"/>
              <w:jc w:val="center"/>
              <w:rPr>
                <w:sz w:val="22"/>
              </w:rPr>
            </w:pPr>
            <w:r>
              <w:rPr>
                <w:sz w:val="22"/>
              </w:rPr>
              <w:t>Milieu rural</w:t>
            </w:r>
          </w:p>
        </w:tc>
      </w:tr>
      <w:tr w:rsidR="00000000">
        <w:tblPrEx>
          <w:tblCellMar>
            <w:top w:w="0" w:type="dxa"/>
            <w:bottom w:w="0" w:type="dxa"/>
          </w:tblCellMar>
        </w:tblPrEx>
        <w:tc>
          <w:tcPr>
            <w:tcW w:w="1582" w:type="dxa"/>
          </w:tcPr>
          <w:p w:rsidR="00000000" w:rsidRDefault="00000000">
            <w:pPr>
              <w:widowControl w:val="0"/>
              <w:spacing w:before="20" w:after="20"/>
              <w:rPr>
                <w:sz w:val="22"/>
              </w:rPr>
            </w:pPr>
            <w:r>
              <w:rPr>
                <w:sz w:val="22"/>
              </w:rPr>
              <w:t>1998</w:t>
            </w:r>
          </w:p>
        </w:tc>
        <w:tc>
          <w:tcPr>
            <w:tcW w:w="1582" w:type="dxa"/>
          </w:tcPr>
          <w:p w:rsidR="00000000" w:rsidRDefault="00000000">
            <w:pPr>
              <w:widowControl w:val="0"/>
              <w:spacing w:before="20" w:after="20"/>
              <w:jc w:val="right"/>
              <w:rPr>
                <w:sz w:val="22"/>
              </w:rPr>
            </w:pPr>
            <w:r>
              <w:rPr>
                <w:sz w:val="22"/>
              </w:rPr>
              <w:t>820</w:t>
            </w:r>
          </w:p>
        </w:tc>
        <w:tc>
          <w:tcPr>
            <w:tcW w:w="1582" w:type="dxa"/>
          </w:tcPr>
          <w:p w:rsidR="00000000" w:rsidRDefault="00000000">
            <w:pPr>
              <w:widowControl w:val="0"/>
              <w:spacing w:before="20" w:after="20"/>
              <w:jc w:val="right"/>
              <w:rPr>
                <w:sz w:val="22"/>
              </w:rPr>
            </w:pPr>
            <w:r>
              <w:rPr>
                <w:sz w:val="22"/>
              </w:rPr>
              <w:t>503</w:t>
            </w:r>
          </w:p>
        </w:tc>
        <w:tc>
          <w:tcPr>
            <w:tcW w:w="1583" w:type="dxa"/>
          </w:tcPr>
          <w:p w:rsidR="00000000" w:rsidRDefault="00000000">
            <w:pPr>
              <w:widowControl w:val="0"/>
              <w:spacing w:before="20" w:after="20"/>
              <w:jc w:val="right"/>
              <w:rPr>
                <w:sz w:val="22"/>
              </w:rPr>
            </w:pPr>
            <w:r>
              <w:rPr>
                <w:sz w:val="22"/>
              </w:rPr>
              <w:t>317</w:t>
            </w:r>
          </w:p>
        </w:tc>
        <w:tc>
          <w:tcPr>
            <w:tcW w:w="1583" w:type="dxa"/>
          </w:tcPr>
          <w:p w:rsidR="00000000" w:rsidRDefault="00000000">
            <w:pPr>
              <w:widowControl w:val="0"/>
              <w:spacing w:before="20" w:after="20"/>
              <w:jc w:val="right"/>
              <w:rPr>
                <w:sz w:val="22"/>
              </w:rPr>
            </w:pPr>
            <w:r>
              <w:rPr>
                <w:sz w:val="22"/>
              </w:rPr>
              <w:t>684</w:t>
            </w:r>
          </w:p>
        </w:tc>
        <w:tc>
          <w:tcPr>
            <w:tcW w:w="1583" w:type="dxa"/>
          </w:tcPr>
          <w:p w:rsidR="00000000" w:rsidRDefault="00000000">
            <w:pPr>
              <w:widowControl w:val="0"/>
              <w:spacing w:before="20" w:after="20"/>
              <w:jc w:val="right"/>
              <w:rPr>
                <w:sz w:val="22"/>
              </w:rPr>
            </w:pPr>
            <w:r>
              <w:rPr>
                <w:sz w:val="22"/>
              </w:rPr>
              <w:t>136</w:t>
            </w:r>
          </w:p>
        </w:tc>
      </w:tr>
      <w:tr w:rsidR="00000000">
        <w:tblPrEx>
          <w:tblCellMar>
            <w:top w:w="0" w:type="dxa"/>
            <w:bottom w:w="0" w:type="dxa"/>
          </w:tblCellMar>
        </w:tblPrEx>
        <w:tc>
          <w:tcPr>
            <w:tcW w:w="1582" w:type="dxa"/>
          </w:tcPr>
          <w:p w:rsidR="00000000" w:rsidRDefault="00000000">
            <w:pPr>
              <w:widowControl w:val="0"/>
              <w:spacing w:before="20" w:after="20"/>
              <w:rPr>
                <w:sz w:val="22"/>
              </w:rPr>
            </w:pPr>
            <w:r>
              <w:rPr>
                <w:sz w:val="22"/>
              </w:rPr>
              <w:t>1999</w:t>
            </w:r>
          </w:p>
        </w:tc>
        <w:tc>
          <w:tcPr>
            <w:tcW w:w="1582" w:type="dxa"/>
          </w:tcPr>
          <w:p w:rsidR="00000000" w:rsidRDefault="00000000">
            <w:pPr>
              <w:widowControl w:val="0"/>
              <w:spacing w:before="20" w:after="20"/>
              <w:jc w:val="right"/>
              <w:rPr>
                <w:sz w:val="22"/>
              </w:rPr>
            </w:pPr>
            <w:r>
              <w:rPr>
                <w:sz w:val="22"/>
              </w:rPr>
              <w:t>796</w:t>
            </w:r>
          </w:p>
        </w:tc>
        <w:tc>
          <w:tcPr>
            <w:tcW w:w="1582" w:type="dxa"/>
          </w:tcPr>
          <w:p w:rsidR="00000000" w:rsidRDefault="00000000">
            <w:pPr>
              <w:widowControl w:val="0"/>
              <w:spacing w:before="20" w:after="20"/>
              <w:jc w:val="right"/>
              <w:rPr>
                <w:sz w:val="22"/>
              </w:rPr>
            </w:pPr>
            <w:r>
              <w:rPr>
                <w:sz w:val="22"/>
              </w:rPr>
              <w:t>481</w:t>
            </w:r>
          </w:p>
        </w:tc>
        <w:tc>
          <w:tcPr>
            <w:tcW w:w="1583" w:type="dxa"/>
          </w:tcPr>
          <w:p w:rsidR="00000000" w:rsidRDefault="00000000">
            <w:pPr>
              <w:widowControl w:val="0"/>
              <w:spacing w:before="20" w:after="20"/>
              <w:jc w:val="right"/>
              <w:rPr>
                <w:sz w:val="22"/>
              </w:rPr>
            </w:pPr>
            <w:r>
              <w:rPr>
                <w:sz w:val="22"/>
              </w:rPr>
              <w:t>315</w:t>
            </w:r>
          </w:p>
        </w:tc>
        <w:tc>
          <w:tcPr>
            <w:tcW w:w="1583" w:type="dxa"/>
          </w:tcPr>
          <w:p w:rsidR="00000000" w:rsidRDefault="00000000">
            <w:pPr>
              <w:widowControl w:val="0"/>
              <w:spacing w:before="20" w:after="20"/>
              <w:jc w:val="right"/>
              <w:rPr>
                <w:sz w:val="22"/>
              </w:rPr>
            </w:pPr>
            <w:r>
              <w:rPr>
                <w:sz w:val="22"/>
              </w:rPr>
              <w:t>683</w:t>
            </w:r>
          </w:p>
        </w:tc>
        <w:tc>
          <w:tcPr>
            <w:tcW w:w="1583" w:type="dxa"/>
          </w:tcPr>
          <w:p w:rsidR="00000000" w:rsidRDefault="00000000">
            <w:pPr>
              <w:widowControl w:val="0"/>
              <w:spacing w:before="20" w:after="20"/>
              <w:jc w:val="right"/>
              <w:rPr>
                <w:sz w:val="22"/>
              </w:rPr>
            </w:pPr>
            <w:r>
              <w:rPr>
                <w:sz w:val="22"/>
              </w:rPr>
              <w:t>113</w:t>
            </w:r>
          </w:p>
        </w:tc>
      </w:tr>
    </w:tbl>
    <w:p w:rsidR="00000000" w:rsidRDefault="00000000">
      <w:pPr>
        <w:keepNext/>
        <w:widowControl w:val="0"/>
        <w:spacing w:before="240" w:after="200"/>
        <w:jc w:val="center"/>
      </w:pPr>
      <w:r>
        <w:rPr>
          <w:u w:val="single"/>
        </w:rPr>
        <w:t>Répartition par région des décès d’enfants de moins d’un an (en milliers)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71"/>
        <w:gridCol w:w="1873"/>
        <w:gridCol w:w="1950"/>
        <w:gridCol w:w="1702"/>
      </w:tblGrid>
      <w:tr w:rsidR="00000000">
        <w:tblPrEx>
          <w:tblCellMar>
            <w:top w:w="0" w:type="dxa"/>
            <w:bottom w:w="0" w:type="dxa"/>
          </w:tblCellMar>
        </w:tblPrEx>
        <w:tc>
          <w:tcPr>
            <w:tcW w:w="2091" w:type="pct"/>
          </w:tcPr>
          <w:p w:rsidR="00000000" w:rsidRDefault="00000000">
            <w:pPr>
              <w:widowControl w:val="0"/>
              <w:spacing w:before="40" w:after="40"/>
              <w:jc w:val="center"/>
              <w:rPr>
                <w:sz w:val="22"/>
              </w:rPr>
            </w:pPr>
            <w:r>
              <w:rPr>
                <w:sz w:val="22"/>
              </w:rPr>
              <w:t>Région</w:t>
            </w:r>
          </w:p>
        </w:tc>
        <w:tc>
          <w:tcPr>
            <w:tcW w:w="986" w:type="pct"/>
          </w:tcPr>
          <w:p w:rsidR="00000000" w:rsidRDefault="00000000">
            <w:pPr>
              <w:keepNext/>
              <w:widowControl w:val="0"/>
              <w:spacing w:before="40" w:after="40"/>
              <w:jc w:val="center"/>
              <w:rPr>
                <w:sz w:val="22"/>
              </w:rPr>
            </w:pPr>
            <w:r>
              <w:rPr>
                <w:sz w:val="22"/>
              </w:rPr>
              <w:t>1997</w:t>
            </w:r>
          </w:p>
        </w:tc>
        <w:tc>
          <w:tcPr>
            <w:tcW w:w="1027" w:type="pct"/>
          </w:tcPr>
          <w:p w:rsidR="00000000" w:rsidRDefault="00000000">
            <w:pPr>
              <w:keepNext/>
              <w:widowControl w:val="0"/>
              <w:spacing w:before="40" w:after="40"/>
              <w:jc w:val="center"/>
              <w:rPr>
                <w:sz w:val="22"/>
              </w:rPr>
            </w:pPr>
            <w:r>
              <w:rPr>
                <w:sz w:val="22"/>
              </w:rPr>
              <w:t>1998</w:t>
            </w:r>
          </w:p>
        </w:tc>
        <w:tc>
          <w:tcPr>
            <w:tcW w:w="896" w:type="pct"/>
          </w:tcPr>
          <w:p w:rsidR="00000000" w:rsidRDefault="00000000">
            <w:pPr>
              <w:keepNext/>
              <w:widowControl w:val="0"/>
              <w:spacing w:before="40" w:after="40"/>
              <w:jc w:val="center"/>
              <w:rPr>
                <w:sz w:val="22"/>
              </w:rPr>
            </w:pPr>
            <w:r>
              <w:rPr>
                <w:sz w:val="22"/>
              </w:rPr>
              <w:t>1999</w:t>
            </w:r>
          </w:p>
        </w:tc>
      </w:tr>
      <w:tr w:rsidR="00000000">
        <w:tblPrEx>
          <w:tblCellMar>
            <w:top w:w="0" w:type="dxa"/>
            <w:bottom w:w="0" w:type="dxa"/>
          </w:tblCellMar>
        </w:tblPrEx>
        <w:tc>
          <w:tcPr>
            <w:tcW w:w="2091" w:type="pct"/>
          </w:tcPr>
          <w:p w:rsidR="00000000" w:rsidRDefault="00000000">
            <w:pPr>
              <w:widowControl w:val="0"/>
              <w:spacing w:before="40" w:after="40"/>
              <w:rPr>
                <w:sz w:val="22"/>
              </w:rPr>
            </w:pPr>
            <w:r>
              <w:rPr>
                <w:sz w:val="22"/>
              </w:rPr>
              <w:t>Tbilissi</w:t>
            </w:r>
          </w:p>
        </w:tc>
        <w:tc>
          <w:tcPr>
            <w:tcW w:w="986" w:type="pct"/>
          </w:tcPr>
          <w:p w:rsidR="00000000" w:rsidRDefault="00000000">
            <w:pPr>
              <w:widowControl w:val="0"/>
              <w:spacing w:before="40" w:after="40"/>
              <w:jc w:val="right"/>
              <w:rPr>
                <w:sz w:val="22"/>
              </w:rPr>
            </w:pPr>
            <w:r>
              <w:rPr>
                <w:sz w:val="22"/>
              </w:rPr>
              <w:t>26,0</w:t>
            </w:r>
          </w:p>
        </w:tc>
        <w:tc>
          <w:tcPr>
            <w:tcW w:w="1027" w:type="pct"/>
          </w:tcPr>
          <w:p w:rsidR="00000000" w:rsidRDefault="00000000">
            <w:pPr>
              <w:widowControl w:val="0"/>
              <w:spacing w:before="40" w:after="40"/>
              <w:jc w:val="right"/>
              <w:rPr>
                <w:sz w:val="22"/>
              </w:rPr>
            </w:pPr>
            <w:r>
              <w:rPr>
                <w:sz w:val="22"/>
              </w:rPr>
              <w:t>29,4</w:t>
            </w:r>
          </w:p>
        </w:tc>
        <w:tc>
          <w:tcPr>
            <w:tcW w:w="896" w:type="pct"/>
          </w:tcPr>
          <w:p w:rsidR="00000000" w:rsidRDefault="00000000">
            <w:pPr>
              <w:widowControl w:val="0"/>
              <w:spacing w:before="40" w:after="40"/>
              <w:jc w:val="right"/>
              <w:rPr>
                <w:sz w:val="22"/>
              </w:rPr>
            </w:pPr>
            <w:r>
              <w:rPr>
                <w:sz w:val="22"/>
              </w:rPr>
              <w:t>42,9</w:t>
            </w:r>
          </w:p>
        </w:tc>
      </w:tr>
      <w:tr w:rsidR="00000000">
        <w:tblPrEx>
          <w:tblCellMar>
            <w:top w:w="0" w:type="dxa"/>
            <w:bottom w:w="0" w:type="dxa"/>
          </w:tblCellMar>
        </w:tblPrEx>
        <w:tc>
          <w:tcPr>
            <w:tcW w:w="2091" w:type="pct"/>
          </w:tcPr>
          <w:p w:rsidR="00000000" w:rsidRDefault="00000000">
            <w:pPr>
              <w:widowControl w:val="0"/>
              <w:spacing w:before="40" w:after="40"/>
              <w:rPr>
                <w:sz w:val="22"/>
              </w:rPr>
            </w:pPr>
            <w:r>
              <w:rPr>
                <w:sz w:val="22"/>
              </w:rPr>
              <w:t>Adjarie</w:t>
            </w:r>
          </w:p>
        </w:tc>
        <w:tc>
          <w:tcPr>
            <w:tcW w:w="986" w:type="pct"/>
          </w:tcPr>
          <w:p w:rsidR="00000000" w:rsidRDefault="00000000">
            <w:pPr>
              <w:widowControl w:val="0"/>
              <w:spacing w:before="40" w:after="40"/>
              <w:jc w:val="right"/>
              <w:rPr>
                <w:sz w:val="22"/>
              </w:rPr>
            </w:pPr>
            <w:r>
              <w:rPr>
                <w:sz w:val="22"/>
              </w:rPr>
              <w:t>23,4</w:t>
            </w:r>
          </w:p>
        </w:tc>
        <w:tc>
          <w:tcPr>
            <w:tcW w:w="1027" w:type="pct"/>
          </w:tcPr>
          <w:p w:rsidR="00000000" w:rsidRDefault="00000000">
            <w:pPr>
              <w:widowControl w:val="0"/>
              <w:spacing w:before="40" w:after="40"/>
              <w:jc w:val="right"/>
              <w:rPr>
                <w:sz w:val="22"/>
              </w:rPr>
            </w:pPr>
            <w:r>
              <w:rPr>
                <w:sz w:val="22"/>
              </w:rPr>
              <w:t>24,0</w:t>
            </w:r>
          </w:p>
        </w:tc>
        <w:tc>
          <w:tcPr>
            <w:tcW w:w="896" w:type="pct"/>
          </w:tcPr>
          <w:p w:rsidR="00000000" w:rsidRDefault="00000000">
            <w:pPr>
              <w:widowControl w:val="0"/>
              <w:spacing w:before="40" w:after="40"/>
              <w:jc w:val="right"/>
              <w:rPr>
                <w:sz w:val="22"/>
              </w:rPr>
            </w:pPr>
            <w:r>
              <w:rPr>
                <w:sz w:val="22"/>
              </w:rPr>
              <w:t>23,4</w:t>
            </w:r>
          </w:p>
        </w:tc>
      </w:tr>
      <w:tr w:rsidR="00000000">
        <w:tblPrEx>
          <w:tblCellMar>
            <w:top w:w="0" w:type="dxa"/>
            <w:bottom w:w="0" w:type="dxa"/>
          </w:tblCellMar>
        </w:tblPrEx>
        <w:tc>
          <w:tcPr>
            <w:tcW w:w="2091" w:type="pct"/>
          </w:tcPr>
          <w:p w:rsidR="00000000" w:rsidRDefault="00000000">
            <w:pPr>
              <w:widowControl w:val="0"/>
              <w:spacing w:before="40" w:after="40"/>
              <w:rPr>
                <w:sz w:val="22"/>
              </w:rPr>
            </w:pPr>
            <w:r>
              <w:rPr>
                <w:sz w:val="22"/>
              </w:rPr>
              <w:t>Gourie</w:t>
            </w:r>
          </w:p>
        </w:tc>
        <w:tc>
          <w:tcPr>
            <w:tcW w:w="986" w:type="pct"/>
          </w:tcPr>
          <w:p w:rsidR="00000000" w:rsidRDefault="00000000">
            <w:pPr>
              <w:widowControl w:val="0"/>
              <w:spacing w:before="40" w:after="40"/>
              <w:jc w:val="right"/>
              <w:rPr>
                <w:sz w:val="22"/>
              </w:rPr>
            </w:pPr>
            <w:r>
              <w:rPr>
                <w:sz w:val="22"/>
              </w:rPr>
              <w:t>6,6</w:t>
            </w:r>
          </w:p>
        </w:tc>
        <w:tc>
          <w:tcPr>
            <w:tcW w:w="1027" w:type="pct"/>
          </w:tcPr>
          <w:p w:rsidR="00000000" w:rsidRDefault="00000000">
            <w:pPr>
              <w:widowControl w:val="0"/>
              <w:spacing w:before="40" w:after="40"/>
              <w:jc w:val="right"/>
              <w:rPr>
                <w:sz w:val="22"/>
              </w:rPr>
            </w:pPr>
            <w:r>
              <w:rPr>
                <w:sz w:val="22"/>
              </w:rPr>
              <w:t>8,0</w:t>
            </w:r>
          </w:p>
        </w:tc>
        <w:tc>
          <w:tcPr>
            <w:tcW w:w="896" w:type="pct"/>
          </w:tcPr>
          <w:p w:rsidR="00000000" w:rsidRDefault="00000000">
            <w:pPr>
              <w:widowControl w:val="0"/>
              <w:spacing w:before="40" w:after="40"/>
              <w:jc w:val="right"/>
              <w:rPr>
                <w:sz w:val="22"/>
              </w:rPr>
            </w:pPr>
            <w:r>
              <w:rPr>
                <w:sz w:val="22"/>
              </w:rPr>
              <w:t>12,2</w:t>
            </w:r>
          </w:p>
        </w:tc>
      </w:tr>
      <w:tr w:rsidR="00000000">
        <w:tblPrEx>
          <w:tblCellMar>
            <w:top w:w="0" w:type="dxa"/>
            <w:bottom w:w="0" w:type="dxa"/>
          </w:tblCellMar>
        </w:tblPrEx>
        <w:tc>
          <w:tcPr>
            <w:tcW w:w="2091" w:type="pct"/>
          </w:tcPr>
          <w:p w:rsidR="00000000" w:rsidRDefault="00000000">
            <w:pPr>
              <w:widowControl w:val="0"/>
              <w:spacing w:before="40" w:after="40"/>
              <w:rPr>
                <w:sz w:val="22"/>
              </w:rPr>
            </w:pPr>
            <w:r>
              <w:rPr>
                <w:sz w:val="22"/>
              </w:rPr>
              <w:t>Ratcha</w:t>
            </w:r>
            <w:r>
              <w:rPr>
                <w:sz w:val="22"/>
              </w:rPr>
              <w:noBreakHyphen/>
              <w:t>Letchkhoumi et Kvemo Svaneti</w:t>
            </w:r>
          </w:p>
        </w:tc>
        <w:tc>
          <w:tcPr>
            <w:tcW w:w="986" w:type="pct"/>
          </w:tcPr>
          <w:p w:rsidR="00000000" w:rsidRDefault="00000000">
            <w:pPr>
              <w:widowControl w:val="0"/>
              <w:spacing w:before="40" w:after="40"/>
              <w:jc w:val="right"/>
              <w:rPr>
                <w:sz w:val="22"/>
              </w:rPr>
            </w:pPr>
            <w:r>
              <w:rPr>
                <w:sz w:val="22"/>
              </w:rPr>
              <w:t>14,1</w:t>
            </w:r>
          </w:p>
        </w:tc>
        <w:tc>
          <w:tcPr>
            <w:tcW w:w="1027" w:type="pct"/>
          </w:tcPr>
          <w:p w:rsidR="00000000" w:rsidRDefault="00000000">
            <w:pPr>
              <w:widowControl w:val="0"/>
              <w:spacing w:before="40" w:after="40"/>
              <w:jc w:val="right"/>
              <w:rPr>
                <w:sz w:val="22"/>
              </w:rPr>
            </w:pPr>
            <w:r>
              <w:rPr>
                <w:sz w:val="22"/>
              </w:rPr>
              <w:t>8,2</w:t>
            </w:r>
          </w:p>
        </w:tc>
        <w:tc>
          <w:tcPr>
            <w:tcW w:w="896" w:type="pct"/>
          </w:tcPr>
          <w:p w:rsidR="00000000" w:rsidRDefault="00000000">
            <w:pPr>
              <w:widowControl w:val="0"/>
              <w:spacing w:before="40" w:after="40"/>
              <w:jc w:val="right"/>
              <w:rPr>
                <w:sz w:val="22"/>
              </w:rPr>
            </w:pPr>
            <w:r>
              <w:rPr>
                <w:sz w:val="22"/>
              </w:rPr>
              <w:t>7,2</w:t>
            </w:r>
          </w:p>
        </w:tc>
      </w:tr>
      <w:tr w:rsidR="00000000">
        <w:tblPrEx>
          <w:tblCellMar>
            <w:top w:w="0" w:type="dxa"/>
            <w:bottom w:w="0" w:type="dxa"/>
          </w:tblCellMar>
        </w:tblPrEx>
        <w:tc>
          <w:tcPr>
            <w:tcW w:w="2091" w:type="pct"/>
          </w:tcPr>
          <w:p w:rsidR="00000000" w:rsidRDefault="00000000">
            <w:pPr>
              <w:widowControl w:val="0"/>
              <w:spacing w:before="40" w:after="40"/>
              <w:rPr>
                <w:sz w:val="22"/>
              </w:rPr>
            </w:pPr>
            <w:r>
              <w:rPr>
                <w:sz w:val="22"/>
              </w:rPr>
              <w:t>Samegrelo et Zemo Svaneti</w:t>
            </w:r>
          </w:p>
        </w:tc>
        <w:tc>
          <w:tcPr>
            <w:tcW w:w="986" w:type="pct"/>
          </w:tcPr>
          <w:p w:rsidR="00000000" w:rsidRDefault="00000000">
            <w:pPr>
              <w:widowControl w:val="0"/>
              <w:spacing w:before="40" w:after="40"/>
              <w:jc w:val="right"/>
              <w:rPr>
                <w:sz w:val="22"/>
              </w:rPr>
            </w:pPr>
            <w:r>
              <w:rPr>
                <w:sz w:val="22"/>
              </w:rPr>
              <w:t>10,6</w:t>
            </w:r>
          </w:p>
        </w:tc>
        <w:tc>
          <w:tcPr>
            <w:tcW w:w="1027" w:type="pct"/>
          </w:tcPr>
          <w:p w:rsidR="00000000" w:rsidRDefault="00000000">
            <w:pPr>
              <w:widowControl w:val="0"/>
              <w:spacing w:before="40" w:after="40"/>
              <w:jc w:val="right"/>
              <w:rPr>
                <w:sz w:val="22"/>
              </w:rPr>
            </w:pPr>
            <w:r>
              <w:rPr>
                <w:sz w:val="22"/>
              </w:rPr>
              <w:t>10,1</w:t>
            </w:r>
          </w:p>
        </w:tc>
        <w:tc>
          <w:tcPr>
            <w:tcW w:w="896" w:type="pct"/>
          </w:tcPr>
          <w:p w:rsidR="00000000" w:rsidRDefault="00000000">
            <w:pPr>
              <w:widowControl w:val="0"/>
              <w:spacing w:before="40" w:after="40"/>
              <w:jc w:val="right"/>
              <w:rPr>
                <w:sz w:val="22"/>
              </w:rPr>
            </w:pPr>
            <w:r>
              <w:rPr>
                <w:sz w:val="22"/>
              </w:rPr>
              <w:t>6,1</w:t>
            </w:r>
          </w:p>
        </w:tc>
      </w:tr>
      <w:tr w:rsidR="00000000">
        <w:tblPrEx>
          <w:tblCellMar>
            <w:top w:w="0" w:type="dxa"/>
            <w:bottom w:w="0" w:type="dxa"/>
          </w:tblCellMar>
        </w:tblPrEx>
        <w:tc>
          <w:tcPr>
            <w:tcW w:w="2091" w:type="pct"/>
          </w:tcPr>
          <w:p w:rsidR="00000000" w:rsidRDefault="00000000">
            <w:pPr>
              <w:widowControl w:val="0"/>
              <w:spacing w:before="40" w:after="40"/>
              <w:rPr>
                <w:sz w:val="22"/>
              </w:rPr>
            </w:pPr>
            <w:r>
              <w:rPr>
                <w:sz w:val="22"/>
              </w:rPr>
              <w:t>Mtskheta</w:t>
            </w:r>
            <w:r>
              <w:rPr>
                <w:sz w:val="22"/>
              </w:rPr>
              <w:noBreakHyphen/>
              <w:t>Tianeti</w:t>
            </w:r>
          </w:p>
        </w:tc>
        <w:tc>
          <w:tcPr>
            <w:tcW w:w="986" w:type="pct"/>
          </w:tcPr>
          <w:p w:rsidR="00000000" w:rsidRDefault="00000000">
            <w:pPr>
              <w:widowControl w:val="0"/>
              <w:spacing w:before="40" w:after="40"/>
              <w:jc w:val="right"/>
              <w:rPr>
                <w:sz w:val="22"/>
              </w:rPr>
            </w:pPr>
            <w:r>
              <w:rPr>
                <w:sz w:val="22"/>
              </w:rPr>
              <w:t>5,7</w:t>
            </w:r>
          </w:p>
        </w:tc>
        <w:tc>
          <w:tcPr>
            <w:tcW w:w="1027" w:type="pct"/>
          </w:tcPr>
          <w:p w:rsidR="00000000" w:rsidRDefault="00000000">
            <w:pPr>
              <w:widowControl w:val="0"/>
              <w:spacing w:before="40" w:after="40"/>
              <w:jc w:val="right"/>
              <w:rPr>
                <w:sz w:val="22"/>
              </w:rPr>
            </w:pPr>
            <w:r>
              <w:rPr>
                <w:sz w:val="22"/>
              </w:rPr>
              <w:t>3,7</w:t>
            </w:r>
          </w:p>
        </w:tc>
        <w:tc>
          <w:tcPr>
            <w:tcW w:w="896" w:type="pct"/>
          </w:tcPr>
          <w:p w:rsidR="00000000" w:rsidRDefault="00000000">
            <w:pPr>
              <w:widowControl w:val="0"/>
              <w:spacing w:before="40" w:after="40"/>
              <w:jc w:val="right"/>
              <w:rPr>
                <w:sz w:val="22"/>
              </w:rPr>
            </w:pPr>
            <w:r>
              <w:rPr>
                <w:sz w:val="22"/>
              </w:rPr>
              <w:t>17,1</w:t>
            </w:r>
          </w:p>
        </w:tc>
      </w:tr>
      <w:tr w:rsidR="00000000">
        <w:tblPrEx>
          <w:tblCellMar>
            <w:top w:w="0" w:type="dxa"/>
            <w:bottom w:w="0" w:type="dxa"/>
          </w:tblCellMar>
        </w:tblPrEx>
        <w:tc>
          <w:tcPr>
            <w:tcW w:w="2091" w:type="pct"/>
          </w:tcPr>
          <w:p w:rsidR="00000000" w:rsidRDefault="00000000">
            <w:pPr>
              <w:widowControl w:val="0"/>
              <w:spacing w:before="40" w:after="40"/>
              <w:rPr>
                <w:sz w:val="22"/>
              </w:rPr>
            </w:pPr>
            <w:r>
              <w:rPr>
                <w:sz w:val="22"/>
              </w:rPr>
              <w:t>Samtskhe</w:t>
            </w:r>
            <w:r>
              <w:rPr>
                <w:sz w:val="22"/>
              </w:rPr>
              <w:noBreakHyphen/>
              <w:t>Djavakheti</w:t>
            </w:r>
          </w:p>
        </w:tc>
        <w:tc>
          <w:tcPr>
            <w:tcW w:w="986" w:type="pct"/>
          </w:tcPr>
          <w:p w:rsidR="00000000" w:rsidRDefault="00000000">
            <w:pPr>
              <w:widowControl w:val="0"/>
              <w:spacing w:before="40" w:after="40"/>
              <w:jc w:val="right"/>
              <w:rPr>
                <w:sz w:val="22"/>
                <w:lang w:val="de-CH"/>
              </w:rPr>
            </w:pPr>
            <w:r>
              <w:rPr>
                <w:sz w:val="22"/>
                <w:lang w:val="de-CH"/>
              </w:rPr>
              <w:t>12,4</w:t>
            </w:r>
          </w:p>
        </w:tc>
        <w:tc>
          <w:tcPr>
            <w:tcW w:w="1027" w:type="pct"/>
          </w:tcPr>
          <w:p w:rsidR="00000000" w:rsidRDefault="00000000">
            <w:pPr>
              <w:widowControl w:val="0"/>
              <w:spacing w:before="40" w:after="40"/>
              <w:jc w:val="right"/>
              <w:rPr>
                <w:sz w:val="22"/>
                <w:lang w:val="de-CH"/>
              </w:rPr>
            </w:pPr>
            <w:r>
              <w:rPr>
                <w:sz w:val="22"/>
                <w:lang w:val="de-CH"/>
              </w:rPr>
              <w:t>9,2</w:t>
            </w:r>
          </w:p>
        </w:tc>
        <w:tc>
          <w:tcPr>
            <w:tcW w:w="896" w:type="pct"/>
          </w:tcPr>
          <w:p w:rsidR="00000000" w:rsidRDefault="00000000">
            <w:pPr>
              <w:widowControl w:val="0"/>
              <w:spacing w:before="40" w:after="40"/>
              <w:jc w:val="right"/>
              <w:rPr>
                <w:sz w:val="22"/>
                <w:lang w:val="de-CH"/>
              </w:rPr>
            </w:pPr>
            <w:r>
              <w:rPr>
                <w:sz w:val="22"/>
                <w:lang w:val="de-CH"/>
              </w:rPr>
              <w:t>12,6</w:t>
            </w:r>
          </w:p>
        </w:tc>
      </w:tr>
      <w:tr w:rsidR="00000000">
        <w:tblPrEx>
          <w:tblCellMar>
            <w:top w:w="0" w:type="dxa"/>
            <w:bottom w:w="0" w:type="dxa"/>
          </w:tblCellMar>
        </w:tblPrEx>
        <w:tc>
          <w:tcPr>
            <w:tcW w:w="2091" w:type="pct"/>
          </w:tcPr>
          <w:p w:rsidR="00000000" w:rsidRDefault="00000000">
            <w:pPr>
              <w:widowControl w:val="0"/>
              <w:spacing w:before="40" w:after="40"/>
              <w:rPr>
                <w:sz w:val="22"/>
                <w:lang w:val="de-CH"/>
              </w:rPr>
            </w:pPr>
            <w:r>
              <w:rPr>
                <w:sz w:val="22"/>
                <w:lang w:val="de-CH"/>
              </w:rPr>
              <w:t>Kvemo Kartli</w:t>
            </w:r>
          </w:p>
        </w:tc>
        <w:tc>
          <w:tcPr>
            <w:tcW w:w="986" w:type="pct"/>
          </w:tcPr>
          <w:p w:rsidR="00000000" w:rsidRDefault="00000000">
            <w:pPr>
              <w:widowControl w:val="0"/>
              <w:spacing w:before="40" w:after="40"/>
              <w:jc w:val="right"/>
              <w:rPr>
                <w:sz w:val="22"/>
                <w:lang w:val="de-CH"/>
              </w:rPr>
            </w:pPr>
            <w:r>
              <w:rPr>
                <w:sz w:val="22"/>
                <w:lang w:val="de-CH"/>
              </w:rPr>
              <w:t>10,0</w:t>
            </w:r>
          </w:p>
        </w:tc>
        <w:tc>
          <w:tcPr>
            <w:tcW w:w="1027" w:type="pct"/>
          </w:tcPr>
          <w:p w:rsidR="00000000" w:rsidRDefault="00000000">
            <w:pPr>
              <w:widowControl w:val="0"/>
              <w:spacing w:before="40" w:after="40"/>
              <w:jc w:val="right"/>
              <w:rPr>
                <w:sz w:val="22"/>
                <w:lang w:val="de-CH"/>
              </w:rPr>
            </w:pPr>
            <w:r>
              <w:rPr>
                <w:sz w:val="22"/>
                <w:lang w:val="de-CH"/>
              </w:rPr>
              <w:t>6,0</w:t>
            </w:r>
          </w:p>
        </w:tc>
        <w:tc>
          <w:tcPr>
            <w:tcW w:w="896" w:type="pct"/>
          </w:tcPr>
          <w:p w:rsidR="00000000" w:rsidRDefault="00000000">
            <w:pPr>
              <w:widowControl w:val="0"/>
              <w:spacing w:before="40" w:after="40"/>
              <w:jc w:val="right"/>
              <w:rPr>
                <w:sz w:val="22"/>
                <w:lang w:val="de-CH"/>
              </w:rPr>
            </w:pPr>
            <w:r>
              <w:rPr>
                <w:sz w:val="22"/>
                <w:lang w:val="de-CH"/>
              </w:rPr>
              <w:t>9,9</w:t>
            </w:r>
          </w:p>
        </w:tc>
      </w:tr>
      <w:tr w:rsidR="00000000">
        <w:tblPrEx>
          <w:tblCellMar>
            <w:top w:w="0" w:type="dxa"/>
            <w:bottom w:w="0" w:type="dxa"/>
          </w:tblCellMar>
        </w:tblPrEx>
        <w:tc>
          <w:tcPr>
            <w:tcW w:w="2091" w:type="pct"/>
          </w:tcPr>
          <w:p w:rsidR="00000000" w:rsidRDefault="00000000">
            <w:pPr>
              <w:widowControl w:val="0"/>
              <w:spacing w:before="40" w:after="40"/>
              <w:rPr>
                <w:sz w:val="22"/>
                <w:lang w:val="de-CH"/>
              </w:rPr>
            </w:pPr>
            <w:r>
              <w:rPr>
                <w:sz w:val="22"/>
                <w:lang w:val="de-CH"/>
              </w:rPr>
              <w:t>Imereti</w:t>
            </w:r>
          </w:p>
        </w:tc>
        <w:tc>
          <w:tcPr>
            <w:tcW w:w="986" w:type="pct"/>
          </w:tcPr>
          <w:p w:rsidR="00000000" w:rsidRDefault="00000000">
            <w:pPr>
              <w:widowControl w:val="0"/>
              <w:spacing w:before="40" w:after="40"/>
              <w:jc w:val="right"/>
              <w:rPr>
                <w:sz w:val="22"/>
                <w:lang w:val="de-CH"/>
              </w:rPr>
            </w:pPr>
            <w:r>
              <w:rPr>
                <w:sz w:val="22"/>
                <w:lang w:val="de-CH"/>
              </w:rPr>
              <w:t>10,7</w:t>
            </w:r>
          </w:p>
        </w:tc>
        <w:tc>
          <w:tcPr>
            <w:tcW w:w="1027" w:type="pct"/>
          </w:tcPr>
          <w:p w:rsidR="00000000" w:rsidRDefault="00000000">
            <w:pPr>
              <w:widowControl w:val="0"/>
              <w:spacing w:before="40" w:after="40"/>
              <w:jc w:val="right"/>
              <w:rPr>
                <w:sz w:val="22"/>
                <w:lang w:val="de-CH"/>
              </w:rPr>
            </w:pPr>
            <w:r>
              <w:rPr>
                <w:sz w:val="22"/>
                <w:lang w:val="de-CH"/>
              </w:rPr>
              <w:t>9,3</w:t>
            </w:r>
          </w:p>
        </w:tc>
        <w:tc>
          <w:tcPr>
            <w:tcW w:w="896" w:type="pct"/>
          </w:tcPr>
          <w:p w:rsidR="00000000" w:rsidRDefault="00000000">
            <w:pPr>
              <w:widowControl w:val="0"/>
              <w:spacing w:before="40" w:after="40"/>
              <w:jc w:val="right"/>
              <w:rPr>
                <w:sz w:val="22"/>
                <w:lang w:val="de-CH"/>
              </w:rPr>
            </w:pPr>
            <w:r>
              <w:rPr>
                <w:sz w:val="22"/>
                <w:lang w:val="de-CH"/>
              </w:rPr>
              <w:t>21,2</w:t>
            </w:r>
          </w:p>
        </w:tc>
      </w:tr>
      <w:tr w:rsidR="00000000">
        <w:tblPrEx>
          <w:tblCellMar>
            <w:top w:w="0" w:type="dxa"/>
            <w:bottom w:w="0" w:type="dxa"/>
          </w:tblCellMar>
        </w:tblPrEx>
        <w:tc>
          <w:tcPr>
            <w:tcW w:w="2091" w:type="pct"/>
          </w:tcPr>
          <w:p w:rsidR="00000000" w:rsidRDefault="00000000">
            <w:pPr>
              <w:widowControl w:val="0"/>
              <w:spacing w:before="40" w:after="40"/>
              <w:rPr>
                <w:sz w:val="22"/>
                <w:lang w:val="de-CH"/>
              </w:rPr>
            </w:pPr>
            <w:r>
              <w:rPr>
                <w:sz w:val="22"/>
                <w:lang w:val="de-CH"/>
              </w:rPr>
              <w:t>Kakhétie</w:t>
            </w:r>
          </w:p>
        </w:tc>
        <w:tc>
          <w:tcPr>
            <w:tcW w:w="986" w:type="pct"/>
          </w:tcPr>
          <w:p w:rsidR="00000000" w:rsidRDefault="00000000">
            <w:pPr>
              <w:widowControl w:val="0"/>
              <w:spacing w:before="40" w:after="40"/>
              <w:jc w:val="right"/>
              <w:rPr>
                <w:sz w:val="22"/>
                <w:lang w:val="de-CH"/>
              </w:rPr>
            </w:pPr>
            <w:r>
              <w:rPr>
                <w:sz w:val="22"/>
                <w:lang w:val="de-CH"/>
              </w:rPr>
              <w:t>8,7</w:t>
            </w:r>
          </w:p>
        </w:tc>
        <w:tc>
          <w:tcPr>
            <w:tcW w:w="1027" w:type="pct"/>
          </w:tcPr>
          <w:p w:rsidR="00000000" w:rsidRDefault="00000000">
            <w:pPr>
              <w:widowControl w:val="0"/>
              <w:spacing w:before="40" w:after="40"/>
              <w:jc w:val="right"/>
              <w:rPr>
                <w:sz w:val="22"/>
                <w:lang w:val="de-CH"/>
              </w:rPr>
            </w:pPr>
            <w:r>
              <w:rPr>
                <w:sz w:val="22"/>
                <w:lang w:val="de-CH"/>
              </w:rPr>
              <w:t>12,7</w:t>
            </w:r>
          </w:p>
        </w:tc>
        <w:tc>
          <w:tcPr>
            <w:tcW w:w="896" w:type="pct"/>
          </w:tcPr>
          <w:p w:rsidR="00000000" w:rsidRDefault="00000000">
            <w:pPr>
              <w:widowControl w:val="0"/>
              <w:spacing w:before="40" w:after="40"/>
              <w:jc w:val="right"/>
              <w:rPr>
                <w:sz w:val="22"/>
                <w:lang w:val="de-CH"/>
              </w:rPr>
            </w:pPr>
            <w:r>
              <w:rPr>
                <w:sz w:val="22"/>
                <w:lang w:val="de-CH"/>
              </w:rPr>
              <w:t>17,1</w:t>
            </w:r>
          </w:p>
        </w:tc>
      </w:tr>
      <w:tr w:rsidR="00000000">
        <w:tblPrEx>
          <w:tblCellMar>
            <w:top w:w="0" w:type="dxa"/>
            <w:bottom w:w="0" w:type="dxa"/>
          </w:tblCellMar>
        </w:tblPrEx>
        <w:tc>
          <w:tcPr>
            <w:tcW w:w="2091" w:type="pct"/>
          </w:tcPr>
          <w:p w:rsidR="00000000" w:rsidRDefault="00000000">
            <w:pPr>
              <w:widowControl w:val="0"/>
              <w:spacing w:before="40" w:after="40"/>
              <w:rPr>
                <w:sz w:val="22"/>
                <w:lang w:val="de-CH"/>
              </w:rPr>
            </w:pPr>
            <w:r>
              <w:rPr>
                <w:sz w:val="22"/>
                <w:lang w:val="de-CH"/>
              </w:rPr>
              <w:t>Chida Kartli</w:t>
            </w:r>
          </w:p>
        </w:tc>
        <w:tc>
          <w:tcPr>
            <w:tcW w:w="986" w:type="pct"/>
          </w:tcPr>
          <w:p w:rsidR="00000000" w:rsidRDefault="00000000">
            <w:pPr>
              <w:widowControl w:val="0"/>
              <w:spacing w:before="40" w:after="40"/>
              <w:jc w:val="right"/>
              <w:rPr>
                <w:sz w:val="22"/>
              </w:rPr>
            </w:pPr>
            <w:r>
              <w:rPr>
                <w:sz w:val="22"/>
              </w:rPr>
              <w:t>14,7</w:t>
            </w:r>
          </w:p>
        </w:tc>
        <w:tc>
          <w:tcPr>
            <w:tcW w:w="1027" w:type="pct"/>
          </w:tcPr>
          <w:p w:rsidR="00000000" w:rsidRDefault="00000000">
            <w:pPr>
              <w:widowControl w:val="0"/>
              <w:spacing w:before="40" w:after="40"/>
              <w:jc w:val="right"/>
              <w:rPr>
                <w:sz w:val="22"/>
              </w:rPr>
            </w:pPr>
            <w:r>
              <w:rPr>
                <w:sz w:val="22"/>
              </w:rPr>
              <w:t>11,9</w:t>
            </w:r>
          </w:p>
        </w:tc>
        <w:tc>
          <w:tcPr>
            <w:tcW w:w="896" w:type="pct"/>
          </w:tcPr>
          <w:p w:rsidR="00000000" w:rsidRDefault="00000000">
            <w:pPr>
              <w:widowControl w:val="0"/>
              <w:spacing w:before="40" w:after="40"/>
              <w:jc w:val="right"/>
              <w:rPr>
                <w:sz w:val="22"/>
              </w:rPr>
            </w:pPr>
            <w:r>
              <w:rPr>
                <w:sz w:val="22"/>
              </w:rPr>
              <w:t>15,4</w:t>
            </w:r>
          </w:p>
        </w:tc>
      </w:tr>
      <w:tr w:rsidR="00000000">
        <w:tblPrEx>
          <w:tblCellMar>
            <w:top w:w="0" w:type="dxa"/>
            <w:bottom w:w="0" w:type="dxa"/>
          </w:tblCellMar>
        </w:tblPrEx>
        <w:tc>
          <w:tcPr>
            <w:tcW w:w="2091" w:type="pct"/>
          </w:tcPr>
          <w:p w:rsidR="00000000" w:rsidRDefault="00000000">
            <w:pPr>
              <w:widowControl w:val="0"/>
              <w:spacing w:before="40" w:after="40"/>
              <w:rPr>
                <w:sz w:val="22"/>
              </w:rPr>
            </w:pPr>
            <w:r>
              <w:rPr>
                <w:sz w:val="22"/>
              </w:rPr>
              <w:t>Géorgie</w:t>
            </w:r>
          </w:p>
        </w:tc>
        <w:tc>
          <w:tcPr>
            <w:tcW w:w="986" w:type="pct"/>
          </w:tcPr>
          <w:p w:rsidR="00000000" w:rsidRDefault="00000000">
            <w:pPr>
              <w:widowControl w:val="0"/>
              <w:spacing w:before="40" w:after="40"/>
              <w:jc w:val="right"/>
              <w:rPr>
                <w:sz w:val="22"/>
              </w:rPr>
            </w:pPr>
            <w:r>
              <w:rPr>
                <w:sz w:val="22"/>
              </w:rPr>
              <w:t>15,3</w:t>
            </w:r>
          </w:p>
        </w:tc>
        <w:tc>
          <w:tcPr>
            <w:tcW w:w="1027" w:type="pct"/>
          </w:tcPr>
          <w:p w:rsidR="00000000" w:rsidRDefault="00000000">
            <w:pPr>
              <w:widowControl w:val="0"/>
              <w:spacing w:before="40" w:after="40"/>
              <w:jc w:val="right"/>
              <w:rPr>
                <w:sz w:val="22"/>
              </w:rPr>
            </w:pPr>
            <w:r>
              <w:rPr>
                <w:sz w:val="22"/>
              </w:rPr>
              <w:t>15,2</w:t>
            </w:r>
          </w:p>
        </w:tc>
        <w:tc>
          <w:tcPr>
            <w:tcW w:w="896" w:type="pct"/>
          </w:tcPr>
          <w:p w:rsidR="00000000" w:rsidRDefault="00000000">
            <w:pPr>
              <w:widowControl w:val="0"/>
              <w:spacing w:before="40" w:after="40"/>
              <w:jc w:val="right"/>
              <w:rPr>
                <w:sz w:val="22"/>
              </w:rPr>
            </w:pPr>
            <w:r>
              <w:rPr>
                <w:sz w:val="22"/>
              </w:rPr>
              <w:t>17,5</w:t>
            </w:r>
          </w:p>
        </w:tc>
      </w:tr>
    </w:tbl>
    <w:p w:rsidR="00000000" w:rsidRDefault="00000000">
      <w:pPr>
        <w:keepNext/>
        <w:widowControl w:val="0"/>
        <w:spacing w:before="240" w:after="240"/>
        <w:ind w:left="567" w:firstLine="567"/>
      </w:pPr>
      <w:r>
        <w:t>b)</w:t>
      </w:r>
      <w:r>
        <w:tab/>
      </w:r>
      <w:r>
        <w:rPr>
          <w:u w:val="single"/>
        </w:rPr>
        <w:t>Accès à l’eau potable</w:t>
      </w:r>
    </w:p>
    <w:p w:rsidR="00000000" w:rsidRDefault="00000000">
      <w:pPr>
        <w:keepNext/>
        <w:widowControl w:val="0"/>
        <w:spacing w:after="240"/>
      </w:pPr>
      <w:r>
        <w:t>192.</w:t>
      </w:r>
      <w:r>
        <w:tab/>
        <w:t>La situation relative à l’approvisionnement en eau potable de bonne qualité s’est dégradée ces dernières années. Les principaux problèmes concernant la salubrité de l’eau utilisée par l’industrie et les ménages sont liés à la pollution industrielle, à la pénurie d’eau potable et aux médiocres conditions sanitaires.</w:t>
      </w:r>
    </w:p>
    <w:p w:rsidR="00000000" w:rsidRDefault="00000000">
      <w:pPr>
        <w:widowControl w:val="0"/>
        <w:spacing w:after="240"/>
      </w:pPr>
      <w:r>
        <w:t>193.</w:t>
      </w:r>
      <w:r>
        <w:tab/>
        <w:t>Bien que 70 % de la population soit reliée à un réseau centralisé d’approvisionnement en eau potable (95 % dans les villes et 35 % à la campagne), de nombreux habitants utilisent une eau qui ne correspond pas aux normes sanitaires et hygiéniques en vigueur. Bien souvent, l’eau potable est distribuée sans adjonction de chlore, parce qu’on manque de cette substance en Géorgie. Ainsi, en 1999, l’eau n’était pas chlorée dans huit districts du pays.</w:t>
      </w:r>
    </w:p>
    <w:p w:rsidR="00000000" w:rsidRDefault="00000000">
      <w:pPr>
        <w:widowControl w:val="0"/>
        <w:spacing w:after="240"/>
      </w:pPr>
      <w:r>
        <w:t>194.</w:t>
      </w:r>
      <w:r>
        <w:tab/>
        <w:t>Il convient de noter que, par suite de la pénurie d’électricité, les programmes de distribution d’eau potable ont rarement été respectés. Par exemple, toujours en 1999, six districts, ainsi que certains arrondissements de la capitale, n’ont été alimentés en eau potable que trois à cinq heures par jour.</w:t>
      </w:r>
    </w:p>
    <w:p w:rsidR="00000000" w:rsidRDefault="00000000">
      <w:pPr>
        <w:widowControl w:val="0"/>
        <w:spacing w:after="240"/>
      </w:pPr>
      <w:r>
        <w:t>195.</w:t>
      </w:r>
      <w:r>
        <w:tab/>
        <w:t>La même année, une analyse chimique et bactériologique du réseau centralisé de distribution d’eau, y compris les ouvrages de tête, a été effectuée dans plusieurs districts et villes. Ses résultats ont montré que des mesures appropriées de protection de l’eau devaient être prises car, dans un très grand nombre de cas, les échantillons et les analyses ne correspondaient pas aux normes.</w:t>
      </w:r>
    </w:p>
    <w:p w:rsidR="00000000" w:rsidRDefault="00000000">
      <w:pPr>
        <w:keepNext/>
        <w:spacing w:after="240"/>
        <w:ind w:left="567" w:firstLine="567"/>
      </w:pPr>
      <w:r>
        <w:t>c)</w:t>
      </w:r>
      <w:r>
        <w:tab/>
      </w:r>
      <w:r>
        <w:rPr>
          <w:u w:val="single"/>
        </w:rPr>
        <w:t>Accès à un réseau d’assainissement satisfaisant</w:t>
      </w:r>
    </w:p>
    <w:p w:rsidR="00000000" w:rsidRDefault="00000000">
      <w:pPr>
        <w:widowControl w:val="0"/>
        <w:spacing w:after="240"/>
      </w:pPr>
      <w:r>
        <w:t>196.</w:t>
      </w:r>
      <w:r>
        <w:tab/>
        <w:t>D’après les données du Ministère du travail, de la santé et de la protection sociale, les systèmes centraux de canalisation de 45 villes du pays sont dans un état lamentable. Vu leur état de vieillissement et de détérioration, 1 800 km de canalisation (sur une longueur totale de 4 100 km) ont besoin d’être entièrement remis à neuf. Les installations d’épuration des eaux usées doivent également être réparées ou remplacées. Les eaux usées ne sont correctement épurées que dans la capitale et cinq autres grandes villes.</w:t>
      </w:r>
    </w:p>
    <w:p w:rsidR="00000000" w:rsidRDefault="00000000">
      <w:pPr>
        <w:widowControl w:val="0"/>
        <w:spacing w:after="240"/>
      </w:pPr>
      <w:r>
        <w:t>197.</w:t>
      </w:r>
      <w:r>
        <w:tab/>
        <w:t>L’état sanitaire et technique insatisfaisant des installations d’épuration et des réseaux de canalisation existants diminue l’efficacité des opérations d’assainissement et de l’ensemble du fonctionnement du réseau, faisant ainsi naître un risque réel de propagation de toute une série de maladies.</w:t>
      </w:r>
    </w:p>
    <w:p w:rsidR="00000000" w:rsidRDefault="00000000">
      <w:pPr>
        <w:keepNext/>
        <w:widowControl w:val="0"/>
        <w:spacing w:after="240"/>
        <w:ind w:left="567" w:firstLine="567"/>
      </w:pPr>
      <w:r>
        <w:t>d)</w:t>
      </w:r>
      <w:r>
        <w:tab/>
      </w:r>
      <w:r>
        <w:rPr>
          <w:u w:val="single"/>
        </w:rPr>
        <w:t>Immunisation des enfants</w:t>
      </w:r>
    </w:p>
    <w:p w:rsidR="00000000" w:rsidRDefault="00000000">
      <w:pPr>
        <w:keepNext/>
        <w:widowControl w:val="0"/>
        <w:spacing w:after="240"/>
      </w:pPr>
      <w:r>
        <w:t>198.</w:t>
      </w:r>
      <w:r>
        <w:tab/>
        <w:t>Voir tableau ci</w:t>
      </w:r>
      <w:r>
        <w:noBreakHyphen/>
        <w:t>dessous.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00"/>
        <w:gridCol w:w="1899"/>
        <w:gridCol w:w="1899"/>
        <w:gridCol w:w="1899"/>
        <w:gridCol w:w="1899"/>
      </w:tblGrid>
      <w:tr w:rsidR="00000000">
        <w:tblPrEx>
          <w:tblCellMar>
            <w:top w:w="0" w:type="dxa"/>
            <w:bottom w:w="0" w:type="dxa"/>
          </w:tblCellMar>
        </w:tblPrEx>
        <w:trPr>
          <w:cantSplit/>
        </w:trPr>
        <w:tc>
          <w:tcPr>
            <w:tcW w:w="1000" w:type="pct"/>
            <w:vMerge w:val="restart"/>
            <w:vAlign w:val="center"/>
          </w:tcPr>
          <w:p w:rsidR="00000000" w:rsidRDefault="00000000">
            <w:pPr>
              <w:keepNext/>
              <w:widowControl w:val="0"/>
              <w:spacing w:before="60" w:after="60"/>
              <w:jc w:val="center"/>
              <w:rPr>
                <w:sz w:val="22"/>
              </w:rPr>
            </w:pPr>
            <w:r>
              <w:rPr>
                <w:sz w:val="22"/>
              </w:rPr>
              <w:t>Maladie visée par la vaccination préventive</w:t>
            </w:r>
          </w:p>
        </w:tc>
        <w:tc>
          <w:tcPr>
            <w:tcW w:w="2000" w:type="pct"/>
            <w:gridSpan w:val="2"/>
            <w:vAlign w:val="center"/>
          </w:tcPr>
          <w:p w:rsidR="00000000" w:rsidRDefault="00000000">
            <w:pPr>
              <w:keepNext/>
              <w:widowControl w:val="0"/>
              <w:spacing w:before="60" w:after="60"/>
              <w:jc w:val="center"/>
              <w:rPr>
                <w:sz w:val="22"/>
              </w:rPr>
            </w:pPr>
            <w:r>
              <w:rPr>
                <w:sz w:val="22"/>
              </w:rPr>
              <w:t>1998</w:t>
            </w:r>
          </w:p>
        </w:tc>
        <w:tc>
          <w:tcPr>
            <w:tcW w:w="2000" w:type="pct"/>
            <w:gridSpan w:val="2"/>
            <w:vAlign w:val="center"/>
          </w:tcPr>
          <w:p w:rsidR="00000000" w:rsidRDefault="00000000">
            <w:pPr>
              <w:keepNext/>
              <w:widowControl w:val="0"/>
              <w:spacing w:before="60" w:after="60"/>
              <w:jc w:val="center"/>
              <w:rPr>
                <w:sz w:val="22"/>
              </w:rPr>
            </w:pPr>
            <w:r>
              <w:rPr>
                <w:sz w:val="22"/>
              </w:rPr>
              <w:t>1999</w:t>
            </w:r>
          </w:p>
        </w:tc>
      </w:tr>
      <w:tr w:rsidR="00000000">
        <w:tblPrEx>
          <w:tblCellMar>
            <w:top w:w="0" w:type="dxa"/>
            <w:bottom w:w="0" w:type="dxa"/>
          </w:tblCellMar>
        </w:tblPrEx>
        <w:trPr>
          <w:cantSplit/>
        </w:trPr>
        <w:tc>
          <w:tcPr>
            <w:tcW w:w="1000" w:type="pct"/>
            <w:vMerge/>
            <w:vAlign w:val="center"/>
          </w:tcPr>
          <w:p w:rsidR="00000000" w:rsidRDefault="00000000">
            <w:pPr>
              <w:keepNext/>
              <w:widowControl w:val="0"/>
              <w:spacing w:before="60" w:after="60"/>
              <w:jc w:val="center"/>
              <w:rPr>
                <w:sz w:val="22"/>
              </w:rPr>
            </w:pPr>
          </w:p>
        </w:tc>
        <w:tc>
          <w:tcPr>
            <w:tcW w:w="1000" w:type="pct"/>
            <w:vAlign w:val="center"/>
          </w:tcPr>
          <w:p w:rsidR="00000000" w:rsidRDefault="00000000">
            <w:pPr>
              <w:keepNext/>
              <w:widowControl w:val="0"/>
              <w:spacing w:before="60" w:after="60"/>
              <w:jc w:val="center"/>
              <w:rPr>
                <w:sz w:val="22"/>
              </w:rPr>
            </w:pPr>
            <w:r>
              <w:rPr>
                <w:sz w:val="22"/>
              </w:rPr>
              <w:t>Nombre de vaccinations</w:t>
            </w:r>
          </w:p>
        </w:tc>
        <w:tc>
          <w:tcPr>
            <w:tcW w:w="1000" w:type="pct"/>
            <w:vAlign w:val="center"/>
          </w:tcPr>
          <w:p w:rsidR="00000000" w:rsidRDefault="00000000">
            <w:pPr>
              <w:keepNext/>
              <w:widowControl w:val="0"/>
              <w:spacing w:before="60" w:after="60"/>
              <w:jc w:val="center"/>
              <w:rPr>
                <w:sz w:val="22"/>
              </w:rPr>
            </w:pPr>
            <w:r>
              <w:rPr>
                <w:sz w:val="22"/>
              </w:rPr>
              <w:t>Couverture (%)</w:t>
            </w:r>
          </w:p>
        </w:tc>
        <w:tc>
          <w:tcPr>
            <w:tcW w:w="1000" w:type="pct"/>
            <w:vAlign w:val="center"/>
          </w:tcPr>
          <w:p w:rsidR="00000000" w:rsidRDefault="00000000">
            <w:pPr>
              <w:keepNext/>
              <w:widowControl w:val="0"/>
              <w:spacing w:before="60" w:after="60"/>
              <w:jc w:val="center"/>
              <w:rPr>
                <w:sz w:val="22"/>
              </w:rPr>
            </w:pPr>
            <w:r>
              <w:rPr>
                <w:sz w:val="22"/>
              </w:rPr>
              <w:t>Nombre de vaccinations</w:t>
            </w:r>
          </w:p>
        </w:tc>
        <w:tc>
          <w:tcPr>
            <w:tcW w:w="1000" w:type="pct"/>
            <w:vAlign w:val="center"/>
          </w:tcPr>
          <w:p w:rsidR="00000000" w:rsidRDefault="00000000">
            <w:pPr>
              <w:keepNext/>
              <w:widowControl w:val="0"/>
              <w:spacing w:before="60" w:after="60"/>
              <w:jc w:val="center"/>
              <w:rPr>
                <w:sz w:val="22"/>
              </w:rPr>
            </w:pPr>
            <w:r>
              <w:rPr>
                <w:sz w:val="22"/>
              </w:rPr>
              <w:t>Couverture (%)</w:t>
            </w:r>
          </w:p>
        </w:tc>
      </w:tr>
      <w:tr w:rsidR="00000000">
        <w:tblPrEx>
          <w:tblCellMar>
            <w:top w:w="0" w:type="dxa"/>
            <w:bottom w:w="0" w:type="dxa"/>
          </w:tblCellMar>
        </w:tblPrEx>
        <w:tc>
          <w:tcPr>
            <w:tcW w:w="1000" w:type="pct"/>
          </w:tcPr>
          <w:p w:rsidR="00000000" w:rsidRDefault="00000000">
            <w:pPr>
              <w:keepNext/>
              <w:widowControl w:val="0"/>
              <w:spacing w:before="60" w:after="60"/>
              <w:rPr>
                <w:sz w:val="22"/>
              </w:rPr>
            </w:pPr>
            <w:r>
              <w:rPr>
                <w:sz w:val="22"/>
              </w:rPr>
              <w:t>Diphtérie</w:t>
            </w:r>
            <w:r>
              <w:rPr>
                <w:sz w:val="22"/>
              </w:rPr>
              <w:br/>
              <w:t>Tétanos</w:t>
            </w:r>
            <w:r>
              <w:rPr>
                <w:sz w:val="22"/>
              </w:rPr>
              <w:br/>
              <w:t>Coqueluche</w:t>
            </w:r>
          </w:p>
        </w:tc>
        <w:tc>
          <w:tcPr>
            <w:tcW w:w="1000" w:type="pct"/>
            <w:vAlign w:val="bottom"/>
          </w:tcPr>
          <w:p w:rsidR="00000000" w:rsidRDefault="00000000">
            <w:pPr>
              <w:keepNext/>
              <w:widowControl w:val="0"/>
              <w:spacing w:before="60" w:after="60"/>
              <w:jc w:val="right"/>
              <w:rPr>
                <w:sz w:val="22"/>
              </w:rPr>
            </w:pPr>
            <w:r>
              <w:rPr>
                <w:sz w:val="22"/>
              </w:rPr>
              <w:t>45 629</w:t>
            </w:r>
          </w:p>
        </w:tc>
        <w:tc>
          <w:tcPr>
            <w:tcW w:w="1000" w:type="pct"/>
            <w:vAlign w:val="bottom"/>
          </w:tcPr>
          <w:p w:rsidR="00000000" w:rsidRDefault="00000000">
            <w:pPr>
              <w:keepNext/>
              <w:widowControl w:val="0"/>
              <w:spacing w:before="60" w:after="60"/>
              <w:jc w:val="center"/>
              <w:rPr>
                <w:sz w:val="22"/>
              </w:rPr>
            </w:pPr>
            <w:r>
              <w:rPr>
                <w:sz w:val="22"/>
              </w:rPr>
              <w:t>89,2</w:t>
            </w:r>
          </w:p>
        </w:tc>
        <w:tc>
          <w:tcPr>
            <w:tcW w:w="1000" w:type="pct"/>
            <w:vAlign w:val="bottom"/>
          </w:tcPr>
          <w:p w:rsidR="00000000" w:rsidRDefault="00000000">
            <w:pPr>
              <w:keepNext/>
              <w:widowControl w:val="0"/>
              <w:spacing w:before="60" w:after="60"/>
              <w:jc w:val="right"/>
              <w:rPr>
                <w:sz w:val="22"/>
              </w:rPr>
            </w:pPr>
            <w:r>
              <w:rPr>
                <w:sz w:val="22"/>
              </w:rPr>
              <w:t>47 709</w:t>
            </w:r>
          </w:p>
        </w:tc>
        <w:tc>
          <w:tcPr>
            <w:tcW w:w="1000" w:type="pct"/>
            <w:vAlign w:val="bottom"/>
          </w:tcPr>
          <w:p w:rsidR="00000000" w:rsidRDefault="00000000">
            <w:pPr>
              <w:keepNext/>
              <w:widowControl w:val="0"/>
              <w:spacing w:before="60" w:after="60"/>
              <w:jc w:val="center"/>
              <w:rPr>
                <w:sz w:val="22"/>
              </w:rPr>
            </w:pPr>
            <w:r>
              <w:rPr>
                <w:sz w:val="22"/>
              </w:rPr>
              <w:t>97,7</w:t>
            </w:r>
          </w:p>
        </w:tc>
      </w:tr>
      <w:tr w:rsidR="00000000">
        <w:tblPrEx>
          <w:tblCellMar>
            <w:top w:w="0" w:type="dxa"/>
            <w:bottom w:w="0" w:type="dxa"/>
          </w:tblCellMar>
        </w:tblPrEx>
        <w:tc>
          <w:tcPr>
            <w:tcW w:w="1000" w:type="pct"/>
          </w:tcPr>
          <w:p w:rsidR="00000000" w:rsidRDefault="00000000">
            <w:pPr>
              <w:keepNext/>
              <w:widowControl w:val="0"/>
              <w:spacing w:before="60" w:after="60"/>
              <w:rPr>
                <w:sz w:val="22"/>
              </w:rPr>
            </w:pPr>
            <w:r>
              <w:rPr>
                <w:sz w:val="22"/>
              </w:rPr>
              <w:t>Rougeole</w:t>
            </w:r>
          </w:p>
        </w:tc>
        <w:tc>
          <w:tcPr>
            <w:tcW w:w="1000" w:type="pct"/>
          </w:tcPr>
          <w:p w:rsidR="00000000" w:rsidRDefault="00000000">
            <w:pPr>
              <w:keepNext/>
              <w:widowControl w:val="0"/>
              <w:spacing w:before="60" w:after="60"/>
              <w:jc w:val="right"/>
              <w:rPr>
                <w:sz w:val="22"/>
              </w:rPr>
            </w:pPr>
            <w:r>
              <w:rPr>
                <w:sz w:val="22"/>
              </w:rPr>
              <w:t>53 098</w:t>
            </w:r>
          </w:p>
        </w:tc>
        <w:tc>
          <w:tcPr>
            <w:tcW w:w="1000" w:type="pct"/>
          </w:tcPr>
          <w:p w:rsidR="00000000" w:rsidRDefault="00000000">
            <w:pPr>
              <w:keepNext/>
              <w:widowControl w:val="0"/>
              <w:spacing w:before="60" w:after="60"/>
              <w:jc w:val="center"/>
              <w:rPr>
                <w:sz w:val="22"/>
              </w:rPr>
            </w:pPr>
            <w:r>
              <w:rPr>
                <w:sz w:val="22"/>
              </w:rPr>
              <w:t>95,5</w:t>
            </w:r>
          </w:p>
        </w:tc>
        <w:tc>
          <w:tcPr>
            <w:tcW w:w="1000" w:type="pct"/>
          </w:tcPr>
          <w:p w:rsidR="00000000" w:rsidRDefault="00000000">
            <w:pPr>
              <w:keepNext/>
              <w:widowControl w:val="0"/>
              <w:spacing w:before="60" w:after="60"/>
              <w:jc w:val="right"/>
              <w:rPr>
                <w:sz w:val="22"/>
              </w:rPr>
            </w:pPr>
            <w:r>
              <w:rPr>
                <w:sz w:val="22"/>
              </w:rPr>
              <w:t>54 029</w:t>
            </w:r>
          </w:p>
        </w:tc>
        <w:tc>
          <w:tcPr>
            <w:tcW w:w="1000" w:type="pct"/>
          </w:tcPr>
          <w:p w:rsidR="00000000" w:rsidRDefault="00000000">
            <w:pPr>
              <w:keepNext/>
              <w:widowControl w:val="0"/>
              <w:spacing w:before="60" w:after="60"/>
              <w:jc w:val="center"/>
              <w:rPr>
                <w:sz w:val="22"/>
              </w:rPr>
            </w:pPr>
            <w:r>
              <w:rPr>
                <w:sz w:val="22"/>
              </w:rPr>
              <w:t>97,0</w:t>
            </w:r>
          </w:p>
        </w:tc>
      </w:tr>
      <w:tr w:rsidR="00000000">
        <w:tblPrEx>
          <w:tblCellMar>
            <w:top w:w="0" w:type="dxa"/>
            <w:bottom w:w="0" w:type="dxa"/>
          </w:tblCellMar>
        </w:tblPrEx>
        <w:tc>
          <w:tcPr>
            <w:tcW w:w="1000" w:type="pct"/>
          </w:tcPr>
          <w:p w:rsidR="00000000" w:rsidRDefault="00000000">
            <w:pPr>
              <w:keepNext/>
              <w:widowControl w:val="0"/>
              <w:spacing w:before="60" w:after="60"/>
              <w:rPr>
                <w:sz w:val="22"/>
              </w:rPr>
            </w:pPr>
            <w:r>
              <w:rPr>
                <w:sz w:val="22"/>
              </w:rPr>
              <w:t>Tuberculose</w:t>
            </w:r>
          </w:p>
        </w:tc>
        <w:tc>
          <w:tcPr>
            <w:tcW w:w="1000" w:type="pct"/>
          </w:tcPr>
          <w:p w:rsidR="00000000" w:rsidRDefault="00000000">
            <w:pPr>
              <w:keepNext/>
              <w:widowControl w:val="0"/>
              <w:spacing w:before="60" w:after="60"/>
              <w:jc w:val="right"/>
              <w:rPr>
                <w:sz w:val="22"/>
              </w:rPr>
            </w:pPr>
            <w:r>
              <w:rPr>
                <w:sz w:val="22"/>
              </w:rPr>
              <w:t>48 199</w:t>
            </w:r>
          </w:p>
        </w:tc>
        <w:tc>
          <w:tcPr>
            <w:tcW w:w="1000" w:type="pct"/>
          </w:tcPr>
          <w:p w:rsidR="00000000" w:rsidRDefault="00000000">
            <w:pPr>
              <w:keepNext/>
              <w:widowControl w:val="0"/>
              <w:spacing w:before="60" w:after="60"/>
              <w:jc w:val="center"/>
              <w:rPr>
                <w:sz w:val="22"/>
              </w:rPr>
            </w:pPr>
            <w:r>
              <w:rPr>
                <w:sz w:val="22"/>
              </w:rPr>
              <w:t>73,9</w:t>
            </w:r>
          </w:p>
        </w:tc>
        <w:tc>
          <w:tcPr>
            <w:tcW w:w="1000" w:type="pct"/>
          </w:tcPr>
          <w:p w:rsidR="00000000" w:rsidRDefault="00000000">
            <w:pPr>
              <w:keepNext/>
              <w:widowControl w:val="0"/>
              <w:spacing w:before="60" w:after="60"/>
              <w:jc w:val="right"/>
              <w:rPr>
                <w:sz w:val="22"/>
              </w:rPr>
            </w:pPr>
            <w:r>
              <w:rPr>
                <w:sz w:val="22"/>
              </w:rPr>
              <w:t>44 581</w:t>
            </w:r>
          </w:p>
        </w:tc>
        <w:tc>
          <w:tcPr>
            <w:tcW w:w="1000" w:type="pct"/>
          </w:tcPr>
          <w:p w:rsidR="00000000" w:rsidRDefault="00000000">
            <w:pPr>
              <w:keepNext/>
              <w:widowControl w:val="0"/>
              <w:spacing w:before="60" w:after="60"/>
              <w:jc w:val="center"/>
              <w:rPr>
                <w:sz w:val="22"/>
              </w:rPr>
            </w:pPr>
            <w:r>
              <w:rPr>
                <w:sz w:val="22"/>
              </w:rPr>
              <w:t>95,2</w:t>
            </w:r>
          </w:p>
        </w:tc>
      </w:tr>
      <w:tr w:rsidR="00000000">
        <w:tblPrEx>
          <w:tblCellMar>
            <w:top w:w="0" w:type="dxa"/>
            <w:bottom w:w="0" w:type="dxa"/>
          </w:tblCellMar>
        </w:tblPrEx>
        <w:tc>
          <w:tcPr>
            <w:tcW w:w="1000" w:type="pct"/>
          </w:tcPr>
          <w:p w:rsidR="00000000" w:rsidRDefault="00000000">
            <w:pPr>
              <w:keepNext/>
              <w:widowControl w:val="0"/>
              <w:spacing w:before="60" w:after="60"/>
              <w:rPr>
                <w:sz w:val="22"/>
              </w:rPr>
            </w:pPr>
            <w:r>
              <w:rPr>
                <w:sz w:val="22"/>
              </w:rPr>
              <w:t>Poliomyélite</w:t>
            </w:r>
          </w:p>
        </w:tc>
        <w:tc>
          <w:tcPr>
            <w:tcW w:w="1000" w:type="pct"/>
          </w:tcPr>
          <w:p w:rsidR="00000000" w:rsidRDefault="00000000">
            <w:pPr>
              <w:keepNext/>
              <w:widowControl w:val="0"/>
              <w:spacing w:before="60" w:after="60"/>
              <w:jc w:val="right"/>
              <w:rPr>
                <w:sz w:val="22"/>
              </w:rPr>
            </w:pPr>
            <w:r>
              <w:rPr>
                <w:sz w:val="22"/>
              </w:rPr>
              <w:t>48 622</w:t>
            </w:r>
          </w:p>
        </w:tc>
        <w:tc>
          <w:tcPr>
            <w:tcW w:w="1000" w:type="pct"/>
          </w:tcPr>
          <w:p w:rsidR="00000000" w:rsidRDefault="00000000">
            <w:pPr>
              <w:keepNext/>
              <w:widowControl w:val="0"/>
              <w:spacing w:before="60" w:after="60"/>
              <w:jc w:val="center"/>
              <w:rPr>
                <w:sz w:val="22"/>
              </w:rPr>
            </w:pPr>
            <w:r>
              <w:rPr>
                <w:sz w:val="22"/>
              </w:rPr>
              <w:t>95,0</w:t>
            </w:r>
          </w:p>
        </w:tc>
        <w:tc>
          <w:tcPr>
            <w:tcW w:w="1000" w:type="pct"/>
          </w:tcPr>
          <w:p w:rsidR="00000000" w:rsidRDefault="00000000">
            <w:pPr>
              <w:keepNext/>
              <w:widowControl w:val="0"/>
              <w:spacing w:before="60" w:after="60"/>
              <w:jc w:val="right"/>
              <w:rPr>
                <w:sz w:val="22"/>
              </w:rPr>
            </w:pPr>
            <w:r>
              <w:rPr>
                <w:sz w:val="22"/>
              </w:rPr>
              <w:t>49 858</w:t>
            </w:r>
          </w:p>
        </w:tc>
        <w:tc>
          <w:tcPr>
            <w:tcW w:w="1000" w:type="pct"/>
          </w:tcPr>
          <w:p w:rsidR="00000000" w:rsidRDefault="00000000">
            <w:pPr>
              <w:keepNext/>
              <w:widowControl w:val="0"/>
              <w:spacing w:before="60" w:after="60"/>
              <w:jc w:val="center"/>
              <w:rPr>
                <w:sz w:val="22"/>
              </w:rPr>
            </w:pPr>
            <w:r>
              <w:rPr>
                <w:sz w:val="22"/>
              </w:rPr>
              <w:t>98,0</w:t>
            </w:r>
          </w:p>
        </w:tc>
      </w:tr>
    </w:tbl>
    <w:p w:rsidR="00000000" w:rsidRDefault="00000000">
      <w:pPr>
        <w:keepNext/>
        <w:widowControl w:val="0"/>
        <w:spacing w:before="240" w:after="240"/>
        <w:ind w:left="567" w:firstLine="567"/>
      </w:pPr>
      <w:r>
        <w:t>e)</w:t>
      </w:r>
      <w:r>
        <w:tab/>
      </w:r>
      <w:r>
        <w:rPr>
          <w:u w:val="single"/>
        </w:rPr>
        <w:t>Espérance de vie</w:t>
      </w:r>
    </w:p>
    <w:p w:rsidR="00000000" w:rsidRDefault="00000000">
      <w:pPr>
        <w:widowControl w:val="0"/>
        <w:spacing w:after="240"/>
      </w:pPr>
      <w:r>
        <w:t>199.</w:t>
      </w:r>
      <w:r>
        <w:tab/>
        <w:t>D’après les données de l’OMS pour 1994, l’espérance de vie moyenne s’établissait à 73,5 ans en Géorgie. Selon les estimations réalisées par des experts indépendants, elle était en 1997 de 73 ans pour les femmes et de 66 ans pour les hommes.</w:t>
      </w:r>
    </w:p>
    <w:p w:rsidR="00000000" w:rsidRDefault="00000000">
      <w:pPr>
        <w:widowControl w:val="0"/>
        <w:spacing w:after="240"/>
      </w:pPr>
      <w:r>
        <w:t>200.</w:t>
      </w:r>
      <w:r>
        <w:tab/>
        <w:t>Les données ci</w:t>
      </w:r>
      <w:r>
        <w:noBreakHyphen/>
        <w:t>dessus ont été communiquées par le Ministère du travail, de la santé et de la protection sociale. Toutefois, il convient de noter que dans le recueil publié en 2000 par le Département national de statistique, «Hommes et femmes de Géorgie en 1999», les indicateurs d’espérance de vie étaient de 77 ans pour les femmes et de 69 ans pour les hommes. Selon d’autres données présentées dans le même rapport, la durée moyenne de vie des hommes comme des femmes ne change pas de façon notable selon que les intéressés vivent en zone urbaine ou rurale (tendance observée pendant la période 1980</w:t>
      </w:r>
      <w:r>
        <w:noBreakHyphen/>
        <w:t>1999).</w:t>
      </w:r>
    </w:p>
    <w:p w:rsidR="00000000" w:rsidRDefault="00000000">
      <w:pPr>
        <w:keepNext/>
        <w:widowControl w:val="0"/>
        <w:spacing w:after="240"/>
        <w:ind w:left="1701" w:hanging="567"/>
      </w:pPr>
      <w:r>
        <w:t>f)</w:t>
      </w:r>
      <w:r>
        <w:tab/>
      </w:r>
      <w:r>
        <w:rPr>
          <w:u w:val="single"/>
        </w:rPr>
        <w:t>Proportion de la population pouvant bénéficier des soins médicaux pour traiter une maladie ou un traumatisme courant et acquérir 20 médicaments de base dans un rayon d’une heure de marche ou de transport au maximum depuis le lieu de résidence</w:t>
      </w:r>
    </w:p>
    <w:p w:rsidR="00000000" w:rsidRDefault="00000000">
      <w:pPr>
        <w:widowControl w:val="0"/>
        <w:spacing w:after="240"/>
      </w:pPr>
      <w:r>
        <w:t>201.</w:t>
      </w:r>
      <w:r>
        <w:tab/>
        <w:t>95 % de la population.</w:t>
      </w:r>
    </w:p>
    <w:p w:rsidR="00000000" w:rsidRDefault="00000000">
      <w:pPr>
        <w:keepNext/>
        <w:widowControl w:val="0"/>
        <w:spacing w:after="240"/>
        <w:ind w:left="1701" w:hanging="567"/>
      </w:pPr>
      <w:r>
        <w:t>g)</w:t>
      </w:r>
      <w:r>
        <w:tab/>
      </w:r>
      <w:r>
        <w:rPr>
          <w:u w:val="single"/>
        </w:rPr>
        <w:t>Proportion de femmes pouvant bénéficier de soins médicaux pendant l’accouchement et mortalité maternelle</w:t>
      </w:r>
    </w:p>
    <w:p w:rsidR="00000000" w:rsidRDefault="00000000">
      <w:pPr>
        <w:keepNext/>
        <w:widowControl w:val="0"/>
        <w:spacing w:after="240"/>
      </w:pPr>
      <w:r>
        <w:t>202.</w:t>
      </w:r>
      <w:r>
        <w:tab/>
        <w:t>Voir tableau ci</w:t>
      </w:r>
      <w:r>
        <w:noBreakHyphen/>
        <w:t>dessous.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1"/>
        <w:gridCol w:w="1839"/>
        <w:gridCol w:w="1880"/>
        <w:gridCol w:w="1880"/>
        <w:gridCol w:w="2096"/>
      </w:tblGrid>
      <w:tr w:rsidR="00000000">
        <w:tblPrEx>
          <w:tblCellMar>
            <w:top w:w="0" w:type="dxa"/>
            <w:bottom w:w="0" w:type="dxa"/>
          </w:tblCellMar>
        </w:tblPrEx>
        <w:tc>
          <w:tcPr>
            <w:tcW w:w="1899" w:type="dxa"/>
            <w:vAlign w:val="center"/>
          </w:tcPr>
          <w:p w:rsidR="00000000" w:rsidRDefault="00000000">
            <w:pPr>
              <w:keepNext/>
              <w:widowControl w:val="0"/>
              <w:spacing w:before="60" w:after="60"/>
              <w:jc w:val="center"/>
              <w:rPr>
                <w:sz w:val="22"/>
              </w:rPr>
            </w:pPr>
            <w:r>
              <w:rPr>
                <w:sz w:val="22"/>
              </w:rPr>
              <w:t>Année</w:t>
            </w:r>
          </w:p>
        </w:tc>
        <w:tc>
          <w:tcPr>
            <w:tcW w:w="1899" w:type="dxa"/>
            <w:vAlign w:val="center"/>
          </w:tcPr>
          <w:p w:rsidR="00000000" w:rsidRDefault="00000000">
            <w:pPr>
              <w:keepNext/>
              <w:widowControl w:val="0"/>
              <w:spacing w:before="20" w:after="20"/>
              <w:jc w:val="center"/>
              <w:rPr>
                <w:sz w:val="22"/>
              </w:rPr>
            </w:pPr>
            <w:r>
              <w:rPr>
                <w:sz w:val="22"/>
              </w:rPr>
              <w:t>Nombre total de parturientes</w:t>
            </w:r>
          </w:p>
        </w:tc>
        <w:tc>
          <w:tcPr>
            <w:tcW w:w="1899" w:type="dxa"/>
            <w:vAlign w:val="center"/>
          </w:tcPr>
          <w:p w:rsidR="00000000" w:rsidRDefault="00000000">
            <w:pPr>
              <w:keepNext/>
              <w:widowControl w:val="0"/>
              <w:spacing w:before="20" w:after="20"/>
              <w:jc w:val="center"/>
              <w:rPr>
                <w:sz w:val="22"/>
              </w:rPr>
            </w:pPr>
            <w:r>
              <w:rPr>
                <w:sz w:val="22"/>
              </w:rPr>
              <w:t>Nombre d’accouchements dans une maternité</w:t>
            </w:r>
          </w:p>
        </w:tc>
        <w:tc>
          <w:tcPr>
            <w:tcW w:w="1899" w:type="dxa"/>
            <w:vAlign w:val="center"/>
          </w:tcPr>
          <w:p w:rsidR="00000000" w:rsidRDefault="00000000">
            <w:pPr>
              <w:keepNext/>
              <w:widowControl w:val="0"/>
              <w:spacing w:before="20" w:after="20"/>
              <w:jc w:val="center"/>
              <w:rPr>
                <w:sz w:val="22"/>
              </w:rPr>
            </w:pPr>
            <w:r>
              <w:rPr>
                <w:sz w:val="22"/>
              </w:rPr>
              <w:t>Nombre d’accouchements à domicile</w:t>
            </w:r>
          </w:p>
        </w:tc>
        <w:tc>
          <w:tcPr>
            <w:tcW w:w="1899" w:type="dxa"/>
            <w:vAlign w:val="center"/>
          </w:tcPr>
          <w:p w:rsidR="00000000" w:rsidRDefault="00000000">
            <w:pPr>
              <w:keepNext/>
              <w:widowControl w:val="0"/>
              <w:spacing w:before="20" w:after="20"/>
              <w:jc w:val="center"/>
              <w:rPr>
                <w:sz w:val="22"/>
              </w:rPr>
            </w:pPr>
            <w:r>
              <w:rPr>
                <w:sz w:val="22"/>
              </w:rPr>
              <w:t>Taux de mortalité (pour 1000 naissances vivantes)</w:t>
            </w:r>
          </w:p>
        </w:tc>
      </w:tr>
      <w:tr w:rsidR="00000000">
        <w:tblPrEx>
          <w:tblCellMar>
            <w:top w:w="0" w:type="dxa"/>
            <w:bottom w:w="0" w:type="dxa"/>
          </w:tblCellMar>
        </w:tblPrEx>
        <w:tc>
          <w:tcPr>
            <w:tcW w:w="1899" w:type="dxa"/>
          </w:tcPr>
          <w:p w:rsidR="00000000" w:rsidRDefault="00000000">
            <w:pPr>
              <w:widowControl w:val="0"/>
              <w:spacing w:before="20" w:after="20"/>
              <w:rPr>
                <w:sz w:val="22"/>
              </w:rPr>
            </w:pPr>
            <w:r>
              <w:rPr>
                <w:sz w:val="22"/>
              </w:rPr>
              <w:t>1998</w:t>
            </w:r>
          </w:p>
        </w:tc>
        <w:tc>
          <w:tcPr>
            <w:tcW w:w="1899" w:type="dxa"/>
          </w:tcPr>
          <w:p w:rsidR="00000000" w:rsidRDefault="00000000">
            <w:pPr>
              <w:widowControl w:val="0"/>
              <w:spacing w:before="20" w:after="20"/>
              <w:jc w:val="center"/>
              <w:rPr>
                <w:sz w:val="22"/>
              </w:rPr>
            </w:pPr>
            <w:r>
              <w:rPr>
                <w:sz w:val="22"/>
              </w:rPr>
              <w:t>50 177</w:t>
            </w:r>
          </w:p>
        </w:tc>
        <w:tc>
          <w:tcPr>
            <w:tcW w:w="1899" w:type="dxa"/>
          </w:tcPr>
          <w:p w:rsidR="00000000" w:rsidRDefault="00000000">
            <w:pPr>
              <w:widowControl w:val="0"/>
              <w:spacing w:before="20" w:after="20"/>
              <w:jc w:val="center"/>
              <w:rPr>
                <w:sz w:val="22"/>
              </w:rPr>
            </w:pPr>
            <w:r>
              <w:rPr>
                <w:sz w:val="22"/>
              </w:rPr>
              <w:t>48 532</w:t>
            </w:r>
          </w:p>
        </w:tc>
        <w:tc>
          <w:tcPr>
            <w:tcW w:w="1899" w:type="dxa"/>
          </w:tcPr>
          <w:p w:rsidR="00000000" w:rsidRDefault="00000000">
            <w:pPr>
              <w:widowControl w:val="0"/>
              <w:spacing w:before="20" w:after="20"/>
              <w:jc w:val="center"/>
              <w:rPr>
                <w:sz w:val="22"/>
              </w:rPr>
            </w:pPr>
            <w:r>
              <w:rPr>
                <w:sz w:val="22"/>
              </w:rPr>
              <w:t>1 646</w:t>
            </w:r>
          </w:p>
        </w:tc>
        <w:tc>
          <w:tcPr>
            <w:tcW w:w="1899" w:type="dxa"/>
          </w:tcPr>
          <w:p w:rsidR="00000000" w:rsidRDefault="00000000">
            <w:pPr>
              <w:widowControl w:val="0"/>
              <w:spacing w:before="20" w:after="20"/>
              <w:jc w:val="center"/>
              <w:rPr>
                <w:sz w:val="22"/>
              </w:rPr>
            </w:pPr>
            <w:r>
              <w:rPr>
                <w:sz w:val="22"/>
              </w:rPr>
              <w:t>68,56</w:t>
            </w:r>
          </w:p>
        </w:tc>
      </w:tr>
      <w:tr w:rsidR="00000000">
        <w:tblPrEx>
          <w:tblCellMar>
            <w:top w:w="0" w:type="dxa"/>
            <w:bottom w:w="0" w:type="dxa"/>
          </w:tblCellMar>
        </w:tblPrEx>
        <w:tc>
          <w:tcPr>
            <w:tcW w:w="1899" w:type="dxa"/>
          </w:tcPr>
          <w:p w:rsidR="00000000" w:rsidRDefault="00000000">
            <w:pPr>
              <w:widowControl w:val="0"/>
              <w:spacing w:before="20" w:after="20"/>
              <w:rPr>
                <w:sz w:val="22"/>
              </w:rPr>
            </w:pPr>
            <w:r>
              <w:rPr>
                <w:sz w:val="22"/>
              </w:rPr>
              <w:t>1999</w:t>
            </w:r>
          </w:p>
        </w:tc>
        <w:tc>
          <w:tcPr>
            <w:tcW w:w="1899" w:type="dxa"/>
          </w:tcPr>
          <w:p w:rsidR="00000000" w:rsidRDefault="00000000">
            <w:pPr>
              <w:widowControl w:val="0"/>
              <w:spacing w:before="20" w:after="20"/>
              <w:jc w:val="center"/>
              <w:rPr>
                <w:sz w:val="22"/>
              </w:rPr>
            </w:pPr>
            <w:r>
              <w:rPr>
                <w:sz w:val="22"/>
              </w:rPr>
              <w:t>47 669</w:t>
            </w:r>
          </w:p>
        </w:tc>
        <w:tc>
          <w:tcPr>
            <w:tcW w:w="1899" w:type="dxa"/>
          </w:tcPr>
          <w:p w:rsidR="00000000" w:rsidRDefault="00000000">
            <w:pPr>
              <w:widowControl w:val="0"/>
              <w:spacing w:before="20" w:after="20"/>
              <w:jc w:val="center"/>
              <w:rPr>
                <w:sz w:val="22"/>
              </w:rPr>
            </w:pPr>
            <w:r>
              <w:rPr>
                <w:sz w:val="22"/>
              </w:rPr>
              <w:t>45 801</w:t>
            </w:r>
          </w:p>
        </w:tc>
        <w:tc>
          <w:tcPr>
            <w:tcW w:w="1899" w:type="dxa"/>
          </w:tcPr>
          <w:p w:rsidR="00000000" w:rsidRDefault="00000000">
            <w:pPr>
              <w:widowControl w:val="0"/>
              <w:spacing w:before="20" w:after="20"/>
              <w:jc w:val="center"/>
              <w:rPr>
                <w:sz w:val="22"/>
              </w:rPr>
            </w:pPr>
            <w:r>
              <w:rPr>
                <w:sz w:val="22"/>
              </w:rPr>
              <w:t>1 868</w:t>
            </w:r>
          </w:p>
        </w:tc>
        <w:tc>
          <w:tcPr>
            <w:tcW w:w="1899" w:type="dxa"/>
          </w:tcPr>
          <w:p w:rsidR="00000000" w:rsidRDefault="00000000">
            <w:pPr>
              <w:widowControl w:val="0"/>
              <w:spacing w:before="20" w:after="20"/>
              <w:jc w:val="center"/>
              <w:rPr>
                <w:sz w:val="22"/>
              </w:rPr>
            </w:pPr>
            <w:r>
              <w:rPr>
                <w:sz w:val="22"/>
              </w:rPr>
              <w:t>51,25</w:t>
            </w:r>
          </w:p>
        </w:tc>
      </w:tr>
    </w:tbl>
    <w:p w:rsidR="00000000" w:rsidRDefault="00000000">
      <w:pPr>
        <w:keepNext/>
        <w:widowControl w:val="0"/>
        <w:spacing w:after="240"/>
        <w:ind w:left="1701" w:hanging="567"/>
        <w:rPr>
          <w:u w:val="single"/>
        </w:rPr>
      </w:pPr>
      <w:r>
        <w:t>h)</w:t>
      </w:r>
      <w:r>
        <w:tab/>
      </w:r>
      <w:r>
        <w:rPr>
          <w:u w:val="single"/>
        </w:rPr>
        <w:t>Proportion d’enfants bénéficiant de soins médicaux</w:t>
      </w:r>
    </w:p>
    <w:p w:rsidR="00000000" w:rsidRDefault="00000000">
      <w:pPr>
        <w:keepNext/>
        <w:widowControl w:val="0"/>
        <w:spacing w:after="240"/>
      </w:pPr>
      <w:r>
        <w:t>203.</w:t>
      </w:r>
      <w:r>
        <w:tab/>
        <w:t>Selon les données du Ministère du travail, de la santé et de la protection sociale, 1 247 275 enfants et adolescents de 0 à 18 ans se sont rendus dans des dispensaires de soins ambulatoires en 1998, dont 1 017 678 enfants de moins de quinze ans et 49 891 enfants de moins d’un an. Pour 1999, ces chiffres étaient les suivants: 1 123 346 enfants et adolescents, dont 990 859 enfants de moins de 15 ans et 47 537 enfants de moins d’un an.</w:t>
      </w:r>
    </w:p>
    <w:p w:rsidR="00000000" w:rsidRDefault="00000000">
      <w:pPr>
        <w:widowControl w:val="0"/>
        <w:spacing w:after="240"/>
        <w:ind w:firstLine="567"/>
      </w:pPr>
      <w:r>
        <w:rPr>
          <w:u w:val="single"/>
        </w:rPr>
        <w:t>Groupes de population les plus défavorisés sur le plan de la santé</w:t>
      </w:r>
    </w:p>
    <w:p w:rsidR="00000000" w:rsidRDefault="00000000">
      <w:pPr>
        <w:widowControl w:val="0"/>
        <w:spacing w:after="240"/>
      </w:pPr>
      <w:r>
        <w:t>204.</w:t>
      </w:r>
      <w:r>
        <w:tab/>
        <w:t>Appartiennent à cette catégorie les populations nécessiteuses qui n’ont pas accès aux soins médicaux les plus élémentaires. On trouvera de plus amples renseignements sur cette question dans le rapport initial sur l’application du Pacte (par. 242 à 247). Lorsqu’il a commencé à réorganiser le système de santé, l’État a entrepris l’exécution de programmes élargis de protection de la santé, dont l’un parmi les plus importants est le programme national d’aide médicale complémentaire aux groupes sociaux ne bénéficiant d’aucune protection sociale.</w:t>
      </w:r>
    </w:p>
    <w:p w:rsidR="00000000" w:rsidRDefault="00000000">
      <w:pPr>
        <w:widowControl w:val="0"/>
        <w:spacing w:after="240"/>
      </w:pPr>
      <w:r>
        <w:t>205.</w:t>
      </w:r>
      <w:r>
        <w:tab/>
        <w:t>Les régions où la situation de la population en matière de santé est la plus alarmante sont celles de Ratcha-Letckhoumi (Kvemo Svaneti) et de Zemo Svaneti, ainsi que la ville de Poti. Les indicateurs de morbidité y sont moins bons que la moyenne nationale.</w:t>
      </w:r>
    </w:p>
    <w:p w:rsidR="00000000" w:rsidRDefault="00000000">
      <w:pPr>
        <w:widowControl w:val="0"/>
        <w:spacing w:after="240"/>
      </w:pPr>
      <w:r>
        <w:t>206.</w:t>
      </w:r>
      <w:r>
        <w:tab/>
        <w:t>L’amélioration de l’état de santé de la population est directement tributaire de la création de conditions normales de travail et de repos. Un rôle déterminant est joué à cet égard par les facteurs suivants: a) approvisionnement en produits alimentaires et en eau potable salubres; b) adoption d’un mode de vie sain; c) amélioration des connaissances médicales élémentaires et des gestes de premiers soins et d) élimination des tensions sociales. Selon les renseignements communiqués par le Ministère du travail, de la santé et de la protection sociale, ce type de mesures est prévu dans les programmes nationaux. Les résultats obtenus sont évalués sur la base d’indicateurs expressément élaborés à cet effet. Il convient toutefois de noter que compte tenu de la situation dans laquelle le pays se trouve (et qui est largement exposée dans le présent rapport), il est difficile de prévoir des progrès importants dans ce domaine.</w:t>
      </w:r>
    </w:p>
    <w:p w:rsidR="00000000" w:rsidRDefault="00000000">
      <w:pPr>
        <w:widowControl w:val="0"/>
        <w:spacing w:after="240"/>
        <w:ind w:firstLine="567"/>
      </w:pPr>
      <w:r>
        <w:rPr>
          <w:u w:val="single"/>
        </w:rPr>
        <w:t>Réduction de la mortinatalité et de la mortalité infantile</w:t>
      </w:r>
    </w:p>
    <w:p w:rsidR="00000000" w:rsidRDefault="00000000">
      <w:pPr>
        <w:widowControl w:val="0"/>
        <w:spacing w:after="240"/>
      </w:pPr>
      <w:r>
        <w:t>207.</w:t>
      </w:r>
      <w:r>
        <w:tab/>
        <w:t>On trouvera de plus amples renseignements sur cette question dans le deuxième rapport périodique sur l’application du Pacte international relatif aux droits civils et politiques (par. 90, 91 et 94 à 96).</w:t>
      </w:r>
    </w:p>
    <w:p w:rsidR="00000000" w:rsidRDefault="00000000">
      <w:pPr>
        <w:autoSpaceDE w:val="0"/>
        <w:autoSpaceDN w:val="0"/>
        <w:adjustRightInd w:val="0"/>
        <w:spacing w:after="240"/>
      </w:pPr>
      <w:r>
        <w:t>208.</w:t>
      </w:r>
      <w:r>
        <w:tab/>
        <w:t>Depuis 1999,</w:t>
      </w:r>
      <w:r>
        <w:rPr>
          <w:szCs w:val="24"/>
        </w:rPr>
        <w:t xml:space="preserve"> un train de mesures a été pris pour réduire la mortalité des enfants de moins d’un an, dont la mise en place d’un système d’orientation pour les femmes enceintes, les parturientes et les accouchées avec leurs nouveau-nés, et la réalisation d’une expertise de chaque cas de décès.</w:t>
      </w:r>
      <w:r>
        <w:t xml:space="preserve"> L’évaluation effectuée par le Ministère du travail, de la santé et de la protection sociale montre que ces dispositions ont permis d’améliorer la qualité des soins médicaux apportés aux nouveau</w:t>
      </w:r>
      <w:r>
        <w:noBreakHyphen/>
        <w:t>nés et de régler la question de leur hospitalisation et de l’enregistrement des décès. Les statistiques concernant la mortalité des enfants de moins d’un an ont été présentées plus haut.</w:t>
      </w:r>
    </w:p>
    <w:p w:rsidR="00000000" w:rsidRDefault="00000000">
      <w:pPr>
        <w:keepNext/>
        <w:autoSpaceDE w:val="0"/>
        <w:autoSpaceDN w:val="0"/>
        <w:adjustRightInd w:val="0"/>
        <w:spacing w:after="240"/>
        <w:ind w:firstLine="567"/>
      </w:pPr>
      <w:r>
        <w:rPr>
          <w:u w:val="single"/>
        </w:rPr>
        <w:t>Mesures visant à renforcer l’hygiène du travail</w:t>
      </w:r>
    </w:p>
    <w:p w:rsidR="00000000" w:rsidRDefault="00000000">
      <w:pPr>
        <w:keepNext/>
        <w:autoSpaceDE w:val="0"/>
        <w:autoSpaceDN w:val="0"/>
        <w:adjustRightInd w:val="0"/>
        <w:spacing w:after="240"/>
      </w:pPr>
      <w:r>
        <w:t>209.</w:t>
      </w:r>
      <w:r>
        <w:tab/>
        <w:t>Les mesures ci-après sont prises pour améliorer les conditions de travail dans les secteurs de la production:</w:t>
      </w:r>
    </w:p>
    <w:p w:rsidR="00000000" w:rsidRDefault="00000000">
      <w:pPr>
        <w:numPr>
          <w:ilvl w:val="0"/>
          <w:numId w:val="76"/>
        </w:numPr>
        <w:autoSpaceDE w:val="0"/>
        <w:autoSpaceDN w:val="0"/>
        <w:adjustRightInd w:val="0"/>
        <w:spacing w:after="240"/>
      </w:pPr>
      <w:r>
        <w:t>Analyse systématique des conditions de travail et de l’état de santé des travailleurs, afin de recenser les sites les plus problématiques;</w:t>
      </w:r>
    </w:p>
    <w:p w:rsidR="00000000" w:rsidRDefault="00000000">
      <w:pPr>
        <w:numPr>
          <w:ilvl w:val="0"/>
          <w:numId w:val="76"/>
        </w:numPr>
        <w:autoSpaceDE w:val="0"/>
        <w:autoSpaceDN w:val="0"/>
        <w:adjustRightInd w:val="0"/>
        <w:spacing w:after="240"/>
      </w:pPr>
      <w:r>
        <w:t>Examen des conditions de travail dans les entreprises où la situation en matière d’hygiène est la plus difficile;</w:t>
      </w:r>
    </w:p>
    <w:p w:rsidR="00000000" w:rsidRDefault="00000000">
      <w:pPr>
        <w:numPr>
          <w:ilvl w:val="0"/>
          <w:numId w:val="76"/>
        </w:numPr>
        <w:autoSpaceDE w:val="0"/>
        <w:autoSpaceDN w:val="0"/>
        <w:adjustRightInd w:val="0"/>
        <w:spacing w:after="240"/>
      </w:pPr>
      <w:r>
        <w:t>Examen de l’état de santé des travailleurs et analyse des maladies entraînant des incapacités de travail temporaires; définition des liens de causalité entre conditions de travail et état de santé;</w:t>
      </w:r>
    </w:p>
    <w:p w:rsidR="00000000" w:rsidRDefault="00000000">
      <w:pPr>
        <w:numPr>
          <w:ilvl w:val="0"/>
          <w:numId w:val="76"/>
        </w:numPr>
        <w:autoSpaceDE w:val="0"/>
        <w:autoSpaceDN w:val="0"/>
        <w:adjustRightInd w:val="0"/>
        <w:spacing w:after="240"/>
      </w:pPr>
      <w:r>
        <w:t>Sur la base de ces analyses, élaboration de mesures concrètes visant à améliorer les conditions de travail et l’état de santé des travailleurs, ainsi que l’organisation et la qualité des services médicaux;</w:t>
      </w:r>
    </w:p>
    <w:p w:rsidR="00000000" w:rsidRDefault="00000000">
      <w:pPr>
        <w:numPr>
          <w:ilvl w:val="0"/>
          <w:numId w:val="76"/>
        </w:numPr>
        <w:autoSpaceDE w:val="0"/>
        <w:autoSpaceDN w:val="0"/>
        <w:adjustRightInd w:val="0"/>
        <w:spacing w:after="240"/>
      </w:pPr>
      <w:r>
        <w:t>Communication des résultats de ces travaux à la direction et aux organes de tutelle des entreprises, aux établissements médicaux qui prodiguent des soins et mènent des activités de prévention dans ces entreprises et aux départements intéressés du Ministère du travail, de la santé et de la protection sociale.</w:t>
      </w:r>
    </w:p>
    <w:p w:rsidR="00000000" w:rsidRDefault="00000000">
      <w:pPr>
        <w:autoSpaceDE w:val="0"/>
        <w:autoSpaceDN w:val="0"/>
        <w:adjustRightInd w:val="0"/>
        <w:spacing w:after="240"/>
      </w:pPr>
      <w:r>
        <w:t>210.</w:t>
      </w:r>
      <w:r>
        <w:tab/>
        <w:t>En outre, pour créer les conditions propices au contrôle efficace de l’état sanitaire des entreprises, on élabore des textes normatifs et des méthodes pour l’assainissement du milieu professionnel en général et de chaque branche d’activité en particulier, qui sont ensuite soumis au Ministère du travail, de la santé et de la protection sociale, pour approbation.</w:t>
      </w:r>
    </w:p>
    <w:p w:rsidR="00000000" w:rsidRDefault="00000000">
      <w:pPr>
        <w:autoSpaceDE w:val="0"/>
        <w:autoSpaceDN w:val="0"/>
        <w:adjustRightInd w:val="0"/>
        <w:spacing w:after="240"/>
      </w:pPr>
      <w:r>
        <w:t>211.</w:t>
      </w:r>
      <w:r>
        <w:tab/>
        <w:t>Vu la situation socioéconomique difficile du pays, le système de comptabilisation des données sur les incapacités de travail temporaires résultant de maladies ne fonctionne plus depuis quelques années, ce qui fait qu’il n’est pas possible de définir les liens de causalité entre les conditions de travail et l’état de santé. Il est de ce fait impossible d’organiser correctement le processus d’élaboration de mesures de prévention cohérentes.</w:t>
      </w:r>
    </w:p>
    <w:p w:rsidR="00000000" w:rsidRDefault="00000000">
      <w:pPr>
        <w:autoSpaceDE w:val="0"/>
        <w:autoSpaceDN w:val="0"/>
        <w:adjustRightInd w:val="0"/>
        <w:spacing w:after="240"/>
        <w:ind w:firstLine="567"/>
      </w:pPr>
      <w:r>
        <w:rPr>
          <w:u w:val="single"/>
        </w:rPr>
        <w:t>Lutte contre les maladies endémiques, épidémiques et autres</w:t>
      </w:r>
    </w:p>
    <w:p w:rsidR="00000000" w:rsidRDefault="00000000">
      <w:pPr>
        <w:autoSpaceDE w:val="0"/>
        <w:autoSpaceDN w:val="0"/>
        <w:adjustRightInd w:val="0"/>
        <w:spacing w:after="240"/>
      </w:pPr>
      <w:r>
        <w:t>212.</w:t>
      </w:r>
      <w:r>
        <w:tab/>
        <w:t>Un programme de suivi des infections contagieuses particulièrement dangereuses ou assimilées et de surveillance épidémiologique est en vigueur depuis 1995.</w:t>
      </w:r>
    </w:p>
    <w:p w:rsidR="00000000" w:rsidRDefault="00000000">
      <w:pPr>
        <w:autoSpaceDE w:val="0"/>
        <w:autoSpaceDN w:val="0"/>
        <w:adjustRightInd w:val="0"/>
        <w:spacing w:after="240"/>
        <w:ind w:firstLine="567"/>
      </w:pPr>
      <w:r>
        <w:rPr>
          <w:u w:val="single"/>
        </w:rPr>
        <w:t>Accès universel aux soins médicaux</w:t>
      </w:r>
    </w:p>
    <w:p w:rsidR="00000000" w:rsidRDefault="00000000">
      <w:pPr>
        <w:autoSpaceDE w:val="0"/>
        <w:autoSpaceDN w:val="0"/>
        <w:adjustRightInd w:val="0"/>
        <w:spacing w:after="240"/>
      </w:pPr>
      <w:r>
        <w:t>213.</w:t>
      </w:r>
      <w:r>
        <w:tab/>
        <w:t>Comme indiqué dans le rapport initial sur l’application du Pacte, les prestations médicales destinées à toutes les personnes résidant en Géorgie sont assurées dans le cadre de programmes nationaux et municipaux, conformément aux normes d’État concernant les soins ambulatoires et hospitaliers. En outre, il convient de noter que les services médicaux hors normes et les tarifs des médicaments ne sont pas réglementés par l’État.</w:t>
      </w:r>
    </w:p>
    <w:p w:rsidR="00000000" w:rsidRDefault="00000000">
      <w:pPr>
        <w:keepNext/>
        <w:autoSpaceDE w:val="0"/>
        <w:autoSpaceDN w:val="0"/>
        <w:adjustRightInd w:val="0"/>
        <w:spacing w:after="240"/>
        <w:ind w:firstLine="567"/>
      </w:pPr>
      <w:r>
        <w:rPr>
          <w:u w:val="single"/>
        </w:rPr>
        <w:t>Organisation des soins de santé primaires</w:t>
      </w:r>
    </w:p>
    <w:p w:rsidR="00000000" w:rsidRDefault="00000000">
      <w:pPr>
        <w:autoSpaceDE w:val="0"/>
        <w:autoSpaceDN w:val="0"/>
        <w:adjustRightInd w:val="0"/>
        <w:spacing w:after="240"/>
      </w:pPr>
      <w:r>
        <w:t>214.</w:t>
      </w:r>
      <w:r>
        <w:tab/>
        <w:t>Les soins de santé primaires, assurés dans le cadre du système de santé publique, visent avant tout: a) à établir un premier contact entre la population et le secteur médico</w:t>
      </w:r>
      <w:r>
        <w:noBreakHyphen/>
        <w:t>social en garantissant un accès optimal à ce secteur et b) à créer les conditions indispensables à un suivi continu de l’état de santé de la population.</w:t>
      </w:r>
    </w:p>
    <w:p w:rsidR="00000000" w:rsidRDefault="00000000">
      <w:pPr>
        <w:autoSpaceDE w:val="0"/>
        <w:autoSpaceDN w:val="0"/>
        <w:adjustRightInd w:val="0"/>
        <w:spacing w:after="240"/>
      </w:pPr>
      <w:r>
        <w:t>215.</w:t>
      </w:r>
      <w:r>
        <w:tab/>
        <w:t>La stratégie de base dans ce domaine repose sur l’exercice de la médecine générale et la profession de médecin de famille.</w:t>
      </w:r>
    </w:p>
    <w:p w:rsidR="00000000" w:rsidRDefault="00000000">
      <w:pPr>
        <w:autoSpaceDE w:val="0"/>
        <w:autoSpaceDN w:val="0"/>
        <w:adjustRightInd w:val="0"/>
        <w:spacing w:after="240"/>
      </w:pPr>
      <w:r>
        <w:t>216.</w:t>
      </w:r>
      <w:r>
        <w:tab/>
        <w:t>Les soins de santé primaires sont assurés par les établissements de soins et de prévention (infirmerie de village, dispensaire, polyclinique, etc.), tant publics que privés. Le Département de la santé publique du Ministère du travail, de la santé et de la protection sociale est chargé d’élaborer la politique et la stratégie de santé publique. Il définit les normes nationales se rapportant aux soins médicaux, délivre les autorisations de fonctionnement des établissements de santé et assure le contrôle de la qualité des soins médicaux et de la formation médicale, notamment. Au niveau local (dans les unités administratives territoriales), ce sont les organes locaux du pouvoir qui réglementent l’activité du système de soins de santé primaires.</w:t>
      </w:r>
    </w:p>
    <w:p w:rsidR="00000000" w:rsidRDefault="00000000">
      <w:pPr>
        <w:keepNext/>
        <w:autoSpaceDE w:val="0"/>
        <w:autoSpaceDN w:val="0"/>
        <w:adjustRightInd w:val="0"/>
        <w:spacing w:after="240"/>
      </w:pPr>
      <w:r>
        <w:t>217.</w:t>
      </w:r>
      <w:r>
        <w:tab/>
        <w:t>Le financement des soins de santé primaires est assuré principalement par:</w:t>
      </w:r>
    </w:p>
    <w:p w:rsidR="00000000" w:rsidRDefault="00000000">
      <w:pPr>
        <w:numPr>
          <w:ilvl w:val="0"/>
          <w:numId w:val="77"/>
        </w:numPr>
        <w:autoSpaceDE w:val="0"/>
        <w:autoSpaceDN w:val="0"/>
        <w:adjustRightInd w:val="0"/>
        <w:spacing w:after="240"/>
      </w:pPr>
      <w:r>
        <w:t>Les programmes nationaux de soins et de prévention;</w:t>
      </w:r>
    </w:p>
    <w:p w:rsidR="00000000" w:rsidRDefault="00000000">
      <w:pPr>
        <w:numPr>
          <w:ilvl w:val="0"/>
          <w:numId w:val="77"/>
        </w:numPr>
        <w:autoSpaceDE w:val="0"/>
        <w:autoSpaceDN w:val="0"/>
        <w:adjustRightInd w:val="0"/>
        <w:spacing w:after="240"/>
      </w:pPr>
      <w:r>
        <w:t>Les programmes locaux (médicaux) de soins et de prévention;</w:t>
      </w:r>
    </w:p>
    <w:p w:rsidR="00000000" w:rsidRDefault="00000000">
      <w:pPr>
        <w:numPr>
          <w:ilvl w:val="0"/>
          <w:numId w:val="77"/>
        </w:numPr>
        <w:autoSpaceDE w:val="0"/>
        <w:autoSpaceDN w:val="0"/>
        <w:adjustRightInd w:val="0"/>
        <w:spacing w:after="240"/>
      </w:pPr>
      <w:r>
        <w:t>Les recettes provenant des services offerts à la population en dehors des programmes susmentionnés, conformément aux normes internes;</w:t>
      </w:r>
    </w:p>
    <w:p w:rsidR="00000000" w:rsidRDefault="00000000">
      <w:pPr>
        <w:numPr>
          <w:ilvl w:val="0"/>
          <w:numId w:val="77"/>
        </w:numPr>
        <w:autoSpaceDE w:val="0"/>
        <w:autoSpaceDN w:val="0"/>
        <w:adjustRightInd w:val="0"/>
        <w:spacing w:after="240"/>
      </w:pPr>
      <w:r>
        <w:t>Les recettes provenant de toute autre activité autorisée.</w:t>
      </w:r>
    </w:p>
    <w:p w:rsidR="00000000" w:rsidRDefault="00000000">
      <w:pPr>
        <w:keepNext/>
        <w:autoSpaceDE w:val="0"/>
        <w:autoSpaceDN w:val="0"/>
        <w:adjustRightInd w:val="0"/>
        <w:spacing w:after="240"/>
        <w:ind w:firstLine="567"/>
      </w:pPr>
      <w:r>
        <w:rPr>
          <w:u w:val="single"/>
        </w:rPr>
        <w:t>Coopération et contacts internationaux dans le domaine de la santé publique</w:t>
      </w:r>
    </w:p>
    <w:p w:rsidR="00000000" w:rsidRDefault="00000000">
      <w:pPr>
        <w:autoSpaceDE w:val="0"/>
        <w:autoSpaceDN w:val="0"/>
        <w:adjustRightInd w:val="0"/>
        <w:spacing w:after="240"/>
      </w:pPr>
      <w:r>
        <w:t>218.</w:t>
      </w:r>
      <w:r>
        <w:tab/>
        <w:t>Au cours des cinq dernières années, le Ministère du travail, de la santé et de la protection sociale a intensifié sa coopération avec les organisations internationales qui s’occupent, à des degrés divers, des droits de la personne relatifs à la santé.</w:t>
      </w:r>
    </w:p>
    <w:p w:rsidR="00000000" w:rsidRDefault="00000000">
      <w:pPr>
        <w:autoSpaceDE w:val="0"/>
        <w:autoSpaceDN w:val="0"/>
        <w:adjustRightInd w:val="0"/>
        <w:spacing w:after="240"/>
      </w:pPr>
      <w:r>
        <w:t>219.</w:t>
      </w:r>
      <w:r>
        <w:tab/>
        <w:t>La Division des affaires juridiques et de la bioéthique du Centre national de la santé, entre autres départements du Ministère, mène des activités dans ce cadre; elle est notamment chargée d’harmoniser la législation géorgienne relative à la santé avec les normes internationales. Pour ce faire, la Division effectue notamment des travaux de recherche et de classification des instruments internationaux à prendre en considération lors de l’élaboration des lois, organise l’examen critique des projets de loi par des experts étrangers et informe périodiquement les organisations internationales intéressées de la situation des droits de la personne relatifs à la santé, notamment.</w:t>
      </w:r>
    </w:p>
    <w:p w:rsidR="00000000" w:rsidRDefault="00000000">
      <w:pPr>
        <w:keepLines/>
        <w:autoSpaceDE w:val="0"/>
        <w:autoSpaceDN w:val="0"/>
        <w:adjustRightInd w:val="0"/>
        <w:spacing w:after="240"/>
      </w:pPr>
      <w:r>
        <w:br w:type="page"/>
        <w:t>220.</w:t>
      </w:r>
      <w:r>
        <w:tab/>
        <w:t>La Division des affaires juridiques et de la bioéthique coopère avec des organismes internationaux comme le Bureau régional de l’OMS pour l’Europe (service de la gestion de la santé et programme de partenariat européen pour la protection des droits des patients); le Conseil des organisations internationales de sciences médicales; le Comité directeur pour la bioéthique du Conseil de l’Europe; l’Association médicale mondiale, etc.</w:t>
      </w:r>
    </w:p>
    <w:p w:rsidR="00000000" w:rsidRDefault="00000000">
      <w:pPr>
        <w:autoSpaceDE w:val="0"/>
        <w:autoSpaceDN w:val="0"/>
        <w:adjustRightInd w:val="0"/>
        <w:spacing w:after="240"/>
      </w:pPr>
      <w:r>
        <w:t>221.</w:t>
      </w:r>
      <w:r>
        <w:tab/>
        <w:t>Grâce à ces activités, le Ministère du travail, de la santé et de la protection sociale dispose de tous les instruments disponibles sur les droits de la personne relatifs à la santé. La majeure partie de cette documentation a été traduite, publiée et distribuée au personnel des services de santé. Y figurent notamment la Convention du Conseil de l’Europe sur les droits de l’homme et la biomédecine, ainsi que les recommandations et la déclaration de l’Association médicale mondiale sur les droits de l’homme dans le domaine de la santé.</w:t>
      </w:r>
    </w:p>
    <w:p w:rsidR="00000000" w:rsidRDefault="00000000">
      <w:pPr>
        <w:autoSpaceDE w:val="0"/>
        <w:autoSpaceDN w:val="0"/>
        <w:adjustRightInd w:val="0"/>
        <w:spacing w:after="240"/>
      </w:pPr>
      <w:r>
        <w:t>222.</w:t>
      </w:r>
      <w:r>
        <w:tab/>
        <w:t>Le Ministère du travail, de la santé et de la protection sociale a lancé le processus de signature et de ratification de la Convention sur les droits de l’homme et la biomédecine et son Protocole additionnel portant interdiction du clonage d’êtres humains. Ces instruments sont entrés en vigueur à l’égard de la Géorgie le 1</w:t>
      </w:r>
      <w:r>
        <w:rPr>
          <w:vertAlign w:val="superscript"/>
        </w:rPr>
        <w:t>er</w:t>
      </w:r>
      <w:r>
        <w:t> mars 2001. Il convient de noter que l’État partie est le cinquième pays d’Europe à avoir ratifié le Protocole additionnel.</w:t>
      </w:r>
    </w:p>
    <w:p w:rsidR="00000000" w:rsidRDefault="00000000">
      <w:pPr>
        <w:autoSpaceDE w:val="0"/>
        <w:autoSpaceDN w:val="0"/>
        <w:adjustRightInd w:val="0"/>
        <w:spacing w:after="240"/>
      </w:pPr>
      <w:r>
        <w:t>223.</w:t>
      </w:r>
      <w:r>
        <w:tab/>
        <w:t>L’assistance internationale visant à renforcer la législation géorgienne est très importante. Ainsi, le projet de loi sur les droits du patient a été examiné par des experts du Bureau régional de l’OMS pour l’Europe et du groupe de travail sur l’initiative des lois en Europe centrale et orientale de l’Association des juristes américains ainsi que par des experts de l’Université de Toronto (Canada). Avec l’appui de la Direction des droits de l’homme du Conseil de l’Europe, le projet de loi relatif à la recherche biomédicale sur l’être humain a été examiné par d’éminents spécialistes, qui sont par ailleurs les auteurs de la Convention sur les droits de l’homme et la biomédecine. Ces experts ont conclu que la législation géorgienne avait été mise en conformité avec les dispositions des instruments internationaux relatifs aux droits de l’homme dans le domaine de la santé.</w:t>
      </w:r>
    </w:p>
    <w:p w:rsidR="00000000" w:rsidRDefault="00000000">
      <w:pPr>
        <w:autoSpaceDE w:val="0"/>
        <w:autoSpaceDN w:val="0"/>
        <w:adjustRightInd w:val="0"/>
        <w:spacing w:after="240"/>
      </w:pPr>
      <w:r>
        <w:t>224.</w:t>
      </w:r>
      <w:r>
        <w:tab/>
        <w:t>Les organisations internationales intéressées reçoivent régulièrement des renseignements sur la situation des droits de l’homme et de la santé en Géorgie. C’est ainsi que le Bureau régional de l’OMS pour l’Europe a publié dans son rapport sur la promotion des droits des patients en Europe (décembre 1998) des données détaillées sur la législation géorgienne régissant les droits du patient. Pendant la période 1999</w:t>
      </w:r>
      <w:r>
        <w:noBreakHyphen/>
        <w:t>2000, le Comité directeur pour la bioéthique du Conseil de l’Europe a périodiquement présenté dans ses publications des données sur les progrès réalisés par la Géorgie dans le domaine des droits de l’homme et de la biomédecine.</w:t>
      </w:r>
    </w:p>
    <w:p w:rsidR="00000000" w:rsidRDefault="00000000">
      <w:pPr>
        <w:keepNext/>
        <w:autoSpaceDE w:val="0"/>
        <w:autoSpaceDN w:val="0"/>
        <w:adjustRightInd w:val="0"/>
        <w:spacing w:after="180" w:line="270" w:lineRule="exact"/>
        <w:ind w:left="567"/>
        <w:rPr>
          <w:u w:val="single"/>
        </w:rPr>
      </w:pPr>
      <w:r>
        <w:rPr>
          <w:u w:val="single"/>
        </w:rPr>
        <w:br w:type="page"/>
        <w:t>Données statistiques supplémentaires sur le droit qu’a toute personne de jouir du meilleur état de santé physique et mentale</w:t>
      </w:r>
    </w:p>
    <w:p w:rsidR="00000000" w:rsidRDefault="00000000">
      <w:pPr>
        <w:keepNext/>
        <w:autoSpaceDE w:val="0"/>
        <w:autoSpaceDN w:val="0"/>
        <w:adjustRightInd w:val="0"/>
        <w:spacing w:after="200" w:line="270" w:lineRule="exact"/>
        <w:jc w:val="center"/>
      </w:pPr>
      <w:r>
        <w:rPr>
          <w:u w:val="single"/>
        </w:rPr>
        <w:t>Principaux indicateurs du système de santé publique pour la période 1997</w:t>
      </w:r>
      <w:r>
        <w:rPr>
          <w:u w:val="single"/>
        </w:rPr>
        <w:noBreakHyphen/>
        <w:t>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61"/>
        <w:gridCol w:w="1178"/>
        <w:gridCol w:w="1178"/>
        <w:gridCol w:w="1178"/>
      </w:tblGrid>
      <w:tr w:rsidR="00000000">
        <w:tblPrEx>
          <w:tblCellMar>
            <w:top w:w="0" w:type="dxa"/>
            <w:bottom w:w="0" w:type="dxa"/>
          </w:tblCellMar>
        </w:tblPrEx>
        <w:tc>
          <w:tcPr>
            <w:tcW w:w="5961" w:type="dxa"/>
          </w:tcPr>
          <w:p w:rsidR="00000000" w:rsidRDefault="00000000">
            <w:pPr>
              <w:autoSpaceDE w:val="0"/>
              <w:autoSpaceDN w:val="0"/>
              <w:adjustRightInd w:val="0"/>
              <w:spacing w:before="60" w:after="60"/>
              <w:rPr>
                <w:sz w:val="22"/>
              </w:rPr>
            </w:pPr>
          </w:p>
        </w:tc>
        <w:tc>
          <w:tcPr>
            <w:tcW w:w="1178" w:type="dxa"/>
          </w:tcPr>
          <w:p w:rsidR="00000000" w:rsidRDefault="00000000">
            <w:pPr>
              <w:autoSpaceDE w:val="0"/>
              <w:autoSpaceDN w:val="0"/>
              <w:adjustRightInd w:val="0"/>
              <w:spacing w:before="60" w:after="60"/>
              <w:jc w:val="center"/>
              <w:rPr>
                <w:sz w:val="22"/>
              </w:rPr>
            </w:pPr>
            <w:r>
              <w:rPr>
                <w:sz w:val="22"/>
              </w:rPr>
              <w:t>1997</w:t>
            </w:r>
          </w:p>
        </w:tc>
        <w:tc>
          <w:tcPr>
            <w:tcW w:w="1178" w:type="dxa"/>
          </w:tcPr>
          <w:p w:rsidR="00000000" w:rsidRDefault="00000000">
            <w:pPr>
              <w:autoSpaceDE w:val="0"/>
              <w:autoSpaceDN w:val="0"/>
              <w:adjustRightInd w:val="0"/>
              <w:spacing w:before="60" w:after="60"/>
              <w:jc w:val="center"/>
              <w:rPr>
                <w:sz w:val="22"/>
              </w:rPr>
            </w:pPr>
            <w:r>
              <w:rPr>
                <w:sz w:val="22"/>
              </w:rPr>
              <w:t>1998</w:t>
            </w:r>
          </w:p>
        </w:tc>
        <w:tc>
          <w:tcPr>
            <w:tcW w:w="1178" w:type="dxa"/>
          </w:tcPr>
          <w:p w:rsidR="00000000" w:rsidRDefault="00000000">
            <w:pPr>
              <w:autoSpaceDE w:val="0"/>
              <w:autoSpaceDN w:val="0"/>
              <w:adjustRightInd w:val="0"/>
              <w:spacing w:before="60" w:after="60"/>
              <w:jc w:val="center"/>
              <w:rPr>
                <w:sz w:val="22"/>
              </w:rPr>
            </w:pPr>
            <w:r>
              <w:rPr>
                <w:sz w:val="22"/>
              </w:rPr>
              <w:t>1999</w:t>
            </w:r>
          </w:p>
        </w:tc>
      </w:tr>
      <w:tr w:rsidR="00000000">
        <w:tblPrEx>
          <w:tblCellMar>
            <w:top w:w="0" w:type="dxa"/>
            <w:bottom w:w="0" w:type="dxa"/>
          </w:tblCellMar>
        </w:tblPrEx>
        <w:tc>
          <w:tcPr>
            <w:tcW w:w="5961" w:type="dxa"/>
          </w:tcPr>
          <w:p w:rsidR="00000000" w:rsidRDefault="00000000">
            <w:pPr>
              <w:autoSpaceDE w:val="0"/>
              <w:autoSpaceDN w:val="0"/>
              <w:adjustRightInd w:val="0"/>
              <w:spacing w:before="60" w:after="60"/>
              <w:rPr>
                <w:sz w:val="22"/>
              </w:rPr>
            </w:pPr>
            <w:r>
              <w:rPr>
                <w:sz w:val="22"/>
              </w:rPr>
              <w:t>Nombre de médecins, toutes spécialités confondues (en milliers)</w:t>
            </w:r>
          </w:p>
        </w:tc>
        <w:tc>
          <w:tcPr>
            <w:tcW w:w="1178" w:type="dxa"/>
            <w:vAlign w:val="bottom"/>
          </w:tcPr>
          <w:p w:rsidR="00000000" w:rsidRDefault="00000000">
            <w:pPr>
              <w:autoSpaceDE w:val="0"/>
              <w:autoSpaceDN w:val="0"/>
              <w:adjustRightInd w:val="0"/>
              <w:spacing w:before="60" w:after="60"/>
              <w:jc w:val="right"/>
              <w:rPr>
                <w:sz w:val="22"/>
              </w:rPr>
            </w:pPr>
            <w:r>
              <w:rPr>
                <w:sz w:val="22"/>
              </w:rPr>
              <w:t>21,8</w:t>
            </w:r>
          </w:p>
        </w:tc>
        <w:tc>
          <w:tcPr>
            <w:tcW w:w="1178" w:type="dxa"/>
            <w:vAlign w:val="bottom"/>
          </w:tcPr>
          <w:p w:rsidR="00000000" w:rsidRDefault="00000000">
            <w:pPr>
              <w:autoSpaceDE w:val="0"/>
              <w:autoSpaceDN w:val="0"/>
              <w:adjustRightInd w:val="0"/>
              <w:spacing w:before="60" w:after="60"/>
              <w:jc w:val="right"/>
              <w:rPr>
                <w:sz w:val="22"/>
              </w:rPr>
            </w:pPr>
            <w:r>
              <w:rPr>
                <w:sz w:val="22"/>
              </w:rPr>
              <w:t>20,8</w:t>
            </w:r>
          </w:p>
        </w:tc>
        <w:tc>
          <w:tcPr>
            <w:tcW w:w="1178" w:type="dxa"/>
            <w:vAlign w:val="bottom"/>
          </w:tcPr>
          <w:p w:rsidR="00000000" w:rsidRDefault="00000000">
            <w:pPr>
              <w:autoSpaceDE w:val="0"/>
              <w:autoSpaceDN w:val="0"/>
              <w:adjustRightInd w:val="0"/>
              <w:spacing w:before="60" w:after="60"/>
              <w:jc w:val="right"/>
              <w:rPr>
                <w:sz w:val="22"/>
              </w:rPr>
            </w:pPr>
            <w:r>
              <w:rPr>
                <w:sz w:val="22"/>
              </w:rPr>
              <w:t>21,5</w:t>
            </w:r>
          </w:p>
        </w:tc>
      </w:tr>
      <w:tr w:rsidR="00000000">
        <w:tblPrEx>
          <w:tblCellMar>
            <w:top w:w="0" w:type="dxa"/>
            <w:bottom w:w="0" w:type="dxa"/>
          </w:tblCellMar>
        </w:tblPrEx>
        <w:tc>
          <w:tcPr>
            <w:tcW w:w="5961" w:type="dxa"/>
          </w:tcPr>
          <w:p w:rsidR="00000000" w:rsidRDefault="00000000">
            <w:pPr>
              <w:autoSpaceDE w:val="0"/>
              <w:autoSpaceDN w:val="0"/>
              <w:adjustRightInd w:val="0"/>
              <w:spacing w:before="60" w:after="60"/>
              <w:rPr>
                <w:sz w:val="22"/>
              </w:rPr>
            </w:pPr>
            <w:r>
              <w:rPr>
                <w:sz w:val="22"/>
              </w:rPr>
              <w:t>Nombre de médecins pour 10 000 habitants</w:t>
            </w:r>
          </w:p>
        </w:tc>
        <w:tc>
          <w:tcPr>
            <w:tcW w:w="1178" w:type="dxa"/>
          </w:tcPr>
          <w:p w:rsidR="00000000" w:rsidRDefault="00000000">
            <w:pPr>
              <w:autoSpaceDE w:val="0"/>
              <w:autoSpaceDN w:val="0"/>
              <w:adjustRightInd w:val="0"/>
              <w:spacing w:before="60" w:after="60"/>
              <w:jc w:val="right"/>
              <w:rPr>
                <w:sz w:val="22"/>
              </w:rPr>
            </w:pPr>
            <w:r>
              <w:rPr>
                <w:sz w:val="22"/>
              </w:rPr>
              <w:t>40,0</w:t>
            </w:r>
          </w:p>
        </w:tc>
        <w:tc>
          <w:tcPr>
            <w:tcW w:w="1178" w:type="dxa"/>
          </w:tcPr>
          <w:p w:rsidR="00000000" w:rsidRDefault="00000000">
            <w:pPr>
              <w:autoSpaceDE w:val="0"/>
              <w:autoSpaceDN w:val="0"/>
              <w:adjustRightInd w:val="0"/>
              <w:spacing w:before="60" w:after="60"/>
              <w:jc w:val="right"/>
              <w:rPr>
                <w:sz w:val="22"/>
              </w:rPr>
            </w:pPr>
            <w:r>
              <w:rPr>
                <w:sz w:val="22"/>
              </w:rPr>
              <w:t>38,0</w:t>
            </w:r>
          </w:p>
        </w:tc>
        <w:tc>
          <w:tcPr>
            <w:tcW w:w="1178" w:type="dxa"/>
          </w:tcPr>
          <w:p w:rsidR="00000000" w:rsidRDefault="00000000">
            <w:pPr>
              <w:autoSpaceDE w:val="0"/>
              <w:autoSpaceDN w:val="0"/>
              <w:adjustRightInd w:val="0"/>
              <w:spacing w:before="60" w:after="60"/>
              <w:jc w:val="right"/>
              <w:rPr>
                <w:sz w:val="22"/>
              </w:rPr>
            </w:pPr>
            <w:r>
              <w:rPr>
                <w:sz w:val="22"/>
              </w:rPr>
              <w:t>45,0</w:t>
            </w:r>
          </w:p>
        </w:tc>
      </w:tr>
      <w:tr w:rsidR="00000000">
        <w:tblPrEx>
          <w:tblCellMar>
            <w:top w:w="0" w:type="dxa"/>
            <w:bottom w:w="0" w:type="dxa"/>
          </w:tblCellMar>
        </w:tblPrEx>
        <w:tc>
          <w:tcPr>
            <w:tcW w:w="5961" w:type="dxa"/>
          </w:tcPr>
          <w:p w:rsidR="00000000" w:rsidRDefault="00000000">
            <w:pPr>
              <w:autoSpaceDE w:val="0"/>
              <w:autoSpaceDN w:val="0"/>
              <w:adjustRightInd w:val="0"/>
              <w:spacing w:before="60" w:after="60"/>
              <w:rPr>
                <w:sz w:val="22"/>
              </w:rPr>
            </w:pPr>
            <w:r>
              <w:rPr>
                <w:sz w:val="22"/>
              </w:rPr>
              <w:t>Effectifs paramédicaux (en milliers de personnes)</w:t>
            </w:r>
          </w:p>
        </w:tc>
        <w:tc>
          <w:tcPr>
            <w:tcW w:w="1178" w:type="dxa"/>
            <w:vAlign w:val="bottom"/>
          </w:tcPr>
          <w:p w:rsidR="00000000" w:rsidRDefault="00000000">
            <w:pPr>
              <w:autoSpaceDE w:val="0"/>
              <w:autoSpaceDN w:val="0"/>
              <w:adjustRightInd w:val="0"/>
              <w:spacing w:before="60" w:after="60"/>
              <w:jc w:val="right"/>
              <w:rPr>
                <w:sz w:val="22"/>
              </w:rPr>
            </w:pPr>
            <w:r>
              <w:rPr>
                <w:sz w:val="22"/>
              </w:rPr>
              <w:t>29,8</w:t>
            </w:r>
          </w:p>
        </w:tc>
        <w:tc>
          <w:tcPr>
            <w:tcW w:w="1178" w:type="dxa"/>
            <w:vAlign w:val="bottom"/>
          </w:tcPr>
          <w:p w:rsidR="00000000" w:rsidRDefault="00000000">
            <w:pPr>
              <w:autoSpaceDE w:val="0"/>
              <w:autoSpaceDN w:val="0"/>
              <w:adjustRightInd w:val="0"/>
              <w:spacing w:before="60" w:after="60"/>
              <w:jc w:val="right"/>
              <w:rPr>
                <w:sz w:val="22"/>
              </w:rPr>
            </w:pPr>
            <w:r>
              <w:rPr>
                <w:sz w:val="22"/>
              </w:rPr>
              <w:t>28,6</w:t>
            </w:r>
          </w:p>
        </w:tc>
        <w:tc>
          <w:tcPr>
            <w:tcW w:w="1178" w:type="dxa"/>
            <w:vAlign w:val="bottom"/>
          </w:tcPr>
          <w:p w:rsidR="00000000" w:rsidRDefault="00000000">
            <w:pPr>
              <w:autoSpaceDE w:val="0"/>
              <w:autoSpaceDN w:val="0"/>
              <w:adjustRightInd w:val="0"/>
              <w:spacing w:before="60" w:after="60"/>
              <w:jc w:val="right"/>
              <w:rPr>
                <w:sz w:val="22"/>
              </w:rPr>
            </w:pPr>
            <w:r>
              <w:rPr>
                <w:sz w:val="22"/>
              </w:rPr>
              <w:t>28,6</w:t>
            </w:r>
          </w:p>
        </w:tc>
      </w:tr>
      <w:tr w:rsidR="00000000">
        <w:tblPrEx>
          <w:tblCellMar>
            <w:top w:w="0" w:type="dxa"/>
            <w:bottom w:w="0" w:type="dxa"/>
          </w:tblCellMar>
        </w:tblPrEx>
        <w:tc>
          <w:tcPr>
            <w:tcW w:w="5961" w:type="dxa"/>
          </w:tcPr>
          <w:p w:rsidR="00000000" w:rsidRDefault="00000000">
            <w:pPr>
              <w:autoSpaceDE w:val="0"/>
              <w:autoSpaceDN w:val="0"/>
              <w:adjustRightInd w:val="0"/>
              <w:spacing w:before="60" w:after="60"/>
              <w:rPr>
                <w:sz w:val="22"/>
              </w:rPr>
            </w:pPr>
            <w:r>
              <w:rPr>
                <w:sz w:val="22"/>
              </w:rPr>
              <w:t>Effectifs paramédicaux pour 10 000 habitants</w:t>
            </w:r>
          </w:p>
        </w:tc>
        <w:tc>
          <w:tcPr>
            <w:tcW w:w="1178" w:type="dxa"/>
            <w:vAlign w:val="bottom"/>
          </w:tcPr>
          <w:p w:rsidR="00000000" w:rsidRDefault="00000000">
            <w:pPr>
              <w:autoSpaceDE w:val="0"/>
              <w:autoSpaceDN w:val="0"/>
              <w:adjustRightInd w:val="0"/>
              <w:spacing w:before="60" w:after="60"/>
              <w:jc w:val="right"/>
              <w:rPr>
                <w:sz w:val="22"/>
              </w:rPr>
            </w:pPr>
            <w:r>
              <w:rPr>
                <w:sz w:val="22"/>
              </w:rPr>
              <w:t>54,9</w:t>
            </w:r>
          </w:p>
        </w:tc>
        <w:tc>
          <w:tcPr>
            <w:tcW w:w="1178" w:type="dxa"/>
            <w:vAlign w:val="bottom"/>
          </w:tcPr>
          <w:p w:rsidR="00000000" w:rsidRDefault="00000000">
            <w:pPr>
              <w:autoSpaceDE w:val="0"/>
              <w:autoSpaceDN w:val="0"/>
              <w:adjustRightInd w:val="0"/>
              <w:spacing w:before="60" w:after="60"/>
              <w:jc w:val="right"/>
              <w:rPr>
                <w:sz w:val="22"/>
              </w:rPr>
            </w:pPr>
            <w:r>
              <w:rPr>
                <w:sz w:val="22"/>
              </w:rPr>
              <w:t>52,0</w:t>
            </w:r>
          </w:p>
        </w:tc>
        <w:tc>
          <w:tcPr>
            <w:tcW w:w="1178" w:type="dxa"/>
            <w:vAlign w:val="bottom"/>
          </w:tcPr>
          <w:p w:rsidR="00000000" w:rsidRDefault="00000000">
            <w:pPr>
              <w:autoSpaceDE w:val="0"/>
              <w:autoSpaceDN w:val="0"/>
              <w:adjustRightInd w:val="0"/>
              <w:spacing w:before="60" w:after="60"/>
              <w:jc w:val="right"/>
              <w:rPr>
                <w:sz w:val="22"/>
              </w:rPr>
            </w:pPr>
            <w:r>
              <w:rPr>
                <w:sz w:val="22"/>
              </w:rPr>
              <w:t>62,0</w:t>
            </w:r>
          </w:p>
        </w:tc>
      </w:tr>
      <w:tr w:rsidR="00000000">
        <w:tblPrEx>
          <w:tblCellMar>
            <w:top w:w="0" w:type="dxa"/>
            <w:bottom w:w="0" w:type="dxa"/>
          </w:tblCellMar>
        </w:tblPrEx>
        <w:tc>
          <w:tcPr>
            <w:tcW w:w="5961" w:type="dxa"/>
          </w:tcPr>
          <w:p w:rsidR="00000000" w:rsidRDefault="00000000">
            <w:pPr>
              <w:autoSpaceDE w:val="0"/>
              <w:autoSpaceDN w:val="0"/>
              <w:adjustRightInd w:val="0"/>
              <w:spacing w:before="60" w:after="60"/>
              <w:rPr>
                <w:sz w:val="22"/>
              </w:rPr>
            </w:pPr>
            <w:r>
              <w:rPr>
                <w:sz w:val="22"/>
              </w:rPr>
              <w:t>Nombre d’hôpitaux</w:t>
            </w:r>
          </w:p>
        </w:tc>
        <w:tc>
          <w:tcPr>
            <w:tcW w:w="1178" w:type="dxa"/>
          </w:tcPr>
          <w:p w:rsidR="00000000" w:rsidRDefault="00000000">
            <w:pPr>
              <w:autoSpaceDE w:val="0"/>
              <w:autoSpaceDN w:val="0"/>
              <w:adjustRightInd w:val="0"/>
              <w:spacing w:before="60" w:after="60"/>
              <w:jc w:val="right"/>
              <w:rPr>
                <w:sz w:val="22"/>
              </w:rPr>
            </w:pPr>
            <w:r>
              <w:rPr>
                <w:sz w:val="22"/>
              </w:rPr>
              <w:t>298</w:t>
            </w:r>
          </w:p>
        </w:tc>
        <w:tc>
          <w:tcPr>
            <w:tcW w:w="1178" w:type="dxa"/>
          </w:tcPr>
          <w:p w:rsidR="00000000" w:rsidRDefault="00000000">
            <w:pPr>
              <w:autoSpaceDE w:val="0"/>
              <w:autoSpaceDN w:val="0"/>
              <w:adjustRightInd w:val="0"/>
              <w:spacing w:before="60" w:after="60"/>
              <w:jc w:val="right"/>
              <w:rPr>
                <w:sz w:val="22"/>
              </w:rPr>
            </w:pPr>
            <w:r>
              <w:rPr>
                <w:sz w:val="22"/>
              </w:rPr>
              <w:t>288</w:t>
            </w:r>
          </w:p>
        </w:tc>
        <w:tc>
          <w:tcPr>
            <w:tcW w:w="1178" w:type="dxa"/>
          </w:tcPr>
          <w:p w:rsidR="00000000" w:rsidRDefault="00000000">
            <w:pPr>
              <w:autoSpaceDE w:val="0"/>
              <w:autoSpaceDN w:val="0"/>
              <w:adjustRightInd w:val="0"/>
              <w:spacing w:before="60" w:after="60"/>
              <w:jc w:val="right"/>
              <w:rPr>
                <w:sz w:val="22"/>
              </w:rPr>
            </w:pPr>
            <w:r>
              <w:rPr>
                <w:sz w:val="22"/>
              </w:rPr>
              <w:t>246</w:t>
            </w:r>
          </w:p>
        </w:tc>
      </w:tr>
      <w:tr w:rsidR="00000000">
        <w:tblPrEx>
          <w:tblCellMar>
            <w:top w:w="0" w:type="dxa"/>
            <w:bottom w:w="0" w:type="dxa"/>
          </w:tblCellMar>
        </w:tblPrEx>
        <w:tc>
          <w:tcPr>
            <w:tcW w:w="5961" w:type="dxa"/>
          </w:tcPr>
          <w:p w:rsidR="00000000" w:rsidRDefault="00000000">
            <w:pPr>
              <w:autoSpaceDE w:val="0"/>
              <w:autoSpaceDN w:val="0"/>
              <w:adjustRightInd w:val="0"/>
              <w:spacing w:before="60" w:after="60"/>
              <w:rPr>
                <w:sz w:val="22"/>
              </w:rPr>
            </w:pPr>
            <w:r>
              <w:rPr>
                <w:sz w:val="22"/>
              </w:rPr>
              <w:t>Nombre de lits d’hôpital (en milliers)</w:t>
            </w:r>
          </w:p>
        </w:tc>
        <w:tc>
          <w:tcPr>
            <w:tcW w:w="1178" w:type="dxa"/>
          </w:tcPr>
          <w:p w:rsidR="00000000" w:rsidRDefault="00000000">
            <w:pPr>
              <w:autoSpaceDE w:val="0"/>
              <w:autoSpaceDN w:val="0"/>
              <w:adjustRightInd w:val="0"/>
              <w:spacing w:before="60" w:after="60"/>
              <w:jc w:val="right"/>
              <w:rPr>
                <w:sz w:val="22"/>
              </w:rPr>
            </w:pPr>
            <w:r>
              <w:rPr>
                <w:sz w:val="22"/>
              </w:rPr>
              <w:t>24,4</w:t>
            </w:r>
          </w:p>
        </w:tc>
        <w:tc>
          <w:tcPr>
            <w:tcW w:w="1178" w:type="dxa"/>
          </w:tcPr>
          <w:p w:rsidR="00000000" w:rsidRDefault="00000000">
            <w:pPr>
              <w:autoSpaceDE w:val="0"/>
              <w:autoSpaceDN w:val="0"/>
              <w:adjustRightInd w:val="0"/>
              <w:spacing w:before="60" w:after="60"/>
              <w:jc w:val="right"/>
              <w:rPr>
                <w:sz w:val="22"/>
              </w:rPr>
            </w:pPr>
            <w:r>
              <w:rPr>
                <w:sz w:val="22"/>
              </w:rPr>
              <w:t>23,5</w:t>
            </w:r>
          </w:p>
        </w:tc>
        <w:tc>
          <w:tcPr>
            <w:tcW w:w="1178" w:type="dxa"/>
          </w:tcPr>
          <w:p w:rsidR="00000000" w:rsidRDefault="00000000">
            <w:pPr>
              <w:autoSpaceDE w:val="0"/>
              <w:autoSpaceDN w:val="0"/>
              <w:adjustRightInd w:val="0"/>
              <w:spacing w:before="60" w:after="60"/>
              <w:jc w:val="right"/>
              <w:rPr>
                <w:sz w:val="22"/>
              </w:rPr>
            </w:pPr>
            <w:r>
              <w:rPr>
                <w:sz w:val="22"/>
              </w:rPr>
              <w:t>22,5</w:t>
            </w:r>
          </w:p>
        </w:tc>
      </w:tr>
      <w:tr w:rsidR="00000000">
        <w:tblPrEx>
          <w:tblCellMar>
            <w:top w:w="0" w:type="dxa"/>
            <w:bottom w:w="0" w:type="dxa"/>
          </w:tblCellMar>
        </w:tblPrEx>
        <w:tc>
          <w:tcPr>
            <w:tcW w:w="5961" w:type="dxa"/>
          </w:tcPr>
          <w:p w:rsidR="00000000" w:rsidRDefault="00000000">
            <w:pPr>
              <w:autoSpaceDE w:val="0"/>
              <w:autoSpaceDN w:val="0"/>
              <w:adjustRightInd w:val="0"/>
              <w:spacing w:before="60" w:after="60"/>
              <w:rPr>
                <w:sz w:val="22"/>
              </w:rPr>
            </w:pPr>
            <w:r>
              <w:rPr>
                <w:sz w:val="22"/>
              </w:rPr>
              <w:t>Durée moyenne d’hospitalisation (en jours)</w:t>
            </w:r>
          </w:p>
        </w:tc>
        <w:tc>
          <w:tcPr>
            <w:tcW w:w="1178" w:type="dxa"/>
          </w:tcPr>
          <w:p w:rsidR="00000000" w:rsidRDefault="00000000">
            <w:pPr>
              <w:autoSpaceDE w:val="0"/>
              <w:autoSpaceDN w:val="0"/>
              <w:adjustRightInd w:val="0"/>
              <w:spacing w:before="60" w:after="60"/>
              <w:jc w:val="right"/>
              <w:rPr>
                <w:sz w:val="22"/>
              </w:rPr>
            </w:pPr>
            <w:r>
              <w:rPr>
                <w:sz w:val="22"/>
              </w:rPr>
              <w:t>10,5</w:t>
            </w:r>
          </w:p>
        </w:tc>
        <w:tc>
          <w:tcPr>
            <w:tcW w:w="1178" w:type="dxa"/>
          </w:tcPr>
          <w:p w:rsidR="00000000" w:rsidRDefault="00000000">
            <w:pPr>
              <w:autoSpaceDE w:val="0"/>
              <w:autoSpaceDN w:val="0"/>
              <w:adjustRightInd w:val="0"/>
              <w:spacing w:before="60" w:after="60"/>
              <w:jc w:val="right"/>
              <w:rPr>
                <w:sz w:val="22"/>
              </w:rPr>
            </w:pPr>
            <w:r>
              <w:rPr>
                <w:sz w:val="22"/>
              </w:rPr>
              <w:t>11,7</w:t>
            </w:r>
          </w:p>
        </w:tc>
        <w:tc>
          <w:tcPr>
            <w:tcW w:w="1178" w:type="dxa"/>
          </w:tcPr>
          <w:p w:rsidR="00000000" w:rsidRDefault="00000000">
            <w:pPr>
              <w:autoSpaceDE w:val="0"/>
              <w:autoSpaceDN w:val="0"/>
              <w:adjustRightInd w:val="0"/>
              <w:spacing w:before="60" w:after="60"/>
              <w:jc w:val="right"/>
              <w:rPr>
                <w:sz w:val="22"/>
              </w:rPr>
            </w:pPr>
            <w:r>
              <w:rPr>
                <w:sz w:val="22"/>
              </w:rPr>
              <w:t>10,7</w:t>
            </w:r>
          </w:p>
        </w:tc>
      </w:tr>
      <w:tr w:rsidR="00000000">
        <w:tblPrEx>
          <w:tblCellMar>
            <w:top w:w="0" w:type="dxa"/>
            <w:bottom w:w="0" w:type="dxa"/>
          </w:tblCellMar>
        </w:tblPrEx>
        <w:tc>
          <w:tcPr>
            <w:tcW w:w="5961" w:type="dxa"/>
          </w:tcPr>
          <w:p w:rsidR="00000000" w:rsidRDefault="00000000">
            <w:pPr>
              <w:autoSpaceDE w:val="0"/>
              <w:autoSpaceDN w:val="0"/>
              <w:adjustRightInd w:val="0"/>
              <w:spacing w:before="60" w:after="60"/>
              <w:rPr>
                <w:sz w:val="22"/>
              </w:rPr>
            </w:pPr>
            <w:r>
              <w:rPr>
                <w:sz w:val="22"/>
              </w:rPr>
              <w:t>Nombre d’établissements de soins ambulatoires</w:t>
            </w:r>
          </w:p>
        </w:tc>
        <w:tc>
          <w:tcPr>
            <w:tcW w:w="1178" w:type="dxa"/>
            <w:vAlign w:val="bottom"/>
          </w:tcPr>
          <w:p w:rsidR="00000000" w:rsidRDefault="00000000">
            <w:pPr>
              <w:autoSpaceDE w:val="0"/>
              <w:autoSpaceDN w:val="0"/>
              <w:adjustRightInd w:val="0"/>
              <w:spacing w:before="60" w:after="60"/>
              <w:jc w:val="right"/>
              <w:rPr>
                <w:sz w:val="22"/>
              </w:rPr>
            </w:pPr>
            <w:r>
              <w:rPr>
                <w:sz w:val="22"/>
              </w:rPr>
              <w:t>1 109</w:t>
            </w:r>
          </w:p>
        </w:tc>
        <w:tc>
          <w:tcPr>
            <w:tcW w:w="1178" w:type="dxa"/>
            <w:vAlign w:val="bottom"/>
          </w:tcPr>
          <w:p w:rsidR="00000000" w:rsidRDefault="00000000">
            <w:pPr>
              <w:autoSpaceDE w:val="0"/>
              <w:autoSpaceDN w:val="0"/>
              <w:adjustRightInd w:val="0"/>
              <w:spacing w:before="60" w:after="60"/>
              <w:jc w:val="right"/>
              <w:rPr>
                <w:sz w:val="22"/>
              </w:rPr>
            </w:pPr>
            <w:r>
              <w:rPr>
                <w:sz w:val="22"/>
              </w:rPr>
              <w:t>1 009</w:t>
            </w:r>
          </w:p>
        </w:tc>
        <w:tc>
          <w:tcPr>
            <w:tcW w:w="1178" w:type="dxa"/>
            <w:vAlign w:val="bottom"/>
          </w:tcPr>
          <w:p w:rsidR="00000000" w:rsidRDefault="00000000">
            <w:pPr>
              <w:autoSpaceDE w:val="0"/>
              <w:autoSpaceDN w:val="0"/>
              <w:adjustRightInd w:val="0"/>
              <w:spacing w:before="60" w:after="60"/>
              <w:jc w:val="right"/>
              <w:rPr>
                <w:sz w:val="22"/>
              </w:rPr>
            </w:pPr>
            <w:r>
              <w:rPr>
                <w:sz w:val="22"/>
              </w:rPr>
              <w:t>1 073</w:t>
            </w:r>
          </w:p>
        </w:tc>
      </w:tr>
      <w:tr w:rsidR="00000000">
        <w:tblPrEx>
          <w:tblCellMar>
            <w:top w:w="0" w:type="dxa"/>
            <w:bottom w:w="0" w:type="dxa"/>
          </w:tblCellMar>
        </w:tblPrEx>
        <w:tc>
          <w:tcPr>
            <w:tcW w:w="5961" w:type="dxa"/>
          </w:tcPr>
          <w:p w:rsidR="00000000" w:rsidRDefault="00000000">
            <w:pPr>
              <w:autoSpaceDE w:val="0"/>
              <w:autoSpaceDN w:val="0"/>
              <w:adjustRightInd w:val="0"/>
              <w:spacing w:before="60" w:after="60"/>
              <w:rPr>
                <w:sz w:val="22"/>
              </w:rPr>
            </w:pPr>
            <w:r>
              <w:rPr>
                <w:sz w:val="22"/>
              </w:rPr>
              <w:t>Capacité des établissements de soins ambulatoires</w:t>
            </w:r>
            <w:r>
              <w:rPr>
                <w:sz w:val="22"/>
              </w:rPr>
              <w:br/>
              <w:t>(nombre de consultations par jour) (en milliers)</w:t>
            </w:r>
          </w:p>
        </w:tc>
        <w:tc>
          <w:tcPr>
            <w:tcW w:w="1178" w:type="dxa"/>
            <w:vAlign w:val="bottom"/>
          </w:tcPr>
          <w:p w:rsidR="00000000" w:rsidRDefault="00000000">
            <w:pPr>
              <w:autoSpaceDE w:val="0"/>
              <w:autoSpaceDN w:val="0"/>
              <w:adjustRightInd w:val="0"/>
              <w:spacing w:before="60" w:after="60"/>
              <w:jc w:val="right"/>
              <w:rPr>
                <w:sz w:val="22"/>
              </w:rPr>
            </w:pPr>
            <w:r>
              <w:rPr>
                <w:sz w:val="22"/>
              </w:rPr>
              <w:t>97,7</w:t>
            </w:r>
          </w:p>
        </w:tc>
        <w:tc>
          <w:tcPr>
            <w:tcW w:w="1178" w:type="dxa"/>
            <w:vAlign w:val="bottom"/>
          </w:tcPr>
          <w:p w:rsidR="00000000" w:rsidRDefault="00000000">
            <w:pPr>
              <w:autoSpaceDE w:val="0"/>
              <w:autoSpaceDN w:val="0"/>
              <w:adjustRightInd w:val="0"/>
              <w:spacing w:before="60" w:after="60"/>
              <w:jc w:val="right"/>
              <w:rPr>
                <w:sz w:val="22"/>
              </w:rPr>
            </w:pPr>
            <w:r>
              <w:rPr>
                <w:sz w:val="22"/>
              </w:rPr>
              <w:t>100,0</w:t>
            </w:r>
          </w:p>
        </w:tc>
        <w:tc>
          <w:tcPr>
            <w:tcW w:w="1178" w:type="dxa"/>
            <w:vAlign w:val="bottom"/>
          </w:tcPr>
          <w:p w:rsidR="00000000" w:rsidRDefault="00000000">
            <w:pPr>
              <w:autoSpaceDE w:val="0"/>
              <w:autoSpaceDN w:val="0"/>
              <w:adjustRightInd w:val="0"/>
              <w:spacing w:before="60" w:after="60"/>
              <w:jc w:val="right"/>
              <w:rPr>
                <w:sz w:val="22"/>
              </w:rPr>
            </w:pPr>
            <w:r>
              <w:rPr>
                <w:sz w:val="22"/>
              </w:rPr>
              <w:t>97,2</w:t>
            </w:r>
          </w:p>
        </w:tc>
      </w:tr>
    </w:tbl>
    <w:p w:rsidR="00000000" w:rsidRDefault="00000000">
      <w:pPr>
        <w:autoSpaceDE w:val="0"/>
        <w:autoSpaceDN w:val="0"/>
        <w:adjustRightInd w:val="0"/>
        <w:spacing w:before="240" w:after="180" w:line="270" w:lineRule="exact"/>
        <w:jc w:val="center"/>
      </w:pPr>
      <w:r>
        <w:rPr>
          <w:u w:val="single"/>
        </w:rPr>
        <w:t>Aide médicale d’urgence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1"/>
        <w:gridCol w:w="2204"/>
        <w:gridCol w:w="1362"/>
        <w:gridCol w:w="1399"/>
        <w:gridCol w:w="1637"/>
        <w:gridCol w:w="1852"/>
      </w:tblGrid>
      <w:tr w:rsidR="00000000">
        <w:tblPrEx>
          <w:tblCellMar>
            <w:top w:w="0" w:type="dxa"/>
            <w:bottom w:w="0" w:type="dxa"/>
          </w:tblCellMar>
        </w:tblPrEx>
        <w:trPr>
          <w:cantSplit/>
        </w:trPr>
        <w:tc>
          <w:tcPr>
            <w:tcW w:w="1041" w:type="dxa"/>
            <w:vMerge w:val="restart"/>
            <w:vAlign w:val="center"/>
          </w:tcPr>
          <w:p w:rsidR="00000000" w:rsidRDefault="00000000">
            <w:pPr>
              <w:autoSpaceDE w:val="0"/>
              <w:autoSpaceDN w:val="0"/>
              <w:adjustRightInd w:val="0"/>
              <w:spacing w:before="20" w:after="20"/>
              <w:jc w:val="center"/>
              <w:rPr>
                <w:sz w:val="22"/>
              </w:rPr>
            </w:pPr>
            <w:r>
              <w:rPr>
                <w:sz w:val="22"/>
              </w:rPr>
              <w:t>Année</w:t>
            </w:r>
          </w:p>
        </w:tc>
        <w:tc>
          <w:tcPr>
            <w:tcW w:w="2204" w:type="dxa"/>
            <w:vMerge w:val="restart"/>
            <w:vAlign w:val="center"/>
          </w:tcPr>
          <w:p w:rsidR="00000000" w:rsidRDefault="00000000">
            <w:pPr>
              <w:autoSpaceDE w:val="0"/>
              <w:autoSpaceDN w:val="0"/>
              <w:adjustRightInd w:val="0"/>
              <w:spacing w:before="20" w:after="20"/>
              <w:jc w:val="center"/>
              <w:rPr>
                <w:sz w:val="22"/>
              </w:rPr>
            </w:pPr>
            <w:r>
              <w:rPr>
                <w:sz w:val="22"/>
              </w:rPr>
              <w:t>Nombre total de personnes ayant bénéficié de soins médicaux d’urgence</w:t>
            </w:r>
          </w:p>
        </w:tc>
        <w:tc>
          <w:tcPr>
            <w:tcW w:w="0" w:type="auto"/>
            <w:gridSpan w:val="4"/>
            <w:vAlign w:val="center"/>
          </w:tcPr>
          <w:p w:rsidR="00000000" w:rsidRDefault="00000000">
            <w:pPr>
              <w:autoSpaceDE w:val="0"/>
              <w:autoSpaceDN w:val="0"/>
              <w:adjustRightInd w:val="0"/>
              <w:spacing w:before="20" w:after="20"/>
              <w:jc w:val="center"/>
              <w:rPr>
                <w:sz w:val="22"/>
              </w:rPr>
            </w:pPr>
            <w:r>
              <w:rPr>
                <w:sz w:val="22"/>
              </w:rPr>
              <w:t>Causes:</w:t>
            </w:r>
          </w:p>
        </w:tc>
      </w:tr>
      <w:tr w:rsidR="00000000">
        <w:tblPrEx>
          <w:tblCellMar>
            <w:top w:w="0" w:type="dxa"/>
            <w:bottom w:w="0" w:type="dxa"/>
          </w:tblCellMar>
        </w:tblPrEx>
        <w:trPr>
          <w:cantSplit/>
          <w:trHeight w:val="479"/>
        </w:trPr>
        <w:tc>
          <w:tcPr>
            <w:tcW w:w="1041" w:type="dxa"/>
            <w:vMerge/>
            <w:tcBorders>
              <w:bottom w:val="single" w:sz="4" w:space="0" w:color="auto"/>
            </w:tcBorders>
            <w:vAlign w:val="center"/>
          </w:tcPr>
          <w:p w:rsidR="00000000" w:rsidRDefault="00000000">
            <w:pPr>
              <w:autoSpaceDE w:val="0"/>
              <w:autoSpaceDN w:val="0"/>
              <w:adjustRightInd w:val="0"/>
              <w:spacing w:before="20" w:after="20"/>
              <w:jc w:val="center"/>
              <w:rPr>
                <w:sz w:val="22"/>
              </w:rPr>
            </w:pPr>
          </w:p>
        </w:tc>
        <w:tc>
          <w:tcPr>
            <w:tcW w:w="2204" w:type="dxa"/>
            <w:vMerge/>
            <w:tcBorders>
              <w:bottom w:val="single" w:sz="4" w:space="0" w:color="auto"/>
            </w:tcBorders>
            <w:vAlign w:val="center"/>
          </w:tcPr>
          <w:p w:rsidR="00000000" w:rsidRDefault="00000000">
            <w:pPr>
              <w:autoSpaceDE w:val="0"/>
              <w:autoSpaceDN w:val="0"/>
              <w:adjustRightInd w:val="0"/>
              <w:spacing w:before="20" w:after="20"/>
              <w:jc w:val="center"/>
              <w:rPr>
                <w:sz w:val="22"/>
              </w:rPr>
            </w:pPr>
          </w:p>
        </w:tc>
        <w:tc>
          <w:tcPr>
            <w:tcW w:w="1362" w:type="dxa"/>
            <w:tcBorders>
              <w:bottom w:val="single" w:sz="4" w:space="0" w:color="auto"/>
            </w:tcBorders>
            <w:vAlign w:val="center"/>
          </w:tcPr>
          <w:p w:rsidR="00000000" w:rsidRDefault="00000000">
            <w:pPr>
              <w:autoSpaceDE w:val="0"/>
              <w:autoSpaceDN w:val="0"/>
              <w:adjustRightInd w:val="0"/>
              <w:spacing w:before="20" w:after="20"/>
              <w:jc w:val="center"/>
              <w:rPr>
                <w:sz w:val="22"/>
              </w:rPr>
            </w:pPr>
            <w:r>
              <w:rPr>
                <w:sz w:val="22"/>
              </w:rPr>
              <w:t>Accident</w:t>
            </w:r>
          </w:p>
        </w:tc>
        <w:tc>
          <w:tcPr>
            <w:tcW w:w="1399" w:type="dxa"/>
            <w:tcBorders>
              <w:bottom w:val="single" w:sz="4" w:space="0" w:color="auto"/>
            </w:tcBorders>
            <w:vAlign w:val="center"/>
          </w:tcPr>
          <w:p w:rsidR="00000000" w:rsidRDefault="00000000">
            <w:pPr>
              <w:autoSpaceDE w:val="0"/>
              <w:autoSpaceDN w:val="0"/>
              <w:adjustRightInd w:val="0"/>
              <w:spacing w:before="20" w:after="20"/>
              <w:jc w:val="center"/>
              <w:rPr>
                <w:sz w:val="22"/>
              </w:rPr>
            </w:pPr>
            <w:r>
              <w:rPr>
                <w:sz w:val="22"/>
              </w:rPr>
              <w:t>Maladie soudaine</w:t>
            </w:r>
          </w:p>
        </w:tc>
        <w:tc>
          <w:tcPr>
            <w:tcW w:w="1637" w:type="dxa"/>
            <w:tcBorders>
              <w:bottom w:val="single" w:sz="4" w:space="0" w:color="auto"/>
            </w:tcBorders>
            <w:vAlign w:val="center"/>
          </w:tcPr>
          <w:p w:rsidR="00000000" w:rsidRDefault="00000000">
            <w:pPr>
              <w:autoSpaceDE w:val="0"/>
              <w:autoSpaceDN w:val="0"/>
              <w:adjustRightInd w:val="0"/>
              <w:spacing w:before="20" w:after="20"/>
              <w:jc w:val="center"/>
              <w:rPr>
                <w:sz w:val="22"/>
              </w:rPr>
            </w:pPr>
            <w:r>
              <w:rPr>
                <w:sz w:val="22"/>
              </w:rPr>
              <w:t>Accouchement et grossesse pathologique</w:t>
            </w:r>
          </w:p>
        </w:tc>
        <w:tc>
          <w:tcPr>
            <w:tcW w:w="1852" w:type="dxa"/>
            <w:tcBorders>
              <w:bottom w:val="single" w:sz="4" w:space="0" w:color="auto"/>
            </w:tcBorders>
            <w:vAlign w:val="center"/>
          </w:tcPr>
          <w:p w:rsidR="00000000" w:rsidRDefault="00000000">
            <w:pPr>
              <w:autoSpaceDE w:val="0"/>
              <w:autoSpaceDN w:val="0"/>
              <w:adjustRightInd w:val="0"/>
              <w:spacing w:before="20" w:after="20"/>
              <w:jc w:val="center"/>
              <w:rPr>
                <w:sz w:val="22"/>
              </w:rPr>
            </w:pPr>
            <w:r>
              <w:rPr>
                <w:sz w:val="22"/>
              </w:rPr>
              <w:t>Transport de patients, de parturientes et de nouveau</w:t>
            </w:r>
            <w:r>
              <w:rPr>
                <w:sz w:val="22"/>
              </w:rPr>
              <w:noBreakHyphen/>
              <w:t>nés</w:t>
            </w:r>
          </w:p>
        </w:tc>
      </w:tr>
      <w:tr w:rsidR="00000000">
        <w:tblPrEx>
          <w:tblCellMar>
            <w:top w:w="0" w:type="dxa"/>
            <w:bottom w:w="0" w:type="dxa"/>
          </w:tblCellMar>
        </w:tblPrEx>
        <w:tc>
          <w:tcPr>
            <w:tcW w:w="1041" w:type="dxa"/>
          </w:tcPr>
          <w:p w:rsidR="00000000" w:rsidRDefault="00000000">
            <w:pPr>
              <w:autoSpaceDE w:val="0"/>
              <w:autoSpaceDN w:val="0"/>
              <w:adjustRightInd w:val="0"/>
              <w:spacing w:before="20" w:after="20"/>
              <w:rPr>
                <w:sz w:val="22"/>
              </w:rPr>
            </w:pPr>
            <w:r>
              <w:rPr>
                <w:sz w:val="22"/>
              </w:rPr>
              <w:t>1996</w:t>
            </w:r>
          </w:p>
        </w:tc>
        <w:tc>
          <w:tcPr>
            <w:tcW w:w="2204" w:type="dxa"/>
          </w:tcPr>
          <w:p w:rsidR="00000000" w:rsidRDefault="00000000">
            <w:pPr>
              <w:autoSpaceDE w:val="0"/>
              <w:autoSpaceDN w:val="0"/>
              <w:adjustRightInd w:val="0"/>
              <w:spacing w:before="20" w:after="20"/>
              <w:jc w:val="right"/>
              <w:rPr>
                <w:sz w:val="22"/>
              </w:rPr>
            </w:pPr>
            <w:r>
              <w:rPr>
                <w:sz w:val="22"/>
              </w:rPr>
              <w:t>152 344</w:t>
            </w:r>
          </w:p>
        </w:tc>
        <w:tc>
          <w:tcPr>
            <w:tcW w:w="1362" w:type="dxa"/>
          </w:tcPr>
          <w:p w:rsidR="00000000" w:rsidRDefault="00000000">
            <w:pPr>
              <w:autoSpaceDE w:val="0"/>
              <w:autoSpaceDN w:val="0"/>
              <w:adjustRightInd w:val="0"/>
              <w:spacing w:before="20" w:after="20"/>
              <w:jc w:val="right"/>
              <w:rPr>
                <w:sz w:val="22"/>
              </w:rPr>
            </w:pPr>
            <w:r>
              <w:rPr>
                <w:sz w:val="22"/>
              </w:rPr>
              <w:t>7 701</w:t>
            </w:r>
          </w:p>
        </w:tc>
        <w:tc>
          <w:tcPr>
            <w:tcW w:w="1399" w:type="dxa"/>
          </w:tcPr>
          <w:p w:rsidR="00000000" w:rsidRDefault="00000000">
            <w:pPr>
              <w:autoSpaceDE w:val="0"/>
              <w:autoSpaceDN w:val="0"/>
              <w:adjustRightInd w:val="0"/>
              <w:spacing w:before="20" w:after="20"/>
              <w:jc w:val="right"/>
              <w:rPr>
                <w:sz w:val="22"/>
              </w:rPr>
            </w:pPr>
            <w:r>
              <w:rPr>
                <w:sz w:val="22"/>
              </w:rPr>
              <w:t>139 734</w:t>
            </w:r>
          </w:p>
        </w:tc>
        <w:tc>
          <w:tcPr>
            <w:tcW w:w="1637" w:type="dxa"/>
          </w:tcPr>
          <w:p w:rsidR="00000000" w:rsidRDefault="00000000">
            <w:pPr>
              <w:autoSpaceDE w:val="0"/>
              <w:autoSpaceDN w:val="0"/>
              <w:adjustRightInd w:val="0"/>
              <w:spacing w:before="20" w:after="20"/>
              <w:jc w:val="right"/>
              <w:rPr>
                <w:sz w:val="22"/>
              </w:rPr>
            </w:pPr>
            <w:r>
              <w:rPr>
                <w:sz w:val="22"/>
              </w:rPr>
              <w:t>959</w:t>
            </w:r>
          </w:p>
        </w:tc>
        <w:tc>
          <w:tcPr>
            <w:tcW w:w="1852" w:type="dxa"/>
          </w:tcPr>
          <w:p w:rsidR="00000000" w:rsidRDefault="00000000">
            <w:pPr>
              <w:autoSpaceDE w:val="0"/>
              <w:autoSpaceDN w:val="0"/>
              <w:adjustRightInd w:val="0"/>
              <w:spacing w:before="20" w:after="20"/>
              <w:jc w:val="right"/>
              <w:rPr>
                <w:sz w:val="22"/>
              </w:rPr>
            </w:pPr>
            <w:r>
              <w:rPr>
                <w:sz w:val="22"/>
              </w:rPr>
              <w:t>3 950</w:t>
            </w:r>
          </w:p>
        </w:tc>
      </w:tr>
      <w:tr w:rsidR="00000000">
        <w:tblPrEx>
          <w:tblCellMar>
            <w:top w:w="0" w:type="dxa"/>
            <w:bottom w:w="0" w:type="dxa"/>
          </w:tblCellMar>
        </w:tblPrEx>
        <w:tc>
          <w:tcPr>
            <w:tcW w:w="1041" w:type="dxa"/>
          </w:tcPr>
          <w:p w:rsidR="00000000" w:rsidRDefault="00000000">
            <w:pPr>
              <w:autoSpaceDE w:val="0"/>
              <w:autoSpaceDN w:val="0"/>
              <w:adjustRightInd w:val="0"/>
              <w:spacing w:before="20" w:after="20"/>
              <w:rPr>
                <w:sz w:val="22"/>
              </w:rPr>
            </w:pPr>
            <w:r>
              <w:rPr>
                <w:sz w:val="22"/>
              </w:rPr>
              <w:t>1997</w:t>
            </w:r>
          </w:p>
        </w:tc>
        <w:tc>
          <w:tcPr>
            <w:tcW w:w="2204" w:type="dxa"/>
          </w:tcPr>
          <w:p w:rsidR="00000000" w:rsidRDefault="00000000">
            <w:pPr>
              <w:autoSpaceDE w:val="0"/>
              <w:autoSpaceDN w:val="0"/>
              <w:adjustRightInd w:val="0"/>
              <w:spacing w:before="20" w:after="20"/>
              <w:jc w:val="right"/>
              <w:rPr>
                <w:sz w:val="22"/>
              </w:rPr>
            </w:pPr>
            <w:r>
              <w:rPr>
                <w:sz w:val="22"/>
              </w:rPr>
              <w:t>117 734</w:t>
            </w:r>
          </w:p>
        </w:tc>
        <w:tc>
          <w:tcPr>
            <w:tcW w:w="1362" w:type="dxa"/>
          </w:tcPr>
          <w:p w:rsidR="00000000" w:rsidRDefault="00000000">
            <w:pPr>
              <w:autoSpaceDE w:val="0"/>
              <w:autoSpaceDN w:val="0"/>
              <w:adjustRightInd w:val="0"/>
              <w:spacing w:before="20" w:after="20"/>
              <w:jc w:val="right"/>
              <w:rPr>
                <w:sz w:val="22"/>
              </w:rPr>
            </w:pPr>
            <w:r>
              <w:rPr>
                <w:sz w:val="22"/>
              </w:rPr>
              <w:t>7 295</w:t>
            </w:r>
          </w:p>
        </w:tc>
        <w:tc>
          <w:tcPr>
            <w:tcW w:w="1399" w:type="dxa"/>
          </w:tcPr>
          <w:p w:rsidR="00000000" w:rsidRDefault="00000000">
            <w:pPr>
              <w:autoSpaceDE w:val="0"/>
              <w:autoSpaceDN w:val="0"/>
              <w:adjustRightInd w:val="0"/>
              <w:spacing w:before="20" w:after="20"/>
              <w:jc w:val="right"/>
              <w:rPr>
                <w:sz w:val="22"/>
              </w:rPr>
            </w:pPr>
            <w:r>
              <w:rPr>
                <w:sz w:val="22"/>
              </w:rPr>
              <w:t>105 932</w:t>
            </w:r>
          </w:p>
        </w:tc>
        <w:tc>
          <w:tcPr>
            <w:tcW w:w="1637" w:type="dxa"/>
          </w:tcPr>
          <w:p w:rsidR="00000000" w:rsidRDefault="00000000">
            <w:pPr>
              <w:autoSpaceDE w:val="0"/>
              <w:autoSpaceDN w:val="0"/>
              <w:adjustRightInd w:val="0"/>
              <w:spacing w:before="20" w:after="20"/>
              <w:jc w:val="right"/>
              <w:rPr>
                <w:sz w:val="22"/>
              </w:rPr>
            </w:pPr>
            <w:r>
              <w:rPr>
                <w:sz w:val="22"/>
              </w:rPr>
              <w:t>780</w:t>
            </w:r>
          </w:p>
        </w:tc>
        <w:tc>
          <w:tcPr>
            <w:tcW w:w="1852" w:type="dxa"/>
          </w:tcPr>
          <w:p w:rsidR="00000000" w:rsidRDefault="00000000">
            <w:pPr>
              <w:autoSpaceDE w:val="0"/>
              <w:autoSpaceDN w:val="0"/>
              <w:adjustRightInd w:val="0"/>
              <w:spacing w:before="20" w:after="20"/>
              <w:jc w:val="right"/>
              <w:rPr>
                <w:sz w:val="22"/>
              </w:rPr>
            </w:pPr>
            <w:r>
              <w:rPr>
                <w:sz w:val="22"/>
              </w:rPr>
              <w:t>3 727</w:t>
            </w:r>
          </w:p>
        </w:tc>
      </w:tr>
      <w:tr w:rsidR="00000000">
        <w:tblPrEx>
          <w:tblCellMar>
            <w:top w:w="0" w:type="dxa"/>
            <w:bottom w:w="0" w:type="dxa"/>
          </w:tblCellMar>
        </w:tblPrEx>
        <w:tc>
          <w:tcPr>
            <w:tcW w:w="1041" w:type="dxa"/>
          </w:tcPr>
          <w:p w:rsidR="00000000" w:rsidRDefault="00000000">
            <w:pPr>
              <w:autoSpaceDE w:val="0"/>
              <w:autoSpaceDN w:val="0"/>
              <w:adjustRightInd w:val="0"/>
              <w:spacing w:before="20" w:after="20"/>
              <w:rPr>
                <w:sz w:val="22"/>
              </w:rPr>
            </w:pPr>
            <w:r>
              <w:rPr>
                <w:sz w:val="22"/>
              </w:rPr>
              <w:t>1998</w:t>
            </w:r>
          </w:p>
        </w:tc>
        <w:tc>
          <w:tcPr>
            <w:tcW w:w="2204" w:type="dxa"/>
          </w:tcPr>
          <w:p w:rsidR="00000000" w:rsidRDefault="00000000">
            <w:pPr>
              <w:autoSpaceDE w:val="0"/>
              <w:autoSpaceDN w:val="0"/>
              <w:adjustRightInd w:val="0"/>
              <w:spacing w:before="20" w:after="20"/>
              <w:jc w:val="right"/>
              <w:rPr>
                <w:sz w:val="22"/>
              </w:rPr>
            </w:pPr>
            <w:r>
              <w:rPr>
                <w:sz w:val="22"/>
              </w:rPr>
              <w:t>123 582</w:t>
            </w:r>
          </w:p>
        </w:tc>
        <w:tc>
          <w:tcPr>
            <w:tcW w:w="1362" w:type="dxa"/>
          </w:tcPr>
          <w:p w:rsidR="00000000" w:rsidRDefault="00000000">
            <w:pPr>
              <w:autoSpaceDE w:val="0"/>
              <w:autoSpaceDN w:val="0"/>
              <w:adjustRightInd w:val="0"/>
              <w:spacing w:before="20" w:after="20"/>
              <w:jc w:val="right"/>
              <w:rPr>
                <w:sz w:val="22"/>
              </w:rPr>
            </w:pPr>
            <w:r>
              <w:rPr>
                <w:sz w:val="22"/>
              </w:rPr>
              <w:t>7 794</w:t>
            </w:r>
          </w:p>
        </w:tc>
        <w:tc>
          <w:tcPr>
            <w:tcW w:w="1399" w:type="dxa"/>
          </w:tcPr>
          <w:p w:rsidR="00000000" w:rsidRDefault="00000000">
            <w:pPr>
              <w:autoSpaceDE w:val="0"/>
              <w:autoSpaceDN w:val="0"/>
              <w:adjustRightInd w:val="0"/>
              <w:spacing w:before="20" w:after="20"/>
              <w:jc w:val="right"/>
              <w:rPr>
                <w:sz w:val="22"/>
              </w:rPr>
            </w:pPr>
            <w:r>
              <w:rPr>
                <w:sz w:val="22"/>
              </w:rPr>
              <w:t>111 410</w:t>
            </w:r>
          </w:p>
        </w:tc>
        <w:tc>
          <w:tcPr>
            <w:tcW w:w="1637" w:type="dxa"/>
          </w:tcPr>
          <w:p w:rsidR="00000000" w:rsidRDefault="00000000">
            <w:pPr>
              <w:autoSpaceDE w:val="0"/>
              <w:autoSpaceDN w:val="0"/>
              <w:adjustRightInd w:val="0"/>
              <w:spacing w:before="20" w:after="20"/>
              <w:jc w:val="right"/>
              <w:rPr>
                <w:sz w:val="22"/>
              </w:rPr>
            </w:pPr>
            <w:r>
              <w:rPr>
                <w:sz w:val="22"/>
              </w:rPr>
              <w:t>1 337</w:t>
            </w:r>
          </w:p>
        </w:tc>
        <w:tc>
          <w:tcPr>
            <w:tcW w:w="1852" w:type="dxa"/>
          </w:tcPr>
          <w:p w:rsidR="00000000" w:rsidRDefault="00000000">
            <w:pPr>
              <w:autoSpaceDE w:val="0"/>
              <w:autoSpaceDN w:val="0"/>
              <w:adjustRightInd w:val="0"/>
              <w:spacing w:before="20" w:after="20"/>
              <w:jc w:val="right"/>
              <w:rPr>
                <w:sz w:val="22"/>
              </w:rPr>
            </w:pPr>
            <w:r>
              <w:rPr>
                <w:sz w:val="22"/>
              </w:rPr>
              <w:t>3 041</w:t>
            </w:r>
          </w:p>
        </w:tc>
      </w:tr>
      <w:tr w:rsidR="00000000">
        <w:tblPrEx>
          <w:tblCellMar>
            <w:top w:w="0" w:type="dxa"/>
            <w:bottom w:w="0" w:type="dxa"/>
          </w:tblCellMar>
        </w:tblPrEx>
        <w:tc>
          <w:tcPr>
            <w:tcW w:w="1041" w:type="dxa"/>
          </w:tcPr>
          <w:p w:rsidR="00000000" w:rsidRDefault="00000000">
            <w:pPr>
              <w:autoSpaceDE w:val="0"/>
              <w:autoSpaceDN w:val="0"/>
              <w:adjustRightInd w:val="0"/>
              <w:spacing w:before="20" w:after="20"/>
              <w:rPr>
                <w:sz w:val="22"/>
              </w:rPr>
            </w:pPr>
            <w:r>
              <w:rPr>
                <w:sz w:val="22"/>
              </w:rPr>
              <w:t>1999</w:t>
            </w:r>
          </w:p>
        </w:tc>
        <w:tc>
          <w:tcPr>
            <w:tcW w:w="2204" w:type="dxa"/>
          </w:tcPr>
          <w:p w:rsidR="00000000" w:rsidRDefault="00000000">
            <w:pPr>
              <w:autoSpaceDE w:val="0"/>
              <w:autoSpaceDN w:val="0"/>
              <w:adjustRightInd w:val="0"/>
              <w:spacing w:before="20" w:after="20"/>
              <w:jc w:val="right"/>
              <w:rPr>
                <w:sz w:val="22"/>
              </w:rPr>
            </w:pPr>
            <w:r>
              <w:rPr>
                <w:sz w:val="22"/>
              </w:rPr>
              <w:t>142 695</w:t>
            </w:r>
          </w:p>
        </w:tc>
        <w:tc>
          <w:tcPr>
            <w:tcW w:w="1362" w:type="dxa"/>
          </w:tcPr>
          <w:p w:rsidR="00000000" w:rsidRDefault="00000000">
            <w:pPr>
              <w:autoSpaceDE w:val="0"/>
              <w:autoSpaceDN w:val="0"/>
              <w:adjustRightInd w:val="0"/>
              <w:spacing w:before="20" w:after="20"/>
              <w:jc w:val="right"/>
              <w:rPr>
                <w:sz w:val="22"/>
              </w:rPr>
            </w:pPr>
            <w:r>
              <w:rPr>
                <w:sz w:val="22"/>
              </w:rPr>
              <w:t>10 219</w:t>
            </w:r>
          </w:p>
        </w:tc>
        <w:tc>
          <w:tcPr>
            <w:tcW w:w="1399" w:type="dxa"/>
          </w:tcPr>
          <w:p w:rsidR="00000000" w:rsidRDefault="00000000">
            <w:pPr>
              <w:autoSpaceDE w:val="0"/>
              <w:autoSpaceDN w:val="0"/>
              <w:adjustRightInd w:val="0"/>
              <w:spacing w:before="20" w:after="20"/>
              <w:jc w:val="right"/>
              <w:rPr>
                <w:sz w:val="22"/>
              </w:rPr>
            </w:pPr>
            <w:r>
              <w:rPr>
                <w:sz w:val="22"/>
              </w:rPr>
              <w:t>126 644</w:t>
            </w:r>
          </w:p>
        </w:tc>
        <w:tc>
          <w:tcPr>
            <w:tcW w:w="1637" w:type="dxa"/>
          </w:tcPr>
          <w:p w:rsidR="00000000" w:rsidRDefault="00000000">
            <w:pPr>
              <w:autoSpaceDE w:val="0"/>
              <w:autoSpaceDN w:val="0"/>
              <w:adjustRightInd w:val="0"/>
              <w:spacing w:before="20" w:after="20"/>
              <w:jc w:val="right"/>
              <w:rPr>
                <w:sz w:val="22"/>
              </w:rPr>
            </w:pPr>
            <w:r>
              <w:rPr>
                <w:sz w:val="22"/>
              </w:rPr>
              <w:t>1 856</w:t>
            </w:r>
          </w:p>
        </w:tc>
        <w:tc>
          <w:tcPr>
            <w:tcW w:w="1852" w:type="dxa"/>
          </w:tcPr>
          <w:p w:rsidR="00000000" w:rsidRDefault="00000000">
            <w:pPr>
              <w:autoSpaceDE w:val="0"/>
              <w:autoSpaceDN w:val="0"/>
              <w:adjustRightInd w:val="0"/>
              <w:spacing w:before="20" w:after="20"/>
              <w:jc w:val="right"/>
              <w:rPr>
                <w:sz w:val="22"/>
              </w:rPr>
            </w:pPr>
            <w:r>
              <w:rPr>
                <w:sz w:val="22"/>
              </w:rPr>
              <w:t>3 976</w:t>
            </w:r>
          </w:p>
        </w:tc>
      </w:tr>
    </w:tbl>
    <w:p w:rsidR="00000000" w:rsidRDefault="00000000">
      <w:pPr>
        <w:keepNext/>
        <w:autoSpaceDE w:val="0"/>
        <w:autoSpaceDN w:val="0"/>
        <w:adjustRightInd w:val="0"/>
        <w:spacing w:before="240" w:after="180" w:line="270" w:lineRule="exact"/>
        <w:jc w:val="center"/>
      </w:pPr>
      <w:r>
        <w:rPr>
          <w:u w:val="single"/>
        </w:rPr>
        <w:t>Répartition des personnes reconnues handicapées (diagnostic initial) par cause de handicap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82"/>
        <w:gridCol w:w="1022"/>
        <w:gridCol w:w="1196"/>
        <w:gridCol w:w="1196"/>
      </w:tblGrid>
      <w:tr w:rsidR="00000000">
        <w:tblPrEx>
          <w:tblCellMar>
            <w:top w:w="0" w:type="dxa"/>
            <w:bottom w:w="0" w:type="dxa"/>
          </w:tblCellMar>
        </w:tblPrEx>
        <w:tc>
          <w:tcPr>
            <w:tcW w:w="3202" w:type="pct"/>
          </w:tcPr>
          <w:p w:rsidR="00000000" w:rsidRDefault="00000000">
            <w:pPr>
              <w:keepNext/>
              <w:autoSpaceDE w:val="0"/>
              <w:autoSpaceDN w:val="0"/>
              <w:adjustRightInd w:val="0"/>
              <w:spacing w:before="60" w:after="60"/>
              <w:rPr>
                <w:sz w:val="22"/>
              </w:rPr>
            </w:pPr>
          </w:p>
        </w:tc>
        <w:tc>
          <w:tcPr>
            <w:tcW w:w="538" w:type="pct"/>
          </w:tcPr>
          <w:p w:rsidR="00000000" w:rsidRDefault="00000000">
            <w:pPr>
              <w:keepNext/>
              <w:autoSpaceDE w:val="0"/>
              <w:autoSpaceDN w:val="0"/>
              <w:adjustRightInd w:val="0"/>
              <w:spacing w:before="60" w:after="60"/>
              <w:jc w:val="center"/>
              <w:rPr>
                <w:sz w:val="22"/>
              </w:rPr>
            </w:pPr>
            <w:r>
              <w:rPr>
                <w:sz w:val="22"/>
              </w:rPr>
              <w:t>1997</w:t>
            </w:r>
          </w:p>
        </w:tc>
        <w:tc>
          <w:tcPr>
            <w:tcW w:w="630" w:type="pct"/>
          </w:tcPr>
          <w:p w:rsidR="00000000" w:rsidRDefault="00000000">
            <w:pPr>
              <w:keepNext/>
              <w:autoSpaceDE w:val="0"/>
              <w:autoSpaceDN w:val="0"/>
              <w:adjustRightInd w:val="0"/>
              <w:spacing w:before="60" w:after="60"/>
              <w:jc w:val="center"/>
              <w:rPr>
                <w:sz w:val="22"/>
              </w:rPr>
            </w:pPr>
            <w:r>
              <w:rPr>
                <w:sz w:val="22"/>
              </w:rPr>
              <w:t>1998</w:t>
            </w:r>
          </w:p>
        </w:tc>
        <w:tc>
          <w:tcPr>
            <w:tcW w:w="631" w:type="pct"/>
          </w:tcPr>
          <w:p w:rsidR="00000000" w:rsidRDefault="00000000">
            <w:pPr>
              <w:keepNext/>
              <w:autoSpaceDE w:val="0"/>
              <w:autoSpaceDN w:val="0"/>
              <w:adjustRightInd w:val="0"/>
              <w:spacing w:before="60" w:after="60"/>
              <w:jc w:val="center"/>
              <w:rPr>
                <w:sz w:val="22"/>
              </w:rPr>
            </w:pPr>
            <w:r>
              <w:rPr>
                <w:sz w:val="22"/>
              </w:rPr>
              <w:t>1999</w:t>
            </w:r>
          </w:p>
        </w:tc>
      </w:tr>
      <w:tr w:rsidR="00000000">
        <w:tblPrEx>
          <w:tblCellMar>
            <w:top w:w="0" w:type="dxa"/>
            <w:bottom w:w="0" w:type="dxa"/>
          </w:tblCellMar>
        </w:tblPrEx>
        <w:tc>
          <w:tcPr>
            <w:tcW w:w="3202" w:type="pct"/>
          </w:tcPr>
          <w:p w:rsidR="00000000" w:rsidRDefault="00000000">
            <w:pPr>
              <w:autoSpaceDE w:val="0"/>
              <w:autoSpaceDN w:val="0"/>
              <w:adjustRightInd w:val="0"/>
              <w:spacing w:before="60" w:after="60"/>
              <w:rPr>
                <w:sz w:val="22"/>
              </w:rPr>
            </w:pPr>
            <w:r>
              <w:rPr>
                <w:sz w:val="22"/>
              </w:rPr>
              <w:t>Nombre total de personnes reconnues handicapées (diagnostic initial)</w:t>
            </w:r>
          </w:p>
        </w:tc>
        <w:tc>
          <w:tcPr>
            <w:tcW w:w="538" w:type="pct"/>
          </w:tcPr>
          <w:p w:rsidR="00000000" w:rsidRDefault="00000000">
            <w:pPr>
              <w:autoSpaceDE w:val="0"/>
              <w:autoSpaceDN w:val="0"/>
              <w:adjustRightInd w:val="0"/>
              <w:spacing w:before="60" w:after="60"/>
              <w:jc w:val="right"/>
              <w:rPr>
                <w:sz w:val="22"/>
              </w:rPr>
            </w:pPr>
            <w:r>
              <w:rPr>
                <w:sz w:val="22"/>
              </w:rPr>
              <w:t>10 852</w:t>
            </w:r>
          </w:p>
        </w:tc>
        <w:tc>
          <w:tcPr>
            <w:tcW w:w="630" w:type="pct"/>
          </w:tcPr>
          <w:p w:rsidR="00000000" w:rsidRDefault="00000000">
            <w:pPr>
              <w:autoSpaceDE w:val="0"/>
              <w:autoSpaceDN w:val="0"/>
              <w:adjustRightInd w:val="0"/>
              <w:spacing w:before="60" w:after="60"/>
              <w:jc w:val="right"/>
              <w:rPr>
                <w:sz w:val="22"/>
              </w:rPr>
            </w:pPr>
            <w:r>
              <w:rPr>
                <w:sz w:val="22"/>
              </w:rPr>
              <w:t>12 721</w:t>
            </w:r>
          </w:p>
        </w:tc>
        <w:tc>
          <w:tcPr>
            <w:tcW w:w="631" w:type="pct"/>
          </w:tcPr>
          <w:p w:rsidR="00000000" w:rsidRDefault="00000000">
            <w:pPr>
              <w:autoSpaceDE w:val="0"/>
              <w:autoSpaceDN w:val="0"/>
              <w:adjustRightInd w:val="0"/>
              <w:spacing w:before="60" w:after="60"/>
              <w:jc w:val="right"/>
              <w:rPr>
                <w:sz w:val="22"/>
              </w:rPr>
            </w:pPr>
            <w:r>
              <w:rPr>
                <w:sz w:val="22"/>
              </w:rPr>
              <w:t>11 567</w:t>
            </w:r>
          </w:p>
        </w:tc>
      </w:tr>
      <w:tr w:rsidR="00000000">
        <w:tblPrEx>
          <w:tblCellMar>
            <w:top w:w="0" w:type="dxa"/>
            <w:bottom w:w="0" w:type="dxa"/>
          </w:tblCellMar>
        </w:tblPrEx>
        <w:tc>
          <w:tcPr>
            <w:tcW w:w="3202" w:type="pct"/>
          </w:tcPr>
          <w:p w:rsidR="00000000" w:rsidRDefault="00000000">
            <w:pPr>
              <w:autoSpaceDE w:val="0"/>
              <w:autoSpaceDN w:val="0"/>
              <w:adjustRightInd w:val="0"/>
              <w:spacing w:before="60" w:after="60"/>
              <w:rPr>
                <w:sz w:val="22"/>
              </w:rPr>
            </w:pPr>
            <w:r>
              <w:rPr>
                <w:sz w:val="22"/>
              </w:rPr>
              <w:t>Dont: nombre de femmes</w:t>
            </w:r>
          </w:p>
        </w:tc>
        <w:tc>
          <w:tcPr>
            <w:tcW w:w="538" w:type="pct"/>
          </w:tcPr>
          <w:p w:rsidR="00000000" w:rsidRDefault="00000000">
            <w:pPr>
              <w:autoSpaceDE w:val="0"/>
              <w:autoSpaceDN w:val="0"/>
              <w:adjustRightInd w:val="0"/>
              <w:spacing w:before="60" w:after="60"/>
              <w:jc w:val="right"/>
              <w:rPr>
                <w:sz w:val="22"/>
              </w:rPr>
            </w:pPr>
            <w:r>
              <w:rPr>
                <w:sz w:val="22"/>
              </w:rPr>
              <w:t>5 137</w:t>
            </w:r>
          </w:p>
        </w:tc>
        <w:tc>
          <w:tcPr>
            <w:tcW w:w="630" w:type="pct"/>
          </w:tcPr>
          <w:p w:rsidR="00000000" w:rsidRDefault="00000000">
            <w:pPr>
              <w:autoSpaceDE w:val="0"/>
              <w:autoSpaceDN w:val="0"/>
              <w:adjustRightInd w:val="0"/>
              <w:spacing w:before="60" w:after="60"/>
              <w:jc w:val="right"/>
              <w:rPr>
                <w:sz w:val="22"/>
              </w:rPr>
            </w:pPr>
            <w:r>
              <w:rPr>
                <w:sz w:val="22"/>
              </w:rPr>
              <w:t>6 081</w:t>
            </w:r>
          </w:p>
        </w:tc>
        <w:tc>
          <w:tcPr>
            <w:tcW w:w="631" w:type="pct"/>
          </w:tcPr>
          <w:p w:rsidR="00000000" w:rsidRDefault="00000000">
            <w:pPr>
              <w:autoSpaceDE w:val="0"/>
              <w:autoSpaceDN w:val="0"/>
              <w:adjustRightInd w:val="0"/>
              <w:spacing w:before="60" w:after="60"/>
              <w:jc w:val="right"/>
              <w:rPr>
                <w:sz w:val="22"/>
              </w:rPr>
            </w:pPr>
            <w:r>
              <w:rPr>
                <w:sz w:val="22"/>
              </w:rPr>
              <w:t>5 146</w:t>
            </w:r>
          </w:p>
        </w:tc>
      </w:tr>
      <w:tr w:rsidR="00000000">
        <w:tblPrEx>
          <w:tblCellMar>
            <w:top w:w="0" w:type="dxa"/>
            <w:bottom w:w="0" w:type="dxa"/>
          </w:tblCellMar>
        </w:tblPrEx>
        <w:trPr>
          <w:cantSplit/>
        </w:trPr>
        <w:tc>
          <w:tcPr>
            <w:tcW w:w="3202" w:type="pct"/>
          </w:tcPr>
          <w:p w:rsidR="00000000" w:rsidRDefault="00000000">
            <w:pPr>
              <w:autoSpaceDE w:val="0"/>
              <w:autoSpaceDN w:val="0"/>
              <w:adjustRightInd w:val="0"/>
              <w:spacing w:before="60" w:after="60"/>
              <w:rPr>
                <w:sz w:val="22"/>
              </w:rPr>
            </w:pPr>
            <w:r>
              <w:rPr>
                <w:sz w:val="22"/>
              </w:rPr>
              <w:t>Nombre de personnes reconnues handicapées:</w:t>
            </w:r>
          </w:p>
        </w:tc>
        <w:tc>
          <w:tcPr>
            <w:tcW w:w="1798" w:type="pct"/>
            <w:gridSpan w:val="3"/>
          </w:tcPr>
          <w:p w:rsidR="00000000" w:rsidRDefault="00000000">
            <w:pPr>
              <w:autoSpaceDE w:val="0"/>
              <w:autoSpaceDN w:val="0"/>
              <w:adjustRightInd w:val="0"/>
              <w:spacing w:before="60" w:after="60"/>
              <w:jc w:val="right"/>
              <w:rPr>
                <w:sz w:val="22"/>
              </w:rPr>
            </w:pPr>
          </w:p>
        </w:tc>
      </w:tr>
      <w:tr w:rsidR="00000000">
        <w:tblPrEx>
          <w:tblCellMar>
            <w:top w:w="0" w:type="dxa"/>
            <w:bottom w:w="0" w:type="dxa"/>
          </w:tblCellMar>
        </w:tblPrEx>
        <w:tc>
          <w:tcPr>
            <w:tcW w:w="3202" w:type="pct"/>
          </w:tcPr>
          <w:p w:rsidR="00000000" w:rsidRDefault="00000000">
            <w:pPr>
              <w:autoSpaceDE w:val="0"/>
              <w:autoSpaceDN w:val="0"/>
              <w:adjustRightInd w:val="0"/>
              <w:spacing w:before="60" w:after="60"/>
              <w:rPr>
                <w:sz w:val="22"/>
              </w:rPr>
            </w:pPr>
            <w:r>
              <w:rPr>
                <w:sz w:val="22"/>
              </w:rPr>
              <w:t>Par suite d’un accident du travail ou d’une maladie professionnelle</w:t>
            </w:r>
          </w:p>
        </w:tc>
        <w:tc>
          <w:tcPr>
            <w:tcW w:w="538" w:type="pct"/>
          </w:tcPr>
          <w:p w:rsidR="00000000" w:rsidRDefault="00000000">
            <w:pPr>
              <w:autoSpaceDE w:val="0"/>
              <w:autoSpaceDN w:val="0"/>
              <w:adjustRightInd w:val="0"/>
              <w:spacing w:before="60" w:after="60"/>
              <w:jc w:val="right"/>
              <w:rPr>
                <w:sz w:val="22"/>
              </w:rPr>
            </w:pPr>
            <w:r>
              <w:rPr>
                <w:sz w:val="22"/>
              </w:rPr>
              <w:t>48</w:t>
            </w:r>
          </w:p>
        </w:tc>
        <w:tc>
          <w:tcPr>
            <w:tcW w:w="630" w:type="pct"/>
          </w:tcPr>
          <w:p w:rsidR="00000000" w:rsidRDefault="00000000">
            <w:pPr>
              <w:autoSpaceDE w:val="0"/>
              <w:autoSpaceDN w:val="0"/>
              <w:adjustRightInd w:val="0"/>
              <w:spacing w:before="60" w:after="60"/>
              <w:jc w:val="right"/>
              <w:rPr>
                <w:sz w:val="22"/>
              </w:rPr>
            </w:pPr>
            <w:r>
              <w:rPr>
                <w:sz w:val="22"/>
              </w:rPr>
              <w:t>47</w:t>
            </w:r>
          </w:p>
        </w:tc>
        <w:tc>
          <w:tcPr>
            <w:tcW w:w="631" w:type="pct"/>
          </w:tcPr>
          <w:p w:rsidR="00000000" w:rsidRDefault="00000000">
            <w:pPr>
              <w:autoSpaceDE w:val="0"/>
              <w:autoSpaceDN w:val="0"/>
              <w:adjustRightInd w:val="0"/>
              <w:spacing w:before="60" w:after="60"/>
              <w:jc w:val="right"/>
              <w:rPr>
                <w:sz w:val="22"/>
              </w:rPr>
            </w:pPr>
            <w:r>
              <w:rPr>
                <w:sz w:val="22"/>
              </w:rPr>
              <w:t>55</w:t>
            </w:r>
          </w:p>
        </w:tc>
      </w:tr>
      <w:tr w:rsidR="00000000">
        <w:tblPrEx>
          <w:tblCellMar>
            <w:top w:w="0" w:type="dxa"/>
            <w:bottom w:w="0" w:type="dxa"/>
          </w:tblCellMar>
        </w:tblPrEx>
        <w:tc>
          <w:tcPr>
            <w:tcW w:w="3202" w:type="pct"/>
          </w:tcPr>
          <w:p w:rsidR="00000000" w:rsidRDefault="00000000">
            <w:pPr>
              <w:autoSpaceDE w:val="0"/>
              <w:autoSpaceDN w:val="0"/>
              <w:adjustRightInd w:val="0"/>
              <w:spacing w:before="60" w:after="60"/>
              <w:rPr>
                <w:sz w:val="22"/>
              </w:rPr>
            </w:pPr>
            <w:r>
              <w:rPr>
                <w:sz w:val="22"/>
              </w:rPr>
              <w:t>Par suite d’une autre maladie</w:t>
            </w:r>
          </w:p>
        </w:tc>
        <w:tc>
          <w:tcPr>
            <w:tcW w:w="538" w:type="pct"/>
          </w:tcPr>
          <w:p w:rsidR="00000000" w:rsidRDefault="00000000">
            <w:pPr>
              <w:autoSpaceDE w:val="0"/>
              <w:autoSpaceDN w:val="0"/>
              <w:adjustRightInd w:val="0"/>
              <w:spacing w:before="60" w:after="60"/>
              <w:jc w:val="right"/>
              <w:rPr>
                <w:sz w:val="22"/>
              </w:rPr>
            </w:pPr>
            <w:r>
              <w:rPr>
                <w:sz w:val="22"/>
              </w:rPr>
              <w:t>9 593</w:t>
            </w:r>
          </w:p>
        </w:tc>
        <w:tc>
          <w:tcPr>
            <w:tcW w:w="630" w:type="pct"/>
          </w:tcPr>
          <w:p w:rsidR="00000000" w:rsidRDefault="00000000">
            <w:pPr>
              <w:autoSpaceDE w:val="0"/>
              <w:autoSpaceDN w:val="0"/>
              <w:adjustRightInd w:val="0"/>
              <w:spacing w:before="60" w:after="60"/>
              <w:jc w:val="right"/>
              <w:rPr>
                <w:sz w:val="22"/>
              </w:rPr>
            </w:pPr>
            <w:r>
              <w:rPr>
                <w:sz w:val="22"/>
              </w:rPr>
              <w:t>11 046</w:t>
            </w:r>
          </w:p>
        </w:tc>
        <w:tc>
          <w:tcPr>
            <w:tcW w:w="631" w:type="pct"/>
          </w:tcPr>
          <w:p w:rsidR="00000000" w:rsidRDefault="00000000">
            <w:pPr>
              <w:autoSpaceDE w:val="0"/>
              <w:autoSpaceDN w:val="0"/>
              <w:adjustRightInd w:val="0"/>
              <w:spacing w:before="60" w:after="60"/>
              <w:jc w:val="right"/>
              <w:rPr>
                <w:sz w:val="22"/>
              </w:rPr>
            </w:pPr>
            <w:r>
              <w:rPr>
                <w:sz w:val="22"/>
              </w:rPr>
              <w:t>10 155</w:t>
            </w:r>
          </w:p>
        </w:tc>
      </w:tr>
      <w:tr w:rsidR="00000000">
        <w:tblPrEx>
          <w:tblCellMar>
            <w:top w:w="0" w:type="dxa"/>
            <w:bottom w:w="0" w:type="dxa"/>
          </w:tblCellMar>
        </w:tblPrEx>
        <w:tc>
          <w:tcPr>
            <w:tcW w:w="3202" w:type="pct"/>
          </w:tcPr>
          <w:p w:rsidR="00000000" w:rsidRDefault="00000000">
            <w:pPr>
              <w:autoSpaceDE w:val="0"/>
              <w:autoSpaceDN w:val="0"/>
              <w:adjustRightInd w:val="0"/>
              <w:spacing w:before="60" w:after="60"/>
              <w:rPr>
                <w:sz w:val="22"/>
              </w:rPr>
            </w:pPr>
            <w:r>
              <w:rPr>
                <w:sz w:val="22"/>
              </w:rPr>
              <w:t>Appartenant aux forces armées</w:t>
            </w:r>
          </w:p>
        </w:tc>
        <w:tc>
          <w:tcPr>
            <w:tcW w:w="538" w:type="pct"/>
          </w:tcPr>
          <w:p w:rsidR="00000000" w:rsidRDefault="00000000">
            <w:pPr>
              <w:autoSpaceDE w:val="0"/>
              <w:autoSpaceDN w:val="0"/>
              <w:adjustRightInd w:val="0"/>
              <w:spacing w:before="60" w:after="60"/>
              <w:jc w:val="right"/>
              <w:rPr>
                <w:sz w:val="22"/>
              </w:rPr>
            </w:pPr>
            <w:r>
              <w:rPr>
                <w:sz w:val="22"/>
              </w:rPr>
              <w:t>209</w:t>
            </w:r>
          </w:p>
        </w:tc>
        <w:tc>
          <w:tcPr>
            <w:tcW w:w="630" w:type="pct"/>
          </w:tcPr>
          <w:p w:rsidR="00000000" w:rsidRDefault="00000000">
            <w:pPr>
              <w:autoSpaceDE w:val="0"/>
              <w:autoSpaceDN w:val="0"/>
              <w:adjustRightInd w:val="0"/>
              <w:spacing w:before="60" w:after="60"/>
              <w:jc w:val="right"/>
              <w:rPr>
                <w:sz w:val="22"/>
              </w:rPr>
            </w:pPr>
            <w:r>
              <w:rPr>
                <w:sz w:val="22"/>
              </w:rPr>
              <w:t>553</w:t>
            </w:r>
          </w:p>
        </w:tc>
        <w:tc>
          <w:tcPr>
            <w:tcW w:w="631" w:type="pct"/>
          </w:tcPr>
          <w:p w:rsidR="00000000" w:rsidRDefault="00000000">
            <w:pPr>
              <w:autoSpaceDE w:val="0"/>
              <w:autoSpaceDN w:val="0"/>
              <w:adjustRightInd w:val="0"/>
              <w:spacing w:before="60" w:after="60"/>
              <w:jc w:val="right"/>
              <w:rPr>
                <w:sz w:val="22"/>
              </w:rPr>
            </w:pPr>
            <w:r>
              <w:rPr>
                <w:sz w:val="22"/>
              </w:rPr>
              <w:t>517</w:t>
            </w:r>
          </w:p>
        </w:tc>
      </w:tr>
      <w:tr w:rsidR="00000000">
        <w:tblPrEx>
          <w:tblCellMar>
            <w:top w:w="0" w:type="dxa"/>
            <w:bottom w:w="0" w:type="dxa"/>
          </w:tblCellMar>
        </w:tblPrEx>
        <w:tc>
          <w:tcPr>
            <w:tcW w:w="3202" w:type="pct"/>
          </w:tcPr>
          <w:p w:rsidR="00000000" w:rsidRDefault="00000000">
            <w:pPr>
              <w:autoSpaceDE w:val="0"/>
              <w:autoSpaceDN w:val="0"/>
              <w:adjustRightInd w:val="0"/>
              <w:spacing w:before="60" w:after="60"/>
              <w:rPr>
                <w:sz w:val="22"/>
              </w:rPr>
            </w:pPr>
            <w:r>
              <w:rPr>
                <w:sz w:val="22"/>
              </w:rPr>
              <w:t>Depuis l’enfance</w:t>
            </w:r>
          </w:p>
        </w:tc>
        <w:tc>
          <w:tcPr>
            <w:tcW w:w="538" w:type="pct"/>
          </w:tcPr>
          <w:p w:rsidR="00000000" w:rsidRDefault="00000000">
            <w:pPr>
              <w:autoSpaceDE w:val="0"/>
              <w:autoSpaceDN w:val="0"/>
              <w:adjustRightInd w:val="0"/>
              <w:spacing w:before="60" w:after="60"/>
              <w:jc w:val="right"/>
              <w:rPr>
                <w:sz w:val="22"/>
              </w:rPr>
            </w:pPr>
            <w:r>
              <w:rPr>
                <w:sz w:val="22"/>
              </w:rPr>
              <w:t>1 002</w:t>
            </w:r>
          </w:p>
        </w:tc>
        <w:tc>
          <w:tcPr>
            <w:tcW w:w="630" w:type="pct"/>
          </w:tcPr>
          <w:p w:rsidR="00000000" w:rsidRDefault="00000000">
            <w:pPr>
              <w:autoSpaceDE w:val="0"/>
              <w:autoSpaceDN w:val="0"/>
              <w:adjustRightInd w:val="0"/>
              <w:spacing w:before="60" w:after="60"/>
              <w:jc w:val="right"/>
              <w:rPr>
                <w:sz w:val="22"/>
              </w:rPr>
            </w:pPr>
            <w:r>
              <w:rPr>
                <w:sz w:val="22"/>
              </w:rPr>
              <w:t>1 075</w:t>
            </w:r>
          </w:p>
        </w:tc>
        <w:tc>
          <w:tcPr>
            <w:tcW w:w="631" w:type="pct"/>
          </w:tcPr>
          <w:p w:rsidR="00000000" w:rsidRDefault="00000000">
            <w:pPr>
              <w:autoSpaceDE w:val="0"/>
              <w:autoSpaceDN w:val="0"/>
              <w:adjustRightInd w:val="0"/>
              <w:spacing w:before="60" w:after="60"/>
              <w:jc w:val="right"/>
              <w:rPr>
                <w:sz w:val="22"/>
              </w:rPr>
            </w:pPr>
            <w:r>
              <w:rPr>
                <w:sz w:val="22"/>
              </w:rPr>
              <w:t>840</w:t>
            </w:r>
          </w:p>
        </w:tc>
      </w:tr>
      <w:tr w:rsidR="00000000">
        <w:tblPrEx>
          <w:tblCellMar>
            <w:top w:w="0" w:type="dxa"/>
            <w:bottom w:w="0" w:type="dxa"/>
          </w:tblCellMar>
        </w:tblPrEx>
        <w:tc>
          <w:tcPr>
            <w:tcW w:w="3202" w:type="pct"/>
          </w:tcPr>
          <w:p w:rsidR="00000000" w:rsidRDefault="00000000">
            <w:pPr>
              <w:autoSpaceDE w:val="0"/>
              <w:autoSpaceDN w:val="0"/>
              <w:adjustRightInd w:val="0"/>
              <w:spacing w:before="60" w:after="60"/>
              <w:rPr>
                <w:sz w:val="22"/>
              </w:rPr>
            </w:pPr>
            <w:r>
              <w:rPr>
                <w:sz w:val="22"/>
              </w:rPr>
              <w:t>Souffrant d’une incapacité permanente</w:t>
            </w:r>
          </w:p>
        </w:tc>
        <w:tc>
          <w:tcPr>
            <w:tcW w:w="538" w:type="pct"/>
          </w:tcPr>
          <w:p w:rsidR="00000000" w:rsidRDefault="00000000">
            <w:pPr>
              <w:autoSpaceDE w:val="0"/>
              <w:autoSpaceDN w:val="0"/>
              <w:adjustRightInd w:val="0"/>
              <w:spacing w:before="60" w:after="60"/>
              <w:jc w:val="right"/>
              <w:rPr>
                <w:sz w:val="22"/>
              </w:rPr>
            </w:pPr>
            <w:r>
              <w:rPr>
                <w:sz w:val="22"/>
              </w:rPr>
              <w:t>2 553</w:t>
            </w:r>
          </w:p>
        </w:tc>
        <w:tc>
          <w:tcPr>
            <w:tcW w:w="630" w:type="pct"/>
          </w:tcPr>
          <w:p w:rsidR="00000000" w:rsidRDefault="00000000">
            <w:pPr>
              <w:autoSpaceDE w:val="0"/>
              <w:autoSpaceDN w:val="0"/>
              <w:adjustRightInd w:val="0"/>
              <w:spacing w:before="60" w:after="60"/>
              <w:jc w:val="right"/>
              <w:rPr>
                <w:sz w:val="22"/>
              </w:rPr>
            </w:pPr>
            <w:r>
              <w:rPr>
                <w:sz w:val="22"/>
              </w:rPr>
              <w:t>3 208</w:t>
            </w:r>
          </w:p>
        </w:tc>
        <w:tc>
          <w:tcPr>
            <w:tcW w:w="631" w:type="pct"/>
          </w:tcPr>
          <w:p w:rsidR="00000000" w:rsidRDefault="00000000">
            <w:pPr>
              <w:autoSpaceDE w:val="0"/>
              <w:autoSpaceDN w:val="0"/>
              <w:adjustRightInd w:val="0"/>
              <w:spacing w:before="60" w:after="60"/>
              <w:jc w:val="right"/>
              <w:rPr>
                <w:sz w:val="22"/>
              </w:rPr>
            </w:pPr>
            <w:r>
              <w:rPr>
                <w:sz w:val="22"/>
              </w:rPr>
              <w:t>3 513</w:t>
            </w:r>
          </w:p>
        </w:tc>
      </w:tr>
    </w:tbl>
    <w:p w:rsidR="00000000" w:rsidRDefault="00000000">
      <w:pPr>
        <w:keepNext/>
        <w:autoSpaceDE w:val="0"/>
        <w:autoSpaceDN w:val="0"/>
        <w:adjustRightInd w:val="0"/>
        <w:spacing w:before="240" w:after="240"/>
        <w:jc w:val="center"/>
        <w:rPr>
          <w:u w:val="single"/>
        </w:rPr>
      </w:pPr>
      <w:r>
        <w:rPr>
          <w:u w:val="single"/>
        </w:rPr>
        <w:t>Avortement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10"/>
        <w:gridCol w:w="1261"/>
        <w:gridCol w:w="1262"/>
        <w:gridCol w:w="1262"/>
      </w:tblGrid>
      <w:tr w:rsidR="00000000">
        <w:tblPrEx>
          <w:tblCellMar>
            <w:top w:w="0" w:type="dxa"/>
            <w:bottom w:w="0" w:type="dxa"/>
          </w:tblCellMar>
        </w:tblPrEx>
        <w:tc>
          <w:tcPr>
            <w:tcW w:w="5710" w:type="dxa"/>
          </w:tcPr>
          <w:p w:rsidR="00000000" w:rsidRDefault="00000000">
            <w:pPr>
              <w:autoSpaceDE w:val="0"/>
              <w:autoSpaceDN w:val="0"/>
              <w:adjustRightInd w:val="0"/>
              <w:spacing w:before="60" w:after="60"/>
              <w:rPr>
                <w:sz w:val="22"/>
              </w:rPr>
            </w:pPr>
          </w:p>
        </w:tc>
        <w:tc>
          <w:tcPr>
            <w:tcW w:w="1261" w:type="dxa"/>
          </w:tcPr>
          <w:p w:rsidR="00000000" w:rsidRDefault="00000000">
            <w:pPr>
              <w:autoSpaceDE w:val="0"/>
              <w:autoSpaceDN w:val="0"/>
              <w:adjustRightInd w:val="0"/>
              <w:spacing w:before="60" w:after="60"/>
              <w:jc w:val="center"/>
              <w:rPr>
                <w:sz w:val="22"/>
              </w:rPr>
            </w:pPr>
            <w:r>
              <w:rPr>
                <w:sz w:val="22"/>
              </w:rPr>
              <w:t>1997</w:t>
            </w:r>
          </w:p>
        </w:tc>
        <w:tc>
          <w:tcPr>
            <w:tcW w:w="1262" w:type="dxa"/>
          </w:tcPr>
          <w:p w:rsidR="00000000" w:rsidRDefault="00000000">
            <w:pPr>
              <w:autoSpaceDE w:val="0"/>
              <w:autoSpaceDN w:val="0"/>
              <w:adjustRightInd w:val="0"/>
              <w:spacing w:before="60" w:after="60"/>
              <w:jc w:val="center"/>
              <w:rPr>
                <w:sz w:val="22"/>
              </w:rPr>
            </w:pPr>
            <w:r>
              <w:rPr>
                <w:sz w:val="22"/>
              </w:rPr>
              <w:t>1998</w:t>
            </w:r>
          </w:p>
        </w:tc>
        <w:tc>
          <w:tcPr>
            <w:tcW w:w="1262" w:type="dxa"/>
          </w:tcPr>
          <w:p w:rsidR="00000000" w:rsidRDefault="00000000">
            <w:pPr>
              <w:autoSpaceDE w:val="0"/>
              <w:autoSpaceDN w:val="0"/>
              <w:adjustRightInd w:val="0"/>
              <w:spacing w:before="60" w:after="60"/>
              <w:jc w:val="center"/>
              <w:rPr>
                <w:sz w:val="22"/>
              </w:rPr>
            </w:pPr>
            <w:r>
              <w:rPr>
                <w:sz w:val="22"/>
              </w:rPr>
              <w:t>1999</w:t>
            </w:r>
          </w:p>
        </w:tc>
      </w:tr>
      <w:tr w:rsidR="00000000">
        <w:tblPrEx>
          <w:tblCellMar>
            <w:top w:w="0" w:type="dxa"/>
            <w:bottom w:w="0" w:type="dxa"/>
          </w:tblCellMar>
        </w:tblPrEx>
        <w:tc>
          <w:tcPr>
            <w:tcW w:w="5710" w:type="dxa"/>
          </w:tcPr>
          <w:p w:rsidR="00000000" w:rsidRDefault="00000000">
            <w:pPr>
              <w:autoSpaceDE w:val="0"/>
              <w:autoSpaceDN w:val="0"/>
              <w:adjustRightInd w:val="0"/>
              <w:spacing w:before="60" w:after="60"/>
              <w:rPr>
                <w:sz w:val="22"/>
              </w:rPr>
            </w:pPr>
            <w:r>
              <w:rPr>
                <w:sz w:val="22"/>
              </w:rPr>
              <w:t>Nombre d’avortements, en milliers</w:t>
            </w:r>
          </w:p>
        </w:tc>
        <w:tc>
          <w:tcPr>
            <w:tcW w:w="1261" w:type="dxa"/>
          </w:tcPr>
          <w:p w:rsidR="00000000" w:rsidRDefault="00000000">
            <w:pPr>
              <w:autoSpaceDE w:val="0"/>
              <w:autoSpaceDN w:val="0"/>
              <w:adjustRightInd w:val="0"/>
              <w:spacing w:before="60" w:after="60"/>
              <w:jc w:val="right"/>
              <w:rPr>
                <w:sz w:val="22"/>
              </w:rPr>
            </w:pPr>
            <w:r>
              <w:rPr>
                <w:sz w:val="22"/>
              </w:rPr>
              <w:t>23,4</w:t>
            </w:r>
          </w:p>
        </w:tc>
        <w:tc>
          <w:tcPr>
            <w:tcW w:w="1262" w:type="dxa"/>
          </w:tcPr>
          <w:p w:rsidR="00000000" w:rsidRDefault="00000000">
            <w:pPr>
              <w:autoSpaceDE w:val="0"/>
              <w:autoSpaceDN w:val="0"/>
              <w:adjustRightInd w:val="0"/>
              <w:spacing w:before="60" w:after="60"/>
              <w:jc w:val="right"/>
              <w:rPr>
                <w:sz w:val="22"/>
              </w:rPr>
            </w:pPr>
            <w:r>
              <w:rPr>
                <w:sz w:val="22"/>
              </w:rPr>
              <w:t>21,0</w:t>
            </w:r>
          </w:p>
        </w:tc>
        <w:tc>
          <w:tcPr>
            <w:tcW w:w="1262" w:type="dxa"/>
          </w:tcPr>
          <w:p w:rsidR="00000000" w:rsidRDefault="00000000">
            <w:pPr>
              <w:autoSpaceDE w:val="0"/>
              <w:autoSpaceDN w:val="0"/>
              <w:adjustRightInd w:val="0"/>
              <w:spacing w:before="60" w:after="60"/>
              <w:jc w:val="right"/>
              <w:rPr>
                <w:sz w:val="22"/>
              </w:rPr>
            </w:pPr>
            <w:r>
              <w:rPr>
                <w:sz w:val="22"/>
              </w:rPr>
              <w:t>18,3</w:t>
            </w:r>
          </w:p>
        </w:tc>
      </w:tr>
      <w:tr w:rsidR="00000000">
        <w:tblPrEx>
          <w:tblCellMar>
            <w:top w:w="0" w:type="dxa"/>
            <w:bottom w:w="0" w:type="dxa"/>
          </w:tblCellMar>
        </w:tblPrEx>
        <w:tc>
          <w:tcPr>
            <w:tcW w:w="5710" w:type="dxa"/>
          </w:tcPr>
          <w:p w:rsidR="00000000" w:rsidRDefault="00000000">
            <w:pPr>
              <w:autoSpaceDE w:val="0"/>
              <w:autoSpaceDN w:val="0"/>
              <w:adjustRightInd w:val="0"/>
              <w:spacing w:before="60" w:after="60"/>
              <w:rPr>
                <w:sz w:val="22"/>
              </w:rPr>
            </w:pPr>
            <w:r>
              <w:rPr>
                <w:sz w:val="22"/>
              </w:rPr>
              <w:t>Dont: avortements précoces par aspiration («mini</w:t>
            </w:r>
            <w:r>
              <w:rPr>
                <w:sz w:val="22"/>
              </w:rPr>
              <w:noBreakHyphen/>
              <w:t>avortements»), en milliers</w:t>
            </w:r>
          </w:p>
        </w:tc>
        <w:tc>
          <w:tcPr>
            <w:tcW w:w="1261" w:type="dxa"/>
          </w:tcPr>
          <w:p w:rsidR="00000000" w:rsidRDefault="00000000">
            <w:pPr>
              <w:autoSpaceDE w:val="0"/>
              <w:autoSpaceDN w:val="0"/>
              <w:adjustRightInd w:val="0"/>
              <w:spacing w:before="60" w:after="60"/>
              <w:jc w:val="right"/>
              <w:rPr>
                <w:sz w:val="22"/>
              </w:rPr>
            </w:pPr>
            <w:r>
              <w:rPr>
                <w:sz w:val="22"/>
              </w:rPr>
              <w:t>5,5</w:t>
            </w:r>
          </w:p>
        </w:tc>
        <w:tc>
          <w:tcPr>
            <w:tcW w:w="1262" w:type="dxa"/>
          </w:tcPr>
          <w:p w:rsidR="00000000" w:rsidRDefault="00000000">
            <w:pPr>
              <w:autoSpaceDE w:val="0"/>
              <w:autoSpaceDN w:val="0"/>
              <w:adjustRightInd w:val="0"/>
              <w:spacing w:before="60" w:after="60"/>
              <w:jc w:val="right"/>
              <w:rPr>
                <w:sz w:val="22"/>
              </w:rPr>
            </w:pPr>
            <w:r>
              <w:rPr>
                <w:sz w:val="22"/>
              </w:rPr>
              <w:t>6,8</w:t>
            </w:r>
          </w:p>
        </w:tc>
        <w:tc>
          <w:tcPr>
            <w:tcW w:w="1262" w:type="dxa"/>
          </w:tcPr>
          <w:p w:rsidR="00000000" w:rsidRDefault="00000000">
            <w:pPr>
              <w:autoSpaceDE w:val="0"/>
              <w:autoSpaceDN w:val="0"/>
              <w:adjustRightInd w:val="0"/>
              <w:spacing w:before="60" w:after="60"/>
              <w:jc w:val="right"/>
              <w:rPr>
                <w:sz w:val="22"/>
              </w:rPr>
            </w:pPr>
            <w:r>
              <w:rPr>
                <w:sz w:val="22"/>
              </w:rPr>
              <w:t>6,5</w:t>
            </w:r>
          </w:p>
        </w:tc>
      </w:tr>
      <w:tr w:rsidR="00000000">
        <w:tblPrEx>
          <w:tblCellMar>
            <w:top w:w="0" w:type="dxa"/>
            <w:bottom w:w="0" w:type="dxa"/>
          </w:tblCellMar>
        </w:tblPrEx>
        <w:trPr>
          <w:cantSplit/>
        </w:trPr>
        <w:tc>
          <w:tcPr>
            <w:tcW w:w="5710" w:type="dxa"/>
          </w:tcPr>
          <w:p w:rsidR="00000000" w:rsidRDefault="00000000">
            <w:pPr>
              <w:autoSpaceDE w:val="0"/>
              <w:autoSpaceDN w:val="0"/>
              <w:adjustRightInd w:val="0"/>
              <w:spacing w:before="60" w:after="60"/>
              <w:rPr>
                <w:sz w:val="22"/>
              </w:rPr>
            </w:pPr>
            <w:r>
              <w:rPr>
                <w:sz w:val="22"/>
              </w:rPr>
              <w:t>Nombre d’avortements selon l’âge de la femme:</w:t>
            </w:r>
          </w:p>
        </w:tc>
        <w:tc>
          <w:tcPr>
            <w:tcW w:w="3785" w:type="dxa"/>
            <w:gridSpan w:val="3"/>
          </w:tcPr>
          <w:p w:rsidR="00000000" w:rsidRDefault="00000000">
            <w:pPr>
              <w:autoSpaceDE w:val="0"/>
              <w:autoSpaceDN w:val="0"/>
              <w:adjustRightInd w:val="0"/>
              <w:spacing w:before="60" w:after="60"/>
              <w:jc w:val="right"/>
              <w:rPr>
                <w:sz w:val="22"/>
              </w:rPr>
            </w:pPr>
          </w:p>
        </w:tc>
      </w:tr>
      <w:tr w:rsidR="00000000">
        <w:tblPrEx>
          <w:tblCellMar>
            <w:top w:w="0" w:type="dxa"/>
            <w:bottom w:w="0" w:type="dxa"/>
          </w:tblCellMar>
        </w:tblPrEx>
        <w:tc>
          <w:tcPr>
            <w:tcW w:w="5710" w:type="dxa"/>
          </w:tcPr>
          <w:p w:rsidR="00000000" w:rsidRDefault="00000000">
            <w:pPr>
              <w:autoSpaceDE w:val="0"/>
              <w:autoSpaceDN w:val="0"/>
              <w:adjustRightInd w:val="0"/>
              <w:spacing w:before="60" w:after="60"/>
              <w:rPr>
                <w:sz w:val="22"/>
              </w:rPr>
            </w:pPr>
            <w:r>
              <w:rPr>
                <w:sz w:val="22"/>
              </w:rPr>
              <w:tab/>
              <w:t>Jusqu’à 15 ans </w:t>
            </w:r>
          </w:p>
        </w:tc>
        <w:tc>
          <w:tcPr>
            <w:tcW w:w="1261" w:type="dxa"/>
          </w:tcPr>
          <w:p w:rsidR="00000000" w:rsidRDefault="00000000">
            <w:pPr>
              <w:autoSpaceDE w:val="0"/>
              <w:autoSpaceDN w:val="0"/>
              <w:adjustRightInd w:val="0"/>
              <w:spacing w:before="60" w:after="60"/>
              <w:jc w:val="right"/>
              <w:rPr>
                <w:sz w:val="22"/>
              </w:rPr>
            </w:pPr>
            <w:r>
              <w:rPr>
                <w:sz w:val="22"/>
              </w:rPr>
              <w:t>2</w:t>
            </w:r>
          </w:p>
        </w:tc>
        <w:tc>
          <w:tcPr>
            <w:tcW w:w="1262" w:type="dxa"/>
          </w:tcPr>
          <w:p w:rsidR="00000000" w:rsidRDefault="00000000">
            <w:pPr>
              <w:autoSpaceDE w:val="0"/>
              <w:autoSpaceDN w:val="0"/>
              <w:adjustRightInd w:val="0"/>
              <w:spacing w:before="60" w:after="60"/>
              <w:jc w:val="right"/>
              <w:rPr>
                <w:sz w:val="22"/>
              </w:rPr>
            </w:pPr>
            <w:r>
              <w:rPr>
                <w:sz w:val="22"/>
              </w:rPr>
              <w:t>14</w:t>
            </w:r>
          </w:p>
        </w:tc>
        <w:tc>
          <w:tcPr>
            <w:tcW w:w="1262" w:type="dxa"/>
          </w:tcPr>
          <w:p w:rsidR="00000000" w:rsidRDefault="00000000">
            <w:pPr>
              <w:autoSpaceDE w:val="0"/>
              <w:autoSpaceDN w:val="0"/>
              <w:adjustRightInd w:val="0"/>
              <w:spacing w:before="60" w:after="60"/>
              <w:jc w:val="right"/>
              <w:rPr>
                <w:sz w:val="22"/>
              </w:rPr>
            </w:pPr>
            <w:r>
              <w:rPr>
                <w:sz w:val="22"/>
              </w:rPr>
              <w:t>3</w:t>
            </w:r>
          </w:p>
        </w:tc>
      </w:tr>
      <w:tr w:rsidR="00000000">
        <w:tblPrEx>
          <w:tblCellMar>
            <w:top w:w="0" w:type="dxa"/>
            <w:bottom w:w="0" w:type="dxa"/>
          </w:tblCellMar>
        </w:tblPrEx>
        <w:tc>
          <w:tcPr>
            <w:tcW w:w="5710" w:type="dxa"/>
          </w:tcPr>
          <w:p w:rsidR="00000000" w:rsidRDefault="00000000">
            <w:pPr>
              <w:autoSpaceDE w:val="0"/>
              <w:autoSpaceDN w:val="0"/>
              <w:adjustRightInd w:val="0"/>
              <w:spacing w:before="60" w:after="60"/>
              <w:rPr>
                <w:sz w:val="22"/>
              </w:rPr>
            </w:pPr>
            <w:r>
              <w:rPr>
                <w:sz w:val="22"/>
              </w:rPr>
              <w:tab/>
              <w:t>Entre 15 et 19 ans</w:t>
            </w:r>
          </w:p>
        </w:tc>
        <w:tc>
          <w:tcPr>
            <w:tcW w:w="1261" w:type="dxa"/>
          </w:tcPr>
          <w:p w:rsidR="00000000" w:rsidRDefault="00000000">
            <w:pPr>
              <w:autoSpaceDE w:val="0"/>
              <w:autoSpaceDN w:val="0"/>
              <w:adjustRightInd w:val="0"/>
              <w:spacing w:before="60" w:after="60"/>
              <w:jc w:val="right"/>
              <w:rPr>
                <w:sz w:val="22"/>
              </w:rPr>
            </w:pPr>
            <w:r>
              <w:rPr>
                <w:sz w:val="22"/>
              </w:rPr>
              <w:t>1 320</w:t>
            </w:r>
          </w:p>
        </w:tc>
        <w:tc>
          <w:tcPr>
            <w:tcW w:w="1262" w:type="dxa"/>
          </w:tcPr>
          <w:p w:rsidR="00000000" w:rsidRDefault="00000000">
            <w:pPr>
              <w:autoSpaceDE w:val="0"/>
              <w:autoSpaceDN w:val="0"/>
              <w:adjustRightInd w:val="0"/>
              <w:spacing w:before="60" w:after="60"/>
              <w:jc w:val="right"/>
              <w:rPr>
                <w:sz w:val="22"/>
              </w:rPr>
            </w:pPr>
            <w:r>
              <w:rPr>
                <w:sz w:val="22"/>
              </w:rPr>
              <w:t>1 009</w:t>
            </w:r>
          </w:p>
        </w:tc>
        <w:tc>
          <w:tcPr>
            <w:tcW w:w="1262" w:type="dxa"/>
          </w:tcPr>
          <w:p w:rsidR="00000000" w:rsidRDefault="00000000">
            <w:pPr>
              <w:autoSpaceDE w:val="0"/>
              <w:autoSpaceDN w:val="0"/>
              <w:adjustRightInd w:val="0"/>
              <w:spacing w:before="60" w:after="60"/>
              <w:jc w:val="right"/>
              <w:rPr>
                <w:sz w:val="22"/>
              </w:rPr>
            </w:pPr>
            <w:r>
              <w:rPr>
                <w:sz w:val="22"/>
              </w:rPr>
              <w:t>866</w:t>
            </w:r>
          </w:p>
        </w:tc>
      </w:tr>
      <w:tr w:rsidR="00000000">
        <w:tblPrEx>
          <w:tblCellMar>
            <w:top w:w="0" w:type="dxa"/>
            <w:bottom w:w="0" w:type="dxa"/>
          </w:tblCellMar>
        </w:tblPrEx>
        <w:tc>
          <w:tcPr>
            <w:tcW w:w="5710" w:type="dxa"/>
          </w:tcPr>
          <w:p w:rsidR="00000000" w:rsidRDefault="00000000">
            <w:pPr>
              <w:autoSpaceDE w:val="0"/>
              <w:autoSpaceDN w:val="0"/>
              <w:adjustRightInd w:val="0"/>
              <w:spacing w:before="60" w:after="60"/>
              <w:rPr>
                <w:sz w:val="22"/>
              </w:rPr>
            </w:pPr>
            <w:r>
              <w:rPr>
                <w:sz w:val="22"/>
              </w:rPr>
              <w:tab/>
              <w:t>Entre 20 et 34 ans</w:t>
            </w:r>
          </w:p>
        </w:tc>
        <w:tc>
          <w:tcPr>
            <w:tcW w:w="1261" w:type="dxa"/>
          </w:tcPr>
          <w:p w:rsidR="00000000" w:rsidRDefault="00000000">
            <w:pPr>
              <w:autoSpaceDE w:val="0"/>
              <w:autoSpaceDN w:val="0"/>
              <w:adjustRightInd w:val="0"/>
              <w:spacing w:before="60" w:after="60"/>
              <w:jc w:val="right"/>
              <w:rPr>
                <w:sz w:val="22"/>
              </w:rPr>
            </w:pPr>
            <w:r>
              <w:rPr>
                <w:sz w:val="22"/>
              </w:rPr>
              <w:t>17 690</w:t>
            </w:r>
          </w:p>
        </w:tc>
        <w:tc>
          <w:tcPr>
            <w:tcW w:w="1262" w:type="dxa"/>
          </w:tcPr>
          <w:p w:rsidR="00000000" w:rsidRDefault="00000000">
            <w:pPr>
              <w:autoSpaceDE w:val="0"/>
              <w:autoSpaceDN w:val="0"/>
              <w:adjustRightInd w:val="0"/>
              <w:spacing w:before="60" w:after="60"/>
              <w:jc w:val="right"/>
              <w:rPr>
                <w:sz w:val="22"/>
              </w:rPr>
            </w:pPr>
            <w:r>
              <w:rPr>
                <w:sz w:val="22"/>
              </w:rPr>
              <w:t>15 919</w:t>
            </w:r>
          </w:p>
        </w:tc>
        <w:tc>
          <w:tcPr>
            <w:tcW w:w="1262" w:type="dxa"/>
          </w:tcPr>
          <w:p w:rsidR="00000000" w:rsidRDefault="00000000">
            <w:pPr>
              <w:autoSpaceDE w:val="0"/>
              <w:autoSpaceDN w:val="0"/>
              <w:adjustRightInd w:val="0"/>
              <w:spacing w:before="60" w:after="60"/>
              <w:jc w:val="right"/>
              <w:rPr>
                <w:sz w:val="22"/>
              </w:rPr>
            </w:pPr>
            <w:r>
              <w:rPr>
                <w:sz w:val="22"/>
              </w:rPr>
              <w:t>14 271</w:t>
            </w:r>
          </w:p>
        </w:tc>
      </w:tr>
      <w:tr w:rsidR="00000000">
        <w:tblPrEx>
          <w:tblCellMar>
            <w:top w:w="0" w:type="dxa"/>
            <w:bottom w:w="0" w:type="dxa"/>
          </w:tblCellMar>
        </w:tblPrEx>
        <w:tc>
          <w:tcPr>
            <w:tcW w:w="5710" w:type="dxa"/>
          </w:tcPr>
          <w:p w:rsidR="00000000" w:rsidRDefault="00000000">
            <w:pPr>
              <w:autoSpaceDE w:val="0"/>
              <w:autoSpaceDN w:val="0"/>
              <w:adjustRightInd w:val="0"/>
              <w:spacing w:before="60" w:after="60"/>
              <w:rPr>
                <w:sz w:val="22"/>
              </w:rPr>
            </w:pPr>
            <w:r>
              <w:rPr>
                <w:sz w:val="22"/>
              </w:rPr>
              <w:tab/>
              <w:t xml:space="preserve">34 ans et plus </w:t>
            </w:r>
          </w:p>
        </w:tc>
        <w:tc>
          <w:tcPr>
            <w:tcW w:w="1261" w:type="dxa"/>
          </w:tcPr>
          <w:p w:rsidR="00000000" w:rsidRDefault="00000000">
            <w:pPr>
              <w:autoSpaceDE w:val="0"/>
              <w:autoSpaceDN w:val="0"/>
              <w:adjustRightInd w:val="0"/>
              <w:spacing w:before="60" w:after="60"/>
              <w:jc w:val="right"/>
              <w:rPr>
                <w:sz w:val="22"/>
              </w:rPr>
            </w:pPr>
            <w:r>
              <w:rPr>
                <w:sz w:val="22"/>
              </w:rPr>
              <w:t>4 388</w:t>
            </w:r>
          </w:p>
        </w:tc>
        <w:tc>
          <w:tcPr>
            <w:tcW w:w="1262" w:type="dxa"/>
          </w:tcPr>
          <w:p w:rsidR="00000000" w:rsidRDefault="00000000">
            <w:pPr>
              <w:autoSpaceDE w:val="0"/>
              <w:autoSpaceDN w:val="0"/>
              <w:adjustRightInd w:val="0"/>
              <w:spacing w:before="60" w:after="60"/>
              <w:jc w:val="right"/>
              <w:rPr>
                <w:sz w:val="22"/>
              </w:rPr>
            </w:pPr>
            <w:r>
              <w:rPr>
                <w:sz w:val="22"/>
              </w:rPr>
              <w:t>4 076</w:t>
            </w:r>
          </w:p>
        </w:tc>
        <w:tc>
          <w:tcPr>
            <w:tcW w:w="1262" w:type="dxa"/>
          </w:tcPr>
          <w:p w:rsidR="00000000" w:rsidRDefault="00000000">
            <w:pPr>
              <w:autoSpaceDE w:val="0"/>
              <w:autoSpaceDN w:val="0"/>
              <w:adjustRightInd w:val="0"/>
              <w:spacing w:before="60" w:after="60"/>
              <w:jc w:val="right"/>
              <w:rPr>
                <w:sz w:val="22"/>
              </w:rPr>
            </w:pPr>
            <w:r>
              <w:rPr>
                <w:sz w:val="22"/>
              </w:rPr>
              <w:t>3 166</w:t>
            </w:r>
          </w:p>
        </w:tc>
      </w:tr>
    </w:tbl>
    <w:p w:rsidR="00000000" w:rsidRDefault="00000000">
      <w:pPr>
        <w:autoSpaceDE w:val="0"/>
        <w:autoSpaceDN w:val="0"/>
        <w:adjustRightInd w:val="0"/>
        <w:spacing w:before="240" w:after="240"/>
      </w:pPr>
      <w:r>
        <w:t>225.</w:t>
      </w:r>
      <w:r>
        <w:tab/>
        <w:t>Au sujet de la planification familiale, il convient de signaler qu’une trentaine de points de consultation de santé génésique ont été ouverts dans plusieurs villes de Géorgie en 2000. Les personnes qui le désirent peuvent y obtenir des contraceptifs, des renseignements et des conseils sur les problèmes relatifs à la planification familiale et à l’utilisation des moyens de contraception, notamment. Ce projet est le fruit des efforts de coopération menés par une ONG géorgienne et la Johns Hopkins University (États-Unis), en collaboration avec l’Institut de santé génésique de Géorgie.</w:t>
      </w:r>
    </w:p>
    <w:p w:rsidR="00000000" w:rsidRDefault="00000000">
      <w:pPr>
        <w:keepNext/>
        <w:spacing w:after="240"/>
        <w:rPr>
          <w:u w:val="single"/>
        </w:rPr>
      </w:pPr>
      <w:r>
        <w:rPr>
          <w:u w:val="single"/>
        </w:rPr>
        <w:t>Article 13</w:t>
      </w:r>
    </w:p>
    <w:p w:rsidR="00000000" w:rsidRDefault="00000000">
      <w:pPr>
        <w:keepNext/>
        <w:spacing w:after="240"/>
        <w:ind w:firstLine="567"/>
        <w:rPr>
          <w:u w:val="single"/>
        </w:rPr>
      </w:pPr>
      <w:r>
        <w:rPr>
          <w:u w:val="single"/>
        </w:rPr>
        <w:t>Indicateurs généraux de l’éducation dans la période à l’examen</w:t>
      </w:r>
    </w:p>
    <w:p w:rsidR="00000000" w:rsidRDefault="00000000">
      <w:pPr>
        <w:spacing w:after="240"/>
      </w:pPr>
      <w:r>
        <w:t>226.</w:t>
      </w:r>
      <w:r>
        <w:tab/>
        <w:t>En ce qui concerne cette question, on se reportera utilement au rapport initial présenté au Comité pour l’élimination de la discrimination raciale, qui contient des informations sur la législation dans ce domaine (par. 253 à 265) ainsi que certaines informations statistiques portant sur la fin de l’année 1998 (par. 266 à 271).</w:t>
      </w:r>
    </w:p>
    <w:p w:rsidR="00000000" w:rsidRDefault="00000000">
      <w:pPr>
        <w:spacing w:after="240"/>
      </w:pPr>
      <w:r>
        <w:t>227.</w:t>
      </w:r>
      <w:r>
        <w:tab/>
        <w:t>En outre, des informations très importantes sur la question de la réalisation du droit à l’éducation sont données dans les réponses à la liste de points à traiter du Comité des droits de l’enfant, données à cet organe conventionnel de l’ONU à l’occasion de l’examen du rapport initial de la Géorgie sur l’application de la Convention relative aux droits de l’enfant (CRC/C/Q/GEO/1). Ce rapport a été examiné en mai 2000.</w:t>
      </w:r>
    </w:p>
    <w:p w:rsidR="00000000" w:rsidRDefault="00000000">
      <w:pPr>
        <w:spacing w:after="240"/>
      </w:pPr>
      <w:r>
        <w:t>228.</w:t>
      </w:r>
      <w:r>
        <w:tab/>
        <w:t>Des aspects concrets de l’application du droit à l’éducation sont également traités dans les réponses à la liste de points à traiter du Comité des droits économiques, sociaux et culturels dont il a déjà été fait mention plus haut. Les statistiques y afférentes et d’autres informations figurent dans les réponses aux questions 42 à 46 dudit document.</w:t>
      </w:r>
    </w:p>
    <w:p w:rsidR="00000000" w:rsidRDefault="00000000">
      <w:pPr>
        <w:spacing w:after="240"/>
      </w:pPr>
      <w:r>
        <w:t>229.</w:t>
      </w:r>
      <w:r>
        <w:tab/>
        <w:t>Vu ce qui précède, et compte tenu qu’il ne s’est pas passé plus d’un an depuis la présentation des documents susmentionnés, on ne présentera dans le présent rapport que les données qui soit ne figurent pas dans lesdits documents, soit ont subi des modifications depuis leur présentation.</w:t>
      </w:r>
    </w:p>
    <w:p w:rsidR="00000000" w:rsidRDefault="00000000">
      <w:pPr>
        <w:keepNext/>
        <w:spacing w:after="240"/>
      </w:pPr>
      <w:r>
        <w:t>230.</w:t>
      </w:r>
      <w:r>
        <w:tab/>
        <w:t>On présente ci</w:t>
      </w:r>
      <w:r>
        <w:noBreakHyphen/>
        <w:t>après des statistiques qui permettent de se faire une idée générale de la situation dans le domaine de l’éducation en Géorgie.</w:t>
      </w:r>
    </w:p>
    <w:p w:rsidR="00000000" w:rsidRDefault="00000000">
      <w:pPr>
        <w:spacing w:after="240"/>
        <w:jc w:val="center"/>
        <w:rPr>
          <w:u w:val="single"/>
        </w:rPr>
      </w:pPr>
      <w:r>
        <w:rPr>
          <w:u w:val="single"/>
        </w:rPr>
        <w:t>Niveau d’éducation de la population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30"/>
        <w:gridCol w:w="1320"/>
        <w:gridCol w:w="1200"/>
        <w:gridCol w:w="1146"/>
      </w:tblGrid>
      <w:tr w:rsidR="00000000">
        <w:tblPrEx>
          <w:tblCellMar>
            <w:top w:w="0" w:type="dxa"/>
            <w:bottom w:w="0" w:type="dxa"/>
          </w:tblCellMar>
        </w:tblPrEx>
        <w:tc>
          <w:tcPr>
            <w:tcW w:w="5830" w:type="dxa"/>
          </w:tcPr>
          <w:p w:rsidR="00000000" w:rsidRDefault="00000000">
            <w:pPr>
              <w:spacing w:before="60" w:after="60"/>
              <w:rPr>
                <w:sz w:val="22"/>
              </w:rPr>
            </w:pPr>
          </w:p>
        </w:tc>
        <w:tc>
          <w:tcPr>
            <w:tcW w:w="1320" w:type="dxa"/>
          </w:tcPr>
          <w:p w:rsidR="00000000" w:rsidRDefault="00000000">
            <w:pPr>
              <w:spacing w:before="60" w:after="60"/>
              <w:jc w:val="center"/>
              <w:rPr>
                <w:sz w:val="22"/>
              </w:rPr>
            </w:pPr>
            <w:r>
              <w:rPr>
                <w:sz w:val="22"/>
              </w:rPr>
              <w:t>1979</w:t>
            </w:r>
          </w:p>
        </w:tc>
        <w:tc>
          <w:tcPr>
            <w:tcW w:w="1200" w:type="dxa"/>
          </w:tcPr>
          <w:p w:rsidR="00000000" w:rsidRDefault="00000000">
            <w:pPr>
              <w:spacing w:before="60" w:after="60"/>
              <w:jc w:val="center"/>
              <w:rPr>
                <w:sz w:val="22"/>
              </w:rPr>
            </w:pPr>
            <w:r>
              <w:rPr>
                <w:sz w:val="22"/>
              </w:rPr>
              <w:t>1989</w:t>
            </w:r>
          </w:p>
        </w:tc>
        <w:tc>
          <w:tcPr>
            <w:tcW w:w="1146" w:type="dxa"/>
          </w:tcPr>
          <w:p w:rsidR="00000000" w:rsidRDefault="00000000">
            <w:pPr>
              <w:spacing w:before="60" w:after="60"/>
              <w:jc w:val="center"/>
              <w:rPr>
                <w:sz w:val="22"/>
              </w:rPr>
            </w:pPr>
            <w:r>
              <w:rPr>
                <w:sz w:val="22"/>
              </w:rPr>
              <w:t>1999</w:t>
            </w:r>
          </w:p>
        </w:tc>
      </w:tr>
      <w:tr w:rsidR="00000000">
        <w:tblPrEx>
          <w:tblCellMar>
            <w:top w:w="0" w:type="dxa"/>
            <w:bottom w:w="0" w:type="dxa"/>
          </w:tblCellMar>
        </w:tblPrEx>
        <w:tc>
          <w:tcPr>
            <w:tcW w:w="5830" w:type="dxa"/>
          </w:tcPr>
          <w:p w:rsidR="00000000" w:rsidRDefault="00000000">
            <w:pPr>
              <w:spacing w:before="60" w:after="60"/>
              <w:rPr>
                <w:sz w:val="22"/>
              </w:rPr>
            </w:pPr>
            <w:r>
              <w:rPr>
                <w:sz w:val="22"/>
              </w:rPr>
              <w:t xml:space="preserve">Pour 1 000 habitants âgés de 10 ans et plus, nombre total de personnes ayant une formation secondaire et supérieure complète ou non </w:t>
            </w:r>
          </w:p>
        </w:tc>
        <w:tc>
          <w:tcPr>
            <w:tcW w:w="1320" w:type="dxa"/>
            <w:vAlign w:val="bottom"/>
          </w:tcPr>
          <w:p w:rsidR="00000000" w:rsidRDefault="00000000">
            <w:pPr>
              <w:spacing w:before="60" w:after="60"/>
              <w:jc w:val="right"/>
              <w:rPr>
                <w:sz w:val="22"/>
              </w:rPr>
            </w:pPr>
            <w:r>
              <w:rPr>
                <w:sz w:val="22"/>
              </w:rPr>
              <w:t>698</w:t>
            </w:r>
          </w:p>
        </w:tc>
        <w:tc>
          <w:tcPr>
            <w:tcW w:w="1200" w:type="dxa"/>
            <w:vAlign w:val="bottom"/>
          </w:tcPr>
          <w:p w:rsidR="00000000" w:rsidRDefault="00000000">
            <w:pPr>
              <w:spacing w:before="60" w:after="60"/>
              <w:jc w:val="right"/>
              <w:rPr>
                <w:sz w:val="22"/>
              </w:rPr>
            </w:pPr>
            <w:r>
              <w:rPr>
                <w:sz w:val="22"/>
              </w:rPr>
              <w:t>798</w:t>
            </w:r>
          </w:p>
        </w:tc>
        <w:tc>
          <w:tcPr>
            <w:tcW w:w="1146" w:type="dxa"/>
            <w:vAlign w:val="bottom"/>
          </w:tcPr>
          <w:p w:rsidR="00000000" w:rsidRDefault="00000000">
            <w:pPr>
              <w:spacing w:before="60" w:after="60"/>
              <w:jc w:val="right"/>
              <w:rPr>
                <w:sz w:val="22"/>
              </w:rPr>
            </w:pPr>
            <w:r>
              <w:rPr>
                <w:sz w:val="22"/>
              </w:rPr>
              <w:t>871</w:t>
            </w:r>
          </w:p>
        </w:tc>
      </w:tr>
      <w:tr w:rsidR="00000000">
        <w:tblPrEx>
          <w:tblCellMar>
            <w:top w:w="0" w:type="dxa"/>
            <w:bottom w:w="0" w:type="dxa"/>
          </w:tblCellMar>
        </w:tblPrEx>
        <w:trPr>
          <w:cantSplit/>
        </w:trPr>
        <w:tc>
          <w:tcPr>
            <w:tcW w:w="5830" w:type="dxa"/>
          </w:tcPr>
          <w:p w:rsidR="00000000" w:rsidRDefault="00000000">
            <w:pPr>
              <w:spacing w:before="60" w:after="60"/>
              <w:ind w:left="567"/>
              <w:rPr>
                <w:sz w:val="22"/>
              </w:rPr>
            </w:pPr>
            <w:r>
              <w:rPr>
                <w:sz w:val="22"/>
              </w:rPr>
              <w:t>dont:</w:t>
            </w:r>
          </w:p>
        </w:tc>
        <w:tc>
          <w:tcPr>
            <w:tcW w:w="3666" w:type="dxa"/>
            <w:gridSpan w:val="3"/>
            <w:vAlign w:val="bottom"/>
          </w:tcPr>
          <w:p w:rsidR="00000000" w:rsidRDefault="00000000">
            <w:pPr>
              <w:spacing w:before="60" w:after="60"/>
              <w:ind w:left="567"/>
              <w:jc w:val="right"/>
              <w:rPr>
                <w:sz w:val="22"/>
              </w:rPr>
            </w:pPr>
          </w:p>
        </w:tc>
      </w:tr>
      <w:tr w:rsidR="00000000">
        <w:tblPrEx>
          <w:tblCellMar>
            <w:top w:w="0" w:type="dxa"/>
            <w:bottom w:w="0" w:type="dxa"/>
          </w:tblCellMar>
        </w:tblPrEx>
        <w:tc>
          <w:tcPr>
            <w:tcW w:w="5830" w:type="dxa"/>
          </w:tcPr>
          <w:p w:rsidR="00000000" w:rsidRDefault="00000000">
            <w:pPr>
              <w:spacing w:before="60" w:after="60"/>
              <w:ind w:left="567"/>
              <w:rPr>
                <w:sz w:val="22"/>
              </w:rPr>
            </w:pPr>
            <w:r>
              <w:rPr>
                <w:sz w:val="22"/>
              </w:rPr>
              <w:t>Ayant une formation supérieure</w:t>
            </w:r>
          </w:p>
        </w:tc>
        <w:tc>
          <w:tcPr>
            <w:tcW w:w="1320" w:type="dxa"/>
            <w:vAlign w:val="bottom"/>
          </w:tcPr>
          <w:p w:rsidR="00000000" w:rsidRDefault="00000000">
            <w:pPr>
              <w:spacing w:before="60" w:after="60"/>
              <w:ind w:left="567"/>
              <w:jc w:val="right"/>
              <w:rPr>
                <w:sz w:val="22"/>
              </w:rPr>
            </w:pPr>
            <w:r>
              <w:rPr>
                <w:sz w:val="22"/>
              </w:rPr>
              <w:t>103</w:t>
            </w:r>
          </w:p>
        </w:tc>
        <w:tc>
          <w:tcPr>
            <w:tcW w:w="1200" w:type="dxa"/>
            <w:vAlign w:val="bottom"/>
          </w:tcPr>
          <w:p w:rsidR="00000000" w:rsidRDefault="00000000">
            <w:pPr>
              <w:spacing w:before="60" w:after="60"/>
              <w:ind w:left="567"/>
              <w:jc w:val="right"/>
              <w:rPr>
                <w:sz w:val="22"/>
              </w:rPr>
            </w:pPr>
            <w:r>
              <w:rPr>
                <w:sz w:val="22"/>
              </w:rPr>
              <w:t>137</w:t>
            </w:r>
          </w:p>
        </w:tc>
        <w:tc>
          <w:tcPr>
            <w:tcW w:w="1146" w:type="dxa"/>
            <w:vAlign w:val="bottom"/>
          </w:tcPr>
          <w:p w:rsidR="00000000" w:rsidRDefault="00000000">
            <w:pPr>
              <w:spacing w:before="60" w:after="60"/>
              <w:ind w:left="567"/>
              <w:jc w:val="right"/>
              <w:rPr>
                <w:sz w:val="22"/>
              </w:rPr>
            </w:pPr>
            <w:r>
              <w:rPr>
                <w:sz w:val="22"/>
              </w:rPr>
              <w:t>201</w:t>
            </w:r>
          </w:p>
        </w:tc>
      </w:tr>
      <w:tr w:rsidR="00000000">
        <w:tblPrEx>
          <w:tblCellMar>
            <w:top w:w="0" w:type="dxa"/>
            <w:bottom w:w="0" w:type="dxa"/>
          </w:tblCellMar>
        </w:tblPrEx>
        <w:tc>
          <w:tcPr>
            <w:tcW w:w="5830" w:type="dxa"/>
          </w:tcPr>
          <w:p w:rsidR="00000000" w:rsidRDefault="00000000">
            <w:pPr>
              <w:spacing w:before="60" w:after="60"/>
              <w:ind w:left="567"/>
              <w:rPr>
                <w:sz w:val="22"/>
              </w:rPr>
            </w:pPr>
            <w:r>
              <w:rPr>
                <w:sz w:val="22"/>
              </w:rPr>
              <w:t>Ayant une formation supérieure inachevée</w:t>
            </w:r>
          </w:p>
        </w:tc>
        <w:tc>
          <w:tcPr>
            <w:tcW w:w="1320" w:type="dxa"/>
            <w:vAlign w:val="bottom"/>
          </w:tcPr>
          <w:p w:rsidR="00000000" w:rsidRDefault="00000000">
            <w:pPr>
              <w:spacing w:before="60" w:after="60"/>
              <w:ind w:left="567"/>
              <w:jc w:val="right"/>
              <w:rPr>
                <w:sz w:val="22"/>
              </w:rPr>
            </w:pPr>
            <w:r>
              <w:rPr>
                <w:sz w:val="22"/>
              </w:rPr>
              <w:t>19</w:t>
            </w:r>
          </w:p>
        </w:tc>
        <w:tc>
          <w:tcPr>
            <w:tcW w:w="1200" w:type="dxa"/>
            <w:vAlign w:val="bottom"/>
          </w:tcPr>
          <w:p w:rsidR="00000000" w:rsidRDefault="00000000">
            <w:pPr>
              <w:spacing w:before="60" w:after="60"/>
              <w:ind w:left="567"/>
              <w:jc w:val="right"/>
              <w:rPr>
                <w:sz w:val="22"/>
              </w:rPr>
            </w:pPr>
            <w:r>
              <w:rPr>
                <w:sz w:val="22"/>
              </w:rPr>
              <w:t>22</w:t>
            </w:r>
          </w:p>
        </w:tc>
        <w:tc>
          <w:tcPr>
            <w:tcW w:w="1146" w:type="dxa"/>
            <w:vAlign w:val="bottom"/>
          </w:tcPr>
          <w:p w:rsidR="00000000" w:rsidRDefault="00000000">
            <w:pPr>
              <w:spacing w:before="60" w:after="60"/>
              <w:ind w:left="567"/>
              <w:jc w:val="right"/>
              <w:rPr>
                <w:sz w:val="22"/>
              </w:rPr>
            </w:pPr>
            <w:r>
              <w:rPr>
                <w:sz w:val="22"/>
              </w:rPr>
              <w:t>40</w:t>
            </w:r>
          </w:p>
        </w:tc>
      </w:tr>
      <w:tr w:rsidR="00000000">
        <w:tblPrEx>
          <w:tblCellMar>
            <w:top w:w="0" w:type="dxa"/>
            <w:bottom w:w="0" w:type="dxa"/>
          </w:tblCellMar>
        </w:tblPrEx>
        <w:tc>
          <w:tcPr>
            <w:tcW w:w="5830" w:type="dxa"/>
          </w:tcPr>
          <w:p w:rsidR="00000000" w:rsidRDefault="00000000">
            <w:pPr>
              <w:spacing w:before="60" w:after="60"/>
              <w:ind w:left="567"/>
              <w:rPr>
                <w:sz w:val="22"/>
              </w:rPr>
            </w:pPr>
            <w:r>
              <w:rPr>
                <w:sz w:val="22"/>
              </w:rPr>
              <w:t>Ayant une formation secondaire</w:t>
            </w:r>
          </w:p>
        </w:tc>
        <w:tc>
          <w:tcPr>
            <w:tcW w:w="1320" w:type="dxa"/>
            <w:vAlign w:val="bottom"/>
          </w:tcPr>
          <w:p w:rsidR="00000000" w:rsidRDefault="00000000">
            <w:pPr>
              <w:spacing w:before="60" w:after="60"/>
              <w:ind w:left="567"/>
              <w:jc w:val="right"/>
              <w:rPr>
                <w:sz w:val="22"/>
              </w:rPr>
            </w:pPr>
            <w:r>
              <w:rPr>
                <w:sz w:val="22"/>
              </w:rPr>
              <w:t>100</w:t>
            </w:r>
          </w:p>
        </w:tc>
        <w:tc>
          <w:tcPr>
            <w:tcW w:w="1200" w:type="dxa"/>
            <w:vAlign w:val="bottom"/>
          </w:tcPr>
          <w:p w:rsidR="00000000" w:rsidRDefault="00000000">
            <w:pPr>
              <w:spacing w:before="60" w:after="60"/>
              <w:ind w:left="567"/>
              <w:jc w:val="right"/>
              <w:rPr>
                <w:sz w:val="22"/>
              </w:rPr>
            </w:pPr>
            <w:r>
              <w:rPr>
                <w:sz w:val="22"/>
              </w:rPr>
              <w:t>169</w:t>
            </w:r>
          </w:p>
        </w:tc>
        <w:tc>
          <w:tcPr>
            <w:tcW w:w="1146" w:type="dxa"/>
            <w:vAlign w:val="bottom"/>
          </w:tcPr>
          <w:p w:rsidR="00000000" w:rsidRDefault="00000000">
            <w:pPr>
              <w:spacing w:before="60" w:after="60"/>
              <w:ind w:left="567"/>
              <w:jc w:val="right"/>
              <w:rPr>
                <w:sz w:val="22"/>
              </w:rPr>
            </w:pPr>
            <w:r>
              <w:rPr>
                <w:sz w:val="22"/>
              </w:rPr>
              <w:t>174</w:t>
            </w:r>
          </w:p>
        </w:tc>
      </w:tr>
      <w:tr w:rsidR="00000000">
        <w:tblPrEx>
          <w:tblCellMar>
            <w:top w:w="0" w:type="dxa"/>
            <w:bottom w:w="0" w:type="dxa"/>
          </w:tblCellMar>
        </w:tblPrEx>
        <w:tc>
          <w:tcPr>
            <w:tcW w:w="5830" w:type="dxa"/>
          </w:tcPr>
          <w:p w:rsidR="00000000" w:rsidRDefault="00000000">
            <w:pPr>
              <w:spacing w:before="60" w:after="60"/>
              <w:ind w:left="567"/>
              <w:rPr>
                <w:sz w:val="22"/>
              </w:rPr>
            </w:pPr>
            <w:r>
              <w:rPr>
                <w:sz w:val="22"/>
              </w:rPr>
              <w:t>Ayant une formation secondaire générale</w:t>
            </w:r>
          </w:p>
        </w:tc>
        <w:tc>
          <w:tcPr>
            <w:tcW w:w="1320" w:type="dxa"/>
            <w:vAlign w:val="bottom"/>
          </w:tcPr>
          <w:p w:rsidR="00000000" w:rsidRDefault="00000000">
            <w:pPr>
              <w:spacing w:before="60" w:after="60"/>
              <w:ind w:left="567"/>
              <w:jc w:val="right"/>
              <w:rPr>
                <w:sz w:val="22"/>
              </w:rPr>
            </w:pPr>
            <w:r>
              <w:rPr>
                <w:sz w:val="22"/>
              </w:rPr>
              <w:t>292</w:t>
            </w:r>
          </w:p>
        </w:tc>
        <w:tc>
          <w:tcPr>
            <w:tcW w:w="1200" w:type="dxa"/>
            <w:vAlign w:val="bottom"/>
          </w:tcPr>
          <w:p w:rsidR="00000000" w:rsidRDefault="00000000">
            <w:pPr>
              <w:spacing w:before="60" w:after="60"/>
              <w:ind w:left="567"/>
              <w:jc w:val="right"/>
              <w:rPr>
                <w:sz w:val="22"/>
              </w:rPr>
            </w:pPr>
            <w:r>
              <w:rPr>
                <w:sz w:val="22"/>
              </w:rPr>
              <w:t>328</w:t>
            </w:r>
          </w:p>
        </w:tc>
        <w:tc>
          <w:tcPr>
            <w:tcW w:w="1146" w:type="dxa"/>
            <w:vAlign w:val="bottom"/>
          </w:tcPr>
          <w:p w:rsidR="00000000" w:rsidRDefault="00000000">
            <w:pPr>
              <w:spacing w:before="60" w:after="60"/>
              <w:ind w:left="567"/>
              <w:jc w:val="right"/>
              <w:rPr>
                <w:sz w:val="22"/>
              </w:rPr>
            </w:pPr>
            <w:r>
              <w:rPr>
                <w:sz w:val="22"/>
              </w:rPr>
              <w:t>330</w:t>
            </w:r>
          </w:p>
        </w:tc>
      </w:tr>
      <w:tr w:rsidR="00000000">
        <w:tblPrEx>
          <w:tblCellMar>
            <w:top w:w="0" w:type="dxa"/>
            <w:bottom w:w="0" w:type="dxa"/>
          </w:tblCellMar>
        </w:tblPrEx>
        <w:tc>
          <w:tcPr>
            <w:tcW w:w="5830" w:type="dxa"/>
          </w:tcPr>
          <w:p w:rsidR="00000000" w:rsidRDefault="00000000">
            <w:pPr>
              <w:spacing w:before="60" w:after="60"/>
              <w:ind w:left="567"/>
              <w:rPr>
                <w:sz w:val="22"/>
              </w:rPr>
            </w:pPr>
            <w:r>
              <w:rPr>
                <w:sz w:val="22"/>
              </w:rPr>
              <w:t>Ayant une formation secondaire inachevée</w:t>
            </w:r>
          </w:p>
        </w:tc>
        <w:tc>
          <w:tcPr>
            <w:tcW w:w="1320" w:type="dxa"/>
            <w:vAlign w:val="bottom"/>
          </w:tcPr>
          <w:p w:rsidR="00000000" w:rsidRDefault="00000000">
            <w:pPr>
              <w:spacing w:before="60" w:after="60"/>
              <w:ind w:left="567"/>
              <w:jc w:val="right"/>
              <w:rPr>
                <w:sz w:val="22"/>
              </w:rPr>
            </w:pPr>
            <w:r>
              <w:rPr>
                <w:sz w:val="22"/>
              </w:rPr>
              <w:t>184</w:t>
            </w:r>
          </w:p>
        </w:tc>
        <w:tc>
          <w:tcPr>
            <w:tcW w:w="1200" w:type="dxa"/>
            <w:vAlign w:val="bottom"/>
          </w:tcPr>
          <w:p w:rsidR="00000000" w:rsidRDefault="00000000">
            <w:pPr>
              <w:spacing w:before="60" w:after="60"/>
              <w:ind w:left="567"/>
              <w:jc w:val="right"/>
              <w:rPr>
                <w:sz w:val="22"/>
              </w:rPr>
            </w:pPr>
            <w:r>
              <w:rPr>
                <w:sz w:val="22"/>
              </w:rPr>
              <w:t>142</w:t>
            </w:r>
          </w:p>
        </w:tc>
        <w:tc>
          <w:tcPr>
            <w:tcW w:w="1146" w:type="dxa"/>
            <w:vAlign w:val="bottom"/>
          </w:tcPr>
          <w:p w:rsidR="00000000" w:rsidRDefault="00000000">
            <w:pPr>
              <w:spacing w:before="60" w:after="60"/>
              <w:ind w:left="567"/>
              <w:jc w:val="right"/>
              <w:rPr>
                <w:sz w:val="22"/>
              </w:rPr>
            </w:pPr>
            <w:r>
              <w:rPr>
                <w:sz w:val="22"/>
              </w:rPr>
              <w:t>125</w:t>
            </w:r>
          </w:p>
        </w:tc>
      </w:tr>
    </w:tbl>
    <w:p w:rsidR="00000000" w:rsidRDefault="00000000">
      <w:pPr>
        <w:keepNext/>
        <w:spacing w:before="240" w:after="240"/>
        <w:ind w:left="567"/>
        <w:jc w:val="center"/>
        <w:rPr>
          <w:u w:val="single"/>
        </w:rPr>
      </w:pPr>
      <w:r>
        <w:rPr>
          <w:u w:val="single"/>
        </w:rPr>
        <w:t>Établissements d’enseignement. Nombre d’inscrits</w:t>
      </w:r>
      <w:r>
        <w:rPr>
          <w:u w:val="single"/>
        </w:rPr>
        <w:br/>
        <w:t>(données correspondant au début de l’année scolaire)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1"/>
        <w:gridCol w:w="1109"/>
        <w:gridCol w:w="1109"/>
        <w:gridCol w:w="1109"/>
        <w:gridCol w:w="1109"/>
        <w:gridCol w:w="1109"/>
        <w:gridCol w:w="1110"/>
      </w:tblGrid>
      <w:tr w:rsidR="00000000">
        <w:tblPrEx>
          <w:tblCellMar>
            <w:top w:w="0" w:type="dxa"/>
            <w:bottom w:w="0" w:type="dxa"/>
          </w:tblCellMar>
        </w:tblPrEx>
        <w:trPr>
          <w:cantSplit/>
        </w:trPr>
        <w:tc>
          <w:tcPr>
            <w:tcW w:w="2841" w:type="dxa"/>
            <w:vMerge w:val="restart"/>
          </w:tcPr>
          <w:p w:rsidR="00000000" w:rsidRDefault="00000000">
            <w:pPr>
              <w:spacing w:before="60" w:after="60"/>
              <w:rPr>
                <w:sz w:val="22"/>
              </w:rPr>
            </w:pPr>
          </w:p>
        </w:tc>
        <w:tc>
          <w:tcPr>
            <w:tcW w:w="3327" w:type="dxa"/>
            <w:gridSpan w:val="3"/>
            <w:vAlign w:val="bottom"/>
          </w:tcPr>
          <w:p w:rsidR="00000000" w:rsidRDefault="00000000">
            <w:pPr>
              <w:spacing w:before="60" w:after="60"/>
              <w:jc w:val="center"/>
              <w:rPr>
                <w:sz w:val="22"/>
              </w:rPr>
            </w:pPr>
            <w:r>
              <w:rPr>
                <w:sz w:val="22"/>
              </w:rPr>
              <w:t>Nombre d’établissements</w:t>
            </w:r>
          </w:p>
        </w:tc>
        <w:tc>
          <w:tcPr>
            <w:tcW w:w="3328" w:type="dxa"/>
            <w:gridSpan w:val="3"/>
            <w:vAlign w:val="bottom"/>
          </w:tcPr>
          <w:p w:rsidR="00000000" w:rsidRDefault="00000000">
            <w:pPr>
              <w:spacing w:before="60" w:after="60"/>
              <w:jc w:val="center"/>
              <w:rPr>
                <w:sz w:val="22"/>
              </w:rPr>
            </w:pPr>
            <w:r>
              <w:rPr>
                <w:sz w:val="22"/>
              </w:rPr>
              <w:t>Nombre d’inscrits, en milliers</w:t>
            </w:r>
          </w:p>
        </w:tc>
      </w:tr>
      <w:tr w:rsidR="00000000">
        <w:tblPrEx>
          <w:tblCellMar>
            <w:top w:w="0" w:type="dxa"/>
            <w:bottom w:w="0" w:type="dxa"/>
          </w:tblCellMar>
        </w:tblPrEx>
        <w:trPr>
          <w:cantSplit/>
        </w:trPr>
        <w:tc>
          <w:tcPr>
            <w:tcW w:w="2841" w:type="dxa"/>
            <w:vMerge/>
          </w:tcPr>
          <w:p w:rsidR="00000000" w:rsidRDefault="00000000">
            <w:pPr>
              <w:spacing w:before="60" w:after="60"/>
              <w:rPr>
                <w:sz w:val="22"/>
              </w:rPr>
            </w:pPr>
          </w:p>
        </w:tc>
        <w:tc>
          <w:tcPr>
            <w:tcW w:w="1109" w:type="dxa"/>
            <w:vAlign w:val="bottom"/>
          </w:tcPr>
          <w:p w:rsidR="00000000" w:rsidRDefault="00000000">
            <w:pPr>
              <w:spacing w:before="60" w:after="60"/>
              <w:jc w:val="center"/>
              <w:rPr>
                <w:sz w:val="22"/>
              </w:rPr>
            </w:pPr>
            <w:r>
              <w:rPr>
                <w:sz w:val="22"/>
              </w:rPr>
              <w:t>1997/98</w:t>
            </w:r>
          </w:p>
        </w:tc>
        <w:tc>
          <w:tcPr>
            <w:tcW w:w="1109" w:type="dxa"/>
            <w:vAlign w:val="bottom"/>
          </w:tcPr>
          <w:p w:rsidR="00000000" w:rsidRDefault="00000000">
            <w:pPr>
              <w:spacing w:before="60" w:after="60"/>
              <w:jc w:val="center"/>
              <w:rPr>
                <w:sz w:val="22"/>
              </w:rPr>
            </w:pPr>
            <w:r>
              <w:rPr>
                <w:sz w:val="22"/>
              </w:rPr>
              <w:t>1998/99</w:t>
            </w:r>
          </w:p>
        </w:tc>
        <w:tc>
          <w:tcPr>
            <w:tcW w:w="1109" w:type="dxa"/>
            <w:vAlign w:val="bottom"/>
          </w:tcPr>
          <w:p w:rsidR="00000000" w:rsidRDefault="00000000">
            <w:pPr>
              <w:spacing w:before="60" w:after="60"/>
              <w:jc w:val="center"/>
              <w:rPr>
                <w:sz w:val="22"/>
              </w:rPr>
            </w:pPr>
            <w:r>
              <w:rPr>
                <w:sz w:val="22"/>
              </w:rPr>
              <w:t>1999/2000</w:t>
            </w:r>
          </w:p>
        </w:tc>
        <w:tc>
          <w:tcPr>
            <w:tcW w:w="1109" w:type="dxa"/>
            <w:vAlign w:val="bottom"/>
          </w:tcPr>
          <w:p w:rsidR="00000000" w:rsidRDefault="00000000">
            <w:pPr>
              <w:spacing w:before="60" w:after="60"/>
              <w:jc w:val="center"/>
              <w:rPr>
                <w:sz w:val="22"/>
              </w:rPr>
            </w:pPr>
            <w:r>
              <w:rPr>
                <w:sz w:val="22"/>
              </w:rPr>
              <w:t>1997/98</w:t>
            </w:r>
          </w:p>
        </w:tc>
        <w:tc>
          <w:tcPr>
            <w:tcW w:w="1109" w:type="dxa"/>
            <w:vAlign w:val="bottom"/>
          </w:tcPr>
          <w:p w:rsidR="00000000" w:rsidRDefault="00000000">
            <w:pPr>
              <w:spacing w:before="60" w:after="60"/>
              <w:jc w:val="center"/>
              <w:rPr>
                <w:sz w:val="22"/>
              </w:rPr>
            </w:pPr>
            <w:r>
              <w:rPr>
                <w:sz w:val="22"/>
              </w:rPr>
              <w:t>1998/99</w:t>
            </w:r>
          </w:p>
        </w:tc>
        <w:tc>
          <w:tcPr>
            <w:tcW w:w="1110" w:type="dxa"/>
            <w:vAlign w:val="bottom"/>
          </w:tcPr>
          <w:p w:rsidR="00000000" w:rsidRDefault="00000000">
            <w:pPr>
              <w:spacing w:before="60" w:after="60"/>
              <w:jc w:val="center"/>
              <w:rPr>
                <w:sz w:val="22"/>
              </w:rPr>
            </w:pPr>
            <w:r>
              <w:rPr>
                <w:sz w:val="22"/>
              </w:rPr>
              <w:t>1999/2000</w:t>
            </w:r>
          </w:p>
        </w:tc>
      </w:tr>
      <w:tr w:rsidR="00000000">
        <w:tblPrEx>
          <w:tblCellMar>
            <w:top w:w="0" w:type="dxa"/>
            <w:bottom w:w="0" w:type="dxa"/>
          </w:tblCellMar>
        </w:tblPrEx>
        <w:tc>
          <w:tcPr>
            <w:tcW w:w="2841" w:type="dxa"/>
          </w:tcPr>
          <w:p w:rsidR="00000000" w:rsidRDefault="00000000">
            <w:pPr>
              <w:spacing w:before="60" w:after="60"/>
              <w:rPr>
                <w:sz w:val="22"/>
              </w:rPr>
            </w:pPr>
            <w:r>
              <w:rPr>
                <w:sz w:val="22"/>
              </w:rPr>
              <w:t>Établissements préscolaires</w:t>
            </w:r>
          </w:p>
        </w:tc>
        <w:tc>
          <w:tcPr>
            <w:tcW w:w="1109" w:type="dxa"/>
            <w:vAlign w:val="bottom"/>
          </w:tcPr>
          <w:p w:rsidR="00000000" w:rsidRDefault="00000000">
            <w:pPr>
              <w:spacing w:before="60" w:after="60"/>
              <w:jc w:val="right"/>
              <w:rPr>
                <w:sz w:val="22"/>
              </w:rPr>
            </w:pPr>
            <w:r>
              <w:rPr>
                <w:sz w:val="22"/>
              </w:rPr>
              <w:t>1 224</w:t>
            </w:r>
          </w:p>
        </w:tc>
        <w:tc>
          <w:tcPr>
            <w:tcW w:w="1109" w:type="dxa"/>
            <w:vAlign w:val="bottom"/>
          </w:tcPr>
          <w:p w:rsidR="00000000" w:rsidRDefault="00000000">
            <w:pPr>
              <w:spacing w:before="60" w:after="60"/>
              <w:jc w:val="right"/>
              <w:rPr>
                <w:sz w:val="22"/>
              </w:rPr>
            </w:pPr>
            <w:r>
              <w:rPr>
                <w:sz w:val="22"/>
              </w:rPr>
              <w:t>1 241</w:t>
            </w:r>
          </w:p>
        </w:tc>
        <w:tc>
          <w:tcPr>
            <w:tcW w:w="1109" w:type="dxa"/>
            <w:vAlign w:val="bottom"/>
          </w:tcPr>
          <w:p w:rsidR="00000000" w:rsidRDefault="00000000">
            <w:pPr>
              <w:spacing w:before="60" w:after="60"/>
              <w:jc w:val="right"/>
              <w:rPr>
                <w:sz w:val="22"/>
              </w:rPr>
            </w:pPr>
            <w:r>
              <w:rPr>
                <w:sz w:val="22"/>
              </w:rPr>
              <w:t>1 229</w:t>
            </w:r>
          </w:p>
        </w:tc>
        <w:tc>
          <w:tcPr>
            <w:tcW w:w="1109" w:type="dxa"/>
            <w:vAlign w:val="bottom"/>
          </w:tcPr>
          <w:p w:rsidR="00000000" w:rsidRDefault="00000000">
            <w:pPr>
              <w:spacing w:before="60" w:after="60"/>
              <w:jc w:val="right"/>
              <w:rPr>
                <w:sz w:val="22"/>
              </w:rPr>
            </w:pPr>
            <w:r>
              <w:rPr>
                <w:sz w:val="22"/>
              </w:rPr>
              <w:t>74,9</w:t>
            </w:r>
          </w:p>
        </w:tc>
        <w:tc>
          <w:tcPr>
            <w:tcW w:w="1109" w:type="dxa"/>
            <w:vAlign w:val="bottom"/>
          </w:tcPr>
          <w:p w:rsidR="00000000" w:rsidRDefault="00000000">
            <w:pPr>
              <w:spacing w:before="60" w:after="60"/>
              <w:jc w:val="right"/>
              <w:rPr>
                <w:sz w:val="22"/>
              </w:rPr>
            </w:pPr>
            <w:r>
              <w:rPr>
                <w:sz w:val="22"/>
              </w:rPr>
              <w:t>74,2</w:t>
            </w:r>
          </w:p>
        </w:tc>
        <w:tc>
          <w:tcPr>
            <w:tcW w:w="1110" w:type="dxa"/>
            <w:vAlign w:val="bottom"/>
          </w:tcPr>
          <w:p w:rsidR="00000000" w:rsidRDefault="00000000">
            <w:pPr>
              <w:spacing w:before="60" w:after="60"/>
              <w:jc w:val="right"/>
              <w:rPr>
                <w:sz w:val="22"/>
              </w:rPr>
            </w:pPr>
            <w:r>
              <w:rPr>
                <w:sz w:val="22"/>
              </w:rPr>
              <w:t>74,0</w:t>
            </w:r>
          </w:p>
        </w:tc>
      </w:tr>
      <w:tr w:rsidR="00000000">
        <w:tblPrEx>
          <w:tblCellMar>
            <w:top w:w="0" w:type="dxa"/>
            <w:bottom w:w="0" w:type="dxa"/>
          </w:tblCellMar>
        </w:tblPrEx>
        <w:tc>
          <w:tcPr>
            <w:tcW w:w="2841" w:type="dxa"/>
          </w:tcPr>
          <w:p w:rsidR="00000000" w:rsidRDefault="00000000">
            <w:pPr>
              <w:spacing w:before="60" w:after="60"/>
              <w:rPr>
                <w:sz w:val="22"/>
              </w:rPr>
            </w:pPr>
            <w:r>
              <w:rPr>
                <w:sz w:val="22"/>
              </w:rPr>
              <w:t>Écoles publiques d’enseignement général</w:t>
            </w:r>
          </w:p>
        </w:tc>
        <w:tc>
          <w:tcPr>
            <w:tcW w:w="1109" w:type="dxa"/>
            <w:vAlign w:val="bottom"/>
          </w:tcPr>
          <w:p w:rsidR="00000000" w:rsidRDefault="00000000">
            <w:pPr>
              <w:spacing w:before="60" w:after="60"/>
              <w:jc w:val="right"/>
              <w:rPr>
                <w:sz w:val="22"/>
              </w:rPr>
            </w:pPr>
            <w:r>
              <w:rPr>
                <w:sz w:val="22"/>
              </w:rPr>
              <w:t>3 223</w:t>
            </w:r>
          </w:p>
        </w:tc>
        <w:tc>
          <w:tcPr>
            <w:tcW w:w="1109" w:type="dxa"/>
            <w:vAlign w:val="bottom"/>
          </w:tcPr>
          <w:p w:rsidR="00000000" w:rsidRDefault="00000000">
            <w:pPr>
              <w:spacing w:before="60" w:after="60"/>
              <w:jc w:val="right"/>
              <w:rPr>
                <w:sz w:val="22"/>
              </w:rPr>
            </w:pPr>
            <w:r>
              <w:rPr>
                <w:sz w:val="22"/>
              </w:rPr>
              <w:t>3 237</w:t>
            </w:r>
          </w:p>
        </w:tc>
        <w:tc>
          <w:tcPr>
            <w:tcW w:w="1109" w:type="dxa"/>
            <w:vAlign w:val="bottom"/>
          </w:tcPr>
          <w:p w:rsidR="00000000" w:rsidRDefault="00000000">
            <w:pPr>
              <w:spacing w:before="60" w:after="60"/>
              <w:jc w:val="right"/>
              <w:rPr>
                <w:sz w:val="22"/>
              </w:rPr>
            </w:pPr>
            <w:r>
              <w:rPr>
                <w:sz w:val="22"/>
              </w:rPr>
              <w:t>3 201</w:t>
            </w:r>
          </w:p>
        </w:tc>
        <w:tc>
          <w:tcPr>
            <w:tcW w:w="1109" w:type="dxa"/>
            <w:vAlign w:val="bottom"/>
          </w:tcPr>
          <w:p w:rsidR="00000000" w:rsidRDefault="00000000">
            <w:pPr>
              <w:spacing w:before="60" w:after="60"/>
              <w:jc w:val="right"/>
              <w:rPr>
                <w:sz w:val="22"/>
              </w:rPr>
            </w:pPr>
            <w:r>
              <w:rPr>
                <w:sz w:val="22"/>
              </w:rPr>
              <w:t>721,8</w:t>
            </w:r>
          </w:p>
        </w:tc>
        <w:tc>
          <w:tcPr>
            <w:tcW w:w="1109" w:type="dxa"/>
            <w:vAlign w:val="bottom"/>
          </w:tcPr>
          <w:p w:rsidR="00000000" w:rsidRDefault="00000000">
            <w:pPr>
              <w:spacing w:before="60" w:after="60"/>
              <w:jc w:val="right"/>
              <w:rPr>
                <w:sz w:val="22"/>
              </w:rPr>
            </w:pPr>
            <w:r>
              <w:rPr>
                <w:sz w:val="22"/>
              </w:rPr>
              <w:t>722,5</w:t>
            </w:r>
          </w:p>
        </w:tc>
        <w:tc>
          <w:tcPr>
            <w:tcW w:w="1110" w:type="dxa"/>
            <w:vAlign w:val="bottom"/>
          </w:tcPr>
          <w:p w:rsidR="00000000" w:rsidRDefault="00000000">
            <w:pPr>
              <w:spacing w:before="60" w:after="60"/>
              <w:jc w:val="right"/>
              <w:rPr>
                <w:sz w:val="22"/>
              </w:rPr>
            </w:pPr>
            <w:r>
              <w:rPr>
                <w:sz w:val="22"/>
              </w:rPr>
              <w:t>714,4</w:t>
            </w:r>
          </w:p>
        </w:tc>
      </w:tr>
      <w:tr w:rsidR="00000000">
        <w:tblPrEx>
          <w:tblCellMar>
            <w:top w:w="0" w:type="dxa"/>
            <w:bottom w:w="0" w:type="dxa"/>
          </w:tblCellMar>
        </w:tblPrEx>
        <w:tc>
          <w:tcPr>
            <w:tcW w:w="2841" w:type="dxa"/>
          </w:tcPr>
          <w:p w:rsidR="00000000" w:rsidRDefault="00000000">
            <w:pPr>
              <w:spacing w:before="60" w:after="60"/>
              <w:rPr>
                <w:sz w:val="22"/>
              </w:rPr>
            </w:pPr>
            <w:r>
              <w:rPr>
                <w:sz w:val="22"/>
              </w:rPr>
              <w:t>Écoles primaires d’enseignement professionnel et d’apprentissage</w:t>
            </w:r>
          </w:p>
        </w:tc>
        <w:tc>
          <w:tcPr>
            <w:tcW w:w="1109" w:type="dxa"/>
            <w:vAlign w:val="bottom"/>
          </w:tcPr>
          <w:p w:rsidR="00000000" w:rsidRDefault="00000000">
            <w:pPr>
              <w:spacing w:before="60" w:after="60"/>
              <w:jc w:val="right"/>
              <w:rPr>
                <w:sz w:val="22"/>
              </w:rPr>
            </w:pPr>
            <w:r>
              <w:rPr>
                <w:sz w:val="22"/>
              </w:rPr>
              <w:t>99</w:t>
            </w:r>
          </w:p>
        </w:tc>
        <w:tc>
          <w:tcPr>
            <w:tcW w:w="1109" w:type="dxa"/>
            <w:vAlign w:val="bottom"/>
          </w:tcPr>
          <w:p w:rsidR="00000000" w:rsidRDefault="00000000">
            <w:pPr>
              <w:spacing w:before="60" w:after="60"/>
              <w:jc w:val="right"/>
              <w:rPr>
                <w:sz w:val="22"/>
              </w:rPr>
            </w:pPr>
            <w:r>
              <w:rPr>
                <w:sz w:val="22"/>
              </w:rPr>
              <w:t>98</w:t>
            </w:r>
          </w:p>
        </w:tc>
        <w:tc>
          <w:tcPr>
            <w:tcW w:w="1109" w:type="dxa"/>
            <w:vAlign w:val="bottom"/>
          </w:tcPr>
          <w:p w:rsidR="00000000" w:rsidRDefault="00000000">
            <w:pPr>
              <w:spacing w:before="60" w:after="60"/>
              <w:jc w:val="right"/>
              <w:rPr>
                <w:sz w:val="22"/>
              </w:rPr>
            </w:pPr>
            <w:r>
              <w:rPr>
                <w:sz w:val="22"/>
              </w:rPr>
              <w:t>84</w:t>
            </w:r>
          </w:p>
        </w:tc>
        <w:tc>
          <w:tcPr>
            <w:tcW w:w="1109" w:type="dxa"/>
            <w:vAlign w:val="bottom"/>
          </w:tcPr>
          <w:p w:rsidR="00000000" w:rsidRDefault="00000000">
            <w:pPr>
              <w:spacing w:before="60" w:after="60"/>
              <w:jc w:val="right"/>
              <w:rPr>
                <w:sz w:val="22"/>
              </w:rPr>
            </w:pPr>
            <w:r>
              <w:rPr>
                <w:sz w:val="22"/>
              </w:rPr>
              <w:t>17,8</w:t>
            </w:r>
          </w:p>
        </w:tc>
        <w:tc>
          <w:tcPr>
            <w:tcW w:w="1109" w:type="dxa"/>
            <w:vAlign w:val="bottom"/>
          </w:tcPr>
          <w:p w:rsidR="00000000" w:rsidRDefault="00000000">
            <w:pPr>
              <w:spacing w:before="60" w:after="60"/>
              <w:jc w:val="right"/>
              <w:rPr>
                <w:sz w:val="22"/>
              </w:rPr>
            </w:pPr>
            <w:r>
              <w:rPr>
                <w:sz w:val="22"/>
              </w:rPr>
              <w:t>18,4</w:t>
            </w:r>
          </w:p>
        </w:tc>
        <w:tc>
          <w:tcPr>
            <w:tcW w:w="1110" w:type="dxa"/>
            <w:vAlign w:val="bottom"/>
          </w:tcPr>
          <w:p w:rsidR="00000000" w:rsidRDefault="00000000">
            <w:pPr>
              <w:spacing w:before="60" w:after="60"/>
              <w:jc w:val="right"/>
              <w:rPr>
                <w:sz w:val="22"/>
              </w:rPr>
            </w:pPr>
            <w:r>
              <w:rPr>
                <w:sz w:val="22"/>
              </w:rPr>
              <w:t>16,8</w:t>
            </w:r>
          </w:p>
        </w:tc>
      </w:tr>
      <w:tr w:rsidR="00000000">
        <w:tblPrEx>
          <w:tblCellMar>
            <w:top w:w="0" w:type="dxa"/>
            <w:bottom w:w="0" w:type="dxa"/>
          </w:tblCellMar>
        </w:tblPrEx>
        <w:tc>
          <w:tcPr>
            <w:tcW w:w="2841" w:type="dxa"/>
          </w:tcPr>
          <w:p w:rsidR="00000000" w:rsidRDefault="00000000">
            <w:pPr>
              <w:spacing w:before="60" w:after="60"/>
              <w:rPr>
                <w:sz w:val="22"/>
              </w:rPr>
            </w:pPr>
            <w:r>
              <w:rPr>
                <w:sz w:val="22"/>
              </w:rPr>
              <w:t>Établissements publics d’enseignement secondaire spécialisé</w:t>
            </w:r>
          </w:p>
        </w:tc>
        <w:tc>
          <w:tcPr>
            <w:tcW w:w="1109" w:type="dxa"/>
            <w:vAlign w:val="bottom"/>
          </w:tcPr>
          <w:p w:rsidR="00000000" w:rsidRDefault="00000000">
            <w:pPr>
              <w:spacing w:before="60" w:after="60"/>
              <w:jc w:val="right"/>
              <w:rPr>
                <w:sz w:val="22"/>
              </w:rPr>
            </w:pPr>
            <w:r>
              <w:rPr>
                <w:sz w:val="22"/>
              </w:rPr>
              <w:t>81</w:t>
            </w:r>
          </w:p>
        </w:tc>
        <w:tc>
          <w:tcPr>
            <w:tcW w:w="1109" w:type="dxa"/>
            <w:vAlign w:val="bottom"/>
          </w:tcPr>
          <w:p w:rsidR="00000000" w:rsidRDefault="00000000">
            <w:pPr>
              <w:spacing w:before="60" w:after="60"/>
              <w:jc w:val="right"/>
              <w:rPr>
                <w:sz w:val="22"/>
              </w:rPr>
            </w:pPr>
            <w:r>
              <w:rPr>
                <w:sz w:val="22"/>
              </w:rPr>
              <w:t>83</w:t>
            </w:r>
          </w:p>
        </w:tc>
        <w:tc>
          <w:tcPr>
            <w:tcW w:w="1109" w:type="dxa"/>
            <w:vAlign w:val="bottom"/>
          </w:tcPr>
          <w:p w:rsidR="00000000" w:rsidRDefault="00000000">
            <w:pPr>
              <w:spacing w:before="60" w:after="60"/>
              <w:jc w:val="right"/>
              <w:rPr>
                <w:sz w:val="22"/>
              </w:rPr>
            </w:pPr>
            <w:r>
              <w:rPr>
                <w:sz w:val="22"/>
              </w:rPr>
              <w:t>85</w:t>
            </w:r>
          </w:p>
        </w:tc>
        <w:tc>
          <w:tcPr>
            <w:tcW w:w="1109" w:type="dxa"/>
            <w:vAlign w:val="bottom"/>
          </w:tcPr>
          <w:p w:rsidR="00000000" w:rsidRDefault="00000000">
            <w:pPr>
              <w:spacing w:before="60" w:after="60"/>
              <w:jc w:val="right"/>
              <w:rPr>
                <w:sz w:val="22"/>
              </w:rPr>
            </w:pPr>
            <w:r>
              <w:rPr>
                <w:sz w:val="22"/>
              </w:rPr>
              <w:t>30,7</w:t>
            </w:r>
          </w:p>
        </w:tc>
        <w:tc>
          <w:tcPr>
            <w:tcW w:w="1109" w:type="dxa"/>
            <w:vAlign w:val="bottom"/>
          </w:tcPr>
          <w:p w:rsidR="00000000" w:rsidRDefault="00000000">
            <w:pPr>
              <w:spacing w:before="60" w:after="60"/>
              <w:jc w:val="right"/>
              <w:rPr>
                <w:sz w:val="22"/>
              </w:rPr>
            </w:pPr>
            <w:r>
              <w:rPr>
                <w:sz w:val="22"/>
              </w:rPr>
              <w:t>32,4</w:t>
            </w:r>
          </w:p>
        </w:tc>
        <w:tc>
          <w:tcPr>
            <w:tcW w:w="1110" w:type="dxa"/>
            <w:vAlign w:val="bottom"/>
          </w:tcPr>
          <w:p w:rsidR="00000000" w:rsidRDefault="00000000">
            <w:pPr>
              <w:spacing w:before="60" w:after="60"/>
              <w:jc w:val="right"/>
              <w:rPr>
                <w:sz w:val="22"/>
              </w:rPr>
            </w:pPr>
            <w:r>
              <w:rPr>
                <w:sz w:val="22"/>
              </w:rPr>
              <w:t>29,9</w:t>
            </w:r>
          </w:p>
        </w:tc>
      </w:tr>
      <w:tr w:rsidR="00000000">
        <w:tblPrEx>
          <w:tblCellMar>
            <w:top w:w="0" w:type="dxa"/>
            <w:bottom w:w="0" w:type="dxa"/>
          </w:tblCellMar>
        </w:tblPrEx>
        <w:tc>
          <w:tcPr>
            <w:tcW w:w="2841" w:type="dxa"/>
          </w:tcPr>
          <w:p w:rsidR="00000000" w:rsidRDefault="00000000">
            <w:pPr>
              <w:spacing w:before="60" w:after="60"/>
              <w:rPr>
                <w:sz w:val="22"/>
              </w:rPr>
            </w:pPr>
            <w:r>
              <w:rPr>
                <w:sz w:val="22"/>
              </w:rPr>
              <w:t>Établissements non publics (payants) d’enseignement secondaire spécialisé</w:t>
            </w:r>
          </w:p>
        </w:tc>
        <w:tc>
          <w:tcPr>
            <w:tcW w:w="1109" w:type="dxa"/>
            <w:vAlign w:val="bottom"/>
          </w:tcPr>
          <w:p w:rsidR="00000000" w:rsidRDefault="00000000">
            <w:pPr>
              <w:spacing w:before="60" w:after="60"/>
              <w:jc w:val="right"/>
              <w:rPr>
                <w:sz w:val="22"/>
              </w:rPr>
            </w:pPr>
            <w:r>
              <w:rPr>
                <w:sz w:val="22"/>
              </w:rPr>
              <w:t>47</w:t>
            </w:r>
          </w:p>
        </w:tc>
        <w:tc>
          <w:tcPr>
            <w:tcW w:w="1109" w:type="dxa"/>
            <w:vAlign w:val="bottom"/>
          </w:tcPr>
          <w:p w:rsidR="00000000" w:rsidRDefault="00000000">
            <w:pPr>
              <w:spacing w:before="60" w:after="60"/>
              <w:jc w:val="right"/>
              <w:rPr>
                <w:sz w:val="22"/>
              </w:rPr>
            </w:pPr>
            <w:r>
              <w:rPr>
                <w:sz w:val="22"/>
              </w:rPr>
              <w:t>58</w:t>
            </w:r>
          </w:p>
        </w:tc>
        <w:tc>
          <w:tcPr>
            <w:tcW w:w="1109" w:type="dxa"/>
            <w:vAlign w:val="bottom"/>
          </w:tcPr>
          <w:p w:rsidR="00000000" w:rsidRDefault="00000000">
            <w:pPr>
              <w:spacing w:before="60" w:after="60"/>
              <w:jc w:val="right"/>
              <w:rPr>
                <w:sz w:val="22"/>
              </w:rPr>
            </w:pPr>
            <w:r>
              <w:rPr>
                <w:sz w:val="22"/>
              </w:rPr>
              <w:t>58</w:t>
            </w:r>
          </w:p>
        </w:tc>
        <w:tc>
          <w:tcPr>
            <w:tcW w:w="1109" w:type="dxa"/>
            <w:vAlign w:val="bottom"/>
          </w:tcPr>
          <w:p w:rsidR="00000000" w:rsidRDefault="00000000">
            <w:pPr>
              <w:spacing w:before="60" w:after="60"/>
              <w:jc w:val="right"/>
              <w:rPr>
                <w:sz w:val="22"/>
              </w:rPr>
            </w:pPr>
            <w:r>
              <w:rPr>
                <w:sz w:val="22"/>
              </w:rPr>
              <w:t>5,2</w:t>
            </w:r>
          </w:p>
        </w:tc>
        <w:tc>
          <w:tcPr>
            <w:tcW w:w="1109" w:type="dxa"/>
            <w:vAlign w:val="bottom"/>
          </w:tcPr>
          <w:p w:rsidR="00000000" w:rsidRDefault="00000000">
            <w:pPr>
              <w:spacing w:before="60" w:after="60"/>
              <w:jc w:val="right"/>
              <w:rPr>
                <w:sz w:val="22"/>
              </w:rPr>
            </w:pPr>
            <w:r>
              <w:rPr>
                <w:sz w:val="22"/>
              </w:rPr>
              <w:t>7,2</w:t>
            </w:r>
          </w:p>
        </w:tc>
        <w:tc>
          <w:tcPr>
            <w:tcW w:w="1110" w:type="dxa"/>
            <w:vAlign w:val="bottom"/>
          </w:tcPr>
          <w:p w:rsidR="00000000" w:rsidRDefault="00000000">
            <w:pPr>
              <w:spacing w:before="60" w:after="60"/>
              <w:jc w:val="right"/>
              <w:rPr>
                <w:sz w:val="22"/>
              </w:rPr>
            </w:pPr>
            <w:r>
              <w:rPr>
                <w:sz w:val="22"/>
              </w:rPr>
              <w:t>6,8</w:t>
            </w:r>
          </w:p>
        </w:tc>
      </w:tr>
      <w:tr w:rsidR="00000000">
        <w:tblPrEx>
          <w:tblCellMar>
            <w:top w:w="0" w:type="dxa"/>
            <w:bottom w:w="0" w:type="dxa"/>
          </w:tblCellMar>
        </w:tblPrEx>
        <w:tc>
          <w:tcPr>
            <w:tcW w:w="2841" w:type="dxa"/>
          </w:tcPr>
          <w:p w:rsidR="00000000" w:rsidRDefault="00000000">
            <w:pPr>
              <w:spacing w:before="60" w:after="60"/>
              <w:rPr>
                <w:sz w:val="22"/>
              </w:rPr>
            </w:pPr>
            <w:r>
              <w:rPr>
                <w:sz w:val="22"/>
              </w:rPr>
              <w:t>Établissements publics d’enseignement supérieur</w:t>
            </w:r>
          </w:p>
        </w:tc>
        <w:tc>
          <w:tcPr>
            <w:tcW w:w="1109" w:type="dxa"/>
            <w:vAlign w:val="bottom"/>
          </w:tcPr>
          <w:p w:rsidR="00000000" w:rsidRDefault="00000000">
            <w:pPr>
              <w:spacing w:before="60" w:after="60"/>
              <w:jc w:val="right"/>
              <w:rPr>
                <w:sz w:val="22"/>
              </w:rPr>
            </w:pPr>
            <w:r>
              <w:rPr>
                <w:sz w:val="22"/>
              </w:rPr>
              <w:t>23</w:t>
            </w:r>
          </w:p>
        </w:tc>
        <w:tc>
          <w:tcPr>
            <w:tcW w:w="1109" w:type="dxa"/>
            <w:vAlign w:val="bottom"/>
          </w:tcPr>
          <w:p w:rsidR="00000000" w:rsidRDefault="00000000">
            <w:pPr>
              <w:spacing w:before="60" w:after="60"/>
              <w:jc w:val="right"/>
              <w:rPr>
                <w:sz w:val="22"/>
              </w:rPr>
            </w:pPr>
            <w:r>
              <w:rPr>
                <w:sz w:val="22"/>
              </w:rPr>
              <w:t>24</w:t>
            </w:r>
          </w:p>
        </w:tc>
        <w:tc>
          <w:tcPr>
            <w:tcW w:w="1109" w:type="dxa"/>
            <w:vAlign w:val="bottom"/>
          </w:tcPr>
          <w:p w:rsidR="00000000" w:rsidRDefault="00000000">
            <w:pPr>
              <w:spacing w:before="60" w:after="60"/>
              <w:jc w:val="right"/>
              <w:rPr>
                <w:sz w:val="22"/>
              </w:rPr>
            </w:pPr>
            <w:r>
              <w:rPr>
                <w:sz w:val="22"/>
              </w:rPr>
              <w:t>24</w:t>
            </w:r>
          </w:p>
        </w:tc>
        <w:tc>
          <w:tcPr>
            <w:tcW w:w="1109" w:type="dxa"/>
            <w:vAlign w:val="bottom"/>
          </w:tcPr>
          <w:p w:rsidR="00000000" w:rsidRDefault="00000000">
            <w:pPr>
              <w:spacing w:before="60" w:after="60"/>
              <w:jc w:val="right"/>
              <w:rPr>
                <w:sz w:val="22"/>
              </w:rPr>
            </w:pPr>
            <w:r>
              <w:rPr>
                <w:sz w:val="22"/>
              </w:rPr>
              <w:t>87,3</w:t>
            </w:r>
          </w:p>
        </w:tc>
        <w:tc>
          <w:tcPr>
            <w:tcW w:w="1109" w:type="dxa"/>
            <w:vAlign w:val="bottom"/>
          </w:tcPr>
          <w:p w:rsidR="00000000" w:rsidRDefault="00000000">
            <w:pPr>
              <w:spacing w:before="60" w:after="60"/>
              <w:jc w:val="right"/>
              <w:rPr>
                <w:sz w:val="22"/>
              </w:rPr>
            </w:pPr>
            <w:r>
              <w:rPr>
                <w:sz w:val="22"/>
              </w:rPr>
              <w:t>90,1</w:t>
            </w:r>
          </w:p>
        </w:tc>
        <w:tc>
          <w:tcPr>
            <w:tcW w:w="1110" w:type="dxa"/>
            <w:vAlign w:val="bottom"/>
          </w:tcPr>
          <w:p w:rsidR="00000000" w:rsidRDefault="00000000">
            <w:pPr>
              <w:spacing w:before="60" w:after="60"/>
              <w:jc w:val="right"/>
              <w:rPr>
                <w:sz w:val="22"/>
              </w:rPr>
            </w:pPr>
            <w:r>
              <w:rPr>
                <w:sz w:val="22"/>
              </w:rPr>
              <w:t>95,0</w:t>
            </w:r>
          </w:p>
        </w:tc>
      </w:tr>
      <w:tr w:rsidR="00000000">
        <w:tblPrEx>
          <w:tblCellMar>
            <w:top w:w="0" w:type="dxa"/>
            <w:bottom w:w="0" w:type="dxa"/>
          </w:tblCellMar>
        </w:tblPrEx>
        <w:tc>
          <w:tcPr>
            <w:tcW w:w="2841" w:type="dxa"/>
          </w:tcPr>
          <w:p w:rsidR="00000000" w:rsidRDefault="00000000">
            <w:pPr>
              <w:spacing w:before="60" w:after="60"/>
              <w:rPr>
                <w:sz w:val="22"/>
              </w:rPr>
            </w:pPr>
            <w:r>
              <w:rPr>
                <w:sz w:val="22"/>
              </w:rPr>
              <w:t>Établissements non publics (payants) d’enseignement supérieur</w:t>
            </w:r>
          </w:p>
        </w:tc>
        <w:tc>
          <w:tcPr>
            <w:tcW w:w="1109" w:type="dxa"/>
            <w:vAlign w:val="bottom"/>
          </w:tcPr>
          <w:p w:rsidR="00000000" w:rsidRDefault="00000000">
            <w:pPr>
              <w:spacing w:before="60" w:after="60"/>
              <w:jc w:val="right"/>
              <w:rPr>
                <w:sz w:val="22"/>
              </w:rPr>
            </w:pPr>
            <w:r>
              <w:rPr>
                <w:sz w:val="22"/>
              </w:rPr>
              <w:t>159</w:t>
            </w:r>
          </w:p>
        </w:tc>
        <w:tc>
          <w:tcPr>
            <w:tcW w:w="1109" w:type="dxa"/>
            <w:vAlign w:val="bottom"/>
          </w:tcPr>
          <w:p w:rsidR="00000000" w:rsidRDefault="00000000">
            <w:pPr>
              <w:spacing w:before="60" w:after="60"/>
              <w:jc w:val="right"/>
              <w:rPr>
                <w:sz w:val="22"/>
              </w:rPr>
            </w:pPr>
            <w:r>
              <w:rPr>
                <w:sz w:val="22"/>
              </w:rPr>
              <w:t>154</w:t>
            </w:r>
          </w:p>
        </w:tc>
        <w:tc>
          <w:tcPr>
            <w:tcW w:w="1109" w:type="dxa"/>
            <w:vAlign w:val="bottom"/>
          </w:tcPr>
          <w:p w:rsidR="00000000" w:rsidRDefault="00000000">
            <w:pPr>
              <w:spacing w:before="60" w:after="60"/>
              <w:jc w:val="right"/>
              <w:rPr>
                <w:sz w:val="22"/>
              </w:rPr>
            </w:pPr>
            <w:r>
              <w:rPr>
                <w:sz w:val="22"/>
              </w:rPr>
              <w:t>162</w:t>
            </w:r>
          </w:p>
        </w:tc>
        <w:tc>
          <w:tcPr>
            <w:tcW w:w="1109" w:type="dxa"/>
            <w:vAlign w:val="bottom"/>
          </w:tcPr>
          <w:p w:rsidR="00000000" w:rsidRDefault="00000000">
            <w:pPr>
              <w:spacing w:before="60" w:after="60"/>
              <w:jc w:val="right"/>
              <w:rPr>
                <w:sz w:val="22"/>
              </w:rPr>
            </w:pPr>
            <w:r>
              <w:rPr>
                <w:sz w:val="22"/>
              </w:rPr>
              <w:t>40,2</w:t>
            </w:r>
          </w:p>
        </w:tc>
        <w:tc>
          <w:tcPr>
            <w:tcW w:w="1109" w:type="dxa"/>
            <w:vAlign w:val="bottom"/>
          </w:tcPr>
          <w:p w:rsidR="00000000" w:rsidRDefault="00000000">
            <w:pPr>
              <w:spacing w:before="60" w:after="60"/>
              <w:jc w:val="right"/>
              <w:rPr>
                <w:sz w:val="22"/>
              </w:rPr>
            </w:pPr>
            <w:r>
              <w:rPr>
                <w:sz w:val="22"/>
              </w:rPr>
              <w:t>38,3</w:t>
            </w:r>
          </w:p>
        </w:tc>
        <w:tc>
          <w:tcPr>
            <w:tcW w:w="1110" w:type="dxa"/>
            <w:vAlign w:val="bottom"/>
          </w:tcPr>
          <w:p w:rsidR="00000000" w:rsidRDefault="00000000">
            <w:pPr>
              <w:spacing w:before="60" w:after="60"/>
              <w:jc w:val="right"/>
              <w:rPr>
                <w:sz w:val="22"/>
              </w:rPr>
            </w:pPr>
            <w:r>
              <w:rPr>
                <w:sz w:val="22"/>
              </w:rPr>
              <w:t>40,1</w:t>
            </w:r>
          </w:p>
        </w:tc>
      </w:tr>
      <w:tr w:rsidR="00000000">
        <w:tblPrEx>
          <w:tblCellMar>
            <w:top w:w="0" w:type="dxa"/>
            <w:bottom w:w="0" w:type="dxa"/>
          </w:tblCellMar>
        </w:tblPrEx>
        <w:tc>
          <w:tcPr>
            <w:tcW w:w="2841" w:type="dxa"/>
          </w:tcPr>
          <w:p w:rsidR="00000000" w:rsidRDefault="00000000">
            <w:pPr>
              <w:spacing w:before="60" w:after="60"/>
              <w:rPr>
                <w:sz w:val="22"/>
              </w:rPr>
            </w:pPr>
            <w:r>
              <w:rPr>
                <w:sz w:val="22"/>
              </w:rPr>
              <w:t>Établissements préparant au doctorat</w:t>
            </w:r>
          </w:p>
        </w:tc>
        <w:tc>
          <w:tcPr>
            <w:tcW w:w="1109" w:type="dxa"/>
            <w:vAlign w:val="bottom"/>
          </w:tcPr>
          <w:p w:rsidR="00000000" w:rsidRDefault="00000000">
            <w:pPr>
              <w:spacing w:before="60" w:after="60"/>
              <w:jc w:val="right"/>
              <w:rPr>
                <w:sz w:val="22"/>
              </w:rPr>
            </w:pPr>
            <w:r>
              <w:rPr>
                <w:sz w:val="22"/>
              </w:rPr>
              <w:t>66</w:t>
            </w:r>
          </w:p>
        </w:tc>
        <w:tc>
          <w:tcPr>
            <w:tcW w:w="1109" w:type="dxa"/>
            <w:vAlign w:val="bottom"/>
          </w:tcPr>
          <w:p w:rsidR="00000000" w:rsidRDefault="00000000">
            <w:pPr>
              <w:spacing w:before="60" w:after="60"/>
              <w:jc w:val="right"/>
              <w:rPr>
                <w:sz w:val="22"/>
              </w:rPr>
            </w:pPr>
            <w:r>
              <w:rPr>
                <w:sz w:val="22"/>
              </w:rPr>
              <w:t>66</w:t>
            </w:r>
          </w:p>
        </w:tc>
        <w:tc>
          <w:tcPr>
            <w:tcW w:w="1109" w:type="dxa"/>
            <w:vAlign w:val="bottom"/>
          </w:tcPr>
          <w:p w:rsidR="00000000" w:rsidRDefault="00000000">
            <w:pPr>
              <w:spacing w:before="60" w:after="60"/>
              <w:jc w:val="right"/>
              <w:rPr>
                <w:sz w:val="22"/>
              </w:rPr>
            </w:pPr>
            <w:r>
              <w:rPr>
                <w:sz w:val="22"/>
              </w:rPr>
              <w:t>69</w:t>
            </w:r>
          </w:p>
        </w:tc>
        <w:tc>
          <w:tcPr>
            <w:tcW w:w="1109" w:type="dxa"/>
            <w:vAlign w:val="bottom"/>
          </w:tcPr>
          <w:p w:rsidR="00000000" w:rsidRDefault="00000000">
            <w:pPr>
              <w:spacing w:before="60" w:after="60"/>
              <w:jc w:val="right"/>
              <w:rPr>
                <w:sz w:val="22"/>
              </w:rPr>
            </w:pPr>
            <w:r>
              <w:rPr>
                <w:sz w:val="22"/>
              </w:rPr>
              <w:t>1,9</w:t>
            </w:r>
          </w:p>
        </w:tc>
        <w:tc>
          <w:tcPr>
            <w:tcW w:w="1109" w:type="dxa"/>
            <w:vAlign w:val="bottom"/>
          </w:tcPr>
          <w:p w:rsidR="00000000" w:rsidRDefault="00000000">
            <w:pPr>
              <w:spacing w:before="60" w:after="60"/>
              <w:jc w:val="right"/>
              <w:rPr>
                <w:sz w:val="22"/>
              </w:rPr>
            </w:pPr>
            <w:r>
              <w:rPr>
                <w:sz w:val="22"/>
              </w:rPr>
              <w:t>1,8</w:t>
            </w:r>
          </w:p>
        </w:tc>
        <w:tc>
          <w:tcPr>
            <w:tcW w:w="1110" w:type="dxa"/>
            <w:vAlign w:val="bottom"/>
          </w:tcPr>
          <w:p w:rsidR="00000000" w:rsidRDefault="00000000">
            <w:pPr>
              <w:spacing w:before="60" w:after="60"/>
              <w:jc w:val="right"/>
              <w:rPr>
                <w:sz w:val="22"/>
              </w:rPr>
            </w:pPr>
            <w:r>
              <w:rPr>
                <w:sz w:val="22"/>
              </w:rPr>
              <w:t>1,8</w:t>
            </w:r>
          </w:p>
        </w:tc>
      </w:tr>
    </w:tbl>
    <w:p w:rsidR="00000000" w:rsidRDefault="00000000">
      <w:pPr>
        <w:keepLines/>
        <w:spacing w:before="240" w:after="240" w:line="270" w:lineRule="exact"/>
      </w:pPr>
      <w:r>
        <w:t>231.</w:t>
      </w:r>
      <w:r>
        <w:tab/>
        <w:t>On notera que, ces dernières années, le nombre d’inscrits dans les écoles d’enseignement secondaire général et spécialisé pour l 000 habitants est demeuré relativement stable, alors que le même indicateur concernant les étudiants des établissements d’enseignement supérieur accuse une tendance sensible à la hausse.</w:t>
      </w:r>
    </w:p>
    <w:p w:rsidR="00000000" w:rsidRDefault="00000000">
      <w:pPr>
        <w:spacing w:after="240" w:line="270" w:lineRule="exact"/>
      </w:pPr>
      <w:r>
        <w:t>232.</w:t>
      </w:r>
      <w:r>
        <w:tab/>
        <w:t>Le nombre de spécialistes pour 1 000 habitants ayant achevé dans la même période des études secondaires ou supérieures a subi des fluctuations, quoique l’on puisse déceler une tendance non significative à la hausse. Ainsi, le nombre de diplômés des établissements d’enseignement secondaire spécialisé pour 1 000 habitants est passé de 13 dans l’année scolaire 1997/98 à 21 pour l’année scolaire 1999/2000. Le même indicateur concernant les diplômés des établissements supérieurs était respectivement de 40 et 45.</w:t>
      </w:r>
    </w:p>
    <w:p w:rsidR="00000000" w:rsidRDefault="00000000">
      <w:pPr>
        <w:spacing w:after="240" w:line="270" w:lineRule="exact"/>
      </w:pPr>
      <w:r>
        <w:t>233.</w:t>
      </w:r>
      <w:r>
        <w:tab/>
        <w:t>Ainsi qu’il ressort du tableau ci</w:t>
      </w:r>
      <w:r>
        <w:noBreakHyphen/>
        <w:t>dessus, au cours de la période considérée, le nombre des écoles publiques d’enseignement secondaire général a diminué, de même que le nombre d’écoles offrant des cours du soir et le nombre d’élèves inscrits dans les deux types d’établissement. Le taux d’encadrement (10,1 élèves par enseignant) est par contre resté inchangé.</w:t>
      </w:r>
    </w:p>
    <w:p w:rsidR="00000000" w:rsidRDefault="00000000">
      <w:pPr>
        <w:keepNext/>
        <w:spacing w:after="240"/>
        <w:jc w:val="center"/>
        <w:rPr>
          <w:u w:val="single"/>
        </w:rPr>
      </w:pPr>
      <w:r>
        <w:rPr>
          <w:u w:val="single"/>
        </w:rPr>
        <w:t>Répartition des inscrits dans les écoles d’enseignement général de jour</w:t>
      </w:r>
      <w:r>
        <w:rPr>
          <w:u w:val="single"/>
        </w:rPr>
        <w:br/>
        <w:t>selon la langue d’enseignement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70"/>
        <w:gridCol w:w="1560"/>
        <w:gridCol w:w="1560"/>
        <w:gridCol w:w="1506"/>
      </w:tblGrid>
      <w:tr w:rsidR="00000000">
        <w:tblPrEx>
          <w:tblCellMar>
            <w:top w:w="0" w:type="dxa"/>
            <w:bottom w:w="0" w:type="dxa"/>
          </w:tblCellMar>
        </w:tblPrEx>
        <w:tc>
          <w:tcPr>
            <w:tcW w:w="4870" w:type="dxa"/>
          </w:tcPr>
          <w:p w:rsidR="00000000" w:rsidRDefault="00000000">
            <w:pPr>
              <w:spacing w:before="60" w:after="60"/>
              <w:rPr>
                <w:sz w:val="22"/>
              </w:rPr>
            </w:pPr>
          </w:p>
        </w:tc>
        <w:tc>
          <w:tcPr>
            <w:tcW w:w="1560" w:type="dxa"/>
            <w:vAlign w:val="bottom"/>
          </w:tcPr>
          <w:p w:rsidR="00000000" w:rsidRDefault="00000000">
            <w:pPr>
              <w:spacing w:before="60" w:after="60"/>
              <w:jc w:val="center"/>
              <w:rPr>
                <w:sz w:val="22"/>
              </w:rPr>
            </w:pPr>
            <w:r>
              <w:rPr>
                <w:sz w:val="22"/>
              </w:rPr>
              <w:t>1997/98</w:t>
            </w:r>
          </w:p>
        </w:tc>
        <w:tc>
          <w:tcPr>
            <w:tcW w:w="1560" w:type="dxa"/>
            <w:vAlign w:val="bottom"/>
          </w:tcPr>
          <w:p w:rsidR="00000000" w:rsidRDefault="00000000">
            <w:pPr>
              <w:spacing w:before="60" w:after="60"/>
              <w:jc w:val="center"/>
              <w:rPr>
                <w:sz w:val="22"/>
              </w:rPr>
            </w:pPr>
            <w:r>
              <w:rPr>
                <w:sz w:val="22"/>
              </w:rPr>
              <w:t>1998/99</w:t>
            </w:r>
          </w:p>
        </w:tc>
        <w:tc>
          <w:tcPr>
            <w:tcW w:w="1506" w:type="dxa"/>
            <w:vAlign w:val="bottom"/>
          </w:tcPr>
          <w:p w:rsidR="00000000" w:rsidRDefault="00000000">
            <w:pPr>
              <w:spacing w:before="60" w:after="60"/>
              <w:jc w:val="center"/>
              <w:rPr>
                <w:sz w:val="22"/>
              </w:rPr>
            </w:pPr>
            <w:r>
              <w:rPr>
                <w:sz w:val="22"/>
              </w:rPr>
              <w:t>1999/2000</w:t>
            </w:r>
          </w:p>
        </w:tc>
      </w:tr>
      <w:tr w:rsidR="00000000">
        <w:tblPrEx>
          <w:tblCellMar>
            <w:top w:w="0" w:type="dxa"/>
            <w:bottom w:w="0" w:type="dxa"/>
          </w:tblCellMar>
        </w:tblPrEx>
        <w:tc>
          <w:tcPr>
            <w:tcW w:w="4870" w:type="dxa"/>
          </w:tcPr>
          <w:p w:rsidR="00000000" w:rsidRDefault="00000000">
            <w:pPr>
              <w:spacing w:before="60" w:after="60"/>
              <w:rPr>
                <w:sz w:val="22"/>
              </w:rPr>
            </w:pPr>
            <w:r>
              <w:rPr>
                <w:sz w:val="22"/>
              </w:rPr>
              <w:t>Nombre total d’inscrits (en milliers)</w:t>
            </w:r>
          </w:p>
        </w:tc>
        <w:tc>
          <w:tcPr>
            <w:tcW w:w="1560" w:type="dxa"/>
            <w:vAlign w:val="bottom"/>
          </w:tcPr>
          <w:p w:rsidR="00000000" w:rsidRDefault="00000000">
            <w:pPr>
              <w:spacing w:before="60" w:after="60"/>
              <w:ind w:right="410"/>
              <w:jc w:val="right"/>
              <w:rPr>
                <w:sz w:val="22"/>
              </w:rPr>
            </w:pPr>
            <w:r>
              <w:rPr>
                <w:sz w:val="22"/>
              </w:rPr>
              <w:t>714,6</w:t>
            </w:r>
          </w:p>
        </w:tc>
        <w:tc>
          <w:tcPr>
            <w:tcW w:w="1560" w:type="dxa"/>
            <w:vAlign w:val="bottom"/>
          </w:tcPr>
          <w:p w:rsidR="00000000" w:rsidRDefault="00000000">
            <w:pPr>
              <w:spacing w:before="60" w:after="60"/>
              <w:ind w:right="410"/>
              <w:jc w:val="right"/>
              <w:rPr>
                <w:sz w:val="22"/>
              </w:rPr>
            </w:pPr>
            <w:r>
              <w:rPr>
                <w:sz w:val="22"/>
              </w:rPr>
              <w:t>715,8</w:t>
            </w:r>
          </w:p>
        </w:tc>
        <w:tc>
          <w:tcPr>
            <w:tcW w:w="1506" w:type="dxa"/>
            <w:vAlign w:val="bottom"/>
          </w:tcPr>
          <w:p w:rsidR="00000000" w:rsidRDefault="00000000">
            <w:pPr>
              <w:spacing w:before="60" w:after="60"/>
              <w:ind w:right="410"/>
              <w:jc w:val="right"/>
              <w:rPr>
                <w:sz w:val="22"/>
              </w:rPr>
            </w:pPr>
            <w:r>
              <w:rPr>
                <w:sz w:val="22"/>
              </w:rPr>
              <w:t>707,6</w:t>
            </w:r>
          </w:p>
        </w:tc>
      </w:tr>
      <w:tr w:rsidR="00000000">
        <w:tblPrEx>
          <w:tblCellMar>
            <w:top w:w="0" w:type="dxa"/>
            <w:bottom w:w="0" w:type="dxa"/>
          </w:tblCellMar>
        </w:tblPrEx>
        <w:trPr>
          <w:cantSplit/>
        </w:trPr>
        <w:tc>
          <w:tcPr>
            <w:tcW w:w="4870" w:type="dxa"/>
          </w:tcPr>
          <w:p w:rsidR="00000000" w:rsidRDefault="00000000">
            <w:pPr>
              <w:spacing w:before="60" w:after="60"/>
              <w:ind w:left="340"/>
              <w:rPr>
                <w:sz w:val="22"/>
              </w:rPr>
            </w:pPr>
            <w:r>
              <w:rPr>
                <w:sz w:val="22"/>
              </w:rPr>
              <w:t>Inscrits suivant un enseignement en:</w:t>
            </w:r>
          </w:p>
        </w:tc>
        <w:tc>
          <w:tcPr>
            <w:tcW w:w="4626" w:type="dxa"/>
            <w:gridSpan w:val="3"/>
            <w:vAlign w:val="bottom"/>
          </w:tcPr>
          <w:p w:rsidR="00000000" w:rsidRDefault="00000000">
            <w:pPr>
              <w:spacing w:before="60" w:after="60"/>
              <w:ind w:right="410"/>
              <w:jc w:val="right"/>
              <w:rPr>
                <w:sz w:val="22"/>
              </w:rPr>
            </w:pPr>
          </w:p>
        </w:tc>
      </w:tr>
      <w:tr w:rsidR="00000000">
        <w:tblPrEx>
          <w:tblCellMar>
            <w:top w:w="0" w:type="dxa"/>
            <w:bottom w:w="0" w:type="dxa"/>
          </w:tblCellMar>
        </w:tblPrEx>
        <w:tc>
          <w:tcPr>
            <w:tcW w:w="4870" w:type="dxa"/>
          </w:tcPr>
          <w:p w:rsidR="00000000" w:rsidRDefault="00000000">
            <w:pPr>
              <w:spacing w:before="60" w:after="60"/>
              <w:ind w:left="340"/>
              <w:rPr>
                <w:sz w:val="22"/>
              </w:rPr>
            </w:pPr>
            <w:r>
              <w:rPr>
                <w:sz w:val="22"/>
              </w:rPr>
              <w:t>Géorgien</w:t>
            </w:r>
          </w:p>
        </w:tc>
        <w:tc>
          <w:tcPr>
            <w:tcW w:w="1560" w:type="dxa"/>
            <w:vAlign w:val="bottom"/>
          </w:tcPr>
          <w:p w:rsidR="00000000" w:rsidRDefault="00000000">
            <w:pPr>
              <w:spacing w:before="60" w:after="60"/>
              <w:ind w:right="410"/>
              <w:jc w:val="right"/>
              <w:rPr>
                <w:sz w:val="22"/>
              </w:rPr>
            </w:pPr>
            <w:r>
              <w:rPr>
                <w:sz w:val="22"/>
              </w:rPr>
              <w:t>600,0</w:t>
            </w:r>
          </w:p>
        </w:tc>
        <w:tc>
          <w:tcPr>
            <w:tcW w:w="1560" w:type="dxa"/>
            <w:vAlign w:val="bottom"/>
          </w:tcPr>
          <w:p w:rsidR="00000000" w:rsidRDefault="00000000">
            <w:pPr>
              <w:spacing w:before="60" w:after="60"/>
              <w:ind w:right="410"/>
              <w:jc w:val="right"/>
              <w:rPr>
                <w:sz w:val="22"/>
              </w:rPr>
            </w:pPr>
            <w:r>
              <w:rPr>
                <w:sz w:val="22"/>
              </w:rPr>
              <w:t>603,1</w:t>
            </w:r>
          </w:p>
        </w:tc>
        <w:tc>
          <w:tcPr>
            <w:tcW w:w="1506" w:type="dxa"/>
            <w:vAlign w:val="bottom"/>
          </w:tcPr>
          <w:p w:rsidR="00000000" w:rsidRDefault="00000000">
            <w:pPr>
              <w:spacing w:before="60" w:after="60"/>
              <w:ind w:right="410"/>
              <w:jc w:val="right"/>
              <w:rPr>
                <w:sz w:val="22"/>
              </w:rPr>
            </w:pPr>
            <w:r>
              <w:rPr>
                <w:sz w:val="22"/>
              </w:rPr>
              <w:t>600,4</w:t>
            </w:r>
          </w:p>
        </w:tc>
      </w:tr>
      <w:tr w:rsidR="00000000">
        <w:tblPrEx>
          <w:tblCellMar>
            <w:top w:w="0" w:type="dxa"/>
            <w:bottom w:w="0" w:type="dxa"/>
          </w:tblCellMar>
        </w:tblPrEx>
        <w:tc>
          <w:tcPr>
            <w:tcW w:w="4870" w:type="dxa"/>
          </w:tcPr>
          <w:p w:rsidR="00000000" w:rsidRDefault="00000000">
            <w:pPr>
              <w:spacing w:before="60" w:after="60"/>
              <w:ind w:left="340"/>
              <w:rPr>
                <w:sz w:val="22"/>
              </w:rPr>
            </w:pPr>
            <w:r>
              <w:rPr>
                <w:sz w:val="22"/>
              </w:rPr>
              <w:t>Russe</w:t>
            </w:r>
          </w:p>
        </w:tc>
        <w:tc>
          <w:tcPr>
            <w:tcW w:w="1560" w:type="dxa"/>
            <w:vAlign w:val="bottom"/>
          </w:tcPr>
          <w:p w:rsidR="00000000" w:rsidRDefault="00000000">
            <w:pPr>
              <w:spacing w:before="60" w:after="60"/>
              <w:ind w:right="410"/>
              <w:jc w:val="right"/>
              <w:rPr>
                <w:sz w:val="22"/>
              </w:rPr>
            </w:pPr>
            <w:r>
              <w:rPr>
                <w:sz w:val="22"/>
              </w:rPr>
              <w:t>44,4</w:t>
            </w:r>
          </w:p>
        </w:tc>
        <w:tc>
          <w:tcPr>
            <w:tcW w:w="1560" w:type="dxa"/>
            <w:vAlign w:val="bottom"/>
          </w:tcPr>
          <w:p w:rsidR="00000000" w:rsidRDefault="00000000">
            <w:pPr>
              <w:spacing w:before="60" w:after="60"/>
              <w:ind w:right="410"/>
              <w:jc w:val="right"/>
              <w:rPr>
                <w:sz w:val="22"/>
              </w:rPr>
            </w:pPr>
            <w:r>
              <w:rPr>
                <w:sz w:val="22"/>
              </w:rPr>
              <w:t>43,7</w:t>
            </w:r>
          </w:p>
        </w:tc>
        <w:tc>
          <w:tcPr>
            <w:tcW w:w="1506" w:type="dxa"/>
            <w:vAlign w:val="bottom"/>
          </w:tcPr>
          <w:p w:rsidR="00000000" w:rsidRDefault="00000000">
            <w:pPr>
              <w:spacing w:before="60" w:after="60"/>
              <w:ind w:right="410"/>
              <w:jc w:val="right"/>
              <w:rPr>
                <w:sz w:val="22"/>
              </w:rPr>
            </w:pPr>
            <w:r>
              <w:rPr>
                <w:sz w:val="22"/>
              </w:rPr>
              <w:t>40,8</w:t>
            </w:r>
          </w:p>
        </w:tc>
      </w:tr>
      <w:tr w:rsidR="00000000">
        <w:tblPrEx>
          <w:tblCellMar>
            <w:top w:w="0" w:type="dxa"/>
            <w:bottom w:w="0" w:type="dxa"/>
          </w:tblCellMar>
        </w:tblPrEx>
        <w:tc>
          <w:tcPr>
            <w:tcW w:w="4870" w:type="dxa"/>
          </w:tcPr>
          <w:p w:rsidR="00000000" w:rsidRDefault="00000000">
            <w:pPr>
              <w:spacing w:before="60" w:after="60"/>
              <w:ind w:left="340"/>
              <w:rPr>
                <w:sz w:val="22"/>
              </w:rPr>
            </w:pPr>
            <w:r>
              <w:rPr>
                <w:sz w:val="22"/>
              </w:rPr>
              <w:t>Azerbaïdjanais</w:t>
            </w:r>
          </w:p>
        </w:tc>
        <w:tc>
          <w:tcPr>
            <w:tcW w:w="1560" w:type="dxa"/>
            <w:vAlign w:val="bottom"/>
          </w:tcPr>
          <w:p w:rsidR="00000000" w:rsidRDefault="00000000">
            <w:pPr>
              <w:spacing w:before="60" w:after="60"/>
              <w:ind w:right="410"/>
              <w:jc w:val="right"/>
              <w:rPr>
                <w:sz w:val="22"/>
              </w:rPr>
            </w:pPr>
            <w:r>
              <w:rPr>
                <w:sz w:val="22"/>
              </w:rPr>
              <w:t>41,9</w:t>
            </w:r>
          </w:p>
        </w:tc>
        <w:tc>
          <w:tcPr>
            <w:tcW w:w="1560" w:type="dxa"/>
            <w:vAlign w:val="bottom"/>
          </w:tcPr>
          <w:p w:rsidR="00000000" w:rsidRDefault="00000000">
            <w:pPr>
              <w:spacing w:before="60" w:after="60"/>
              <w:ind w:right="410"/>
              <w:jc w:val="right"/>
              <w:rPr>
                <w:sz w:val="22"/>
              </w:rPr>
            </w:pPr>
            <w:r>
              <w:rPr>
                <w:sz w:val="22"/>
              </w:rPr>
              <w:t>41,0</w:t>
            </w:r>
          </w:p>
        </w:tc>
        <w:tc>
          <w:tcPr>
            <w:tcW w:w="1506" w:type="dxa"/>
            <w:vAlign w:val="bottom"/>
          </w:tcPr>
          <w:p w:rsidR="00000000" w:rsidRDefault="00000000">
            <w:pPr>
              <w:spacing w:before="60" w:after="60"/>
              <w:ind w:right="410"/>
              <w:jc w:val="right"/>
              <w:rPr>
                <w:sz w:val="22"/>
              </w:rPr>
            </w:pPr>
            <w:r>
              <w:rPr>
                <w:sz w:val="22"/>
              </w:rPr>
              <w:t>39,6</w:t>
            </w:r>
          </w:p>
        </w:tc>
      </w:tr>
      <w:tr w:rsidR="00000000">
        <w:tblPrEx>
          <w:tblCellMar>
            <w:top w:w="0" w:type="dxa"/>
            <w:bottom w:w="0" w:type="dxa"/>
          </w:tblCellMar>
        </w:tblPrEx>
        <w:tc>
          <w:tcPr>
            <w:tcW w:w="4870" w:type="dxa"/>
          </w:tcPr>
          <w:p w:rsidR="00000000" w:rsidRDefault="00000000">
            <w:pPr>
              <w:spacing w:before="60" w:after="60"/>
              <w:ind w:left="340"/>
              <w:rPr>
                <w:sz w:val="22"/>
              </w:rPr>
            </w:pPr>
            <w:r>
              <w:rPr>
                <w:sz w:val="22"/>
              </w:rPr>
              <w:t>Arménien</w:t>
            </w:r>
          </w:p>
        </w:tc>
        <w:tc>
          <w:tcPr>
            <w:tcW w:w="1560" w:type="dxa"/>
            <w:vAlign w:val="bottom"/>
          </w:tcPr>
          <w:p w:rsidR="00000000" w:rsidRDefault="00000000">
            <w:pPr>
              <w:spacing w:before="60" w:after="60"/>
              <w:ind w:right="410"/>
              <w:jc w:val="right"/>
              <w:rPr>
                <w:sz w:val="22"/>
              </w:rPr>
            </w:pPr>
            <w:r>
              <w:rPr>
                <w:sz w:val="22"/>
              </w:rPr>
              <w:t>28,0</w:t>
            </w:r>
          </w:p>
        </w:tc>
        <w:tc>
          <w:tcPr>
            <w:tcW w:w="1560" w:type="dxa"/>
            <w:vAlign w:val="bottom"/>
          </w:tcPr>
          <w:p w:rsidR="00000000" w:rsidRDefault="00000000">
            <w:pPr>
              <w:spacing w:before="60" w:after="60"/>
              <w:ind w:right="410"/>
              <w:jc w:val="right"/>
              <w:rPr>
                <w:sz w:val="22"/>
              </w:rPr>
            </w:pPr>
            <w:r>
              <w:rPr>
                <w:sz w:val="22"/>
              </w:rPr>
              <w:t>27,8</w:t>
            </w:r>
          </w:p>
        </w:tc>
        <w:tc>
          <w:tcPr>
            <w:tcW w:w="1506" w:type="dxa"/>
            <w:vAlign w:val="bottom"/>
          </w:tcPr>
          <w:p w:rsidR="00000000" w:rsidRDefault="00000000">
            <w:pPr>
              <w:spacing w:before="60" w:after="60"/>
              <w:ind w:right="410"/>
              <w:jc w:val="right"/>
              <w:rPr>
                <w:sz w:val="22"/>
              </w:rPr>
            </w:pPr>
            <w:r>
              <w:rPr>
                <w:sz w:val="22"/>
              </w:rPr>
              <w:t>26,7</w:t>
            </w:r>
          </w:p>
        </w:tc>
      </w:tr>
      <w:tr w:rsidR="00000000">
        <w:tblPrEx>
          <w:tblCellMar>
            <w:top w:w="0" w:type="dxa"/>
            <w:bottom w:w="0" w:type="dxa"/>
          </w:tblCellMar>
        </w:tblPrEx>
        <w:tc>
          <w:tcPr>
            <w:tcW w:w="4870" w:type="dxa"/>
          </w:tcPr>
          <w:p w:rsidR="00000000" w:rsidRDefault="00000000">
            <w:pPr>
              <w:spacing w:before="60" w:after="60"/>
              <w:ind w:left="340"/>
              <w:rPr>
                <w:sz w:val="22"/>
              </w:rPr>
            </w:pPr>
            <w:r>
              <w:rPr>
                <w:sz w:val="22"/>
              </w:rPr>
              <w:t>Ossète</w:t>
            </w:r>
          </w:p>
        </w:tc>
        <w:tc>
          <w:tcPr>
            <w:tcW w:w="1560" w:type="dxa"/>
            <w:vAlign w:val="bottom"/>
          </w:tcPr>
          <w:p w:rsidR="00000000" w:rsidRDefault="00000000">
            <w:pPr>
              <w:spacing w:before="60" w:after="60"/>
              <w:ind w:right="410"/>
              <w:jc w:val="right"/>
              <w:rPr>
                <w:sz w:val="22"/>
              </w:rPr>
            </w:pPr>
            <w:r>
              <w:rPr>
                <w:sz w:val="22"/>
              </w:rPr>
              <w:t>0,2</w:t>
            </w:r>
          </w:p>
        </w:tc>
        <w:tc>
          <w:tcPr>
            <w:tcW w:w="1560" w:type="dxa"/>
            <w:vAlign w:val="bottom"/>
          </w:tcPr>
          <w:p w:rsidR="00000000" w:rsidRDefault="00000000">
            <w:pPr>
              <w:spacing w:before="60" w:after="60"/>
              <w:ind w:right="410"/>
              <w:jc w:val="right"/>
              <w:rPr>
                <w:sz w:val="22"/>
              </w:rPr>
            </w:pPr>
            <w:r>
              <w:rPr>
                <w:sz w:val="22"/>
              </w:rPr>
              <w:t>0,2</w:t>
            </w:r>
          </w:p>
        </w:tc>
        <w:tc>
          <w:tcPr>
            <w:tcW w:w="1506" w:type="dxa"/>
            <w:vAlign w:val="bottom"/>
          </w:tcPr>
          <w:p w:rsidR="00000000" w:rsidRDefault="00000000">
            <w:pPr>
              <w:spacing w:before="60" w:after="60"/>
              <w:ind w:right="410"/>
              <w:jc w:val="right"/>
              <w:rPr>
                <w:sz w:val="22"/>
              </w:rPr>
            </w:pPr>
            <w:r>
              <w:rPr>
                <w:sz w:val="22"/>
              </w:rPr>
              <w:t>0,2</w:t>
            </w:r>
          </w:p>
        </w:tc>
      </w:tr>
    </w:tbl>
    <w:p w:rsidR="00000000" w:rsidRDefault="00000000">
      <w:pPr>
        <w:keepNext/>
        <w:spacing w:before="240" w:after="240" w:line="270" w:lineRule="exact"/>
        <w:rPr>
          <w:u w:val="single"/>
        </w:rPr>
      </w:pPr>
      <w:r>
        <w:rPr>
          <w:u w:val="single"/>
        </w:rPr>
        <w:t xml:space="preserve">Enseignement professionnel et apprentissage de premier cycle </w:t>
      </w:r>
    </w:p>
    <w:p w:rsidR="00000000" w:rsidRDefault="00000000">
      <w:pPr>
        <w:spacing w:after="240" w:line="270" w:lineRule="exact"/>
      </w:pPr>
      <w:r>
        <w:t>234.</w:t>
      </w:r>
      <w:r>
        <w:tab/>
        <w:t>Il s’est dégagé dans la période à l’examen une tendance à la réduction du nombre d’établissements d’enseignement de ce type, du nombre d’élèves ainsi que du nombre de nouveaux inscrits et d’élèves ayant achevé le cycle d’études de ces établissements. Dans la période allant de 1997 à 1999, le nombre d’établissements d’enseignement de ce type est passé de 99 à 84, et l’effectif de 19 600 élèves à 16 800. Le nombre de nouveaux inscrits par an est passé de 11 100 à 7 100 et celui de diplômés de 10 100 à 7 200.</w:t>
      </w:r>
    </w:p>
    <w:p w:rsidR="00000000" w:rsidRDefault="00000000">
      <w:pPr>
        <w:keepNext/>
        <w:spacing w:after="240" w:line="270" w:lineRule="exact"/>
        <w:rPr>
          <w:u w:val="single"/>
        </w:rPr>
      </w:pPr>
      <w:r>
        <w:rPr>
          <w:u w:val="single"/>
        </w:rPr>
        <w:t>Enseignement secondaire spécialisé</w:t>
      </w:r>
    </w:p>
    <w:p w:rsidR="00000000" w:rsidRDefault="00000000">
      <w:pPr>
        <w:spacing w:after="240" w:line="270" w:lineRule="exact"/>
      </w:pPr>
      <w:r>
        <w:t>235.</w:t>
      </w:r>
      <w:r>
        <w:tab/>
        <w:t>Dans la période à l’examen, le nombre des établissements publics d’enseignement secondaire spécialisé est passé de 81 en 1997 à 85 en 1999. Parallèlement, le nombre d’élèves est passé de 30 770 en 1997 à 29 900 en 1999, cette réduction s’expliquant pour l’essentiel par la diminution du nombre d’inscrits aux cours par correspondance. En ce qui concerne les établissements non publics du même type, leur nombre a augmenté (de 47 à 58) de même que leurs effectifs (de 5 800 élèves à 6 800). On y donne un enseignement de jour.</w:t>
      </w:r>
    </w:p>
    <w:p w:rsidR="00000000" w:rsidRDefault="00000000">
      <w:pPr>
        <w:keepNext/>
        <w:spacing w:after="240" w:line="270" w:lineRule="exact"/>
        <w:rPr>
          <w:u w:val="single"/>
        </w:rPr>
      </w:pPr>
      <w:r>
        <w:rPr>
          <w:u w:val="single"/>
        </w:rPr>
        <w:t>Enseignement supérieur</w:t>
      </w:r>
    </w:p>
    <w:p w:rsidR="00000000" w:rsidRDefault="00000000">
      <w:pPr>
        <w:keepLines/>
        <w:spacing w:after="240" w:line="270" w:lineRule="exact"/>
      </w:pPr>
      <w:r>
        <w:t>236.</w:t>
      </w:r>
      <w:r>
        <w:tab/>
        <w:t>Dans la période 1997/99, on a noté une augmentation du nombre des étudiants inscrits dans les établissements publics d’enseignement supérieur, qui est passé de 87 300 à 95 000. Le nombre d’étudiants suivant un enseignement de jour a augmenté, mais le nombre d’étudiants suivant les cours du soir a été divisé par 1,7, l’effectif des inscrits aux cours par correspondance restant stable. En ce qui concerne les établissements non publics d’enseignement supérieur, leur nombre a légèrement augmenté, leurs effectifs subissant certaines fluctuations. Le nombre d’étudiants par correspondance inscrits dans ces établissements a sensiblement diminué (passant de 3 000 à 2 100).</w:t>
      </w:r>
    </w:p>
    <w:p w:rsidR="00000000" w:rsidRDefault="00000000">
      <w:pPr>
        <w:spacing w:after="240" w:line="270" w:lineRule="exact"/>
      </w:pPr>
      <w:r>
        <w:t>237.</w:t>
      </w:r>
      <w:r>
        <w:tab/>
        <w:t>Il convient de faire observer que les établissements d’enseignement supérieur tant publics que non publics forment pour l’essentiel des spécialistes de l’éducation. C’est donc dans ce domaine que sont concentrés la plupart des étudiants. Viennent ensuite par ordre d’importance les établissements de formation de spécialistes dans les domaines de l’agriculture, de l’industrie et de la construction, de l’économie et du droit, de la médecine.</w:t>
      </w:r>
    </w:p>
    <w:p w:rsidR="00000000" w:rsidRDefault="00000000">
      <w:pPr>
        <w:keepNext/>
        <w:spacing w:after="240" w:line="270" w:lineRule="exact"/>
        <w:ind w:firstLine="567"/>
        <w:rPr>
          <w:u w:val="single"/>
        </w:rPr>
      </w:pPr>
      <w:r>
        <w:rPr>
          <w:u w:val="single"/>
        </w:rPr>
        <w:t>Préparation au doctorat</w:t>
      </w:r>
    </w:p>
    <w:p w:rsidR="00000000" w:rsidRDefault="00000000">
      <w:pPr>
        <w:spacing w:after="240" w:line="270" w:lineRule="exact"/>
      </w:pPr>
      <w:r>
        <w:t>238.</w:t>
      </w:r>
      <w:r>
        <w:tab/>
        <w:t>Les statistiques pertinentes sont données dans le tableau ci</w:t>
      </w:r>
      <w:r>
        <w:noBreakHyphen/>
        <w:t>après.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55"/>
        <w:gridCol w:w="1147"/>
        <w:gridCol w:w="1147"/>
        <w:gridCol w:w="1147"/>
      </w:tblGrid>
      <w:tr w:rsidR="00000000">
        <w:tblPrEx>
          <w:tblCellMar>
            <w:top w:w="0" w:type="dxa"/>
            <w:bottom w:w="0" w:type="dxa"/>
          </w:tblCellMar>
        </w:tblPrEx>
        <w:tc>
          <w:tcPr>
            <w:tcW w:w="3188" w:type="pct"/>
          </w:tcPr>
          <w:p w:rsidR="00000000" w:rsidRDefault="00000000">
            <w:pPr>
              <w:spacing w:before="60" w:after="60"/>
              <w:rPr>
                <w:sz w:val="22"/>
              </w:rPr>
            </w:pPr>
          </w:p>
        </w:tc>
        <w:tc>
          <w:tcPr>
            <w:tcW w:w="604" w:type="pct"/>
          </w:tcPr>
          <w:p w:rsidR="00000000" w:rsidRDefault="00000000">
            <w:pPr>
              <w:spacing w:before="60" w:after="60"/>
              <w:jc w:val="center"/>
              <w:rPr>
                <w:sz w:val="22"/>
              </w:rPr>
            </w:pPr>
            <w:r>
              <w:rPr>
                <w:sz w:val="22"/>
              </w:rPr>
              <w:t>1997</w:t>
            </w:r>
          </w:p>
        </w:tc>
        <w:tc>
          <w:tcPr>
            <w:tcW w:w="604" w:type="pct"/>
          </w:tcPr>
          <w:p w:rsidR="00000000" w:rsidRDefault="00000000">
            <w:pPr>
              <w:spacing w:before="60" w:after="60"/>
              <w:jc w:val="center"/>
              <w:rPr>
                <w:sz w:val="22"/>
              </w:rPr>
            </w:pPr>
            <w:r>
              <w:rPr>
                <w:sz w:val="22"/>
              </w:rPr>
              <w:t>1998</w:t>
            </w:r>
          </w:p>
        </w:tc>
        <w:tc>
          <w:tcPr>
            <w:tcW w:w="604" w:type="pct"/>
          </w:tcPr>
          <w:p w:rsidR="00000000" w:rsidRDefault="00000000">
            <w:pPr>
              <w:spacing w:before="60" w:after="60"/>
              <w:jc w:val="center"/>
              <w:rPr>
                <w:sz w:val="22"/>
              </w:rPr>
            </w:pPr>
            <w:r>
              <w:rPr>
                <w:sz w:val="22"/>
              </w:rPr>
              <w:t>1999</w:t>
            </w:r>
          </w:p>
        </w:tc>
      </w:tr>
      <w:tr w:rsidR="00000000">
        <w:tblPrEx>
          <w:tblCellMar>
            <w:top w:w="0" w:type="dxa"/>
            <w:bottom w:w="0" w:type="dxa"/>
          </w:tblCellMar>
        </w:tblPrEx>
        <w:tc>
          <w:tcPr>
            <w:tcW w:w="3188" w:type="pct"/>
          </w:tcPr>
          <w:p w:rsidR="00000000" w:rsidRDefault="00000000">
            <w:pPr>
              <w:spacing w:before="60" w:after="60"/>
              <w:rPr>
                <w:sz w:val="22"/>
              </w:rPr>
            </w:pPr>
            <w:r>
              <w:rPr>
                <w:sz w:val="22"/>
              </w:rPr>
              <w:t>Nouvelles inscriptions de doctorants, total</w:t>
            </w:r>
          </w:p>
        </w:tc>
        <w:tc>
          <w:tcPr>
            <w:tcW w:w="604" w:type="pct"/>
          </w:tcPr>
          <w:p w:rsidR="00000000" w:rsidRDefault="00000000">
            <w:pPr>
              <w:spacing w:before="60" w:after="60"/>
              <w:jc w:val="right"/>
              <w:rPr>
                <w:sz w:val="22"/>
              </w:rPr>
            </w:pPr>
            <w:r>
              <w:rPr>
                <w:sz w:val="22"/>
              </w:rPr>
              <w:t>655</w:t>
            </w:r>
          </w:p>
        </w:tc>
        <w:tc>
          <w:tcPr>
            <w:tcW w:w="604" w:type="pct"/>
          </w:tcPr>
          <w:p w:rsidR="00000000" w:rsidRDefault="00000000">
            <w:pPr>
              <w:spacing w:before="60" w:after="60"/>
              <w:jc w:val="right"/>
              <w:rPr>
                <w:sz w:val="22"/>
              </w:rPr>
            </w:pPr>
            <w:r>
              <w:rPr>
                <w:sz w:val="22"/>
              </w:rPr>
              <w:t>602</w:t>
            </w:r>
          </w:p>
        </w:tc>
        <w:tc>
          <w:tcPr>
            <w:tcW w:w="604" w:type="pct"/>
          </w:tcPr>
          <w:p w:rsidR="00000000" w:rsidRDefault="00000000">
            <w:pPr>
              <w:spacing w:before="60" w:after="60"/>
              <w:jc w:val="right"/>
              <w:rPr>
                <w:sz w:val="22"/>
              </w:rPr>
            </w:pPr>
            <w:r>
              <w:rPr>
                <w:sz w:val="22"/>
              </w:rPr>
              <w:t>584</w:t>
            </w:r>
          </w:p>
        </w:tc>
      </w:tr>
      <w:tr w:rsidR="00000000">
        <w:tblPrEx>
          <w:tblCellMar>
            <w:top w:w="0" w:type="dxa"/>
            <w:bottom w:w="0" w:type="dxa"/>
          </w:tblCellMar>
        </w:tblPrEx>
        <w:tc>
          <w:tcPr>
            <w:tcW w:w="3188" w:type="pct"/>
          </w:tcPr>
          <w:p w:rsidR="00000000" w:rsidRDefault="00000000">
            <w:pPr>
              <w:spacing w:before="60" w:after="60"/>
              <w:rPr>
                <w:sz w:val="22"/>
              </w:rPr>
            </w:pPr>
            <w:r>
              <w:rPr>
                <w:sz w:val="22"/>
              </w:rPr>
              <w:t>Effectifs de doctorants, total</w:t>
            </w:r>
          </w:p>
        </w:tc>
        <w:tc>
          <w:tcPr>
            <w:tcW w:w="604" w:type="pct"/>
          </w:tcPr>
          <w:p w:rsidR="00000000" w:rsidRDefault="00000000">
            <w:pPr>
              <w:spacing w:before="60" w:after="60"/>
              <w:jc w:val="right"/>
              <w:rPr>
                <w:sz w:val="22"/>
              </w:rPr>
            </w:pPr>
            <w:r>
              <w:rPr>
                <w:sz w:val="22"/>
              </w:rPr>
              <w:t>1 911</w:t>
            </w:r>
          </w:p>
        </w:tc>
        <w:tc>
          <w:tcPr>
            <w:tcW w:w="604" w:type="pct"/>
          </w:tcPr>
          <w:p w:rsidR="00000000" w:rsidRDefault="00000000">
            <w:pPr>
              <w:spacing w:before="60" w:after="60"/>
              <w:jc w:val="right"/>
              <w:rPr>
                <w:sz w:val="22"/>
              </w:rPr>
            </w:pPr>
            <w:r>
              <w:rPr>
                <w:sz w:val="22"/>
              </w:rPr>
              <w:t>1 824</w:t>
            </w:r>
          </w:p>
        </w:tc>
        <w:tc>
          <w:tcPr>
            <w:tcW w:w="604" w:type="pct"/>
          </w:tcPr>
          <w:p w:rsidR="00000000" w:rsidRDefault="00000000">
            <w:pPr>
              <w:spacing w:before="60" w:after="60"/>
              <w:jc w:val="right"/>
              <w:rPr>
                <w:sz w:val="22"/>
              </w:rPr>
            </w:pPr>
            <w:r>
              <w:rPr>
                <w:sz w:val="22"/>
              </w:rPr>
              <w:t>1 826</w:t>
            </w:r>
          </w:p>
        </w:tc>
      </w:tr>
      <w:tr w:rsidR="00000000">
        <w:tblPrEx>
          <w:tblCellMar>
            <w:top w:w="0" w:type="dxa"/>
            <w:bottom w:w="0" w:type="dxa"/>
          </w:tblCellMar>
        </w:tblPrEx>
        <w:tc>
          <w:tcPr>
            <w:tcW w:w="3188" w:type="pct"/>
          </w:tcPr>
          <w:p w:rsidR="00000000" w:rsidRDefault="00000000">
            <w:pPr>
              <w:spacing w:before="60" w:after="60"/>
              <w:rPr>
                <w:sz w:val="22"/>
              </w:rPr>
            </w:pPr>
            <w:r>
              <w:rPr>
                <w:sz w:val="22"/>
              </w:rPr>
              <w:t>Doctorants n’ayant pas défendu leur thèse, total</w:t>
            </w:r>
          </w:p>
        </w:tc>
        <w:tc>
          <w:tcPr>
            <w:tcW w:w="604" w:type="pct"/>
          </w:tcPr>
          <w:p w:rsidR="00000000" w:rsidRDefault="00000000">
            <w:pPr>
              <w:spacing w:before="60" w:after="60"/>
              <w:jc w:val="right"/>
              <w:rPr>
                <w:sz w:val="22"/>
              </w:rPr>
            </w:pPr>
            <w:r>
              <w:rPr>
                <w:sz w:val="22"/>
              </w:rPr>
              <w:t>489</w:t>
            </w:r>
          </w:p>
        </w:tc>
        <w:tc>
          <w:tcPr>
            <w:tcW w:w="604" w:type="pct"/>
          </w:tcPr>
          <w:p w:rsidR="00000000" w:rsidRDefault="00000000">
            <w:pPr>
              <w:spacing w:before="60" w:after="60"/>
              <w:jc w:val="right"/>
              <w:rPr>
                <w:sz w:val="22"/>
              </w:rPr>
            </w:pPr>
            <w:r>
              <w:rPr>
                <w:sz w:val="22"/>
              </w:rPr>
              <w:t>536</w:t>
            </w:r>
          </w:p>
        </w:tc>
        <w:tc>
          <w:tcPr>
            <w:tcW w:w="604" w:type="pct"/>
          </w:tcPr>
          <w:p w:rsidR="00000000" w:rsidRDefault="00000000">
            <w:pPr>
              <w:spacing w:before="60" w:after="60"/>
              <w:jc w:val="right"/>
              <w:rPr>
                <w:sz w:val="22"/>
              </w:rPr>
            </w:pPr>
            <w:r>
              <w:rPr>
                <w:sz w:val="22"/>
              </w:rPr>
              <w:t>596</w:t>
            </w:r>
          </w:p>
        </w:tc>
      </w:tr>
      <w:tr w:rsidR="00000000">
        <w:tblPrEx>
          <w:tblCellMar>
            <w:top w:w="0" w:type="dxa"/>
            <w:bottom w:w="0" w:type="dxa"/>
          </w:tblCellMar>
        </w:tblPrEx>
        <w:tc>
          <w:tcPr>
            <w:tcW w:w="3188" w:type="pct"/>
          </w:tcPr>
          <w:p w:rsidR="00000000" w:rsidRDefault="00000000">
            <w:pPr>
              <w:spacing w:before="60" w:after="60"/>
              <w:rPr>
                <w:sz w:val="22"/>
              </w:rPr>
            </w:pPr>
            <w:r>
              <w:rPr>
                <w:sz w:val="22"/>
              </w:rPr>
              <w:t>Doctorants ayant défendu leur thèse, total</w:t>
            </w:r>
          </w:p>
        </w:tc>
        <w:tc>
          <w:tcPr>
            <w:tcW w:w="604" w:type="pct"/>
            <w:vAlign w:val="bottom"/>
          </w:tcPr>
          <w:p w:rsidR="00000000" w:rsidRDefault="00000000">
            <w:pPr>
              <w:spacing w:before="60" w:after="60"/>
              <w:jc w:val="right"/>
              <w:rPr>
                <w:sz w:val="22"/>
              </w:rPr>
            </w:pPr>
            <w:r>
              <w:rPr>
                <w:sz w:val="22"/>
              </w:rPr>
              <w:t>14</w:t>
            </w:r>
          </w:p>
        </w:tc>
        <w:tc>
          <w:tcPr>
            <w:tcW w:w="604" w:type="pct"/>
            <w:vAlign w:val="bottom"/>
          </w:tcPr>
          <w:p w:rsidR="00000000" w:rsidRDefault="00000000">
            <w:pPr>
              <w:spacing w:before="60" w:after="60"/>
              <w:jc w:val="right"/>
              <w:rPr>
                <w:sz w:val="22"/>
              </w:rPr>
            </w:pPr>
            <w:r>
              <w:rPr>
                <w:sz w:val="22"/>
              </w:rPr>
              <w:t>19</w:t>
            </w:r>
          </w:p>
        </w:tc>
        <w:tc>
          <w:tcPr>
            <w:tcW w:w="604" w:type="pct"/>
            <w:vAlign w:val="bottom"/>
          </w:tcPr>
          <w:p w:rsidR="00000000" w:rsidRDefault="00000000">
            <w:pPr>
              <w:spacing w:before="60" w:after="60"/>
              <w:jc w:val="right"/>
              <w:rPr>
                <w:sz w:val="22"/>
              </w:rPr>
            </w:pPr>
            <w:r>
              <w:rPr>
                <w:sz w:val="22"/>
              </w:rPr>
              <w:t>32</w:t>
            </w:r>
          </w:p>
        </w:tc>
      </w:tr>
    </w:tbl>
    <w:p w:rsidR="00000000" w:rsidRDefault="00000000">
      <w:pPr>
        <w:keepNext/>
        <w:spacing w:before="240" w:after="240"/>
        <w:ind w:firstLine="567"/>
        <w:rPr>
          <w:u w:val="single"/>
        </w:rPr>
      </w:pPr>
      <w:r>
        <w:rPr>
          <w:u w:val="single"/>
        </w:rPr>
        <w:t>Éducation des enfants handicapés physiques et mentaux</w:t>
      </w:r>
    </w:p>
    <w:p w:rsidR="00000000" w:rsidRDefault="00000000">
      <w:pPr>
        <w:spacing w:after="240"/>
      </w:pPr>
      <w:r>
        <w:t>239.</w:t>
      </w:r>
      <w:r>
        <w:tab/>
        <w:t>L’éducation de ces enfants est assurée par 14 écoles</w:t>
      </w:r>
      <w:r>
        <w:noBreakHyphen/>
        <w:t>internats accueillant 2 460 enfants (1 151 filles, 1 309 garçons) âgés de 7 à 18 ans. L’analyse des statistiques de ces dernières années montre que l’effectif des écoles</w:t>
      </w:r>
      <w:r>
        <w:noBreakHyphen/>
        <w:t xml:space="preserve">internats présente une tendance régulière à la hausse </w:t>
      </w:r>
      <w:r>
        <w:br/>
        <w:t>– passant de 1 551 enfants en 1997 à 2 460 en 2000.</w:t>
      </w:r>
    </w:p>
    <w:p w:rsidR="00000000" w:rsidRDefault="00000000">
      <w:pPr>
        <w:keepNext/>
        <w:spacing w:after="240"/>
        <w:ind w:firstLine="567"/>
        <w:rPr>
          <w:u w:val="single"/>
        </w:rPr>
      </w:pPr>
      <w:r>
        <w:rPr>
          <w:u w:val="single"/>
        </w:rPr>
        <w:t>Financement public du système d’éducation</w:t>
      </w:r>
    </w:p>
    <w:p w:rsidR="00000000" w:rsidRDefault="00000000">
      <w:pPr>
        <w:spacing w:after="240"/>
      </w:pPr>
      <w:r>
        <w:t>240.</w:t>
      </w:r>
      <w:r>
        <w:tab/>
        <w:t>Comme le montrent des statistiques provenant de diverses sources, dans la période considérée, la part des dépenses publiques consacrées à l’éducation a sans cesse diminué. En 1999, les crédits budgétaires affectés à cette fin ne dépassaient pas 2,2 % du PIB, soit un peu moins de 30 millions de lari. Comme l’a relevé le PNUD dans le Rapport sur le développement humain, Géorgie 2000, le sous</w:t>
      </w:r>
      <w:r>
        <w:noBreakHyphen/>
        <w:t>financement chronique de l’éducation a créé un sol fertile pour l’apparition d’un système non officiel de paiement par lequel les familles géorgiennes couvrent directement de leur propre poche une part considérable du budget des établissements d’enseignement. Il s’agit de contributions financières à des «fonds scolaires» consacrées entre autres à l’achat de fioul en hiver pour chauffer les bâtiments. Parallèlement, il existe dans les établissements d’enseignement secondaire et supérieur non publics un barème officiel de paiement des cours.</w:t>
      </w:r>
    </w:p>
    <w:p w:rsidR="00000000" w:rsidRDefault="00000000">
      <w:pPr>
        <w:keepNext/>
        <w:spacing w:after="240"/>
      </w:pPr>
      <w:r>
        <w:t>241.</w:t>
      </w:r>
      <w:r>
        <w:tab/>
        <w:t>À l’issue de négociations entamées en 1998, un document aux termes duquel la Banque mondiale accordera au Ministère géorgien de l’éducation un crédit d’un montant de 60 millions de dollars des États-Unis a été signé. Ce crédit sera exclusivement consacré au financement du système d’enseignement secondaire. Les priorités suivantes ont été dégagées:</w:t>
      </w:r>
    </w:p>
    <w:p w:rsidR="00000000" w:rsidRDefault="00000000">
      <w:pPr>
        <w:numPr>
          <w:ilvl w:val="0"/>
          <w:numId w:val="78"/>
        </w:numPr>
        <w:spacing w:after="240"/>
      </w:pPr>
      <w:r>
        <w:t>Création de normes et programmes nationaux; conformément à ces normes et programmes nationaux, élaboration et introduction de nouveaux manuels, et fourniture aux écoles de matériels auxiliaires d’enseignement;</w:t>
      </w:r>
    </w:p>
    <w:p w:rsidR="00000000" w:rsidRDefault="00000000">
      <w:pPr>
        <w:numPr>
          <w:ilvl w:val="0"/>
          <w:numId w:val="78"/>
        </w:numPr>
        <w:spacing w:after="240"/>
      </w:pPr>
      <w:r>
        <w:t>Perfectionnement et recyclage des enseignants conformément aux nouvelles normes;</w:t>
      </w:r>
    </w:p>
    <w:p w:rsidR="00000000" w:rsidRDefault="00000000">
      <w:pPr>
        <w:numPr>
          <w:ilvl w:val="0"/>
          <w:numId w:val="78"/>
        </w:numPr>
        <w:spacing w:after="240"/>
      </w:pPr>
      <w:r>
        <w:t>Modification du système de notation à l’école secondaire; introduction de méthodes automatisées de gestion et élaboration d’une politique de direction des études;</w:t>
      </w:r>
    </w:p>
    <w:p w:rsidR="00000000" w:rsidRDefault="00000000">
      <w:pPr>
        <w:numPr>
          <w:ilvl w:val="0"/>
          <w:numId w:val="78"/>
        </w:numPr>
        <w:spacing w:after="240"/>
      </w:pPr>
      <w:r>
        <w:t>Optimisation du barème de rémunération des enseignants. On notera qu’il est prévu de soumettre l’exécution des projets dans le cadre de ce crédit à un mécanisme de contrôle public de l’affectation des fonds.</w:t>
      </w:r>
    </w:p>
    <w:p w:rsidR="00000000" w:rsidRDefault="00000000">
      <w:pPr>
        <w:spacing w:after="240"/>
      </w:pPr>
      <w:r>
        <w:t>242.</w:t>
      </w:r>
      <w:r>
        <w:tab/>
        <w:t>Des organisations non gouvernementales pourront se charger du suivi nécessaire. On pourra peut</w:t>
      </w:r>
      <w:r>
        <w:noBreakHyphen/>
        <w:t>être, lors de la présentation du troisième rapport périodique, communiquer les résultats obtenus dans l’exécution de tel ou tel projet.</w:t>
      </w:r>
    </w:p>
    <w:p w:rsidR="00000000" w:rsidRDefault="00000000">
      <w:pPr>
        <w:keepNext/>
        <w:spacing w:after="240"/>
        <w:rPr>
          <w:u w:val="single"/>
        </w:rPr>
      </w:pPr>
      <w:r>
        <w:rPr>
          <w:u w:val="single"/>
        </w:rPr>
        <w:t>Article 15</w:t>
      </w:r>
    </w:p>
    <w:p w:rsidR="00000000" w:rsidRDefault="00000000">
      <w:pPr>
        <w:keepNext/>
        <w:spacing w:after="240"/>
        <w:ind w:firstLine="567"/>
        <w:rPr>
          <w:u w:val="single"/>
        </w:rPr>
      </w:pPr>
      <w:r>
        <w:rPr>
          <w:u w:val="single"/>
        </w:rPr>
        <w:t>Le droit de participer à la vie culturelle</w:t>
      </w:r>
    </w:p>
    <w:p w:rsidR="00000000" w:rsidRDefault="00000000">
      <w:pPr>
        <w:spacing w:after="240"/>
      </w:pPr>
      <w:r>
        <w:t>243.</w:t>
      </w:r>
      <w:r>
        <w:tab/>
        <w:t>Pour ce qui est de l’application de ce droit dans des conditions d’égalité, voir le rapport initial de la Géorgie au Comité pour l’élimination de la discrimination raciale (par. 272 à 279). Par ailleurs, des précisions sont données dans les réponses écrites de la Géorgie à la liste des points à traiter du Comité des droits économiques, sociaux et culturels en ce qui concerne l’examen du rapport initial sur la mise en œuvre du Pacte (document HR/CESR/None/1999/15), réponses aux questions 47 à 50.</w:t>
      </w:r>
    </w:p>
    <w:p w:rsidR="00000000" w:rsidRDefault="00000000">
      <w:pPr>
        <w:spacing w:after="240"/>
      </w:pPr>
      <w:r>
        <w:t>244.</w:t>
      </w:r>
      <w:r>
        <w:tab/>
        <w:t>Pour compléter les informations susmentionnées, on présente ci</w:t>
      </w:r>
      <w:r>
        <w:noBreakHyphen/>
        <w:t>après une sélection de données établies par le Ministère géorgien de la culture.</w:t>
      </w:r>
    </w:p>
    <w:p w:rsidR="00000000" w:rsidRDefault="00000000">
      <w:pPr>
        <w:spacing w:after="240"/>
      </w:pPr>
      <w:r>
        <w:t>245.</w:t>
      </w:r>
      <w:r>
        <w:tab/>
        <w:t>Il existe à l’heure actuelle en Géorgie deux fonds qui ont pour finalité principale de développer la culture et la participation créatrice à ce processus de toutes les couches de la population. Il s’agit du Fonds de la protection du patrimoine culturel et du Fonds de développement et de popularisation de la culture.</w:t>
      </w:r>
    </w:p>
    <w:p w:rsidR="00000000" w:rsidRDefault="00000000">
      <w:pPr>
        <w:spacing w:after="240"/>
      </w:pPr>
      <w:r>
        <w:t>246.</w:t>
      </w:r>
      <w:r>
        <w:tab/>
        <w:t>Au cours de la période de l’examen, le réseau du Ministère de la culture comprenait 11 centres culturels, 478 maisons de la culture et 849 clubs. La plupart des bâtiments nécessitent une réfection et les locaux sont en général inadaptés, non chauffés en hiver; l’équipement et le matériel sont vieillis. La plupart des 14 parcs de la culture et du repos nécessitent une restauration et de nouvelles plantations, et les attractions sont anciennes. On ne dispose pas des fonds nécessaires aux travaux de réfection et à l’acquisition du matériel et des équipements indispensables.</w:t>
      </w:r>
    </w:p>
    <w:p w:rsidR="00000000" w:rsidRDefault="00000000">
      <w:pPr>
        <w:keepLines/>
        <w:spacing w:after="200" w:line="270" w:lineRule="exact"/>
      </w:pPr>
      <w:r>
        <w:t>247.</w:t>
      </w:r>
      <w:r>
        <w:tab/>
        <w:t>On compte dans le pays 72 troupes de théâtre amateur (20 théâtres de marionnettes amateurs et 52 théâtres populaires), qui ont l’occasion de produire de temps à autre des spectacles. Il y a eu en 1998 un festival des théâtres amateurs. L’expérience n’a pas été renouvelée, ce qui s’explique par la pénurie de ressources. Il est néanmoins prévu d’organiser en 2002 un festival des théâtres amateurs, au plan international cette fois.</w:t>
      </w:r>
    </w:p>
    <w:p w:rsidR="00000000" w:rsidRDefault="00000000">
      <w:pPr>
        <w:spacing w:after="200" w:line="270" w:lineRule="exact"/>
      </w:pPr>
      <w:r>
        <w:t>248.</w:t>
      </w:r>
      <w:r>
        <w:tab/>
        <w:t>On compte en Géorgie 1 650 troupes folkloriques amateurs. Il y a eu en 1997 une olympiade de la création populaire, qu’il était prévu de renouveler tous les deux ans. Ce projet n’a malheureusement pas pu être concrétisé en l’absence de sources de financement. On se propose d’organiser dans l’année en cours le premier festival international de création populaire. Dans ce contexte, il convient de souligner que le principal problème des troupes folkloriques est l’absence de moyens, qui fait, par exemple, que de nombreux ensembles ne disposent même pas de costumes de scène. Malgré de nombreuses invitations, les représentants de la Géorgie n’ont pu participer aux séminaires et conférences organisés par l’Organisation internationale de création populaire par manque de moyens.</w:t>
      </w:r>
    </w:p>
    <w:p w:rsidR="00000000" w:rsidRDefault="00000000">
      <w:pPr>
        <w:spacing w:after="200" w:line="270" w:lineRule="exact"/>
      </w:pPr>
      <w:r>
        <w:t>249.</w:t>
      </w:r>
      <w:r>
        <w:tab/>
        <w:t>En ce qui concerne l’activité artistique d’amateurs des minorités de Géorgie, il convient de faire observer que dans le district d’Akhaltsikhe (village de Sadzelissi), à Akhalkalaki et Ninotsminda, on trouve des théâtres arméniens amateurs, et que la maison de la culture de Roustavi abrite un théâtre national russe. Le district d’Akhmet abrite l’ensemble folklorique «Daïomakhe»; à Tetri</w:t>
      </w:r>
      <w:r>
        <w:noBreakHyphen/>
        <w:t>Tskaro, on trouve un ensemble folklorique assyrien et à Akhalkalaki et Ninotsminda des ensembles folkloriques arméniens, etc.</w:t>
      </w:r>
    </w:p>
    <w:p w:rsidR="00000000" w:rsidRDefault="00000000">
      <w:pPr>
        <w:spacing w:after="200" w:line="270" w:lineRule="exact"/>
      </w:pPr>
      <w:r>
        <w:t>250.</w:t>
      </w:r>
      <w:r>
        <w:tab/>
        <w:t>On trouvera ci-après des statistiques sur la présence et le fonctionnement des infrastructures culturelles en Géorgie pour la période à l’examen.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90"/>
        <w:gridCol w:w="1320"/>
        <w:gridCol w:w="1320"/>
        <w:gridCol w:w="1266"/>
      </w:tblGrid>
      <w:tr w:rsidR="00000000">
        <w:tblPrEx>
          <w:tblCellMar>
            <w:top w:w="0" w:type="dxa"/>
            <w:bottom w:w="0" w:type="dxa"/>
          </w:tblCellMar>
        </w:tblPrEx>
        <w:tc>
          <w:tcPr>
            <w:tcW w:w="5590" w:type="dxa"/>
          </w:tcPr>
          <w:p w:rsidR="00000000" w:rsidRDefault="00000000">
            <w:pPr>
              <w:spacing w:before="40" w:after="40"/>
              <w:rPr>
                <w:sz w:val="22"/>
              </w:rPr>
            </w:pPr>
          </w:p>
        </w:tc>
        <w:tc>
          <w:tcPr>
            <w:tcW w:w="1320" w:type="dxa"/>
          </w:tcPr>
          <w:p w:rsidR="00000000" w:rsidRDefault="00000000">
            <w:pPr>
              <w:spacing w:before="40" w:after="40"/>
              <w:jc w:val="center"/>
              <w:rPr>
                <w:sz w:val="22"/>
              </w:rPr>
            </w:pPr>
            <w:r>
              <w:rPr>
                <w:sz w:val="22"/>
              </w:rPr>
              <w:t>1997</w:t>
            </w:r>
          </w:p>
        </w:tc>
        <w:tc>
          <w:tcPr>
            <w:tcW w:w="1320" w:type="dxa"/>
          </w:tcPr>
          <w:p w:rsidR="00000000" w:rsidRDefault="00000000">
            <w:pPr>
              <w:spacing w:before="40" w:after="40"/>
              <w:jc w:val="center"/>
              <w:rPr>
                <w:sz w:val="22"/>
              </w:rPr>
            </w:pPr>
            <w:r>
              <w:rPr>
                <w:sz w:val="22"/>
              </w:rPr>
              <w:t>1998</w:t>
            </w:r>
          </w:p>
        </w:tc>
        <w:tc>
          <w:tcPr>
            <w:tcW w:w="1266" w:type="dxa"/>
          </w:tcPr>
          <w:p w:rsidR="00000000" w:rsidRDefault="00000000">
            <w:pPr>
              <w:spacing w:before="40" w:after="40"/>
              <w:jc w:val="center"/>
              <w:rPr>
                <w:sz w:val="22"/>
              </w:rPr>
            </w:pPr>
            <w:r>
              <w:rPr>
                <w:sz w:val="22"/>
              </w:rPr>
              <w:t>1999</w:t>
            </w:r>
          </w:p>
        </w:tc>
      </w:tr>
      <w:tr w:rsidR="00000000">
        <w:tblPrEx>
          <w:tblCellMar>
            <w:top w:w="0" w:type="dxa"/>
            <w:bottom w:w="0" w:type="dxa"/>
          </w:tblCellMar>
        </w:tblPrEx>
        <w:tc>
          <w:tcPr>
            <w:tcW w:w="5590" w:type="dxa"/>
          </w:tcPr>
          <w:p w:rsidR="00000000" w:rsidRDefault="00000000">
            <w:pPr>
              <w:spacing w:before="40" w:after="40"/>
              <w:rPr>
                <w:sz w:val="22"/>
              </w:rPr>
            </w:pPr>
            <w:r>
              <w:rPr>
                <w:sz w:val="22"/>
              </w:rPr>
              <w:t>Musées (nombre total)</w:t>
            </w:r>
          </w:p>
        </w:tc>
        <w:tc>
          <w:tcPr>
            <w:tcW w:w="1320" w:type="dxa"/>
          </w:tcPr>
          <w:p w:rsidR="00000000" w:rsidRDefault="00000000">
            <w:pPr>
              <w:spacing w:before="40" w:after="40"/>
              <w:jc w:val="right"/>
              <w:rPr>
                <w:sz w:val="22"/>
              </w:rPr>
            </w:pPr>
            <w:r>
              <w:rPr>
                <w:sz w:val="22"/>
              </w:rPr>
              <w:t>96</w:t>
            </w:r>
          </w:p>
        </w:tc>
        <w:tc>
          <w:tcPr>
            <w:tcW w:w="1320" w:type="dxa"/>
          </w:tcPr>
          <w:p w:rsidR="00000000" w:rsidRDefault="00000000">
            <w:pPr>
              <w:spacing w:before="40" w:after="40"/>
              <w:jc w:val="right"/>
              <w:rPr>
                <w:sz w:val="22"/>
              </w:rPr>
            </w:pPr>
            <w:r>
              <w:rPr>
                <w:sz w:val="22"/>
              </w:rPr>
              <w:t>97</w:t>
            </w:r>
          </w:p>
        </w:tc>
        <w:tc>
          <w:tcPr>
            <w:tcW w:w="1266" w:type="dxa"/>
          </w:tcPr>
          <w:p w:rsidR="00000000" w:rsidRDefault="00000000">
            <w:pPr>
              <w:spacing w:before="40" w:after="40"/>
              <w:jc w:val="right"/>
              <w:rPr>
                <w:sz w:val="22"/>
              </w:rPr>
            </w:pPr>
            <w:r>
              <w:rPr>
                <w:sz w:val="22"/>
              </w:rPr>
              <w:t>98</w:t>
            </w:r>
          </w:p>
        </w:tc>
      </w:tr>
      <w:tr w:rsidR="00000000">
        <w:tblPrEx>
          <w:tblCellMar>
            <w:top w:w="0" w:type="dxa"/>
            <w:bottom w:w="0" w:type="dxa"/>
          </w:tblCellMar>
        </w:tblPrEx>
        <w:tc>
          <w:tcPr>
            <w:tcW w:w="5590" w:type="dxa"/>
          </w:tcPr>
          <w:p w:rsidR="00000000" w:rsidRDefault="00000000">
            <w:pPr>
              <w:spacing w:before="40" w:after="40"/>
              <w:rPr>
                <w:sz w:val="22"/>
              </w:rPr>
            </w:pPr>
            <w:r>
              <w:rPr>
                <w:sz w:val="22"/>
              </w:rPr>
              <w:tab/>
              <w:t>dont:</w:t>
            </w:r>
          </w:p>
        </w:tc>
        <w:tc>
          <w:tcPr>
            <w:tcW w:w="1320" w:type="dxa"/>
          </w:tcPr>
          <w:p w:rsidR="00000000" w:rsidRDefault="00000000">
            <w:pPr>
              <w:spacing w:before="40" w:after="40"/>
              <w:jc w:val="right"/>
              <w:rPr>
                <w:sz w:val="22"/>
              </w:rPr>
            </w:pPr>
          </w:p>
        </w:tc>
        <w:tc>
          <w:tcPr>
            <w:tcW w:w="1320" w:type="dxa"/>
          </w:tcPr>
          <w:p w:rsidR="00000000" w:rsidRDefault="00000000">
            <w:pPr>
              <w:spacing w:before="40" w:after="40"/>
              <w:jc w:val="right"/>
              <w:rPr>
                <w:sz w:val="22"/>
              </w:rPr>
            </w:pPr>
          </w:p>
        </w:tc>
        <w:tc>
          <w:tcPr>
            <w:tcW w:w="1266" w:type="dxa"/>
          </w:tcPr>
          <w:p w:rsidR="00000000" w:rsidRDefault="00000000">
            <w:pPr>
              <w:spacing w:before="40" w:after="40"/>
              <w:jc w:val="right"/>
              <w:rPr>
                <w:sz w:val="22"/>
              </w:rPr>
            </w:pPr>
          </w:p>
        </w:tc>
      </w:tr>
      <w:tr w:rsidR="00000000">
        <w:tblPrEx>
          <w:tblCellMar>
            <w:top w:w="0" w:type="dxa"/>
            <w:bottom w:w="0" w:type="dxa"/>
          </w:tblCellMar>
        </w:tblPrEx>
        <w:tc>
          <w:tcPr>
            <w:tcW w:w="5590" w:type="dxa"/>
          </w:tcPr>
          <w:p w:rsidR="00000000" w:rsidRDefault="00000000">
            <w:pPr>
              <w:spacing w:before="40" w:after="40"/>
              <w:rPr>
                <w:sz w:val="22"/>
              </w:rPr>
            </w:pPr>
            <w:r>
              <w:rPr>
                <w:sz w:val="22"/>
              </w:rPr>
              <w:t>-</w:t>
            </w:r>
            <w:r>
              <w:rPr>
                <w:sz w:val="22"/>
              </w:rPr>
              <w:tab/>
              <w:t>historiques et archéologiques</w:t>
            </w:r>
          </w:p>
        </w:tc>
        <w:tc>
          <w:tcPr>
            <w:tcW w:w="1320" w:type="dxa"/>
          </w:tcPr>
          <w:p w:rsidR="00000000" w:rsidRDefault="00000000">
            <w:pPr>
              <w:spacing w:before="40" w:after="40"/>
              <w:jc w:val="right"/>
              <w:rPr>
                <w:sz w:val="22"/>
              </w:rPr>
            </w:pPr>
            <w:r>
              <w:rPr>
                <w:sz w:val="22"/>
              </w:rPr>
              <w:t>13</w:t>
            </w:r>
          </w:p>
        </w:tc>
        <w:tc>
          <w:tcPr>
            <w:tcW w:w="1320" w:type="dxa"/>
          </w:tcPr>
          <w:p w:rsidR="00000000" w:rsidRDefault="00000000">
            <w:pPr>
              <w:spacing w:before="40" w:after="40"/>
              <w:jc w:val="right"/>
              <w:rPr>
                <w:sz w:val="22"/>
              </w:rPr>
            </w:pPr>
            <w:r>
              <w:rPr>
                <w:sz w:val="22"/>
              </w:rPr>
              <w:t>12</w:t>
            </w:r>
          </w:p>
        </w:tc>
        <w:tc>
          <w:tcPr>
            <w:tcW w:w="1266" w:type="dxa"/>
          </w:tcPr>
          <w:p w:rsidR="00000000" w:rsidRDefault="00000000">
            <w:pPr>
              <w:spacing w:before="40" w:after="40"/>
              <w:jc w:val="right"/>
              <w:rPr>
                <w:sz w:val="22"/>
              </w:rPr>
            </w:pPr>
            <w:r>
              <w:rPr>
                <w:sz w:val="22"/>
              </w:rPr>
              <w:t>13</w:t>
            </w:r>
          </w:p>
        </w:tc>
      </w:tr>
      <w:tr w:rsidR="00000000">
        <w:tblPrEx>
          <w:tblCellMar>
            <w:top w:w="0" w:type="dxa"/>
            <w:bottom w:w="0" w:type="dxa"/>
          </w:tblCellMar>
        </w:tblPrEx>
        <w:tc>
          <w:tcPr>
            <w:tcW w:w="5590" w:type="dxa"/>
          </w:tcPr>
          <w:p w:rsidR="00000000" w:rsidRDefault="00000000">
            <w:pPr>
              <w:spacing w:before="40" w:after="40"/>
              <w:rPr>
                <w:sz w:val="22"/>
              </w:rPr>
            </w:pPr>
            <w:r>
              <w:rPr>
                <w:sz w:val="22"/>
              </w:rPr>
              <w:t>-</w:t>
            </w:r>
            <w:r>
              <w:rPr>
                <w:sz w:val="22"/>
              </w:rPr>
              <w:tab/>
              <w:t>commémoratifs</w:t>
            </w:r>
          </w:p>
        </w:tc>
        <w:tc>
          <w:tcPr>
            <w:tcW w:w="1320" w:type="dxa"/>
          </w:tcPr>
          <w:p w:rsidR="00000000" w:rsidRDefault="00000000">
            <w:pPr>
              <w:spacing w:before="40" w:after="40"/>
              <w:jc w:val="right"/>
              <w:rPr>
                <w:sz w:val="22"/>
              </w:rPr>
            </w:pPr>
            <w:r>
              <w:rPr>
                <w:sz w:val="22"/>
              </w:rPr>
              <w:t>32</w:t>
            </w:r>
          </w:p>
        </w:tc>
        <w:tc>
          <w:tcPr>
            <w:tcW w:w="1320" w:type="dxa"/>
          </w:tcPr>
          <w:p w:rsidR="00000000" w:rsidRDefault="00000000">
            <w:pPr>
              <w:spacing w:before="40" w:after="40"/>
              <w:jc w:val="right"/>
              <w:rPr>
                <w:sz w:val="22"/>
              </w:rPr>
            </w:pPr>
            <w:r>
              <w:rPr>
                <w:sz w:val="22"/>
              </w:rPr>
              <w:t>33</w:t>
            </w:r>
          </w:p>
        </w:tc>
        <w:tc>
          <w:tcPr>
            <w:tcW w:w="1266" w:type="dxa"/>
          </w:tcPr>
          <w:p w:rsidR="00000000" w:rsidRDefault="00000000">
            <w:pPr>
              <w:spacing w:before="40" w:after="40"/>
              <w:jc w:val="right"/>
              <w:rPr>
                <w:sz w:val="22"/>
              </w:rPr>
            </w:pPr>
            <w:r>
              <w:rPr>
                <w:sz w:val="22"/>
              </w:rPr>
              <w:t>34</w:t>
            </w:r>
          </w:p>
        </w:tc>
      </w:tr>
      <w:tr w:rsidR="00000000">
        <w:tblPrEx>
          <w:tblCellMar>
            <w:top w:w="0" w:type="dxa"/>
            <w:bottom w:w="0" w:type="dxa"/>
          </w:tblCellMar>
        </w:tblPrEx>
        <w:tc>
          <w:tcPr>
            <w:tcW w:w="5590" w:type="dxa"/>
          </w:tcPr>
          <w:p w:rsidR="00000000" w:rsidRDefault="00000000">
            <w:pPr>
              <w:spacing w:before="40" w:after="40"/>
              <w:rPr>
                <w:sz w:val="22"/>
              </w:rPr>
            </w:pPr>
            <w:r>
              <w:rPr>
                <w:sz w:val="22"/>
              </w:rPr>
              <w:t>-</w:t>
            </w:r>
            <w:r>
              <w:rPr>
                <w:sz w:val="22"/>
              </w:rPr>
              <w:tab/>
              <w:t>ethnographiques</w:t>
            </w:r>
          </w:p>
        </w:tc>
        <w:tc>
          <w:tcPr>
            <w:tcW w:w="1320" w:type="dxa"/>
          </w:tcPr>
          <w:p w:rsidR="00000000" w:rsidRDefault="00000000">
            <w:pPr>
              <w:spacing w:before="40" w:after="40"/>
              <w:jc w:val="right"/>
              <w:rPr>
                <w:sz w:val="22"/>
              </w:rPr>
            </w:pPr>
            <w:r>
              <w:rPr>
                <w:sz w:val="22"/>
              </w:rPr>
              <w:t>36</w:t>
            </w:r>
          </w:p>
        </w:tc>
        <w:tc>
          <w:tcPr>
            <w:tcW w:w="1320" w:type="dxa"/>
          </w:tcPr>
          <w:p w:rsidR="00000000" w:rsidRDefault="00000000">
            <w:pPr>
              <w:spacing w:before="40" w:after="40"/>
              <w:jc w:val="right"/>
              <w:rPr>
                <w:sz w:val="22"/>
              </w:rPr>
            </w:pPr>
            <w:r>
              <w:rPr>
                <w:sz w:val="22"/>
              </w:rPr>
              <w:t>36</w:t>
            </w:r>
          </w:p>
        </w:tc>
        <w:tc>
          <w:tcPr>
            <w:tcW w:w="1266" w:type="dxa"/>
          </w:tcPr>
          <w:p w:rsidR="00000000" w:rsidRDefault="00000000">
            <w:pPr>
              <w:spacing w:before="40" w:after="40"/>
              <w:jc w:val="right"/>
              <w:rPr>
                <w:sz w:val="22"/>
              </w:rPr>
            </w:pPr>
            <w:r>
              <w:rPr>
                <w:sz w:val="22"/>
              </w:rPr>
              <w:t>35</w:t>
            </w:r>
          </w:p>
        </w:tc>
      </w:tr>
      <w:tr w:rsidR="00000000">
        <w:tblPrEx>
          <w:tblCellMar>
            <w:top w:w="0" w:type="dxa"/>
            <w:bottom w:w="0" w:type="dxa"/>
          </w:tblCellMar>
        </w:tblPrEx>
        <w:tc>
          <w:tcPr>
            <w:tcW w:w="5590" w:type="dxa"/>
          </w:tcPr>
          <w:p w:rsidR="00000000" w:rsidRDefault="00000000">
            <w:pPr>
              <w:spacing w:before="40" w:after="40"/>
              <w:rPr>
                <w:sz w:val="22"/>
              </w:rPr>
            </w:pPr>
            <w:r>
              <w:rPr>
                <w:sz w:val="22"/>
              </w:rPr>
              <w:t>-</w:t>
            </w:r>
            <w:r>
              <w:rPr>
                <w:sz w:val="22"/>
              </w:rPr>
              <w:tab/>
              <w:t>des beaux-arts</w:t>
            </w:r>
          </w:p>
        </w:tc>
        <w:tc>
          <w:tcPr>
            <w:tcW w:w="1320" w:type="dxa"/>
          </w:tcPr>
          <w:p w:rsidR="00000000" w:rsidRDefault="00000000">
            <w:pPr>
              <w:spacing w:before="40" w:after="40"/>
              <w:jc w:val="right"/>
              <w:rPr>
                <w:sz w:val="22"/>
              </w:rPr>
            </w:pPr>
            <w:r>
              <w:rPr>
                <w:sz w:val="22"/>
              </w:rPr>
              <w:t>11</w:t>
            </w:r>
          </w:p>
        </w:tc>
        <w:tc>
          <w:tcPr>
            <w:tcW w:w="1320" w:type="dxa"/>
          </w:tcPr>
          <w:p w:rsidR="00000000" w:rsidRDefault="00000000">
            <w:pPr>
              <w:spacing w:before="40" w:after="40"/>
              <w:jc w:val="right"/>
              <w:rPr>
                <w:sz w:val="22"/>
              </w:rPr>
            </w:pPr>
            <w:r>
              <w:rPr>
                <w:sz w:val="22"/>
              </w:rPr>
              <w:t>12</w:t>
            </w:r>
          </w:p>
        </w:tc>
        <w:tc>
          <w:tcPr>
            <w:tcW w:w="1266" w:type="dxa"/>
          </w:tcPr>
          <w:p w:rsidR="00000000" w:rsidRDefault="00000000">
            <w:pPr>
              <w:spacing w:before="40" w:after="40"/>
              <w:jc w:val="right"/>
              <w:rPr>
                <w:sz w:val="22"/>
              </w:rPr>
            </w:pPr>
            <w:r>
              <w:rPr>
                <w:sz w:val="22"/>
              </w:rPr>
              <w:t>11</w:t>
            </w:r>
          </w:p>
        </w:tc>
      </w:tr>
      <w:tr w:rsidR="00000000">
        <w:tblPrEx>
          <w:tblCellMar>
            <w:top w:w="0" w:type="dxa"/>
            <w:bottom w:w="0" w:type="dxa"/>
          </w:tblCellMar>
        </w:tblPrEx>
        <w:tc>
          <w:tcPr>
            <w:tcW w:w="5590" w:type="dxa"/>
          </w:tcPr>
          <w:p w:rsidR="00000000" w:rsidRDefault="00000000">
            <w:pPr>
              <w:spacing w:before="40" w:after="40"/>
              <w:rPr>
                <w:sz w:val="22"/>
              </w:rPr>
            </w:pPr>
            <w:r>
              <w:rPr>
                <w:sz w:val="22"/>
              </w:rPr>
              <w:t>-</w:t>
            </w:r>
            <w:r>
              <w:rPr>
                <w:sz w:val="22"/>
              </w:rPr>
              <w:tab/>
              <w:t>des belles lettres</w:t>
            </w:r>
          </w:p>
        </w:tc>
        <w:tc>
          <w:tcPr>
            <w:tcW w:w="1320" w:type="dxa"/>
          </w:tcPr>
          <w:p w:rsidR="00000000" w:rsidRDefault="00000000">
            <w:pPr>
              <w:spacing w:before="40" w:after="40"/>
              <w:jc w:val="right"/>
              <w:rPr>
                <w:sz w:val="22"/>
              </w:rPr>
            </w:pPr>
            <w:r>
              <w:rPr>
                <w:sz w:val="22"/>
              </w:rPr>
              <w:t>2</w:t>
            </w:r>
          </w:p>
        </w:tc>
        <w:tc>
          <w:tcPr>
            <w:tcW w:w="1320" w:type="dxa"/>
          </w:tcPr>
          <w:p w:rsidR="00000000" w:rsidRDefault="00000000">
            <w:pPr>
              <w:spacing w:before="40" w:after="40"/>
              <w:jc w:val="right"/>
              <w:rPr>
                <w:sz w:val="22"/>
              </w:rPr>
            </w:pPr>
            <w:r>
              <w:rPr>
                <w:sz w:val="22"/>
              </w:rPr>
              <w:t>2</w:t>
            </w:r>
          </w:p>
        </w:tc>
        <w:tc>
          <w:tcPr>
            <w:tcW w:w="1266" w:type="dxa"/>
          </w:tcPr>
          <w:p w:rsidR="00000000" w:rsidRDefault="00000000">
            <w:pPr>
              <w:spacing w:before="40" w:after="40"/>
              <w:jc w:val="right"/>
              <w:rPr>
                <w:sz w:val="22"/>
              </w:rPr>
            </w:pPr>
            <w:r>
              <w:rPr>
                <w:sz w:val="22"/>
              </w:rPr>
              <w:t>2</w:t>
            </w:r>
          </w:p>
        </w:tc>
      </w:tr>
      <w:tr w:rsidR="00000000">
        <w:tblPrEx>
          <w:tblCellMar>
            <w:top w:w="0" w:type="dxa"/>
            <w:bottom w:w="0" w:type="dxa"/>
          </w:tblCellMar>
        </w:tblPrEx>
        <w:tc>
          <w:tcPr>
            <w:tcW w:w="5590" w:type="dxa"/>
          </w:tcPr>
          <w:p w:rsidR="00000000" w:rsidRDefault="00000000">
            <w:pPr>
              <w:spacing w:before="40" w:after="40"/>
              <w:rPr>
                <w:sz w:val="22"/>
              </w:rPr>
            </w:pPr>
            <w:r>
              <w:rPr>
                <w:sz w:val="22"/>
              </w:rPr>
              <w:t>-</w:t>
            </w:r>
            <w:r>
              <w:rPr>
                <w:sz w:val="22"/>
              </w:rPr>
              <w:tab/>
              <w:t>rattachés à une branche d’industrie</w:t>
            </w:r>
          </w:p>
        </w:tc>
        <w:tc>
          <w:tcPr>
            <w:tcW w:w="1320" w:type="dxa"/>
          </w:tcPr>
          <w:p w:rsidR="00000000" w:rsidRDefault="00000000">
            <w:pPr>
              <w:spacing w:before="40" w:after="40"/>
              <w:jc w:val="right"/>
              <w:rPr>
                <w:sz w:val="22"/>
              </w:rPr>
            </w:pPr>
            <w:r>
              <w:rPr>
                <w:sz w:val="22"/>
              </w:rPr>
              <w:t>2</w:t>
            </w:r>
          </w:p>
        </w:tc>
        <w:tc>
          <w:tcPr>
            <w:tcW w:w="1320" w:type="dxa"/>
          </w:tcPr>
          <w:p w:rsidR="00000000" w:rsidRDefault="00000000">
            <w:pPr>
              <w:spacing w:before="40" w:after="40"/>
              <w:jc w:val="right"/>
              <w:rPr>
                <w:sz w:val="22"/>
              </w:rPr>
            </w:pPr>
            <w:r>
              <w:rPr>
                <w:sz w:val="22"/>
              </w:rPr>
              <w:t>2</w:t>
            </w:r>
          </w:p>
        </w:tc>
        <w:tc>
          <w:tcPr>
            <w:tcW w:w="1266" w:type="dxa"/>
          </w:tcPr>
          <w:p w:rsidR="00000000" w:rsidRDefault="00000000">
            <w:pPr>
              <w:spacing w:before="40" w:after="40"/>
              <w:jc w:val="right"/>
              <w:rPr>
                <w:sz w:val="22"/>
              </w:rPr>
            </w:pPr>
            <w:r>
              <w:rPr>
                <w:sz w:val="22"/>
              </w:rPr>
              <w:t>3</w:t>
            </w:r>
          </w:p>
        </w:tc>
      </w:tr>
      <w:tr w:rsidR="00000000">
        <w:tblPrEx>
          <w:tblCellMar>
            <w:top w:w="0" w:type="dxa"/>
            <w:bottom w:w="0" w:type="dxa"/>
          </w:tblCellMar>
        </w:tblPrEx>
        <w:tc>
          <w:tcPr>
            <w:tcW w:w="5590" w:type="dxa"/>
          </w:tcPr>
          <w:p w:rsidR="00000000" w:rsidRDefault="00000000">
            <w:pPr>
              <w:spacing w:before="40" w:after="40"/>
              <w:rPr>
                <w:sz w:val="22"/>
              </w:rPr>
            </w:pPr>
            <w:r>
              <w:rPr>
                <w:sz w:val="22"/>
              </w:rPr>
              <w:t>Nombre de visiteurs, en milliers</w:t>
            </w:r>
          </w:p>
        </w:tc>
        <w:tc>
          <w:tcPr>
            <w:tcW w:w="1320" w:type="dxa"/>
          </w:tcPr>
          <w:p w:rsidR="00000000" w:rsidRDefault="00000000">
            <w:pPr>
              <w:spacing w:before="40" w:after="40"/>
              <w:jc w:val="right"/>
              <w:rPr>
                <w:sz w:val="22"/>
              </w:rPr>
            </w:pPr>
            <w:r>
              <w:rPr>
                <w:sz w:val="22"/>
              </w:rPr>
              <w:t>368,4</w:t>
            </w:r>
          </w:p>
        </w:tc>
        <w:tc>
          <w:tcPr>
            <w:tcW w:w="1320" w:type="dxa"/>
          </w:tcPr>
          <w:p w:rsidR="00000000" w:rsidRDefault="00000000">
            <w:pPr>
              <w:spacing w:before="40" w:after="40"/>
              <w:jc w:val="right"/>
              <w:rPr>
                <w:sz w:val="22"/>
              </w:rPr>
            </w:pPr>
            <w:r>
              <w:rPr>
                <w:sz w:val="22"/>
              </w:rPr>
              <w:t>324,1</w:t>
            </w:r>
          </w:p>
        </w:tc>
        <w:tc>
          <w:tcPr>
            <w:tcW w:w="1266" w:type="dxa"/>
          </w:tcPr>
          <w:p w:rsidR="00000000" w:rsidRDefault="00000000">
            <w:pPr>
              <w:spacing w:before="40" w:after="40"/>
              <w:jc w:val="right"/>
              <w:rPr>
                <w:sz w:val="22"/>
              </w:rPr>
            </w:pPr>
            <w:r>
              <w:rPr>
                <w:sz w:val="22"/>
              </w:rPr>
              <w:t>326,4</w:t>
            </w:r>
          </w:p>
        </w:tc>
      </w:tr>
      <w:tr w:rsidR="00000000">
        <w:tblPrEx>
          <w:tblCellMar>
            <w:top w:w="0" w:type="dxa"/>
            <w:bottom w:w="0" w:type="dxa"/>
          </w:tblCellMar>
        </w:tblPrEx>
        <w:tc>
          <w:tcPr>
            <w:tcW w:w="5590" w:type="dxa"/>
          </w:tcPr>
          <w:p w:rsidR="00000000" w:rsidRDefault="00000000">
            <w:pPr>
              <w:spacing w:before="40" w:after="40"/>
              <w:rPr>
                <w:sz w:val="22"/>
              </w:rPr>
            </w:pPr>
            <w:r>
              <w:rPr>
                <w:sz w:val="22"/>
              </w:rPr>
              <w:t>Nombre d’expositions</w:t>
            </w:r>
          </w:p>
        </w:tc>
        <w:tc>
          <w:tcPr>
            <w:tcW w:w="1320" w:type="dxa"/>
          </w:tcPr>
          <w:p w:rsidR="00000000" w:rsidRDefault="00000000">
            <w:pPr>
              <w:spacing w:before="40" w:after="40"/>
              <w:jc w:val="right"/>
              <w:rPr>
                <w:sz w:val="22"/>
              </w:rPr>
            </w:pPr>
            <w:r>
              <w:rPr>
                <w:sz w:val="22"/>
              </w:rPr>
              <w:t>363</w:t>
            </w:r>
          </w:p>
        </w:tc>
        <w:tc>
          <w:tcPr>
            <w:tcW w:w="1320" w:type="dxa"/>
          </w:tcPr>
          <w:p w:rsidR="00000000" w:rsidRDefault="00000000">
            <w:pPr>
              <w:spacing w:before="40" w:after="40"/>
              <w:jc w:val="right"/>
              <w:rPr>
                <w:sz w:val="22"/>
              </w:rPr>
            </w:pPr>
            <w:r>
              <w:rPr>
                <w:sz w:val="22"/>
              </w:rPr>
              <w:t>337</w:t>
            </w:r>
          </w:p>
        </w:tc>
        <w:tc>
          <w:tcPr>
            <w:tcW w:w="1266" w:type="dxa"/>
          </w:tcPr>
          <w:p w:rsidR="00000000" w:rsidRDefault="00000000">
            <w:pPr>
              <w:spacing w:before="40" w:after="40"/>
              <w:jc w:val="right"/>
              <w:rPr>
                <w:sz w:val="22"/>
              </w:rPr>
            </w:pPr>
            <w:r>
              <w:rPr>
                <w:sz w:val="22"/>
              </w:rPr>
              <w:t>385</w:t>
            </w:r>
          </w:p>
        </w:tc>
      </w:tr>
    </w:tbl>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90"/>
        <w:gridCol w:w="1320"/>
        <w:gridCol w:w="1320"/>
        <w:gridCol w:w="1266"/>
      </w:tblGrid>
      <w:tr w:rsidR="00000000">
        <w:tblPrEx>
          <w:tblCellMar>
            <w:top w:w="0" w:type="dxa"/>
            <w:bottom w:w="0" w:type="dxa"/>
          </w:tblCellMar>
        </w:tblPrEx>
        <w:tc>
          <w:tcPr>
            <w:tcW w:w="5590" w:type="dxa"/>
          </w:tcPr>
          <w:p w:rsidR="00000000" w:rsidRDefault="00000000">
            <w:pPr>
              <w:spacing w:before="40" w:after="40"/>
              <w:rPr>
                <w:sz w:val="22"/>
              </w:rPr>
            </w:pPr>
          </w:p>
        </w:tc>
        <w:tc>
          <w:tcPr>
            <w:tcW w:w="1320" w:type="dxa"/>
          </w:tcPr>
          <w:p w:rsidR="00000000" w:rsidRDefault="00000000">
            <w:pPr>
              <w:spacing w:before="40" w:after="40"/>
              <w:jc w:val="center"/>
              <w:rPr>
                <w:sz w:val="22"/>
              </w:rPr>
            </w:pPr>
            <w:r>
              <w:rPr>
                <w:sz w:val="22"/>
              </w:rPr>
              <w:t>1997</w:t>
            </w:r>
          </w:p>
        </w:tc>
        <w:tc>
          <w:tcPr>
            <w:tcW w:w="1320" w:type="dxa"/>
          </w:tcPr>
          <w:p w:rsidR="00000000" w:rsidRDefault="00000000">
            <w:pPr>
              <w:spacing w:before="40" w:after="40"/>
              <w:jc w:val="center"/>
              <w:rPr>
                <w:sz w:val="22"/>
              </w:rPr>
            </w:pPr>
            <w:r>
              <w:rPr>
                <w:sz w:val="22"/>
              </w:rPr>
              <w:t>1998</w:t>
            </w:r>
          </w:p>
        </w:tc>
        <w:tc>
          <w:tcPr>
            <w:tcW w:w="1266" w:type="dxa"/>
          </w:tcPr>
          <w:p w:rsidR="00000000" w:rsidRDefault="00000000">
            <w:pPr>
              <w:spacing w:before="40" w:after="40"/>
              <w:jc w:val="center"/>
              <w:rPr>
                <w:sz w:val="22"/>
              </w:rPr>
            </w:pPr>
            <w:r>
              <w:rPr>
                <w:sz w:val="22"/>
              </w:rPr>
              <w:t>1999</w:t>
            </w:r>
          </w:p>
        </w:tc>
      </w:tr>
      <w:tr w:rsidR="00000000">
        <w:tblPrEx>
          <w:tblCellMar>
            <w:top w:w="0" w:type="dxa"/>
            <w:bottom w:w="0" w:type="dxa"/>
          </w:tblCellMar>
        </w:tblPrEx>
        <w:trPr>
          <w:trHeight w:val="601"/>
        </w:trPr>
        <w:tc>
          <w:tcPr>
            <w:tcW w:w="5590" w:type="dxa"/>
            <w:vAlign w:val="center"/>
          </w:tcPr>
          <w:p w:rsidR="00000000" w:rsidRDefault="00000000">
            <w:pPr>
              <w:spacing w:before="40" w:after="40"/>
              <w:rPr>
                <w:sz w:val="22"/>
              </w:rPr>
            </w:pPr>
            <w:r>
              <w:rPr>
                <w:sz w:val="22"/>
              </w:rPr>
              <w:t xml:space="preserve">Bibliothèques de masse et universelle </w:t>
            </w:r>
          </w:p>
        </w:tc>
        <w:tc>
          <w:tcPr>
            <w:tcW w:w="1320" w:type="dxa"/>
            <w:vAlign w:val="center"/>
          </w:tcPr>
          <w:p w:rsidR="00000000" w:rsidRDefault="00000000">
            <w:pPr>
              <w:spacing w:before="40" w:after="40"/>
              <w:jc w:val="right"/>
              <w:rPr>
                <w:sz w:val="22"/>
              </w:rPr>
            </w:pPr>
            <w:r>
              <w:rPr>
                <w:sz w:val="22"/>
              </w:rPr>
              <w:t>2 425</w:t>
            </w:r>
          </w:p>
        </w:tc>
        <w:tc>
          <w:tcPr>
            <w:tcW w:w="1320" w:type="dxa"/>
            <w:vAlign w:val="center"/>
          </w:tcPr>
          <w:p w:rsidR="00000000" w:rsidRDefault="00000000">
            <w:pPr>
              <w:spacing w:before="40" w:after="40"/>
              <w:jc w:val="right"/>
              <w:rPr>
                <w:sz w:val="22"/>
              </w:rPr>
            </w:pPr>
            <w:r>
              <w:rPr>
                <w:sz w:val="22"/>
              </w:rPr>
              <w:t>2 301</w:t>
            </w:r>
          </w:p>
        </w:tc>
        <w:tc>
          <w:tcPr>
            <w:tcW w:w="1266" w:type="dxa"/>
            <w:vAlign w:val="center"/>
          </w:tcPr>
          <w:p w:rsidR="00000000" w:rsidRDefault="00000000">
            <w:pPr>
              <w:spacing w:before="40" w:after="40"/>
              <w:jc w:val="right"/>
              <w:rPr>
                <w:sz w:val="22"/>
              </w:rPr>
            </w:pPr>
            <w:r>
              <w:rPr>
                <w:sz w:val="22"/>
              </w:rPr>
              <w:t>2 251</w:t>
            </w:r>
          </w:p>
        </w:tc>
      </w:tr>
      <w:tr w:rsidR="00000000">
        <w:tblPrEx>
          <w:tblCellMar>
            <w:top w:w="0" w:type="dxa"/>
            <w:bottom w:w="0" w:type="dxa"/>
          </w:tblCellMar>
        </w:tblPrEx>
        <w:tc>
          <w:tcPr>
            <w:tcW w:w="5590" w:type="dxa"/>
          </w:tcPr>
          <w:p w:rsidR="00000000" w:rsidRDefault="00000000">
            <w:pPr>
              <w:spacing w:before="40" w:after="40"/>
              <w:rPr>
                <w:sz w:val="22"/>
              </w:rPr>
            </w:pPr>
            <w:r>
              <w:rPr>
                <w:sz w:val="22"/>
              </w:rPr>
              <w:t>Nombre de lecteurs, en milliers</w:t>
            </w:r>
          </w:p>
        </w:tc>
        <w:tc>
          <w:tcPr>
            <w:tcW w:w="1320" w:type="dxa"/>
          </w:tcPr>
          <w:p w:rsidR="00000000" w:rsidRDefault="00000000">
            <w:pPr>
              <w:spacing w:before="40" w:after="40"/>
              <w:jc w:val="right"/>
              <w:rPr>
                <w:sz w:val="22"/>
              </w:rPr>
            </w:pPr>
            <w:r>
              <w:rPr>
                <w:sz w:val="22"/>
              </w:rPr>
              <w:t>2 191,5</w:t>
            </w:r>
          </w:p>
        </w:tc>
        <w:tc>
          <w:tcPr>
            <w:tcW w:w="1320" w:type="dxa"/>
          </w:tcPr>
          <w:p w:rsidR="00000000" w:rsidRDefault="00000000">
            <w:pPr>
              <w:spacing w:before="40" w:after="40"/>
              <w:jc w:val="right"/>
              <w:rPr>
                <w:sz w:val="22"/>
              </w:rPr>
            </w:pPr>
            <w:r>
              <w:rPr>
                <w:sz w:val="22"/>
              </w:rPr>
              <w:t>2 753,3</w:t>
            </w:r>
          </w:p>
        </w:tc>
        <w:tc>
          <w:tcPr>
            <w:tcW w:w="1266" w:type="dxa"/>
          </w:tcPr>
          <w:p w:rsidR="00000000" w:rsidRDefault="00000000">
            <w:pPr>
              <w:spacing w:before="40" w:after="40"/>
              <w:jc w:val="right"/>
              <w:rPr>
                <w:sz w:val="22"/>
              </w:rPr>
            </w:pPr>
            <w:r>
              <w:rPr>
                <w:sz w:val="22"/>
              </w:rPr>
              <w:t>2 480,3</w:t>
            </w:r>
          </w:p>
        </w:tc>
      </w:tr>
      <w:tr w:rsidR="00000000">
        <w:tblPrEx>
          <w:tblCellMar>
            <w:top w:w="0" w:type="dxa"/>
            <w:bottom w:w="0" w:type="dxa"/>
          </w:tblCellMar>
        </w:tblPrEx>
        <w:tc>
          <w:tcPr>
            <w:tcW w:w="5590" w:type="dxa"/>
          </w:tcPr>
          <w:p w:rsidR="00000000" w:rsidRDefault="00000000">
            <w:pPr>
              <w:spacing w:before="40" w:after="40"/>
              <w:rPr>
                <w:sz w:val="22"/>
              </w:rPr>
            </w:pPr>
            <w:r>
              <w:rPr>
                <w:sz w:val="22"/>
              </w:rPr>
              <w:t>Nombre de lecteurs moyen par bibliothèque</w:t>
            </w:r>
          </w:p>
        </w:tc>
        <w:tc>
          <w:tcPr>
            <w:tcW w:w="1320" w:type="dxa"/>
          </w:tcPr>
          <w:p w:rsidR="00000000" w:rsidRDefault="00000000">
            <w:pPr>
              <w:spacing w:before="40" w:after="40"/>
              <w:jc w:val="right"/>
              <w:rPr>
                <w:sz w:val="22"/>
              </w:rPr>
            </w:pPr>
            <w:r>
              <w:rPr>
                <w:sz w:val="22"/>
              </w:rPr>
              <w:t>903,7</w:t>
            </w:r>
          </w:p>
        </w:tc>
        <w:tc>
          <w:tcPr>
            <w:tcW w:w="1320" w:type="dxa"/>
          </w:tcPr>
          <w:p w:rsidR="00000000" w:rsidRDefault="00000000">
            <w:pPr>
              <w:spacing w:before="40" w:after="40"/>
              <w:jc w:val="right"/>
              <w:rPr>
                <w:sz w:val="22"/>
              </w:rPr>
            </w:pPr>
            <w:r>
              <w:rPr>
                <w:sz w:val="22"/>
              </w:rPr>
              <w:t>1 196,6</w:t>
            </w:r>
          </w:p>
        </w:tc>
        <w:tc>
          <w:tcPr>
            <w:tcW w:w="1266" w:type="dxa"/>
          </w:tcPr>
          <w:p w:rsidR="00000000" w:rsidRDefault="00000000">
            <w:pPr>
              <w:spacing w:before="40" w:after="40"/>
              <w:jc w:val="right"/>
              <w:rPr>
                <w:sz w:val="22"/>
              </w:rPr>
            </w:pPr>
            <w:r>
              <w:rPr>
                <w:sz w:val="22"/>
              </w:rPr>
              <w:t>1 101,9</w:t>
            </w:r>
          </w:p>
        </w:tc>
      </w:tr>
      <w:tr w:rsidR="00000000">
        <w:tblPrEx>
          <w:tblCellMar>
            <w:top w:w="0" w:type="dxa"/>
            <w:bottom w:w="0" w:type="dxa"/>
          </w:tblCellMar>
        </w:tblPrEx>
        <w:tc>
          <w:tcPr>
            <w:tcW w:w="5590" w:type="dxa"/>
          </w:tcPr>
          <w:p w:rsidR="00000000" w:rsidRDefault="00000000">
            <w:pPr>
              <w:spacing w:before="40" w:after="40"/>
              <w:rPr>
                <w:sz w:val="22"/>
              </w:rPr>
            </w:pPr>
            <w:r>
              <w:rPr>
                <w:sz w:val="22"/>
              </w:rPr>
              <w:t>Collection de livres, en millions</w:t>
            </w:r>
          </w:p>
        </w:tc>
        <w:tc>
          <w:tcPr>
            <w:tcW w:w="1320" w:type="dxa"/>
          </w:tcPr>
          <w:p w:rsidR="00000000" w:rsidRDefault="00000000">
            <w:pPr>
              <w:spacing w:before="40" w:after="40"/>
              <w:jc w:val="right"/>
              <w:rPr>
                <w:sz w:val="22"/>
              </w:rPr>
            </w:pPr>
            <w:r>
              <w:rPr>
                <w:sz w:val="22"/>
              </w:rPr>
              <w:t>25,9</w:t>
            </w:r>
          </w:p>
        </w:tc>
        <w:tc>
          <w:tcPr>
            <w:tcW w:w="1320" w:type="dxa"/>
          </w:tcPr>
          <w:p w:rsidR="00000000" w:rsidRDefault="00000000">
            <w:pPr>
              <w:spacing w:before="40" w:after="40"/>
              <w:jc w:val="right"/>
              <w:rPr>
                <w:sz w:val="22"/>
              </w:rPr>
            </w:pPr>
            <w:r>
              <w:rPr>
                <w:sz w:val="22"/>
              </w:rPr>
              <w:t>24,5</w:t>
            </w:r>
          </w:p>
        </w:tc>
        <w:tc>
          <w:tcPr>
            <w:tcW w:w="1266" w:type="dxa"/>
          </w:tcPr>
          <w:p w:rsidR="00000000" w:rsidRDefault="00000000">
            <w:pPr>
              <w:spacing w:before="40" w:after="40"/>
              <w:jc w:val="right"/>
              <w:rPr>
                <w:sz w:val="22"/>
              </w:rPr>
            </w:pPr>
            <w:r>
              <w:rPr>
                <w:sz w:val="22"/>
              </w:rPr>
              <w:t>31,6</w:t>
            </w:r>
          </w:p>
        </w:tc>
      </w:tr>
    </w:tbl>
    <w:p w:rsidR="00000000" w:rsidRDefault="0000000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90"/>
        <w:gridCol w:w="1320"/>
        <w:gridCol w:w="1320"/>
        <w:gridCol w:w="1266"/>
      </w:tblGrid>
      <w:tr w:rsidR="00000000">
        <w:tblPrEx>
          <w:tblCellMar>
            <w:top w:w="0" w:type="dxa"/>
            <w:bottom w:w="0" w:type="dxa"/>
          </w:tblCellMar>
        </w:tblPrEx>
        <w:tc>
          <w:tcPr>
            <w:tcW w:w="5590" w:type="dxa"/>
          </w:tcPr>
          <w:p w:rsidR="00000000" w:rsidRDefault="00000000">
            <w:pPr>
              <w:spacing w:before="60" w:after="60"/>
              <w:rPr>
                <w:sz w:val="22"/>
              </w:rPr>
            </w:pPr>
          </w:p>
        </w:tc>
        <w:tc>
          <w:tcPr>
            <w:tcW w:w="1320" w:type="dxa"/>
          </w:tcPr>
          <w:p w:rsidR="00000000" w:rsidRDefault="00000000">
            <w:pPr>
              <w:spacing w:before="60" w:after="60"/>
              <w:jc w:val="center"/>
              <w:rPr>
                <w:sz w:val="22"/>
              </w:rPr>
            </w:pPr>
            <w:r>
              <w:rPr>
                <w:sz w:val="22"/>
              </w:rPr>
              <w:t>1997</w:t>
            </w:r>
          </w:p>
        </w:tc>
        <w:tc>
          <w:tcPr>
            <w:tcW w:w="1320" w:type="dxa"/>
          </w:tcPr>
          <w:p w:rsidR="00000000" w:rsidRDefault="00000000">
            <w:pPr>
              <w:spacing w:before="60" w:after="60"/>
              <w:jc w:val="center"/>
              <w:rPr>
                <w:sz w:val="22"/>
              </w:rPr>
            </w:pPr>
            <w:r>
              <w:rPr>
                <w:sz w:val="22"/>
              </w:rPr>
              <w:t>1998</w:t>
            </w:r>
          </w:p>
        </w:tc>
        <w:tc>
          <w:tcPr>
            <w:tcW w:w="1266" w:type="dxa"/>
          </w:tcPr>
          <w:p w:rsidR="00000000" w:rsidRDefault="00000000">
            <w:pPr>
              <w:spacing w:before="60" w:after="60"/>
              <w:jc w:val="center"/>
              <w:rPr>
                <w:sz w:val="22"/>
              </w:rPr>
            </w:pPr>
            <w:r>
              <w:rPr>
                <w:sz w:val="22"/>
              </w:rPr>
              <w:t>1999</w:t>
            </w:r>
          </w:p>
        </w:tc>
      </w:tr>
      <w:tr w:rsidR="00000000">
        <w:tblPrEx>
          <w:tblCellMar>
            <w:top w:w="0" w:type="dxa"/>
            <w:bottom w:w="0" w:type="dxa"/>
          </w:tblCellMar>
        </w:tblPrEx>
        <w:tc>
          <w:tcPr>
            <w:tcW w:w="5590" w:type="dxa"/>
          </w:tcPr>
          <w:p w:rsidR="00000000" w:rsidRDefault="00000000">
            <w:pPr>
              <w:spacing w:before="60" w:after="60"/>
              <w:rPr>
                <w:sz w:val="22"/>
              </w:rPr>
            </w:pPr>
            <w:r>
              <w:rPr>
                <w:sz w:val="22"/>
              </w:rPr>
              <w:t>Théâtres professionnels (nombre total)</w:t>
            </w:r>
          </w:p>
        </w:tc>
        <w:tc>
          <w:tcPr>
            <w:tcW w:w="1320" w:type="dxa"/>
          </w:tcPr>
          <w:p w:rsidR="00000000" w:rsidRDefault="00000000">
            <w:pPr>
              <w:spacing w:before="60" w:after="60"/>
              <w:jc w:val="right"/>
              <w:rPr>
                <w:sz w:val="22"/>
              </w:rPr>
            </w:pPr>
            <w:r>
              <w:rPr>
                <w:sz w:val="22"/>
              </w:rPr>
              <w:t>32</w:t>
            </w:r>
          </w:p>
        </w:tc>
        <w:tc>
          <w:tcPr>
            <w:tcW w:w="1320" w:type="dxa"/>
          </w:tcPr>
          <w:p w:rsidR="00000000" w:rsidRDefault="00000000">
            <w:pPr>
              <w:spacing w:before="60" w:after="60"/>
              <w:jc w:val="right"/>
              <w:rPr>
                <w:sz w:val="22"/>
              </w:rPr>
            </w:pPr>
            <w:r>
              <w:rPr>
                <w:sz w:val="22"/>
              </w:rPr>
              <w:t>32</w:t>
            </w:r>
          </w:p>
        </w:tc>
        <w:tc>
          <w:tcPr>
            <w:tcW w:w="1266" w:type="dxa"/>
          </w:tcPr>
          <w:p w:rsidR="00000000" w:rsidRDefault="00000000">
            <w:pPr>
              <w:spacing w:before="60" w:after="60"/>
              <w:jc w:val="right"/>
              <w:rPr>
                <w:sz w:val="22"/>
              </w:rPr>
            </w:pPr>
            <w:r>
              <w:rPr>
                <w:sz w:val="22"/>
              </w:rPr>
              <w:t>32</w:t>
            </w:r>
          </w:p>
        </w:tc>
      </w:tr>
      <w:tr w:rsidR="00000000">
        <w:tblPrEx>
          <w:tblCellMar>
            <w:top w:w="0" w:type="dxa"/>
            <w:bottom w:w="0" w:type="dxa"/>
          </w:tblCellMar>
        </w:tblPrEx>
        <w:tc>
          <w:tcPr>
            <w:tcW w:w="5590" w:type="dxa"/>
          </w:tcPr>
          <w:p w:rsidR="00000000" w:rsidRDefault="00000000">
            <w:pPr>
              <w:spacing w:before="60" w:after="60"/>
              <w:rPr>
                <w:sz w:val="22"/>
              </w:rPr>
            </w:pPr>
            <w:r>
              <w:rPr>
                <w:sz w:val="22"/>
              </w:rPr>
              <w:tab/>
              <w:t>dont:</w:t>
            </w:r>
          </w:p>
        </w:tc>
        <w:tc>
          <w:tcPr>
            <w:tcW w:w="1320" w:type="dxa"/>
          </w:tcPr>
          <w:p w:rsidR="00000000" w:rsidRDefault="00000000">
            <w:pPr>
              <w:spacing w:before="60" w:after="60"/>
              <w:jc w:val="right"/>
              <w:rPr>
                <w:sz w:val="22"/>
              </w:rPr>
            </w:pPr>
          </w:p>
        </w:tc>
        <w:tc>
          <w:tcPr>
            <w:tcW w:w="1320" w:type="dxa"/>
          </w:tcPr>
          <w:p w:rsidR="00000000" w:rsidRDefault="00000000">
            <w:pPr>
              <w:spacing w:before="60" w:after="60"/>
              <w:jc w:val="right"/>
              <w:rPr>
                <w:sz w:val="22"/>
              </w:rPr>
            </w:pPr>
          </w:p>
        </w:tc>
        <w:tc>
          <w:tcPr>
            <w:tcW w:w="1266" w:type="dxa"/>
          </w:tcPr>
          <w:p w:rsidR="00000000" w:rsidRDefault="00000000">
            <w:pPr>
              <w:spacing w:before="60" w:after="60"/>
              <w:jc w:val="right"/>
              <w:rPr>
                <w:sz w:val="22"/>
              </w:rPr>
            </w:pPr>
          </w:p>
        </w:tc>
      </w:tr>
      <w:tr w:rsidR="00000000">
        <w:tblPrEx>
          <w:tblCellMar>
            <w:top w:w="0" w:type="dxa"/>
            <w:bottom w:w="0" w:type="dxa"/>
          </w:tblCellMar>
        </w:tblPrEx>
        <w:tc>
          <w:tcPr>
            <w:tcW w:w="5590" w:type="dxa"/>
          </w:tcPr>
          <w:p w:rsidR="00000000" w:rsidRDefault="00000000">
            <w:pPr>
              <w:spacing w:before="60" w:after="60"/>
              <w:rPr>
                <w:sz w:val="22"/>
              </w:rPr>
            </w:pPr>
            <w:r>
              <w:rPr>
                <w:sz w:val="22"/>
              </w:rPr>
              <w:t>-</w:t>
            </w:r>
            <w:r>
              <w:rPr>
                <w:sz w:val="22"/>
              </w:rPr>
              <w:tab/>
              <w:t>opéra et ballet</w:t>
            </w:r>
          </w:p>
        </w:tc>
        <w:tc>
          <w:tcPr>
            <w:tcW w:w="1320" w:type="dxa"/>
          </w:tcPr>
          <w:p w:rsidR="00000000" w:rsidRDefault="00000000">
            <w:pPr>
              <w:spacing w:before="60" w:after="60"/>
              <w:jc w:val="right"/>
              <w:rPr>
                <w:sz w:val="22"/>
              </w:rPr>
            </w:pPr>
            <w:r>
              <w:rPr>
                <w:sz w:val="22"/>
              </w:rPr>
              <w:t>2</w:t>
            </w:r>
          </w:p>
        </w:tc>
        <w:tc>
          <w:tcPr>
            <w:tcW w:w="1320" w:type="dxa"/>
          </w:tcPr>
          <w:p w:rsidR="00000000" w:rsidRDefault="00000000">
            <w:pPr>
              <w:spacing w:before="60" w:after="60"/>
              <w:jc w:val="right"/>
              <w:rPr>
                <w:sz w:val="22"/>
              </w:rPr>
            </w:pPr>
            <w:r>
              <w:rPr>
                <w:sz w:val="22"/>
              </w:rPr>
              <w:t>2</w:t>
            </w:r>
          </w:p>
        </w:tc>
        <w:tc>
          <w:tcPr>
            <w:tcW w:w="1266" w:type="dxa"/>
          </w:tcPr>
          <w:p w:rsidR="00000000" w:rsidRDefault="00000000">
            <w:pPr>
              <w:spacing w:before="60" w:after="60"/>
              <w:jc w:val="right"/>
              <w:rPr>
                <w:sz w:val="22"/>
              </w:rPr>
            </w:pPr>
            <w:r>
              <w:rPr>
                <w:sz w:val="22"/>
              </w:rPr>
              <w:t>3</w:t>
            </w:r>
          </w:p>
        </w:tc>
      </w:tr>
      <w:tr w:rsidR="00000000">
        <w:tblPrEx>
          <w:tblCellMar>
            <w:top w:w="0" w:type="dxa"/>
            <w:bottom w:w="0" w:type="dxa"/>
          </w:tblCellMar>
        </w:tblPrEx>
        <w:tc>
          <w:tcPr>
            <w:tcW w:w="5590" w:type="dxa"/>
          </w:tcPr>
          <w:p w:rsidR="00000000" w:rsidRDefault="00000000">
            <w:pPr>
              <w:spacing w:before="60" w:after="60"/>
              <w:rPr>
                <w:sz w:val="22"/>
              </w:rPr>
            </w:pPr>
            <w:r>
              <w:rPr>
                <w:sz w:val="22"/>
              </w:rPr>
              <w:t>-</w:t>
            </w:r>
            <w:r>
              <w:rPr>
                <w:sz w:val="22"/>
              </w:rPr>
              <w:tab/>
              <w:t>drame, comédie musicale et miniatures</w:t>
            </w:r>
          </w:p>
        </w:tc>
        <w:tc>
          <w:tcPr>
            <w:tcW w:w="1320" w:type="dxa"/>
          </w:tcPr>
          <w:p w:rsidR="00000000" w:rsidRDefault="00000000">
            <w:pPr>
              <w:spacing w:before="60" w:after="60"/>
              <w:jc w:val="right"/>
              <w:rPr>
                <w:sz w:val="22"/>
              </w:rPr>
            </w:pPr>
            <w:r>
              <w:rPr>
                <w:sz w:val="22"/>
              </w:rPr>
              <w:t>22</w:t>
            </w:r>
          </w:p>
        </w:tc>
        <w:tc>
          <w:tcPr>
            <w:tcW w:w="1320" w:type="dxa"/>
          </w:tcPr>
          <w:p w:rsidR="00000000" w:rsidRDefault="00000000">
            <w:pPr>
              <w:spacing w:before="60" w:after="60"/>
              <w:jc w:val="right"/>
              <w:rPr>
                <w:sz w:val="22"/>
              </w:rPr>
            </w:pPr>
            <w:r>
              <w:rPr>
                <w:sz w:val="22"/>
              </w:rPr>
              <w:t>22</w:t>
            </w:r>
          </w:p>
        </w:tc>
        <w:tc>
          <w:tcPr>
            <w:tcW w:w="1266" w:type="dxa"/>
          </w:tcPr>
          <w:p w:rsidR="00000000" w:rsidRDefault="00000000">
            <w:pPr>
              <w:spacing w:before="60" w:after="60"/>
              <w:jc w:val="right"/>
              <w:rPr>
                <w:sz w:val="22"/>
              </w:rPr>
            </w:pPr>
            <w:r>
              <w:rPr>
                <w:sz w:val="22"/>
              </w:rPr>
              <w:t>22</w:t>
            </w:r>
          </w:p>
        </w:tc>
      </w:tr>
      <w:tr w:rsidR="00000000">
        <w:tblPrEx>
          <w:tblCellMar>
            <w:top w:w="0" w:type="dxa"/>
            <w:bottom w:w="0" w:type="dxa"/>
          </w:tblCellMar>
        </w:tblPrEx>
        <w:tc>
          <w:tcPr>
            <w:tcW w:w="5590" w:type="dxa"/>
          </w:tcPr>
          <w:p w:rsidR="00000000" w:rsidRDefault="00000000">
            <w:pPr>
              <w:spacing w:before="60" w:after="60"/>
              <w:rPr>
                <w:sz w:val="22"/>
              </w:rPr>
            </w:pPr>
            <w:r>
              <w:rPr>
                <w:sz w:val="22"/>
              </w:rPr>
              <w:t>-</w:t>
            </w:r>
            <w:r>
              <w:rPr>
                <w:sz w:val="22"/>
              </w:rPr>
              <w:tab/>
              <w:t>théâtres pour enfants</w:t>
            </w:r>
          </w:p>
        </w:tc>
        <w:tc>
          <w:tcPr>
            <w:tcW w:w="1320" w:type="dxa"/>
          </w:tcPr>
          <w:p w:rsidR="00000000" w:rsidRDefault="00000000">
            <w:pPr>
              <w:spacing w:before="60" w:after="60"/>
              <w:jc w:val="right"/>
              <w:rPr>
                <w:sz w:val="22"/>
              </w:rPr>
            </w:pPr>
            <w:r>
              <w:rPr>
                <w:sz w:val="22"/>
              </w:rPr>
              <w:t>2</w:t>
            </w:r>
          </w:p>
        </w:tc>
        <w:tc>
          <w:tcPr>
            <w:tcW w:w="1320" w:type="dxa"/>
          </w:tcPr>
          <w:p w:rsidR="00000000" w:rsidRDefault="00000000">
            <w:pPr>
              <w:spacing w:before="60" w:after="60"/>
              <w:jc w:val="right"/>
              <w:rPr>
                <w:sz w:val="22"/>
              </w:rPr>
            </w:pPr>
            <w:r>
              <w:rPr>
                <w:sz w:val="22"/>
              </w:rPr>
              <w:t>2</w:t>
            </w:r>
          </w:p>
        </w:tc>
        <w:tc>
          <w:tcPr>
            <w:tcW w:w="1266" w:type="dxa"/>
          </w:tcPr>
          <w:p w:rsidR="00000000" w:rsidRDefault="00000000">
            <w:pPr>
              <w:spacing w:before="60" w:after="60"/>
              <w:jc w:val="right"/>
              <w:rPr>
                <w:sz w:val="22"/>
              </w:rPr>
            </w:pPr>
            <w:r>
              <w:rPr>
                <w:sz w:val="22"/>
              </w:rPr>
              <w:t>1</w:t>
            </w:r>
          </w:p>
        </w:tc>
      </w:tr>
      <w:tr w:rsidR="00000000">
        <w:tblPrEx>
          <w:tblCellMar>
            <w:top w:w="0" w:type="dxa"/>
            <w:bottom w:w="0" w:type="dxa"/>
          </w:tblCellMar>
        </w:tblPrEx>
        <w:tc>
          <w:tcPr>
            <w:tcW w:w="5590" w:type="dxa"/>
          </w:tcPr>
          <w:p w:rsidR="00000000" w:rsidRDefault="00000000">
            <w:pPr>
              <w:spacing w:before="60" w:after="60"/>
              <w:rPr>
                <w:sz w:val="22"/>
              </w:rPr>
            </w:pPr>
            <w:r>
              <w:rPr>
                <w:sz w:val="22"/>
              </w:rPr>
              <w:t>-</w:t>
            </w:r>
            <w:r>
              <w:rPr>
                <w:sz w:val="22"/>
              </w:rPr>
              <w:tab/>
              <w:t>théâtres de marionnettes</w:t>
            </w:r>
          </w:p>
        </w:tc>
        <w:tc>
          <w:tcPr>
            <w:tcW w:w="1320" w:type="dxa"/>
          </w:tcPr>
          <w:p w:rsidR="00000000" w:rsidRDefault="00000000">
            <w:pPr>
              <w:spacing w:before="60" w:after="60"/>
              <w:jc w:val="right"/>
              <w:rPr>
                <w:sz w:val="22"/>
              </w:rPr>
            </w:pPr>
            <w:r>
              <w:rPr>
                <w:sz w:val="22"/>
              </w:rPr>
              <w:t>6</w:t>
            </w:r>
          </w:p>
        </w:tc>
        <w:tc>
          <w:tcPr>
            <w:tcW w:w="1320" w:type="dxa"/>
          </w:tcPr>
          <w:p w:rsidR="00000000" w:rsidRDefault="00000000">
            <w:pPr>
              <w:spacing w:before="60" w:after="60"/>
              <w:jc w:val="right"/>
              <w:rPr>
                <w:sz w:val="22"/>
              </w:rPr>
            </w:pPr>
            <w:r>
              <w:rPr>
                <w:sz w:val="22"/>
              </w:rPr>
              <w:t>6</w:t>
            </w:r>
          </w:p>
        </w:tc>
        <w:tc>
          <w:tcPr>
            <w:tcW w:w="1266" w:type="dxa"/>
          </w:tcPr>
          <w:p w:rsidR="00000000" w:rsidRDefault="00000000">
            <w:pPr>
              <w:spacing w:before="60" w:after="60"/>
              <w:jc w:val="right"/>
              <w:rPr>
                <w:sz w:val="22"/>
              </w:rPr>
            </w:pPr>
            <w:r>
              <w:rPr>
                <w:sz w:val="22"/>
              </w:rPr>
              <w:t>6</w:t>
            </w:r>
          </w:p>
        </w:tc>
      </w:tr>
      <w:tr w:rsidR="00000000">
        <w:tblPrEx>
          <w:tblCellMar>
            <w:top w:w="0" w:type="dxa"/>
            <w:bottom w:w="0" w:type="dxa"/>
          </w:tblCellMar>
        </w:tblPrEx>
        <w:tc>
          <w:tcPr>
            <w:tcW w:w="5590" w:type="dxa"/>
          </w:tcPr>
          <w:p w:rsidR="00000000" w:rsidRDefault="00000000">
            <w:pPr>
              <w:spacing w:before="60" w:after="60"/>
              <w:rPr>
                <w:sz w:val="22"/>
              </w:rPr>
            </w:pPr>
            <w:r>
              <w:rPr>
                <w:sz w:val="22"/>
              </w:rPr>
              <w:t>Nombre de spectateurs, en milliers</w:t>
            </w:r>
          </w:p>
        </w:tc>
        <w:tc>
          <w:tcPr>
            <w:tcW w:w="1320" w:type="dxa"/>
          </w:tcPr>
          <w:p w:rsidR="00000000" w:rsidRDefault="00000000">
            <w:pPr>
              <w:spacing w:before="60" w:after="60"/>
              <w:jc w:val="right"/>
              <w:rPr>
                <w:sz w:val="22"/>
              </w:rPr>
            </w:pPr>
            <w:r>
              <w:rPr>
                <w:sz w:val="22"/>
              </w:rPr>
              <w:t>479,0</w:t>
            </w:r>
          </w:p>
        </w:tc>
        <w:tc>
          <w:tcPr>
            <w:tcW w:w="1320" w:type="dxa"/>
          </w:tcPr>
          <w:p w:rsidR="00000000" w:rsidRDefault="00000000">
            <w:pPr>
              <w:spacing w:before="60" w:after="60"/>
              <w:jc w:val="right"/>
              <w:rPr>
                <w:sz w:val="22"/>
              </w:rPr>
            </w:pPr>
            <w:r>
              <w:rPr>
                <w:sz w:val="22"/>
              </w:rPr>
              <w:t>421,6</w:t>
            </w:r>
          </w:p>
        </w:tc>
        <w:tc>
          <w:tcPr>
            <w:tcW w:w="1266" w:type="dxa"/>
          </w:tcPr>
          <w:p w:rsidR="00000000" w:rsidRDefault="00000000">
            <w:pPr>
              <w:spacing w:before="60" w:after="60"/>
              <w:jc w:val="right"/>
              <w:rPr>
                <w:sz w:val="22"/>
              </w:rPr>
            </w:pPr>
            <w:r>
              <w:rPr>
                <w:sz w:val="22"/>
              </w:rPr>
              <w:t>352,6</w:t>
            </w:r>
          </w:p>
        </w:tc>
      </w:tr>
      <w:tr w:rsidR="00000000">
        <w:tblPrEx>
          <w:tblCellMar>
            <w:top w:w="0" w:type="dxa"/>
            <w:bottom w:w="0" w:type="dxa"/>
          </w:tblCellMar>
        </w:tblPrEx>
        <w:tc>
          <w:tcPr>
            <w:tcW w:w="5590" w:type="dxa"/>
          </w:tcPr>
          <w:p w:rsidR="00000000" w:rsidRDefault="00000000">
            <w:pPr>
              <w:spacing w:before="60" w:after="60"/>
              <w:rPr>
                <w:sz w:val="22"/>
              </w:rPr>
            </w:pPr>
            <w:r>
              <w:rPr>
                <w:sz w:val="22"/>
              </w:rPr>
              <w:t>Nombre de spectacles</w:t>
            </w:r>
          </w:p>
        </w:tc>
        <w:tc>
          <w:tcPr>
            <w:tcW w:w="1320" w:type="dxa"/>
          </w:tcPr>
          <w:p w:rsidR="00000000" w:rsidRDefault="00000000">
            <w:pPr>
              <w:spacing w:before="60" w:after="60"/>
              <w:jc w:val="right"/>
              <w:rPr>
                <w:sz w:val="22"/>
              </w:rPr>
            </w:pPr>
            <w:r>
              <w:rPr>
                <w:sz w:val="22"/>
              </w:rPr>
              <w:t>2 686</w:t>
            </w:r>
          </w:p>
        </w:tc>
        <w:tc>
          <w:tcPr>
            <w:tcW w:w="1320" w:type="dxa"/>
          </w:tcPr>
          <w:p w:rsidR="00000000" w:rsidRDefault="00000000">
            <w:pPr>
              <w:spacing w:before="60" w:after="60"/>
              <w:jc w:val="right"/>
              <w:rPr>
                <w:sz w:val="22"/>
              </w:rPr>
            </w:pPr>
            <w:r>
              <w:rPr>
                <w:sz w:val="22"/>
              </w:rPr>
              <w:t>1 995</w:t>
            </w:r>
          </w:p>
        </w:tc>
        <w:tc>
          <w:tcPr>
            <w:tcW w:w="1266" w:type="dxa"/>
          </w:tcPr>
          <w:p w:rsidR="00000000" w:rsidRDefault="00000000">
            <w:pPr>
              <w:spacing w:before="60" w:after="60"/>
              <w:jc w:val="right"/>
              <w:rPr>
                <w:sz w:val="22"/>
              </w:rPr>
            </w:pPr>
            <w:r>
              <w:rPr>
                <w:sz w:val="22"/>
              </w:rPr>
              <w:t>2 206</w:t>
            </w:r>
          </w:p>
        </w:tc>
      </w:tr>
      <w:tr w:rsidR="00000000">
        <w:tblPrEx>
          <w:tblCellMar>
            <w:top w:w="0" w:type="dxa"/>
            <w:bottom w:w="0" w:type="dxa"/>
          </w:tblCellMar>
        </w:tblPrEx>
        <w:tc>
          <w:tcPr>
            <w:tcW w:w="5590" w:type="dxa"/>
          </w:tcPr>
          <w:p w:rsidR="00000000" w:rsidRDefault="00000000">
            <w:pPr>
              <w:spacing w:before="60" w:after="60"/>
              <w:rPr>
                <w:sz w:val="22"/>
              </w:rPr>
            </w:pPr>
            <w:r>
              <w:rPr>
                <w:sz w:val="22"/>
              </w:rPr>
              <w:t>Nombre de places, en milliers</w:t>
            </w:r>
          </w:p>
        </w:tc>
        <w:tc>
          <w:tcPr>
            <w:tcW w:w="1320" w:type="dxa"/>
          </w:tcPr>
          <w:p w:rsidR="00000000" w:rsidRDefault="00000000">
            <w:pPr>
              <w:spacing w:before="60" w:after="60"/>
              <w:jc w:val="right"/>
              <w:rPr>
                <w:sz w:val="22"/>
              </w:rPr>
            </w:pPr>
            <w:r>
              <w:rPr>
                <w:sz w:val="22"/>
              </w:rPr>
              <w:t>14,4</w:t>
            </w:r>
          </w:p>
        </w:tc>
        <w:tc>
          <w:tcPr>
            <w:tcW w:w="1320" w:type="dxa"/>
          </w:tcPr>
          <w:p w:rsidR="00000000" w:rsidRDefault="00000000">
            <w:pPr>
              <w:spacing w:before="60" w:after="60"/>
              <w:jc w:val="right"/>
              <w:rPr>
                <w:sz w:val="22"/>
              </w:rPr>
            </w:pPr>
            <w:r>
              <w:rPr>
                <w:sz w:val="22"/>
              </w:rPr>
              <w:t>14,0</w:t>
            </w:r>
          </w:p>
        </w:tc>
        <w:tc>
          <w:tcPr>
            <w:tcW w:w="1266" w:type="dxa"/>
          </w:tcPr>
          <w:p w:rsidR="00000000" w:rsidRDefault="00000000">
            <w:pPr>
              <w:spacing w:before="60" w:after="60"/>
              <w:jc w:val="right"/>
              <w:rPr>
                <w:sz w:val="22"/>
              </w:rPr>
            </w:pPr>
            <w:r>
              <w:rPr>
                <w:sz w:val="22"/>
              </w:rPr>
              <w:t>14,6</w:t>
            </w:r>
          </w:p>
        </w:tc>
      </w:tr>
      <w:tr w:rsidR="00000000">
        <w:tblPrEx>
          <w:tblCellMar>
            <w:top w:w="0" w:type="dxa"/>
            <w:bottom w:w="0" w:type="dxa"/>
          </w:tblCellMar>
        </w:tblPrEx>
        <w:tc>
          <w:tcPr>
            <w:tcW w:w="5590" w:type="dxa"/>
          </w:tcPr>
          <w:p w:rsidR="00000000" w:rsidRDefault="00000000">
            <w:pPr>
              <w:spacing w:before="60" w:after="60"/>
              <w:rPr>
                <w:sz w:val="22"/>
              </w:rPr>
            </w:pPr>
            <w:r>
              <w:rPr>
                <w:sz w:val="22"/>
              </w:rPr>
              <w:t>Nouveaux spectacles</w:t>
            </w:r>
          </w:p>
        </w:tc>
        <w:tc>
          <w:tcPr>
            <w:tcW w:w="1320" w:type="dxa"/>
          </w:tcPr>
          <w:p w:rsidR="00000000" w:rsidRDefault="00000000">
            <w:pPr>
              <w:spacing w:before="60" w:after="60"/>
              <w:jc w:val="right"/>
              <w:rPr>
                <w:sz w:val="22"/>
              </w:rPr>
            </w:pPr>
            <w:r>
              <w:rPr>
                <w:sz w:val="22"/>
              </w:rPr>
              <w:t>75</w:t>
            </w:r>
          </w:p>
        </w:tc>
        <w:tc>
          <w:tcPr>
            <w:tcW w:w="1320" w:type="dxa"/>
          </w:tcPr>
          <w:p w:rsidR="00000000" w:rsidRDefault="00000000">
            <w:pPr>
              <w:spacing w:before="60" w:after="60"/>
              <w:jc w:val="right"/>
              <w:rPr>
                <w:sz w:val="22"/>
              </w:rPr>
            </w:pPr>
            <w:r>
              <w:rPr>
                <w:sz w:val="22"/>
              </w:rPr>
              <w:t>73</w:t>
            </w:r>
          </w:p>
        </w:tc>
        <w:tc>
          <w:tcPr>
            <w:tcW w:w="1266" w:type="dxa"/>
          </w:tcPr>
          <w:p w:rsidR="00000000" w:rsidRDefault="00000000">
            <w:pPr>
              <w:spacing w:before="60" w:after="60"/>
              <w:jc w:val="right"/>
              <w:rPr>
                <w:sz w:val="22"/>
              </w:rPr>
            </w:pPr>
            <w:r>
              <w:rPr>
                <w:sz w:val="22"/>
              </w:rPr>
              <w:t>51</w:t>
            </w:r>
          </w:p>
        </w:tc>
      </w:tr>
      <w:tr w:rsidR="00000000">
        <w:tblPrEx>
          <w:tblCellMar>
            <w:top w:w="0" w:type="dxa"/>
            <w:bottom w:w="0" w:type="dxa"/>
          </w:tblCellMar>
        </w:tblPrEx>
        <w:tc>
          <w:tcPr>
            <w:tcW w:w="5590" w:type="dxa"/>
          </w:tcPr>
          <w:p w:rsidR="00000000" w:rsidRDefault="00000000">
            <w:pPr>
              <w:spacing w:before="60" w:after="60"/>
              <w:rPr>
                <w:sz w:val="22"/>
              </w:rPr>
            </w:pPr>
            <w:r>
              <w:rPr>
                <w:sz w:val="22"/>
              </w:rPr>
              <w:t>Nombre de spectateurs moyen par spectacle, en milliers</w:t>
            </w:r>
          </w:p>
        </w:tc>
        <w:tc>
          <w:tcPr>
            <w:tcW w:w="1320" w:type="dxa"/>
          </w:tcPr>
          <w:p w:rsidR="00000000" w:rsidRDefault="00000000">
            <w:pPr>
              <w:spacing w:before="60" w:after="60"/>
              <w:jc w:val="right"/>
              <w:rPr>
                <w:sz w:val="22"/>
              </w:rPr>
            </w:pPr>
            <w:r>
              <w:rPr>
                <w:sz w:val="22"/>
              </w:rPr>
              <w:t>0,2</w:t>
            </w:r>
          </w:p>
        </w:tc>
        <w:tc>
          <w:tcPr>
            <w:tcW w:w="1320" w:type="dxa"/>
          </w:tcPr>
          <w:p w:rsidR="00000000" w:rsidRDefault="00000000">
            <w:pPr>
              <w:spacing w:before="60" w:after="60"/>
              <w:jc w:val="right"/>
              <w:rPr>
                <w:sz w:val="22"/>
              </w:rPr>
            </w:pPr>
            <w:r>
              <w:rPr>
                <w:sz w:val="22"/>
              </w:rPr>
              <w:t>0,2</w:t>
            </w:r>
          </w:p>
        </w:tc>
        <w:tc>
          <w:tcPr>
            <w:tcW w:w="1266" w:type="dxa"/>
          </w:tcPr>
          <w:p w:rsidR="00000000" w:rsidRDefault="00000000">
            <w:pPr>
              <w:spacing w:before="60" w:after="60"/>
              <w:jc w:val="right"/>
              <w:rPr>
                <w:sz w:val="22"/>
              </w:rPr>
            </w:pPr>
            <w:r>
              <w:rPr>
                <w:sz w:val="22"/>
              </w:rPr>
              <w:t>0,2</w:t>
            </w:r>
          </w:p>
        </w:tc>
      </w:tr>
    </w:tbl>
    <w:p w:rsidR="00000000" w:rsidRDefault="00000000">
      <w:pPr>
        <w:spacing w:before="240" w:after="240"/>
      </w:pPr>
      <w:r>
        <w:t>251.</w:t>
      </w:r>
      <w:r>
        <w:tab/>
        <w:t>Il convient de noter qu’en Géorgie, on protège la culture des minorités et leurs représentants éminents. On en veut pour preuve les quelques faits présentés ci</w:t>
      </w:r>
      <w:r>
        <w:noBreakHyphen/>
        <w:t>après.</w:t>
      </w:r>
    </w:p>
    <w:p w:rsidR="00000000" w:rsidRDefault="00000000">
      <w:pPr>
        <w:spacing w:after="240"/>
      </w:pPr>
      <w:r>
        <w:t>252.</w:t>
      </w:r>
      <w:r>
        <w:tab/>
        <w:t>À l’occasion du bicentenaire de la naissance de Pouchkine (une maison souvenir lui est dédiée dans la capitale géorgienne) ont été organisées au Musée national des beaux-arts et au Musée des belles lettres des expositions où ont été présentés des documents d’archive liés à la vie du grand poète russe ainsi que des toiles. Une conférence internationale a été tenue à Tbilissi dans le cadre de cet anniversaire.</w:t>
      </w:r>
    </w:p>
    <w:p w:rsidR="00000000" w:rsidRDefault="00000000">
      <w:pPr>
        <w:spacing w:after="240"/>
      </w:pPr>
      <w:r>
        <w:t>253.</w:t>
      </w:r>
      <w:r>
        <w:tab/>
        <w:t>En 2000, une exposition des travaux du célèbre artiste et metteur en scène arménien ayant vécu en Géorgie, S. Paradjanov a été organisée. La même année ont été organisées des manifestations consacrées à la mémoire de B. Pasternak, et son «Carnet de notes» a été publié.</w:t>
      </w:r>
    </w:p>
    <w:p w:rsidR="00000000" w:rsidRDefault="00000000">
      <w:pPr>
        <w:spacing w:after="240"/>
      </w:pPr>
      <w:r>
        <w:t>254.</w:t>
      </w:r>
      <w:r>
        <w:tab/>
        <w:t>Le Musée d’État des arts populaires et appliqués a organisé une exposition consacrée au centenaire de la naissance de l’artiste letton I. Straume. Parallèlement à cette exposition, dont l’organisation a été rendue possible par la coopération de collègues lettons, une conférence scientifique a été organisée et consacrée à cet anniversaire.</w:t>
      </w:r>
    </w:p>
    <w:p w:rsidR="00000000" w:rsidRDefault="00000000">
      <w:pPr>
        <w:spacing w:after="240"/>
      </w:pPr>
      <w:r>
        <w:t>255.</w:t>
      </w:r>
      <w:r>
        <w:tab/>
        <w:t>Dans le district de Marneoul s’est ouverte une maison</w:t>
      </w:r>
      <w:r>
        <w:noBreakHyphen/>
        <w:t>musée consacrée au célèbre metteur en scène arménien A. Melik</w:t>
      </w:r>
      <w:r>
        <w:noBreakHyphen/>
        <w:t>Pachaiev, où l’on donne souvent des concerts et soirées du souvenir. La maison</w:t>
      </w:r>
      <w:r>
        <w:noBreakHyphen/>
        <w:t>musée de V. Maiakovski à Bagdadi abrite traditionnellement des soirées amicales rassemblant des amateurs de l’œuvre de ce poète.</w:t>
      </w:r>
    </w:p>
    <w:p w:rsidR="00000000" w:rsidRDefault="00000000">
      <w:pPr>
        <w:spacing w:after="240"/>
      </w:pPr>
      <w:r>
        <w:t>256.</w:t>
      </w:r>
      <w:r>
        <w:tab/>
        <w:t>Comme pour d’autres centres culturels, les principaux problèmes de l’activité des musées géorgiens ont leur source dans l’insuffisance des moyens matériels, techniques et financiers.</w:t>
      </w:r>
    </w:p>
    <w:p w:rsidR="00000000" w:rsidRDefault="00000000">
      <w:pPr>
        <w:spacing w:after="240"/>
      </w:pPr>
      <w:r>
        <w:t>257.</w:t>
      </w:r>
      <w:r>
        <w:tab/>
        <w:t>Parmi les bibliothèques en service en Géorgie, 120 sont réservées aux enfants et 9 aux adolescents. Dans la capitale géorgienne ainsi qu’à Batoumi il existe deux bibliothèques nationales centrales et à Tbilissi une bibliothèque nationale centrale de la jeunesse.</w:t>
      </w:r>
    </w:p>
    <w:p w:rsidR="00000000" w:rsidRDefault="00000000">
      <w:pPr>
        <w:keepLines/>
        <w:spacing w:after="240"/>
      </w:pPr>
      <w:r>
        <w:t>258.</w:t>
      </w:r>
      <w:r>
        <w:tab/>
        <w:t>Les lecteurs qui fréquentent les bibliothèques sont représentatifs de pratiquement toutes les couches sociales et tous les groupes ethniques de la population. En règle générale, les bibliothèques proposent différents types de littérature étrangère, tant en texte original qu’en traduction. Dans les localités où sont concentrées des minorités, les collections sont complétées par des ouvrages écrits dans la langue de ces minorités. Il est à remarquer que c’est précisément dans le cadre de ces bibliothèques que sont organisées des rencontres avec les représentants de l’intelligentsia créatrice issue des minorités, des manifestations conjointes, etc.</w:t>
      </w:r>
    </w:p>
    <w:p w:rsidR="00000000" w:rsidRDefault="00000000">
      <w:pPr>
        <w:spacing w:after="240"/>
      </w:pPr>
      <w:r>
        <w:t>259.</w:t>
      </w:r>
      <w:r>
        <w:tab/>
        <w:t>Il est prévu d’équiper en matériel les bibliothèques et de compléter leurs fonds en 2002 dans le cadre d’un programme élaboré par le Ministère de la culture. En janvier 2000, le Gouvernement géorgien a examiné la question des mesures à prendre pour améliorer le fonctionnement des bibliothèques; ces mesures, conformément à la décision prise, seront appliquées dans le cadre d’un programme national.</w:t>
      </w:r>
    </w:p>
    <w:p w:rsidR="00000000" w:rsidRDefault="00000000">
      <w:pPr>
        <w:spacing w:after="240"/>
      </w:pPr>
      <w:r>
        <w:t>260.</w:t>
      </w:r>
      <w:r>
        <w:tab/>
        <w:t>Les difficultés que connaissent les bibliothèques sont pour l’essentiel liées au fait que dans leur majorité, elles ne possèdent pas de bibliothécaire titulaire d’un poste à plein temps. Si les fonds ne sont pas complétés par de nouvelles publications, cela tient à l’insuffisance des budgets locaux. Les bibliothèques sont souvent situées dans des bâtiments délabrés. Il serait superflu d’évoquer l’état actuel de leur équipement technique.</w:t>
      </w:r>
    </w:p>
    <w:p w:rsidR="00000000" w:rsidRDefault="00000000">
      <w:pPr>
        <w:spacing w:after="240"/>
      </w:pPr>
      <w:r>
        <w:t>261.</w:t>
      </w:r>
      <w:r>
        <w:tab/>
        <w:t>Parmi les théâtres professionnels en activité dans le pays, trois donnent des spectacles en russe, un en arménien, un en abkhaze et un en ossète. Les préparatifs en vue de la création d’un théâtre azerbaïdjanais national dans la capitale se poursuivent. Il convient de noter que des théâtres professionnels privés sont également apparus en Géorgie. On en compte déjà cinq.</w:t>
      </w:r>
    </w:p>
    <w:p w:rsidR="00000000" w:rsidRDefault="00000000">
      <w:pPr>
        <w:spacing w:after="240"/>
      </w:pPr>
      <w:r>
        <w:t>262.</w:t>
      </w:r>
      <w:r>
        <w:tab/>
        <w:t>Le problème commun à tous les théâtres est l’insuffisance des moyens consacrés aux décors et aux costumes ainsi qu’à l’organisation de tournées, et l’absence d’informations sur les tendances contemporaines de la dramaturgie mondiale. On ne trouve notamment pas les moyens de traduire et d’éditer les meilleures œuvres dramatiques contemporaines. Néanmoins, ainsi qu’il ressort du tableau présenté plus haut, aucun théâtre n’a cessé son activité au cours de la période considérée et tous continuent de fonctionner.</w:t>
      </w:r>
    </w:p>
    <w:p w:rsidR="00000000" w:rsidRDefault="00000000">
      <w:pPr>
        <w:spacing w:after="240"/>
      </w:pPr>
      <w:r>
        <w:t>263.</w:t>
      </w:r>
      <w:r>
        <w:tab/>
        <w:t>Malgré les difficultés, deux festivals ont pu se tenir pendant la période considérée: le festival de théâtre international «Le masque d’or» (à Roustavi) et le festival artistique international du nom du metteur en scène M. Toumanichvili, intitulé «Le cadeau».</w:t>
      </w:r>
    </w:p>
    <w:p w:rsidR="00000000" w:rsidRDefault="00000000">
      <w:pPr>
        <w:spacing w:after="240"/>
      </w:pPr>
      <w:r>
        <w:t>264.</w:t>
      </w:r>
      <w:r>
        <w:tab/>
        <w:t>L’État, dans la mesure de ses moyens, aide non seulement les théâtres de langue géorgienne mais aussi les troupes théâtrales des minorités nationales en ce qui concerne l’organisation de leurs tournées et leur participation aux festivals, concours, etc., de théâtres internationaux.</w:t>
      </w:r>
    </w:p>
    <w:p w:rsidR="00000000" w:rsidRDefault="00000000">
      <w:pPr>
        <w:spacing w:after="240"/>
      </w:pPr>
      <w:r>
        <w:t>265.</w:t>
      </w:r>
      <w:r>
        <w:tab/>
        <w:t>Malheureusement, les possibilités de faire connaître en Géorgie le patrimoine culturel mondial sont fortement limitées par l’absence des ressources nécessaires à cette fin. Pour la même raison, il est très souvent impossible de faire participer des artistes géorgiens aux concours, expositions, etc., internationaux. Les chanteurs, musiciens, danseurs les plus talentueux de Géorgie choisissent de plus en plus souvent l’exil.</w:t>
      </w:r>
    </w:p>
    <w:p w:rsidR="00000000" w:rsidRDefault="00000000">
      <w:pPr>
        <w:keepNext/>
        <w:spacing w:after="240"/>
        <w:ind w:firstLine="567"/>
        <w:rPr>
          <w:u w:val="single"/>
        </w:rPr>
      </w:pPr>
      <w:r>
        <w:rPr>
          <w:u w:val="single"/>
        </w:rPr>
        <w:t>L’éducation dans le domaine de la culture</w:t>
      </w:r>
    </w:p>
    <w:p w:rsidR="00000000" w:rsidRDefault="00000000">
      <w:pPr>
        <w:keepLines/>
        <w:spacing w:after="240"/>
      </w:pPr>
      <w:r>
        <w:t>266.</w:t>
      </w:r>
      <w:r>
        <w:tab/>
        <w:t>Le système géorgien d’éducation artistique comprend trois degrés: une éducation de base (dispensée par les écoles musicales, artistiques, etc.), un enseignement secondaire spécialisé (dans les écoles et collèges enseignant une discipline artistique), un enseignement supérieur professionnel (Académie des beaux-arts, conservatoire, écoles de théâtre et de cinéma, institut culturel) suivi d’un enseignement supérieur (maîtrise, doctorat, stage probatoire).</w:t>
      </w:r>
    </w:p>
    <w:p w:rsidR="00000000" w:rsidRDefault="00000000">
      <w:pPr>
        <w:spacing w:after="240"/>
      </w:pPr>
      <w:r>
        <w:t>267.</w:t>
      </w:r>
      <w:r>
        <w:tab/>
        <w:t>Le financement de l’enseignement de base est imputé sur le budget des collectivités locales, une partie en étant supportée par les parents des élèves, et l’enseignement professionnel secondaire et supérieur est financé sur les fonds de l’État.</w:t>
      </w:r>
    </w:p>
    <w:p w:rsidR="00000000" w:rsidRDefault="00000000">
      <w:pPr>
        <w:spacing w:after="240"/>
      </w:pPr>
      <w:r>
        <w:t>268.</w:t>
      </w:r>
      <w:r>
        <w:tab/>
        <w:t>Il convient de faire observer que contrairement aux prescriptions de la loi sur la culture, dans de nombreux districts du pays, les organes du pouvoir local ont lancé un processus radical d’autonomisation complète de la gestion des établissements d’enseignement artistique de base, ce qui revient à éliminer ces établissements. Il en résulte qu’une masse considérable d’enfants talentueux issus de familles démunies de protection sociale n’ont pas la possibilité de s’initier à l’art, possibilité que leur offrait auparavant l’État.</w:t>
      </w:r>
    </w:p>
    <w:p w:rsidR="00000000" w:rsidRDefault="00000000">
      <w:pPr>
        <w:spacing w:after="240"/>
      </w:pPr>
      <w:r>
        <w:t>269.</w:t>
      </w:r>
      <w:r>
        <w:tab/>
        <w:t>Devant cette situation, une série de mesures correctives ont été prises: un projet de loi sur l’éducation dans le domaine artistique a été élaboré, le Ministère de la culture a établi un programme finalisé de développement de l’éducation dans le domaine des arts. En décembre 2001, le Gouvernement géorgien examinera la question des mesures à prendre pour favoriser l’éducation dans ce domaine. Le Ministère de la culture étudie actuellement la question.</w:t>
      </w:r>
    </w:p>
    <w:p w:rsidR="00000000" w:rsidRDefault="00000000">
      <w:pPr>
        <w:spacing w:after="240"/>
      </w:pPr>
      <w:r>
        <w:t>270.</w:t>
      </w:r>
      <w:r>
        <w:tab/>
        <w:t>En janvier 2001, on introduira dans le Code des impôts des modifications qui, de l’avis des spécialistes, auront inévitablement des conséquences négatives sur les établissements d’enseignement artistique: formation incomplète du personnel, réduction du personnel pédagogique, modifications injustifiées des programmes d’enseignement, et dans un certain nombre de cas, élimination des spécialités n’attirant pas suffisamment d’élèves. En conséquence, le Ministère de la culture a demandé au président du Parlement et au Ministre des impôts de réexaminer les dispositions susmentionnées du Code des impôts (chap. 29, art. 188).</w:t>
      </w:r>
    </w:p>
    <w:p w:rsidR="00000000" w:rsidRDefault="00000000">
      <w:pPr>
        <w:keepNext/>
        <w:spacing w:after="240"/>
        <w:ind w:firstLine="567"/>
      </w:pPr>
      <w:r>
        <w:rPr>
          <w:u w:val="single"/>
        </w:rPr>
        <w:t>Le droit de bénéficier du progrès scientifique</w:t>
      </w:r>
    </w:p>
    <w:p w:rsidR="00000000" w:rsidRDefault="00000000">
      <w:pPr>
        <w:spacing w:after="240"/>
      </w:pPr>
      <w:r>
        <w:t>271.</w:t>
      </w:r>
      <w:r>
        <w:tab/>
        <w:t>Selon les informations présentées par l’Académie des sciences de Géorgie, un certain nombre de mesures d’ordre législatif ont été prises dans la période considérée pour défendre et développer les sciences ainsi que pour garantir le droit de bénéficier librement du progrès des activités scientifiques. Sur ce plan, le plus important est la création des bases juridiques de la protection de la propriété intellectuelle. On peut constater qu’en 1999, des lois fondamentales réglementant ce domaine ont été adoptées. Ceci a à son tour constitué une condition préalable à un fonctionnement plus efficace de divers maillons du système de protection de la propriété intellectuelle.</w:t>
      </w:r>
    </w:p>
    <w:p w:rsidR="00000000" w:rsidRDefault="00000000">
      <w:pPr>
        <w:spacing w:after="240"/>
      </w:pPr>
      <w:r>
        <w:t>272.</w:t>
      </w:r>
      <w:r>
        <w:tab/>
        <w:t>En 1999, les lois suivantes ont été adoptées: loi sur le droit d’auteur et les droits voisins, loi sur les brevets, loi sur la typologie des circuits intégrés, loi sur les mesures douanières liées à la propriété intellectuelle.</w:t>
      </w:r>
    </w:p>
    <w:p w:rsidR="00000000" w:rsidRDefault="00000000">
      <w:pPr>
        <w:keepLines/>
        <w:spacing w:after="200" w:line="270" w:lineRule="exact"/>
      </w:pPr>
      <w:r>
        <w:t>273.</w:t>
      </w:r>
      <w:r>
        <w:tab/>
        <w:t>Il convient en outre de noter l’adoption la même année d’une loi d’importance pour le pays, à savoir la loi sur l’autorisation de la diffusion de variétés agricoles, les semences et les plants de haute qualité.</w:t>
      </w:r>
    </w:p>
    <w:p w:rsidR="00000000" w:rsidRDefault="00000000">
      <w:pPr>
        <w:spacing w:after="200" w:line="270" w:lineRule="exact"/>
      </w:pPr>
      <w:r>
        <w:t>274.</w:t>
      </w:r>
      <w:r>
        <w:tab/>
        <w:t>Les questions liées à l’établissement et à l’utilisation des travaux scientifiques sont régies par la loi sur le droit d’auteur et les droits voisins, dont le chapitre III réglemente dans le détail les restrictions à l’utilisation libre d’une œuvre (et notamment d’un travail scientifique) tant en ce qui concerne l’auteur lui</w:t>
      </w:r>
      <w:r>
        <w:noBreakHyphen/>
        <w:t>même que d’autres personnes (art. 21 à 30). Par ailleurs, la même loi protège le droit d’auteur dans le domaine scientifique. En particulier, la loi sur le droit d’auteur et les droits voisins précise les travaux scientifiques auxquels s’applique ou non le droit d’auteur (art. 5, 6), consacre le droit d’exclusivité de l’éditeur (art. 14), énonce les droits corporels et moraux attachés aux œuvres scientifiques (art. 17), etc.</w:t>
      </w:r>
    </w:p>
    <w:p w:rsidR="00000000" w:rsidRDefault="00000000">
      <w:pPr>
        <w:spacing w:after="200" w:line="270" w:lineRule="exact"/>
      </w:pPr>
      <w:r>
        <w:t>275.</w:t>
      </w:r>
      <w:r>
        <w:tab/>
        <w:t>Il est à remarquer que l’article 156 du Code pénal réprime le fait d’engager des poursuites contre des individus en raison de leur activité scientifique.</w:t>
      </w:r>
    </w:p>
    <w:p w:rsidR="00000000" w:rsidRDefault="00000000">
      <w:pPr>
        <w:spacing w:after="200" w:line="270" w:lineRule="exact"/>
      </w:pPr>
      <w:r>
        <w:t>276.</w:t>
      </w:r>
      <w:r>
        <w:tab/>
        <w:t>Afin de préciser la nature des mesures prises dans la pratique pour développer les sciences en Géorgie (au sens large), on juge utile de donner une liste non exhaustive de décrets et ordonnances du Président de la Géorgie liés d’une façon ou d’une autre à ces problèmes:</w:t>
      </w:r>
    </w:p>
    <w:p w:rsidR="00000000" w:rsidRDefault="00000000">
      <w:pPr>
        <w:numPr>
          <w:ilvl w:val="0"/>
          <w:numId w:val="82"/>
        </w:numPr>
        <w:spacing w:after="200" w:line="270" w:lineRule="exact"/>
      </w:pPr>
      <w:r>
        <w:t>Décret présidentiel portant approbation des dispositions relatives à l’attribution de bourses présidentielles aux jeunes scientifiques (septembre 1997);</w:t>
      </w:r>
    </w:p>
    <w:p w:rsidR="00000000" w:rsidRDefault="00000000">
      <w:pPr>
        <w:numPr>
          <w:ilvl w:val="0"/>
          <w:numId w:val="82"/>
        </w:numPr>
        <w:spacing w:after="200" w:line="270" w:lineRule="exact"/>
      </w:pPr>
      <w:r>
        <w:t>Ordonnance présidentielle sur le financement des mesures relatives à la création de l’Institut de recherche scientifique gréco</w:t>
      </w:r>
      <w:r>
        <w:noBreakHyphen/>
        <w:t>géorgien d’Athènes relevant de l’Université d’État I. Djavahichvili de Tbilissi (septembre 1997);</w:t>
      </w:r>
    </w:p>
    <w:p w:rsidR="00000000" w:rsidRDefault="00000000">
      <w:pPr>
        <w:numPr>
          <w:ilvl w:val="0"/>
          <w:numId w:val="82"/>
        </w:numPr>
        <w:spacing w:after="200" w:line="270" w:lineRule="exact"/>
      </w:pPr>
      <w:r>
        <w:t>Décret présidentiel sur les mesures de soutien public aux enfants et aux jeunes surdoués (octobre 1997);</w:t>
      </w:r>
    </w:p>
    <w:p w:rsidR="00000000" w:rsidRDefault="00000000">
      <w:pPr>
        <w:numPr>
          <w:ilvl w:val="0"/>
          <w:numId w:val="82"/>
        </w:numPr>
        <w:spacing w:after="200" w:line="270" w:lineRule="exact"/>
      </w:pPr>
      <w:r>
        <w:t>Décret présidentiel sur l’affectation des bourses présidentielles aux jeunes scientifiques (novembre 1997);</w:t>
      </w:r>
    </w:p>
    <w:p w:rsidR="00000000" w:rsidRDefault="00000000">
      <w:pPr>
        <w:numPr>
          <w:ilvl w:val="0"/>
          <w:numId w:val="82"/>
        </w:numPr>
        <w:spacing w:after="200" w:line="270" w:lineRule="exact"/>
      </w:pPr>
      <w:r>
        <w:t>Décret présidentiel sur l’organisation aux États-Unis en 1998</w:t>
      </w:r>
      <w:r>
        <w:noBreakHyphen/>
        <w:t>1999 de l’exposition consacrée à la Géorgie et de manifestations scientifiques et culturelles.</w:t>
      </w:r>
    </w:p>
    <w:p w:rsidR="00000000" w:rsidRDefault="00000000">
      <w:pPr>
        <w:widowControl w:val="0"/>
        <w:spacing w:after="200" w:line="270" w:lineRule="exact"/>
      </w:pPr>
      <w:r>
        <w:t>277.</w:t>
      </w:r>
      <w:r>
        <w:tab/>
        <w:t>L’Académie des sciences de Géorgie a commencé à établir des contacts internationaux avec des académiciens et centres scientifiques étrangers dès 1991. À cette date, les instituts de l’Académie des sciences de Géorgie ont reçu le droit de passer avec des partenaires étrangers des accords individuels en vue d’effectuer conjointement des recherches scientifiques. L’Académie a déjà conclu dans le cadre de la CEI des accords de coopération et d’échange de scientifiques avec les Académies des sciences d’Azerbaïdjan, d’Arménie, de Russie, d’Ouzbékistan et d’Ukraine. La coopération avec les autres pays de la CEI s’effectue dans le cadre du traité de l’Association internationale des Académies des sciences qui réunit les Académies des pays de l’ex</w:t>
      </w:r>
      <w:r>
        <w:noBreakHyphen/>
        <w:t>URSS. En ce qui concerne les pays de ce que l’on appelle «l’étranger proche», l’Académie des sciences de Géorgie a conclu des accords avec des sociétés savantes telles que l’Académie britannique, la Société royale londonienne, les Académies des sciences d’Autriche, de Hongrie, de Pologne, l’Académie des sciences exactes et des sciences humaines d’Israël, le Conseil national de la recherche scientifique d’Italie ainsi qu’avec l’UNESCO, entre autres.</w:t>
      </w:r>
    </w:p>
    <w:p w:rsidR="00000000" w:rsidRDefault="00000000">
      <w:pPr>
        <w:keepLines/>
        <w:widowControl w:val="0"/>
        <w:spacing w:after="240"/>
      </w:pPr>
      <w:r>
        <w:t>278.</w:t>
      </w:r>
      <w:r>
        <w:tab/>
        <w:t>Certains instituts et centres scientifiques géorgiens ont également conclu des accords de partenariat avec leurs homologues à l’étranger. Ainsi, des accords ont été formalisés entre l’Observatoire d’astrophysique d’Abastouman et l’Université d’État de Tbilissi, d’une part, et l’Université de l’Ontario occidental (Canada), d’autre part; entre l’Institut de pharmacochimie et l’Université de Méditerranée (France); entre l’Institut de paléontologie et l’Institut de botanique de l’Académie des sciences de Pologne; entre l’Institut de physiologie et l’Institut d’oncologie de Los Angeles (États</w:t>
      </w:r>
      <w:r>
        <w:noBreakHyphen/>
        <w:t>Unis), etc.</w:t>
      </w:r>
    </w:p>
    <w:p w:rsidR="00000000" w:rsidRDefault="00000000">
      <w:pPr>
        <w:widowControl w:val="0"/>
        <w:spacing w:after="240"/>
      </w:pPr>
      <w:r>
        <w:t>279.</w:t>
      </w:r>
      <w:r>
        <w:tab/>
        <w:t>En ce qui concerne la participation des scientifiques géorgiens à des recherches conjointes et contacts internationaux d’un autre type, ils se sont déroulés dans la période considérée soit aux frais des partenaires étrangers, soit grâce à des subventions. Ainsi, par exemple, l’Académie britannique et la Société royale londonienne tiennent compte des possibilités financières de l’Académie des sciences de Géorgie et, passant outre aux dispositions conventionnelles définissant les obligations de la partie géorgienne, prennent entièrement à leur charge les dépenses liées aux visites de scientifiques géorgiens.</w:t>
      </w:r>
    </w:p>
    <w:p w:rsidR="00000000" w:rsidRDefault="00000000">
      <w:pPr>
        <w:widowControl w:val="0"/>
        <w:spacing w:after="240"/>
      </w:pPr>
      <w:r>
        <w:t>280.</w:t>
      </w:r>
      <w:r>
        <w:tab/>
        <w:t>La participation de scientifiques géorgiens aux différents types de conférences, colloques et congrès internationaux se déroule dans les mêmes conditions. Néanmoins, il convient de faire observer qu’en comparaison, avec la fin des années 80, par exemple, le nombre de scientifiques géorgiens se rendant à l’étranger a considérablement augmenté. Ainsi, alors qu’en 1989, 300 scientifiques s’étaient rendus en mission à l’étranger, en 2000, dans la seule Section de mathématiques et de physique de l’Académie des sciences de Géorgie, ce sont jusqu’à 180 personnes qui sont parties. Environ autant de scientifiques appartenant à d’autres sections de l’Académie partent en moyenne pour une année. Le plus souvent, les scientifiques géorgiens se rendent en Allemagne, en Autriche, en Italie, en France, en Grande</w:t>
      </w:r>
      <w:r>
        <w:noBreakHyphen/>
        <w:t>Bretagne, en Russie ou en Suisse – au total, dans plus d’une vingtaine de pays.</w:t>
      </w:r>
    </w:p>
    <w:p w:rsidR="00000000" w:rsidRDefault="00000000">
      <w:pPr>
        <w:spacing w:after="240"/>
      </w:pPr>
      <w:r>
        <w:t>281.</w:t>
      </w:r>
      <w:r>
        <w:tab/>
        <w:t>En parlant de la contribution apportée par les scientifiques géorgiens aux sciences mondiales, on ne peut pas ne pas évoquer des noms aussi universellement connus que ceux des mathématiciens I. Mouchelichvili, I. Vekoua, du physicien A. Tavhelidze, du physiologue I. Veritachvili, du psychologue D. Ouznadze, etc. En ce qui concerne les découvertes effectuées récemment par des savants géorgiens, on ne saurait ne pas rappeler la découverte de deux crânes d’un «homo erectus» archaïque – appelé «homo ergaster» – dont l’âge a été fixé à 1,7 million d’années. Ces crânes ont été découverts dans les vestiges d’une ville médiévale située à l’ouest de la capitale. Ce fut un événement considérable pour la communauté scientifique mondiale dans la mesure où ces fossiles doublent l’ancienneté de la présence humaine en Europe. Cette découverte confirme également que c’est précisément par le Caucase que, d’Afrique, est arrivé en Europe, l’homme préhistorique. En liaison avec cette découverte, l’Académie des sciences de Géorgie a mis sur pied un projet international d’études interdisciplinaires du site où ont été découverts ces premiers hominidés, dont la réalisation devrait s’étaler de 2000 à 2005. Au côté des scientifiques géorgiens, il est prévu de faire participer à ce projet des scientifiques allemands, américains et d’autres spécialistes étrangers.</w:t>
      </w:r>
    </w:p>
    <w:p w:rsidR="00000000" w:rsidRDefault="00000000">
      <w:pPr>
        <w:spacing w:after="240"/>
      </w:pPr>
      <w:r>
        <w:br w:type="page"/>
        <w:t>282.</w:t>
      </w:r>
      <w:r>
        <w:tab/>
        <w:t>Regrettablement, dans la période 1997</w:t>
      </w:r>
      <w:r>
        <w:noBreakHyphen/>
        <w:t>2001, le financement du système de l’Académie des sciences de Géorgie ne s’est guère amélioré. Pratiquement toutes les dépenses – commodités, fournitures de bureau, transports – ont été considérablement réduites, sans même parler des fonds consacrés à la recherche scientifique proprement dite. Les postes budgétaires consacrés à l’acquisition d’appareillages et à la réfection des bâtiments ont été purement et simplement supprimés.</w:t>
      </w:r>
    </w:p>
    <w:p w:rsidR="00000000" w:rsidRDefault="00000000">
      <w:pPr>
        <w:spacing w:after="240"/>
      </w:pPr>
      <w:r>
        <w:t>283.</w:t>
      </w:r>
      <w:r>
        <w:tab/>
        <w:t>Pendant la même période, l’effectif du système de l’Académie des sciences de Géorgie est passé de 10 389,5 à 6 787,5 postes titulaires (soit une réduction de 33,8 %). Par rapport à 1994, le nombre d’employés dans le système de l’Académie a été réduit de moitié.</w:t>
      </w:r>
    </w:p>
    <w:p w:rsidR="00000000" w:rsidRDefault="00000000">
      <w:pPr>
        <w:keepNext/>
        <w:spacing w:after="240"/>
        <w:ind w:firstLine="567"/>
      </w:pPr>
      <w:r>
        <w:rPr>
          <w:u w:val="single"/>
        </w:rPr>
        <w:t>Les contacts internationaux dans le domaine de la culture</w:t>
      </w:r>
    </w:p>
    <w:p w:rsidR="00000000" w:rsidRDefault="00000000">
      <w:pPr>
        <w:spacing w:after="240"/>
      </w:pPr>
      <w:r>
        <w:t>284.</w:t>
      </w:r>
      <w:r>
        <w:tab/>
        <w:t>En 2000, la Géorgie, membre de droit du Conseil de l’Europe, a célébré pour la deuxième fois déjà les «Journées du patrimoine européen» qu’organise tous les ans dans ses pays membres le Conseil de l’Europe, avec le soutien de l’Union européenne.</w:t>
      </w:r>
    </w:p>
    <w:p w:rsidR="00000000" w:rsidRDefault="00000000">
      <w:pPr>
        <w:spacing w:after="240"/>
      </w:pPr>
      <w:r>
        <w:t>285.</w:t>
      </w:r>
      <w:r>
        <w:tab/>
        <w:t>En décembre 2000, à Strasbourg (France), au siège du Conseil de l’Europe, s’est tenue la première réunion des Ministres arménien, azerbaïdjanais et géorgien de la culture, qui a été consacrée au projet élaboré par le Conseil de l’Europe d’examiner la politique culturelle de chacun de ces trois États dans les trois années à venir. Les Ministres géorgien et russe de la culture ont également signé un traité de coopération entre leurs ministères pour 2000</w:t>
      </w:r>
      <w:r>
        <w:noBreakHyphen/>
        <w:t>2002.</w:t>
      </w:r>
    </w:p>
    <w:p w:rsidR="00000000" w:rsidRDefault="00000000">
      <w:pPr>
        <w:spacing w:after="240"/>
      </w:pPr>
      <w:r>
        <w:t>286.</w:t>
      </w:r>
      <w:r>
        <w:tab/>
        <w:t>Les contacts entre le Ministère de la culture de la Géorgie et les structures correspondantes de la République populaire de Chine se développent à grands pas. En avril 2001 a été signé un protocole de coopération pour la période 2002</w:t>
      </w:r>
      <w:r>
        <w:noBreakHyphen/>
        <w:t>2004. En automne 2001, il est prévu de célébrer des journées de la culture géorgienne à Beijing, et au printemps 2002 des journées de la culture chinoise à Tbilissi.</w:t>
      </w:r>
    </w:p>
    <w:p w:rsidR="00000000" w:rsidRDefault="00000000">
      <w:pPr>
        <w:spacing w:after="240"/>
      </w:pPr>
      <w:r>
        <w:t>287.</w:t>
      </w:r>
      <w:r>
        <w:tab/>
        <w:t>Il est prévu qu’en juin 2001, un groupe d’experts du Conseil de l’Europe chargé d’examiner la politique culturelle de la Géorgie, présidé par Terry Sandell, effectue sa première visite dans le pays. Il est proposé d’organiser au cours de cette visite un séminaire et une réunion de travail à laquelle prendront part des personnalités culturelles originaires tant de Géorgie que d’Azerbaïdjan et d’Arménie.</w:t>
      </w:r>
    </w:p>
    <w:p w:rsidR="00000000" w:rsidRDefault="00000000">
      <w:pPr>
        <w:spacing w:after="240"/>
      </w:pPr>
      <w:r>
        <w:t>288.</w:t>
      </w:r>
      <w:r>
        <w:tab/>
        <w:t>Il convient de faire observer que l’exécution de nombreux projets intéressants qui touchent la coopération internationale dans le domaine de la culture demeure extrêmement compliquée en raison de l’absence chronique des moyens financiers indispensables.</w:t>
      </w:r>
    </w:p>
    <w:p w:rsidR="00000000" w:rsidRDefault="00000000">
      <w:pPr>
        <w:spacing w:after="200"/>
        <w:jc w:val="center"/>
        <w:rPr>
          <w:b/>
          <w:bCs/>
          <w:u w:val="single"/>
        </w:rPr>
      </w:pPr>
      <w:r>
        <w:br w:type="page"/>
      </w:r>
      <w:r>
        <w:rPr>
          <w:b/>
          <w:bCs/>
          <w:u w:val="single"/>
        </w:rPr>
        <w:t>Annexe</w:t>
      </w:r>
    </w:p>
    <w:p w:rsidR="00000000" w:rsidRDefault="00000000">
      <w:pPr>
        <w:spacing w:after="200"/>
        <w:jc w:val="center"/>
        <w:rPr>
          <w:u w:val="single"/>
        </w:rPr>
      </w:pPr>
      <w:r>
        <w:rPr>
          <w:b/>
          <w:bCs/>
          <w:u w:val="single"/>
        </w:rPr>
        <w:t>Tableau 1</w:t>
      </w:r>
      <w:r>
        <w:rPr>
          <w:b/>
          <w:bCs/>
        </w:rPr>
        <w:t>. Niveau absolu et relatif du seuil de pauvreté (en lari)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before="60" w:after="60"/>
              <w:jc w:val="center"/>
              <w:rPr>
                <w:sz w:val="22"/>
              </w:rPr>
            </w:pPr>
            <w:r>
              <w:rPr>
                <w:sz w:val="22"/>
              </w:rPr>
              <w:t>Année (en moyenne)</w:t>
            </w:r>
          </w:p>
        </w:tc>
        <w:tc>
          <w:tcPr>
            <w:tcW w:w="3165" w:type="dxa"/>
          </w:tcPr>
          <w:p w:rsidR="00000000" w:rsidRDefault="00000000">
            <w:pPr>
              <w:spacing w:before="60" w:after="60"/>
              <w:jc w:val="center"/>
              <w:rPr>
                <w:sz w:val="22"/>
              </w:rPr>
            </w:pPr>
            <w:r>
              <w:rPr>
                <w:sz w:val="22"/>
              </w:rPr>
              <w:t>Minimum vital</w:t>
            </w:r>
          </w:p>
        </w:tc>
        <w:tc>
          <w:tcPr>
            <w:tcW w:w="3166" w:type="dxa"/>
          </w:tcPr>
          <w:p w:rsidR="00000000" w:rsidRDefault="00000000">
            <w:pPr>
              <w:spacing w:before="60" w:after="60"/>
              <w:jc w:val="center"/>
              <w:rPr>
                <w:sz w:val="22"/>
              </w:rPr>
            </w:pPr>
            <w:r>
              <w:rPr>
                <w:sz w:val="22"/>
              </w:rPr>
              <w:t>Consommation moyenne</w:t>
            </w:r>
          </w:p>
        </w:tc>
      </w:tr>
      <w:tr w:rsidR="00000000">
        <w:tblPrEx>
          <w:tblCellMar>
            <w:top w:w="0" w:type="dxa"/>
            <w:bottom w:w="0" w:type="dxa"/>
          </w:tblCellMar>
        </w:tblPrEx>
        <w:tc>
          <w:tcPr>
            <w:tcW w:w="3165" w:type="dxa"/>
          </w:tcPr>
          <w:p w:rsidR="00000000" w:rsidRDefault="00000000">
            <w:pPr>
              <w:spacing w:before="60" w:after="60"/>
              <w:jc w:val="center"/>
              <w:rPr>
                <w:sz w:val="22"/>
              </w:rPr>
            </w:pPr>
            <w:r>
              <w:rPr>
                <w:sz w:val="22"/>
              </w:rPr>
              <w:t>1997</w:t>
            </w:r>
          </w:p>
        </w:tc>
        <w:tc>
          <w:tcPr>
            <w:tcW w:w="3165" w:type="dxa"/>
          </w:tcPr>
          <w:p w:rsidR="00000000" w:rsidRDefault="00000000">
            <w:pPr>
              <w:spacing w:before="60" w:after="60"/>
              <w:jc w:val="center"/>
              <w:rPr>
                <w:sz w:val="22"/>
              </w:rPr>
            </w:pPr>
            <w:r>
              <w:rPr>
                <w:sz w:val="22"/>
              </w:rPr>
              <w:t>105,3</w:t>
            </w:r>
          </w:p>
        </w:tc>
        <w:tc>
          <w:tcPr>
            <w:tcW w:w="3166" w:type="dxa"/>
          </w:tcPr>
          <w:p w:rsidR="00000000" w:rsidRDefault="00000000">
            <w:pPr>
              <w:spacing w:before="60" w:after="60"/>
              <w:jc w:val="center"/>
              <w:rPr>
                <w:sz w:val="22"/>
              </w:rPr>
            </w:pPr>
            <w:r>
              <w:rPr>
                <w:sz w:val="22"/>
              </w:rPr>
              <w:t>117,7</w:t>
            </w:r>
          </w:p>
        </w:tc>
      </w:tr>
      <w:tr w:rsidR="00000000">
        <w:tblPrEx>
          <w:tblCellMar>
            <w:top w:w="0" w:type="dxa"/>
            <w:bottom w:w="0" w:type="dxa"/>
          </w:tblCellMar>
        </w:tblPrEx>
        <w:tc>
          <w:tcPr>
            <w:tcW w:w="3165" w:type="dxa"/>
          </w:tcPr>
          <w:p w:rsidR="00000000" w:rsidRDefault="00000000">
            <w:pPr>
              <w:spacing w:before="60" w:after="60"/>
              <w:jc w:val="center"/>
              <w:rPr>
                <w:sz w:val="22"/>
              </w:rPr>
            </w:pPr>
            <w:r>
              <w:rPr>
                <w:sz w:val="22"/>
              </w:rPr>
              <w:t>1998</w:t>
            </w:r>
          </w:p>
        </w:tc>
        <w:tc>
          <w:tcPr>
            <w:tcW w:w="3165" w:type="dxa"/>
          </w:tcPr>
          <w:p w:rsidR="00000000" w:rsidRDefault="00000000">
            <w:pPr>
              <w:spacing w:before="60" w:after="60"/>
              <w:jc w:val="center"/>
              <w:rPr>
                <w:sz w:val="22"/>
              </w:rPr>
            </w:pPr>
            <w:r>
              <w:rPr>
                <w:sz w:val="22"/>
              </w:rPr>
              <w:t>101,6</w:t>
            </w:r>
          </w:p>
        </w:tc>
        <w:tc>
          <w:tcPr>
            <w:tcW w:w="3166" w:type="dxa"/>
          </w:tcPr>
          <w:p w:rsidR="00000000" w:rsidRDefault="00000000">
            <w:pPr>
              <w:spacing w:before="60" w:after="60"/>
              <w:jc w:val="center"/>
              <w:rPr>
                <w:sz w:val="22"/>
              </w:rPr>
            </w:pPr>
            <w:r>
              <w:rPr>
                <w:sz w:val="22"/>
              </w:rPr>
              <w:t>102,8</w:t>
            </w:r>
          </w:p>
        </w:tc>
      </w:tr>
      <w:tr w:rsidR="00000000">
        <w:tblPrEx>
          <w:tblCellMar>
            <w:top w:w="0" w:type="dxa"/>
            <w:bottom w:w="0" w:type="dxa"/>
          </w:tblCellMar>
        </w:tblPrEx>
        <w:tc>
          <w:tcPr>
            <w:tcW w:w="3165" w:type="dxa"/>
          </w:tcPr>
          <w:p w:rsidR="00000000" w:rsidRDefault="00000000">
            <w:pPr>
              <w:spacing w:before="60" w:after="60"/>
              <w:jc w:val="center"/>
              <w:rPr>
                <w:sz w:val="22"/>
              </w:rPr>
            </w:pPr>
            <w:r>
              <w:rPr>
                <w:sz w:val="22"/>
              </w:rPr>
              <w:t>1999</w:t>
            </w:r>
          </w:p>
        </w:tc>
        <w:tc>
          <w:tcPr>
            <w:tcW w:w="3165" w:type="dxa"/>
          </w:tcPr>
          <w:p w:rsidR="00000000" w:rsidRDefault="00000000">
            <w:pPr>
              <w:spacing w:before="60" w:after="60"/>
              <w:jc w:val="center"/>
              <w:rPr>
                <w:sz w:val="22"/>
              </w:rPr>
            </w:pPr>
            <w:r>
              <w:rPr>
                <w:sz w:val="22"/>
              </w:rPr>
              <w:t>115,8</w:t>
            </w:r>
          </w:p>
        </w:tc>
        <w:tc>
          <w:tcPr>
            <w:tcW w:w="3166" w:type="dxa"/>
          </w:tcPr>
          <w:p w:rsidR="00000000" w:rsidRDefault="00000000">
            <w:pPr>
              <w:spacing w:before="60" w:after="60"/>
              <w:jc w:val="center"/>
              <w:rPr>
                <w:sz w:val="22"/>
              </w:rPr>
            </w:pPr>
            <w:r>
              <w:rPr>
                <w:sz w:val="22"/>
              </w:rPr>
              <w:t>113,3</w:t>
            </w:r>
          </w:p>
        </w:tc>
      </w:tr>
    </w:tbl>
    <w:p w:rsidR="00000000" w:rsidRDefault="00000000">
      <w:pPr>
        <w:spacing w:before="240" w:after="200"/>
        <w:jc w:val="center"/>
        <w:rPr>
          <w:b/>
          <w:bCs/>
        </w:rPr>
      </w:pPr>
      <w:r>
        <w:rPr>
          <w:b/>
          <w:bCs/>
          <w:u w:val="single"/>
        </w:rPr>
        <w:t>Tableau 2</w:t>
      </w:r>
      <w:r>
        <w:rPr>
          <w:b/>
          <w:bCs/>
        </w:rPr>
        <w:t>. Seuil de pauvreté à la ville et la campagne (en pourcentage)</w:t>
      </w:r>
    </w:p>
    <w:tbl>
      <w:tblPr>
        <w:tblW w:w="9480"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10"/>
        <w:gridCol w:w="1021"/>
        <w:gridCol w:w="1021"/>
        <w:gridCol w:w="1021"/>
        <w:gridCol w:w="1022"/>
        <w:gridCol w:w="1021"/>
        <w:gridCol w:w="1021"/>
        <w:gridCol w:w="1021"/>
        <w:gridCol w:w="1022"/>
      </w:tblGrid>
      <w:tr w:rsidR="00000000">
        <w:tblPrEx>
          <w:tblCellMar>
            <w:top w:w="0" w:type="dxa"/>
            <w:bottom w:w="0" w:type="dxa"/>
          </w:tblCellMar>
        </w:tblPrEx>
        <w:trPr>
          <w:cantSplit/>
        </w:trPr>
        <w:tc>
          <w:tcPr>
            <w:tcW w:w="1310" w:type="dxa"/>
            <w:vMerge w:val="restart"/>
          </w:tcPr>
          <w:p w:rsidR="00000000" w:rsidRDefault="00000000">
            <w:pPr>
              <w:spacing w:before="60" w:after="60"/>
              <w:rPr>
                <w:sz w:val="22"/>
              </w:rPr>
            </w:pPr>
          </w:p>
        </w:tc>
        <w:tc>
          <w:tcPr>
            <w:tcW w:w="4085" w:type="dxa"/>
            <w:gridSpan w:val="4"/>
          </w:tcPr>
          <w:p w:rsidR="00000000" w:rsidRDefault="00000000">
            <w:pPr>
              <w:spacing w:before="60" w:after="60"/>
              <w:jc w:val="center"/>
              <w:rPr>
                <w:sz w:val="22"/>
              </w:rPr>
            </w:pPr>
            <w:r>
              <w:rPr>
                <w:sz w:val="22"/>
              </w:rPr>
              <w:t>1998</w:t>
            </w:r>
          </w:p>
        </w:tc>
        <w:tc>
          <w:tcPr>
            <w:tcW w:w="4085" w:type="dxa"/>
            <w:gridSpan w:val="4"/>
          </w:tcPr>
          <w:p w:rsidR="00000000" w:rsidRDefault="00000000">
            <w:pPr>
              <w:spacing w:before="60" w:after="60"/>
              <w:jc w:val="center"/>
              <w:rPr>
                <w:sz w:val="22"/>
              </w:rPr>
            </w:pPr>
            <w:r>
              <w:rPr>
                <w:sz w:val="22"/>
              </w:rPr>
              <w:t>1999</w:t>
            </w:r>
          </w:p>
        </w:tc>
      </w:tr>
      <w:tr w:rsidR="00000000">
        <w:tblPrEx>
          <w:tblCellMar>
            <w:top w:w="0" w:type="dxa"/>
            <w:bottom w:w="0" w:type="dxa"/>
          </w:tblCellMar>
        </w:tblPrEx>
        <w:trPr>
          <w:cantSplit/>
        </w:trPr>
        <w:tc>
          <w:tcPr>
            <w:tcW w:w="1310" w:type="dxa"/>
            <w:vMerge/>
          </w:tcPr>
          <w:p w:rsidR="00000000" w:rsidRDefault="00000000">
            <w:pPr>
              <w:spacing w:before="60" w:after="60"/>
              <w:rPr>
                <w:sz w:val="22"/>
              </w:rPr>
            </w:pPr>
          </w:p>
        </w:tc>
        <w:tc>
          <w:tcPr>
            <w:tcW w:w="1021" w:type="dxa"/>
          </w:tcPr>
          <w:p w:rsidR="00000000" w:rsidRDefault="00000000">
            <w:pPr>
              <w:spacing w:before="60" w:after="60"/>
              <w:jc w:val="center"/>
              <w:rPr>
                <w:sz w:val="22"/>
              </w:rPr>
            </w:pPr>
            <w:r>
              <w:rPr>
                <w:sz w:val="22"/>
              </w:rPr>
              <w:t>1</w:t>
            </w:r>
            <w:r>
              <w:rPr>
                <w:sz w:val="22"/>
                <w:vertAlign w:val="superscript"/>
              </w:rPr>
              <w:t xml:space="preserve">er </w:t>
            </w:r>
            <w:r>
              <w:rPr>
                <w:sz w:val="22"/>
              </w:rPr>
              <w:t>trimestre</w:t>
            </w:r>
          </w:p>
        </w:tc>
        <w:tc>
          <w:tcPr>
            <w:tcW w:w="1021" w:type="dxa"/>
          </w:tcPr>
          <w:p w:rsidR="00000000" w:rsidRDefault="00000000">
            <w:pPr>
              <w:spacing w:before="60" w:after="60"/>
              <w:jc w:val="center"/>
              <w:rPr>
                <w:sz w:val="22"/>
              </w:rPr>
            </w:pPr>
            <w:r>
              <w:rPr>
                <w:sz w:val="22"/>
              </w:rPr>
              <w:t>2</w:t>
            </w:r>
            <w:r>
              <w:rPr>
                <w:sz w:val="22"/>
                <w:vertAlign w:val="superscript"/>
              </w:rPr>
              <w:t xml:space="preserve">e </w:t>
            </w:r>
            <w:r>
              <w:rPr>
                <w:sz w:val="22"/>
              </w:rPr>
              <w:t>trimestre</w:t>
            </w:r>
          </w:p>
        </w:tc>
        <w:tc>
          <w:tcPr>
            <w:tcW w:w="1021" w:type="dxa"/>
          </w:tcPr>
          <w:p w:rsidR="00000000" w:rsidRDefault="00000000">
            <w:pPr>
              <w:spacing w:before="60" w:after="60"/>
              <w:jc w:val="center"/>
              <w:rPr>
                <w:sz w:val="22"/>
              </w:rPr>
            </w:pPr>
            <w:r>
              <w:rPr>
                <w:sz w:val="22"/>
              </w:rPr>
              <w:t>3</w:t>
            </w:r>
            <w:r>
              <w:rPr>
                <w:sz w:val="22"/>
                <w:vertAlign w:val="superscript"/>
              </w:rPr>
              <w:t xml:space="preserve">e </w:t>
            </w:r>
            <w:r>
              <w:rPr>
                <w:sz w:val="22"/>
              </w:rPr>
              <w:t>trimestre</w:t>
            </w:r>
          </w:p>
        </w:tc>
        <w:tc>
          <w:tcPr>
            <w:tcW w:w="1022" w:type="dxa"/>
          </w:tcPr>
          <w:p w:rsidR="00000000" w:rsidRDefault="00000000">
            <w:pPr>
              <w:spacing w:before="60" w:after="60"/>
              <w:jc w:val="center"/>
              <w:rPr>
                <w:sz w:val="22"/>
              </w:rPr>
            </w:pPr>
            <w:r>
              <w:rPr>
                <w:sz w:val="22"/>
              </w:rPr>
              <w:t>4</w:t>
            </w:r>
            <w:r>
              <w:rPr>
                <w:sz w:val="22"/>
                <w:vertAlign w:val="superscript"/>
              </w:rPr>
              <w:t xml:space="preserve">e </w:t>
            </w:r>
            <w:r>
              <w:rPr>
                <w:sz w:val="22"/>
              </w:rPr>
              <w:t>trimestre</w:t>
            </w:r>
          </w:p>
        </w:tc>
        <w:tc>
          <w:tcPr>
            <w:tcW w:w="1021" w:type="dxa"/>
          </w:tcPr>
          <w:p w:rsidR="00000000" w:rsidRDefault="00000000">
            <w:pPr>
              <w:spacing w:before="60" w:after="60"/>
              <w:jc w:val="center"/>
              <w:rPr>
                <w:sz w:val="22"/>
              </w:rPr>
            </w:pPr>
            <w:r>
              <w:rPr>
                <w:sz w:val="22"/>
              </w:rPr>
              <w:t>1</w:t>
            </w:r>
            <w:r>
              <w:rPr>
                <w:sz w:val="22"/>
                <w:vertAlign w:val="superscript"/>
              </w:rPr>
              <w:t xml:space="preserve">er </w:t>
            </w:r>
            <w:r>
              <w:rPr>
                <w:sz w:val="22"/>
              </w:rPr>
              <w:t>trimestre</w:t>
            </w:r>
          </w:p>
        </w:tc>
        <w:tc>
          <w:tcPr>
            <w:tcW w:w="1021" w:type="dxa"/>
          </w:tcPr>
          <w:p w:rsidR="00000000" w:rsidRDefault="00000000">
            <w:pPr>
              <w:spacing w:before="60" w:after="60"/>
              <w:jc w:val="center"/>
              <w:rPr>
                <w:sz w:val="22"/>
              </w:rPr>
            </w:pPr>
            <w:r>
              <w:rPr>
                <w:sz w:val="22"/>
              </w:rPr>
              <w:t>2</w:t>
            </w:r>
            <w:r>
              <w:rPr>
                <w:sz w:val="22"/>
                <w:vertAlign w:val="superscript"/>
              </w:rPr>
              <w:t xml:space="preserve">e </w:t>
            </w:r>
            <w:r>
              <w:rPr>
                <w:sz w:val="22"/>
              </w:rPr>
              <w:t>trimestre</w:t>
            </w:r>
          </w:p>
        </w:tc>
        <w:tc>
          <w:tcPr>
            <w:tcW w:w="1021" w:type="dxa"/>
          </w:tcPr>
          <w:p w:rsidR="00000000" w:rsidRDefault="00000000">
            <w:pPr>
              <w:spacing w:before="60" w:after="60"/>
              <w:jc w:val="center"/>
              <w:rPr>
                <w:sz w:val="22"/>
              </w:rPr>
            </w:pPr>
            <w:r>
              <w:rPr>
                <w:sz w:val="22"/>
              </w:rPr>
              <w:t>3</w:t>
            </w:r>
            <w:r>
              <w:rPr>
                <w:sz w:val="22"/>
                <w:vertAlign w:val="superscript"/>
              </w:rPr>
              <w:t xml:space="preserve">e </w:t>
            </w:r>
            <w:r>
              <w:rPr>
                <w:sz w:val="22"/>
              </w:rPr>
              <w:t>trimestre</w:t>
            </w:r>
          </w:p>
        </w:tc>
        <w:tc>
          <w:tcPr>
            <w:tcW w:w="1022" w:type="dxa"/>
          </w:tcPr>
          <w:p w:rsidR="00000000" w:rsidRDefault="00000000">
            <w:pPr>
              <w:spacing w:before="60" w:after="60"/>
              <w:jc w:val="center"/>
              <w:rPr>
                <w:sz w:val="22"/>
              </w:rPr>
            </w:pPr>
            <w:r>
              <w:rPr>
                <w:sz w:val="22"/>
              </w:rPr>
              <w:t>4</w:t>
            </w:r>
            <w:r>
              <w:rPr>
                <w:sz w:val="22"/>
                <w:vertAlign w:val="superscript"/>
              </w:rPr>
              <w:t xml:space="preserve">e </w:t>
            </w:r>
            <w:r>
              <w:rPr>
                <w:sz w:val="22"/>
              </w:rPr>
              <w:t>trimestre</w:t>
            </w:r>
          </w:p>
        </w:tc>
      </w:tr>
      <w:tr w:rsidR="00000000">
        <w:tblPrEx>
          <w:tblCellMar>
            <w:top w:w="0" w:type="dxa"/>
            <w:bottom w:w="0" w:type="dxa"/>
          </w:tblCellMar>
        </w:tblPrEx>
        <w:trPr>
          <w:cantSplit/>
        </w:trPr>
        <w:tc>
          <w:tcPr>
            <w:tcW w:w="1310" w:type="dxa"/>
            <w:vMerge/>
          </w:tcPr>
          <w:p w:rsidR="00000000" w:rsidRDefault="00000000">
            <w:pPr>
              <w:spacing w:before="60" w:after="60"/>
              <w:rPr>
                <w:sz w:val="22"/>
              </w:rPr>
            </w:pPr>
          </w:p>
        </w:tc>
        <w:tc>
          <w:tcPr>
            <w:tcW w:w="8170" w:type="dxa"/>
            <w:gridSpan w:val="8"/>
          </w:tcPr>
          <w:p w:rsidR="00000000" w:rsidRDefault="00000000">
            <w:pPr>
              <w:spacing w:before="60" w:after="60"/>
              <w:jc w:val="center"/>
              <w:rPr>
                <w:sz w:val="22"/>
              </w:rPr>
            </w:pPr>
            <w:r>
              <w:rPr>
                <w:sz w:val="22"/>
              </w:rPr>
              <w:t>Par rapport au minimum vital</w:t>
            </w:r>
          </w:p>
        </w:tc>
      </w:tr>
      <w:tr w:rsidR="00000000">
        <w:tblPrEx>
          <w:tblCellMar>
            <w:top w:w="0" w:type="dxa"/>
            <w:bottom w:w="0" w:type="dxa"/>
          </w:tblCellMar>
        </w:tblPrEx>
        <w:trPr>
          <w:cantSplit/>
        </w:trPr>
        <w:tc>
          <w:tcPr>
            <w:tcW w:w="1310" w:type="dxa"/>
          </w:tcPr>
          <w:p w:rsidR="00000000" w:rsidRDefault="00000000">
            <w:pPr>
              <w:spacing w:before="60" w:after="60"/>
              <w:rPr>
                <w:sz w:val="22"/>
              </w:rPr>
            </w:pPr>
            <w:r>
              <w:rPr>
                <w:sz w:val="22"/>
              </w:rPr>
              <w:t>Ville</w:t>
            </w:r>
          </w:p>
        </w:tc>
        <w:tc>
          <w:tcPr>
            <w:tcW w:w="1021" w:type="dxa"/>
          </w:tcPr>
          <w:p w:rsidR="00000000" w:rsidRDefault="00000000">
            <w:pPr>
              <w:spacing w:before="60" w:after="60"/>
              <w:jc w:val="right"/>
              <w:rPr>
                <w:sz w:val="22"/>
              </w:rPr>
            </w:pPr>
            <w:r>
              <w:rPr>
                <w:sz w:val="22"/>
              </w:rPr>
              <w:t>47,9</w:t>
            </w:r>
          </w:p>
        </w:tc>
        <w:tc>
          <w:tcPr>
            <w:tcW w:w="1021" w:type="dxa"/>
          </w:tcPr>
          <w:p w:rsidR="00000000" w:rsidRDefault="00000000">
            <w:pPr>
              <w:spacing w:before="60" w:after="60"/>
              <w:jc w:val="right"/>
              <w:rPr>
                <w:sz w:val="22"/>
              </w:rPr>
            </w:pPr>
            <w:r>
              <w:rPr>
                <w:sz w:val="22"/>
              </w:rPr>
              <w:t>55,9</w:t>
            </w:r>
          </w:p>
        </w:tc>
        <w:tc>
          <w:tcPr>
            <w:tcW w:w="1021" w:type="dxa"/>
          </w:tcPr>
          <w:p w:rsidR="00000000" w:rsidRDefault="00000000">
            <w:pPr>
              <w:spacing w:before="60" w:after="60"/>
              <w:jc w:val="right"/>
              <w:rPr>
                <w:sz w:val="22"/>
              </w:rPr>
            </w:pPr>
            <w:r>
              <w:rPr>
                <w:sz w:val="22"/>
              </w:rPr>
              <w:t>55,3</w:t>
            </w:r>
          </w:p>
        </w:tc>
        <w:tc>
          <w:tcPr>
            <w:tcW w:w="1022" w:type="dxa"/>
          </w:tcPr>
          <w:p w:rsidR="00000000" w:rsidRDefault="00000000">
            <w:pPr>
              <w:spacing w:before="60" w:after="60"/>
              <w:jc w:val="right"/>
              <w:rPr>
                <w:sz w:val="22"/>
              </w:rPr>
            </w:pPr>
            <w:r>
              <w:rPr>
                <w:sz w:val="22"/>
              </w:rPr>
              <w:t>49,7</w:t>
            </w:r>
          </w:p>
        </w:tc>
        <w:tc>
          <w:tcPr>
            <w:tcW w:w="1021" w:type="dxa"/>
          </w:tcPr>
          <w:p w:rsidR="00000000" w:rsidRDefault="00000000">
            <w:pPr>
              <w:spacing w:before="60" w:after="60"/>
              <w:jc w:val="right"/>
              <w:rPr>
                <w:sz w:val="22"/>
              </w:rPr>
            </w:pPr>
            <w:r>
              <w:rPr>
                <w:sz w:val="22"/>
              </w:rPr>
              <w:t>59,4</w:t>
            </w:r>
          </w:p>
        </w:tc>
        <w:tc>
          <w:tcPr>
            <w:tcW w:w="1021" w:type="dxa"/>
          </w:tcPr>
          <w:p w:rsidR="00000000" w:rsidRDefault="00000000">
            <w:pPr>
              <w:spacing w:before="60" w:after="60"/>
              <w:jc w:val="right"/>
              <w:rPr>
                <w:sz w:val="22"/>
              </w:rPr>
            </w:pPr>
            <w:r>
              <w:rPr>
                <w:sz w:val="22"/>
              </w:rPr>
              <w:t>67,5</w:t>
            </w:r>
          </w:p>
        </w:tc>
        <w:tc>
          <w:tcPr>
            <w:tcW w:w="1021" w:type="dxa"/>
          </w:tcPr>
          <w:p w:rsidR="00000000" w:rsidRDefault="00000000">
            <w:pPr>
              <w:spacing w:before="60" w:after="60"/>
              <w:jc w:val="right"/>
              <w:rPr>
                <w:sz w:val="22"/>
              </w:rPr>
            </w:pPr>
            <w:r>
              <w:rPr>
                <w:sz w:val="22"/>
              </w:rPr>
              <w:t>61,1</w:t>
            </w:r>
          </w:p>
        </w:tc>
        <w:tc>
          <w:tcPr>
            <w:tcW w:w="1022" w:type="dxa"/>
          </w:tcPr>
          <w:p w:rsidR="00000000" w:rsidRDefault="00000000">
            <w:pPr>
              <w:spacing w:before="60" w:after="60"/>
              <w:jc w:val="right"/>
              <w:rPr>
                <w:sz w:val="22"/>
              </w:rPr>
            </w:pPr>
            <w:r>
              <w:rPr>
                <w:sz w:val="22"/>
              </w:rPr>
              <w:t>52,7</w:t>
            </w:r>
          </w:p>
        </w:tc>
      </w:tr>
      <w:tr w:rsidR="00000000">
        <w:tblPrEx>
          <w:tblCellMar>
            <w:top w:w="0" w:type="dxa"/>
            <w:bottom w:w="0" w:type="dxa"/>
          </w:tblCellMar>
        </w:tblPrEx>
        <w:trPr>
          <w:cantSplit/>
        </w:trPr>
        <w:tc>
          <w:tcPr>
            <w:tcW w:w="1310" w:type="dxa"/>
          </w:tcPr>
          <w:p w:rsidR="00000000" w:rsidRDefault="00000000">
            <w:pPr>
              <w:spacing w:before="60" w:after="60"/>
              <w:rPr>
                <w:sz w:val="22"/>
              </w:rPr>
            </w:pPr>
            <w:r>
              <w:rPr>
                <w:sz w:val="22"/>
              </w:rPr>
              <w:t>Campagne</w:t>
            </w:r>
          </w:p>
        </w:tc>
        <w:tc>
          <w:tcPr>
            <w:tcW w:w="1021" w:type="dxa"/>
          </w:tcPr>
          <w:p w:rsidR="00000000" w:rsidRDefault="00000000">
            <w:pPr>
              <w:spacing w:before="60" w:after="60"/>
              <w:jc w:val="right"/>
              <w:rPr>
                <w:sz w:val="22"/>
              </w:rPr>
            </w:pPr>
            <w:r>
              <w:rPr>
                <w:sz w:val="22"/>
              </w:rPr>
              <w:t>24,3</w:t>
            </w:r>
          </w:p>
        </w:tc>
        <w:tc>
          <w:tcPr>
            <w:tcW w:w="1021" w:type="dxa"/>
          </w:tcPr>
          <w:p w:rsidR="00000000" w:rsidRDefault="00000000">
            <w:pPr>
              <w:spacing w:before="60" w:after="60"/>
              <w:jc w:val="right"/>
              <w:rPr>
                <w:sz w:val="22"/>
              </w:rPr>
            </w:pPr>
            <w:r>
              <w:rPr>
                <w:sz w:val="22"/>
              </w:rPr>
              <w:t>45,3</w:t>
            </w:r>
          </w:p>
        </w:tc>
        <w:tc>
          <w:tcPr>
            <w:tcW w:w="1021" w:type="dxa"/>
          </w:tcPr>
          <w:p w:rsidR="00000000" w:rsidRDefault="00000000">
            <w:pPr>
              <w:spacing w:before="60" w:after="60"/>
              <w:jc w:val="right"/>
              <w:rPr>
                <w:sz w:val="22"/>
              </w:rPr>
            </w:pPr>
            <w:r>
              <w:rPr>
                <w:sz w:val="22"/>
              </w:rPr>
              <w:t>44,2</w:t>
            </w:r>
          </w:p>
        </w:tc>
        <w:tc>
          <w:tcPr>
            <w:tcW w:w="1022" w:type="dxa"/>
          </w:tcPr>
          <w:p w:rsidR="00000000" w:rsidRDefault="00000000">
            <w:pPr>
              <w:spacing w:before="60" w:after="60"/>
              <w:jc w:val="right"/>
              <w:rPr>
                <w:sz w:val="22"/>
              </w:rPr>
            </w:pPr>
            <w:r>
              <w:rPr>
                <w:sz w:val="22"/>
              </w:rPr>
              <w:t>40,0</w:t>
            </w:r>
          </w:p>
        </w:tc>
        <w:tc>
          <w:tcPr>
            <w:tcW w:w="1021" w:type="dxa"/>
          </w:tcPr>
          <w:p w:rsidR="00000000" w:rsidRDefault="00000000">
            <w:pPr>
              <w:spacing w:before="60" w:after="60"/>
              <w:jc w:val="right"/>
              <w:rPr>
                <w:sz w:val="22"/>
              </w:rPr>
            </w:pPr>
            <w:r>
              <w:rPr>
                <w:sz w:val="22"/>
              </w:rPr>
              <w:t>33,9</w:t>
            </w:r>
          </w:p>
        </w:tc>
        <w:tc>
          <w:tcPr>
            <w:tcW w:w="1021" w:type="dxa"/>
          </w:tcPr>
          <w:p w:rsidR="00000000" w:rsidRDefault="00000000">
            <w:pPr>
              <w:spacing w:before="60" w:after="60"/>
              <w:jc w:val="right"/>
              <w:rPr>
                <w:sz w:val="22"/>
              </w:rPr>
            </w:pPr>
            <w:r>
              <w:rPr>
                <w:sz w:val="22"/>
              </w:rPr>
              <w:t>48,3</w:t>
            </w:r>
          </w:p>
        </w:tc>
        <w:tc>
          <w:tcPr>
            <w:tcW w:w="1021" w:type="dxa"/>
          </w:tcPr>
          <w:p w:rsidR="00000000" w:rsidRDefault="00000000">
            <w:pPr>
              <w:spacing w:before="60" w:after="60"/>
              <w:jc w:val="right"/>
              <w:rPr>
                <w:sz w:val="22"/>
              </w:rPr>
            </w:pPr>
            <w:r>
              <w:rPr>
                <w:sz w:val="22"/>
              </w:rPr>
              <w:t>44,3</w:t>
            </w:r>
          </w:p>
        </w:tc>
        <w:tc>
          <w:tcPr>
            <w:tcW w:w="1022" w:type="dxa"/>
          </w:tcPr>
          <w:p w:rsidR="00000000" w:rsidRDefault="00000000">
            <w:pPr>
              <w:spacing w:before="60" w:after="60"/>
              <w:jc w:val="right"/>
              <w:rPr>
                <w:sz w:val="22"/>
              </w:rPr>
            </w:pPr>
            <w:r>
              <w:rPr>
                <w:sz w:val="22"/>
              </w:rPr>
              <w:t>37,0</w:t>
            </w:r>
          </w:p>
        </w:tc>
      </w:tr>
      <w:tr w:rsidR="00000000">
        <w:tblPrEx>
          <w:tblCellMar>
            <w:top w:w="0" w:type="dxa"/>
            <w:bottom w:w="0" w:type="dxa"/>
          </w:tblCellMar>
        </w:tblPrEx>
        <w:trPr>
          <w:cantSplit/>
        </w:trPr>
        <w:tc>
          <w:tcPr>
            <w:tcW w:w="1310" w:type="dxa"/>
          </w:tcPr>
          <w:p w:rsidR="00000000" w:rsidRDefault="00000000">
            <w:pPr>
              <w:spacing w:before="60" w:after="60"/>
              <w:rPr>
                <w:sz w:val="22"/>
              </w:rPr>
            </w:pPr>
          </w:p>
        </w:tc>
        <w:tc>
          <w:tcPr>
            <w:tcW w:w="8170" w:type="dxa"/>
            <w:gridSpan w:val="8"/>
          </w:tcPr>
          <w:p w:rsidR="00000000" w:rsidRDefault="00000000">
            <w:pPr>
              <w:spacing w:before="60" w:after="60"/>
              <w:jc w:val="center"/>
              <w:rPr>
                <w:sz w:val="22"/>
              </w:rPr>
            </w:pPr>
            <w:r>
              <w:rPr>
                <w:sz w:val="22"/>
              </w:rPr>
              <w:t>Par rapport à 60 % de la consommation moyenne</w:t>
            </w:r>
          </w:p>
        </w:tc>
      </w:tr>
      <w:tr w:rsidR="00000000">
        <w:tblPrEx>
          <w:tblCellMar>
            <w:top w:w="0" w:type="dxa"/>
            <w:bottom w:w="0" w:type="dxa"/>
          </w:tblCellMar>
        </w:tblPrEx>
        <w:trPr>
          <w:cantSplit/>
        </w:trPr>
        <w:tc>
          <w:tcPr>
            <w:tcW w:w="1310" w:type="dxa"/>
          </w:tcPr>
          <w:p w:rsidR="00000000" w:rsidRDefault="00000000">
            <w:pPr>
              <w:spacing w:before="60" w:after="60"/>
              <w:rPr>
                <w:sz w:val="22"/>
              </w:rPr>
            </w:pPr>
            <w:r>
              <w:rPr>
                <w:sz w:val="22"/>
              </w:rPr>
              <w:t>Ville</w:t>
            </w:r>
          </w:p>
        </w:tc>
        <w:tc>
          <w:tcPr>
            <w:tcW w:w="1021" w:type="dxa"/>
          </w:tcPr>
          <w:p w:rsidR="00000000" w:rsidRDefault="00000000">
            <w:pPr>
              <w:spacing w:before="60" w:after="60"/>
              <w:jc w:val="right"/>
              <w:rPr>
                <w:sz w:val="22"/>
              </w:rPr>
            </w:pPr>
            <w:r>
              <w:rPr>
                <w:sz w:val="22"/>
              </w:rPr>
              <w:t>18,6</w:t>
            </w:r>
          </w:p>
        </w:tc>
        <w:tc>
          <w:tcPr>
            <w:tcW w:w="1021" w:type="dxa"/>
          </w:tcPr>
          <w:p w:rsidR="00000000" w:rsidRDefault="00000000">
            <w:pPr>
              <w:spacing w:before="60" w:after="60"/>
              <w:jc w:val="right"/>
              <w:rPr>
                <w:sz w:val="22"/>
              </w:rPr>
            </w:pPr>
            <w:r>
              <w:rPr>
                <w:sz w:val="22"/>
              </w:rPr>
              <w:t>28,0</w:t>
            </w:r>
          </w:p>
        </w:tc>
        <w:tc>
          <w:tcPr>
            <w:tcW w:w="1021" w:type="dxa"/>
          </w:tcPr>
          <w:p w:rsidR="00000000" w:rsidRDefault="00000000">
            <w:pPr>
              <w:spacing w:before="60" w:after="60"/>
              <w:jc w:val="right"/>
              <w:rPr>
                <w:sz w:val="22"/>
              </w:rPr>
            </w:pPr>
            <w:r>
              <w:rPr>
                <w:sz w:val="22"/>
              </w:rPr>
              <w:t>27,3</w:t>
            </w:r>
          </w:p>
        </w:tc>
        <w:tc>
          <w:tcPr>
            <w:tcW w:w="1022" w:type="dxa"/>
          </w:tcPr>
          <w:p w:rsidR="00000000" w:rsidRDefault="00000000">
            <w:pPr>
              <w:spacing w:before="60" w:after="60"/>
              <w:jc w:val="right"/>
              <w:rPr>
                <w:sz w:val="22"/>
              </w:rPr>
            </w:pPr>
            <w:r>
              <w:rPr>
                <w:sz w:val="22"/>
              </w:rPr>
              <w:t>25,6</w:t>
            </w:r>
          </w:p>
        </w:tc>
        <w:tc>
          <w:tcPr>
            <w:tcW w:w="1021" w:type="dxa"/>
          </w:tcPr>
          <w:p w:rsidR="00000000" w:rsidRDefault="00000000">
            <w:pPr>
              <w:spacing w:before="60" w:after="60"/>
              <w:jc w:val="right"/>
              <w:rPr>
                <w:sz w:val="22"/>
              </w:rPr>
            </w:pPr>
            <w:r>
              <w:rPr>
                <w:sz w:val="22"/>
              </w:rPr>
              <w:t>29,1</w:t>
            </w:r>
          </w:p>
        </w:tc>
        <w:tc>
          <w:tcPr>
            <w:tcW w:w="1021" w:type="dxa"/>
          </w:tcPr>
          <w:p w:rsidR="00000000" w:rsidRDefault="00000000">
            <w:pPr>
              <w:spacing w:before="60" w:after="60"/>
              <w:jc w:val="right"/>
              <w:rPr>
                <w:sz w:val="22"/>
              </w:rPr>
            </w:pPr>
            <w:r>
              <w:rPr>
                <w:sz w:val="22"/>
              </w:rPr>
              <w:t>29,1</w:t>
            </w:r>
          </w:p>
        </w:tc>
        <w:tc>
          <w:tcPr>
            <w:tcW w:w="1021" w:type="dxa"/>
          </w:tcPr>
          <w:p w:rsidR="00000000" w:rsidRDefault="00000000">
            <w:pPr>
              <w:spacing w:before="60" w:after="60"/>
              <w:jc w:val="right"/>
              <w:rPr>
                <w:sz w:val="22"/>
              </w:rPr>
            </w:pPr>
            <w:r>
              <w:rPr>
                <w:sz w:val="22"/>
              </w:rPr>
              <w:t>27,1</w:t>
            </w:r>
          </w:p>
        </w:tc>
        <w:tc>
          <w:tcPr>
            <w:tcW w:w="1022" w:type="dxa"/>
          </w:tcPr>
          <w:p w:rsidR="00000000" w:rsidRDefault="00000000">
            <w:pPr>
              <w:spacing w:before="60" w:after="60"/>
              <w:jc w:val="right"/>
              <w:rPr>
                <w:sz w:val="22"/>
              </w:rPr>
            </w:pPr>
            <w:r>
              <w:rPr>
                <w:sz w:val="22"/>
              </w:rPr>
              <w:t>29,3</w:t>
            </w:r>
          </w:p>
        </w:tc>
      </w:tr>
      <w:tr w:rsidR="00000000">
        <w:tblPrEx>
          <w:tblCellMar>
            <w:top w:w="0" w:type="dxa"/>
            <w:bottom w:w="0" w:type="dxa"/>
          </w:tblCellMar>
        </w:tblPrEx>
        <w:trPr>
          <w:cantSplit/>
        </w:trPr>
        <w:tc>
          <w:tcPr>
            <w:tcW w:w="1310" w:type="dxa"/>
          </w:tcPr>
          <w:p w:rsidR="00000000" w:rsidRDefault="00000000">
            <w:pPr>
              <w:spacing w:before="60" w:after="60"/>
              <w:rPr>
                <w:sz w:val="22"/>
              </w:rPr>
            </w:pPr>
            <w:r>
              <w:rPr>
                <w:sz w:val="22"/>
              </w:rPr>
              <w:t>Campagne</w:t>
            </w:r>
          </w:p>
        </w:tc>
        <w:tc>
          <w:tcPr>
            <w:tcW w:w="1021" w:type="dxa"/>
          </w:tcPr>
          <w:p w:rsidR="00000000" w:rsidRDefault="00000000">
            <w:pPr>
              <w:spacing w:before="60" w:after="60"/>
              <w:jc w:val="right"/>
              <w:rPr>
                <w:sz w:val="22"/>
              </w:rPr>
            </w:pPr>
            <w:r>
              <w:rPr>
                <w:sz w:val="22"/>
              </w:rPr>
              <w:t>10,4</w:t>
            </w:r>
          </w:p>
        </w:tc>
        <w:tc>
          <w:tcPr>
            <w:tcW w:w="1021" w:type="dxa"/>
          </w:tcPr>
          <w:p w:rsidR="00000000" w:rsidRDefault="00000000">
            <w:pPr>
              <w:spacing w:before="60" w:after="60"/>
              <w:jc w:val="right"/>
              <w:rPr>
                <w:sz w:val="22"/>
              </w:rPr>
            </w:pPr>
            <w:r>
              <w:rPr>
                <w:sz w:val="22"/>
              </w:rPr>
              <w:t>20,6</w:t>
            </w:r>
          </w:p>
        </w:tc>
        <w:tc>
          <w:tcPr>
            <w:tcW w:w="1021" w:type="dxa"/>
          </w:tcPr>
          <w:p w:rsidR="00000000" w:rsidRDefault="00000000">
            <w:pPr>
              <w:spacing w:before="60" w:after="60"/>
              <w:jc w:val="right"/>
              <w:rPr>
                <w:sz w:val="22"/>
              </w:rPr>
            </w:pPr>
            <w:r>
              <w:rPr>
                <w:sz w:val="22"/>
              </w:rPr>
              <w:t>17,0</w:t>
            </w:r>
          </w:p>
        </w:tc>
        <w:tc>
          <w:tcPr>
            <w:tcW w:w="1022" w:type="dxa"/>
          </w:tcPr>
          <w:p w:rsidR="00000000" w:rsidRDefault="00000000">
            <w:pPr>
              <w:spacing w:before="60" w:after="60"/>
              <w:jc w:val="right"/>
              <w:rPr>
                <w:sz w:val="22"/>
              </w:rPr>
            </w:pPr>
            <w:r>
              <w:rPr>
                <w:sz w:val="22"/>
              </w:rPr>
              <w:t>18,4</w:t>
            </w:r>
          </w:p>
        </w:tc>
        <w:tc>
          <w:tcPr>
            <w:tcW w:w="1021" w:type="dxa"/>
          </w:tcPr>
          <w:p w:rsidR="00000000" w:rsidRDefault="00000000">
            <w:pPr>
              <w:spacing w:before="60" w:after="60"/>
              <w:jc w:val="right"/>
              <w:rPr>
                <w:sz w:val="22"/>
              </w:rPr>
            </w:pPr>
            <w:r>
              <w:rPr>
                <w:sz w:val="22"/>
              </w:rPr>
              <w:t>15,5</w:t>
            </w:r>
          </w:p>
        </w:tc>
        <w:tc>
          <w:tcPr>
            <w:tcW w:w="1021" w:type="dxa"/>
          </w:tcPr>
          <w:p w:rsidR="00000000" w:rsidRDefault="00000000">
            <w:pPr>
              <w:spacing w:before="60" w:after="60"/>
              <w:jc w:val="right"/>
              <w:rPr>
                <w:sz w:val="22"/>
              </w:rPr>
            </w:pPr>
            <w:r>
              <w:rPr>
                <w:sz w:val="22"/>
              </w:rPr>
              <w:t>15,7</w:t>
            </w:r>
          </w:p>
        </w:tc>
        <w:tc>
          <w:tcPr>
            <w:tcW w:w="1021" w:type="dxa"/>
          </w:tcPr>
          <w:p w:rsidR="00000000" w:rsidRDefault="00000000">
            <w:pPr>
              <w:spacing w:before="60" w:after="60"/>
              <w:jc w:val="right"/>
              <w:rPr>
                <w:sz w:val="22"/>
              </w:rPr>
            </w:pPr>
            <w:r>
              <w:rPr>
                <w:sz w:val="22"/>
              </w:rPr>
              <w:t>18,4</w:t>
            </w:r>
          </w:p>
        </w:tc>
        <w:tc>
          <w:tcPr>
            <w:tcW w:w="1022" w:type="dxa"/>
          </w:tcPr>
          <w:p w:rsidR="00000000" w:rsidRDefault="00000000">
            <w:pPr>
              <w:spacing w:before="60" w:after="60"/>
              <w:jc w:val="right"/>
              <w:rPr>
                <w:sz w:val="22"/>
              </w:rPr>
            </w:pPr>
            <w:r>
              <w:rPr>
                <w:sz w:val="22"/>
              </w:rPr>
              <w:t>18,1</w:t>
            </w:r>
          </w:p>
        </w:tc>
      </w:tr>
      <w:tr w:rsidR="00000000">
        <w:tblPrEx>
          <w:tblCellMar>
            <w:top w:w="0" w:type="dxa"/>
            <w:bottom w:w="0" w:type="dxa"/>
          </w:tblCellMar>
        </w:tblPrEx>
        <w:trPr>
          <w:cantSplit/>
        </w:trPr>
        <w:tc>
          <w:tcPr>
            <w:tcW w:w="1310" w:type="dxa"/>
          </w:tcPr>
          <w:p w:rsidR="00000000" w:rsidRDefault="00000000">
            <w:pPr>
              <w:spacing w:before="60" w:after="60"/>
              <w:rPr>
                <w:sz w:val="22"/>
              </w:rPr>
            </w:pPr>
          </w:p>
        </w:tc>
        <w:tc>
          <w:tcPr>
            <w:tcW w:w="8170" w:type="dxa"/>
            <w:gridSpan w:val="8"/>
          </w:tcPr>
          <w:p w:rsidR="00000000" w:rsidRDefault="00000000">
            <w:pPr>
              <w:spacing w:before="60" w:after="60"/>
              <w:jc w:val="center"/>
              <w:rPr>
                <w:sz w:val="22"/>
              </w:rPr>
            </w:pPr>
            <w:r>
              <w:rPr>
                <w:sz w:val="22"/>
              </w:rPr>
              <w:t>Par rapport à 40 % de la consommation moyenne</w:t>
            </w:r>
          </w:p>
        </w:tc>
      </w:tr>
      <w:tr w:rsidR="00000000">
        <w:tblPrEx>
          <w:tblCellMar>
            <w:top w:w="0" w:type="dxa"/>
            <w:bottom w:w="0" w:type="dxa"/>
          </w:tblCellMar>
        </w:tblPrEx>
        <w:trPr>
          <w:cantSplit/>
        </w:trPr>
        <w:tc>
          <w:tcPr>
            <w:tcW w:w="1310" w:type="dxa"/>
          </w:tcPr>
          <w:p w:rsidR="00000000" w:rsidRDefault="00000000">
            <w:pPr>
              <w:spacing w:before="60" w:after="60"/>
              <w:rPr>
                <w:sz w:val="22"/>
              </w:rPr>
            </w:pPr>
            <w:r>
              <w:rPr>
                <w:sz w:val="22"/>
              </w:rPr>
              <w:t>Ville</w:t>
            </w:r>
          </w:p>
        </w:tc>
        <w:tc>
          <w:tcPr>
            <w:tcW w:w="1021" w:type="dxa"/>
          </w:tcPr>
          <w:p w:rsidR="00000000" w:rsidRDefault="00000000">
            <w:pPr>
              <w:spacing w:before="60" w:after="60"/>
              <w:jc w:val="right"/>
              <w:rPr>
                <w:sz w:val="22"/>
              </w:rPr>
            </w:pPr>
            <w:r>
              <w:rPr>
                <w:sz w:val="22"/>
              </w:rPr>
              <w:t>7,8</w:t>
            </w:r>
          </w:p>
        </w:tc>
        <w:tc>
          <w:tcPr>
            <w:tcW w:w="1021" w:type="dxa"/>
          </w:tcPr>
          <w:p w:rsidR="00000000" w:rsidRDefault="00000000">
            <w:pPr>
              <w:spacing w:before="60" w:after="60"/>
              <w:jc w:val="right"/>
              <w:rPr>
                <w:sz w:val="22"/>
              </w:rPr>
            </w:pPr>
            <w:r>
              <w:rPr>
                <w:sz w:val="22"/>
              </w:rPr>
              <w:t>12,3</w:t>
            </w:r>
          </w:p>
        </w:tc>
        <w:tc>
          <w:tcPr>
            <w:tcW w:w="1021" w:type="dxa"/>
          </w:tcPr>
          <w:p w:rsidR="00000000" w:rsidRDefault="00000000">
            <w:pPr>
              <w:spacing w:before="60" w:after="60"/>
              <w:jc w:val="right"/>
              <w:rPr>
                <w:sz w:val="22"/>
              </w:rPr>
            </w:pPr>
            <w:r>
              <w:rPr>
                <w:sz w:val="22"/>
              </w:rPr>
              <w:t>13,1</w:t>
            </w:r>
          </w:p>
        </w:tc>
        <w:tc>
          <w:tcPr>
            <w:tcW w:w="1022" w:type="dxa"/>
          </w:tcPr>
          <w:p w:rsidR="00000000" w:rsidRDefault="00000000">
            <w:pPr>
              <w:spacing w:before="60" w:after="60"/>
              <w:jc w:val="right"/>
              <w:rPr>
                <w:sz w:val="22"/>
              </w:rPr>
            </w:pPr>
            <w:r>
              <w:rPr>
                <w:sz w:val="22"/>
              </w:rPr>
              <w:t>12,8</w:t>
            </w:r>
          </w:p>
        </w:tc>
        <w:tc>
          <w:tcPr>
            <w:tcW w:w="1021" w:type="dxa"/>
          </w:tcPr>
          <w:p w:rsidR="00000000" w:rsidRDefault="00000000">
            <w:pPr>
              <w:spacing w:before="60" w:after="60"/>
              <w:jc w:val="right"/>
              <w:rPr>
                <w:sz w:val="22"/>
              </w:rPr>
            </w:pPr>
            <w:r>
              <w:rPr>
                <w:sz w:val="22"/>
              </w:rPr>
              <w:t>12,1</w:t>
            </w:r>
          </w:p>
        </w:tc>
        <w:tc>
          <w:tcPr>
            <w:tcW w:w="1021" w:type="dxa"/>
          </w:tcPr>
          <w:p w:rsidR="00000000" w:rsidRDefault="00000000">
            <w:pPr>
              <w:spacing w:before="60" w:after="60"/>
              <w:jc w:val="right"/>
              <w:rPr>
                <w:sz w:val="22"/>
              </w:rPr>
            </w:pPr>
            <w:r>
              <w:rPr>
                <w:sz w:val="22"/>
              </w:rPr>
              <w:t>13,4</w:t>
            </w:r>
          </w:p>
        </w:tc>
        <w:tc>
          <w:tcPr>
            <w:tcW w:w="1021" w:type="dxa"/>
          </w:tcPr>
          <w:p w:rsidR="00000000" w:rsidRDefault="00000000">
            <w:pPr>
              <w:spacing w:before="60" w:after="60"/>
              <w:jc w:val="right"/>
              <w:rPr>
                <w:sz w:val="22"/>
              </w:rPr>
            </w:pPr>
            <w:r>
              <w:rPr>
                <w:sz w:val="22"/>
              </w:rPr>
              <w:t>11,4</w:t>
            </w:r>
          </w:p>
        </w:tc>
        <w:tc>
          <w:tcPr>
            <w:tcW w:w="1022" w:type="dxa"/>
          </w:tcPr>
          <w:p w:rsidR="00000000" w:rsidRDefault="00000000">
            <w:pPr>
              <w:spacing w:before="60" w:after="60"/>
              <w:jc w:val="right"/>
              <w:rPr>
                <w:sz w:val="22"/>
              </w:rPr>
            </w:pPr>
            <w:r>
              <w:rPr>
                <w:sz w:val="22"/>
              </w:rPr>
              <w:t>11,3</w:t>
            </w:r>
          </w:p>
        </w:tc>
      </w:tr>
      <w:tr w:rsidR="00000000">
        <w:tblPrEx>
          <w:tblCellMar>
            <w:top w:w="0" w:type="dxa"/>
            <w:bottom w:w="0" w:type="dxa"/>
          </w:tblCellMar>
        </w:tblPrEx>
        <w:trPr>
          <w:cantSplit/>
        </w:trPr>
        <w:tc>
          <w:tcPr>
            <w:tcW w:w="1310" w:type="dxa"/>
          </w:tcPr>
          <w:p w:rsidR="00000000" w:rsidRDefault="00000000">
            <w:pPr>
              <w:spacing w:before="60" w:after="60"/>
              <w:rPr>
                <w:b/>
                <w:bCs/>
                <w:sz w:val="22"/>
                <w:u w:val="single"/>
              </w:rPr>
            </w:pPr>
            <w:r>
              <w:rPr>
                <w:sz w:val="22"/>
              </w:rPr>
              <w:t>Campagne</w:t>
            </w:r>
          </w:p>
        </w:tc>
        <w:tc>
          <w:tcPr>
            <w:tcW w:w="1021" w:type="dxa"/>
          </w:tcPr>
          <w:p w:rsidR="00000000" w:rsidRDefault="00000000">
            <w:pPr>
              <w:spacing w:before="60" w:after="60"/>
              <w:jc w:val="right"/>
              <w:rPr>
                <w:sz w:val="22"/>
              </w:rPr>
            </w:pPr>
            <w:r>
              <w:rPr>
                <w:sz w:val="22"/>
              </w:rPr>
              <w:t>6,3</w:t>
            </w:r>
          </w:p>
        </w:tc>
        <w:tc>
          <w:tcPr>
            <w:tcW w:w="1021" w:type="dxa"/>
          </w:tcPr>
          <w:p w:rsidR="00000000" w:rsidRDefault="00000000">
            <w:pPr>
              <w:spacing w:before="60" w:after="60"/>
              <w:jc w:val="right"/>
              <w:rPr>
                <w:sz w:val="22"/>
              </w:rPr>
            </w:pPr>
            <w:r>
              <w:rPr>
                <w:sz w:val="22"/>
              </w:rPr>
              <w:t>8,9</w:t>
            </w:r>
          </w:p>
        </w:tc>
        <w:tc>
          <w:tcPr>
            <w:tcW w:w="1021" w:type="dxa"/>
          </w:tcPr>
          <w:p w:rsidR="00000000" w:rsidRDefault="00000000">
            <w:pPr>
              <w:spacing w:before="60" w:after="60"/>
              <w:jc w:val="right"/>
              <w:rPr>
                <w:sz w:val="22"/>
              </w:rPr>
            </w:pPr>
            <w:r>
              <w:rPr>
                <w:sz w:val="22"/>
              </w:rPr>
              <w:t>6,8</w:t>
            </w:r>
          </w:p>
        </w:tc>
        <w:tc>
          <w:tcPr>
            <w:tcW w:w="1022" w:type="dxa"/>
          </w:tcPr>
          <w:p w:rsidR="00000000" w:rsidRDefault="00000000">
            <w:pPr>
              <w:spacing w:before="60" w:after="60"/>
              <w:jc w:val="right"/>
              <w:rPr>
                <w:sz w:val="22"/>
              </w:rPr>
            </w:pPr>
            <w:r>
              <w:rPr>
                <w:sz w:val="22"/>
              </w:rPr>
              <w:t>8,9</w:t>
            </w:r>
          </w:p>
        </w:tc>
        <w:tc>
          <w:tcPr>
            <w:tcW w:w="1021" w:type="dxa"/>
          </w:tcPr>
          <w:p w:rsidR="00000000" w:rsidRDefault="00000000">
            <w:pPr>
              <w:spacing w:before="60" w:after="60"/>
              <w:jc w:val="right"/>
              <w:rPr>
                <w:sz w:val="22"/>
              </w:rPr>
            </w:pPr>
            <w:r>
              <w:rPr>
                <w:sz w:val="22"/>
              </w:rPr>
              <w:t>7,5</w:t>
            </w:r>
          </w:p>
        </w:tc>
        <w:tc>
          <w:tcPr>
            <w:tcW w:w="1021" w:type="dxa"/>
          </w:tcPr>
          <w:p w:rsidR="00000000" w:rsidRDefault="00000000">
            <w:pPr>
              <w:spacing w:before="60" w:after="60"/>
              <w:jc w:val="right"/>
              <w:rPr>
                <w:sz w:val="22"/>
              </w:rPr>
            </w:pPr>
            <w:r>
              <w:rPr>
                <w:sz w:val="22"/>
              </w:rPr>
              <w:t>6,4</w:t>
            </w:r>
          </w:p>
        </w:tc>
        <w:tc>
          <w:tcPr>
            <w:tcW w:w="1021" w:type="dxa"/>
          </w:tcPr>
          <w:p w:rsidR="00000000" w:rsidRDefault="00000000">
            <w:pPr>
              <w:spacing w:before="60" w:after="60"/>
              <w:jc w:val="right"/>
              <w:rPr>
                <w:sz w:val="22"/>
              </w:rPr>
            </w:pPr>
            <w:r>
              <w:rPr>
                <w:sz w:val="22"/>
              </w:rPr>
              <w:t>8,7</w:t>
            </w:r>
          </w:p>
        </w:tc>
        <w:tc>
          <w:tcPr>
            <w:tcW w:w="1022" w:type="dxa"/>
          </w:tcPr>
          <w:p w:rsidR="00000000" w:rsidRDefault="00000000">
            <w:pPr>
              <w:spacing w:before="60" w:after="60"/>
              <w:jc w:val="right"/>
              <w:rPr>
                <w:sz w:val="22"/>
              </w:rPr>
            </w:pPr>
            <w:r>
              <w:rPr>
                <w:sz w:val="22"/>
              </w:rPr>
              <w:t>8,7</w:t>
            </w:r>
          </w:p>
        </w:tc>
      </w:tr>
    </w:tbl>
    <w:p w:rsidR="00000000" w:rsidRDefault="00000000">
      <w:pPr>
        <w:keepNext/>
        <w:spacing w:before="240" w:after="240"/>
        <w:jc w:val="center"/>
      </w:pPr>
      <w:r>
        <w:rPr>
          <w:b/>
          <w:bCs/>
          <w:u w:val="single"/>
        </w:rPr>
        <w:t>Tableau 3</w:t>
      </w:r>
      <w:r>
        <w:rPr>
          <w:b/>
          <w:bCs/>
        </w:rPr>
        <w:t>. Ampleur de la pauvreté à la ville et à la campagne (en pourcentage)</w:t>
      </w:r>
    </w:p>
    <w:tbl>
      <w:tblPr>
        <w:tblW w:w="9480"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10"/>
        <w:gridCol w:w="1021"/>
        <w:gridCol w:w="1021"/>
        <w:gridCol w:w="1021"/>
        <w:gridCol w:w="1022"/>
        <w:gridCol w:w="1021"/>
        <w:gridCol w:w="1021"/>
        <w:gridCol w:w="1021"/>
        <w:gridCol w:w="1022"/>
      </w:tblGrid>
      <w:tr w:rsidR="00000000">
        <w:tblPrEx>
          <w:tblCellMar>
            <w:top w:w="0" w:type="dxa"/>
            <w:bottom w:w="0" w:type="dxa"/>
          </w:tblCellMar>
        </w:tblPrEx>
        <w:trPr>
          <w:cantSplit/>
        </w:trPr>
        <w:tc>
          <w:tcPr>
            <w:tcW w:w="1310" w:type="dxa"/>
            <w:vMerge w:val="restart"/>
          </w:tcPr>
          <w:p w:rsidR="00000000" w:rsidRDefault="00000000">
            <w:pPr>
              <w:keepNext/>
              <w:spacing w:before="60" w:after="60"/>
              <w:rPr>
                <w:sz w:val="22"/>
              </w:rPr>
            </w:pPr>
          </w:p>
        </w:tc>
        <w:tc>
          <w:tcPr>
            <w:tcW w:w="4085" w:type="dxa"/>
            <w:gridSpan w:val="4"/>
          </w:tcPr>
          <w:p w:rsidR="00000000" w:rsidRDefault="00000000">
            <w:pPr>
              <w:keepNext/>
              <w:spacing w:before="60" w:after="60"/>
              <w:jc w:val="center"/>
              <w:rPr>
                <w:sz w:val="22"/>
              </w:rPr>
            </w:pPr>
            <w:r>
              <w:rPr>
                <w:sz w:val="22"/>
              </w:rPr>
              <w:t>1998</w:t>
            </w:r>
          </w:p>
        </w:tc>
        <w:tc>
          <w:tcPr>
            <w:tcW w:w="4085" w:type="dxa"/>
            <w:gridSpan w:val="4"/>
          </w:tcPr>
          <w:p w:rsidR="00000000" w:rsidRDefault="00000000">
            <w:pPr>
              <w:keepNext/>
              <w:spacing w:before="60" w:after="60"/>
              <w:jc w:val="center"/>
              <w:rPr>
                <w:sz w:val="22"/>
              </w:rPr>
            </w:pPr>
            <w:r>
              <w:rPr>
                <w:sz w:val="22"/>
              </w:rPr>
              <w:t>1999</w:t>
            </w:r>
          </w:p>
        </w:tc>
      </w:tr>
      <w:tr w:rsidR="00000000">
        <w:tblPrEx>
          <w:tblCellMar>
            <w:top w:w="0" w:type="dxa"/>
            <w:bottom w:w="0" w:type="dxa"/>
          </w:tblCellMar>
        </w:tblPrEx>
        <w:trPr>
          <w:cantSplit/>
        </w:trPr>
        <w:tc>
          <w:tcPr>
            <w:tcW w:w="1310" w:type="dxa"/>
            <w:vMerge/>
          </w:tcPr>
          <w:p w:rsidR="00000000" w:rsidRDefault="00000000">
            <w:pPr>
              <w:keepNext/>
              <w:spacing w:before="60" w:after="60"/>
              <w:rPr>
                <w:sz w:val="22"/>
              </w:rPr>
            </w:pPr>
          </w:p>
        </w:tc>
        <w:tc>
          <w:tcPr>
            <w:tcW w:w="1021" w:type="dxa"/>
          </w:tcPr>
          <w:p w:rsidR="00000000" w:rsidRDefault="00000000">
            <w:pPr>
              <w:keepNext/>
              <w:spacing w:before="60" w:after="60"/>
              <w:jc w:val="center"/>
              <w:rPr>
                <w:sz w:val="22"/>
              </w:rPr>
            </w:pPr>
            <w:r>
              <w:rPr>
                <w:sz w:val="22"/>
              </w:rPr>
              <w:t>1</w:t>
            </w:r>
            <w:r>
              <w:rPr>
                <w:sz w:val="22"/>
                <w:vertAlign w:val="superscript"/>
              </w:rPr>
              <w:t xml:space="preserve">er </w:t>
            </w:r>
            <w:r>
              <w:rPr>
                <w:sz w:val="22"/>
              </w:rPr>
              <w:t>trimestre</w:t>
            </w:r>
          </w:p>
        </w:tc>
        <w:tc>
          <w:tcPr>
            <w:tcW w:w="1021" w:type="dxa"/>
          </w:tcPr>
          <w:p w:rsidR="00000000" w:rsidRDefault="00000000">
            <w:pPr>
              <w:keepNext/>
              <w:spacing w:before="60" w:after="60"/>
              <w:jc w:val="center"/>
              <w:rPr>
                <w:sz w:val="22"/>
              </w:rPr>
            </w:pPr>
            <w:r>
              <w:rPr>
                <w:sz w:val="22"/>
              </w:rPr>
              <w:t>2</w:t>
            </w:r>
            <w:r>
              <w:rPr>
                <w:sz w:val="22"/>
                <w:vertAlign w:val="superscript"/>
              </w:rPr>
              <w:t xml:space="preserve">e </w:t>
            </w:r>
            <w:r>
              <w:rPr>
                <w:sz w:val="22"/>
              </w:rPr>
              <w:t>trimestre</w:t>
            </w:r>
          </w:p>
        </w:tc>
        <w:tc>
          <w:tcPr>
            <w:tcW w:w="1021" w:type="dxa"/>
          </w:tcPr>
          <w:p w:rsidR="00000000" w:rsidRDefault="00000000">
            <w:pPr>
              <w:keepNext/>
              <w:spacing w:before="60" w:after="60"/>
              <w:jc w:val="center"/>
              <w:rPr>
                <w:sz w:val="22"/>
              </w:rPr>
            </w:pPr>
            <w:r>
              <w:rPr>
                <w:sz w:val="22"/>
              </w:rPr>
              <w:t>3</w:t>
            </w:r>
            <w:r>
              <w:rPr>
                <w:sz w:val="22"/>
                <w:vertAlign w:val="superscript"/>
              </w:rPr>
              <w:t xml:space="preserve">e </w:t>
            </w:r>
            <w:r>
              <w:rPr>
                <w:sz w:val="22"/>
              </w:rPr>
              <w:t>trimestre</w:t>
            </w:r>
          </w:p>
        </w:tc>
        <w:tc>
          <w:tcPr>
            <w:tcW w:w="1022" w:type="dxa"/>
          </w:tcPr>
          <w:p w:rsidR="00000000" w:rsidRDefault="00000000">
            <w:pPr>
              <w:keepNext/>
              <w:spacing w:before="60" w:after="60"/>
              <w:jc w:val="center"/>
              <w:rPr>
                <w:sz w:val="22"/>
              </w:rPr>
            </w:pPr>
            <w:r>
              <w:rPr>
                <w:sz w:val="22"/>
              </w:rPr>
              <w:t>4</w:t>
            </w:r>
            <w:r>
              <w:rPr>
                <w:sz w:val="22"/>
                <w:vertAlign w:val="superscript"/>
              </w:rPr>
              <w:t xml:space="preserve">e </w:t>
            </w:r>
            <w:r>
              <w:rPr>
                <w:sz w:val="22"/>
              </w:rPr>
              <w:t>trimestre</w:t>
            </w:r>
          </w:p>
        </w:tc>
        <w:tc>
          <w:tcPr>
            <w:tcW w:w="1021" w:type="dxa"/>
          </w:tcPr>
          <w:p w:rsidR="00000000" w:rsidRDefault="00000000">
            <w:pPr>
              <w:keepNext/>
              <w:spacing w:before="60" w:after="60"/>
              <w:jc w:val="center"/>
              <w:rPr>
                <w:sz w:val="22"/>
              </w:rPr>
            </w:pPr>
            <w:r>
              <w:rPr>
                <w:sz w:val="22"/>
              </w:rPr>
              <w:t>1</w:t>
            </w:r>
            <w:r>
              <w:rPr>
                <w:sz w:val="22"/>
                <w:vertAlign w:val="superscript"/>
              </w:rPr>
              <w:t xml:space="preserve">er </w:t>
            </w:r>
            <w:r>
              <w:rPr>
                <w:sz w:val="22"/>
              </w:rPr>
              <w:t>trimestre</w:t>
            </w:r>
          </w:p>
        </w:tc>
        <w:tc>
          <w:tcPr>
            <w:tcW w:w="1021" w:type="dxa"/>
          </w:tcPr>
          <w:p w:rsidR="00000000" w:rsidRDefault="00000000">
            <w:pPr>
              <w:keepNext/>
              <w:spacing w:before="60" w:after="60"/>
              <w:jc w:val="center"/>
              <w:rPr>
                <w:sz w:val="22"/>
              </w:rPr>
            </w:pPr>
            <w:r>
              <w:rPr>
                <w:sz w:val="22"/>
              </w:rPr>
              <w:t>2</w:t>
            </w:r>
            <w:r>
              <w:rPr>
                <w:sz w:val="22"/>
                <w:vertAlign w:val="superscript"/>
              </w:rPr>
              <w:t xml:space="preserve">e </w:t>
            </w:r>
            <w:r>
              <w:rPr>
                <w:sz w:val="22"/>
              </w:rPr>
              <w:t>trimestre</w:t>
            </w:r>
          </w:p>
        </w:tc>
        <w:tc>
          <w:tcPr>
            <w:tcW w:w="1021" w:type="dxa"/>
          </w:tcPr>
          <w:p w:rsidR="00000000" w:rsidRDefault="00000000">
            <w:pPr>
              <w:keepNext/>
              <w:spacing w:before="60" w:after="60"/>
              <w:jc w:val="center"/>
              <w:rPr>
                <w:sz w:val="22"/>
              </w:rPr>
            </w:pPr>
            <w:r>
              <w:rPr>
                <w:sz w:val="22"/>
              </w:rPr>
              <w:t>3</w:t>
            </w:r>
            <w:r>
              <w:rPr>
                <w:sz w:val="22"/>
                <w:vertAlign w:val="superscript"/>
              </w:rPr>
              <w:t xml:space="preserve">e </w:t>
            </w:r>
            <w:r>
              <w:rPr>
                <w:sz w:val="22"/>
              </w:rPr>
              <w:t>trimestre</w:t>
            </w:r>
          </w:p>
        </w:tc>
        <w:tc>
          <w:tcPr>
            <w:tcW w:w="1022" w:type="dxa"/>
          </w:tcPr>
          <w:p w:rsidR="00000000" w:rsidRDefault="00000000">
            <w:pPr>
              <w:keepNext/>
              <w:spacing w:before="60" w:after="60"/>
              <w:jc w:val="center"/>
              <w:rPr>
                <w:sz w:val="22"/>
              </w:rPr>
            </w:pPr>
            <w:r>
              <w:rPr>
                <w:sz w:val="22"/>
              </w:rPr>
              <w:t>4</w:t>
            </w:r>
            <w:r>
              <w:rPr>
                <w:sz w:val="22"/>
                <w:vertAlign w:val="superscript"/>
              </w:rPr>
              <w:t xml:space="preserve">e </w:t>
            </w:r>
            <w:r>
              <w:rPr>
                <w:sz w:val="22"/>
              </w:rPr>
              <w:t>trimestre</w:t>
            </w:r>
          </w:p>
        </w:tc>
      </w:tr>
      <w:tr w:rsidR="00000000">
        <w:tblPrEx>
          <w:tblCellMar>
            <w:top w:w="0" w:type="dxa"/>
            <w:bottom w:w="0" w:type="dxa"/>
          </w:tblCellMar>
        </w:tblPrEx>
        <w:trPr>
          <w:cantSplit/>
        </w:trPr>
        <w:tc>
          <w:tcPr>
            <w:tcW w:w="1310" w:type="dxa"/>
            <w:vMerge/>
          </w:tcPr>
          <w:p w:rsidR="00000000" w:rsidRDefault="00000000">
            <w:pPr>
              <w:keepNext/>
              <w:spacing w:before="60" w:after="60"/>
              <w:rPr>
                <w:sz w:val="22"/>
              </w:rPr>
            </w:pPr>
          </w:p>
        </w:tc>
        <w:tc>
          <w:tcPr>
            <w:tcW w:w="8170" w:type="dxa"/>
            <w:gridSpan w:val="8"/>
          </w:tcPr>
          <w:p w:rsidR="00000000" w:rsidRDefault="00000000">
            <w:pPr>
              <w:keepNext/>
              <w:spacing w:before="60" w:after="60"/>
              <w:jc w:val="center"/>
              <w:rPr>
                <w:sz w:val="22"/>
              </w:rPr>
            </w:pPr>
            <w:r>
              <w:rPr>
                <w:sz w:val="22"/>
              </w:rPr>
              <w:t>Par rapport au minimum vital</w:t>
            </w:r>
          </w:p>
        </w:tc>
      </w:tr>
      <w:tr w:rsidR="00000000">
        <w:tblPrEx>
          <w:tblCellMar>
            <w:top w:w="0" w:type="dxa"/>
            <w:bottom w:w="0" w:type="dxa"/>
          </w:tblCellMar>
        </w:tblPrEx>
        <w:trPr>
          <w:cantSplit/>
        </w:trPr>
        <w:tc>
          <w:tcPr>
            <w:tcW w:w="1310" w:type="dxa"/>
          </w:tcPr>
          <w:p w:rsidR="00000000" w:rsidRDefault="00000000">
            <w:pPr>
              <w:keepNext/>
              <w:spacing w:before="60" w:after="60"/>
              <w:rPr>
                <w:sz w:val="22"/>
              </w:rPr>
            </w:pPr>
            <w:r>
              <w:rPr>
                <w:sz w:val="22"/>
              </w:rPr>
              <w:t>Ville</w:t>
            </w:r>
          </w:p>
        </w:tc>
        <w:tc>
          <w:tcPr>
            <w:tcW w:w="1021" w:type="dxa"/>
          </w:tcPr>
          <w:p w:rsidR="00000000" w:rsidRDefault="00000000">
            <w:pPr>
              <w:keepNext/>
              <w:spacing w:before="60" w:after="60"/>
              <w:jc w:val="right"/>
              <w:rPr>
                <w:sz w:val="22"/>
              </w:rPr>
            </w:pPr>
            <w:r>
              <w:rPr>
                <w:sz w:val="22"/>
              </w:rPr>
              <w:t>17,5</w:t>
            </w:r>
          </w:p>
        </w:tc>
        <w:tc>
          <w:tcPr>
            <w:tcW w:w="1021" w:type="dxa"/>
          </w:tcPr>
          <w:p w:rsidR="00000000" w:rsidRDefault="00000000">
            <w:pPr>
              <w:keepNext/>
              <w:spacing w:before="60" w:after="60"/>
              <w:jc w:val="right"/>
              <w:rPr>
                <w:sz w:val="22"/>
              </w:rPr>
            </w:pPr>
            <w:r>
              <w:rPr>
                <w:sz w:val="22"/>
              </w:rPr>
              <w:t>23,0</w:t>
            </w:r>
          </w:p>
        </w:tc>
        <w:tc>
          <w:tcPr>
            <w:tcW w:w="1021" w:type="dxa"/>
          </w:tcPr>
          <w:p w:rsidR="00000000" w:rsidRDefault="00000000">
            <w:pPr>
              <w:keepNext/>
              <w:spacing w:before="60" w:after="60"/>
              <w:jc w:val="right"/>
              <w:rPr>
                <w:sz w:val="22"/>
              </w:rPr>
            </w:pPr>
            <w:r>
              <w:rPr>
                <w:sz w:val="22"/>
              </w:rPr>
              <w:t>22,9</w:t>
            </w:r>
          </w:p>
        </w:tc>
        <w:tc>
          <w:tcPr>
            <w:tcW w:w="1022" w:type="dxa"/>
          </w:tcPr>
          <w:p w:rsidR="00000000" w:rsidRDefault="00000000">
            <w:pPr>
              <w:keepNext/>
              <w:spacing w:before="60" w:after="60"/>
              <w:jc w:val="right"/>
              <w:rPr>
                <w:sz w:val="22"/>
              </w:rPr>
            </w:pPr>
            <w:r>
              <w:rPr>
                <w:sz w:val="22"/>
              </w:rPr>
              <w:t>28,8</w:t>
            </w:r>
          </w:p>
        </w:tc>
        <w:tc>
          <w:tcPr>
            <w:tcW w:w="1021" w:type="dxa"/>
          </w:tcPr>
          <w:p w:rsidR="00000000" w:rsidRDefault="00000000">
            <w:pPr>
              <w:keepNext/>
              <w:spacing w:before="60" w:after="60"/>
              <w:jc w:val="right"/>
              <w:rPr>
                <w:sz w:val="22"/>
              </w:rPr>
            </w:pPr>
            <w:r>
              <w:rPr>
                <w:sz w:val="22"/>
              </w:rPr>
              <w:t>23,0</w:t>
            </w:r>
          </w:p>
        </w:tc>
        <w:tc>
          <w:tcPr>
            <w:tcW w:w="1021" w:type="dxa"/>
          </w:tcPr>
          <w:p w:rsidR="00000000" w:rsidRDefault="00000000">
            <w:pPr>
              <w:keepNext/>
              <w:spacing w:before="60" w:after="60"/>
              <w:jc w:val="right"/>
              <w:rPr>
                <w:sz w:val="22"/>
              </w:rPr>
            </w:pPr>
            <w:r>
              <w:rPr>
                <w:sz w:val="22"/>
              </w:rPr>
              <w:t>29,6</w:t>
            </w:r>
          </w:p>
        </w:tc>
        <w:tc>
          <w:tcPr>
            <w:tcW w:w="1021" w:type="dxa"/>
          </w:tcPr>
          <w:p w:rsidR="00000000" w:rsidRDefault="00000000">
            <w:pPr>
              <w:keepNext/>
              <w:spacing w:before="60" w:after="60"/>
              <w:jc w:val="right"/>
              <w:rPr>
                <w:sz w:val="22"/>
              </w:rPr>
            </w:pPr>
            <w:r>
              <w:rPr>
                <w:sz w:val="22"/>
              </w:rPr>
              <w:t>24,1</w:t>
            </w:r>
          </w:p>
        </w:tc>
        <w:tc>
          <w:tcPr>
            <w:tcW w:w="1022" w:type="dxa"/>
          </w:tcPr>
          <w:p w:rsidR="00000000" w:rsidRDefault="00000000">
            <w:pPr>
              <w:keepNext/>
              <w:spacing w:before="60" w:after="60"/>
              <w:jc w:val="right"/>
              <w:rPr>
                <w:sz w:val="22"/>
              </w:rPr>
            </w:pPr>
            <w:r>
              <w:rPr>
                <w:sz w:val="22"/>
              </w:rPr>
              <w:t>20,7</w:t>
            </w:r>
          </w:p>
        </w:tc>
      </w:tr>
      <w:tr w:rsidR="00000000">
        <w:tblPrEx>
          <w:tblCellMar>
            <w:top w:w="0" w:type="dxa"/>
            <w:bottom w:w="0" w:type="dxa"/>
          </w:tblCellMar>
        </w:tblPrEx>
        <w:trPr>
          <w:cantSplit/>
        </w:trPr>
        <w:tc>
          <w:tcPr>
            <w:tcW w:w="1310" w:type="dxa"/>
          </w:tcPr>
          <w:p w:rsidR="00000000" w:rsidRDefault="00000000">
            <w:pPr>
              <w:keepNext/>
              <w:spacing w:before="60" w:after="60"/>
              <w:rPr>
                <w:sz w:val="22"/>
              </w:rPr>
            </w:pPr>
            <w:r>
              <w:rPr>
                <w:sz w:val="22"/>
              </w:rPr>
              <w:t>Campagne</w:t>
            </w:r>
          </w:p>
        </w:tc>
        <w:tc>
          <w:tcPr>
            <w:tcW w:w="1021" w:type="dxa"/>
          </w:tcPr>
          <w:p w:rsidR="00000000" w:rsidRDefault="00000000">
            <w:pPr>
              <w:keepNext/>
              <w:spacing w:before="60" w:after="60"/>
              <w:jc w:val="right"/>
              <w:rPr>
                <w:sz w:val="22"/>
              </w:rPr>
            </w:pPr>
            <w:r>
              <w:rPr>
                <w:sz w:val="22"/>
              </w:rPr>
              <w:t>9,4</w:t>
            </w:r>
          </w:p>
        </w:tc>
        <w:tc>
          <w:tcPr>
            <w:tcW w:w="1021" w:type="dxa"/>
          </w:tcPr>
          <w:p w:rsidR="00000000" w:rsidRDefault="00000000">
            <w:pPr>
              <w:keepNext/>
              <w:spacing w:before="60" w:after="60"/>
              <w:jc w:val="right"/>
              <w:rPr>
                <w:sz w:val="22"/>
              </w:rPr>
            </w:pPr>
            <w:r>
              <w:rPr>
                <w:sz w:val="22"/>
              </w:rPr>
              <w:t>17,6</w:t>
            </w:r>
          </w:p>
        </w:tc>
        <w:tc>
          <w:tcPr>
            <w:tcW w:w="1021" w:type="dxa"/>
          </w:tcPr>
          <w:p w:rsidR="00000000" w:rsidRDefault="00000000">
            <w:pPr>
              <w:keepNext/>
              <w:spacing w:before="60" w:after="60"/>
              <w:jc w:val="right"/>
              <w:rPr>
                <w:sz w:val="22"/>
              </w:rPr>
            </w:pPr>
            <w:r>
              <w:rPr>
                <w:sz w:val="22"/>
              </w:rPr>
              <w:t>15,8</w:t>
            </w:r>
          </w:p>
        </w:tc>
        <w:tc>
          <w:tcPr>
            <w:tcW w:w="1022" w:type="dxa"/>
          </w:tcPr>
          <w:p w:rsidR="00000000" w:rsidRDefault="00000000">
            <w:pPr>
              <w:keepNext/>
              <w:spacing w:before="60" w:after="60"/>
              <w:jc w:val="right"/>
              <w:rPr>
                <w:sz w:val="22"/>
              </w:rPr>
            </w:pPr>
            <w:r>
              <w:rPr>
                <w:sz w:val="22"/>
              </w:rPr>
              <w:t>14,5</w:t>
            </w:r>
          </w:p>
        </w:tc>
        <w:tc>
          <w:tcPr>
            <w:tcW w:w="1021" w:type="dxa"/>
          </w:tcPr>
          <w:p w:rsidR="00000000" w:rsidRDefault="00000000">
            <w:pPr>
              <w:keepNext/>
              <w:spacing w:before="60" w:after="60"/>
              <w:jc w:val="right"/>
              <w:rPr>
                <w:sz w:val="22"/>
              </w:rPr>
            </w:pPr>
            <w:r>
              <w:rPr>
                <w:sz w:val="22"/>
              </w:rPr>
              <w:t>12,5</w:t>
            </w:r>
          </w:p>
        </w:tc>
        <w:tc>
          <w:tcPr>
            <w:tcW w:w="1021" w:type="dxa"/>
          </w:tcPr>
          <w:p w:rsidR="00000000" w:rsidRDefault="00000000">
            <w:pPr>
              <w:keepNext/>
              <w:spacing w:before="60" w:after="60"/>
              <w:jc w:val="right"/>
              <w:rPr>
                <w:sz w:val="22"/>
              </w:rPr>
            </w:pPr>
            <w:r>
              <w:rPr>
                <w:sz w:val="22"/>
              </w:rPr>
              <w:t>18,6</w:t>
            </w:r>
          </w:p>
        </w:tc>
        <w:tc>
          <w:tcPr>
            <w:tcW w:w="1021" w:type="dxa"/>
          </w:tcPr>
          <w:p w:rsidR="00000000" w:rsidRDefault="00000000">
            <w:pPr>
              <w:keepNext/>
              <w:spacing w:before="60" w:after="60"/>
              <w:jc w:val="right"/>
              <w:rPr>
                <w:sz w:val="22"/>
              </w:rPr>
            </w:pPr>
            <w:r>
              <w:rPr>
                <w:sz w:val="22"/>
              </w:rPr>
              <w:t>16,7</w:t>
            </w:r>
          </w:p>
        </w:tc>
        <w:tc>
          <w:tcPr>
            <w:tcW w:w="1022" w:type="dxa"/>
          </w:tcPr>
          <w:p w:rsidR="00000000" w:rsidRDefault="00000000">
            <w:pPr>
              <w:keepNext/>
              <w:spacing w:before="60" w:after="60"/>
              <w:jc w:val="right"/>
              <w:rPr>
                <w:sz w:val="22"/>
              </w:rPr>
            </w:pPr>
            <w:r>
              <w:rPr>
                <w:sz w:val="22"/>
              </w:rPr>
              <w:t>13,9</w:t>
            </w:r>
          </w:p>
        </w:tc>
      </w:tr>
      <w:tr w:rsidR="00000000">
        <w:tblPrEx>
          <w:tblCellMar>
            <w:top w:w="0" w:type="dxa"/>
            <w:bottom w:w="0" w:type="dxa"/>
          </w:tblCellMar>
        </w:tblPrEx>
        <w:trPr>
          <w:cantSplit/>
        </w:trPr>
        <w:tc>
          <w:tcPr>
            <w:tcW w:w="1310" w:type="dxa"/>
          </w:tcPr>
          <w:p w:rsidR="00000000" w:rsidRDefault="00000000">
            <w:pPr>
              <w:keepNext/>
              <w:spacing w:before="60" w:after="60"/>
              <w:rPr>
                <w:sz w:val="22"/>
              </w:rPr>
            </w:pPr>
          </w:p>
        </w:tc>
        <w:tc>
          <w:tcPr>
            <w:tcW w:w="8170" w:type="dxa"/>
            <w:gridSpan w:val="8"/>
          </w:tcPr>
          <w:p w:rsidR="00000000" w:rsidRDefault="00000000">
            <w:pPr>
              <w:keepNext/>
              <w:spacing w:before="60" w:after="60"/>
              <w:jc w:val="center"/>
              <w:rPr>
                <w:sz w:val="22"/>
              </w:rPr>
            </w:pPr>
            <w:r>
              <w:rPr>
                <w:sz w:val="22"/>
              </w:rPr>
              <w:t>Par rapport à 60 % de la consommation moyenne</w:t>
            </w:r>
          </w:p>
        </w:tc>
      </w:tr>
      <w:tr w:rsidR="00000000">
        <w:tblPrEx>
          <w:tblCellMar>
            <w:top w:w="0" w:type="dxa"/>
            <w:bottom w:w="0" w:type="dxa"/>
          </w:tblCellMar>
        </w:tblPrEx>
        <w:trPr>
          <w:cantSplit/>
        </w:trPr>
        <w:tc>
          <w:tcPr>
            <w:tcW w:w="1310" w:type="dxa"/>
          </w:tcPr>
          <w:p w:rsidR="00000000" w:rsidRDefault="00000000">
            <w:pPr>
              <w:spacing w:before="60" w:after="60"/>
              <w:rPr>
                <w:sz w:val="22"/>
              </w:rPr>
            </w:pPr>
            <w:r>
              <w:rPr>
                <w:sz w:val="22"/>
              </w:rPr>
              <w:t>Ville</w:t>
            </w:r>
          </w:p>
        </w:tc>
        <w:tc>
          <w:tcPr>
            <w:tcW w:w="1021" w:type="dxa"/>
          </w:tcPr>
          <w:p w:rsidR="00000000" w:rsidRDefault="00000000">
            <w:pPr>
              <w:spacing w:before="60" w:after="60"/>
              <w:jc w:val="right"/>
              <w:rPr>
                <w:sz w:val="22"/>
              </w:rPr>
            </w:pPr>
            <w:r>
              <w:rPr>
                <w:sz w:val="22"/>
              </w:rPr>
              <w:t>6,4</w:t>
            </w:r>
          </w:p>
        </w:tc>
        <w:tc>
          <w:tcPr>
            <w:tcW w:w="1021" w:type="dxa"/>
          </w:tcPr>
          <w:p w:rsidR="00000000" w:rsidRDefault="00000000">
            <w:pPr>
              <w:spacing w:before="60" w:after="60"/>
              <w:jc w:val="right"/>
              <w:rPr>
                <w:sz w:val="22"/>
              </w:rPr>
            </w:pPr>
            <w:r>
              <w:rPr>
                <w:sz w:val="22"/>
              </w:rPr>
              <w:t>9,4</w:t>
            </w:r>
          </w:p>
        </w:tc>
        <w:tc>
          <w:tcPr>
            <w:tcW w:w="1021" w:type="dxa"/>
          </w:tcPr>
          <w:p w:rsidR="00000000" w:rsidRDefault="00000000">
            <w:pPr>
              <w:spacing w:before="60" w:after="60"/>
              <w:jc w:val="right"/>
              <w:rPr>
                <w:sz w:val="22"/>
              </w:rPr>
            </w:pPr>
            <w:r>
              <w:rPr>
                <w:sz w:val="22"/>
              </w:rPr>
              <w:t>9,9</w:t>
            </w:r>
          </w:p>
        </w:tc>
        <w:tc>
          <w:tcPr>
            <w:tcW w:w="1022" w:type="dxa"/>
          </w:tcPr>
          <w:p w:rsidR="00000000" w:rsidRDefault="00000000">
            <w:pPr>
              <w:spacing w:before="60" w:after="60"/>
              <w:jc w:val="right"/>
              <w:rPr>
                <w:sz w:val="22"/>
              </w:rPr>
            </w:pPr>
            <w:r>
              <w:rPr>
                <w:sz w:val="22"/>
              </w:rPr>
              <w:t>8,9</w:t>
            </w:r>
          </w:p>
        </w:tc>
        <w:tc>
          <w:tcPr>
            <w:tcW w:w="1021" w:type="dxa"/>
          </w:tcPr>
          <w:p w:rsidR="00000000" w:rsidRDefault="00000000">
            <w:pPr>
              <w:spacing w:before="60" w:after="60"/>
              <w:jc w:val="right"/>
              <w:rPr>
                <w:sz w:val="22"/>
              </w:rPr>
            </w:pPr>
            <w:r>
              <w:rPr>
                <w:sz w:val="22"/>
              </w:rPr>
              <w:t>9,3</w:t>
            </w:r>
          </w:p>
        </w:tc>
        <w:tc>
          <w:tcPr>
            <w:tcW w:w="1021" w:type="dxa"/>
          </w:tcPr>
          <w:p w:rsidR="00000000" w:rsidRDefault="00000000">
            <w:pPr>
              <w:spacing w:before="60" w:after="60"/>
              <w:jc w:val="right"/>
              <w:rPr>
                <w:sz w:val="22"/>
              </w:rPr>
            </w:pPr>
            <w:r>
              <w:rPr>
                <w:sz w:val="22"/>
              </w:rPr>
              <w:t>9,5</w:t>
            </w:r>
          </w:p>
        </w:tc>
        <w:tc>
          <w:tcPr>
            <w:tcW w:w="1021" w:type="dxa"/>
          </w:tcPr>
          <w:p w:rsidR="00000000" w:rsidRDefault="00000000">
            <w:pPr>
              <w:spacing w:before="60" w:after="60"/>
              <w:jc w:val="right"/>
              <w:rPr>
                <w:sz w:val="22"/>
              </w:rPr>
            </w:pPr>
            <w:r>
              <w:rPr>
                <w:sz w:val="22"/>
              </w:rPr>
              <w:t>8,7</w:t>
            </w:r>
          </w:p>
        </w:tc>
        <w:tc>
          <w:tcPr>
            <w:tcW w:w="1022" w:type="dxa"/>
          </w:tcPr>
          <w:p w:rsidR="00000000" w:rsidRDefault="00000000">
            <w:pPr>
              <w:spacing w:before="60" w:after="60"/>
              <w:jc w:val="right"/>
              <w:rPr>
                <w:sz w:val="22"/>
              </w:rPr>
            </w:pPr>
            <w:r>
              <w:rPr>
                <w:sz w:val="22"/>
              </w:rPr>
              <w:t>9,1</w:t>
            </w:r>
          </w:p>
        </w:tc>
      </w:tr>
      <w:tr w:rsidR="00000000">
        <w:tblPrEx>
          <w:tblCellMar>
            <w:top w:w="0" w:type="dxa"/>
            <w:bottom w:w="0" w:type="dxa"/>
          </w:tblCellMar>
        </w:tblPrEx>
        <w:trPr>
          <w:cantSplit/>
        </w:trPr>
        <w:tc>
          <w:tcPr>
            <w:tcW w:w="1310" w:type="dxa"/>
          </w:tcPr>
          <w:p w:rsidR="00000000" w:rsidRDefault="00000000">
            <w:pPr>
              <w:spacing w:before="60" w:after="60"/>
              <w:rPr>
                <w:sz w:val="22"/>
              </w:rPr>
            </w:pPr>
            <w:r>
              <w:rPr>
                <w:sz w:val="22"/>
              </w:rPr>
              <w:t>Campagne</w:t>
            </w:r>
          </w:p>
        </w:tc>
        <w:tc>
          <w:tcPr>
            <w:tcW w:w="1021" w:type="dxa"/>
          </w:tcPr>
          <w:p w:rsidR="00000000" w:rsidRDefault="00000000">
            <w:pPr>
              <w:spacing w:before="60" w:after="60"/>
              <w:jc w:val="right"/>
              <w:rPr>
                <w:sz w:val="22"/>
              </w:rPr>
            </w:pPr>
            <w:r>
              <w:rPr>
                <w:sz w:val="22"/>
              </w:rPr>
              <w:t>4,4</w:t>
            </w:r>
          </w:p>
        </w:tc>
        <w:tc>
          <w:tcPr>
            <w:tcW w:w="1021" w:type="dxa"/>
          </w:tcPr>
          <w:p w:rsidR="00000000" w:rsidRDefault="00000000">
            <w:pPr>
              <w:spacing w:before="60" w:after="60"/>
              <w:jc w:val="right"/>
              <w:rPr>
                <w:sz w:val="22"/>
              </w:rPr>
            </w:pPr>
            <w:r>
              <w:rPr>
                <w:sz w:val="22"/>
              </w:rPr>
              <w:t>6,8</w:t>
            </w:r>
          </w:p>
        </w:tc>
        <w:tc>
          <w:tcPr>
            <w:tcW w:w="1021" w:type="dxa"/>
          </w:tcPr>
          <w:p w:rsidR="00000000" w:rsidRDefault="00000000">
            <w:pPr>
              <w:spacing w:before="60" w:after="60"/>
              <w:jc w:val="right"/>
              <w:rPr>
                <w:sz w:val="22"/>
              </w:rPr>
            </w:pPr>
            <w:r>
              <w:rPr>
                <w:sz w:val="22"/>
              </w:rPr>
              <w:t>5,5</w:t>
            </w:r>
          </w:p>
        </w:tc>
        <w:tc>
          <w:tcPr>
            <w:tcW w:w="1022" w:type="dxa"/>
          </w:tcPr>
          <w:p w:rsidR="00000000" w:rsidRDefault="00000000">
            <w:pPr>
              <w:spacing w:before="60" w:after="60"/>
              <w:jc w:val="right"/>
              <w:rPr>
                <w:sz w:val="22"/>
              </w:rPr>
            </w:pPr>
            <w:r>
              <w:rPr>
                <w:sz w:val="22"/>
              </w:rPr>
              <w:t>6,3</w:t>
            </w:r>
          </w:p>
        </w:tc>
        <w:tc>
          <w:tcPr>
            <w:tcW w:w="1021" w:type="dxa"/>
          </w:tcPr>
          <w:p w:rsidR="00000000" w:rsidRDefault="00000000">
            <w:pPr>
              <w:spacing w:before="60" w:after="60"/>
              <w:jc w:val="right"/>
              <w:rPr>
                <w:sz w:val="22"/>
              </w:rPr>
            </w:pPr>
            <w:r>
              <w:rPr>
                <w:sz w:val="22"/>
              </w:rPr>
              <w:t>5,4</w:t>
            </w:r>
          </w:p>
        </w:tc>
        <w:tc>
          <w:tcPr>
            <w:tcW w:w="1021" w:type="dxa"/>
          </w:tcPr>
          <w:p w:rsidR="00000000" w:rsidRDefault="00000000">
            <w:pPr>
              <w:spacing w:before="60" w:after="60"/>
              <w:jc w:val="right"/>
              <w:rPr>
                <w:sz w:val="22"/>
              </w:rPr>
            </w:pPr>
            <w:r>
              <w:rPr>
                <w:sz w:val="22"/>
              </w:rPr>
              <w:t>5,2</w:t>
            </w:r>
          </w:p>
        </w:tc>
        <w:tc>
          <w:tcPr>
            <w:tcW w:w="1021" w:type="dxa"/>
          </w:tcPr>
          <w:p w:rsidR="00000000" w:rsidRDefault="00000000">
            <w:pPr>
              <w:spacing w:before="60" w:after="60"/>
              <w:jc w:val="right"/>
              <w:rPr>
                <w:sz w:val="22"/>
              </w:rPr>
            </w:pPr>
            <w:r>
              <w:rPr>
                <w:sz w:val="22"/>
              </w:rPr>
              <w:t>6,3</w:t>
            </w:r>
          </w:p>
        </w:tc>
        <w:tc>
          <w:tcPr>
            <w:tcW w:w="1022" w:type="dxa"/>
          </w:tcPr>
          <w:p w:rsidR="00000000" w:rsidRDefault="00000000">
            <w:pPr>
              <w:spacing w:before="60" w:after="60"/>
              <w:jc w:val="right"/>
              <w:rPr>
                <w:sz w:val="22"/>
              </w:rPr>
            </w:pPr>
            <w:r>
              <w:rPr>
                <w:sz w:val="22"/>
              </w:rPr>
              <w:t>6,4</w:t>
            </w:r>
          </w:p>
        </w:tc>
      </w:tr>
      <w:tr w:rsidR="00000000">
        <w:tblPrEx>
          <w:tblCellMar>
            <w:top w:w="0" w:type="dxa"/>
            <w:bottom w:w="0" w:type="dxa"/>
          </w:tblCellMar>
        </w:tblPrEx>
        <w:trPr>
          <w:cantSplit/>
        </w:trPr>
        <w:tc>
          <w:tcPr>
            <w:tcW w:w="1310" w:type="dxa"/>
          </w:tcPr>
          <w:p w:rsidR="00000000" w:rsidRDefault="00000000">
            <w:pPr>
              <w:spacing w:before="60" w:after="60"/>
              <w:rPr>
                <w:sz w:val="22"/>
              </w:rPr>
            </w:pPr>
          </w:p>
        </w:tc>
        <w:tc>
          <w:tcPr>
            <w:tcW w:w="8170" w:type="dxa"/>
            <w:gridSpan w:val="8"/>
          </w:tcPr>
          <w:p w:rsidR="00000000" w:rsidRDefault="00000000">
            <w:pPr>
              <w:spacing w:before="60" w:after="60"/>
              <w:jc w:val="center"/>
              <w:rPr>
                <w:sz w:val="22"/>
              </w:rPr>
            </w:pPr>
            <w:r>
              <w:rPr>
                <w:sz w:val="22"/>
              </w:rPr>
              <w:t>Par rapport à 40 % de la consommation moyenne</w:t>
            </w:r>
          </w:p>
        </w:tc>
      </w:tr>
      <w:tr w:rsidR="00000000">
        <w:tblPrEx>
          <w:tblCellMar>
            <w:top w:w="0" w:type="dxa"/>
            <w:bottom w:w="0" w:type="dxa"/>
          </w:tblCellMar>
        </w:tblPrEx>
        <w:trPr>
          <w:cantSplit/>
        </w:trPr>
        <w:tc>
          <w:tcPr>
            <w:tcW w:w="1310" w:type="dxa"/>
          </w:tcPr>
          <w:p w:rsidR="00000000" w:rsidRDefault="00000000">
            <w:pPr>
              <w:spacing w:before="60" w:after="60"/>
              <w:rPr>
                <w:sz w:val="22"/>
              </w:rPr>
            </w:pPr>
            <w:r>
              <w:rPr>
                <w:sz w:val="22"/>
              </w:rPr>
              <w:t>Ville</w:t>
            </w:r>
          </w:p>
        </w:tc>
        <w:tc>
          <w:tcPr>
            <w:tcW w:w="1021" w:type="dxa"/>
          </w:tcPr>
          <w:p w:rsidR="00000000" w:rsidRDefault="00000000">
            <w:pPr>
              <w:spacing w:before="60" w:after="60"/>
              <w:jc w:val="right"/>
              <w:rPr>
                <w:sz w:val="22"/>
              </w:rPr>
            </w:pPr>
            <w:r>
              <w:rPr>
                <w:sz w:val="22"/>
              </w:rPr>
              <w:t>3,1</w:t>
            </w:r>
          </w:p>
        </w:tc>
        <w:tc>
          <w:tcPr>
            <w:tcW w:w="1021" w:type="dxa"/>
          </w:tcPr>
          <w:p w:rsidR="00000000" w:rsidRDefault="00000000">
            <w:pPr>
              <w:spacing w:before="60" w:after="60"/>
              <w:jc w:val="right"/>
              <w:rPr>
                <w:sz w:val="22"/>
              </w:rPr>
            </w:pPr>
            <w:r>
              <w:rPr>
                <w:sz w:val="22"/>
              </w:rPr>
              <w:t>4,0</w:t>
            </w:r>
          </w:p>
        </w:tc>
        <w:tc>
          <w:tcPr>
            <w:tcW w:w="1021" w:type="dxa"/>
          </w:tcPr>
          <w:p w:rsidR="00000000" w:rsidRDefault="00000000">
            <w:pPr>
              <w:spacing w:before="60" w:after="60"/>
              <w:jc w:val="right"/>
              <w:rPr>
                <w:sz w:val="22"/>
              </w:rPr>
            </w:pPr>
            <w:r>
              <w:rPr>
                <w:sz w:val="22"/>
              </w:rPr>
              <w:t>4,7</w:t>
            </w:r>
          </w:p>
        </w:tc>
        <w:tc>
          <w:tcPr>
            <w:tcW w:w="1022" w:type="dxa"/>
          </w:tcPr>
          <w:p w:rsidR="00000000" w:rsidRDefault="00000000">
            <w:pPr>
              <w:spacing w:before="60" w:after="60"/>
              <w:jc w:val="right"/>
              <w:rPr>
                <w:sz w:val="22"/>
              </w:rPr>
            </w:pPr>
            <w:r>
              <w:rPr>
                <w:sz w:val="22"/>
              </w:rPr>
              <w:t>3,7</w:t>
            </w:r>
          </w:p>
        </w:tc>
        <w:tc>
          <w:tcPr>
            <w:tcW w:w="1021" w:type="dxa"/>
          </w:tcPr>
          <w:p w:rsidR="00000000" w:rsidRDefault="00000000">
            <w:pPr>
              <w:spacing w:before="60" w:after="60"/>
              <w:jc w:val="right"/>
              <w:rPr>
                <w:sz w:val="22"/>
              </w:rPr>
            </w:pPr>
            <w:r>
              <w:rPr>
                <w:sz w:val="22"/>
              </w:rPr>
              <w:t>3,9</w:t>
            </w:r>
          </w:p>
        </w:tc>
        <w:tc>
          <w:tcPr>
            <w:tcW w:w="1021" w:type="dxa"/>
          </w:tcPr>
          <w:p w:rsidR="00000000" w:rsidRDefault="00000000">
            <w:pPr>
              <w:spacing w:before="60" w:after="60"/>
              <w:jc w:val="right"/>
              <w:rPr>
                <w:sz w:val="22"/>
              </w:rPr>
            </w:pPr>
            <w:r>
              <w:rPr>
                <w:sz w:val="22"/>
              </w:rPr>
              <w:t>3,9</w:t>
            </w:r>
          </w:p>
        </w:tc>
        <w:tc>
          <w:tcPr>
            <w:tcW w:w="1021" w:type="dxa"/>
          </w:tcPr>
          <w:p w:rsidR="00000000" w:rsidRDefault="00000000">
            <w:pPr>
              <w:spacing w:before="60" w:after="60"/>
              <w:jc w:val="right"/>
              <w:rPr>
                <w:sz w:val="22"/>
              </w:rPr>
            </w:pPr>
            <w:r>
              <w:rPr>
                <w:sz w:val="22"/>
              </w:rPr>
              <w:t>3,6</w:t>
            </w:r>
          </w:p>
        </w:tc>
        <w:tc>
          <w:tcPr>
            <w:tcW w:w="1022" w:type="dxa"/>
          </w:tcPr>
          <w:p w:rsidR="00000000" w:rsidRDefault="00000000">
            <w:pPr>
              <w:spacing w:before="60" w:after="60"/>
              <w:jc w:val="right"/>
              <w:rPr>
                <w:sz w:val="22"/>
              </w:rPr>
            </w:pPr>
            <w:r>
              <w:rPr>
                <w:sz w:val="22"/>
              </w:rPr>
              <w:t>3,5</w:t>
            </w:r>
          </w:p>
        </w:tc>
      </w:tr>
      <w:tr w:rsidR="00000000">
        <w:tblPrEx>
          <w:tblCellMar>
            <w:top w:w="0" w:type="dxa"/>
            <w:bottom w:w="0" w:type="dxa"/>
          </w:tblCellMar>
        </w:tblPrEx>
        <w:trPr>
          <w:cantSplit/>
        </w:trPr>
        <w:tc>
          <w:tcPr>
            <w:tcW w:w="1310" w:type="dxa"/>
          </w:tcPr>
          <w:p w:rsidR="00000000" w:rsidRDefault="00000000">
            <w:pPr>
              <w:spacing w:before="60" w:after="60"/>
              <w:rPr>
                <w:b/>
                <w:bCs/>
                <w:sz w:val="22"/>
                <w:u w:val="single"/>
              </w:rPr>
            </w:pPr>
            <w:r>
              <w:rPr>
                <w:sz w:val="22"/>
              </w:rPr>
              <w:t>Campagne</w:t>
            </w:r>
          </w:p>
        </w:tc>
        <w:tc>
          <w:tcPr>
            <w:tcW w:w="1021" w:type="dxa"/>
          </w:tcPr>
          <w:p w:rsidR="00000000" w:rsidRDefault="00000000">
            <w:pPr>
              <w:spacing w:before="60" w:after="60"/>
              <w:jc w:val="right"/>
              <w:rPr>
                <w:sz w:val="22"/>
              </w:rPr>
            </w:pPr>
            <w:r>
              <w:rPr>
                <w:sz w:val="22"/>
              </w:rPr>
              <w:t>2,5</w:t>
            </w:r>
          </w:p>
        </w:tc>
        <w:tc>
          <w:tcPr>
            <w:tcW w:w="1021" w:type="dxa"/>
          </w:tcPr>
          <w:p w:rsidR="00000000" w:rsidRDefault="00000000">
            <w:pPr>
              <w:spacing w:before="60" w:after="60"/>
              <w:jc w:val="right"/>
              <w:rPr>
                <w:sz w:val="22"/>
              </w:rPr>
            </w:pPr>
            <w:r>
              <w:rPr>
                <w:sz w:val="22"/>
              </w:rPr>
              <w:t>2,8</w:t>
            </w:r>
          </w:p>
        </w:tc>
        <w:tc>
          <w:tcPr>
            <w:tcW w:w="1021" w:type="dxa"/>
          </w:tcPr>
          <w:p w:rsidR="00000000" w:rsidRDefault="00000000">
            <w:pPr>
              <w:spacing w:before="60" w:after="60"/>
              <w:jc w:val="right"/>
              <w:rPr>
                <w:sz w:val="22"/>
              </w:rPr>
            </w:pPr>
            <w:r>
              <w:rPr>
                <w:sz w:val="22"/>
              </w:rPr>
              <w:t>2,3</w:t>
            </w:r>
          </w:p>
        </w:tc>
        <w:tc>
          <w:tcPr>
            <w:tcW w:w="1022" w:type="dxa"/>
          </w:tcPr>
          <w:p w:rsidR="00000000" w:rsidRDefault="00000000">
            <w:pPr>
              <w:spacing w:before="60" w:after="60"/>
              <w:jc w:val="right"/>
              <w:rPr>
                <w:sz w:val="22"/>
              </w:rPr>
            </w:pPr>
            <w:r>
              <w:rPr>
                <w:sz w:val="22"/>
              </w:rPr>
              <w:t>2,9</w:t>
            </w:r>
          </w:p>
        </w:tc>
        <w:tc>
          <w:tcPr>
            <w:tcW w:w="1021" w:type="dxa"/>
          </w:tcPr>
          <w:p w:rsidR="00000000" w:rsidRDefault="00000000">
            <w:pPr>
              <w:spacing w:before="60" w:after="60"/>
              <w:jc w:val="right"/>
              <w:rPr>
                <w:sz w:val="22"/>
              </w:rPr>
            </w:pPr>
            <w:r>
              <w:rPr>
                <w:sz w:val="22"/>
              </w:rPr>
              <w:t>2,6</w:t>
            </w:r>
          </w:p>
        </w:tc>
        <w:tc>
          <w:tcPr>
            <w:tcW w:w="1021" w:type="dxa"/>
          </w:tcPr>
          <w:p w:rsidR="00000000" w:rsidRDefault="00000000">
            <w:pPr>
              <w:spacing w:before="60" w:after="60"/>
              <w:jc w:val="right"/>
              <w:rPr>
                <w:sz w:val="22"/>
              </w:rPr>
            </w:pPr>
            <w:r>
              <w:rPr>
                <w:sz w:val="22"/>
              </w:rPr>
              <w:t>2,3</w:t>
            </w:r>
          </w:p>
        </w:tc>
        <w:tc>
          <w:tcPr>
            <w:tcW w:w="1021" w:type="dxa"/>
          </w:tcPr>
          <w:p w:rsidR="00000000" w:rsidRDefault="00000000">
            <w:pPr>
              <w:spacing w:before="60" w:after="60"/>
              <w:jc w:val="right"/>
              <w:rPr>
                <w:sz w:val="22"/>
              </w:rPr>
            </w:pPr>
            <w:r>
              <w:rPr>
                <w:sz w:val="22"/>
              </w:rPr>
              <w:t>2,7</w:t>
            </w:r>
          </w:p>
        </w:tc>
        <w:tc>
          <w:tcPr>
            <w:tcW w:w="1022" w:type="dxa"/>
          </w:tcPr>
          <w:p w:rsidR="00000000" w:rsidRDefault="00000000">
            <w:pPr>
              <w:spacing w:before="60" w:after="60"/>
              <w:jc w:val="right"/>
              <w:rPr>
                <w:sz w:val="22"/>
              </w:rPr>
            </w:pPr>
            <w:r>
              <w:rPr>
                <w:sz w:val="22"/>
              </w:rPr>
              <w:t>2,8</w:t>
            </w:r>
          </w:p>
        </w:tc>
      </w:tr>
    </w:tbl>
    <w:p w:rsidR="00000000" w:rsidRDefault="00000000">
      <w:pPr>
        <w:keepNext/>
        <w:spacing w:before="240" w:after="240"/>
        <w:rPr>
          <w:u w:val="single"/>
        </w:rPr>
      </w:pPr>
      <w:r>
        <w:rPr>
          <w:b/>
          <w:bCs/>
          <w:u w:val="single"/>
        </w:rPr>
        <w:t>Tableau 4</w:t>
      </w:r>
      <w:r>
        <w:rPr>
          <w:b/>
          <w:bCs/>
        </w:rPr>
        <w:t>. Indice de Gini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0"/>
        <w:gridCol w:w="1728"/>
        <w:gridCol w:w="1728"/>
        <w:gridCol w:w="1728"/>
        <w:gridCol w:w="1728"/>
        <w:gridCol w:w="1728"/>
      </w:tblGrid>
      <w:tr w:rsidR="00000000">
        <w:tblPrEx>
          <w:tblCellMar>
            <w:top w:w="0" w:type="dxa"/>
            <w:bottom w:w="0" w:type="dxa"/>
          </w:tblCellMar>
        </w:tblPrEx>
        <w:tc>
          <w:tcPr>
            <w:tcW w:w="790" w:type="dxa"/>
          </w:tcPr>
          <w:p w:rsidR="00000000" w:rsidRDefault="00000000">
            <w:pPr>
              <w:spacing w:before="60" w:after="60"/>
              <w:rPr>
                <w:sz w:val="22"/>
              </w:rPr>
            </w:pPr>
          </w:p>
        </w:tc>
        <w:tc>
          <w:tcPr>
            <w:tcW w:w="1728" w:type="dxa"/>
            <w:vAlign w:val="center"/>
          </w:tcPr>
          <w:p w:rsidR="00000000" w:rsidRDefault="00000000">
            <w:pPr>
              <w:spacing w:before="60" w:after="60"/>
              <w:jc w:val="center"/>
              <w:rPr>
                <w:sz w:val="22"/>
              </w:rPr>
            </w:pPr>
            <w:r>
              <w:rPr>
                <w:sz w:val="22"/>
              </w:rPr>
              <w:t>Selon les revenus monétaires</w:t>
            </w:r>
          </w:p>
        </w:tc>
        <w:tc>
          <w:tcPr>
            <w:tcW w:w="1728" w:type="dxa"/>
            <w:vAlign w:val="center"/>
          </w:tcPr>
          <w:p w:rsidR="00000000" w:rsidRDefault="00000000">
            <w:pPr>
              <w:spacing w:before="60" w:after="60"/>
              <w:jc w:val="center"/>
              <w:rPr>
                <w:sz w:val="22"/>
              </w:rPr>
            </w:pPr>
            <w:r>
              <w:rPr>
                <w:sz w:val="22"/>
              </w:rPr>
              <w:t>Selon le revenu total</w:t>
            </w:r>
          </w:p>
        </w:tc>
        <w:tc>
          <w:tcPr>
            <w:tcW w:w="1728" w:type="dxa"/>
            <w:vAlign w:val="center"/>
          </w:tcPr>
          <w:p w:rsidR="00000000" w:rsidRDefault="00000000">
            <w:pPr>
              <w:spacing w:before="60" w:after="60"/>
              <w:jc w:val="center"/>
              <w:rPr>
                <w:sz w:val="22"/>
              </w:rPr>
            </w:pPr>
            <w:r>
              <w:rPr>
                <w:sz w:val="22"/>
              </w:rPr>
              <w:t>Selon les dépenses monétaires</w:t>
            </w:r>
          </w:p>
        </w:tc>
        <w:tc>
          <w:tcPr>
            <w:tcW w:w="1728" w:type="dxa"/>
            <w:vAlign w:val="center"/>
          </w:tcPr>
          <w:p w:rsidR="00000000" w:rsidRDefault="00000000">
            <w:pPr>
              <w:spacing w:before="60" w:after="60"/>
              <w:jc w:val="center"/>
              <w:rPr>
                <w:sz w:val="22"/>
              </w:rPr>
            </w:pPr>
            <w:r>
              <w:rPr>
                <w:sz w:val="22"/>
              </w:rPr>
              <w:t>Selon les dépenses totales</w:t>
            </w:r>
          </w:p>
        </w:tc>
        <w:tc>
          <w:tcPr>
            <w:tcW w:w="1728" w:type="dxa"/>
            <w:vAlign w:val="center"/>
          </w:tcPr>
          <w:p w:rsidR="00000000" w:rsidRDefault="00000000">
            <w:pPr>
              <w:spacing w:before="60" w:after="60"/>
              <w:jc w:val="center"/>
              <w:rPr>
                <w:sz w:val="22"/>
              </w:rPr>
            </w:pPr>
            <w:r>
              <w:rPr>
                <w:sz w:val="22"/>
              </w:rPr>
              <w:t>Selon la consommation totale</w:t>
            </w:r>
          </w:p>
        </w:tc>
      </w:tr>
      <w:tr w:rsidR="00000000">
        <w:tblPrEx>
          <w:tblCellMar>
            <w:top w:w="0" w:type="dxa"/>
            <w:bottom w:w="0" w:type="dxa"/>
          </w:tblCellMar>
        </w:tblPrEx>
        <w:tc>
          <w:tcPr>
            <w:tcW w:w="790" w:type="dxa"/>
          </w:tcPr>
          <w:p w:rsidR="00000000" w:rsidRDefault="00000000">
            <w:pPr>
              <w:spacing w:before="60" w:after="60"/>
              <w:rPr>
                <w:sz w:val="22"/>
              </w:rPr>
            </w:pPr>
            <w:r>
              <w:rPr>
                <w:sz w:val="22"/>
              </w:rPr>
              <w:t>1997</w:t>
            </w:r>
          </w:p>
        </w:tc>
        <w:tc>
          <w:tcPr>
            <w:tcW w:w="1728" w:type="dxa"/>
          </w:tcPr>
          <w:p w:rsidR="00000000" w:rsidRDefault="00000000">
            <w:pPr>
              <w:spacing w:before="60" w:after="60"/>
              <w:jc w:val="right"/>
              <w:rPr>
                <w:sz w:val="22"/>
              </w:rPr>
            </w:pPr>
            <w:r>
              <w:rPr>
                <w:sz w:val="22"/>
              </w:rPr>
              <w:t>0,55</w:t>
            </w:r>
          </w:p>
        </w:tc>
        <w:tc>
          <w:tcPr>
            <w:tcW w:w="1728" w:type="dxa"/>
          </w:tcPr>
          <w:p w:rsidR="00000000" w:rsidRDefault="00000000">
            <w:pPr>
              <w:spacing w:before="60" w:after="60"/>
              <w:jc w:val="right"/>
              <w:rPr>
                <w:sz w:val="22"/>
              </w:rPr>
            </w:pPr>
            <w:r>
              <w:rPr>
                <w:sz w:val="22"/>
              </w:rPr>
              <w:t>0,52</w:t>
            </w:r>
          </w:p>
        </w:tc>
        <w:tc>
          <w:tcPr>
            <w:tcW w:w="1728" w:type="dxa"/>
          </w:tcPr>
          <w:p w:rsidR="00000000" w:rsidRDefault="00000000">
            <w:pPr>
              <w:spacing w:before="60" w:after="60"/>
              <w:jc w:val="right"/>
              <w:rPr>
                <w:sz w:val="22"/>
              </w:rPr>
            </w:pPr>
            <w:r>
              <w:rPr>
                <w:sz w:val="22"/>
              </w:rPr>
              <w:t>0,46</w:t>
            </w:r>
          </w:p>
        </w:tc>
        <w:tc>
          <w:tcPr>
            <w:tcW w:w="1728" w:type="dxa"/>
          </w:tcPr>
          <w:p w:rsidR="00000000" w:rsidRDefault="00000000">
            <w:pPr>
              <w:spacing w:before="60" w:after="60"/>
              <w:jc w:val="right"/>
              <w:rPr>
                <w:sz w:val="22"/>
              </w:rPr>
            </w:pPr>
            <w:r>
              <w:rPr>
                <w:sz w:val="22"/>
              </w:rPr>
              <w:t>0,44</w:t>
            </w:r>
          </w:p>
        </w:tc>
        <w:tc>
          <w:tcPr>
            <w:tcW w:w="1728" w:type="dxa"/>
          </w:tcPr>
          <w:p w:rsidR="00000000" w:rsidRDefault="00000000">
            <w:pPr>
              <w:spacing w:before="60" w:after="60"/>
              <w:jc w:val="right"/>
              <w:rPr>
                <w:sz w:val="22"/>
              </w:rPr>
            </w:pPr>
            <w:r>
              <w:rPr>
                <w:sz w:val="22"/>
              </w:rPr>
              <w:t>0,39</w:t>
            </w:r>
          </w:p>
        </w:tc>
      </w:tr>
      <w:tr w:rsidR="00000000">
        <w:tblPrEx>
          <w:tblCellMar>
            <w:top w:w="0" w:type="dxa"/>
            <w:bottom w:w="0" w:type="dxa"/>
          </w:tblCellMar>
        </w:tblPrEx>
        <w:tc>
          <w:tcPr>
            <w:tcW w:w="790" w:type="dxa"/>
          </w:tcPr>
          <w:p w:rsidR="00000000" w:rsidRDefault="00000000">
            <w:pPr>
              <w:spacing w:before="60" w:after="60"/>
              <w:rPr>
                <w:sz w:val="22"/>
              </w:rPr>
            </w:pPr>
            <w:r>
              <w:rPr>
                <w:sz w:val="22"/>
              </w:rPr>
              <w:t>1998</w:t>
            </w:r>
          </w:p>
        </w:tc>
        <w:tc>
          <w:tcPr>
            <w:tcW w:w="1728" w:type="dxa"/>
          </w:tcPr>
          <w:p w:rsidR="00000000" w:rsidRDefault="00000000">
            <w:pPr>
              <w:spacing w:before="60" w:after="60"/>
              <w:jc w:val="right"/>
              <w:rPr>
                <w:sz w:val="22"/>
              </w:rPr>
            </w:pPr>
            <w:r>
              <w:rPr>
                <w:sz w:val="22"/>
              </w:rPr>
              <w:t>0,54</w:t>
            </w:r>
          </w:p>
        </w:tc>
        <w:tc>
          <w:tcPr>
            <w:tcW w:w="1728" w:type="dxa"/>
          </w:tcPr>
          <w:p w:rsidR="00000000" w:rsidRDefault="00000000">
            <w:pPr>
              <w:spacing w:before="60" w:after="60"/>
              <w:jc w:val="right"/>
              <w:rPr>
                <w:sz w:val="22"/>
              </w:rPr>
            </w:pPr>
            <w:r>
              <w:rPr>
                <w:sz w:val="22"/>
              </w:rPr>
              <w:t>0,50</w:t>
            </w:r>
          </w:p>
        </w:tc>
        <w:tc>
          <w:tcPr>
            <w:tcW w:w="1728" w:type="dxa"/>
          </w:tcPr>
          <w:p w:rsidR="00000000" w:rsidRDefault="00000000">
            <w:pPr>
              <w:spacing w:before="60" w:after="60"/>
              <w:jc w:val="right"/>
              <w:rPr>
                <w:sz w:val="22"/>
              </w:rPr>
            </w:pPr>
            <w:r>
              <w:rPr>
                <w:sz w:val="22"/>
              </w:rPr>
              <w:t>0,46</w:t>
            </w:r>
          </w:p>
        </w:tc>
        <w:tc>
          <w:tcPr>
            <w:tcW w:w="1728" w:type="dxa"/>
          </w:tcPr>
          <w:p w:rsidR="00000000" w:rsidRDefault="00000000">
            <w:pPr>
              <w:spacing w:before="60" w:after="60"/>
              <w:jc w:val="right"/>
              <w:rPr>
                <w:sz w:val="22"/>
              </w:rPr>
            </w:pPr>
            <w:r>
              <w:rPr>
                <w:sz w:val="22"/>
              </w:rPr>
              <w:t>0,43</w:t>
            </w:r>
          </w:p>
        </w:tc>
        <w:tc>
          <w:tcPr>
            <w:tcW w:w="1728" w:type="dxa"/>
          </w:tcPr>
          <w:p w:rsidR="00000000" w:rsidRDefault="00000000">
            <w:pPr>
              <w:spacing w:before="60" w:after="60"/>
              <w:jc w:val="right"/>
              <w:rPr>
                <w:sz w:val="22"/>
              </w:rPr>
            </w:pPr>
            <w:r>
              <w:rPr>
                <w:sz w:val="22"/>
              </w:rPr>
              <w:t>0,39</w:t>
            </w:r>
          </w:p>
        </w:tc>
      </w:tr>
      <w:tr w:rsidR="00000000">
        <w:tblPrEx>
          <w:tblCellMar>
            <w:top w:w="0" w:type="dxa"/>
            <w:bottom w:w="0" w:type="dxa"/>
          </w:tblCellMar>
        </w:tblPrEx>
        <w:tc>
          <w:tcPr>
            <w:tcW w:w="790" w:type="dxa"/>
          </w:tcPr>
          <w:p w:rsidR="00000000" w:rsidRDefault="00000000">
            <w:pPr>
              <w:spacing w:before="60" w:after="60"/>
              <w:rPr>
                <w:sz w:val="22"/>
              </w:rPr>
            </w:pPr>
            <w:r>
              <w:rPr>
                <w:sz w:val="22"/>
              </w:rPr>
              <w:t>1999</w:t>
            </w:r>
          </w:p>
        </w:tc>
        <w:tc>
          <w:tcPr>
            <w:tcW w:w="1728" w:type="dxa"/>
          </w:tcPr>
          <w:p w:rsidR="00000000" w:rsidRDefault="00000000">
            <w:pPr>
              <w:spacing w:before="60" w:after="60"/>
              <w:jc w:val="right"/>
              <w:rPr>
                <w:sz w:val="22"/>
              </w:rPr>
            </w:pPr>
            <w:r>
              <w:rPr>
                <w:sz w:val="22"/>
              </w:rPr>
              <w:t>0,58</w:t>
            </w:r>
          </w:p>
        </w:tc>
        <w:tc>
          <w:tcPr>
            <w:tcW w:w="1728" w:type="dxa"/>
          </w:tcPr>
          <w:p w:rsidR="00000000" w:rsidRDefault="00000000">
            <w:pPr>
              <w:spacing w:before="60" w:after="60"/>
              <w:jc w:val="right"/>
              <w:rPr>
                <w:sz w:val="22"/>
              </w:rPr>
            </w:pPr>
            <w:r>
              <w:rPr>
                <w:sz w:val="22"/>
              </w:rPr>
              <w:t>0,52</w:t>
            </w:r>
          </w:p>
        </w:tc>
        <w:tc>
          <w:tcPr>
            <w:tcW w:w="1728" w:type="dxa"/>
          </w:tcPr>
          <w:p w:rsidR="00000000" w:rsidRDefault="00000000">
            <w:pPr>
              <w:spacing w:before="60" w:after="60"/>
              <w:jc w:val="right"/>
              <w:rPr>
                <w:sz w:val="22"/>
              </w:rPr>
            </w:pPr>
            <w:r>
              <w:rPr>
                <w:sz w:val="22"/>
              </w:rPr>
              <w:t>0,45</w:t>
            </w:r>
          </w:p>
        </w:tc>
        <w:tc>
          <w:tcPr>
            <w:tcW w:w="1728" w:type="dxa"/>
          </w:tcPr>
          <w:p w:rsidR="00000000" w:rsidRDefault="00000000">
            <w:pPr>
              <w:spacing w:before="60" w:after="60"/>
              <w:jc w:val="right"/>
              <w:rPr>
                <w:sz w:val="22"/>
              </w:rPr>
            </w:pPr>
            <w:r>
              <w:rPr>
                <w:sz w:val="22"/>
              </w:rPr>
              <w:t>0,43</w:t>
            </w:r>
          </w:p>
        </w:tc>
        <w:tc>
          <w:tcPr>
            <w:tcW w:w="1728" w:type="dxa"/>
          </w:tcPr>
          <w:p w:rsidR="00000000" w:rsidRDefault="00000000">
            <w:pPr>
              <w:spacing w:before="60" w:after="60"/>
              <w:jc w:val="right"/>
              <w:rPr>
                <w:sz w:val="22"/>
              </w:rPr>
            </w:pPr>
            <w:r>
              <w:rPr>
                <w:sz w:val="22"/>
              </w:rPr>
              <w:t>0,39</w:t>
            </w:r>
          </w:p>
        </w:tc>
      </w:tr>
    </w:tbl>
    <w:p w:rsidR="00000000" w:rsidRDefault="00000000">
      <w:pPr>
        <w:spacing w:before="240" w:after="240"/>
        <w:jc w:val="center"/>
        <w:rPr>
          <w:b/>
          <w:bCs/>
          <w:u w:val="single"/>
        </w:rPr>
      </w:pPr>
    </w:p>
    <w:p w:rsidR="00000000" w:rsidRDefault="00000000">
      <w:pPr>
        <w:spacing w:before="240" w:after="240"/>
        <w:jc w:val="center"/>
        <w:rPr>
          <w:b/>
          <w:bCs/>
          <w:u w:val="single"/>
        </w:rPr>
      </w:pPr>
      <w:r>
        <w:rPr>
          <w:b/>
          <w:bCs/>
          <w:u w:val="single"/>
        </w:rPr>
        <w:t>Liste des annexes</w:t>
      </w:r>
    </w:p>
    <w:p w:rsidR="00000000" w:rsidRDefault="00000000">
      <w:pPr>
        <w:spacing w:after="240"/>
        <w:ind w:left="1134" w:hanging="567"/>
      </w:pPr>
      <w:r>
        <w:t>1.</w:t>
      </w:r>
      <w:r>
        <w:tab/>
        <w:t>Texte préliminaire du programme national d’élimination de la pauvreté et de croissance économique (en anglais).</w:t>
      </w:r>
    </w:p>
    <w:p w:rsidR="00000000" w:rsidRDefault="00000000">
      <w:pPr>
        <w:spacing w:after="240"/>
      </w:pPr>
      <w:r>
        <w:tab/>
        <w:t>2.</w:t>
      </w:r>
      <w:r>
        <w:tab/>
        <w:t>Recueil statistique «</w:t>
      </w:r>
      <w:r>
        <w:rPr>
          <w:i/>
          <w:iCs/>
        </w:rPr>
        <w:t>Hommes et femmes de Géorgie, 1999</w:t>
      </w:r>
      <w:r>
        <w:t>» (en anglais).</w:t>
      </w:r>
    </w:p>
    <w:p w:rsidR="00000000" w:rsidRDefault="00000000">
      <w:pPr>
        <w:spacing w:before="240" w:after="240"/>
        <w:jc w:val="center"/>
      </w:pPr>
      <w:r>
        <w:t>-----</w:t>
      </w:r>
    </w:p>
    <w:p w:rsidR="00000000" w:rsidRDefault="00000000">
      <w:pPr>
        <w:widowControl w:val="0"/>
        <w:autoSpaceDE w:val="0"/>
        <w:autoSpaceDN w:val="0"/>
        <w:adjustRightInd w:val="0"/>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enter" w:pos="4200"/>
      </w:tabs>
    </w:pPr>
    <w:r>
      <w:t>GE.01-44076  (F)    051101    121101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rapport initial présenté par le Gouvernement géorgien a été examiné par le Comité des droits économiques, sociaux et culturels en 2000 (voir les documents E/C.12/2000/SR.3 à 5 et les observations finales publiées sous la cote E/C.12/1/Add.42).</w:t>
      </w:r>
    </w:p>
  </w:footnote>
  <w:footnote w:id="2">
    <w:p w:rsidR="00000000" w:rsidRDefault="00000000">
      <w:pPr>
        <w:pStyle w:val="FootnoteText"/>
        <w:spacing w:after="240"/>
      </w:pPr>
      <w:r>
        <w:rPr>
          <w:rStyle w:val="FootnoteReference"/>
        </w:rPr>
        <w:t>**</w:t>
      </w:r>
      <w:r>
        <w:t xml:space="preserve"> Les renseignements présentés par la Géorgie conformément aux directives concernant la première partie des rapports des États parties figurent dans le document de base portant la cote HRI/CORE/1/Add.90/Rev.1).</w:t>
      </w:r>
    </w:p>
    <w:p w:rsidR="00000000" w:rsidRDefault="00000000">
      <w:pPr>
        <w:pStyle w:val="FootnoteText"/>
        <w:spacing w:after="24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E/1990/6/Add.31</w:t>
    </w:r>
  </w:p>
  <w:p w:rsidR="00000000" w:rsidRDefault="00000000">
    <w:pPr>
      <w:pStyle w:val="Heade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36</w:t>
    </w:r>
    <w: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de-CH"/>
      </w:rPr>
    </w:pPr>
    <w:r>
      <w:tab/>
    </w:r>
    <w:r>
      <w:rPr>
        <w:lang w:val="de-CH"/>
      </w:rPr>
      <w:t>E/1990/6/Add.31</w:t>
    </w:r>
  </w:p>
  <w:p w:rsidR="00000000" w:rsidRDefault="00000000">
    <w:pPr>
      <w:pStyle w:val="Header"/>
      <w:tabs>
        <w:tab w:val="clear" w:pos="4320"/>
        <w:tab w:val="clear" w:pos="8640"/>
        <w:tab w:val="left" w:pos="7440"/>
      </w:tabs>
      <w:rPr>
        <w:lang w:val="de-CH"/>
      </w:rPr>
    </w:pPr>
    <w:r>
      <w:rPr>
        <w:lang w:val="de-CH"/>
      </w:rPr>
      <w:tab/>
      <w:t xml:space="preserve">page </w:t>
    </w:r>
    <w:r>
      <w:fldChar w:fldCharType="begin"/>
    </w:r>
    <w:r>
      <w:rPr>
        <w:lang w:val="de-CH"/>
      </w:rPr>
      <w:instrText xml:space="preserve"> PAGE  \* MERGEFORMAT </w:instrText>
    </w:r>
    <w:r>
      <w:fldChar w:fldCharType="separate"/>
    </w:r>
    <w:r>
      <w:rPr>
        <w:noProof/>
        <w:lang w:val="de-CH"/>
      </w:rPr>
      <w:t>37</w:t>
    </w:r>
    <w:r>
      <w:fldChar w:fldCharType="end"/>
    </w:r>
  </w:p>
  <w:p w:rsidR="00000000" w:rsidRDefault="00000000">
    <w:pPr>
      <w:pStyle w:val="Header"/>
      <w:tabs>
        <w:tab w:val="clear" w:pos="4320"/>
        <w:tab w:val="clear" w:pos="8640"/>
        <w:tab w:val="left" w:pos="7440"/>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D6A79"/>
    <w:multiLevelType w:val="hybridMultilevel"/>
    <w:tmpl w:val="A87650B8"/>
    <w:lvl w:ilvl="0" w:tplc="1FD825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94235F"/>
    <w:multiLevelType w:val="hybridMultilevel"/>
    <w:tmpl w:val="7270A4F0"/>
    <w:lvl w:ilvl="0" w:tplc="1FD825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8421CD"/>
    <w:multiLevelType w:val="hybridMultilevel"/>
    <w:tmpl w:val="BC0E0C60"/>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5FF0204"/>
    <w:multiLevelType w:val="hybridMultilevel"/>
    <w:tmpl w:val="DF3EDA74"/>
    <w:lvl w:ilvl="0" w:tplc="1FD825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2817815"/>
    <w:multiLevelType w:val="hybridMultilevel"/>
    <w:tmpl w:val="A2AAC7E4"/>
    <w:lvl w:ilvl="0" w:tplc="1AA815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2BD6827"/>
    <w:multiLevelType w:val="hybridMultilevel"/>
    <w:tmpl w:val="3584694E"/>
    <w:lvl w:ilvl="0" w:tplc="D068BF30">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
    <w:nsid w:val="250E51E5"/>
    <w:multiLevelType w:val="hybridMultilevel"/>
    <w:tmpl w:val="25B4D58A"/>
    <w:lvl w:ilvl="0" w:tplc="B06810EE">
      <w:start w:val="31"/>
      <w:numFmt w:val="bullet"/>
      <w:lvlText w:val="–"/>
      <w:lvlJc w:val="left"/>
      <w:pPr>
        <w:tabs>
          <w:tab w:val="num" w:pos="567"/>
        </w:tabs>
        <w:ind w:left="567"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74D78DE"/>
    <w:multiLevelType w:val="hybridMultilevel"/>
    <w:tmpl w:val="F684D9B6"/>
    <w:lvl w:ilvl="0" w:tplc="D826B944">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8">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9">
    <w:nsid w:val="30061330"/>
    <w:multiLevelType w:val="hybridMultilevel"/>
    <w:tmpl w:val="BAE21B0A"/>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1E4379A"/>
    <w:multiLevelType w:val="hybridMultilevel"/>
    <w:tmpl w:val="A43E55E0"/>
    <w:lvl w:ilvl="0" w:tplc="1AA815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47C2B0B"/>
    <w:multiLevelType w:val="hybridMultilevel"/>
    <w:tmpl w:val="E8F6B74A"/>
    <w:lvl w:ilvl="0" w:tplc="A942DA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84917FD"/>
    <w:multiLevelType w:val="hybridMultilevel"/>
    <w:tmpl w:val="F726F862"/>
    <w:lvl w:ilvl="0" w:tplc="7BC6F53E">
      <w:numFmt w:val="bullet"/>
      <w:lvlText w:val="-"/>
      <w:lvlJc w:val="left"/>
      <w:pPr>
        <w:tabs>
          <w:tab w:val="num" w:pos="644"/>
        </w:tabs>
        <w:ind w:left="567" w:hanging="283"/>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91C1CB5"/>
    <w:multiLevelType w:val="hybridMultilevel"/>
    <w:tmpl w:val="BFCEDBD8"/>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91C2A04"/>
    <w:multiLevelType w:val="hybridMultilevel"/>
    <w:tmpl w:val="35C2E0CC"/>
    <w:lvl w:ilvl="0" w:tplc="18E8FBAA">
      <w:start w:val="1"/>
      <w:numFmt w:val="bullet"/>
      <w:lvlText w:val="-"/>
      <w:lvlJc w:val="left"/>
      <w:pPr>
        <w:tabs>
          <w:tab w:val="num" w:pos="1701"/>
        </w:tabs>
        <w:ind w:left="1701" w:hanging="567"/>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6">
    <w:nsid w:val="3D437E64"/>
    <w:multiLevelType w:val="hybridMultilevel"/>
    <w:tmpl w:val="D2F21230"/>
    <w:lvl w:ilvl="0" w:tplc="CDF6E2FC">
      <w:start w:val="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17">
    <w:nsid w:val="3D5659A2"/>
    <w:multiLevelType w:val="hybridMultilevel"/>
    <w:tmpl w:val="AD425590"/>
    <w:lvl w:ilvl="0" w:tplc="7BC6F53E">
      <w:numFmt w:val="bullet"/>
      <w:lvlText w:val="-"/>
      <w:lvlJc w:val="left"/>
      <w:pPr>
        <w:tabs>
          <w:tab w:val="num" w:pos="644"/>
        </w:tabs>
        <w:ind w:left="567" w:hanging="283"/>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473A3A22"/>
    <w:multiLevelType w:val="hybridMultilevel"/>
    <w:tmpl w:val="D2F21230"/>
    <w:lvl w:ilvl="0" w:tplc="35BE0D12">
      <w:start w:val="1"/>
      <w:numFmt w:val="bullet"/>
      <w:lvlText w:val="–"/>
      <w:lvlJc w:val="left"/>
      <w:pPr>
        <w:tabs>
          <w:tab w:val="num" w:pos="634"/>
        </w:tabs>
        <w:ind w:left="634" w:hanging="567"/>
      </w:pPr>
      <w:rPr>
        <w:rFonts w:ascii="Times New Roman" w:eastAsia="Times New Roman" w:hAnsi="Times New Roman" w:cs="Times New Roman"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19">
    <w:nsid w:val="4D004641"/>
    <w:multiLevelType w:val="hybridMultilevel"/>
    <w:tmpl w:val="DBDAC508"/>
    <w:lvl w:ilvl="0" w:tplc="01CA234E">
      <w:start w:val="1"/>
      <w:numFmt w:val="bullet"/>
      <w:lvlText w:val=""/>
      <w:lvlJc w:val="left"/>
      <w:pPr>
        <w:tabs>
          <w:tab w:val="num" w:pos="1704"/>
        </w:tabs>
        <w:ind w:left="1704" w:hanging="567"/>
      </w:pPr>
      <w:rPr>
        <w:rFonts w:ascii="Symbol" w:hAnsi="Symbol" w:cs="Times New Roman"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20">
    <w:nsid w:val="4DAC00D7"/>
    <w:multiLevelType w:val="hybridMultilevel"/>
    <w:tmpl w:val="EEEC5FB4"/>
    <w:lvl w:ilvl="0" w:tplc="1FD825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2">
    <w:nsid w:val="53105170"/>
    <w:multiLevelType w:val="hybridMultilevel"/>
    <w:tmpl w:val="F268117A"/>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55542D21"/>
    <w:multiLevelType w:val="hybridMultilevel"/>
    <w:tmpl w:val="55EA4A24"/>
    <w:lvl w:ilvl="0" w:tplc="91B439C2">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8296505"/>
    <w:multiLevelType w:val="hybridMultilevel"/>
    <w:tmpl w:val="9BC2DB4E"/>
    <w:lvl w:ilvl="0" w:tplc="7BC6F53E">
      <w:numFmt w:val="bullet"/>
      <w:lvlText w:val="-"/>
      <w:lvlJc w:val="left"/>
      <w:pPr>
        <w:tabs>
          <w:tab w:val="num" w:pos="644"/>
        </w:tabs>
        <w:ind w:left="567" w:hanging="283"/>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93C1967"/>
    <w:multiLevelType w:val="hybridMultilevel"/>
    <w:tmpl w:val="698CB098"/>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ABC37F8"/>
    <w:multiLevelType w:val="hybridMultilevel"/>
    <w:tmpl w:val="ED12738C"/>
    <w:lvl w:ilvl="0" w:tplc="BE5EA0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5C5F61F0"/>
    <w:multiLevelType w:val="hybridMultilevel"/>
    <w:tmpl w:val="698485E0"/>
    <w:lvl w:ilvl="0" w:tplc="1E46C712">
      <w:start w:val="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5DFE2C89"/>
    <w:multiLevelType w:val="hybridMultilevel"/>
    <w:tmpl w:val="88B65672"/>
    <w:lvl w:ilvl="0" w:tplc="B0FAD7BC">
      <w:start w:val="4"/>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0DA63DC"/>
    <w:multiLevelType w:val="hybridMultilevel"/>
    <w:tmpl w:val="5AC6F57C"/>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55410B2"/>
    <w:multiLevelType w:val="hybridMultilevel"/>
    <w:tmpl w:val="3AD0B330"/>
    <w:lvl w:ilvl="0" w:tplc="1FD825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87069FF"/>
    <w:multiLevelType w:val="hybridMultilevel"/>
    <w:tmpl w:val="3D1A63B0"/>
    <w:lvl w:ilvl="0" w:tplc="7BC6F53E">
      <w:numFmt w:val="bullet"/>
      <w:lvlText w:val="-"/>
      <w:lvlJc w:val="left"/>
      <w:pPr>
        <w:tabs>
          <w:tab w:val="num" w:pos="644"/>
        </w:tabs>
        <w:ind w:left="567" w:hanging="283"/>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9BF2144"/>
    <w:multiLevelType w:val="hybridMultilevel"/>
    <w:tmpl w:val="B52CFF46"/>
    <w:lvl w:ilvl="0" w:tplc="7BC6F53E">
      <w:numFmt w:val="bullet"/>
      <w:lvlText w:val="-"/>
      <w:lvlJc w:val="left"/>
      <w:pPr>
        <w:tabs>
          <w:tab w:val="num" w:pos="644"/>
        </w:tabs>
        <w:ind w:left="567" w:hanging="283"/>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BE75D18"/>
    <w:multiLevelType w:val="hybridMultilevel"/>
    <w:tmpl w:val="3584694E"/>
    <w:lvl w:ilvl="0" w:tplc="01CA234E">
      <w:start w:val="1"/>
      <w:numFmt w:val="bullet"/>
      <w:lvlText w:val=""/>
      <w:lvlJc w:val="left"/>
      <w:pPr>
        <w:tabs>
          <w:tab w:val="num" w:pos="1701"/>
        </w:tabs>
        <w:ind w:left="1701" w:hanging="567"/>
      </w:pPr>
      <w:rPr>
        <w:rFonts w:ascii="Symbol" w:hAnsi="Symbol"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4">
    <w:nsid w:val="6EBF6E57"/>
    <w:multiLevelType w:val="hybridMultilevel"/>
    <w:tmpl w:val="A87650B8"/>
    <w:lvl w:ilvl="0" w:tplc="3E0EE82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71093454"/>
    <w:multiLevelType w:val="hybridMultilevel"/>
    <w:tmpl w:val="698485E0"/>
    <w:lvl w:ilvl="0" w:tplc="05C2511C">
      <w:start w:val="1"/>
      <w:numFmt w:val="bullet"/>
      <w:lvlText w:val="–"/>
      <w:lvlJc w:val="left"/>
      <w:pPr>
        <w:tabs>
          <w:tab w:val="num" w:pos="927"/>
        </w:tabs>
        <w:ind w:left="567" w:firstLine="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725F00AB"/>
    <w:multiLevelType w:val="hybridMultilevel"/>
    <w:tmpl w:val="6D5AACE8"/>
    <w:lvl w:ilvl="0" w:tplc="1C0668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78D554B3"/>
    <w:multiLevelType w:val="hybridMultilevel"/>
    <w:tmpl w:val="30768658"/>
    <w:lvl w:ilvl="0" w:tplc="7BC6F53E">
      <w:numFmt w:val="bullet"/>
      <w:lvlText w:val="-"/>
      <w:lvlJc w:val="left"/>
      <w:pPr>
        <w:tabs>
          <w:tab w:val="num" w:pos="644"/>
        </w:tabs>
        <w:ind w:left="567" w:hanging="283"/>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9">
    <w:nsid w:val="7D585B33"/>
    <w:multiLevelType w:val="hybridMultilevel"/>
    <w:tmpl w:val="D2F21230"/>
    <w:lvl w:ilvl="0" w:tplc="05C2511C">
      <w:start w:val="1"/>
      <w:numFmt w:val="bullet"/>
      <w:lvlText w:val="–"/>
      <w:lvlJc w:val="left"/>
      <w:pPr>
        <w:tabs>
          <w:tab w:val="num" w:pos="927"/>
        </w:tabs>
        <w:ind w:left="567" w:firstLine="0"/>
      </w:pPr>
      <w:rPr>
        <w:rFonts w:ascii="Times New Roman" w:eastAsia="Times New Roman" w:hAnsi="Times New Roman" w:cs="Times New Roman"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40">
    <w:nsid w:val="7DEE5D32"/>
    <w:multiLevelType w:val="hybridMultilevel"/>
    <w:tmpl w:val="35C2E0CC"/>
    <w:lvl w:ilvl="0" w:tplc="82EADC10">
      <w:start w:val="1"/>
      <w:numFmt w:val="bullet"/>
      <w:lvlText w:val="-"/>
      <w:lvlJc w:val="left"/>
      <w:pPr>
        <w:tabs>
          <w:tab w:val="num" w:pos="927"/>
        </w:tabs>
        <w:ind w:left="567" w:firstLine="0"/>
      </w:pPr>
      <w:rPr>
        <w:rFont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38"/>
  </w:num>
  <w:num w:numId="3">
    <w:abstractNumId w:val="8"/>
  </w:num>
  <w:num w:numId="4">
    <w:abstractNumId w:val="38"/>
  </w:num>
  <w:num w:numId="5">
    <w:abstractNumId w:val="8"/>
  </w:num>
  <w:num w:numId="6">
    <w:abstractNumId w:val="38"/>
  </w:num>
  <w:num w:numId="7">
    <w:abstractNumId w:val="38"/>
  </w:num>
  <w:num w:numId="8">
    <w:abstractNumId w:val="38"/>
  </w:num>
  <w:num w:numId="9">
    <w:abstractNumId w:val="38"/>
  </w:num>
  <w:num w:numId="10">
    <w:abstractNumId w:val="15"/>
  </w:num>
  <w:num w:numId="11">
    <w:abstractNumId w:val="15"/>
  </w:num>
  <w:num w:numId="12">
    <w:abstractNumId w:val="38"/>
  </w:num>
  <w:num w:numId="13">
    <w:abstractNumId w:val="15"/>
  </w:num>
  <w:num w:numId="14">
    <w:abstractNumId w:val="38"/>
  </w:num>
  <w:num w:numId="15">
    <w:abstractNumId w:val="38"/>
  </w:num>
  <w:num w:numId="16">
    <w:abstractNumId w:val="38"/>
  </w:num>
  <w:num w:numId="17">
    <w:abstractNumId w:val="38"/>
  </w:num>
  <w:num w:numId="18">
    <w:abstractNumId w:val="38"/>
  </w:num>
  <w:num w:numId="19">
    <w:abstractNumId w:val="38"/>
  </w:num>
  <w:num w:numId="20">
    <w:abstractNumId w:val="8"/>
  </w:num>
  <w:num w:numId="21">
    <w:abstractNumId w:val="8"/>
  </w:num>
  <w:num w:numId="22">
    <w:abstractNumId w:val="8"/>
  </w:num>
  <w:num w:numId="23">
    <w:abstractNumId w:val="8"/>
  </w:num>
  <w:num w:numId="24">
    <w:abstractNumId w:val="8"/>
  </w:num>
  <w:num w:numId="25">
    <w:abstractNumId w:val="15"/>
  </w:num>
  <w:num w:numId="26">
    <w:abstractNumId w:val="15"/>
  </w:num>
  <w:num w:numId="27">
    <w:abstractNumId w:val="8"/>
  </w:num>
  <w:num w:numId="28">
    <w:abstractNumId w:val="15"/>
  </w:num>
  <w:num w:numId="29">
    <w:abstractNumId w:val="15"/>
  </w:num>
  <w:num w:numId="30">
    <w:abstractNumId w:val="15"/>
  </w:num>
  <w:num w:numId="31">
    <w:abstractNumId w:val="8"/>
  </w:num>
  <w:num w:numId="32">
    <w:abstractNumId w:val="8"/>
  </w:num>
  <w:num w:numId="33">
    <w:abstractNumId w:val="38"/>
  </w:num>
  <w:num w:numId="34">
    <w:abstractNumId w:val="8"/>
  </w:num>
  <w:num w:numId="35">
    <w:abstractNumId w:val="38"/>
  </w:num>
  <w:num w:numId="36">
    <w:abstractNumId w:val="38"/>
  </w:num>
  <w:num w:numId="37">
    <w:abstractNumId w:val="8"/>
  </w:num>
  <w:num w:numId="38">
    <w:abstractNumId w:val="38"/>
  </w:num>
  <w:num w:numId="39">
    <w:abstractNumId w:val="8"/>
  </w:num>
  <w:num w:numId="40">
    <w:abstractNumId w:val="8"/>
  </w:num>
  <w:num w:numId="41">
    <w:abstractNumId w:val="8"/>
  </w:num>
  <w:num w:numId="42">
    <w:abstractNumId w:val="38"/>
  </w:num>
  <w:num w:numId="43">
    <w:abstractNumId w:val="8"/>
  </w:num>
  <w:num w:numId="44">
    <w:abstractNumId w:val="38"/>
  </w:num>
  <w:num w:numId="45">
    <w:abstractNumId w:val="8"/>
  </w:num>
  <w:num w:numId="46">
    <w:abstractNumId w:val="8"/>
  </w:num>
  <w:num w:numId="47">
    <w:abstractNumId w:val="21"/>
  </w:num>
  <w:num w:numId="48">
    <w:abstractNumId w:val="4"/>
  </w:num>
  <w:num w:numId="49">
    <w:abstractNumId w:val="34"/>
  </w:num>
  <w:num w:numId="50">
    <w:abstractNumId w:val="0"/>
  </w:num>
  <w:num w:numId="51">
    <w:abstractNumId w:val="30"/>
  </w:num>
  <w:num w:numId="52">
    <w:abstractNumId w:val="23"/>
  </w:num>
  <w:num w:numId="53">
    <w:abstractNumId w:val="20"/>
  </w:num>
  <w:num w:numId="54">
    <w:abstractNumId w:val="1"/>
  </w:num>
  <w:num w:numId="55">
    <w:abstractNumId w:val="3"/>
  </w:num>
  <w:num w:numId="56">
    <w:abstractNumId w:val="13"/>
  </w:num>
  <w:num w:numId="57">
    <w:abstractNumId w:val="2"/>
  </w:num>
  <w:num w:numId="58">
    <w:abstractNumId w:val="32"/>
  </w:num>
  <w:num w:numId="59">
    <w:abstractNumId w:val="24"/>
  </w:num>
  <w:num w:numId="60">
    <w:abstractNumId w:val="37"/>
  </w:num>
  <w:num w:numId="61">
    <w:abstractNumId w:val="12"/>
  </w:num>
  <w:num w:numId="62">
    <w:abstractNumId w:val="17"/>
  </w:num>
  <w:num w:numId="63">
    <w:abstractNumId w:val="31"/>
  </w:num>
  <w:num w:numId="64">
    <w:abstractNumId w:val="28"/>
  </w:num>
  <w:num w:numId="65">
    <w:abstractNumId w:val="6"/>
  </w:num>
  <w:num w:numId="66">
    <w:abstractNumId w:val="18"/>
  </w:num>
  <w:num w:numId="67">
    <w:abstractNumId w:val="39"/>
  </w:num>
  <w:num w:numId="68">
    <w:abstractNumId w:val="35"/>
  </w:num>
  <w:num w:numId="69">
    <w:abstractNumId w:val="14"/>
  </w:num>
  <w:num w:numId="70">
    <w:abstractNumId w:val="40"/>
  </w:num>
  <w:num w:numId="71">
    <w:abstractNumId w:val="36"/>
  </w:num>
  <w:num w:numId="72">
    <w:abstractNumId w:val="22"/>
  </w:num>
  <w:num w:numId="73">
    <w:abstractNumId w:val="25"/>
  </w:num>
  <w:num w:numId="74">
    <w:abstractNumId w:val="9"/>
  </w:num>
  <w:num w:numId="75">
    <w:abstractNumId w:val="10"/>
  </w:num>
  <w:num w:numId="76">
    <w:abstractNumId w:val="26"/>
  </w:num>
  <w:num w:numId="77">
    <w:abstractNumId w:val="11"/>
  </w:num>
  <w:num w:numId="78">
    <w:abstractNumId w:val="29"/>
  </w:num>
  <w:num w:numId="79">
    <w:abstractNumId w:val="19"/>
  </w:num>
  <w:num w:numId="80">
    <w:abstractNumId w:val="7"/>
  </w:num>
  <w:num w:numId="81">
    <w:abstractNumId w:val="33"/>
  </w:num>
  <w:num w:numId="82">
    <w:abstractNumId w:val="5"/>
  </w:num>
  <w:num w:numId="83">
    <w:abstractNumId w:val="16"/>
  </w:num>
  <w:num w:numId="8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21386</Words>
  <Characters>121902</Characters>
  <Application>Microsoft Office Word</Application>
  <DocSecurity>4</DocSecurity>
  <Lines>1015</Lines>
  <Paragraphs>243</Paragraphs>
  <ScaleCrop>false</ScaleCrop>
  <HeadingPairs>
    <vt:vector size="2" baseType="variant">
      <vt:variant>
        <vt:lpstr>Titre</vt:lpstr>
      </vt:variant>
      <vt:variant>
        <vt:i4>1</vt:i4>
      </vt:variant>
    </vt:vector>
  </HeadingPairs>
  <TitlesOfParts>
    <vt:vector size="1" baseType="lpstr">
      <vt:lpstr>E/1990/6/Add.31</vt:lpstr>
    </vt:vector>
  </TitlesOfParts>
  <Manager>M. Urli</Manager>
  <Company>ONU</Company>
  <LinksUpToDate>false</LinksUpToDate>
  <CharactersWithSpaces>149704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E/1990/6/Add.31</dc:title>
  <dc:subject>final 1-152</dc:subject>
  <dc:creator>M. Urli</dc:creator>
  <cp:keywords/>
  <dc:description/>
  <cp:lastModifiedBy>Monique Urli</cp:lastModifiedBy>
  <cp:revision>2</cp:revision>
  <cp:lastPrinted>2001-11-12T10:09:00Z</cp:lastPrinted>
  <dcterms:created xsi:type="dcterms:W3CDTF">2001-11-12T10:15:00Z</dcterms:created>
  <dcterms:modified xsi:type="dcterms:W3CDTF">2001-11-12T10:15:00Z</dcterms:modified>
</cp:coreProperties>
</file>