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5C7" w:rsidRDefault="00D725C7" w:rsidP="00D725C7">
      <w:pPr>
        <w:spacing w:line="60" w:lineRule="exact"/>
        <w:sectPr w:rsidR="00D725C7" w:rsidSect="00D725C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2Size =1Lang = C"/>
            <w10:wrap anchorx="page" anchory="page"/>
          </v:shape>
        </w:pict>
      </w:r>
      <w:commentRangeEnd w:id="0"/>
      <w:r>
        <w:rPr>
          <w:rStyle w:val="CommentReference"/>
        </w:rPr>
        <w:commentReference w:id="0"/>
      </w:r>
    </w:p>
    <w:p w:rsidR="00D725C7" w:rsidRDefault="00D725C7" w:rsidP="00D725C7">
      <w:pPr>
        <w:spacing w:line="60" w:lineRule="exact"/>
      </w:pPr>
    </w:p>
    <w:p w:rsidR="001D13A8" w:rsidRDefault="001D13A8" w:rsidP="001D13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1D13A8" w:rsidRPr="001D13A8" w:rsidRDefault="001D13A8" w:rsidP="001D13A8">
      <w:pPr>
        <w:pStyle w:val="SingleTxt"/>
        <w:spacing w:after="0" w:line="120" w:lineRule="exact"/>
        <w:rPr>
          <w:sz w:val="10"/>
        </w:rPr>
      </w:pPr>
    </w:p>
    <w:p w:rsidR="001D13A8" w:rsidRPr="001D13A8" w:rsidRDefault="001D13A8" w:rsidP="001D13A8">
      <w:pPr>
        <w:pStyle w:val="SingleTxt"/>
        <w:spacing w:after="0" w:line="120" w:lineRule="exact"/>
        <w:rPr>
          <w:rFonts w:hint="eastAsia"/>
          <w:sz w:val="10"/>
        </w:rPr>
      </w:pPr>
    </w:p>
    <w:p w:rsidR="001D13A8" w:rsidRPr="001D13A8" w:rsidRDefault="001D13A8" w:rsidP="001D13A8">
      <w:pPr>
        <w:pStyle w:val="SingleTxt"/>
        <w:spacing w:after="0" w:line="120" w:lineRule="exact"/>
        <w:rPr>
          <w:rFonts w:hint="eastAsia"/>
          <w:sz w:val="10"/>
        </w:rPr>
      </w:pPr>
    </w:p>
    <w:p w:rsidR="001D13A8" w:rsidRDefault="001D13A8" w:rsidP="001D13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sidRPr="001D13A8">
        <w:rPr>
          <w:rFonts w:hint="eastAsia"/>
          <w:spacing w:val="2"/>
        </w:rPr>
        <w:t>与阿拉伯叙利亚共和国第二次定期报告有关的议题和问题清单</w:t>
      </w:r>
      <w:r w:rsidRPr="001D13A8">
        <w:rPr>
          <w:rFonts w:hint="eastAsia"/>
          <w:vertAlign w:val="superscript"/>
        </w:rPr>
        <w:t>*</w:t>
      </w:r>
    </w:p>
    <w:p w:rsidR="001D13A8" w:rsidRPr="001D13A8" w:rsidRDefault="001D13A8" w:rsidP="001D13A8">
      <w:pPr>
        <w:pStyle w:val="SingleTxt"/>
        <w:spacing w:after="0" w:line="120" w:lineRule="exact"/>
        <w:rPr>
          <w:rFonts w:hint="eastAsia"/>
          <w:sz w:val="10"/>
        </w:rPr>
      </w:pPr>
    </w:p>
    <w:p w:rsidR="001D13A8" w:rsidRPr="001D13A8" w:rsidRDefault="001D13A8" w:rsidP="001D13A8">
      <w:pPr>
        <w:pStyle w:val="SingleTxt"/>
        <w:spacing w:after="0" w:line="120" w:lineRule="exact"/>
        <w:rPr>
          <w:rFonts w:hint="eastAsia"/>
          <w:sz w:val="10"/>
        </w:rPr>
      </w:pPr>
    </w:p>
    <w:p w:rsidR="001D13A8" w:rsidRDefault="001D13A8" w:rsidP="001D13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总体情况</w:t>
      </w:r>
    </w:p>
    <w:p w:rsidR="001D13A8" w:rsidRPr="001D13A8" w:rsidRDefault="001D13A8" w:rsidP="001D13A8">
      <w:pPr>
        <w:pStyle w:val="SingleTxt"/>
        <w:spacing w:after="0" w:line="120" w:lineRule="exact"/>
        <w:rPr>
          <w:rFonts w:hint="eastAsia"/>
          <w:sz w:val="10"/>
        </w:rPr>
      </w:pPr>
    </w:p>
    <w:p w:rsidR="001D13A8" w:rsidRPr="001D13A8" w:rsidRDefault="001D13A8" w:rsidP="001D13A8">
      <w:pPr>
        <w:pStyle w:val="SingleTxt"/>
        <w:spacing w:after="0" w:line="120" w:lineRule="exact"/>
        <w:rPr>
          <w:rFonts w:hint="eastAsia"/>
          <w:sz w:val="10"/>
        </w:rPr>
      </w:pPr>
    </w:p>
    <w:p w:rsidR="001D13A8" w:rsidRDefault="001D13A8" w:rsidP="001D13A8">
      <w:pPr>
        <w:pStyle w:val="SingleTxt"/>
      </w:pPr>
      <w:r>
        <w:rPr>
          <w:rFonts w:hint="eastAsia"/>
        </w:rPr>
        <w:t>1</w:t>
      </w:r>
      <w:r>
        <w:t>.</w:t>
      </w:r>
      <w:r>
        <w:tab/>
      </w:r>
      <w:r>
        <w:rPr>
          <w:rFonts w:hint="eastAsia"/>
        </w:rPr>
        <w:t>2011年是缔约国面临挑战的一年，该国发生了政治和安全不稳定，并恶化成政府与反政府团体之间的冲突。该缔约国持续发生且不断严重的敌对行动，对平民人口、特别是妇女产生了严重影响，而妇女则一直面临更多暴力和歧视。该缔约国在报告中承认，由于该国目前的局势，妇女受到不成比例的直接或间接伤害(第1段)。</w:t>
      </w:r>
      <w:r>
        <w:rPr>
          <w:rStyle w:val="FootnoteReference"/>
        </w:rPr>
        <w:footnoteReference w:id="1"/>
      </w:r>
      <w:r>
        <w:t xml:space="preserve"> </w:t>
      </w:r>
      <w:r>
        <w:rPr>
          <w:rFonts w:hint="eastAsia"/>
        </w:rPr>
        <w:t>根据关于妇女与预防冲突、冲突和冲突后情势的第30号一般性建</w:t>
      </w:r>
      <w:r w:rsidRPr="001D13A8">
        <w:rPr>
          <w:rFonts w:hint="eastAsia"/>
          <w:spacing w:val="-2"/>
        </w:rPr>
        <w:t>议，缔约国有义务在所有危机情势、包括在武装冲突期间适用《公约》，有鉴于此，请提供资料，说明已制订了哪些措施和机制来处理冲突对妇女和女童的不利影响，并保护她们免受暴力的侵害，同时确保该缔约国全境内对其的根深蒂固的歧视不再进一步加剧。还请提供资料，说明在缔约国控制地区存在哪种类型的家庭生存替代谋生来源以及所提供的帮助、特别是为以妇女为户主的家庭提供的帮助。</w:t>
      </w:r>
    </w:p>
    <w:p w:rsidR="001D13A8" w:rsidRDefault="001D13A8" w:rsidP="001D13A8">
      <w:pPr>
        <w:pStyle w:val="SingleTxt"/>
      </w:pPr>
      <w:r>
        <w:rPr>
          <w:rFonts w:hint="eastAsia"/>
        </w:rPr>
        <w:t>2.</w:t>
      </w:r>
      <w:r>
        <w:tab/>
      </w:r>
      <w:r>
        <w:rPr>
          <w:rFonts w:hint="eastAsia"/>
        </w:rPr>
        <w:t>请提供资料，说明为将人权和性别视角纳入为在该缔约国实现和平的努力而已经采取或预期会采取的措施，并说明设想的重建进程。请说明已经采取了哪些步骤来确保军队和警察遵守国际人道主义法和国际人权法标准，尤其是性暴力和基于性别的暴力方面的标准。请说明已经采取或预期会采取哪些步骤来确保妇女和妇女组织有效和有意义地参与和平进程、和平谈判和冲突后重建的筹备工作。另请提供资料，说明为执行安全理事会第</w:t>
      </w:r>
      <w:hyperlink r:id="rId14" w:history="1">
        <w:r w:rsidRPr="00DB5DEA">
          <w:rPr>
            <w:rStyle w:val="Hyperlink"/>
            <w:rFonts w:hint="eastAsia"/>
          </w:rPr>
          <w:t>1325(2000)</w:t>
        </w:r>
      </w:hyperlink>
      <w:r>
        <w:rPr>
          <w:rFonts w:hint="eastAsia"/>
        </w:rPr>
        <w:t>号和其后的各项决议、包括第</w:t>
      </w:r>
      <w:hyperlink r:id="rId15" w:history="1">
        <w:r w:rsidRPr="00DB5DEA">
          <w:rPr>
            <w:rStyle w:val="Hyperlink"/>
            <w:rFonts w:hint="eastAsia"/>
          </w:rPr>
          <w:t>2122(2013)</w:t>
        </w:r>
      </w:hyperlink>
      <w:r>
        <w:rPr>
          <w:rFonts w:hint="eastAsia"/>
        </w:rPr>
        <w:t>号决议而采取的步骤。还请说明为通过执行安全理事会第</w:t>
      </w:r>
      <w:hyperlink r:id="rId16" w:history="1">
        <w:r w:rsidRPr="00DB5DEA">
          <w:rPr>
            <w:rStyle w:val="Hyperlink"/>
            <w:rFonts w:hint="eastAsia"/>
          </w:rPr>
          <w:t>1325(2000)</w:t>
        </w:r>
      </w:hyperlink>
      <w:r>
        <w:rPr>
          <w:rFonts w:hint="eastAsia"/>
        </w:rPr>
        <w:t>号决议的国家行动计划而采取的步骤。</w:t>
      </w:r>
    </w:p>
    <w:p w:rsidR="001D13A8" w:rsidRPr="001D13A8" w:rsidRDefault="001D13A8" w:rsidP="001D13A8">
      <w:pPr>
        <w:pStyle w:val="SingleTxt"/>
        <w:rPr>
          <w:rFonts w:ascii="SimHei" w:eastAsia="SimHei" w:hint="eastAsia"/>
        </w:rPr>
      </w:pPr>
      <w:r w:rsidRPr="001D13A8">
        <w:rPr>
          <w:rFonts w:ascii="SimHei" w:eastAsia="SimHei" w:hint="eastAsia"/>
        </w:rPr>
        <w:t>保留</w:t>
      </w:r>
    </w:p>
    <w:p w:rsidR="001D13A8" w:rsidRDefault="001D13A8" w:rsidP="001D13A8">
      <w:pPr>
        <w:pStyle w:val="SingleTxt"/>
      </w:pPr>
      <w:r>
        <w:rPr>
          <w:rFonts w:hint="eastAsia"/>
        </w:rPr>
        <w:t>3.</w:t>
      </w:r>
      <w:r>
        <w:tab/>
      </w:r>
      <w:r>
        <w:rPr>
          <w:rFonts w:hint="eastAsia"/>
        </w:rPr>
        <w:t>委员会在以前的结论意见中，欢迎该缔约国决定取消其对《公约》的一些保留意见(</w:t>
      </w:r>
      <w:hyperlink r:id="rId17" w:history="1">
        <w:r w:rsidRPr="00DB5DEA">
          <w:rPr>
            <w:rStyle w:val="Hyperlink"/>
            <w:rFonts w:hint="eastAsia"/>
          </w:rPr>
          <w:t>CEDAW/C/SYR/CO/1</w:t>
        </w:r>
      </w:hyperlink>
      <w:r>
        <w:rPr>
          <w:rFonts w:hint="eastAsia"/>
        </w:rPr>
        <w:t>，第11段)；不过，这些保留尚未取消，所有对《公约》的保留仍然存在。请提供资料，说明为按报告第39段所述撤销对《公约》的全部保留意见已经进行和正在进行的具体审查。</w:t>
      </w:r>
    </w:p>
    <w:p w:rsidR="001D13A8" w:rsidRPr="001D13A8" w:rsidRDefault="001D13A8" w:rsidP="001D13A8">
      <w:pPr>
        <w:pStyle w:val="SingleTxt"/>
        <w:rPr>
          <w:rFonts w:ascii="SimHei" w:eastAsia="SimHei" w:hint="eastAsia"/>
        </w:rPr>
      </w:pPr>
      <w:r w:rsidRPr="001D13A8">
        <w:rPr>
          <w:rFonts w:ascii="SimHei" w:eastAsia="SimHei" w:hint="eastAsia"/>
        </w:rPr>
        <w:t>宪法和立法框架</w:t>
      </w:r>
    </w:p>
    <w:p w:rsidR="001D13A8" w:rsidRDefault="001D13A8" w:rsidP="001D13A8">
      <w:pPr>
        <w:pStyle w:val="SingleTxt"/>
      </w:pPr>
      <w:r>
        <w:rPr>
          <w:rFonts w:hint="eastAsia"/>
        </w:rPr>
        <w:t>4</w:t>
      </w:r>
      <w:r>
        <w:t>.</w:t>
      </w:r>
      <w:r>
        <w:tab/>
      </w:r>
      <w:r>
        <w:rPr>
          <w:rFonts w:hint="eastAsia"/>
        </w:rPr>
        <w:t>缔约国在报告中表示，它于2012年2月27日通过了一部新的《宪法》，新</w:t>
      </w:r>
      <w:r w:rsidRPr="001D13A8">
        <w:rPr>
          <w:rFonts w:hint="eastAsia"/>
          <w:spacing w:val="2"/>
        </w:rPr>
        <w:t>《宪法》第33条规定保障所有公民一律平等和不对任何公民歧视、包括基于性别的歧视原则(第24和45段)。请说明新《宪法》或任何其他立法是否规定了临时特别措施，以加快实现男女事实上的平等。另请提供资料，说明缔约国是否设想进行立法改革，以纳入《公约》规定的妇女的人权，并根据《公约》第1条和第2条，明确禁止在公共和私人领域直接和间接歧视妇女。还请提供资料，说明采取了哪些措施使国家立法与《公约》相一致，尤其是在没有提出保留的方面</w:t>
      </w:r>
      <w:r>
        <w:rPr>
          <w:rFonts w:hint="eastAsia"/>
        </w:rPr>
        <w:t>。</w:t>
      </w:r>
    </w:p>
    <w:p w:rsidR="001D13A8" w:rsidRPr="001D13A8" w:rsidRDefault="001D13A8" w:rsidP="001D13A8">
      <w:pPr>
        <w:pStyle w:val="SingleTxt"/>
        <w:rPr>
          <w:rFonts w:ascii="SimHei" w:eastAsia="SimHei" w:hint="eastAsia"/>
        </w:rPr>
      </w:pPr>
      <w:r w:rsidRPr="001D13A8">
        <w:rPr>
          <w:rFonts w:ascii="SimHei" w:eastAsia="SimHei" w:hint="eastAsia"/>
        </w:rPr>
        <w:t>诉诸法律的机会</w:t>
      </w:r>
    </w:p>
    <w:p w:rsidR="001D13A8" w:rsidRDefault="001D13A8" w:rsidP="001D13A8">
      <w:pPr>
        <w:pStyle w:val="SingleTxt"/>
      </w:pPr>
      <w:r>
        <w:rPr>
          <w:rFonts w:hint="eastAsia"/>
        </w:rPr>
        <w:t>5</w:t>
      </w:r>
      <w:r>
        <w:t>.</w:t>
      </w:r>
      <w:r>
        <w:tab/>
      </w:r>
      <w:r>
        <w:rPr>
          <w:rFonts w:hint="eastAsia"/>
        </w:rPr>
        <w:t>鉴于该缔约国持续不断的冲突，请提供资料，说明缔约国正如何确保妇女在正规司法系统中有效获得诉诸司法的机会。另请提供资料，说明缔约国正如何确保对与冲突有关的、国家和(或)非国家行为者实施的所有侵犯妇女权利的行为、尤其是性暴力以及侵犯经济、社会和文化权利的行为进行适当调查、起诉和惩处，并将犯罪者绳之以法。</w:t>
      </w:r>
    </w:p>
    <w:p w:rsidR="001D13A8" w:rsidRDefault="001D13A8" w:rsidP="001D13A8">
      <w:pPr>
        <w:pStyle w:val="SingleTxt"/>
      </w:pPr>
      <w:r>
        <w:rPr>
          <w:rFonts w:hint="eastAsia"/>
        </w:rPr>
        <w:t>6</w:t>
      </w:r>
      <w:r>
        <w:t>.</w:t>
      </w:r>
      <w:r>
        <w:tab/>
      </w:r>
      <w:r>
        <w:rPr>
          <w:rFonts w:hint="eastAsia"/>
        </w:rPr>
        <w:t>根据报告，该缔约国实施了与持续的危机有关的拘留(第34段)。请提供资料，说明对恐怖主义行为、恐怖主义组织和资助恐怖主义作了界定的关于打击恐怖主义的第19号法律(2012)的规定(第110段)。在这方面，请提供按年龄分列的自2011年以来被拘留的妇女人数数据，并说明她们被拘留的理由和为确保其享有获得公平审判的权利而采取的措施。请提供资料说明该缔约国拘留设施中拘留了多少妇女及其拘留条件。</w:t>
      </w:r>
    </w:p>
    <w:p w:rsidR="001D13A8" w:rsidRPr="001D13A8" w:rsidRDefault="001D13A8" w:rsidP="001D13A8">
      <w:pPr>
        <w:pStyle w:val="SingleTxt"/>
        <w:rPr>
          <w:rFonts w:ascii="SimHei" w:eastAsia="SimHei" w:hint="eastAsia"/>
        </w:rPr>
      </w:pPr>
      <w:r w:rsidRPr="001D13A8">
        <w:rPr>
          <w:rFonts w:ascii="SimHei" w:eastAsia="SimHei" w:hint="eastAsia"/>
        </w:rPr>
        <w:t>提高妇女地位的国家机制</w:t>
      </w:r>
    </w:p>
    <w:p w:rsidR="001D13A8" w:rsidRDefault="001D13A8" w:rsidP="001D13A8">
      <w:pPr>
        <w:pStyle w:val="SingleTxt"/>
      </w:pPr>
      <w:r>
        <w:rPr>
          <w:rFonts w:hint="eastAsia"/>
        </w:rPr>
        <w:t>7</w:t>
      </w:r>
      <w:r>
        <w:t>.</w:t>
      </w:r>
      <w:r>
        <w:tab/>
      </w:r>
      <w:r>
        <w:rPr>
          <w:rFonts w:hint="eastAsia"/>
        </w:rPr>
        <w:t>请提供详细资料，说明叙利亚家庭事务委员会的任务(第67段)。另请说明</w:t>
      </w:r>
      <w:r w:rsidRPr="001D13A8">
        <w:rPr>
          <w:rFonts w:hint="eastAsia"/>
          <w:spacing w:val="2"/>
        </w:rPr>
        <w:t>是否对提高妇女地位国家战略(第67段)执行情况进行了评估，以及缔约国是否正在设想或已经采取战略来处理冲突对妇女和女童生活的负面影响。请说明已经建立的妇女组织可借以参与规划、执行和评价性别平等政策和方案的协调机制。请提供资料，说明为遵照巴黎原则设立一个国家人权机构已经采取了哪些步骤。</w:t>
      </w:r>
    </w:p>
    <w:p w:rsidR="001D13A8" w:rsidRPr="001D13A8" w:rsidRDefault="001D13A8" w:rsidP="001D13A8">
      <w:pPr>
        <w:pStyle w:val="SingleTxt"/>
        <w:rPr>
          <w:rFonts w:ascii="SimHei" w:eastAsia="SimHei" w:hint="eastAsia"/>
        </w:rPr>
      </w:pPr>
      <w:r>
        <w:rPr>
          <w:rFonts w:ascii="SimHei" w:eastAsia="SimHei"/>
        </w:rPr>
        <w:br w:type="page"/>
      </w:r>
      <w:r w:rsidRPr="001D13A8">
        <w:rPr>
          <w:rFonts w:ascii="SimHei" w:eastAsia="SimHei" w:hint="eastAsia"/>
        </w:rPr>
        <w:t>陈规定型观念和有害做法</w:t>
      </w:r>
    </w:p>
    <w:p w:rsidR="001D13A8" w:rsidRDefault="001D13A8" w:rsidP="001D13A8">
      <w:pPr>
        <w:pStyle w:val="SingleTxt"/>
      </w:pPr>
      <w:r>
        <w:rPr>
          <w:rFonts w:hint="eastAsia"/>
        </w:rPr>
        <w:t>8</w:t>
      </w:r>
      <w:r>
        <w:t>.</w:t>
      </w:r>
      <w:r>
        <w:tab/>
      </w:r>
      <w:r>
        <w:rPr>
          <w:rFonts w:hint="eastAsia"/>
        </w:rPr>
        <w:t>该缔约国在其报告中承认，就妇女和男子在社会和家庭中的角色和责任而言，存在根深蒂固的重男轻女态度和陈规定型观念，以及持续存在消极的习俗和传统，所有这些继续使妇女处于边缘地位(第56、105和121段)。请提供资料，说明已采取了哪些具体措施来改变此类陈规定型观念和文化信仰，以便在生活的所有领域实现男女事实上的平等。</w:t>
      </w:r>
    </w:p>
    <w:p w:rsidR="001D13A8" w:rsidRDefault="001D13A8" w:rsidP="001D13A8">
      <w:pPr>
        <w:pStyle w:val="SingleTxt"/>
      </w:pPr>
      <w:r>
        <w:rPr>
          <w:rFonts w:hint="eastAsia"/>
        </w:rPr>
        <w:t>9</w:t>
      </w:r>
      <w:r>
        <w:t>.</w:t>
      </w:r>
      <w:r>
        <w:tab/>
      </w:r>
      <w:r>
        <w:rPr>
          <w:rFonts w:hint="eastAsia"/>
        </w:rPr>
        <w:t>请说明缔约国是否正打算废止《刑法》第548条，其中“名誉”仍被视为以所谓“维护名誉”为名所犯罪行的减轻处罚情节，尽管已对《刑法》作出修订，加重了对这类罪行的处罚(第78段)。请提供资料，说明为防止以所谓“维护名誉”为名杀害妇女而采取的具体措施。请提供数据，说明自2011年以来所报告的案件数量，包括定罪和判刑的数量。请说明已采取了哪些措施来确保在冲突期间被强奸或被迫卖淫的妇女不在所谓的“维护名誉”的借口下二度受害。</w:t>
      </w:r>
    </w:p>
    <w:p w:rsidR="001D13A8" w:rsidRPr="001D13A8" w:rsidRDefault="001D13A8" w:rsidP="001D13A8">
      <w:pPr>
        <w:pStyle w:val="SingleTxt"/>
        <w:rPr>
          <w:rFonts w:ascii="SimHei" w:eastAsia="SimHei" w:hint="eastAsia"/>
        </w:rPr>
      </w:pPr>
      <w:r w:rsidRPr="001D13A8">
        <w:rPr>
          <w:rFonts w:ascii="SimHei" w:eastAsia="SimHei" w:hint="eastAsia"/>
        </w:rPr>
        <w:t>暴力侵害妇女的行为</w:t>
      </w:r>
    </w:p>
    <w:p w:rsidR="001D13A8" w:rsidRDefault="001D13A8" w:rsidP="001D13A8">
      <w:pPr>
        <w:pStyle w:val="SingleTxt"/>
      </w:pPr>
      <w:r>
        <w:rPr>
          <w:rFonts w:hint="eastAsia"/>
        </w:rPr>
        <w:t>10</w:t>
      </w:r>
      <w:r>
        <w:t>.</w:t>
      </w:r>
      <w:r>
        <w:tab/>
      </w:r>
      <w:r>
        <w:rPr>
          <w:rFonts w:hint="eastAsia"/>
        </w:rPr>
        <w:t>请提供详细资料，说明监测家庭暴力的国家机制以及家庭保护股(第388段)。请说明该缔约国已采取了哪些措施来全面解决家庭暴力问题，尤其是考虑到因冲突导致的家庭暴力加剧的情况。请提供资料说明已采取了哪些措施来确保该缔约国将一切形式的暴力侵害妇女行为、包括婚内强奸定为刑事罪。另请提供资料，说明采取了哪些措施来废除《刑法》第508条或对其加以修订，因为该条仍提供了强奸犯同其受害者结婚的可能性(第49段)。还请提供进一步资料，详细说明受暴力之害的妇女庇护所的建立(第50段)。报告未提及在家里、学校和保健机构对女童的体罚和暴力行为。请提供资料，说明已采取或预计会采取哪些措施，以取缔这种形式的暴力侵害女孩行为，并使人们更好地认识其对女童的自信心和身心健康的损害。</w:t>
      </w:r>
    </w:p>
    <w:p w:rsidR="001D13A8" w:rsidRPr="001D13A8" w:rsidRDefault="001D13A8" w:rsidP="001D13A8">
      <w:pPr>
        <w:pStyle w:val="SingleTxt"/>
        <w:rPr>
          <w:rFonts w:ascii="SimHei" w:eastAsia="SimHei" w:hint="eastAsia"/>
        </w:rPr>
      </w:pPr>
      <w:r w:rsidRPr="001D13A8">
        <w:rPr>
          <w:rFonts w:ascii="SimHei" w:eastAsia="SimHei" w:hint="eastAsia"/>
        </w:rPr>
        <w:t>与冲突有关的基于性别的暴力行为</w:t>
      </w:r>
    </w:p>
    <w:p w:rsidR="001D13A8" w:rsidRDefault="001D13A8" w:rsidP="001D13A8">
      <w:pPr>
        <w:pStyle w:val="SingleTxt"/>
      </w:pPr>
      <w:r>
        <w:rPr>
          <w:rFonts w:hint="eastAsia"/>
        </w:rPr>
        <w:t>11</w:t>
      </w:r>
      <w:r>
        <w:t>.</w:t>
      </w:r>
      <w:r>
        <w:tab/>
      </w:r>
      <w:r>
        <w:rPr>
          <w:rFonts w:hint="eastAsia"/>
        </w:rPr>
        <w:t>缔约国在报告中承认，妇女不成比例地受到该缔约国目前局势的影响(第1段)。请提供资料，说明已采取了哪些措施，以防止比如说在入室搜查和军事突袭期间、以及在检查站和拘留设施中发生基于性别的暴力，尤其是性暴力，并保护妇女和女童免遭此种暴力。另请提供资料，说明采取了哪些措施，以记录基于性别的暴力案件，特别是性暴力和绑架案件，并调查和惩处犯下基于性别的暴力的国家和非国家行为者。请说明是否已经或设想对基于性别的暴力、尤其是性暴力的程度进行初步评估。请说明已采取哪些步骤来确保受害的妇女和女童能获得补救、医疗服务和心理支助以及获得经济和社会帮助。</w:t>
      </w:r>
    </w:p>
    <w:p w:rsidR="001D13A8" w:rsidRDefault="001D13A8" w:rsidP="001D13A8">
      <w:pPr>
        <w:pStyle w:val="SingleTxt"/>
      </w:pPr>
      <w:r>
        <w:rPr>
          <w:rFonts w:hint="eastAsia"/>
        </w:rPr>
        <w:t>12.</w:t>
      </w:r>
      <w:r>
        <w:tab/>
      </w:r>
      <w:r>
        <w:rPr>
          <w:rFonts w:hint="eastAsia"/>
        </w:rPr>
        <w:t>请提供资料，说明已采取哪些措施来应对小武器、包括从合法贸易中流出的武器扩散的影响，这些影响导致在该缔约国政府控制区和非国家武装团体控制区私人和公共领域内妇女和女童遭受与冲突有关的基于性别的暴力之害的风险增加。</w:t>
      </w:r>
    </w:p>
    <w:p w:rsidR="001D13A8" w:rsidRPr="001D13A8" w:rsidRDefault="001D13A8" w:rsidP="001D13A8">
      <w:pPr>
        <w:pStyle w:val="SingleTxt"/>
        <w:rPr>
          <w:rFonts w:ascii="SimHei" w:eastAsia="SimHei" w:hint="eastAsia"/>
        </w:rPr>
      </w:pPr>
      <w:r w:rsidRPr="001D13A8">
        <w:rPr>
          <w:rFonts w:ascii="SimHei" w:eastAsia="SimHei" w:hint="eastAsia"/>
        </w:rPr>
        <w:t>贩运妇女和利用妇女卖淫营利</w:t>
      </w:r>
    </w:p>
    <w:p w:rsidR="001D13A8" w:rsidRDefault="001D13A8" w:rsidP="001D13A8">
      <w:pPr>
        <w:pStyle w:val="SingleTxt"/>
      </w:pPr>
      <w:r>
        <w:rPr>
          <w:rFonts w:hint="eastAsia"/>
        </w:rPr>
        <w:t>13</w:t>
      </w:r>
      <w:r>
        <w:t>.</w:t>
      </w:r>
      <w:r>
        <w:tab/>
      </w:r>
      <w:r>
        <w:rPr>
          <w:rFonts w:hint="eastAsia"/>
        </w:rPr>
        <w:t>请提供资料，说明在执行委员会关于贩运妇女和利用妇女卖淫营利问题的上一次结论意见(</w:t>
      </w:r>
      <w:hyperlink r:id="rId18" w:history="1">
        <w:r w:rsidRPr="00DB5DEA">
          <w:rPr>
            <w:rStyle w:val="Hyperlink"/>
            <w:rFonts w:hint="eastAsia"/>
          </w:rPr>
          <w:t>CEDAW/C/SYR/CO/1</w:t>
        </w:r>
      </w:hyperlink>
      <w:r>
        <w:rPr>
          <w:rFonts w:hint="eastAsia"/>
        </w:rPr>
        <w:t>，第24段)的进展情况。特别是，请说明制定了哪些措施，以有效地预防和保护妇女和女童、包括境内流离失所的妇女和女童免遭国家和非国家行为者在缔约国境内外贩运并加以剥削。请提供资料，说明采取了哪些步骤，以调查、起诉和惩处妇女和女童贩运者，并向受害者提供赔偿。</w:t>
      </w:r>
    </w:p>
    <w:p w:rsidR="001D13A8" w:rsidRPr="001D13A8" w:rsidRDefault="001D13A8" w:rsidP="001D13A8">
      <w:pPr>
        <w:pStyle w:val="SingleTxt"/>
        <w:rPr>
          <w:rFonts w:ascii="SimHei" w:eastAsia="SimHei" w:hint="eastAsia"/>
        </w:rPr>
      </w:pPr>
      <w:r w:rsidRPr="001D13A8">
        <w:rPr>
          <w:rFonts w:ascii="SimHei" w:eastAsia="SimHei" w:hint="eastAsia"/>
        </w:rPr>
        <w:t>对政治和公共生活的参与</w:t>
      </w:r>
    </w:p>
    <w:p w:rsidR="001D13A8" w:rsidRDefault="001D13A8" w:rsidP="001D13A8">
      <w:pPr>
        <w:pStyle w:val="SingleTxt"/>
      </w:pPr>
      <w:r>
        <w:rPr>
          <w:rFonts w:hint="eastAsia"/>
        </w:rPr>
        <w:t>14</w:t>
      </w:r>
      <w:r>
        <w:t>.</w:t>
      </w:r>
      <w:r>
        <w:tab/>
      </w:r>
      <w:r>
        <w:rPr>
          <w:rFonts w:hint="eastAsia"/>
        </w:rPr>
        <w:t>请说明报告第170段中提到的第100/2011号法令(党派法)和第101/2011号法令(选举法)是否为妇女规定了配额。请提供资料，说明采取了哪些措施，以便通过临时特别措施确保妇女有效参与该缔约国目前主要的战略政策决策，包括与管理和解决冲突有关的决策以及关于人道主义援助和救济服务的决策。请提供进一步资料，说明采取了哪些措施，以加强妇女在司法机构中的作用并增加妇女在司法机构中的人数(第173段)。</w:t>
      </w:r>
    </w:p>
    <w:p w:rsidR="001D13A8" w:rsidRDefault="001D13A8" w:rsidP="001D13A8">
      <w:pPr>
        <w:pStyle w:val="SingleTxt"/>
      </w:pPr>
      <w:r>
        <w:rPr>
          <w:rFonts w:hint="eastAsia"/>
        </w:rPr>
        <w:t>15.</w:t>
      </w:r>
      <w:r>
        <w:tab/>
      </w:r>
      <w:r>
        <w:rPr>
          <w:rFonts w:hint="eastAsia"/>
        </w:rPr>
        <w:t>请提供资料，说明根据委员会先前的结论性意见(</w:t>
      </w:r>
      <w:hyperlink r:id="rId19" w:history="1">
        <w:r w:rsidRPr="00DB5DEA">
          <w:rPr>
            <w:rStyle w:val="Hyperlink"/>
            <w:rFonts w:hint="eastAsia"/>
          </w:rPr>
          <w:t>CEDAW/C/SYR/CO/1</w:t>
        </w:r>
      </w:hyperlink>
      <w:r>
        <w:rPr>
          <w:rFonts w:hint="eastAsia"/>
        </w:rPr>
        <w:t>，第35和36段)中的建议在保障妇女的言论自由、结社自由和集会自由方面对结社法修订的情况。另请提供资料，说明采取了哪些措施来防止和保护妇女人权捍卫者免受任意拘留和基于性别的暴力，包括国家和非国家行为者在持续冲突的背景下有针对性的袭击。</w:t>
      </w:r>
    </w:p>
    <w:p w:rsidR="001D13A8" w:rsidRPr="001D13A8" w:rsidRDefault="001D13A8" w:rsidP="001D13A8">
      <w:pPr>
        <w:pStyle w:val="SingleTxt"/>
        <w:rPr>
          <w:rFonts w:ascii="SimHei" w:eastAsia="SimHei" w:hint="eastAsia"/>
        </w:rPr>
      </w:pPr>
      <w:r w:rsidRPr="001D13A8">
        <w:rPr>
          <w:rFonts w:ascii="SimHei" w:eastAsia="SimHei" w:hint="eastAsia"/>
        </w:rPr>
        <w:t>国籍</w:t>
      </w:r>
    </w:p>
    <w:p w:rsidR="001D13A8" w:rsidRDefault="001D13A8" w:rsidP="001D13A8">
      <w:pPr>
        <w:pStyle w:val="SingleTxt"/>
      </w:pPr>
      <w:r>
        <w:rPr>
          <w:rFonts w:hint="eastAsia"/>
        </w:rPr>
        <w:t>16.</w:t>
      </w:r>
      <w:r>
        <w:tab/>
      </w:r>
      <w:r>
        <w:rPr>
          <w:rFonts w:hint="eastAsia"/>
        </w:rPr>
        <w:t>该缔约国在报告中承认，它适用依循父亲的血统制原则(第219段)。请提供资料，说明采取了哪些措施来修订《国籍法》，以确保嫁给非叙利亚国民的妇女的子女可依循母亲的国籍获得叙利亚国籍，使儿童不会沦为无国籍人。另请提供资料，说明采取了哪些措施来确保受冲突影响的妇女、特别是嫁给非叙利亚国民的叙利亚妇女、境内流离失所的妇女和难民妇女获发印有自己姓名的身份证件和其他必要文件，以便使其能行使合法权利。请提供进一步资料，说明第</w:t>
      </w:r>
      <w:hyperlink r:id="rId20" w:history="1">
        <w:r w:rsidRPr="00DB5DEA">
          <w:rPr>
            <w:rStyle w:val="Hyperlink"/>
            <w:rFonts w:hint="eastAsia"/>
          </w:rPr>
          <w:t>49/201</w:t>
        </w:r>
      </w:hyperlink>
      <w:r>
        <w:rPr>
          <w:rFonts w:hint="eastAsia"/>
        </w:rPr>
        <w:t>1号法令(第110段)执行情况，并说明有多少无国籍妇女和女童获得叙利亚国籍，已制定了何种措施来保障她们的权利。还请提供资料，说明该法是否也适用于该缔约国的其他无国籍人，如maktoumeen 人。</w:t>
      </w:r>
    </w:p>
    <w:p w:rsidR="001D13A8" w:rsidRPr="001D13A8" w:rsidRDefault="001D13A8" w:rsidP="001D13A8">
      <w:pPr>
        <w:pStyle w:val="SingleTxt"/>
        <w:rPr>
          <w:rFonts w:ascii="SimHei" w:eastAsia="SimHei" w:hint="eastAsia"/>
        </w:rPr>
      </w:pPr>
      <w:r w:rsidRPr="001D13A8">
        <w:rPr>
          <w:rFonts w:ascii="SimHei" w:eastAsia="SimHei" w:hint="eastAsia"/>
        </w:rPr>
        <w:t>教育和保健</w:t>
      </w:r>
    </w:p>
    <w:p w:rsidR="001D13A8" w:rsidRDefault="001D13A8" w:rsidP="001D13A8">
      <w:pPr>
        <w:pStyle w:val="SingleTxt"/>
      </w:pPr>
      <w:r>
        <w:rPr>
          <w:rFonts w:hint="eastAsia"/>
        </w:rPr>
        <w:t>17.</w:t>
      </w:r>
      <w:r>
        <w:tab/>
      </w:r>
      <w:r>
        <w:rPr>
          <w:rFonts w:hint="eastAsia"/>
        </w:rPr>
        <w:t>请提供详细资料，说明水、食物、保健和教育等基本服务的提供在何种程度上因冲突在该缔约国全境遭到扰乱。请说明已采取哪些措施，以确保妇女和女童、特别是在受冲突影响地区的妇女和女童在有安全保障的情况下获得教育和保健服务，包括性健康和生殖健康服务，如对强奸受害者提供的安全堕胎服务。请提供资料说明采取了哪些措施来确保教师和保健专业人员的人身安全，并保护学校和医院免遭袭击。</w:t>
      </w:r>
    </w:p>
    <w:p w:rsidR="001D13A8" w:rsidRPr="001D13A8" w:rsidRDefault="001D13A8" w:rsidP="001D13A8">
      <w:pPr>
        <w:pStyle w:val="SingleTxt"/>
        <w:rPr>
          <w:rFonts w:ascii="SimHei" w:eastAsia="SimHei" w:hint="eastAsia"/>
        </w:rPr>
      </w:pPr>
      <w:r w:rsidRPr="001D13A8">
        <w:rPr>
          <w:rFonts w:ascii="SimHei" w:eastAsia="SimHei" w:hint="eastAsia"/>
        </w:rPr>
        <w:t>难民和境内流离失所的妇女</w:t>
      </w:r>
    </w:p>
    <w:p w:rsidR="001D13A8" w:rsidRDefault="001D13A8" w:rsidP="001D13A8">
      <w:pPr>
        <w:pStyle w:val="SingleTxt"/>
        <w:rPr>
          <w:rFonts w:hint="eastAsia"/>
        </w:rPr>
      </w:pPr>
      <w:r>
        <w:rPr>
          <w:rFonts w:hint="eastAsia"/>
        </w:rPr>
        <w:t>18.</w:t>
      </w:r>
      <w:r>
        <w:tab/>
      </w:r>
      <w:r>
        <w:rPr>
          <w:rFonts w:hint="eastAsia"/>
        </w:rPr>
        <w:t>请提供详细资料，说明冲突对该缔约国难民、尤其是身处受冲突影响地区和(或)与冲突当事方之一有关联的难民妇女和女童的保护及其人道主义状况的影响。请提供资料，说明为缓解其处境采取了哪些措施。</w:t>
      </w:r>
    </w:p>
    <w:p w:rsidR="001D13A8" w:rsidRDefault="001D13A8" w:rsidP="001D13A8">
      <w:pPr>
        <w:pStyle w:val="SingleTxt"/>
        <w:rPr>
          <w:rFonts w:hint="eastAsia"/>
        </w:rPr>
      </w:pPr>
      <w:r>
        <w:rPr>
          <w:rFonts w:hint="eastAsia"/>
        </w:rPr>
        <w:t>19.</w:t>
      </w:r>
      <w:r>
        <w:tab/>
      </w:r>
      <w:r>
        <w:rPr>
          <w:rFonts w:hint="eastAsia"/>
        </w:rPr>
        <w:t>请提供有关境内流离失所者的数据，包括按性别和年龄分列的数据。另请提供资料，说明境内流离失所的妇女和女童的生活条件和面临的危险，如性暴力、童婚和逼婚。请说明是否已制定措施，确保境内流离失所妇女和女童享有安全和有保障的环境。还请提供资料，说明采取了哪些措施来确保可得到国家和国际利益攸关方的人道主义帮助，包括可出入人道主义走廊，以便使各利益攸关方能够向境内流离失所者和那些可能希望返回叙利亚的难民提供适当的援助。</w:t>
      </w:r>
    </w:p>
    <w:p w:rsidR="001D13A8" w:rsidRPr="001D13A8" w:rsidRDefault="001D13A8" w:rsidP="001D13A8">
      <w:pPr>
        <w:pStyle w:val="SingleTxt"/>
        <w:rPr>
          <w:rFonts w:ascii="SimHei" w:eastAsia="SimHei" w:hint="eastAsia"/>
        </w:rPr>
      </w:pPr>
      <w:r w:rsidRPr="001D13A8">
        <w:rPr>
          <w:rFonts w:ascii="SimHei" w:eastAsia="SimHei" w:hint="eastAsia"/>
        </w:rPr>
        <w:t>弱势妇女群体</w:t>
      </w:r>
    </w:p>
    <w:p w:rsidR="001D13A8" w:rsidRDefault="001D13A8" w:rsidP="001D13A8">
      <w:pPr>
        <w:pStyle w:val="SingleTxt"/>
        <w:rPr>
          <w:rFonts w:hint="eastAsia"/>
        </w:rPr>
      </w:pPr>
      <w:r>
        <w:rPr>
          <w:rFonts w:hint="eastAsia"/>
        </w:rPr>
        <w:t>20</w:t>
      </w:r>
      <w:r>
        <w:t>.</w:t>
      </w:r>
      <w:r>
        <w:tab/>
      </w:r>
      <w:r>
        <w:rPr>
          <w:rFonts w:hint="eastAsia"/>
        </w:rPr>
        <w:t>请提供资料，说明因冲突而处于特别脆弱境况的妇女状况，特别是成为寡妇的妇女、丈夫失踪的妇女、残疾妇女、单身妇女和失去亲人的老年妇女。另请说明已采取或设想采取哪些措施来解决这些妇女群体的状况。</w:t>
      </w:r>
    </w:p>
    <w:p w:rsidR="001D13A8" w:rsidRPr="001D13A8" w:rsidRDefault="001D13A8" w:rsidP="001D13A8">
      <w:pPr>
        <w:pStyle w:val="SingleTxt"/>
        <w:rPr>
          <w:rFonts w:ascii="SimHei" w:eastAsia="SimHei" w:hint="eastAsia"/>
        </w:rPr>
      </w:pPr>
      <w:r w:rsidRPr="001D13A8">
        <w:rPr>
          <w:rFonts w:ascii="SimHei" w:eastAsia="SimHei" w:hint="eastAsia"/>
        </w:rPr>
        <w:t>婚姻和家庭关系</w:t>
      </w:r>
    </w:p>
    <w:p w:rsidR="001D13A8" w:rsidRDefault="001D13A8" w:rsidP="001D13A8">
      <w:pPr>
        <w:pStyle w:val="SingleTxt"/>
      </w:pPr>
      <w:r>
        <w:rPr>
          <w:rFonts w:hint="eastAsia"/>
        </w:rPr>
        <w:t>21</w:t>
      </w:r>
      <w:r>
        <w:t>.</w:t>
      </w:r>
      <w:r>
        <w:tab/>
      </w:r>
      <w:r>
        <w:rPr>
          <w:rFonts w:hint="eastAsia"/>
        </w:rPr>
        <w:t>请提供资料，说明在废止《个人地位法》中歧视性规定，如在确定婚约条件、解除婚姻和子女的监护权等方面的不平等。还请提供资料，说明采取了哪些措施以废除一夫多妻制和童婚这一有害做法。另请提供资料，说明订立了哪些措施来确保妇女在受冲突影响地区有行动自由而不失去对子女的监护权，并确保妇女能带着子女离开受冲突影响地区，无需子女的父亲或监护人授权。</w:t>
      </w:r>
    </w:p>
    <w:p w:rsidR="001D13A8" w:rsidRPr="001D13A8" w:rsidRDefault="001D13A8" w:rsidP="001D13A8">
      <w:pPr>
        <w:pStyle w:val="SingleTxt"/>
        <w:rPr>
          <w:rFonts w:ascii="SimHei" w:eastAsia="SimHei" w:hint="eastAsia"/>
        </w:rPr>
      </w:pPr>
      <w:r w:rsidRPr="001D13A8">
        <w:rPr>
          <w:rFonts w:ascii="SimHei" w:eastAsia="SimHei" w:hint="eastAsia"/>
        </w:rPr>
        <w:t>《公约任择议定书》和对《公约》第20条的修正</w:t>
      </w:r>
    </w:p>
    <w:p w:rsidR="00EA31C3" w:rsidRDefault="001D13A8" w:rsidP="001D13A8">
      <w:pPr>
        <w:pStyle w:val="SingleTxt"/>
        <w:rPr>
          <w:rFonts w:hint="eastAsia"/>
        </w:rPr>
      </w:pPr>
      <w:r>
        <w:rPr>
          <w:rFonts w:hint="eastAsia"/>
        </w:rPr>
        <w:t>22</w:t>
      </w:r>
      <w:r>
        <w:t>.</w:t>
      </w:r>
      <w:r>
        <w:tab/>
      </w:r>
      <w:r>
        <w:rPr>
          <w:rFonts w:hint="eastAsia"/>
        </w:rPr>
        <w:t>请说明在批准《公约任择议定书》和接受对《公约》第20⑴条的修正方面取得了哪些进展。</w:t>
      </w:r>
    </w:p>
    <w:p w:rsidR="001D13A8" w:rsidRPr="001D13A8" w:rsidRDefault="001D13A8" w:rsidP="001D13A8">
      <w:pPr>
        <w:pStyle w:val="SingleTxt"/>
        <w:spacing w:after="0" w:line="240" w:lineRule="auto"/>
        <w:rPr>
          <w:rFonts w:hint="eastAsia"/>
          <w:sz w:val="20"/>
        </w:rPr>
      </w:pPr>
      <w:r>
        <w:rPr>
          <w:rFonts w:hint="eastAsia"/>
          <w:noProof/>
          <w:sz w:val="20"/>
        </w:rPr>
        <w:pict>
          <v:line id="_x0000_s1028" style="position:absolute;left:0;text-align:left;z-index:2;mso-position-horizontal:center" from="0,30pt" to="1in,30pt" strokeweight=".25pt"/>
        </w:pict>
      </w:r>
    </w:p>
    <w:sectPr w:rsidR="001D13A8" w:rsidRPr="001D13A8" w:rsidSect="00D725C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8T12:09:00Z" w:initials="Start">
    <w:p w:rsidR="00DB5DEA" w:rsidRDefault="00DB5DE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NO&gt;&gt;N1353323C&lt;&lt;ODS JOB NO&gt;&gt;</w:t>
      </w:r>
    </w:p>
    <w:p w:rsidR="00DB5DEA" w:rsidRDefault="00DB5DEA">
      <w:pPr>
        <w:pStyle w:val="CommentText"/>
      </w:pPr>
      <w:r>
        <w:t>&lt;&lt;ODS DOC SYMBOL1&gt;&gt;CEDAW/C/SYR/Q/2&lt;&lt;ODS DOC SYMBOL1&gt;&gt;</w:t>
      </w:r>
    </w:p>
    <w:p w:rsidR="00DB5DEA" w:rsidRDefault="00DB5DE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503" w:rsidRDefault="00370503">
      <w:r>
        <w:separator/>
      </w:r>
    </w:p>
  </w:endnote>
  <w:endnote w:type="continuationSeparator" w:id="0">
    <w:p w:rsidR="00370503" w:rsidRDefault="003705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B5DEA" w:rsidTr="00D725C7">
      <w:tblPrEx>
        <w:tblCellMar>
          <w:top w:w="0" w:type="dxa"/>
          <w:bottom w:w="0" w:type="dxa"/>
        </w:tblCellMar>
      </w:tblPrEx>
      <w:tc>
        <w:tcPr>
          <w:tcW w:w="5033" w:type="dxa"/>
          <w:shd w:val="clear" w:color="auto" w:fill="auto"/>
        </w:tcPr>
        <w:p w:rsidR="00DB5DEA" w:rsidRPr="00D725C7" w:rsidRDefault="00DB5DEA" w:rsidP="00D725C7">
          <w:pPr>
            <w:pStyle w:val="Footer"/>
            <w:jc w:val="right"/>
            <w:rPr>
              <w:b w:val="0"/>
              <w:w w:val="103"/>
              <w:sz w:val="14"/>
            </w:rPr>
          </w:pPr>
          <w:fldSimple w:instr=" DOCVARIABLE &quot;FooterJN&quot; \* MERGEFORMAT ">
            <w:r>
              <w:rPr>
                <w:b w:val="0"/>
                <w:w w:val="103"/>
                <w:sz w:val="14"/>
              </w:rPr>
              <w:t>13-53323 (C)</w:t>
            </w:r>
          </w:fldSimple>
        </w:p>
      </w:tc>
      <w:tc>
        <w:tcPr>
          <w:tcW w:w="5033" w:type="dxa"/>
          <w:shd w:val="clear" w:color="auto" w:fill="auto"/>
        </w:tcPr>
        <w:p w:rsidR="00DB5DEA" w:rsidRPr="00D725C7" w:rsidRDefault="00DB5DEA" w:rsidP="00D725C7">
          <w:pPr>
            <w:pStyle w:val="Footer"/>
            <w:jc w:val="left"/>
            <w:rPr>
              <w:w w:val="103"/>
            </w:rPr>
          </w:pPr>
          <w:r>
            <w:rPr>
              <w:w w:val="103"/>
            </w:rPr>
            <w:fldChar w:fldCharType="begin"/>
          </w:r>
          <w:r>
            <w:rPr>
              <w:w w:val="103"/>
            </w:rPr>
            <w:instrText xml:space="preserve"> PAGE  \* Arabic  \* MERGEFORMAT </w:instrText>
          </w:r>
          <w:r>
            <w:rPr>
              <w:w w:val="103"/>
            </w:rPr>
            <w:fldChar w:fldCharType="separate"/>
          </w:r>
          <w:r w:rsidR="00853EB2">
            <w:rPr>
              <w:w w:val="103"/>
            </w:rPr>
            <w:t>4</w:t>
          </w:r>
          <w:r>
            <w:rPr>
              <w:w w:val="103"/>
            </w:rPr>
            <w:fldChar w:fldCharType="end"/>
          </w:r>
          <w:r>
            <w:rPr>
              <w:w w:val="103"/>
            </w:rPr>
            <w:t>/</w:t>
          </w:r>
          <w:fldSimple w:instr=" NUMPAGES  \* Arabic  \* MERGEFORMAT ">
            <w:r w:rsidR="00F1468C">
              <w:rPr>
                <w:w w:val="103"/>
              </w:rPr>
              <w:t>5</w:t>
            </w:r>
          </w:fldSimple>
        </w:p>
      </w:tc>
    </w:tr>
  </w:tbl>
  <w:p w:rsidR="00DB5DEA" w:rsidRPr="00D725C7" w:rsidRDefault="00DB5DEA" w:rsidP="00D725C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B5DEA" w:rsidTr="00D725C7">
      <w:tblPrEx>
        <w:tblCellMar>
          <w:top w:w="0" w:type="dxa"/>
          <w:bottom w:w="0" w:type="dxa"/>
        </w:tblCellMar>
      </w:tblPrEx>
      <w:tc>
        <w:tcPr>
          <w:tcW w:w="5033" w:type="dxa"/>
          <w:shd w:val="clear" w:color="auto" w:fill="auto"/>
        </w:tcPr>
        <w:p w:rsidR="00DB5DEA" w:rsidRPr="00D725C7" w:rsidRDefault="00DB5DEA" w:rsidP="00D725C7">
          <w:pPr>
            <w:pStyle w:val="Footer"/>
            <w:jc w:val="right"/>
          </w:pPr>
          <w:fldSimple w:instr=" PAGE  \* Arabic  \* MERGEFORMAT ">
            <w:r w:rsidR="00853EB2">
              <w:t>5</w:t>
            </w:r>
          </w:fldSimple>
          <w:r>
            <w:t>/</w:t>
          </w:r>
          <w:fldSimple w:instr=" NUMPAGES  \* Arabic  \* MERGEFORMAT ">
            <w:r>
              <w:t>5</w:t>
            </w:r>
          </w:fldSimple>
        </w:p>
      </w:tc>
      <w:tc>
        <w:tcPr>
          <w:tcW w:w="5033" w:type="dxa"/>
          <w:shd w:val="clear" w:color="auto" w:fill="auto"/>
        </w:tcPr>
        <w:p w:rsidR="00DB5DEA" w:rsidRPr="00D725C7" w:rsidRDefault="00DB5DEA" w:rsidP="00D725C7">
          <w:pPr>
            <w:pStyle w:val="Footer"/>
            <w:jc w:val="left"/>
            <w:rPr>
              <w:b w:val="0"/>
              <w:w w:val="103"/>
              <w:sz w:val="14"/>
            </w:rPr>
          </w:pPr>
          <w:fldSimple w:instr=" DOCVARIABLE &quot;FooterJN&quot; \* MERGEFORMAT ">
            <w:r>
              <w:rPr>
                <w:b w:val="0"/>
                <w:w w:val="103"/>
                <w:sz w:val="14"/>
              </w:rPr>
              <w:t>13-53323 (C)</w:t>
            </w:r>
          </w:fldSimple>
        </w:p>
      </w:tc>
    </w:tr>
  </w:tbl>
  <w:p w:rsidR="00DB5DEA" w:rsidRPr="00D725C7" w:rsidRDefault="00DB5DEA" w:rsidP="00D725C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B5DEA" w:rsidTr="00D725C7">
      <w:tblPrEx>
        <w:tblCellMar>
          <w:top w:w="0" w:type="dxa"/>
          <w:bottom w:w="0" w:type="dxa"/>
        </w:tblCellMar>
      </w:tblPrEx>
      <w:tc>
        <w:tcPr>
          <w:tcW w:w="5033" w:type="dxa"/>
        </w:tcPr>
        <w:p w:rsidR="00DB5DEA" w:rsidRDefault="00DB5DEA" w:rsidP="00D725C7">
          <w:pPr>
            <w:pStyle w:val="Footer"/>
            <w:rPr>
              <w:b w:val="0"/>
              <w:sz w:val="21"/>
            </w:rPr>
          </w:pPr>
          <w:fldSimple w:instr=" DOCVARIABLE &quot;jobn&quot; \* MERGEFORMAT ">
            <w:r>
              <w:rPr>
                <w:b w:val="0"/>
                <w:sz w:val="21"/>
              </w:rPr>
              <w:t>13-53323 (C)</w:t>
            </w:r>
          </w:fldSimple>
          <w:r>
            <w:rPr>
              <w:b w:val="0"/>
              <w:sz w:val="21"/>
            </w:rPr>
            <w:t xml:space="preserve">    081113    081113</w:t>
          </w:r>
        </w:p>
        <w:p w:rsidR="00DB5DEA" w:rsidRPr="00D725C7" w:rsidRDefault="00DB5DEA" w:rsidP="00D725C7">
          <w:pPr>
            <w:spacing w:before="80" w:line="210" w:lineRule="exact"/>
            <w:rPr>
              <w:rFonts w:ascii="Barcode 3 of 9 by request" w:hAnsi="Barcode 3 of 9 by request"/>
              <w:sz w:val="24"/>
            </w:rPr>
          </w:pPr>
          <w:r>
            <w:rPr>
              <w:rFonts w:ascii="Barcode 3 of 9 by request" w:hAnsi="Barcode 3 of 9 by request" w:hint="eastAsia"/>
              <w:sz w:val="24"/>
            </w:rPr>
            <w:t>*1353323C*</w:t>
          </w:r>
        </w:p>
      </w:tc>
      <w:tc>
        <w:tcPr>
          <w:tcW w:w="3686" w:type="dxa"/>
        </w:tcPr>
        <w:p w:rsidR="00DB5DEA" w:rsidRDefault="00DB5DEA" w:rsidP="00D725C7">
          <w:pPr>
            <w:pStyle w:val="Footer"/>
            <w:jc w:val="right"/>
            <w:rPr>
              <w:b w:val="0"/>
              <w:sz w:val="21"/>
            </w:rPr>
          </w:pPr>
          <w:r w:rsidRPr="00D725C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B5DEA" w:rsidRPr="00D725C7" w:rsidRDefault="00DB5DEA" w:rsidP="00D725C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503" w:rsidRPr="001D13A8" w:rsidRDefault="00370503" w:rsidP="001D13A8">
      <w:pPr>
        <w:pStyle w:val="Footer"/>
        <w:spacing w:after="80"/>
        <w:ind w:left="792"/>
        <w:rPr>
          <w:sz w:val="16"/>
        </w:rPr>
      </w:pPr>
      <w:r w:rsidRPr="001D13A8">
        <w:rPr>
          <w:sz w:val="16"/>
        </w:rPr>
        <w:t>__________________</w:t>
      </w:r>
    </w:p>
  </w:footnote>
  <w:footnote w:type="continuationSeparator" w:id="0">
    <w:p w:rsidR="00370503" w:rsidRPr="001D13A8" w:rsidRDefault="00370503" w:rsidP="001D13A8">
      <w:pPr>
        <w:pStyle w:val="Footer"/>
        <w:spacing w:after="80"/>
        <w:ind w:left="792"/>
        <w:rPr>
          <w:sz w:val="16"/>
        </w:rPr>
      </w:pPr>
      <w:r w:rsidRPr="001D13A8">
        <w:rPr>
          <w:sz w:val="16"/>
        </w:rPr>
        <w:t>__________________</w:t>
      </w:r>
    </w:p>
  </w:footnote>
  <w:footnote w:id="1">
    <w:p w:rsidR="00DB5DEA" w:rsidRPr="001D13A8" w:rsidRDefault="00DB5DEA" w:rsidP="001D13A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1D13A8">
        <w:rPr>
          <w:vertAlign w:val="superscript"/>
        </w:rPr>
        <w:t>*</w:t>
      </w:r>
      <w:r>
        <w:tab/>
      </w:r>
      <w:r w:rsidRPr="001D13A8">
        <w:rPr>
          <w:rFonts w:hint="eastAsia"/>
        </w:rPr>
        <w:t>已为2013年10月21日至25日举行会议的第五十八届会议会前工作组所通过。</w:t>
      </w:r>
    </w:p>
    <w:p w:rsidR="00DB5DEA" w:rsidRPr="001D13A8" w:rsidRDefault="00DB5DEA" w:rsidP="001D13A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D13A8">
        <w:rPr>
          <w:rFonts w:hint="eastAsia"/>
        </w:rPr>
        <w:t>除非另有说明，段落序号指的是该缔约国第二次定期报告(CEDAW/C/SYR/2)中的段落序号。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B5DEA" w:rsidTr="00D725C7">
      <w:tblPrEx>
        <w:tblCellMar>
          <w:top w:w="0" w:type="dxa"/>
          <w:bottom w:w="0" w:type="dxa"/>
        </w:tblCellMar>
      </w:tblPrEx>
      <w:trPr>
        <w:trHeight w:hRule="exact" w:val="864"/>
      </w:trPr>
      <w:tc>
        <w:tcPr>
          <w:tcW w:w="4838" w:type="dxa"/>
          <w:shd w:val="clear" w:color="auto" w:fill="auto"/>
          <w:vAlign w:val="bottom"/>
        </w:tcPr>
        <w:p w:rsidR="00DB5DEA" w:rsidRPr="00D725C7" w:rsidRDefault="00DB5DEA" w:rsidP="00D725C7">
          <w:pPr>
            <w:pStyle w:val="Header"/>
            <w:spacing w:after="80"/>
            <w:jc w:val="left"/>
            <w:rPr>
              <w:b/>
              <w:sz w:val="17"/>
            </w:rPr>
          </w:pPr>
          <w:fldSimple w:instr=" DOCVARIABLE &quot;sss1&quot; \* MERGEFORMAT ">
            <w:r>
              <w:rPr>
                <w:b/>
                <w:sz w:val="17"/>
              </w:rPr>
              <w:t>CEDAW/C/SYR/Q/2</w:t>
            </w:r>
          </w:fldSimple>
        </w:p>
      </w:tc>
      <w:tc>
        <w:tcPr>
          <w:tcW w:w="5033" w:type="dxa"/>
          <w:shd w:val="clear" w:color="auto" w:fill="auto"/>
          <w:vAlign w:val="bottom"/>
        </w:tcPr>
        <w:p w:rsidR="00DB5DEA" w:rsidRDefault="00DB5DEA" w:rsidP="00D725C7">
          <w:pPr>
            <w:pStyle w:val="Header"/>
          </w:pPr>
        </w:p>
      </w:tc>
    </w:tr>
  </w:tbl>
  <w:p w:rsidR="00DB5DEA" w:rsidRPr="00D725C7" w:rsidRDefault="00DB5DEA" w:rsidP="00D725C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B5DEA" w:rsidTr="00D725C7">
      <w:tblPrEx>
        <w:tblCellMar>
          <w:top w:w="0" w:type="dxa"/>
          <w:bottom w:w="0" w:type="dxa"/>
        </w:tblCellMar>
      </w:tblPrEx>
      <w:trPr>
        <w:trHeight w:hRule="exact" w:val="864"/>
      </w:trPr>
      <w:tc>
        <w:tcPr>
          <w:tcW w:w="4838" w:type="dxa"/>
          <w:shd w:val="clear" w:color="auto" w:fill="auto"/>
          <w:vAlign w:val="bottom"/>
        </w:tcPr>
        <w:p w:rsidR="00DB5DEA" w:rsidRDefault="00DB5DEA" w:rsidP="00D725C7">
          <w:pPr>
            <w:pStyle w:val="Header"/>
          </w:pPr>
        </w:p>
      </w:tc>
      <w:tc>
        <w:tcPr>
          <w:tcW w:w="5033" w:type="dxa"/>
          <w:shd w:val="clear" w:color="auto" w:fill="auto"/>
          <w:vAlign w:val="bottom"/>
        </w:tcPr>
        <w:p w:rsidR="00DB5DEA" w:rsidRPr="00D725C7" w:rsidRDefault="00DB5DEA" w:rsidP="00D725C7">
          <w:pPr>
            <w:pStyle w:val="Header"/>
            <w:spacing w:after="80"/>
            <w:jc w:val="right"/>
            <w:rPr>
              <w:b/>
              <w:sz w:val="17"/>
            </w:rPr>
          </w:pPr>
          <w:fldSimple w:instr=" DOCVARIABLE &quot;sss1&quot; \* MERGEFORMAT ">
            <w:r>
              <w:rPr>
                <w:b/>
                <w:sz w:val="17"/>
              </w:rPr>
              <w:t>CEDAW/C/SYR/Q/2</w:t>
            </w:r>
          </w:fldSimple>
        </w:p>
      </w:tc>
    </w:tr>
  </w:tbl>
  <w:p w:rsidR="00DB5DEA" w:rsidRPr="00D725C7" w:rsidRDefault="00DB5DEA" w:rsidP="00D725C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B5DEA" w:rsidTr="00D725C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B5DEA" w:rsidRDefault="00DB5DEA" w:rsidP="00D725C7">
          <w:pPr>
            <w:pStyle w:val="Header"/>
            <w:spacing w:after="120"/>
          </w:pPr>
        </w:p>
      </w:tc>
      <w:tc>
        <w:tcPr>
          <w:tcW w:w="1872" w:type="dxa"/>
          <w:tcBorders>
            <w:bottom w:val="single" w:sz="4" w:space="0" w:color="auto"/>
          </w:tcBorders>
          <w:shd w:val="clear" w:color="auto" w:fill="auto"/>
          <w:vAlign w:val="bottom"/>
        </w:tcPr>
        <w:p w:rsidR="00DB5DEA" w:rsidRPr="00D725C7" w:rsidRDefault="00DB5DEA" w:rsidP="00D725C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B5DEA" w:rsidRDefault="00DB5DEA" w:rsidP="00D725C7">
          <w:pPr>
            <w:pStyle w:val="Header"/>
            <w:spacing w:after="120"/>
          </w:pPr>
        </w:p>
      </w:tc>
      <w:tc>
        <w:tcPr>
          <w:tcW w:w="6523" w:type="dxa"/>
          <w:gridSpan w:val="3"/>
          <w:tcBorders>
            <w:bottom w:val="single" w:sz="4" w:space="0" w:color="auto"/>
          </w:tcBorders>
          <w:shd w:val="clear" w:color="auto" w:fill="auto"/>
          <w:vAlign w:val="bottom"/>
        </w:tcPr>
        <w:p w:rsidR="00DB5DEA" w:rsidRPr="00D725C7" w:rsidRDefault="00DB5DEA" w:rsidP="00D725C7">
          <w:pPr>
            <w:spacing w:after="80" w:line="240" w:lineRule="auto"/>
            <w:jc w:val="right"/>
            <w:rPr>
              <w:rFonts w:ascii="Times New Roman"/>
              <w:position w:val="-4"/>
            </w:rPr>
          </w:pPr>
          <w:r>
            <w:rPr>
              <w:rFonts w:ascii="Times New Roman"/>
              <w:position w:val="-4"/>
              <w:sz w:val="40"/>
            </w:rPr>
            <w:t>CEDAW</w:t>
          </w:r>
          <w:r>
            <w:rPr>
              <w:rFonts w:ascii="Times New Roman"/>
              <w:position w:val="-4"/>
            </w:rPr>
            <w:t>/C/SYR/Q/2</w:t>
          </w:r>
        </w:p>
      </w:tc>
    </w:tr>
    <w:tr w:rsidR="00DB5DEA" w:rsidRPr="00D725C7" w:rsidTr="00D725C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B5DEA" w:rsidRDefault="00DB5DEA" w:rsidP="00D725C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B5DEA" w:rsidRPr="00D725C7" w:rsidRDefault="00DB5DEA" w:rsidP="00D725C7">
          <w:pPr>
            <w:pStyle w:val="Header"/>
            <w:spacing w:before="109"/>
            <w:ind w:left="-72"/>
          </w:pPr>
        </w:p>
      </w:tc>
      <w:tc>
        <w:tcPr>
          <w:tcW w:w="5227" w:type="dxa"/>
          <w:gridSpan w:val="3"/>
          <w:tcBorders>
            <w:top w:val="single" w:sz="4" w:space="0" w:color="auto"/>
            <w:bottom w:val="single" w:sz="12" w:space="0" w:color="auto"/>
          </w:tcBorders>
          <w:shd w:val="clear" w:color="auto" w:fill="auto"/>
        </w:tcPr>
        <w:p w:rsidR="00DB5DEA" w:rsidRPr="00D725C7" w:rsidRDefault="00DB5DEA" w:rsidP="00D725C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B5DEA" w:rsidRPr="00D725C7" w:rsidRDefault="00DB5DEA" w:rsidP="00D725C7">
          <w:pPr>
            <w:pStyle w:val="Header"/>
            <w:spacing w:before="109"/>
          </w:pPr>
        </w:p>
      </w:tc>
      <w:tc>
        <w:tcPr>
          <w:tcW w:w="3180" w:type="dxa"/>
          <w:gridSpan w:val="2"/>
          <w:tcBorders>
            <w:top w:val="single" w:sz="4" w:space="0" w:color="auto"/>
            <w:bottom w:val="single" w:sz="12" w:space="0" w:color="auto"/>
          </w:tcBorders>
          <w:shd w:val="clear" w:color="auto" w:fill="auto"/>
        </w:tcPr>
        <w:p w:rsidR="00DB5DEA" w:rsidRDefault="00DB5DEA" w:rsidP="00D725C7">
          <w:pPr>
            <w:spacing w:before="240" w:line="240" w:lineRule="exact"/>
            <w:rPr>
              <w:rFonts w:ascii="Times New Roman"/>
            </w:rPr>
          </w:pPr>
          <w:r>
            <w:rPr>
              <w:rFonts w:ascii="Times New Roman"/>
            </w:rPr>
            <w:t>Distr.: General</w:t>
          </w:r>
        </w:p>
        <w:p w:rsidR="00DB5DEA" w:rsidRDefault="00DB5DEA" w:rsidP="00D725C7">
          <w:pPr>
            <w:spacing w:line="240" w:lineRule="exact"/>
            <w:rPr>
              <w:rFonts w:ascii="Times New Roman"/>
            </w:rPr>
          </w:pPr>
          <w:r>
            <w:rPr>
              <w:rFonts w:ascii="Times New Roman"/>
            </w:rPr>
            <w:t>28 October 2013</w:t>
          </w:r>
        </w:p>
        <w:p w:rsidR="00DB5DEA" w:rsidRDefault="00DB5DEA" w:rsidP="00D725C7">
          <w:pPr>
            <w:spacing w:line="240" w:lineRule="exact"/>
            <w:rPr>
              <w:rFonts w:ascii="Times New Roman"/>
            </w:rPr>
          </w:pPr>
          <w:r>
            <w:rPr>
              <w:rFonts w:ascii="Times New Roman"/>
            </w:rPr>
            <w:t>Chinese</w:t>
          </w:r>
        </w:p>
        <w:p w:rsidR="00DB5DEA" w:rsidRPr="00D725C7" w:rsidRDefault="00DB5DEA" w:rsidP="00D725C7">
          <w:pPr>
            <w:spacing w:line="240" w:lineRule="exact"/>
            <w:rPr>
              <w:rFonts w:ascii="Times New Roman"/>
            </w:rPr>
          </w:pPr>
          <w:r>
            <w:rPr>
              <w:rFonts w:ascii="Times New Roman"/>
            </w:rPr>
            <w:t>Original: English</w:t>
          </w:r>
        </w:p>
      </w:tc>
    </w:tr>
  </w:tbl>
  <w:p w:rsidR="00DB5DEA" w:rsidRPr="00D725C7" w:rsidRDefault="00DB5DEA" w:rsidP="00D725C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23*"/>
    <w:docVar w:name="CreationDt" w:val="08/11/2013 11:57:11"/>
    <w:docVar w:name="DocCategory" w:val="Doc"/>
    <w:docVar w:name="DocType" w:val="Final"/>
    <w:docVar w:name="FooterJN" w:val="13-53323 (C)"/>
    <w:docVar w:name="jobn" w:val="13-53323 (C)"/>
    <w:docVar w:name="jobnDT" w:val="13-53323 (C)   081113"/>
    <w:docVar w:name="jobnDTDT" w:val="13-53323 (C)   081113   081113"/>
    <w:docVar w:name="JobNo" w:val="1353323C"/>
    <w:docVar w:name="OandT" w:val="zxs"/>
    <w:docVar w:name="sss1" w:val="CEDAW/C/SYR/Q/2"/>
    <w:docVar w:name="sss2" w:val="-"/>
    <w:docVar w:name="Symbol1" w:val="CEDAW/C/SYR/Q/2"/>
    <w:docVar w:name="Symbol2" w:val="-"/>
  </w:docVars>
  <w:rsids>
    <w:rsidRoot w:val="0089662D"/>
    <w:rsid w:val="0000347C"/>
    <w:rsid w:val="000125BC"/>
    <w:rsid w:val="0001645E"/>
    <w:rsid w:val="00021A2B"/>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13A8"/>
    <w:rsid w:val="001D3F72"/>
    <w:rsid w:val="001E20EC"/>
    <w:rsid w:val="001E4442"/>
    <w:rsid w:val="001E5A51"/>
    <w:rsid w:val="001F03A7"/>
    <w:rsid w:val="001F2F76"/>
    <w:rsid w:val="00203760"/>
    <w:rsid w:val="00207135"/>
    <w:rsid w:val="002145EA"/>
    <w:rsid w:val="002303D4"/>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0503"/>
    <w:rsid w:val="00371BC6"/>
    <w:rsid w:val="00373A15"/>
    <w:rsid w:val="00376C04"/>
    <w:rsid w:val="00383ACA"/>
    <w:rsid w:val="00384CB1"/>
    <w:rsid w:val="00394A02"/>
    <w:rsid w:val="003966E8"/>
    <w:rsid w:val="003C7B20"/>
    <w:rsid w:val="003D075F"/>
    <w:rsid w:val="003E4565"/>
    <w:rsid w:val="003E748F"/>
    <w:rsid w:val="003E7612"/>
    <w:rsid w:val="00414423"/>
    <w:rsid w:val="00433853"/>
    <w:rsid w:val="00440B0D"/>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2651A"/>
    <w:rsid w:val="0053111B"/>
    <w:rsid w:val="005335B9"/>
    <w:rsid w:val="00536CCE"/>
    <w:rsid w:val="00552CE5"/>
    <w:rsid w:val="005541E4"/>
    <w:rsid w:val="00554F60"/>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098F"/>
    <w:rsid w:val="007B6BAE"/>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53EB2"/>
    <w:rsid w:val="00860742"/>
    <w:rsid w:val="0086691F"/>
    <w:rsid w:val="00883DB0"/>
    <w:rsid w:val="00884C8F"/>
    <w:rsid w:val="0089662D"/>
    <w:rsid w:val="00896D38"/>
    <w:rsid w:val="008A0216"/>
    <w:rsid w:val="008C076B"/>
    <w:rsid w:val="008C3296"/>
    <w:rsid w:val="008C3413"/>
    <w:rsid w:val="008E2D03"/>
    <w:rsid w:val="008E7BDF"/>
    <w:rsid w:val="008F2BB5"/>
    <w:rsid w:val="008F425D"/>
    <w:rsid w:val="008F5472"/>
    <w:rsid w:val="008F5D0F"/>
    <w:rsid w:val="009122E0"/>
    <w:rsid w:val="00913351"/>
    <w:rsid w:val="0096193C"/>
    <w:rsid w:val="009769E1"/>
    <w:rsid w:val="00977E0D"/>
    <w:rsid w:val="00982D5C"/>
    <w:rsid w:val="00986132"/>
    <w:rsid w:val="00986C04"/>
    <w:rsid w:val="009932F9"/>
    <w:rsid w:val="009A11E3"/>
    <w:rsid w:val="009A2F76"/>
    <w:rsid w:val="009A631B"/>
    <w:rsid w:val="009B1250"/>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252DF"/>
    <w:rsid w:val="00A26C97"/>
    <w:rsid w:val="00A27E35"/>
    <w:rsid w:val="00A33D6D"/>
    <w:rsid w:val="00A37345"/>
    <w:rsid w:val="00A40AAE"/>
    <w:rsid w:val="00A40EA9"/>
    <w:rsid w:val="00A4532A"/>
    <w:rsid w:val="00A5206D"/>
    <w:rsid w:val="00A72E47"/>
    <w:rsid w:val="00A778F1"/>
    <w:rsid w:val="00A90956"/>
    <w:rsid w:val="00A95404"/>
    <w:rsid w:val="00A968C5"/>
    <w:rsid w:val="00AA3C28"/>
    <w:rsid w:val="00AA759D"/>
    <w:rsid w:val="00AB2786"/>
    <w:rsid w:val="00AB4E30"/>
    <w:rsid w:val="00AC550F"/>
    <w:rsid w:val="00AD4308"/>
    <w:rsid w:val="00AF2A33"/>
    <w:rsid w:val="00B03EFA"/>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51DC5"/>
    <w:rsid w:val="00D676D7"/>
    <w:rsid w:val="00D71517"/>
    <w:rsid w:val="00D7168D"/>
    <w:rsid w:val="00D725C7"/>
    <w:rsid w:val="00D874E1"/>
    <w:rsid w:val="00D9586D"/>
    <w:rsid w:val="00D9749C"/>
    <w:rsid w:val="00DA51B2"/>
    <w:rsid w:val="00DA6965"/>
    <w:rsid w:val="00DB0932"/>
    <w:rsid w:val="00DB5DEA"/>
    <w:rsid w:val="00DC2506"/>
    <w:rsid w:val="00DC49FA"/>
    <w:rsid w:val="00DD3D6B"/>
    <w:rsid w:val="00DD4467"/>
    <w:rsid w:val="00DD61C8"/>
    <w:rsid w:val="00DD772B"/>
    <w:rsid w:val="00DF742A"/>
    <w:rsid w:val="00E041F4"/>
    <w:rsid w:val="00E050BA"/>
    <w:rsid w:val="00E25442"/>
    <w:rsid w:val="00E25A1F"/>
    <w:rsid w:val="00E35B72"/>
    <w:rsid w:val="00E37EEB"/>
    <w:rsid w:val="00E5153D"/>
    <w:rsid w:val="00E710FB"/>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1468C"/>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SYR/CO/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SYR/CO/1" TargetMode="External"/><Relationship Id="rId2" Type="http://schemas.openxmlformats.org/officeDocument/2006/relationships/settings" Target="settings.xml"/><Relationship Id="rId16" Type="http://schemas.openxmlformats.org/officeDocument/2006/relationships/hyperlink" Target="http://undocs.org/ch/S/RES/1325(2000)" TargetMode="External"/><Relationship Id="rId20" Type="http://schemas.openxmlformats.org/officeDocument/2006/relationships/hyperlink" Target="http://undocs.org/ch/A/RES/49/20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S/RES/2122(2013)" TargetMode="External"/><Relationship Id="rId10" Type="http://schemas.openxmlformats.org/officeDocument/2006/relationships/header" Target="header3.xml"/><Relationship Id="rId19" Type="http://schemas.openxmlformats.org/officeDocument/2006/relationships/hyperlink" Target="http://undocs.org/ch/CEDAW/C/SYR/CO/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S/RES/1325(200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Pages>
  <Words>2409</Words>
  <Characters>2507</Characters>
  <Application>Microsoft Office Outlook</Application>
  <DocSecurity>4</DocSecurity>
  <Lines>92</Lines>
  <Paragraphs>43</Paragraphs>
  <ScaleCrop>false</ScaleCrop>
  <Company>United Nations</Company>
  <LinksUpToDate>false</LinksUpToDate>
  <CharactersWithSpaces>4873</CharactersWithSpaces>
  <SharedDoc>false</SharedDoc>
  <HLinks>
    <vt:vector size="42" baseType="variant">
      <vt:variant>
        <vt:i4>589905</vt:i4>
      </vt:variant>
      <vt:variant>
        <vt:i4>18</vt:i4>
      </vt:variant>
      <vt:variant>
        <vt:i4>0</vt:i4>
      </vt:variant>
      <vt:variant>
        <vt:i4>5</vt:i4>
      </vt:variant>
      <vt:variant>
        <vt:lpwstr>http://undocs.org/ch/A/RES/49/201</vt:lpwstr>
      </vt:variant>
      <vt:variant>
        <vt:lpwstr/>
      </vt:variant>
      <vt:variant>
        <vt:i4>1835010</vt:i4>
      </vt:variant>
      <vt:variant>
        <vt:i4>15</vt:i4>
      </vt:variant>
      <vt:variant>
        <vt:i4>0</vt:i4>
      </vt:variant>
      <vt:variant>
        <vt:i4>5</vt:i4>
      </vt:variant>
      <vt:variant>
        <vt:lpwstr>http://undocs.org/ch/CEDAW/C/SYR/CO/1</vt:lpwstr>
      </vt:variant>
      <vt:variant>
        <vt:lpwstr/>
      </vt:variant>
      <vt:variant>
        <vt:i4>1835010</vt:i4>
      </vt:variant>
      <vt:variant>
        <vt:i4>12</vt:i4>
      </vt:variant>
      <vt:variant>
        <vt:i4>0</vt:i4>
      </vt:variant>
      <vt:variant>
        <vt:i4>5</vt:i4>
      </vt:variant>
      <vt:variant>
        <vt:lpwstr>http://undocs.org/ch/CEDAW/C/SYR/CO/1</vt:lpwstr>
      </vt:variant>
      <vt:variant>
        <vt:lpwstr/>
      </vt:variant>
      <vt:variant>
        <vt:i4>1835010</vt:i4>
      </vt:variant>
      <vt:variant>
        <vt:i4>9</vt:i4>
      </vt:variant>
      <vt:variant>
        <vt:i4>0</vt:i4>
      </vt:variant>
      <vt:variant>
        <vt:i4>5</vt:i4>
      </vt:variant>
      <vt:variant>
        <vt:lpwstr>http://undocs.org/ch/CEDAW/C/SYR/CO/1</vt:lpwstr>
      </vt:variant>
      <vt:variant>
        <vt:lpwstr/>
      </vt:variant>
      <vt:variant>
        <vt:i4>1769566</vt:i4>
      </vt:variant>
      <vt:variant>
        <vt:i4>6</vt:i4>
      </vt:variant>
      <vt:variant>
        <vt:i4>0</vt:i4>
      </vt:variant>
      <vt:variant>
        <vt:i4>5</vt:i4>
      </vt:variant>
      <vt:variant>
        <vt:lpwstr>http://undocs.org/ch/S/RES/1325(2000)</vt:lpwstr>
      </vt:variant>
      <vt:variant>
        <vt:lpwstr/>
      </vt:variant>
      <vt:variant>
        <vt:i4>1769562</vt:i4>
      </vt:variant>
      <vt:variant>
        <vt:i4>3</vt:i4>
      </vt:variant>
      <vt:variant>
        <vt:i4>0</vt:i4>
      </vt:variant>
      <vt:variant>
        <vt:i4>5</vt:i4>
      </vt:variant>
      <vt:variant>
        <vt:lpwstr>http://undocs.org/ch/S/RES/2122(2013)</vt:lpwstr>
      </vt:variant>
      <vt:variant>
        <vt:lpwstr/>
      </vt:variant>
      <vt:variant>
        <vt:i4>1769566</vt:i4>
      </vt:variant>
      <vt:variant>
        <vt:i4>0</vt:i4>
      </vt:variant>
      <vt:variant>
        <vt:i4>0</vt:i4>
      </vt:variant>
      <vt:variant>
        <vt:i4>5</vt:i4>
      </vt:variant>
      <vt:variant>
        <vt:lpwstr>http://undocs.org/ch/S/RES/1325(2000)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ZXS</dc:creator>
  <cp:keywords/>
  <dc:description/>
  <cp:lastModifiedBy>CTPU ZXS</cp:lastModifiedBy>
  <cp:revision>12</cp:revision>
  <cp:lastPrinted>2013-11-08T11:09:00Z</cp:lastPrinted>
  <dcterms:created xsi:type="dcterms:W3CDTF">2013-11-08T10:56:00Z</dcterms:created>
  <dcterms:modified xsi:type="dcterms:W3CDTF">2013-11-08T11:21:00Z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1353323</vt:lpwstr>
  </property>
  <property fmtid="{D5CDD505-2E9C-101B-9397-08002B2CF9AE}" pid="3" name="Symbol1">
    <vt:lpwstr>CEDAW/C/SYR/Q/2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