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109.35pt;height:40.3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46236</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E/C.12/4/Add.1</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 xml:space="preserve">9 D </w:t>
            </w:r>
            <w:proofErr w:type="spellStart"/>
            <w:r>
              <w:rPr>
                <w:lang w:val="en-US"/>
              </w:rPr>
              <w:t>ecember</w:t>
            </w:r>
            <w:proofErr w:type="spellEnd"/>
            <w:r>
              <w:rPr>
                <w:lang w:val="en-US"/>
              </w:rPr>
              <w:t xml:space="preserve"> 1999</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pPr>
        <w:tabs>
          <w:tab w:val="left" w:pos="-112"/>
          <w:tab w:val="left" w:pos="454"/>
          <w:tab w:val="left" w:pos="1022"/>
          <w:tab w:val="left" w:pos="1588"/>
          <w:tab w:val="left" w:pos="2156"/>
          <w:tab w:val="left" w:pos="6974"/>
        </w:tabs>
        <w:suppressAutoHyphens/>
      </w:pPr>
      <w:r>
        <w:t>Основная сессия 2000 года</w:t>
      </w:r>
    </w:p>
    <w:p w:rsidR="00000000" w:rsidRDefault="00000000">
      <w:pPr>
        <w:tabs>
          <w:tab w:val="left" w:pos="-112"/>
          <w:tab w:val="left" w:pos="454"/>
          <w:tab w:val="left" w:pos="1022"/>
          <w:tab w:val="left" w:pos="1588"/>
          <w:tab w:val="left" w:pos="2156"/>
          <w:tab w:val="left" w:pos="6974"/>
        </w:tabs>
        <w:suppressAutoHyphens/>
      </w:pPr>
    </w:p>
    <w:p w:rsidR="00000000" w:rsidRDefault="00000000">
      <w:pPr>
        <w:tabs>
          <w:tab w:val="left" w:pos="-112"/>
          <w:tab w:val="left" w:pos="454"/>
          <w:tab w:val="left" w:pos="1022"/>
          <w:tab w:val="left" w:pos="1588"/>
          <w:tab w:val="left" w:pos="2156"/>
          <w:tab w:val="left" w:pos="6974"/>
        </w:tabs>
        <w:suppressAutoHyphens/>
      </w:pPr>
    </w:p>
    <w:p w:rsidR="00000000" w:rsidRDefault="00000000">
      <w:pPr>
        <w:tabs>
          <w:tab w:val="center" w:pos="4678"/>
        </w:tabs>
        <w:suppressAutoHyphens/>
        <w:jc w:val="center"/>
      </w:pPr>
      <w:r>
        <w:t>ОСУЩЕСТВЛЕНИЕ МЕЖДУНАРОДНОГО ПАКТА ОБ ЭКОНОМИЧЕСКИХ, СОЦИАЛЬНЫХ И КУЛЬТУРНЫХ ПРАВАХ</w:t>
      </w:r>
    </w:p>
    <w:p w:rsidR="00000000" w:rsidRDefault="00000000">
      <w:pPr>
        <w:tabs>
          <w:tab w:val="center" w:pos="4678"/>
        </w:tabs>
        <w:suppressAutoHyphens/>
        <w:jc w:val="center"/>
      </w:pPr>
    </w:p>
    <w:p w:rsidR="00000000" w:rsidRDefault="00000000">
      <w:pPr>
        <w:tabs>
          <w:tab w:val="center" w:pos="4678"/>
        </w:tabs>
        <w:suppressAutoHyphens/>
        <w:jc w:val="center"/>
        <w:rPr>
          <w:u w:val="single"/>
        </w:rPr>
      </w:pPr>
      <w:r>
        <w:rPr>
          <w:u w:val="single"/>
        </w:rPr>
        <w:t>Четвертые периодические доклады, представленные государствами-участниками в соответствии со статьями 16 и 17 Пакта</w:t>
      </w:r>
    </w:p>
    <w:p w:rsidR="00000000" w:rsidRDefault="00000000">
      <w:pPr>
        <w:tabs>
          <w:tab w:val="center" w:pos="4678"/>
        </w:tabs>
        <w:suppressAutoHyphens/>
        <w:jc w:val="center"/>
      </w:pPr>
    </w:p>
    <w:p w:rsidR="00000000" w:rsidRDefault="00000000">
      <w:pPr>
        <w:tabs>
          <w:tab w:val="center" w:pos="4678"/>
        </w:tabs>
        <w:suppressAutoHyphens/>
        <w:jc w:val="center"/>
      </w:pPr>
      <w:r>
        <w:rPr>
          <w:u w:val="single"/>
        </w:rPr>
        <w:t>Добавление</w:t>
      </w:r>
    </w:p>
    <w:p w:rsidR="00000000" w:rsidRDefault="00000000">
      <w:pPr>
        <w:tabs>
          <w:tab w:val="center" w:pos="4678"/>
        </w:tabs>
        <w:suppressAutoHyphens/>
        <w:jc w:val="center"/>
      </w:pPr>
    </w:p>
    <w:p w:rsidR="00000000" w:rsidRDefault="00000000">
      <w:pPr>
        <w:jc w:val="center"/>
      </w:pPr>
      <w:r>
        <w:t>ФИНЛЯНДИЯ*</w:t>
      </w:r>
    </w:p>
    <w:p w:rsidR="00000000" w:rsidRDefault="00000000">
      <w:pPr>
        <w:pStyle w:val="a0"/>
        <w:widowControl/>
        <w:tabs>
          <w:tab w:val="left" w:pos="567"/>
          <w:tab w:val="left" w:pos="1134"/>
          <w:tab w:val="left" w:pos="1701"/>
          <w:tab w:val="left" w:pos="2268"/>
          <w:tab w:val="center" w:pos="4678"/>
          <w:tab w:val="left" w:pos="6237"/>
        </w:tabs>
        <w:suppressAutoHyphens/>
        <w:spacing w:line="288" w:lineRule="auto"/>
        <w:rPr>
          <w:rFonts w:ascii="Times New Roman" w:hAnsi="Times New Roman"/>
          <w:snapToGrid/>
        </w:rPr>
      </w:pPr>
    </w:p>
    <w:p w:rsidR="00000000" w:rsidRDefault="00000000">
      <w:pPr>
        <w:tabs>
          <w:tab w:val="right" w:pos="9354"/>
        </w:tabs>
        <w:suppressAutoHyphens/>
        <w:jc w:val="right"/>
      </w:pPr>
      <w:r>
        <w:t>[22 июля 1999 года]</w:t>
      </w:r>
    </w:p>
    <w:p w:rsidR="00000000" w:rsidRDefault="00000000">
      <w:pPr>
        <w:tabs>
          <w:tab w:val="right" w:pos="9354"/>
        </w:tabs>
        <w:suppressAutoHyphens/>
        <w:jc w:val="right"/>
      </w:pPr>
    </w:p>
    <w:p w:rsidR="00000000" w:rsidRDefault="00000000">
      <w:pPr>
        <w:tabs>
          <w:tab w:val="left" w:pos="-112"/>
        </w:tabs>
        <w:suppressAutoHyphens/>
        <w:spacing w:line="240" w:lineRule="auto"/>
        <w:rPr>
          <w:u w:val="single"/>
        </w:rPr>
      </w:pPr>
      <w:r>
        <w:rPr>
          <w:u w:val="single"/>
        </w:rPr>
        <w:tab/>
      </w:r>
      <w:r>
        <w:rPr>
          <w:u w:val="single"/>
        </w:rPr>
        <w:tab/>
      </w:r>
      <w:r>
        <w:rPr>
          <w:u w:val="single"/>
        </w:rPr>
        <w:tab/>
      </w:r>
      <w:r>
        <w:rPr>
          <w:u w:val="single"/>
        </w:rPr>
        <w:tab/>
      </w:r>
    </w:p>
    <w:p w:rsidR="00000000" w:rsidRDefault="00000000">
      <w:pPr>
        <w:tabs>
          <w:tab w:val="left" w:pos="-112"/>
          <w:tab w:val="left" w:pos="454"/>
          <w:tab w:val="left" w:pos="1022"/>
          <w:tab w:val="left" w:pos="1588"/>
          <w:tab w:val="left" w:pos="2156"/>
        </w:tabs>
        <w:suppressAutoHyphens/>
        <w:spacing w:line="240" w:lineRule="auto"/>
        <w:rPr>
          <w:u w:val="single"/>
        </w:rPr>
      </w:pPr>
    </w:p>
    <w:p w:rsidR="00000000" w:rsidRDefault="00000000">
      <w:pPr>
        <w:tabs>
          <w:tab w:val="left" w:pos="-112"/>
        </w:tabs>
        <w:suppressAutoHyphens/>
        <w:spacing w:line="240" w:lineRule="auto"/>
      </w:pPr>
      <w:r>
        <w:tab/>
        <w:t xml:space="preserve">  *</w:t>
      </w:r>
      <w:r>
        <w:tab/>
        <w:t>Третий периодический доклад, касающийся прав, охватываемых статьями 1-15 (E/1999/104/Add.7), был рассмотрен Комитетом по экономическим, социальным и культурным правам на его пятнадцатой сессии (см. E/C.12/1996/SR.37, 38 и 40) в 1996 году.</w:t>
      </w:r>
    </w:p>
    <w:p w:rsidR="00000000" w:rsidRDefault="00000000">
      <w:pPr>
        <w:tabs>
          <w:tab w:val="left" w:pos="-112"/>
        </w:tabs>
        <w:suppressAutoHyphens/>
        <w:spacing w:line="240" w:lineRule="auto"/>
      </w:pPr>
    </w:p>
    <w:p w:rsidR="00000000" w:rsidRDefault="00000000">
      <w:pPr>
        <w:tabs>
          <w:tab w:val="left" w:pos="-112"/>
        </w:tabs>
        <w:suppressAutoHyphens/>
        <w:spacing w:line="240" w:lineRule="auto"/>
      </w:pPr>
      <w:r>
        <w:tab/>
        <w:t>**</w:t>
      </w:r>
      <w:r>
        <w:tab/>
        <w:t>Информация, представленная Финляндией в соответствии с руководящими принципами, касающимися первоначальной части докладов государств-участников, содержится в базовом документе (HRI/CORE/1/Add.59/Rev.2).  Дополнения, на которые содержатся ссылки в настоящем докладе, имеются для ознакомления в секретариате Комитета.</w:t>
      </w:r>
    </w:p>
    <w:p w:rsidR="00000000" w:rsidRDefault="00000000">
      <w:pPr>
        <w:jc w:val="center"/>
      </w:pPr>
      <w:r>
        <w:br w:type="page"/>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pStyle w:val="a0"/>
        <w:widowControl/>
        <w:tabs>
          <w:tab w:val="left" w:pos="567"/>
          <w:tab w:val="left" w:pos="1134"/>
          <w:tab w:val="left" w:pos="1701"/>
          <w:tab w:val="right" w:leader="dot" w:pos="7172"/>
          <w:tab w:val="center" w:pos="8039"/>
          <w:tab w:val="center" w:pos="9122"/>
        </w:tabs>
        <w:spacing w:line="480" w:lineRule="auto"/>
        <w:rPr>
          <w:rFonts w:ascii="Times New Roman" w:hAnsi="Times New Roman"/>
          <w:snapToGrid/>
          <w:lang w:val="en-US"/>
        </w:rPr>
      </w:pPr>
      <w:r>
        <w:rPr>
          <w:rFonts w:ascii="Times New Roman" w:hAnsi="Times New Roman"/>
          <w:snapToGrid/>
        </w:rPr>
        <w:t xml:space="preserve">Общие положения </w:t>
      </w:r>
      <w:r>
        <w:rPr>
          <w:rFonts w:ascii="Times New Roman" w:hAnsi="Times New Roman"/>
          <w:snapToGrid/>
        </w:rPr>
        <w:tab/>
      </w:r>
      <w:r>
        <w:rPr>
          <w:rFonts w:ascii="Times New Roman" w:hAnsi="Times New Roman"/>
          <w:snapToGrid/>
        </w:rPr>
        <w:tab/>
        <w:t>1 – 18</w:t>
      </w:r>
      <w:r>
        <w:rPr>
          <w:rFonts w:ascii="Times New Roman" w:hAnsi="Times New Roman"/>
          <w:snapToGrid/>
        </w:rPr>
        <w:tab/>
      </w:r>
      <w:r>
        <w:rPr>
          <w:rFonts w:ascii="Times New Roman" w:hAnsi="Times New Roman"/>
          <w:snapToGrid/>
          <w:lang w:val="en-US"/>
        </w:rPr>
        <w:t>3</w:t>
      </w:r>
    </w:p>
    <w:p w:rsidR="00000000" w:rsidRDefault="00000000">
      <w:pPr>
        <w:pStyle w:val="a0"/>
        <w:widowControl/>
        <w:tabs>
          <w:tab w:val="left" w:pos="0"/>
          <w:tab w:val="left" w:pos="567"/>
          <w:tab w:val="right" w:leader="dot" w:pos="7172"/>
          <w:tab w:val="center" w:pos="8039"/>
          <w:tab w:val="center" w:pos="9122"/>
        </w:tabs>
        <w:suppressAutoHyphens/>
        <w:spacing w:line="480" w:lineRule="auto"/>
        <w:rPr>
          <w:rFonts w:ascii="Times New Roman" w:hAnsi="Times New Roman"/>
          <w:snapToGrid/>
          <w:lang w:val="en-US"/>
        </w:rPr>
      </w:pPr>
      <w:r>
        <w:rPr>
          <w:rFonts w:ascii="Times New Roman" w:hAnsi="Times New Roman"/>
          <w:snapToGrid/>
        </w:rPr>
        <w:t>Статья 1</w:t>
      </w:r>
      <w:r>
        <w:rPr>
          <w:rFonts w:ascii="Times New Roman" w:hAnsi="Times New Roman"/>
          <w:snapToGrid/>
        </w:rPr>
        <w:tab/>
      </w:r>
      <w:r>
        <w:rPr>
          <w:rFonts w:ascii="Times New Roman" w:hAnsi="Times New Roman"/>
          <w:snapToGrid/>
        </w:rPr>
        <w:tab/>
        <w:t>1</w:t>
      </w:r>
      <w:r>
        <w:rPr>
          <w:rFonts w:ascii="Times New Roman" w:hAnsi="Times New Roman"/>
          <w:snapToGrid/>
          <w:lang w:val="en-US"/>
        </w:rPr>
        <w:t>9</w:t>
      </w:r>
      <w:r>
        <w:rPr>
          <w:rFonts w:ascii="Times New Roman" w:hAnsi="Times New Roman"/>
          <w:snapToGrid/>
        </w:rPr>
        <w:t xml:space="preserve"> – 27</w:t>
      </w:r>
      <w:r>
        <w:rPr>
          <w:rFonts w:ascii="Times New Roman" w:hAnsi="Times New Roman"/>
          <w:snapToGrid/>
          <w:lang w:val="en-US"/>
        </w:rPr>
        <w:tab/>
        <w:t>7</w:t>
      </w:r>
    </w:p>
    <w:p w:rsidR="00000000" w:rsidRDefault="00000000">
      <w:pPr>
        <w:pStyle w:val="a0"/>
        <w:widowControl/>
        <w:tabs>
          <w:tab w:val="left" w:pos="0"/>
          <w:tab w:val="left" w:pos="567"/>
          <w:tab w:val="right" w:leader="dot" w:pos="7172"/>
          <w:tab w:val="center" w:pos="8039"/>
          <w:tab w:val="center" w:pos="9122"/>
        </w:tabs>
        <w:suppressAutoHyphens/>
        <w:spacing w:line="480" w:lineRule="auto"/>
        <w:rPr>
          <w:rFonts w:ascii="Times New Roman" w:hAnsi="Times New Roman"/>
          <w:snapToGrid/>
          <w:lang w:val="en-US"/>
        </w:rPr>
      </w:pPr>
      <w:r>
        <w:rPr>
          <w:rFonts w:ascii="Times New Roman" w:hAnsi="Times New Roman"/>
          <w:snapToGrid/>
        </w:rPr>
        <w:t xml:space="preserve">Статья 2 </w:t>
      </w:r>
      <w:r>
        <w:rPr>
          <w:rFonts w:ascii="Times New Roman" w:hAnsi="Times New Roman"/>
          <w:snapToGrid/>
        </w:rPr>
        <w:tab/>
      </w:r>
      <w:r>
        <w:rPr>
          <w:rFonts w:ascii="Times New Roman" w:hAnsi="Times New Roman"/>
          <w:snapToGrid/>
        </w:rPr>
        <w:tab/>
        <w:t>28 – 31</w:t>
      </w:r>
      <w:r>
        <w:rPr>
          <w:rFonts w:ascii="Times New Roman" w:hAnsi="Times New Roman"/>
          <w:snapToGrid/>
        </w:rPr>
        <w:tab/>
      </w:r>
      <w:r>
        <w:rPr>
          <w:rFonts w:ascii="Times New Roman" w:hAnsi="Times New Roman"/>
          <w:snapToGrid/>
          <w:lang w:val="en-US"/>
        </w:rPr>
        <w:t>11</w:t>
      </w:r>
    </w:p>
    <w:p w:rsidR="00000000" w:rsidRDefault="00000000">
      <w:pPr>
        <w:pStyle w:val="a0"/>
        <w:widowControl/>
        <w:tabs>
          <w:tab w:val="left" w:pos="0"/>
          <w:tab w:val="left" w:pos="567"/>
          <w:tab w:val="right" w:leader="dot" w:pos="7172"/>
          <w:tab w:val="center" w:pos="8039"/>
          <w:tab w:val="center" w:pos="9122"/>
        </w:tabs>
        <w:suppressAutoHyphens/>
        <w:spacing w:line="480" w:lineRule="auto"/>
        <w:rPr>
          <w:rFonts w:ascii="Times New Roman" w:hAnsi="Times New Roman"/>
          <w:snapToGrid/>
          <w:lang w:val="en-US"/>
        </w:rPr>
      </w:pPr>
      <w:r>
        <w:rPr>
          <w:rFonts w:ascii="Times New Roman" w:hAnsi="Times New Roman"/>
          <w:snapToGrid/>
        </w:rPr>
        <w:t>Статья 3</w:t>
      </w:r>
      <w:r>
        <w:rPr>
          <w:rFonts w:ascii="Times New Roman" w:hAnsi="Times New Roman"/>
          <w:snapToGrid/>
        </w:rPr>
        <w:tab/>
      </w:r>
      <w:r>
        <w:rPr>
          <w:rFonts w:ascii="Times New Roman" w:hAnsi="Times New Roman"/>
          <w:snapToGrid/>
        </w:rPr>
        <w:tab/>
        <w:t>32 - 41</w:t>
      </w:r>
      <w:r>
        <w:rPr>
          <w:rFonts w:ascii="Times New Roman" w:hAnsi="Times New Roman"/>
          <w:snapToGrid/>
        </w:rPr>
        <w:tab/>
      </w:r>
      <w:r>
        <w:rPr>
          <w:rFonts w:ascii="Times New Roman" w:hAnsi="Times New Roman"/>
          <w:snapToGrid/>
          <w:lang w:val="en-US"/>
        </w:rPr>
        <w:t>12</w:t>
      </w:r>
    </w:p>
    <w:p w:rsidR="00000000" w:rsidRDefault="00000000">
      <w:pPr>
        <w:pStyle w:val="a0"/>
        <w:widowControl/>
        <w:tabs>
          <w:tab w:val="left" w:pos="0"/>
          <w:tab w:val="left" w:pos="567"/>
          <w:tab w:val="right" w:leader="dot" w:pos="7172"/>
          <w:tab w:val="center" w:pos="8039"/>
          <w:tab w:val="center" w:pos="9122"/>
        </w:tabs>
        <w:suppressAutoHyphens/>
        <w:spacing w:line="480" w:lineRule="auto"/>
        <w:rPr>
          <w:rFonts w:ascii="Times New Roman" w:hAnsi="Times New Roman"/>
          <w:snapToGrid/>
          <w:lang w:val="en-US"/>
        </w:rPr>
      </w:pPr>
      <w:r>
        <w:rPr>
          <w:rFonts w:ascii="Times New Roman" w:hAnsi="Times New Roman"/>
          <w:snapToGrid/>
        </w:rPr>
        <w:t xml:space="preserve">Статья 6 </w:t>
      </w:r>
      <w:r>
        <w:rPr>
          <w:rFonts w:ascii="Times New Roman" w:hAnsi="Times New Roman"/>
          <w:snapToGrid/>
        </w:rPr>
        <w:tab/>
      </w:r>
      <w:r>
        <w:rPr>
          <w:rFonts w:ascii="Times New Roman" w:hAnsi="Times New Roman"/>
          <w:snapToGrid/>
        </w:rPr>
        <w:tab/>
        <w:t>42 – 105</w:t>
      </w:r>
      <w:r>
        <w:rPr>
          <w:rFonts w:ascii="Times New Roman" w:hAnsi="Times New Roman"/>
          <w:snapToGrid/>
          <w:lang w:val="en-US"/>
        </w:rPr>
        <w:tab/>
        <w:t>14</w:t>
      </w:r>
    </w:p>
    <w:p w:rsidR="00000000" w:rsidRDefault="00000000">
      <w:pPr>
        <w:tabs>
          <w:tab w:val="clear" w:pos="1134"/>
          <w:tab w:val="clear" w:pos="1701"/>
          <w:tab w:val="clear" w:pos="2268"/>
          <w:tab w:val="clear" w:pos="6237"/>
          <w:tab w:val="left" w:pos="0"/>
          <w:tab w:val="right" w:leader="dot" w:pos="7172"/>
          <w:tab w:val="center" w:pos="8039"/>
          <w:tab w:val="center" w:pos="9122"/>
        </w:tabs>
        <w:suppressAutoHyphens/>
        <w:spacing w:line="480" w:lineRule="auto"/>
        <w:rPr>
          <w:lang w:val="en-US"/>
        </w:rPr>
      </w:pPr>
      <w:r>
        <w:t xml:space="preserve">Статья 7 </w:t>
      </w:r>
      <w:r>
        <w:tab/>
      </w:r>
      <w:r>
        <w:tab/>
        <w:t>106 – 151</w:t>
      </w:r>
      <w:r>
        <w:rPr>
          <w:lang w:val="en-US"/>
        </w:rPr>
        <w:tab/>
        <w:t>30</w:t>
      </w:r>
    </w:p>
    <w:p w:rsidR="00000000" w:rsidRDefault="00000000">
      <w:pPr>
        <w:tabs>
          <w:tab w:val="clear" w:pos="1134"/>
          <w:tab w:val="clear" w:pos="1701"/>
          <w:tab w:val="clear" w:pos="2268"/>
          <w:tab w:val="clear" w:pos="6237"/>
          <w:tab w:val="left" w:pos="0"/>
          <w:tab w:val="right" w:leader="dot" w:pos="7172"/>
          <w:tab w:val="center" w:pos="8039"/>
          <w:tab w:val="center" w:pos="9122"/>
        </w:tabs>
        <w:suppressAutoHyphens/>
        <w:spacing w:line="480" w:lineRule="auto"/>
        <w:rPr>
          <w:lang w:val="en-US"/>
        </w:rPr>
      </w:pPr>
      <w:r>
        <w:t xml:space="preserve">Статья 8 </w:t>
      </w:r>
      <w:r>
        <w:tab/>
      </w:r>
      <w:r>
        <w:tab/>
        <w:t>152 - 173</w:t>
      </w:r>
      <w:r>
        <w:tab/>
      </w:r>
      <w:r>
        <w:rPr>
          <w:lang w:val="en-US"/>
        </w:rPr>
        <w:t>41</w:t>
      </w:r>
    </w:p>
    <w:p w:rsidR="00000000" w:rsidRDefault="00000000">
      <w:pPr>
        <w:tabs>
          <w:tab w:val="clear" w:pos="1134"/>
          <w:tab w:val="clear" w:pos="1701"/>
          <w:tab w:val="clear" w:pos="2268"/>
          <w:tab w:val="clear" w:pos="6237"/>
          <w:tab w:val="left" w:pos="0"/>
          <w:tab w:val="right" w:leader="dot" w:pos="7172"/>
          <w:tab w:val="center" w:pos="8039"/>
          <w:tab w:val="center" w:pos="9122"/>
        </w:tabs>
        <w:suppressAutoHyphens/>
        <w:spacing w:line="480" w:lineRule="auto"/>
        <w:rPr>
          <w:lang w:val="en-US"/>
        </w:rPr>
      </w:pPr>
      <w:r>
        <w:t xml:space="preserve">Статья 9 </w:t>
      </w:r>
      <w:r>
        <w:tab/>
      </w:r>
      <w:r>
        <w:tab/>
        <w:t>174 - 238</w:t>
      </w:r>
      <w:r>
        <w:tab/>
      </w:r>
      <w:r>
        <w:rPr>
          <w:lang w:val="en-US"/>
        </w:rPr>
        <w:t>46</w:t>
      </w:r>
    </w:p>
    <w:p w:rsidR="00000000" w:rsidRDefault="00000000">
      <w:pPr>
        <w:tabs>
          <w:tab w:val="clear" w:pos="1134"/>
          <w:tab w:val="clear" w:pos="1701"/>
          <w:tab w:val="clear" w:pos="2268"/>
          <w:tab w:val="clear" w:pos="6237"/>
          <w:tab w:val="left" w:pos="0"/>
          <w:tab w:val="right" w:leader="dot" w:pos="7172"/>
          <w:tab w:val="center" w:pos="8039"/>
          <w:tab w:val="center" w:pos="9122"/>
        </w:tabs>
        <w:suppressAutoHyphens/>
        <w:spacing w:line="480" w:lineRule="auto"/>
        <w:rPr>
          <w:lang w:val="en-US"/>
        </w:rPr>
      </w:pPr>
      <w:r>
        <w:t xml:space="preserve">Статья 10 </w:t>
      </w:r>
      <w:r>
        <w:tab/>
      </w:r>
      <w:r>
        <w:tab/>
        <w:t>239 - 270</w:t>
      </w:r>
      <w:r>
        <w:tab/>
      </w:r>
      <w:r>
        <w:rPr>
          <w:lang w:val="en-US"/>
        </w:rPr>
        <w:t>64</w:t>
      </w:r>
    </w:p>
    <w:p w:rsidR="00000000" w:rsidRDefault="00000000">
      <w:pPr>
        <w:tabs>
          <w:tab w:val="clear" w:pos="1134"/>
          <w:tab w:val="clear" w:pos="1701"/>
          <w:tab w:val="clear" w:pos="2268"/>
          <w:tab w:val="clear" w:pos="6237"/>
          <w:tab w:val="left" w:pos="0"/>
          <w:tab w:val="right" w:leader="dot" w:pos="7172"/>
          <w:tab w:val="center" w:pos="8039"/>
          <w:tab w:val="center" w:pos="9122"/>
        </w:tabs>
        <w:suppressAutoHyphens/>
        <w:spacing w:line="480" w:lineRule="auto"/>
        <w:rPr>
          <w:lang w:val="en-US"/>
        </w:rPr>
      </w:pPr>
      <w:r>
        <w:t xml:space="preserve">Статья 11 </w:t>
      </w:r>
      <w:r>
        <w:tab/>
      </w:r>
      <w:r>
        <w:tab/>
        <w:t>271 - 405</w:t>
      </w:r>
      <w:r>
        <w:tab/>
      </w:r>
      <w:r>
        <w:rPr>
          <w:lang w:val="en-US"/>
        </w:rPr>
        <w:t>71</w:t>
      </w:r>
    </w:p>
    <w:p w:rsidR="00000000" w:rsidRDefault="00000000">
      <w:pPr>
        <w:tabs>
          <w:tab w:val="clear" w:pos="1134"/>
          <w:tab w:val="clear" w:pos="1701"/>
          <w:tab w:val="clear" w:pos="2268"/>
          <w:tab w:val="clear" w:pos="6237"/>
          <w:tab w:val="left" w:pos="0"/>
          <w:tab w:val="right" w:leader="dot" w:pos="7172"/>
          <w:tab w:val="center" w:pos="8039"/>
          <w:tab w:val="center" w:pos="9122"/>
        </w:tabs>
        <w:suppressAutoHyphens/>
        <w:spacing w:line="480" w:lineRule="auto"/>
        <w:rPr>
          <w:lang w:val="en-US"/>
        </w:rPr>
      </w:pPr>
      <w:r>
        <w:t xml:space="preserve">Статья 12 </w:t>
      </w:r>
      <w:r>
        <w:tab/>
      </w:r>
      <w:r>
        <w:tab/>
        <w:t>406 - 433</w:t>
      </w:r>
      <w:r>
        <w:tab/>
      </w:r>
      <w:r>
        <w:rPr>
          <w:lang w:val="en-US"/>
        </w:rPr>
        <w:t>82</w:t>
      </w:r>
    </w:p>
    <w:p w:rsidR="00000000" w:rsidRDefault="00000000">
      <w:pPr>
        <w:pStyle w:val="a0"/>
        <w:widowControl/>
        <w:tabs>
          <w:tab w:val="left" w:pos="0"/>
          <w:tab w:val="left" w:pos="567"/>
          <w:tab w:val="right" w:leader="dot" w:pos="7172"/>
          <w:tab w:val="center" w:pos="8039"/>
          <w:tab w:val="center" w:pos="9122"/>
        </w:tabs>
        <w:suppressAutoHyphens/>
        <w:spacing w:line="480" w:lineRule="auto"/>
        <w:rPr>
          <w:rFonts w:ascii="Times New Roman" w:hAnsi="Times New Roman"/>
          <w:snapToGrid/>
          <w:lang w:val="en-US"/>
        </w:rPr>
      </w:pPr>
      <w:r>
        <w:rPr>
          <w:rFonts w:ascii="Times New Roman" w:hAnsi="Times New Roman"/>
          <w:snapToGrid/>
        </w:rPr>
        <w:t xml:space="preserve">Статья 13 </w:t>
      </w:r>
      <w:r>
        <w:rPr>
          <w:rFonts w:ascii="Times New Roman" w:hAnsi="Times New Roman"/>
          <w:snapToGrid/>
        </w:rPr>
        <w:tab/>
      </w:r>
      <w:r>
        <w:rPr>
          <w:rFonts w:ascii="Times New Roman" w:hAnsi="Times New Roman"/>
          <w:snapToGrid/>
        </w:rPr>
        <w:tab/>
        <w:t>434 - 460</w:t>
      </w:r>
      <w:r>
        <w:rPr>
          <w:rFonts w:ascii="Times New Roman" w:hAnsi="Times New Roman"/>
          <w:snapToGrid/>
        </w:rPr>
        <w:tab/>
      </w:r>
      <w:r>
        <w:rPr>
          <w:rFonts w:ascii="Times New Roman" w:hAnsi="Times New Roman"/>
          <w:snapToGrid/>
          <w:lang w:val="en-US"/>
        </w:rPr>
        <w:t>89</w:t>
      </w:r>
    </w:p>
    <w:p w:rsidR="00000000" w:rsidRDefault="00000000">
      <w:pPr>
        <w:tabs>
          <w:tab w:val="clear" w:pos="1134"/>
          <w:tab w:val="clear" w:pos="1701"/>
          <w:tab w:val="clear" w:pos="2268"/>
          <w:tab w:val="clear" w:pos="6237"/>
          <w:tab w:val="left" w:pos="0"/>
          <w:tab w:val="right" w:leader="dot" w:pos="7172"/>
          <w:tab w:val="center" w:pos="8039"/>
          <w:tab w:val="center" w:pos="9122"/>
        </w:tabs>
        <w:suppressAutoHyphens/>
        <w:spacing w:line="480" w:lineRule="auto"/>
        <w:rPr>
          <w:lang w:val="en-US"/>
        </w:rPr>
      </w:pPr>
      <w:r>
        <w:t xml:space="preserve">Статья 15 </w:t>
      </w:r>
      <w:r>
        <w:tab/>
      </w:r>
      <w:r>
        <w:tab/>
        <w:t>446 - 477</w:t>
      </w:r>
      <w:r>
        <w:tab/>
      </w:r>
      <w:r>
        <w:rPr>
          <w:lang w:val="en-US"/>
        </w:rPr>
        <w:t>95</w:t>
      </w:r>
    </w:p>
    <w:p w:rsidR="00000000" w:rsidRDefault="00000000">
      <w:pPr>
        <w:tabs>
          <w:tab w:val="clear" w:pos="1134"/>
          <w:tab w:val="clear" w:pos="1701"/>
          <w:tab w:val="clear" w:pos="2268"/>
          <w:tab w:val="clear" w:pos="6237"/>
          <w:tab w:val="right" w:leader="dot" w:pos="7172"/>
          <w:tab w:val="center" w:pos="8039"/>
          <w:tab w:val="center" w:pos="9122"/>
        </w:tabs>
        <w:spacing w:line="480" w:lineRule="auto"/>
        <w:rPr>
          <w:lang w:val="en-US"/>
        </w:rPr>
      </w:pPr>
      <w:r>
        <w:t xml:space="preserve">Список дополнений </w:t>
      </w:r>
      <w:r>
        <w:tab/>
      </w:r>
      <w:r>
        <w:rPr>
          <w:lang w:val="en-US"/>
        </w:rPr>
        <w:tab/>
      </w:r>
      <w:r>
        <w:rPr>
          <w:lang w:val="en-US"/>
        </w:rPr>
        <w:tab/>
        <w:t>99</w:t>
      </w:r>
    </w:p>
    <w:p w:rsidR="00000000" w:rsidRDefault="00000000">
      <w:pPr>
        <w:pStyle w:val="a0"/>
        <w:widowControl/>
        <w:tabs>
          <w:tab w:val="left" w:pos="567"/>
          <w:tab w:val="right" w:leader="dot" w:pos="7172"/>
          <w:tab w:val="center" w:pos="8039"/>
          <w:tab w:val="center" w:pos="9122"/>
        </w:tabs>
        <w:spacing w:line="480" w:lineRule="auto"/>
        <w:rPr>
          <w:rFonts w:ascii="Times New Roman" w:hAnsi="Times New Roman"/>
          <w:snapToGrid/>
          <w:lang w:val="en-US"/>
        </w:rPr>
      </w:pPr>
    </w:p>
    <w:p w:rsidR="00000000" w:rsidRDefault="00000000">
      <w:pPr>
        <w:pStyle w:val="a0"/>
        <w:widowControl/>
        <w:tabs>
          <w:tab w:val="left" w:pos="567"/>
          <w:tab w:val="right" w:leader="dot" w:pos="7172"/>
          <w:tab w:val="center" w:pos="8039"/>
          <w:tab w:val="center" w:pos="9122"/>
        </w:tabs>
        <w:spacing w:line="480" w:lineRule="auto"/>
        <w:rPr>
          <w:rFonts w:ascii="Times New Roman" w:hAnsi="Times New Roman"/>
          <w:snapToGrid/>
          <w:lang w:val="en-US"/>
        </w:rPr>
      </w:pPr>
    </w:p>
    <w:p w:rsidR="00000000" w:rsidRDefault="00000000">
      <w:pPr>
        <w:tabs>
          <w:tab w:val="center" w:pos="4678"/>
        </w:tabs>
        <w:suppressAutoHyphens/>
        <w:jc w:val="center"/>
        <w:rPr>
          <w:u w:val="single"/>
        </w:rPr>
      </w:pPr>
      <w:r>
        <w:rPr>
          <w:lang w:val="en-US"/>
        </w:rPr>
        <w:br w:type="page"/>
      </w:r>
      <w:r>
        <w:rPr>
          <w:u w:val="single"/>
        </w:rPr>
        <w:t>Общие положения</w:t>
      </w:r>
    </w:p>
    <w:p w:rsidR="00000000" w:rsidRDefault="00000000">
      <w:pPr>
        <w:tabs>
          <w:tab w:val="center" w:pos="4678"/>
        </w:tabs>
        <w:suppressAutoHyphens/>
        <w:jc w:val="center"/>
      </w:pPr>
    </w:p>
    <w:p w:rsidR="00000000" w:rsidRDefault="00000000">
      <w:pPr>
        <w:tabs>
          <w:tab w:val="left" w:pos="0"/>
        </w:tabs>
        <w:suppressAutoHyphens/>
      </w:pPr>
      <w:r>
        <w:t>1.</w:t>
      </w:r>
      <w:r>
        <w:tab/>
        <w:t>Четвертый периодический доклад Финляндии, касающийся осуществления Международного пакта об экономических, социальных и культурных правах, охватывает период с июня 1995 по июнь 1999 годов.  Ранее были представлены следующие доклады:</w:t>
      </w:r>
    </w:p>
    <w:p w:rsidR="00000000" w:rsidRDefault="00000000">
      <w:pPr>
        <w:tabs>
          <w:tab w:val="left" w:pos="0"/>
        </w:tabs>
        <w:suppressAutoHyphens/>
      </w:pPr>
    </w:p>
    <w:p w:rsidR="00000000" w:rsidRDefault="00000000">
      <w:pPr>
        <w:tabs>
          <w:tab w:val="left" w:pos="0"/>
          <w:tab w:val="left" w:pos="3969"/>
        </w:tabs>
        <w:suppressAutoHyphens/>
      </w:pPr>
      <w:r>
        <w:tab/>
        <w:t>E/1978/8/Add.14</w:t>
      </w:r>
      <w:r>
        <w:tab/>
      </w:r>
      <w:r>
        <w:tab/>
        <w:t>Первый периодический доклад по статьям 6-9</w:t>
      </w:r>
    </w:p>
    <w:p w:rsidR="00000000" w:rsidRDefault="00000000">
      <w:pPr>
        <w:pStyle w:val="a0"/>
        <w:widowControl/>
        <w:tabs>
          <w:tab w:val="left" w:pos="0"/>
          <w:tab w:val="left" w:pos="567"/>
          <w:tab w:val="left" w:pos="1134"/>
          <w:tab w:val="left" w:pos="1701"/>
          <w:tab w:val="left" w:pos="2268"/>
          <w:tab w:val="left" w:pos="3969"/>
          <w:tab w:val="left" w:pos="6237"/>
        </w:tabs>
        <w:suppressAutoHyphens/>
        <w:spacing w:line="288" w:lineRule="auto"/>
        <w:rPr>
          <w:rFonts w:ascii="Times New Roman" w:hAnsi="Times New Roman"/>
          <w:snapToGrid/>
        </w:rPr>
      </w:pPr>
      <w:r>
        <w:rPr>
          <w:rFonts w:ascii="Times New Roman" w:hAnsi="Times New Roman"/>
          <w:snapToGrid/>
        </w:rPr>
        <w:tab/>
        <w:t>E/1980/6/Add.11</w:t>
      </w:r>
      <w:r>
        <w:rPr>
          <w:rFonts w:ascii="Times New Roman" w:hAnsi="Times New Roman"/>
          <w:snapToGrid/>
        </w:rPr>
        <w:tab/>
      </w:r>
      <w:r>
        <w:rPr>
          <w:rFonts w:ascii="Times New Roman" w:hAnsi="Times New Roman"/>
          <w:snapToGrid/>
        </w:rPr>
        <w:tab/>
        <w:t>Первый периодический доклад по статьям 10-12</w:t>
      </w:r>
    </w:p>
    <w:p w:rsidR="00000000" w:rsidRDefault="00000000">
      <w:pPr>
        <w:pStyle w:val="a0"/>
        <w:widowControl/>
        <w:tabs>
          <w:tab w:val="left" w:pos="0"/>
          <w:tab w:val="left" w:pos="567"/>
          <w:tab w:val="left" w:pos="1134"/>
          <w:tab w:val="left" w:pos="1701"/>
          <w:tab w:val="left" w:pos="2268"/>
          <w:tab w:val="left" w:pos="3969"/>
          <w:tab w:val="left" w:pos="6237"/>
        </w:tabs>
        <w:suppressAutoHyphens/>
        <w:spacing w:line="288" w:lineRule="auto"/>
        <w:rPr>
          <w:rFonts w:ascii="Times New Roman" w:hAnsi="Times New Roman"/>
          <w:snapToGrid/>
        </w:rPr>
      </w:pPr>
      <w:r>
        <w:rPr>
          <w:rFonts w:ascii="Times New Roman" w:hAnsi="Times New Roman"/>
          <w:snapToGrid/>
        </w:rPr>
        <w:tab/>
        <w:t>E/1984/3/Add.28</w:t>
      </w:r>
      <w:r>
        <w:rPr>
          <w:rFonts w:ascii="Times New Roman" w:hAnsi="Times New Roman"/>
          <w:snapToGrid/>
        </w:rPr>
        <w:tab/>
      </w:r>
      <w:r>
        <w:rPr>
          <w:rFonts w:ascii="Times New Roman" w:hAnsi="Times New Roman"/>
          <w:snapToGrid/>
        </w:rPr>
        <w:tab/>
        <w:t>Первый периодический доклад по статьям 13-15</w:t>
      </w:r>
    </w:p>
    <w:p w:rsidR="00000000" w:rsidRDefault="00000000">
      <w:pPr>
        <w:tabs>
          <w:tab w:val="left" w:pos="0"/>
          <w:tab w:val="left" w:pos="3969"/>
        </w:tabs>
        <w:suppressAutoHyphens/>
      </w:pPr>
      <w:r>
        <w:tab/>
        <w:t>E/1984/7/Add.14</w:t>
      </w:r>
      <w:r>
        <w:tab/>
      </w:r>
      <w:r>
        <w:tab/>
        <w:t>Второй периодический доклад по статьям 6-9</w:t>
      </w:r>
    </w:p>
    <w:p w:rsidR="00000000" w:rsidRDefault="00000000">
      <w:pPr>
        <w:tabs>
          <w:tab w:val="left" w:pos="0"/>
          <w:tab w:val="left" w:pos="3969"/>
        </w:tabs>
        <w:suppressAutoHyphens/>
      </w:pPr>
      <w:r>
        <w:tab/>
        <w:t>E/1986/4/Add.4</w:t>
      </w:r>
      <w:r>
        <w:tab/>
      </w:r>
      <w:r>
        <w:tab/>
        <w:t>Второй периодический доклад по статьям 10-12</w:t>
      </w:r>
    </w:p>
    <w:p w:rsidR="00000000" w:rsidRDefault="00000000">
      <w:pPr>
        <w:pStyle w:val="a0"/>
        <w:widowControl/>
        <w:tabs>
          <w:tab w:val="left" w:pos="0"/>
          <w:tab w:val="left" w:pos="567"/>
          <w:tab w:val="left" w:pos="1134"/>
          <w:tab w:val="left" w:pos="1701"/>
          <w:tab w:val="left" w:pos="2268"/>
          <w:tab w:val="left" w:pos="3969"/>
          <w:tab w:val="left" w:pos="6237"/>
        </w:tabs>
        <w:suppressAutoHyphens/>
        <w:spacing w:line="288" w:lineRule="auto"/>
        <w:rPr>
          <w:rFonts w:ascii="Times New Roman" w:hAnsi="Times New Roman"/>
          <w:snapToGrid/>
        </w:rPr>
      </w:pPr>
      <w:r>
        <w:rPr>
          <w:rFonts w:ascii="Times New Roman" w:hAnsi="Times New Roman"/>
          <w:snapToGrid/>
        </w:rPr>
        <w:tab/>
        <w:t>E/1990/7/Add.1</w:t>
      </w:r>
      <w:r>
        <w:rPr>
          <w:rFonts w:ascii="Times New Roman" w:hAnsi="Times New Roman"/>
          <w:snapToGrid/>
        </w:rPr>
        <w:tab/>
      </w:r>
      <w:r>
        <w:rPr>
          <w:rFonts w:ascii="Times New Roman" w:hAnsi="Times New Roman"/>
          <w:snapToGrid/>
        </w:rPr>
        <w:tab/>
        <w:t>Второй периодический доклад по статьям 13-15</w:t>
      </w:r>
    </w:p>
    <w:p w:rsidR="00000000" w:rsidRDefault="00000000">
      <w:pPr>
        <w:tabs>
          <w:tab w:val="left" w:pos="0"/>
          <w:tab w:val="left" w:pos="3969"/>
        </w:tabs>
        <w:suppressAutoHyphens/>
      </w:pPr>
      <w:r>
        <w:tab/>
        <w:t>E/1994/104/Add.7</w:t>
      </w:r>
      <w:r>
        <w:tab/>
        <w:t>Третий периодический доклад по статьям 1-15</w:t>
      </w:r>
    </w:p>
    <w:p w:rsidR="00000000" w:rsidRDefault="00000000">
      <w:pPr>
        <w:pStyle w:val="a0"/>
        <w:widowControl/>
        <w:tabs>
          <w:tab w:val="left" w:pos="0"/>
          <w:tab w:val="left" w:pos="480"/>
          <w:tab w:val="left" w:pos="567"/>
          <w:tab w:val="left" w:pos="1080"/>
          <w:tab w:val="left" w:pos="1134"/>
          <w:tab w:val="left" w:pos="1701"/>
          <w:tab w:val="left" w:pos="2268"/>
          <w:tab w:val="left" w:pos="3960"/>
          <w:tab w:val="left" w:pos="6237"/>
        </w:tabs>
        <w:suppressAutoHyphens/>
        <w:spacing w:line="288" w:lineRule="auto"/>
        <w:rPr>
          <w:rFonts w:ascii="Times New Roman" w:hAnsi="Times New Roman"/>
          <w:snapToGrid/>
        </w:rPr>
      </w:pPr>
    </w:p>
    <w:p w:rsidR="00000000" w:rsidRDefault="00000000">
      <w:pPr>
        <w:tabs>
          <w:tab w:val="left" w:pos="0"/>
        </w:tabs>
        <w:suppressAutoHyphens/>
      </w:pPr>
      <w:r>
        <w:t>2.</w:t>
      </w:r>
      <w:r>
        <w:tab/>
        <w:t>Важной законодательной реформой, которая была проведена в Финляндии за отчетный период, явилась реформа, касающаяся основополагающих прав, содержание положений которой, связанное, среди прочего, с основными экономическими, социальными и культурными правами, было включено в Конституцию Финляндии.  Реформа, которая обсуждалась в парламенте в период, когда Финляндия представила свой третий периодический доклад Комитету по правам человека, была более подробно изложена в вышеуказанном докладе.  Она также освещалась в ответах на дополнительные вопросы, поднятые Комитетом по экономическим, социальным и культурным правам, до рассмотрения доклада, состоявшегося 25 и 26 ноября 1996 года.  В июне 1999 года эти положения, касающиеся основополагающих прав, были почти единогласно включены в Конституцию Финляндии;  они вступят в силу 1 марта 2000 года.  Положения Закона о Конституции Финляндии и положения, касающиеся основополагающих прав и содержащиеся в Конституции Финляндии, а также положения, касающиеся общей дискриминации и дискриминации в области труда, которые включены в Уголовный кодекс (пункт 9 статьи 11 и пункт 3 статьи 47 Уголовного кодекса, 578/1995), приводятся в дополнениях к настоящему докладу в форме текстов закона (дополнения 1, 2 и 3).</w:t>
      </w:r>
    </w:p>
    <w:p w:rsidR="00000000" w:rsidRDefault="00000000">
      <w:pPr>
        <w:tabs>
          <w:tab w:val="left" w:pos="0"/>
        </w:tabs>
        <w:suppressAutoHyphens/>
      </w:pPr>
    </w:p>
    <w:p w:rsidR="00000000" w:rsidRDefault="00000000">
      <w:pPr>
        <w:tabs>
          <w:tab w:val="left" w:pos="0"/>
        </w:tabs>
        <w:suppressAutoHyphens/>
      </w:pPr>
      <w:r>
        <w:t>3.</w:t>
      </w:r>
      <w:r>
        <w:tab/>
        <w:t>За отчетный период вступили в силу следующие международные соглашения:</w:t>
      </w:r>
    </w:p>
    <w:p w:rsidR="00000000" w:rsidRDefault="00000000">
      <w:pPr>
        <w:tabs>
          <w:tab w:val="left" w:pos="0"/>
        </w:tabs>
        <w:suppressAutoHyphens/>
        <w:ind w:left="480" w:hanging="480"/>
      </w:pPr>
    </w:p>
    <w:p w:rsidR="00000000" w:rsidRDefault="00000000">
      <w:pPr>
        <w:pStyle w:val="BodyTextIndent"/>
      </w:pPr>
      <w:r>
        <w:tab/>
        <w:t xml:space="preserve">Европейская рамочная конвенция о защите национальных меньшинств (Treaty Series 2/1998), Европейская хартия региональных языков и языков меньшинств (Treaty Series 23/1998), Конвенция Северных стран о социальной помощи и социальных службах (Treaty Series 69/1996), Гаагская конвенция о защите детей и сотрудничестве в вопросах межгосударственного усыновления (Treaty Series 29/1997) </w:t>
      </w:r>
    </w:p>
    <w:p w:rsidR="00000000" w:rsidRDefault="00000000">
      <w:pPr>
        <w:pStyle w:val="BodyTextIndent"/>
        <w:ind w:left="567"/>
      </w:pPr>
      <w:r>
        <w:br w:type="page"/>
      </w:r>
      <w:r>
        <w:tab/>
        <w:t>и второй Дополнительный протокол к Европейской социальной хартии, предусматривающий систему предоставления коллективных жалоб (</w:t>
      </w:r>
      <w:proofErr w:type="spellStart"/>
      <w:r>
        <w:t>Treaty</w:t>
      </w:r>
      <w:proofErr w:type="spellEnd"/>
      <w:r>
        <w:t> </w:t>
      </w:r>
      <w:proofErr w:type="spellStart"/>
      <w:r>
        <w:t>Series</w:t>
      </w:r>
      <w:proofErr w:type="spellEnd"/>
      <w:r>
        <w:t> 76/1998).</w:t>
      </w:r>
    </w:p>
    <w:p w:rsidR="00000000" w:rsidRDefault="00000000">
      <w:pPr>
        <w:tabs>
          <w:tab w:val="left" w:pos="0"/>
          <w:tab w:val="left" w:pos="480"/>
          <w:tab w:val="left" w:pos="1080"/>
          <w:tab w:val="left" w:pos="3960"/>
        </w:tabs>
        <w:suppressAutoHyphens/>
        <w:ind w:left="480" w:hanging="480"/>
      </w:pPr>
    </w:p>
    <w:p w:rsidR="00000000" w:rsidRDefault="00000000">
      <w:pPr>
        <w:tabs>
          <w:tab w:val="left" w:pos="0"/>
          <w:tab w:val="left" w:pos="480"/>
          <w:tab w:val="left" w:pos="1080"/>
          <w:tab w:val="left" w:pos="3960"/>
        </w:tabs>
        <w:suppressAutoHyphens/>
      </w:pPr>
      <w:r>
        <w:rPr>
          <w:u w:val="single"/>
        </w:rPr>
        <w:t>Предложения и рекомендации Комитета (E/C.12/Add.8;  5 декабря 1996 года</w:t>
      </w:r>
      <w:r>
        <w:t>)</w:t>
      </w:r>
    </w:p>
    <w:p w:rsidR="00000000" w:rsidRDefault="00000000">
      <w:pPr>
        <w:tabs>
          <w:tab w:val="left" w:pos="0"/>
          <w:tab w:val="left" w:pos="480"/>
          <w:tab w:val="left" w:pos="1080"/>
          <w:tab w:val="left" w:pos="3960"/>
        </w:tabs>
        <w:suppressAutoHyphens/>
      </w:pPr>
    </w:p>
    <w:p w:rsidR="00000000" w:rsidRDefault="00000000">
      <w:pPr>
        <w:tabs>
          <w:tab w:val="left" w:pos="0"/>
          <w:tab w:val="left" w:pos="480"/>
          <w:tab w:val="left" w:pos="1080"/>
          <w:tab w:val="left" w:pos="3960"/>
        </w:tabs>
        <w:suppressAutoHyphens/>
      </w:pPr>
      <w:r>
        <w:t>4.</w:t>
      </w:r>
      <w:r>
        <w:tab/>
        <w:t>В дополнение к приводимой ниже информации по соответствующим статьям в связи с рекомендациями Комитета можно отметить следующее:</w:t>
      </w:r>
    </w:p>
    <w:p w:rsidR="00000000" w:rsidRDefault="00000000">
      <w:pPr>
        <w:tabs>
          <w:tab w:val="left" w:pos="0"/>
          <w:tab w:val="left" w:pos="480"/>
          <w:tab w:val="left" w:pos="1080"/>
          <w:tab w:val="left" w:pos="3960"/>
        </w:tabs>
        <w:suppressAutoHyphens/>
      </w:pPr>
    </w:p>
    <w:p w:rsidR="00000000" w:rsidRDefault="00000000">
      <w:r>
        <w:t>5.</w:t>
      </w:r>
      <w:r>
        <w:tab/>
        <w:t>(D 10;  E 18)  Вопросы прав человека являются одной из тем учебных курсов дополнительной подготовки судей.  К числу специальных тем, обсуждаемых в ходе этих курсов, относятся, например, экономические, социальные и культурные права и вопросы отправления правосудия.  В 1995 году в законодательство Финляндии включен отдельный раздел, касающийся основополагающих прав и прав человека, который включает в себя тексты основных соглашений по правам человека.  До этого международные соглашения, являющиеся обязательными для Финляндии, публиковались только в отдельной серии договоров в своде законов.  Эти изменения расширили возможности гражданских служащих и юристов с точки зрения учета в их работе соглашений в области прав человека, которые являются частью действующего в Финляндии законодательства, и, кроме того, позволили ознакомиться с ними более широкому кругу непрофессионалов.  В связи с реформой в области основополагающих прав были приняты положения, касающиеся задач парламентского омбудсмена и министра юстиции с особым акцентом на их ответственность за обеспечение соблюдения основополагающих прав и положений, касающихся прав человека.  Эти два верховных блюстителя законности и правопорядка ежегодно представляют парламенту доклад, отдельный раздел в котором посвящен вопросам осуществления на практике основополагающих прав человека.</w:t>
      </w:r>
    </w:p>
    <w:p w:rsidR="00000000" w:rsidRDefault="00000000"/>
    <w:p w:rsidR="00000000" w:rsidRDefault="00000000">
      <w:r>
        <w:t>6.</w:t>
      </w:r>
      <w:r>
        <w:tab/>
        <w:t>(D 11;  E 19) Так называемые уравнительные пособия и пособия для малодоходных лиц, предусмотренные соглашениями в области политики регулирования доходов на 1996 и 1998 годы, имели целью сократить разницу в оплате труда между мужчинами и женщинами.  Министерство труда приняло участие в разработке и осуществлении мер по выполнению Плана действий правительства в области обеспечения равноправия, принятого в феврале 1997 года.</w:t>
      </w:r>
    </w:p>
    <w:p w:rsidR="00000000" w:rsidRDefault="00000000"/>
    <w:p w:rsidR="00000000" w:rsidRDefault="00000000">
      <w:r>
        <w:t>7.</w:t>
      </w:r>
      <w:r>
        <w:tab/>
        <w:t xml:space="preserve">Министерство труда взяло на себя обязательство принимать меры в развитие принципа надлежащего учета гендерного фактора в подведомственной ему сфере управления, в частности в своей кадровой политике.  Так, например, гендерный фактор учитывается в процессе разработки трудового законодательства, профессиональной </w:t>
      </w:r>
    </w:p>
    <w:p w:rsidR="00000000" w:rsidRDefault="00000000">
      <w:r>
        <w:br w:type="page"/>
        <w:t>ориентации и в рамках проектов, относящихся к структурным фондам Европейского союза (ЕС).  Совместно с другими административными ведомствами осуществляется поддержка предпринимательства среди женщин.</w:t>
      </w:r>
    </w:p>
    <w:p w:rsidR="00000000" w:rsidRDefault="00000000"/>
    <w:p w:rsidR="00000000" w:rsidRDefault="00000000">
      <w:r>
        <w:t>8.</w:t>
      </w:r>
      <w:r>
        <w:tab/>
        <w:t>(D 12;  E 21)  Как указано в разделе по статье 6 ниже, экономический рост в период после спада привел к постепенному снижению уровня безработицы.  Одна из основных целей политики в области труда в 90</w:t>
      </w:r>
      <w:r>
        <w:noBreakHyphen/>
        <w:t>х годах заключалась в уменьшении безработицы среди молодежи.  Что касается иммигрантской части населения, то одна из целей принятой в 1997 году Программы в области политики иммиграции и предоставления убежища предусматривает организацию для иммигрантов курсов профессиональной ориентации.</w:t>
      </w:r>
    </w:p>
    <w:p w:rsidR="00000000" w:rsidRDefault="00000000"/>
    <w:p w:rsidR="00000000" w:rsidRDefault="00000000">
      <w:r>
        <w:t>9.</w:t>
      </w:r>
      <w:r>
        <w:tab/>
        <w:t>Улучшение положения в области занятости позволяет сократить различие в уровне оплаты труда.  С другой стороны, изменения в системе пособий по социальной помощи могли ухудшить положение домашних хозяйств, зависящих от таких пособий.  В 1998 году был расширен диапазон дохода, позволяющий претендовать на получение жилищного пособия.  В то же время в результате корректировок размера пособия на жизнь ухудшилось экономическое положение домашних хозяйств, вынужденных пользоваться такой помощью.  Однако конечный эффект этих изменений обусловлен будущим положением на рынке труда лиц, получающих это пособие.</w:t>
      </w:r>
    </w:p>
    <w:p w:rsidR="00000000" w:rsidRDefault="00000000"/>
    <w:p w:rsidR="00000000" w:rsidRDefault="00000000">
      <w:r>
        <w:t>10.</w:t>
      </w:r>
      <w:r>
        <w:tab/>
        <w:t>В первой половине 90</w:t>
      </w:r>
      <w:r>
        <w:noBreakHyphen/>
        <w:t>х годов наблюдался рост числа домашних хозяйств, зависящих от социальной помощи.  Это особенно касалось молодежи и молодых родителей, имеющих маленьких детей.  В середине 90</w:t>
      </w:r>
      <w:r>
        <w:noBreakHyphen/>
        <w:t>х годов размер среднего дохода населения в трудоспособном возрасте возрос до уровня, достигнутого в период до спада.  В структуре распределения дохода относительная бедность означает ситуацию, когда размер дохода домашних хозяйств составляет менее половины усредненного дохода всех домашних хозяйств.  Исходя из таких расчетов, относительная бедность в начале 90</w:t>
      </w:r>
      <w:r>
        <w:noBreakHyphen/>
        <w:t>х годов в Финляндии не выросла, несмотря на повышение уровня безработицы.  Однако во второй половине 90</w:t>
      </w:r>
      <w:r>
        <w:noBreakHyphen/>
        <w:t>х годов доля населения, оказавшегося за порогом относительной бедности, возросла.  Позитивная динамика доходов работающего населения на фоне улучшения положения в области занятости привела к росту размера среднего дохода домашних хозяйств и, одновременно с этим, повысила порог, за которым, как принято считать, начинается относительная бедность.  Был сокращен размер или упразднена индексация многих видов пособий, играющих важную роль для малоимущих групп населения.  В 1996 году около 2,9% домашних хозяйств Финляндии оставались за чертой относительной бедности.</w:t>
      </w:r>
    </w:p>
    <w:p w:rsidR="00000000" w:rsidRDefault="00000000"/>
    <w:p w:rsidR="00000000" w:rsidRDefault="00000000">
      <w:r>
        <w:t>11.</w:t>
      </w:r>
      <w:r>
        <w:tab/>
        <w:t>Одной из групп, сталкивающихся с проблемами низкого дохода, являются хозяйства, имеющие чрезмерную задолженность.  В результате массовой безработицы, трудностей в сфере предпринимательства, колебаний на рынке жилья и роста процентных ставок многие домашние хозяйства, имеющие значительную задолженность, оказались в сложной ситуации.  Различные статистические данные о платежеспособности домашних хозяйств свидетельствуют о благоприятной динамике в этой области.  В течение 1996 года количество случаев, представленных для рассмотрения в рамках процедуры урегулирования долговых обязательств, также начало сокращаться даже еще до внесения поправок в Закон об урегулировании долговых обязательств.  Сопоставление размера задолженности и поступлений домашних хозяйств наглядно показывает, что острота данной проблемы снижается.</w:t>
      </w:r>
    </w:p>
    <w:p w:rsidR="00000000" w:rsidRDefault="00000000"/>
    <w:p w:rsidR="00000000" w:rsidRDefault="00000000">
      <w:r>
        <w:t>12.</w:t>
      </w:r>
      <w:r>
        <w:tab/>
        <w:t>В первой половине 90</w:t>
      </w:r>
      <w:r>
        <w:noBreakHyphen/>
        <w:t>х годов количество домохозяйств, получающих социальную помощь для наименее имущих, почти удвоилось, однако в 1997 году этот показатель не вырос и даже начал сокращаться.  Критерии предоставления социальной помощи для наименее имущих групп изложены ниже в разделе по статье 11, в части 2 .</w:t>
      </w:r>
    </w:p>
    <w:p w:rsidR="00000000" w:rsidRDefault="00000000"/>
    <w:p w:rsidR="00000000" w:rsidRDefault="00000000">
      <w:r>
        <w:t>13.</w:t>
      </w:r>
      <w:r>
        <w:tab/>
        <w:t>Национальная программа для пожилых работников, имеющая целью помочь им остаться на рынке труда и улучшить перспективы трудоустройства, обсуждается в разделе по статье 6 в части 2</w:t>
      </w:r>
      <w:r>
        <w:rPr>
          <w:lang w:val="en-US"/>
        </w:rPr>
        <w:t>b</w:t>
      </w:r>
      <w:r>
        <w:t>.</w:t>
      </w:r>
    </w:p>
    <w:p w:rsidR="00000000" w:rsidRDefault="00000000"/>
    <w:p w:rsidR="00000000" w:rsidRDefault="00000000">
      <w:r>
        <w:t>14.</w:t>
      </w:r>
      <w:r>
        <w:tab/>
        <w:t>(D 13;  E 20)  Трехсторонний комитет, созданный в соответствии с Законом о трудовых соглашениях, работает над подготовкой предложения по кардинальному пересмотру Закона о трудовых соглашениях.</w:t>
      </w:r>
    </w:p>
    <w:p w:rsidR="00000000" w:rsidRDefault="00000000"/>
    <w:p w:rsidR="00000000" w:rsidRDefault="00000000">
      <w:r>
        <w:t>15.</w:t>
      </w:r>
      <w:r>
        <w:tab/>
        <w:t>(E 23)  С января 1999 года действует Закон о внесении поправок в Уголовный кодекс (563/1998).  Поправки касаются, в частности, правонарушений на сексуальной почве, относящихся к детской порнографии и развратным действиям в отношении детей (Уголовный кодекс, глава 17, статьи 18, 19 и 20, и глава 20).  Более подробно содержание поправок изложено во втором периодическом докладе по правам ребенка, представленном в июле 1998 года.</w:t>
      </w:r>
    </w:p>
    <w:p w:rsidR="00000000" w:rsidRDefault="00000000"/>
    <w:p w:rsidR="00000000" w:rsidRDefault="00000000">
      <w:r>
        <w:t>16.</w:t>
      </w:r>
      <w:r>
        <w:tab/>
        <w:t>(E 24)  Осенью 1999 года учреждения системы профобразования начнут подробную регистрацию и сбор статистических данных о зачисленных студентах, что позволит получить полезную информацию для оценки причин отсева учащихся.  По статистике, практически все финны школьного возраста заканчивают общеобразовательную школу.  В 1998 году менее 1% учащихся, закончивших общеобразовательную школу (около 100 человек), не смогли сдать выпускные экзамены.  Маргинализацию можно предупредить посредством эффективной консультативной работы среди учащихся.</w:t>
      </w:r>
    </w:p>
    <w:p w:rsidR="00000000" w:rsidRDefault="00000000"/>
    <w:p w:rsidR="00000000" w:rsidRDefault="00000000">
      <w:r>
        <w:t>17.</w:t>
      </w:r>
      <w:r>
        <w:tab/>
        <w:t xml:space="preserve">На общенациональном уровне было проведено всего лишь несколько исследований причин, по которым учащиеся не могут завершить обучение в школе или другом учебном заведении.  В исследованиях, посвященных проблеме предупреждения маргинализации, Национальный совет по вопросам образования проанализировал причины отсева учащихся в профессионально-технических учебных заведениях и изучил меры по снижению такого отсева.  В 1996 и 1998 годах Национальный совет по вопросам образования пришел к выводу о том, что наиболее распространенными причинами отсева являются неправильный выбор профиля образования (16,1% </w:t>
      </w:r>
      <w:r>
        <w:noBreakHyphen/>
        <w:t xml:space="preserve"> 54,5%), низкая успеваемость (0% </w:t>
      </w:r>
      <w:r>
        <w:noBreakHyphen/>
        <w:t xml:space="preserve"> 42,6%) и личные причины (0% </w:t>
      </w:r>
      <w:r>
        <w:noBreakHyphen/>
        <w:t xml:space="preserve"> 31,2%), что в основном соответствовало прочим причинам (0% </w:t>
      </w:r>
      <w:r>
        <w:noBreakHyphen/>
        <w:t xml:space="preserve"> 35,5%).  Данное исследование было проведено на базе 12 учебных заведений в южной части Финляндии, ввиду чего полученные результаты не являются репрезентативными для всей страны.  Национальный совет по вопросам образования совместно со школами и муниципальными органами осуществил ряд проектов, направленных на сокращение процента отсева.</w:t>
      </w:r>
    </w:p>
    <w:p w:rsidR="00000000" w:rsidRDefault="00000000"/>
    <w:p w:rsidR="00000000" w:rsidRDefault="00000000">
      <w:r>
        <w:t>18.</w:t>
      </w:r>
      <w:r>
        <w:tab/>
        <w:t>Министерство просвещения приступило к реализации проекта под названием "Инновационные формы обучения в профессионально-технических учебных заведениях, который субсидируется из Социального фонда ЕС.  Этот проект направлен на предупреждение продолжающейся маргинализации и поощрение учащихся к завершению их обучения и получению базовой профессиональной квалификации.  Министерство просвещения ведет работу по выявлению путей более эффективного снижения уровня отсева студентов из профессионально-технических учебных заведений.</w:t>
      </w:r>
    </w:p>
    <w:p w:rsidR="00000000" w:rsidRDefault="00000000"/>
    <w:p w:rsidR="00000000" w:rsidRDefault="00000000">
      <w:pPr>
        <w:pStyle w:val="Heading7"/>
        <w:spacing w:line="288" w:lineRule="auto"/>
      </w:pPr>
      <w:r>
        <w:t>Статья 1</w:t>
      </w:r>
    </w:p>
    <w:p w:rsidR="00000000" w:rsidRDefault="00000000">
      <w:pPr>
        <w:pStyle w:val="Heading7"/>
        <w:spacing w:line="288" w:lineRule="auto"/>
      </w:pPr>
    </w:p>
    <w:p w:rsidR="00000000" w:rsidRDefault="00000000">
      <w:r>
        <w:t>19.</w:t>
      </w:r>
      <w:r>
        <w:tab/>
        <w:t xml:space="preserve">Информация о статусе самоуправляющейся провинции Аландские острова в поправках к Закону об автономии Аландских островов (1144/1991) была изложена в третьем периодическом докладе.  Историческая обусловленность самоуправления Аландских островов вытекает из необходимости сохранения культурных и других местных традиций </w:t>
      </w:r>
      <w:proofErr w:type="spellStart"/>
      <w:r>
        <w:t>шведскоговорящего</w:t>
      </w:r>
      <w:proofErr w:type="spellEnd"/>
      <w:r>
        <w:t xml:space="preserve"> населения данной провинции.</w:t>
      </w:r>
    </w:p>
    <w:p w:rsidR="00000000" w:rsidRDefault="00000000"/>
    <w:p w:rsidR="00000000" w:rsidRDefault="00000000">
      <w:r>
        <w:t>20.</w:t>
      </w:r>
      <w:r>
        <w:tab/>
        <w:t xml:space="preserve">Самоуправляющийся статус Аландских островов был, в частности, принят во внимание при вступлении Финляндии в Европейский союз в 1995 году.  В Договор об учреждении Европейского сообщества было внесено положение о том, что соглашения Сообщества не будут распространяться на Аландские острова, за исключением случаев, особо оговоренных Финляндией при ратификации.  После надлежащего рассмотрения данного вопроса на Аландских островах президент Республики издал на этот счет </w:t>
      </w:r>
    </w:p>
    <w:p w:rsidR="00000000" w:rsidRDefault="00000000">
      <w:r>
        <w:br w:type="page"/>
        <w:t>соответствующее постановление.  Положения Сообщества распространяются на Аландские острова в соответствии с протоколом 2 к документу о присоединении.  Отступления относятся к гражданству провинции и касаются, в частности, ограничений на приобретение и владение недвижимостью и некоторых форм косвенного налогообложения.</w:t>
      </w:r>
    </w:p>
    <w:p w:rsidR="00000000" w:rsidRDefault="00000000"/>
    <w:p w:rsidR="00000000" w:rsidRDefault="00000000">
      <w:r>
        <w:t>21.</w:t>
      </w:r>
      <w:r>
        <w:tab/>
        <w:t>Саами являются единственной коренной народностью в Финляндии.  Большинство из них живут в районах крайнего севера, при этом их особый статус как группы меньшинства четко закреплен в законодательстве.</w:t>
      </w:r>
    </w:p>
    <w:p w:rsidR="00000000" w:rsidRDefault="00000000"/>
    <w:p w:rsidR="00000000" w:rsidRDefault="00000000">
      <w:r>
        <w:t>22.</w:t>
      </w:r>
      <w:r>
        <w:tab/>
        <w:t xml:space="preserve">В русле реформы основополагающих прав в Закон о Конституции Финляндии  (пункт 3 статьи 14) было внесено положение, согласно которому саами как коренная народность пользуются правом на сохранение и развитие своего языка и культуры.  Аналогичным образом Конституция Финляндии гарантирует народу саами право пользования своим языком для официальных целей в установленном законом порядке. В связи с ратификацией Европейской Хартии о региональных языках и языках меньшинств Финляндия закрепила особый статус языка саами, как одного из языков, подлежащих охране и дальнейшему развитию на основе соглашения.  Кроме того, на базе внесенного правительством предложения об учреждении администрации саами, упомянутого в предыдущем докладе, в Конституцию Финляндии была внесена поправка.  Согласно статье 51а  Закона о Конституции Финляндии (973/1995), коренной народности  саами гарантируется право на самоуправление в вопросах их языка и культуры на территориях, традиционно занимаемых саами, в установленном законодательством порядке.  Эти конституционные положения были впоследствии включены в Конституцию Финляндии.  Более подробно положения о культурной автономии изложены в Законе о саами </w:t>
      </w:r>
      <w:proofErr w:type="spellStart"/>
      <w:r>
        <w:t>тинге</w:t>
      </w:r>
      <w:proofErr w:type="spellEnd"/>
      <w:r>
        <w:t xml:space="preserve"> (974/1995).  Учрежденный на основе законодательства саами тинг заменил саамский парламент, который до этого являлся выборным репрезентативным органом народа саами.  Кроме того, в законодательном порядке было установлено, что власти обязаны вести переговоры с саами тингом о всех масштабных и значительных мерах, планируемых к осуществлению в местах проживания саами и относящихся к перечисленным в законе вопросам, которые могут прямо или каким</w:t>
      </w:r>
      <w:r>
        <w:noBreakHyphen/>
        <w:t>либо косвенным образом отразиться на статусе саами как коренной народности.  Ежегодно правительство выделяет целевую субсидию на содействие развитию культуры саами и деятельность организаций саами.  Исходя из культурной автономии народа саами, эта субсидия перечисляется в распоряжение саами тинга.</w:t>
      </w:r>
    </w:p>
    <w:p w:rsidR="00000000" w:rsidRDefault="00000000"/>
    <w:p w:rsidR="00000000" w:rsidRDefault="00000000">
      <w:r>
        <w:br w:type="page"/>
        <w:t>23.</w:t>
      </w:r>
      <w:r>
        <w:tab/>
        <w:t>Определение саами, содержащееся в Законе о саами тинге и используемое для определения лиц, правомочных голосовать на выборах нового саами тинга, было расширено в ходе парламентского обсуждения этого закона.  Правительство намеревалось расширить сферу охвата определения народности саами, с тем чтобы охватить не только лиц, считающихся саами по языковому признаку, но и лиц, имеющих одного родителя или предка, чье имя и социальный статус, определявший его принадлежность к горным, лесным или ведущим рыбный промысел лопарям, было внесено в земельный реестр, налоговые книги или реестр населения после 1876 года.  Однако вышеуказанный временной предел был аннулирован в парламенте, что позволяет включать в список избирателей на выборах в саами тинг лиц, имеющих еще более дальних предков саами.  Саами тинг счел отмену этого временного ограничения необоснованной и призвал к восстановлению предыдущего определения саами по языковому признаку.  Министерство юстиции подготовило в этой связи законодательный проект, однако в августе 1998 года оно приняло решение о его приостановлении, поскольку после переговоров с саами, с одной стороны, и представителями других проживающих в этом регионе народов – с другой, стало очевидным, что стороны не могут прийти к удовлетворительному соглашению о направлении и содержании реформы.  На решение о ликвидации этого проекта также повлиял тот факт, что выборы в саами тинг впервые проводились на основе положений Закона о саами тинге, и поэтому еще не было накоплено какого</w:t>
      </w:r>
      <w:r>
        <w:noBreakHyphen/>
        <w:t>либо практического опыта их проведения.</w:t>
      </w:r>
    </w:p>
    <w:p w:rsidR="00000000" w:rsidRDefault="00000000"/>
    <w:p w:rsidR="00000000" w:rsidRDefault="00000000">
      <w:r>
        <w:t>24.</w:t>
      </w:r>
      <w:r>
        <w:tab/>
        <w:t>Даже после этого саами тинг в своем мнении от 7 октября 1998 года обратился с просьбой о восстановлении предыдущего определения народности саами по лингвистическому признаку.  Комиссия по борьбе с расизмом, ксенофобией, антисемитизмом и нетерпимостью в своем мнении от 11 сентября 1998 года также отметила, что необходимо в срочном порядке решить вопрос об определении саами по лингвистическому признаку.  В этой связи министерство юстиции осуществляет контроль за процессом подготовки и проведения выборов в саами тинг и намерено вновь рассмотреть целесообразность принятия мер по внесению изменений в законодательство по этому вопросу.</w:t>
      </w:r>
    </w:p>
    <w:p w:rsidR="00000000" w:rsidRDefault="00000000"/>
    <w:p w:rsidR="00000000" w:rsidRDefault="00000000">
      <w:r>
        <w:t>25.</w:t>
      </w:r>
      <w:r>
        <w:tab/>
        <w:t xml:space="preserve">Финляндия пока еще не смогла ратифицировать Конвенцию МОТ  № 169 о коренных народах, что было рекомендовано даже Комитетом ООН по ликвидации расовой дискриминации в его заявлении от 14 марта 1996 года.  Причина этой задержки заключается в том, что финское законодательство, регулирующее права земельной собственности, рассматривается как не соответствующее положениям Конвенции.  Комитет ООН по ликвидации расовой дискриминации повторно выразил свою обеспокоенность по данному вопросу 16 марта 1999 года, а Комитет ООН по правам </w:t>
      </w:r>
    </w:p>
    <w:p w:rsidR="00000000" w:rsidRDefault="00000000">
      <w:r>
        <w:br w:type="page"/>
        <w:t>человека также отметил 8 апреля 1998 года, что данная проблема еще не урегулирована.  Парламентский комитет по конституционному праву, которому весной 1996 года была представлена оценка, подготовленная министерством юстиции и министерством труда, еще не высказался по данному вопросу.  В своем ответе на письмо, направленное саами тингом, заместитель министра юстиции 10 декабря 1998 года предложил министерству юстиции рассмотреть возможность принятия на данном этапе соответствующих и адекватных мер в целях начала работы по уточнению земельных прав саами.</w:t>
      </w:r>
    </w:p>
    <w:p w:rsidR="00000000" w:rsidRDefault="00000000"/>
    <w:p w:rsidR="00000000" w:rsidRDefault="00000000">
      <w:r>
        <w:t>26.</w:t>
      </w:r>
      <w:r>
        <w:tab/>
        <w:t>После консультаций с представителями различных министерств и саами тинга министерство юстиции на основании статьи 9 Закона о саами тинге назначило докладчика для уточнения к 30 сентября 1999 года возможностей использования в районах компактного проживания саами земель, имеющих статус государственной территории.  Такому разъяснению придается исключительно важное значение с учетом того, что в течение ряда лет высказываются весьма полярные мнения по вопросу о правах в отношении земельных угодий, водных и природных ресурсов, а также традиционных для саами источников жизни в районах их компактного проживания.  Докладчику предстоит выяснить, в частности, следующие вопросы:  i)  каким образом в районах, традиционно занимаемых саами, можно гарантировать права народности саами на пользование естественными источниками существования, составляющими часть их культуры,  ii)  каким образом одновременно с этим возможно обеспечить право остального местного населения пользоваться их естественными источниками существования в соответствии с принципом равноправия и  iii)  может ли право собственности на земельные угодья, расположенные в районах проживания саами и имеющие статус государственных территорий, основываться на решении, запрещающем любую деятельность, которая может препятствовать или мешать ведению традиционного образа жизни в районах компактного проживания саами, кроме как в случае наличия какой</w:t>
      </w:r>
      <w:r>
        <w:noBreakHyphen/>
        <w:t>либо весомой причины.  Такое разъяснение будет также способствовать устранению препятствий к ратификации Конвенции МОТ о коренных народах.  Докладчику следует учесть мнение саами тинга, а также, при необходимости, представителей местных жителей.  Докладчик не должен оказывать давления на саами тинг в целях уточнения права народности саами на земельные, водные и природные ресурсы.  Взять на себя функции докладчика было предложено судье Высшего административного суда, и саами тинг согласился с этой кандидатурой.</w:t>
      </w:r>
    </w:p>
    <w:p w:rsidR="00000000" w:rsidRDefault="00000000"/>
    <w:p w:rsidR="00000000" w:rsidRDefault="00000000">
      <w:r>
        <w:t>27.</w:t>
      </w:r>
      <w:r>
        <w:tab/>
        <w:t>В Протоколе</w:t>
      </w:r>
      <w:r>
        <w:rPr>
          <w:lang w:val="en-US"/>
        </w:rPr>
        <w:t xml:space="preserve"> о </w:t>
      </w:r>
      <w:r>
        <w:t xml:space="preserve">народе саами к Договору о создании Европейского сообщества (Протокол № 3) признается, что народность саами может быть наделена исключительным правом на занятие оленеводством при условии, что такой шаг будет сочтен целесообразным на национальном уровне.  По предложению Комиссии и с учетом мнений </w:t>
      </w:r>
    </w:p>
    <w:p w:rsidR="00000000" w:rsidRDefault="00000000">
      <w:r>
        <w:br w:type="page"/>
        <w:t>Европейского парламента и Комитета по вопросам регионов Европейский совет может, на единогласной основе, вносить поправки в Протокол в целях расширения его сферы охвата, с тем чтобы также включить в него другие традиционные занятия саами и вытекающие из них исключительные права.</w:t>
      </w:r>
    </w:p>
    <w:p w:rsidR="00000000" w:rsidRDefault="00000000"/>
    <w:p w:rsidR="00000000" w:rsidRDefault="00000000">
      <w:pPr>
        <w:pStyle w:val="Heading7"/>
        <w:spacing w:line="288" w:lineRule="auto"/>
      </w:pPr>
      <w:r>
        <w:t>Статья 2</w:t>
      </w:r>
    </w:p>
    <w:p w:rsidR="00000000" w:rsidRDefault="00000000"/>
    <w:p w:rsidR="00000000" w:rsidRDefault="00000000">
      <w:r>
        <w:t>28.</w:t>
      </w:r>
      <w:r>
        <w:tab/>
        <w:t>Одна из основных целей реформы системы основополагающих прав заключалась в дополнении Закона о Конституции Финляндии 1919 года, с тем чтобы более четко закрепить в нем обязательства в области прав человека, имеющие юридическую силу для Финляндии.  Поэтому Закон о Конституции Финляндии содержит общее положение о запрете дискриминации (пункт 2 статьи 5), в котором, согласно положениям о запрещении дискриминации, закрепленным в соглашениях о правах человека, перечислены конкретные запрещенные признаки дискриминации.  Как явственно следует из соответствующих законопроектов, цель здесь заключалась в разработке общего положения, которое запрещало бы все виды дискриминации и которое таким образом охватывало бы то, что подразумевается под дискриминацией в пункте 2 вступительной части этой статьи.  Аналогичное положение было включено в июне 1999 года в Конституцию Финляндии.  В 1995 году дискриминация в целом и дискриминация в сфере труда на государственной службе были квалифицированы в Уголовном кодексе как наказуемые деяния (пункт 9 статьи 11 и пункт 3 статьи 47 Уголовного кодекса).</w:t>
      </w:r>
    </w:p>
    <w:p w:rsidR="00000000" w:rsidRDefault="00000000"/>
    <w:p w:rsidR="00000000" w:rsidRDefault="00000000">
      <w:r>
        <w:t>29.</w:t>
      </w:r>
      <w:r>
        <w:tab/>
        <w:t>6 февраля 1997 года правительство приняло стратегическое решение об административных мерах по повышению терпимости и предупреждению расизма.  Правительство подчеркивает, в частности, что обязанность принятия соответствующих мер в случае проявления расизма возлагается не только на руководящий и управленческий персонал, но и на каждого члена трудового коллектива.  Этот шаг имеет целью понизить порог вмешательства в случае проявления расизма органов государственной администрации.  Меры, принятые в различных сферах системы управления, были изложены в первом докладе Совету Европы по осуществлению Рамочной конвенции о защите национальных меньшинств (статья 6), представленном Финляндией в феврале 1999 года (приложение 4).</w:t>
      </w:r>
    </w:p>
    <w:p w:rsidR="00000000" w:rsidRDefault="00000000"/>
    <w:p w:rsidR="00000000" w:rsidRDefault="00000000">
      <w:r>
        <w:t>30.</w:t>
      </w:r>
      <w:r>
        <w:tab/>
        <w:t>Закон о равноправии женщин и мужчин (именуемый далее Законом о равноправии 609/1986;  общая реформа 206/1995) запрещает прямую или косвенную дискриминацию по признаку пола.  Что касается Совета по вопросам равноправия и органов, осуществляющих надзор за соблюдением Закона о равноправии, то все основные данные об этом содержатся в предыдущем периодическом докладе, поскольку какой</w:t>
      </w:r>
      <w:r>
        <w:noBreakHyphen/>
        <w:t>либо новой информации по этому вопросу не имеется.</w:t>
      </w:r>
    </w:p>
    <w:p w:rsidR="00000000" w:rsidRDefault="00000000"/>
    <w:p w:rsidR="00000000" w:rsidRDefault="00000000">
      <w:r>
        <w:t>31.</w:t>
      </w:r>
      <w:r>
        <w:tab/>
        <w:t>См. также статьи 2 и 23 второго периодического доклада о правах ребенка.</w:t>
      </w:r>
    </w:p>
    <w:p w:rsidR="00000000" w:rsidRDefault="00000000"/>
    <w:p w:rsidR="00000000" w:rsidRDefault="00000000">
      <w:pPr>
        <w:pStyle w:val="Heading7"/>
        <w:spacing w:line="288" w:lineRule="auto"/>
      </w:pPr>
      <w:r>
        <w:t>Статья 3</w:t>
      </w:r>
    </w:p>
    <w:p w:rsidR="00000000" w:rsidRDefault="00000000">
      <w:pPr>
        <w:pStyle w:val="Heading7"/>
        <w:spacing w:line="288" w:lineRule="auto"/>
        <w:rPr>
          <w:b/>
        </w:rPr>
      </w:pPr>
    </w:p>
    <w:p w:rsidR="00000000" w:rsidRDefault="00000000">
      <w:pPr>
        <w:rPr>
          <w:u w:val="single"/>
        </w:rPr>
      </w:pPr>
      <w:r>
        <w:t>1.</w:t>
      </w:r>
      <w:r>
        <w:tab/>
      </w:r>
      <w:r>
        <w:rPr>
          <w:u w:val="single"/>
        </w:rPr>
        <w:t>Изменения в законодательстве</w:t>
      </w:r>
    </w:p>
    <w:p w:rsidR="00000000" w:rsidRDefault="00000000">
      <w:pPr>
        <w:rPr>
          <w:b/>
          <w:u w:val="single"/>
        </w:rPr>
      </w:pPr>
    </w:p>
    <w:p w:rsidR="00000000" w:rsidRDefault="00000000">
      <w:r>
        <w:t>32.</w:t>
      </w:r>
      <w:r>
        <w:tab/>
        <w:t>В пунктах 2 и 4 статьи 5 Закона о Конституции Финляндии гарантируются равные права мужчин и женщин.  Отдельное положение о равноправии полов (пункт 4 статьи 5) было включено в Конституцию Финляндии несмотря на то, что Закон о равноправии, вступивший в силу в 1987 году (609/1986;  приложение 5), по сути реализует минимальные стандарты равноправия, определенные, например, в Конвенции о ликвидации всех форм дискриминации в отношении женщин.  В Конституции Финляндии, которая вступит в силу в 2000 году, соответствующее положение включено в пункт 4 статьи 6.</w:t>
      </w:r>
    </w:p>
    <w:p w:rsidR="00000000" w:rsidRDefault="00000000"/>
    <w:p w:rsidR="00000000" w:rsidRDefault="00000000">
      <w:r>
        <w:t>33.</w:t>
      </w:r>
      <w:r>
        <w:tab/>
        <w:t>В новый Закон о равноправии (206/1995), вступивший в силу 1 марта 1995 года, были внесены несколько поправок.  Этот закон с внесенными в него поправками однозначно запрещает как завуалированную дискриминацию, так и создание неравных условий для женщин в связи с беременностью или рождением ребенка.  Кроме того, в нем особо подчеркивается обязанность органов власти и работодателей содействовать равноправию полов, обращается внимание на необходимость обеспечения сбалансированного участия женщин и мужчин в процессе принятия решений и усиливается режим правовой защиты жертв дискриминации.</w:t>
      </w:r>
    </w:p>
    <w:p w:rsidR="00000000" w:rsidRDefault="00000000"/>
    <w:p w:rsidR="00000000" w:rsidRDefault="00000000">
      <w:r>
        <w:t>34.</w:t>
      </w:r>
      <w:r>
        <w:tab/>
        <w:t>В 1995 году было снято ограничение на действие положений Закона о равноправии применительно к должностям, постам и обязанностям в сфере обороны, требующим обязательного наличия военного образования.  Поскольку для женщин была разрешена добровольная воинская служба (Закон о добровольной воинской службе 194/1995), женщинам была предоставлена возможность выставлять свои кандидатуры на занятие указанных постов.</w:t>
      </w:r>
    </w:p>
    <w:p w:rsidR="00000000" w:rsidRDefault="00000000"/>
    <w:p w:rsidR="00000000" w:rsidRDefault="00000000">
      <w:r>
        <w:t>35.</w:t>
      </w:r>
      <w:r>
        <w:tab/>
        <w:t>В целях все более активного вовлечения органов власти в деятельность по обеспечению равноправия им было вменено в обязанность устанавливать конкретные целевые показатели и составлять планы по укреплению равноправия полов путем, в частности, корректировки условий, мешающих равноправию (206/1995).  В этот закон было также включено положение о квотах, согласно которому в составе правительственных комитетов, консультативных комитетов и аналогичных органов, а также муниципальных органов (за исключением выборных местных советов) должны быть, как правило, представлены как мужчины, так и женщины.  Доля менее представленного пола в этих органах должна составлять не менее 40%.  Сбалансированное участие мужчин и женщин должно также соблюдаться в руководящих или административных органах компаний, контрольный пакет акций которых находится у государства или муниципалитета.  Исходя из решений, принятых высшими органами по обеспечению правопорядка, представляется, что эти положения рассматриваются как способствующие укреплению равноправия и что указанные в законе конкретные причины истолковываются, не допуская какой-либо двусмысленности.</w:t>
      </w:r>
    </w:p>
    <w:p w:rsidR="00000000" w:rsidRDefault="00000000"/>
    <w:p w:rsidR="00000000" w:rsidRDefault="00000000">
      <w:r>
        <w:t>36.</w:t>
      </w:r>
      <w:r>
        <w:tab/>
        <w:t>Дискриминация в сфере труда, в том числе дискриминация по признаку пола, была квалифицирована как уголовно наказуемое деяние в поправке, вступившей в силу в 1995 году.  Поправки к Закону о равноправии, касающиеся сферы труда, обсуждаются в разделе по статье 7 ниже.</w:t>
      </w:r>
    </w:p>
    <w:p w:rsidR="00000000" w:rsidRDefault="00000000"/>
    <w:p w:rsidR="00000000" w:rsidRDefault="00000000">
      <w:pPr>
        <w:rPr>
          <w:u w:val="single"/>
        </w:rPr>
      </w:pPr>
      <w:r>
        <w:t>2.</w:t>
      </w:r>
      <w:r>
        <w:tab/>
      </w:r>
      <w:r>
        <w:rPr>
          <w:u w:val="single"/>
        </w:rPr>
        <w:t>Политика обеспечения равноправия</w:t>
      </w:r>
    </w:p>
    <w:p w:rsidR="00000000" w:rsidRDefault="00000000">
      <w:pPr>
        <w:rPr>
          <w:b/>
          <w:u w:val="single"/>
        </w:rPr>
      </w:pPr>
    </w:p>
    <w:p w:rsidR="00000000" w:rsidRDefault="00000000">
      <w:r>
        <w:t>37.</w:t>
      </w:r>
      <w:r>
        <w:tab/>
        <w:t>В феврале 1997 года была завершена разработка Программы действий правительства в области обеспечения равноправия (1997-1999 годы).  В ее основе лежит Платформа действий четвертой Всемирной конференции по положению женщин, принятая в августе 1995 года.  В процессе разработки Программы различным органам, например неправительственным организациям, было предложено изложить свою позицию.  В ноябре 1997 года были организованы слушания с участием представителей неправительственных организаций.</w:t>
      </w:r>
    </w:p>
    <w:p w:rsidR="00000000" w:rsidRDefault="00000000"/>
    <w:p w:rsidR="00000000" w:rsidRDefault="00000000">
      <w:r>
        <w:t>38.</w:t>
      </w:r>
      <w:r>
        <w:tab/>
        <w:t>Программа в области обеспечения равноправия состоит из 13 главных разделов и 30 проектов.  Наиболее важным направлением является предупреждение насилия в отношении женщин.  Другой важной темой является надлежащий учет гендерного фактора, т.е. поощрение равноправия путем уделения более пристального внимания аспектам равноправия на этапе подготовки решений и на всех директивных уровнях.  В программе обращается особое внимание на важность участия в деятельности по поощрению равноправия и как один из приоритетных аспектов подчеркивается необходимость накопления опыта.  В остальных разделах Программы речь идет о статусе женщин, путях сокращения безработицы среди женщин, профессиональной подготовке и образовании, информационном обществе, окружающей среде, процессе принятия решений, а также политике в области социального обеспечения и охраны здоровья.</w:t>
      </w:r>
    </w:p>
    <w:p w:rsidR="00000000" w:rsidRDefault="00000000"/>
    <w:p w:rsidR="00000000" w:rsidRDefault="00000000">
      <w:r>
        <w:t>39.</w:t>
      </w:r>
      <w:r>
        <w:tab/>
        <w:t>В феврале 1998 года Специальная группа по осуществлению Программы в области обеспечения равноправия, созданная в мае 1997 года, опубликовала свой первый доклад о ходе работы и представила свои предложения о возможных изменениях.</w:t>
      </w:r>
    </w:p>
    <w:p w:rsidR="00000000" w:rsidRDefault="00000000"/>
    <w:p w:rsidR="00000000" w:rsidRDefault="00000000">
      <w:r>
        <w:t>40.</w:t>
      </w:r>
      <w:r>
        <w:tab/>
        <w:t>Осенью 1998 года по инициативе Совета по вопросам равноправия в сотрудничестве со статистическим управлением Финляндии было подготовлено индикативное исследование в области равноправия, составляющее часть Программы обеспечения равноправия.  Оно позволяет составить представление о положении женщин и мужчин, в частности в сфере человеческих отношений, труда и социальной жизни.  По имеющимся данным, это обширное исследование, основанное на опыте и отношении отдельных граждан к вопросу о равенстве полов, является уникальным в своем роде в мире.</w:t>
      </w:r>
    </w:p>
    <w:p w:rsidR="00000000" w:rsidRDefault="00000000"/>
    <w:p w:rsidR="00000000" w:rsidRDefault="00000000">
      <w:r>
        <w:t>41.</w:t>
      </w:r>
      <w:r>
        <w:tab/>
        <w:t>Министерство просвещения приступило к осуществлению целевого проекта, связанного с Программой действий правительства в области обеспечения равноправия, основное внимание в котором сосредоточено на проблемах молодежи и равноправия.  Он сопряжен с другим целевым проектом в области обеспечения равенства полов, который осуществляется Советом министров стран Северной Европы.  Проект разделен на три сегмента:  равноправие в национальных организациях, равноправие в региональной и структурной политике и равноправие в процессе развития своего района.  Совет Финляндии по вопросам искусства принял решение о проведении специального надзора в целях выявления любых случаев нарушения равноправия мужчин и женщин при распределении субсидий в области культуры.</w:t>
      </w:r>
    </w:p>
    <w:p w:rsidR="00000000" w:rsidRDefault="00000000"/>
    <w:p w:rsidR="00000000" w:rsidRDefault="00000000">
      <w:pPr>
        <w:pStyle w:val="Heading7"/>
        <w:spacing w:line="288" w:lineRule="auto"/>
      </w:pPr>
      <w:r>
        <w:t>Статья 6</w:t>
      </w:r>
    </w:p>
    <w:p w:rsidR="00000000" w:rsidRDefault="00000000">
      <w:pPr>
        <w:pStyle w:val="Heading7"/>
        <w:spacing w:line="288" w:lineRule="auto"/>
      </w:pPr>
    </w:p>
    <w:p w:rsidR="00000000" w:rsidRDefault="00000000">
      <w:r>
        <w:t>42.</w:t>
      </w:r>
      <w:r>
        <w:tab/>
        <w:t>Положение, касающееся права на труд и охраны труда, включено в статью 15 Закона о Конституции Финляндии.  В пункте 2 статьи 13 Закона о Конституции (пункт 2 статьи 16 Конституции Финляндии) гарантируется право на профессиональную подготовку в целом и, в частности,  предусматривается право на обучение в целях трудоустройства.</w:t>
      </w:r>
    </w:p>
    <w:p w:rsidR="00000000" w:rsidRDefault="00000000"/>
    <w:p w:rsidR="00000000" w:rsidRDefault="00000000">
      <w:pPr>
        <w:rPr>
          <w:u w:val="single"/>
        </w:rPr>
      </w:pPr>
      <w:r>
        <w:t>1.</w:t>
      </w:r>
      <w:r>
        <w:tab/>
      </w:r>
      <w:r>
        <w:rPr>
          <w:u w:val="single"/>
        </w:rPr>
        <w:t>Международные соглашения</w:t>
      </w:r>
    </w:p>
    <w:p w:rsidR="00000000" w:rsidRDefault="00000000">
      <w:pPr>
        <w:rPr>
          <w:b/>
          <w:u w:val="single"/>
        </w:rPr>
      </w:pPr>
    </w:p>
    <w:p w:rsidR="00000000" w:rsidRDefault="00000000">
      <w:r>
        <w:t>43.</w:t>
      </w:r>
      <w:r>
        <w:tab/>
        <w:t>Финляндии ратифицировала все конвенции, упоминаемые в соответствующем разделе руководящих принципов.  К настоящему докладу прилагаются доклады об осуществлении Конвенции № 111, представленные МОТ в 1995 и 1997 годах (приложения 6 и 7), и доклады об осуществлении Конвенции № 122, представленные в 1996 и 1998 годах (приложения 8 и 9).</w:t>
      </w:r>
    </w:p>
    <w:p w:rsidR="00000000" w:rsidRDefault="00000000"/>
    <w:p w:rsidR="00000000" w:rsidRDefault="00000000">
      <w:pPr>
        <w:keepNext/>
        <w:rPr>
          <w:u w:val="single"/>
        </w:rPr>
      </w:pPr>
      <w:r>
        <w:t>2.</w:t>
      </w:r>
      <w:r>
        <w:tab/>
        <w:t>а)</w:t>
      </w:r>
      <w:r>
        <w:tab/>
      </w:r>
      <w:r>
        <w:rPr>
          <w:u w:val="single"/>
        </w:rPr>
        <w:t>Занятость</w:t>
      </w:r>
    </w:p>
    <w:p w:rsidR="00000000" w:rsidRDefault="00000000">
      <w:pPr>
        <w:keepNext/>
        <w:rPr>
          <w:b/>
          <w:u w:val="single"/>
        </w:rPr>
      </w:pPr>
    </w:p>
    <w:p w:rsidR="00000000" w:rsidRDefault="00000000">
      <w:r>
        <w:t>44.</w:t>
      </w:r>
      <w:r>
        <w:tab/>
        <w:t>Благодаря экономическому росту, особенно в последние два года, уровень безработицы значительно снизился на фоне оживления в трудоемких отраслях национальной экономики.  На конец 1998 года уровень безработицы составил 11,5% (253 000 безработных), что на 5 процентных пунктов ниже по сравнению с пиком безработицы в 1994 году.  Резкое снижение безработицы в Финляндии всего за несколько лет отражает необычное явление, которое наблюдается во всех странах ОЭСР.</w:t>
      </w:r>
    </w:p>
    <w:p w:rsidR="00000000" w:rsidRDefault="00000000"/>
    <w:p w:rsidR="00000000" w:rsidRDefault="00000000">
      <w:r>
        <w:t>45.</w:t>
      </w:r>
      <w:r>
        <w:tab/>
        <w:t>Согласно данным министерства труда, с 1995 года было создано в общей сложности 170 000 новых рабочих мест.  В декабре 1998 года в центрах по трудоустройству было объявлено 13 000 новых вакансий.</w:t>
      </w:r>
    </w:p>
    <w:p w:rsidR="00000000" w:rsidRDefault="00000000"/>
    <w:p w:rsidR="00000000" w:rsidRDefault="00000000">
      <w:r>
        <w:t>46.</w:t>
      </w:r>
      <w:r>
        <w:tab/>
        <w:t>В Финляндии несколько большее распространение получила занятость на условиях неполного рабочего дня, хотя по сравнению с другими странами Европы этот вид занятости по-прежнему является весьма редким.  Распространение неполной занятости может отчасти объясняться популярностью частичной пенсионной схемы и увеличением размера пособия для лиц, занятых неполный рабочий день.</w:t>
      </w:r>
    </w:p>
    <w:p w:rsidR="00000000" w:rsidRDefault="00000000"/>
    <w:p w:rsidR="00000000" w:rsidRDefault="00000000">
      <w:pPr>
        <w:keepNext/>
        <w:tabs>
          <w:tab w:val="left" w:pos="1134"/>
          <w:tab w:val="left" w:pos="1985"/>
        </w:tabs>
        <w:ind w:left="1985" w:hanging="1985"/>
        <w:rPr>
          <w:u w:val="single"/>
        </w:rPr>
      </w:pPr>
      <w:r>
        <w:tab/>
        <w:t>Таблица 1.</w:t>
      </w:r>
      <w:r>
        <w:tab/>
      </w:r>
      <w:r>
        <w:tab/>
      </w:r>
      <w:r>
        <w:rPr>
          <w:u w:val="single"/>
        </w:rPr>
        <w:t>Общая численность рабочей силы, лица наемного труда, лица, занятые, неполный рабочий день (1</w:t>
      </w:r>
      <w:r>
        <w:rPr>
          <w:u w:val="single"/>
        </w:rPr>
        <w:noBreakHyphen/>
        <w:t>29 часов в неделю), безработные</w:t>
      </w:r>
    </w:p>
    <w:p w:rsidR="00000000" w:rsidRDefault="00000000">
      <w:pPr>
        <w:keepNext/>
        <w:tabs>
          <w:tab w:val="left" w:pos="1134"/>
          <w:tab w:val="left" w:pos="1985"/>
        </w:tabs>
        <w:ind w:left="6237" w:hanging="6237"/>
        <w:rPr>
          <w:u w:val="single"/>
        </w:rPr>
      </w:pPr>
      <w:r>
        <w:tab/>
      </w:r>
      <w:r>
        <w:tab/>
      </w:r>
      <w:r>
        <w:tab/>
      </w:r>
      <w:r>
        <w:tab/>
      </w:r>
      <w:r>
        <w:rPr>
          <w:u w:val="single"/>
        </w:rPr>
        <w:t>и уровень безработицы в Финляндии в 1989, 1994 и 1998 годах</w:t>
      </w:r>
    </w:p>
    <w:p w:rsidR="00000000" w:rsidRDefault="00000000">
      <w:pPr>
        <w:keepNext/>
        <w:tabs>
          <w:tab w:val="left" w:pos="1134"/>
          <w:tab w:val="left" w:pos="1985"/>
        </w:tabs>
        <w:jc w:val="center"/>
        <w:rPr>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559"/>
        <w:gridCol w:w="1276"/>
        <w:gridCol w:w="2268"/>
        <w:gridCol w:w="1559"/>
        <w:gridCol w:w="1985"/>
      </w:tblGrid>
      <w:tr w:rsidR="00000000">
        <w:tblPrEx>
          <w:tblCellMar>
            <w:top w:w="0" w:type="dxa"/>
            <w:bottom w:w="0" w:type="dxa"/>
          </w:tblCellMar>
        </w:tblPrEx>
        <w:trPr>
          <w:cantSplit/>
        </w:trPr>
        <w:tc>
          <w:tcPr>
            <w:tcW w:w="817" w:type="dxa"/>
            <w:vAlign w:val="center"/>
          </w:tcPr>
          <w:p w:rsidR="00000000" w:rsidRDefault="00000000">
            <w:pPr>
              <w:pStyle w:val="Heading2"/>
              <w:jc w:val="center"/>
            </w:pPr>
            <w:r>
              <w:t>Год</w:t>
            </w:r>
          </w:p>
        </w:tc>
        <w:tc>
          <w:tcPr>
            <w:tcW w:w="1559" w:type="dxa"/>
            <w:vAlign w:val="center"/>
          </w:tcPr>
          <w:p w:rsidR="00000000" w:rsidRDefault="00000000">
            <w:pPr>
              <w:pStyle w:val="Heading2"/>
              <w:jc w:val="center"/>
            </w:pPr>
            <w:r>
              <w:t>Численность рабочей силы</w:t>
            </w:r>
          </w:p>
        </w:tc>
        <w:tc>
          <w:tcPr>
            <w:tcW w:w="1276" w:type="dxa"/>
            <w:vAlign w:val="center"/>
          </w:tcPr>
          <w:p w:rsidR="00000000" w:rsidRDefault="00000000">
            <w:pPr>
              <w:pStyle w:val="Heading2"/>
              <w:jc w:val="center"/>
            </w:pPr>
            <w:r>
              <w:t>Лица наемного труда</w:t>
            </w:r>
          </w:p>
        </w:tc>
        <w:tc>
          <w:tcPr>
            <w:tcW w:w="2268" w:type="dxa"/>
            <w:vAlign w:val="center"/>
          </w:tcPr>
          <w:p w:rsidR="00000000" w:rsidRDefault="00000000">
            <w:pPr>
              <w:jc w:val="center"/>
              <w:rPr>
                <w:u w:val="single"/>
              </w:rPr>
            </w:pPr>
            <w:r>
              <w:rPr>
                <w:u w:val="single"/>
              </w:rPr>
              <w:t>Лица, занятые неполный рабочий день</w:t>
            </w:r>
          </w:p>
        </w:tc>
        <w:tc>
          <w:tcPr>
            <w:tcW w:w="1559" w:type="dxa"/>
            <w:vAlign w:val="center"/>
          </w:tcPr>
          <w:p w:rsidR="00000000" w:rsidRDefault="00000000">
            <w:pPr>
              <w:pStyle w:val="Heading2"/>
              <w:jc w:val="center"/>
            </w:pPr>
            <w:r>
              <w:t>Безработные</w:t>
            </w:r>
          </w:p>
        </w:tc>
        <w:tc>
          <w:tcPr>
            <w:tcW w:w="1985" w:type="dxa"/>
            <w:vAlign w:val="center"/>
          </w:tcPr>
          <w:p w:rsidR="00000000" w:rsidRDefault="00000000">
            <w:pPr>
              <w:jc w:val="center"/>
            </w:pPr>
            <w:r>
              <w:rPr>
                <w:u w:val="single"/>
              </w:rPr>
              <w:t>Уровень безработицы (%</w:t>
            </w:r>
            <w:r>
              <w:t>)</w:t>
            </w:r>
          </w:p>
        </w:tc>
      </w:tr>
      <w:tr w:rsidR="00000000">
        <w:tblPrEx>
          <w:tblCellMar>
            <w:top w:w="0" w:type="dxa"/>
            <w:bottom w:w="0" w:type="dxa"/>
          </w:tblCellMar>
        </w:tblPrEx>
        <w:trPr>
          <w:cantSplit/>
          <w:trHeight w:val="1031"/>
        </w:trPr>
        <w:tc>
          <w:tcPr>
            <w:tcW w:w="817" w:type="dxa"/>
            <w:tcBorders>
              <w:bottom w:val="single" w:sz="4" w:space="0" w:color="auto"/>
            </w:tcBorders>
          </w:tcPr>
          <w:p w:rsidR="00000000" w:rsidRDefault="00000000">
            <w:r>
              <w:t>1989</w:t>
            </w:r>
          </w:p>
          <w:p w:rsidR="00000000" w:rsidRDefault="00000000">
            <w:r>
              <w:t>1994</w:t>
            </w:r>
          </w:p>
          <w:p w:rsidR="00000000" w:rsidRDefault="00000000">
            <w:r>
              <w:t>1998</w:t>
            </w:r>
          </w:p>
        </w:tc>
        <w:tc>
          <w:tcPr>
            <w:tcW w:w="1559" w:type="dxa"/>
            <w:tcBorders>
              <w:bottom w:val="single" w:sz="4" w:space="0" w:color="auto"/>
            </w:tcBorders>
          </w:tcPr>
          <w:p w:rsidR="00000000" w:rsidRDefault="00000000">
            <w:pPr>
              <w:rPr>
                <w:lang w:val="en-US"/>
              </w:rPr>
            </w:pPr>
            <w:r>
              <w:rPr>
                <w:lang w:val="en-US"/>
              </w:rPr>
              <w:t>2 588 000</w:t>
            </w:r>
          </w:p>
          <w:p w:rsidR="00000000" w:rsidRDefault="00000000">
            <w:pPr>
              <w:rPr>
                <w:lang w:val="en-US"/>
              </w:rPr>
            </w:pPr>
            <w:r>
              <w:rPr>
                <w:lang w:val="en-US"/>
              </w:rPr>
              <w:t>2 463 000</w:t>
            </w:r>
          </w:p>
          <w:p w:rsidR="00000000" w:rsidRDefault="00000000">
            <w:pPr>
              <w:rPr>
                <w:lang w:val="en-US"/>
              </w:rPr>
            </w:pPr>
            <w:r>
              <w:rPr>
                <w:lang w:val="en-US"/>
              </w:rPr>
              <w:t>2 507 000</w:t>
            </w:r>
          </w:p>
        </w:tc>
        <w:tc>
          <w:tcPr>
            <w:tcW w:w="1276" w:type="dxa"/>
            <w:tcBorders>
              <w:bottom w:val="single" w:sz="4" w:space="0" w:color="auto"/>
            </w:tcBorders>
          </w:tcPr>
          <w:p w:rsidR="00000000" w:rsidRDefault="00000000">
            <w:pPr>
              <w:rPr>
                <w:lang w:val="en-US"/>
              </w:rPr>
            </w:pPr>
            <w:r>
              <w:rPr>
                <w:lang w:val="en-US"/>
              </w:rPr>
              <w:t>2 507 000</w:t>
            </w:r>
          </w:p>
          <w:p w:rsidR="00000000" w:rsidRDefault="00000000">
            <w:pPr>
              <w:rPr>
                <w:lang w:val="en-US"/>
              </w:rPr>
            </w:pPr>
            <w:r>
              <w:rPr>
                <w:lang w:val="en-US"/>
              </w:rPr>
              <w:t>2 504 000</w:t>
            </w:r>
          </w:p>
          <w:p w:rsidR="00000000" w:rsidRDefault="00000000">
            <w:pPr>
              <w:rPr>
                <w:lang w:val="en-US"/>
              </w:rPr>
            </w:pPr>
            <w:r>
              <w:rPr>
                <w:lang w:val="en-US"/>
              </w:rPr>
              <w:t>2 222 000</w:t>
            </w:r>
          </w:p>
        </w:tc>
        <w:tc>
          <w:tcPr>
            <w:tcW w:w="2268" w:type="dxa"/>
            <w:tcBorders>
              <w:bottom w:val="single" w:sz="4" w:space="0" w:color="auto"/>
            </w:tcBorders>
          </w:tcPr>
          <w:p w:rsidR="00000000" w:rsidRDefault="00000000">
            <w:pPr>
              <w:jc w:val="center"/>
              <w:rPr>
                <w:lang w:val="en-US"/>
              </w:rPr>
            </w:pPr>
            <w:r>
              <w:rPr>
                <w:lang w:val="en-US"/>
              </w:rPr>
              <w:t>183 000</w:t>
            </w:r>
          </w:p>
          <w:p w:rsidR="00000000" w:rsidRDefault="00000000">
            <w:pPr>
              <w:jc w:val="center"/>
              <w:rPr>
                <w:lang w:val="en-US"/>
              </w:rPr>
            </w:pPr>
            <w:r>
              <w:rPr>
                <w:lang w:val="en-US"/>
              </w:rPr>
              <w:t>174 000</w:t>
            </w:r>
          </w:p>
          <w:p w:rsidR="00000000" w:rsidRDefault="00000000">
            <w:pPr>
              <w:jc w:val="center"/>
              <w:rPr>
                <w:lang w:val="en-US"/>
              </w:rPr>
            </w:pPr>
            <w:r>
              <w:rPr>
                <w:lang w:val="en-US"/>
              </w:rPr>
              <w:t>221 000</w:t>
            </w:r>
          </w:p>
        </w:tc>
        <w:tc>
          <w:tcPr>
            <w:tcW w:w="1559" w:type="dxa"/>
            <w:tcBorders>
              <w:bottom w:val="single" w:sz="4" w:space="0" w:color="auto"/>
            </w:tcBorders>
          </w:tcPr>
          <w:p w:rsidR="00000000" w:rsidRDefault="00000000">
            <w:pPr>
              <w:tabs>
                <w:tab w:val="clear" w:pos="567"/>
                <w:tab w:val="clear" w:pos="1134"/>
              </w:tabs>
              <w:ind w:right="317"/>
              <w:jc w:val="right"/>
              <w:rPr>
                <w:lang w:val="en-US"/>
              </w:rPr>
            </w:pPr>
            <w:r>
              <w:rPr>
                <w:lang w:val="en-US"/>
              </w:rPr>
              <w:t>89 000</w:t>
            </w:r>
          </w:p>
          <w:p w:rsidR="00000000" w:rsidRDefault="00000000">
            <w:pPr>
              <w:tabs>
                <w:tab w:val="clear" w:pos="567"/>
                <w:tab w:val="clear" w:pos="1134"/>
              </w:tabs>
              <w:ind w:right="317"/>
              <w:jc w:val="right"/>
              <w:rPr>
                <w:lang w:val="en-US"/>
              </w:rPr>
            </w:pPr>
            <w:r>
              <w:rPr>
                <w:lang w:val="en-US"/>
              </w:rPr>
              <w:t>456 000</w:t>
            </w:r>
          </w:p>
          <w:p w:rsidR="00000000" w:rsidRDefault="00000000">
            <w:pPr>
              <w:ind w:right="317"/>
              <w:jc w:val="right"/>
              <w:rPr>
                <w:lang w:val="en-US"/>
              </w:rPr>
            </w:pPr>
            <w:r>
              <w:rPr>
                <w:lang w:val="en-US"/>
              </w:rPr>
              <w:t>336 000</w:t>
            </w:r>
          </w:p>
        </w:tc>
        <w:tc>
          <w:tcPr>
            <w:tcW w:w="1985" w:type="dxa"/>
            <w:tcBorders>
              <w:bottom w:val="single" w:sz="4" w:space="0" w:color="auto"/>
            </w:tcBorders>
          </w:tcPr>
          <w:p w:rsidR="00000000" w:rsidRDefault="00000000">
            <w:pPr>
              <w:tabs>
                <w:tab w:val="clear" w:pos="567"/>
                <w:tab w:val="clear" w:pos="1134"/>
                <w:tab w:val="clear" w:pos="1701"/>
              </w:tabs>
              <w:ind w:right="601"/>
              <w:jc w:val="right"/>
              <w:rPr>
                <w:lang w:val="en-US"/>
              </w:rPr>
            </w:pPr>
            <w:r>
              <w:rPr>
                <w:lang w:val="en-US"/>
              </w:rPr>
              <w:t>3,5</w:t>
            </w:r>
          </w:p>
          <w:p w:rsidR="00000000" w:rsidRDefault="00000000">
            <w:pPr>
              <w:tabs>
                <w:tab w:val="clear" w:pos="567"/>
                <w:tab w:val="clear" w:pos="1134"/>
                <w:tab w:val="clear" w:pos="1701"/>
              </w:tabs>
              <w:ind w:right="601"/>
              <w:jc w:val="right"/>
              <w:rPr>
                <w:lang w:val="en-US"/>
              </w:rPr>
            </w:pPr>
            <w:r>
              <w:rPr>
                <w:lang w:val="en-US"/>
              </w:rPr>
              <w:t>18,4</w:t>
            </w:r>
          </w:p>
          <w:p w:rsidR="00000000" w:rsidRDefault="00000000">
            <w:pPr>
              <w:ind w:right="601"/>
              <w:jc w:val="right"/>
              <w:rPr>
                <w:lang w:val="en-US"/>
              </w:rPr>
            </w:pPr>
            <w:r>
              <w:rPr>
                <w:lang w:val="en-US"/>
              </w:rPr>
              <w:t>10,2</w:t>
            </w:r>
          </w:p>
        </w:tc>
      </w:tr>
    </w:tbl>
    <w:p w:rsidR="00000000" w:rsidRDefault="00000000">
      <w:pPr>
        <w:ind w:left="1134" w:hanging="1134"/>
        <w:rPr>
          <w:lang w:val="en-US"/>
        </w:rPr>
      </w:pPr>
    </w:p>
    <w:p w:rsidR="00000000" w:rsidRDefault="00000000">
      <w:pPr>
        <w:ind w:left="1134" w:hanging="1134"/>
        <w:rPr>
          <w:lang w:val="en-US"/>
        </w:rPr>
      </w:pPr>
      <w:r>
        <w:rPr>
          <w:lang w:val="en-US"/>
        </w:rPr>
        <w:tab/>
      </w:r>
      <w:proofErr w:type="spellStart"/>
      <w:r>
        <w:rPr>
          <w:u w:val="single"/>
          <w:lang w:val="en-US"/>
        </w:rPr>
        <w:t>Источник</w:t>
      </w:r>
      <w:proofErr w:type="spellEnd"/>
      <w:r>
        <w:rPr>
          <w:lang w:val="en-US"/>
        </w:rPr>
        <w:t xml:space="preserve">:  </w:t>
      </w:r>
      <w:proofErr w:type="spellStart"/>
      <w:r>
        <w:rPr>
          <w:lang w:val="en-US"/>
        </w:rPr>
        <w:t>Статистические</w:t>
      </w:r>
      <w:proofErr w:type="spellEnd"/>
      <w:r>
        <w:rPr>
          <w:lang w:val="en-US"/>
        </w:rPr>
        <w:t xml:space="preserve"> </w:t>
      </w:r>
      <w:proofErr w:type="spellStart"/>
      <w:r>
        <w:rPr>
          <w:lang w:val="en-US"/>
        </w:rPr>
        <w:t>данные</w:t>
      </w:r>
      <w:proofErr w:type="spellEnd"/>
      <w:r>
        <w:rPr>
          <w:lang w:val="en-US"/>
        </w:rPr>
        <w:t xml:space="preserve"> министерства </w:t>
      </w:r>
      <w:proofErr w:type="spellStart"/>
      <w:r>
        <w:rPr>
          <w:lang w:val="en-US"/>
        </w:rPr>
        <w:t>труда</w:t>
      </w:r>
      <w:proofErr w:type="spellEnd"/>
      <w:r>
        <w:rPr>
          <w:lang w:val="en-US"/>
        </w:rPr>
        <w:t>.</w:t>
      </w:r>
    </w:p>
    <w:p w:rsidR="00000000" w:rsidRDefault="00000000">
      <w:pPr>
        <w:ind w:left="1134" w:hanging="1134"/>
        <w:rPr>
          <w:i/>
          <w:lang w:val="en-US"/>
        </w:rPr>
      </w:pPr>
    </w:p>
    <w:p w:rsidR="00000000" w:rsidRDefault="00000000">
      <w:pPr>
        <w:ind w:left="1134" w:hanging="1134"/>
        <w:jc w:val="center"/>
        <w:rPr>
          <w:u w:val="single"/>
        </w:rPr>
      </w:pPr>
      <w:r>
        <w:rPr>
          <w:lang w:val="en-US"/>
        </w:rPr>
        <w:br w:type="page"/>
      </w:r>
      <w:proofErr w:type="spellStart"/>
      <w:r>
        <w:rPr>
          <w:lang w:val="en-US"/>
        </w:rPr>
        <w:t>Таблица</w:t>
      </w:r>
      <w:proofErr w:type="spellEnd"/>
      <w:r>
        <w:rPr>
          <w:lang w:val="en-US"/>
        </w:rPr>
        <w:t xml:space="preserve"> 2.</w:t>
      </w:r>
      <w:r>
        <w:rPr>
          <w:lang w:val="en-US"/>
        </w:rPr>
        <w:tab/>
        <w:t xml:space="preserve">  </w:t>
      </w:r>
      <w:r>
        <w:rPr>
          <w:u w:val="single"/>
        </w:rPr>
        <w:t xml:space="preserve">Численность безработных лиц, находящихся в поиске работы, в разбивке </w:t>
      </w:r>
    </w:p>
    <w:p w:rsidR="00000000" w:rsidRDefault="00000000">
      <w:pPr>
        <w:ind w:left="1134" w:hanging="1134"/>
        <w:jc w:val="center"/>
        <w:rPr>
          <w:u w:val="single"/>
        </w:rPr>
      </w:pPr>
      <w:r>
        <w:rPr>
          <w:u w:val="single"/>
        </w:rPr>
        <w:t>по категориям в 1989, 1994 и 1998 годах</w:t>
      </w:r>
    </w:p>
    <w:p w:rsidR="00000000" w:rsidRDefault="00000000">
      <w:pPr>
        <w:ind w:left="1134" w:hanging="1134"/>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231"/>
        <w:gridCol w:w="1454"/>
        <w:gridCol w:w="1418"/>
        <w:gridCol w:w="1559"/>
        <w:gridCol w:w="1949"/>
      </w:tblGrid>
      <w:tr w:rsidR="00000000">
        <w:tblPrEx>
          <w:tblCellMar>
            <w:top w:w="0" w:type="dxa"/>
            <w:bottom w:w="0" w:type="dxa"/>
          </w:tblCellMar>
        </w:tblPrEx>
        <w:tc>
          <w:tcPr>
            <w:tcW w:w="959" w:type="dxa"/>
            <w:vAlign w:val="center"/>
          </w:tcPr>
          <w:p w:rsidR="00000000" w:rsidRDefault="00000000">
            <w:pPr>
              <w:pStyle w:val="FootnoteText"/>
              <w:keepNext/>
              <w:spacing w:line="288" w:lineRule="auto"/>
              <w:jc w:val="center"/>
            </w:pPr>
            <w:r>
              <w:t>Год</w:t>
            </w:r>
          </w:p>
        </w:tc>
        <w:tc>
          <w:tcPr>
            <w:tcW w:w="2231" w:type="dxa"/>
            <w:vAlign w:val="center"/>
          </w:tcPr>
          <w:p w:rsidR="00000000" w:rsidRDefault="00000000">
            <w:pPr>
              <w:keepNext/>
              <w:jc w:val="center"/>
            </w:pPr>
            <w:r>
              <w:t>Безработные лица, ищущие работу</w:t>
            </w:r>
          </w:p>
        </w:tc>
        <w:tc>
          <w:tcPr>
            <w:tcW w:w="1454" w:type="dxa"/>
            <w:vAlign w:val="center"/>
          </w:tcPr>
          <w:p w:rsidR="00000000" w:rsidRDefault="00000000">
            <w:pPr>
              <w:keepNext/>
              <w:jc w:val="center"/>
            </w:pPr>
            <w:r>
              <w:t>Мужчины</w:t>
            </w:r>
          </w:p>
        </w:tc>
        <w:tc>
          <w:tcPr>
            <w:tcW w:w="1418" w:type="dxa"/>
            <w:vAlign w:val="center"/>
          </w:tcPr>
          <w:p w:rsidR="00000000" w:rsidRDefault="00000000">
            <w:pPr>
              <w:keepNext/>
              <w:jc w:val="center"/>
            </w:pPr>
            <w:r>
              <w:t>Женщины</w:t>
            </w:r>
          </w:p>
        </w:tc>
        <w:tc>
          <w:tcPr>
            <w:tcW w:w="1559" w:type="dxa"/>
            <w:vAlign w:val="center"/>
          </w:tcPr>
          <w:p w:rsidR="00000000" w:rsidRDefault="00000000">
            <w:pPr>
              <w:keepNext/>
              <w:jc w:val="center"/>
            </w:pPr>
            <w:r>
              <w:t>Молодежь*</w:t>
            </w:r>
          </w:p>
        </w:tc>
        <w:tc>
          <w:tcPr>
            <w:tcW w:w="1949" w:type="dxa"/>
            <w:vAlign w:val="center"/>
          </w:tcPr>
          <w:p w:rsidR="00000000" w:rsidRDefault="00000000">
            <w:pPr>
              <w:keepNext/>
              <w:jc w:val="center"/>
            </w:pPr>
            <w:r>
              <w:t>Длительно безработные**</w:t>
            </w:r>
          </w:p>
        </w:tc>
      </w:tr>
      <w:tr w:rsidR="00000000">
        <w:tblPrEx>
          <w:tblCellMar>
            <w:top w:w="0" w:type="dxa"/>
            <w:bottom w:w="0" w:type="dxa"/>
          </w:tblCellMar>
        </w:tblPrEx>
        <w:trPr>
          <w:trHeight w:val="1031"/>
        </w:trPr>
        <w:tc>
          <w:tcPr>
            <w:tcW w:w="959" w:type="dxa"/>
            <w:tcBorders>
              <w:bottom w:val="single" w:sz="4" w:space="0" w:color="auto"/>
            </w:tcBorders>
          </w:tcPr>
          <w:p w:rsidR="00000000" w:rsidRDefault="00000000">
            <w:pPr>
              <w:keepNext/>
              <w:jc w:val="center"/>
            </w:pPr>
            <w:r>
              <w:t>1989</w:t>
            </w:r>
          </w:p>
          <w:p w:rsidR="00000000" w:rsidRDefault="00000000">
            <w:pPr>
              <w:keepNext/>
              <w:jc w:val="center"/>
            </w:pPr>
            <w:r>
              <w:t>1994</w:t>
            </w:r>
          </w:p>
          <w:p w:rsidR="00000000" w:rsidRDefault="00000000">
            <w:pPr>
              <w:keepNext/>
              <w:jc w:val="center"/>
            </w:pPr>
            <w:r>
              <w:t>1998</w:t>
            </w:r>
          </w:p>
        </w:tc>
        <w:tc>
          <w:tcPr>
            <w:tcW w:w="2231" w:type="dxa"/>
            <w:tcBorders>
              <w:bottom w:val="single" w:sz="4" w:space="0" w:color="auto"/>
            </w:tcBorders>
          </w:tcPr>
          <w:p w:rsidR="00000000" w:rsidRDefault="00000000">
            <w:pPr>
              <w:keepNext/>
              <w:tabs>
                <w:tab w:val="clear" w:pos="567"/>
                <w:tab w:val="clear" w:pos="1134"/>
                <w:tab w:val="clear" w:pos="1701"/>
              </w:tabs>
              <w:ind w:right="706"/>
              <w:jc w:val="right"/>
              <w:rPr>
                <w:lang w:val="en-US"/>
              </w:rPr>
            </w:pPr>
            <w:r>
              <w:rPr>
                <w:lang w:val="en-US"/>
              </w:rPr>
              <w:t>96 000</w:t>
            </w:r>
          </w:p>
          <w:p w:rsidR="00000000" w:rsidRDefault="00000000">
            <w:pPr>
              <w:keepNext/>
              <w:tabs>
                <w:tab w:val="clear" w:pos="567"/>
                <w:tab w:val="clear" w:pos="1134"/>
                <w:tab w:val="clear" w:pos="1701"/>
              </w:tabs>
              <w:ind w:right="706"/>
              <w:jc w:val="right"/>
              <w:rPr>
                <w:lang w:val="en-US"/>
              </w:rPr>
            </w:pPr>
            <w:r>
              <w:rPr>
                <w:lang w:val="en-US"/>
              </w:rPr>
              <w:t>467 500</w:t>
            </w:r>
          </w:p>
          <w:p w:rsidR="00000000" w:rsidRDefault="00000000">
            <w:pPr>
              <w:keepNext/>
              <w:ind w:right="706"/>
              <w:jc w:val="right"/>
              <w:rPr>
                <w:lang w:val="en-US"/>
              </w:rPr>
            </w:pPr>
            <w:r>
              <w:rPr>
                <w:lang w:val="en-US"/>
              </w:rPr>
              <w:t>372 431</w:t>
            </w:r>
          </w:p>
        </w:tc>
        <w:tc>
          <w:tcPr>
            <w:tcW w:w="1454" w:type="dxa"/>
            <w:tcBorders>
              <w:bottom w:val="single" w:sz="4" w:space="0" w:color="auto"/>
            </w:tcBorders>
          </w:tcPr>
          <w:p w:rsidR="00000000" w:rsidRDefault="00000000">
            <w:pPr>
              <w:keepNext/>
              <w:tabs>
                <w:tab w:val="clear" w:pos="567"/>
                <w:tab w:val="clear" w:pos="1134"/>
                <w:tab w:val="clear" w:pos="1701"/>
                <w:tab w:val="clear" w:pos="2268"/>
              </w:tabs>
              <w:ind w:right="317"/>
              <w:jc w:val="right"/>
              <w:rPr>
                <w:lang w:val="en-US"/>
              </w:rPr>
            </w:pPr>
            <w:r>
              <w:rPr>
                <w:lang w:val="en-US"/>
              </w:rPr>
              <w:t>49 900</w:t>
            </w:r>
          </w:p>
          <w:p w:rsidR="00000000" w:rsidRDefault="00000000">
            <w:pPr>
              <w:keepNext/>
              <w:tabs>
                <w:tab w:val="clear" w:pos="567"/>
                <w:tab w:val="clear" w:pos="1134"/>
                <w:tab w:val="clear" w:pos="1701"/>
                <w:tab w:val="clear" w:pos="2268"/>
              </w:tabs>
              <w:ind w:right="317"/>
              <w:jc w:val="right"/>
              <w:rPr>
                <w:lang w:val="en-US"/>
              </w:rPr>
            </w:pPr>
            <w:r>
              <w:rPr>
                <w:lang w:val="en-US"/>
              </w:rPr>
              <w:t>259 900</w:t>
            </w:r>
          </w:p>
          <w:p w:rsidR="00000000" w:rsidRDefault="00000000">
            <w:pPr>
              <w:keepNext/>
              <w:ind w:right="317"/>
              <w:jc w:val="right"/>
              <w:rPr>
                <w:lang w:val="en-US"/>
              </w:rPr>
            </w:pPr>
            <w:r>
              <w:rPr>
                <w:lang w:val="en-US"/>
              </w:rPr>
              <w:t>190 183</w:t>
            </w:r>
          </w:p>
        </w:tc>
        <w:tc>
          <w:tcPr>
            <w:tcW w:w="1418" w:type="dxa"/>
            <w:tcBorders>
              <w:bottom w:val="single" w:sz="4" w:space="0" w:color="auto"/>
            </w:tcBorders>
          </w:tcPr>
          <w:p w:rsidR="00000000" w:rsidRDefault="00000000">
            <w:pPr>
              <w:keepNext/>
              <w:tabs>
                <w:tab w:val="clear" w:pos="567"/>
                <w:tab w:val="clear" w:pos="1134"/>
              </w:tabs>
              <w:ind w:right="317"/>
              <w:jc w:val="right"/>
              <w:rPr>
                <w:lang w:val="en-US"/>
              </w:rPr>
            </w:pPr>
            <w:r>
              <w:rPr>
                <w:lang w:val="en-US"/>
              </w:rPr>
              <w:t>46 800</w:t>
            </w:r>
          </w:p>
          <w:p w:rsidR="00000000" w:rsidRDefault="00000000">
            <w:pPr>
              <w:keepNext/>
              <w:tabs>
                <w:tab w:val="clear" w:pos="567"/>
                <w:tab w:val="clear" w:pos="1134"/>
              </w:tabs>
              <w:ind w:right="317"/>
              <w:jc w:val="right"/>
              <w:rPr>
                <w:lang w:val="en-US"/>
              </w:rPr>
            </w:pPr>
            <w:r>
              <w:rPr>
                <w:lang w:val="en-US"/>
              </w:rPr>
              <w:t>210 600</w:t>
            </w:r>
          </w:p>
          <w:p w:rsidR="00000000" w:rsidRDefault="00000000">
            <w:pPr>
              <w:keepNext/>
              <w:ind w:right="317"/>
              <w:jc w:val="right"/>
              <w:rPr>
                <w:lang w:val="en-US"/>
              </w:rPr>
            </w:pPr>
            <w:r>
              <w:rPr>
                <w:lang w:val="en-US"/>
              </w:rPr>
              <w:t>182 248</w:t>
            </w:r>
          </w:p>
        </w:tc>
        <w:tc>
          <w:tcPr>
            <w:tcW w:w="1559" w:type="dxa"/>
            <w:tcBorders>
              <w:bottom w:val="single" w:sz="4" w:space="0" w:color="auto"/>
            </w:tcBorders>
          </w:tcPr>
          <w:p w:rsidR="00000000" w:rsidRDefault="00000000">
            <w:pPr>
              <w:keepNext/>
              <w:tabs>
                <w:tab w:val="clear" w:pos="567"/>
                <w:tab w:val="clear" w:pos="1134"/>
              </w:tabs>
              <w:ind w:right="317"/>
              <w:jc w:val="right"/>
              <w:rPr>
                <w:lang w:val="en-US"/>
              </w:rPr>
            </w:pPr>
            <w:r>
              <w:rPr>
                <w:lang w:val="en-US"/>
              </w:rPr>
              <w:t>22 200</w:t>
            </w:r>
          </w:p>
          <w:p w:rsidR="00000000" w:rsidRDefault="00000000">
            <w:pPr>
              <w:keepNext/>
              <w:tabs>
                <w:tab w:val="clear" w:pos="567"/>
                <w:tab w:val="clear" w:pos="1134"/>
              </w:tabs>
              <w:ind w:right="317"/>
              <w:jc w:val="right"/>
              <w:rPr>
                <w:lang w:val="en-US"/>
              </w:rPr>
            </w:pPr>
            <w:r>
              <w:rPr>
                <w:lang w:val="en-US"/>
              </w:rPr>
              <w:t>92 200</w:t>
            </w:r>
          </w:p>
          <w:p w:rsidR="00000000" w:rsidRDefault="00000000">
            <w:pPr>
              <w:keepNext/>
              <w:ind w:right="317"/>
              <w:jc w:val="right"/>
              <w:rPr>
                <w:lang w:val="en-US"/>
              </w:rPr>
            </w:pPr>
            <w:r>
              <w:rPr>
                <w:lang w:val="en-US"/>
              </w:rPr>
              <w:t>46 861</w:t>
            </w:r>
          </w:p>
        </w:tc>
        <w:tc>
          <w:tcPr>
            <w:tcW w:w="1949" w:type="dxa"/>
            <w:tcBorders>
              <w:bottom w:val="single" w:sz="4" w:space="0" w:color="auto"/>
            </w:tcBorders>
          </w:tcPr>
          <w:p w:rsidR="00000000" w:rsidRDefault="00000000">
            <w:pPr>
              <w:keepNext/>
              <w:tabs>
                <w:tab w:val="clear" w:pos="567"/>
                <w:tab w:val="clear" w:pos="1134"/>
                <w:tab w:val="clear" w:pos="1701"/>
              </w:tabs>
              <w:ind w:right="565"/>
              <w:jc w:val="right"/>
              <w:rPr>
                <w:lang w:val="en-US"/>
              </w:rPr>
            </w:pPr>
            <w:r>
              <w:rPr>
                <w:lang w:val="en-US"/>
              </w:rPr>
              <w:t>6 400</w:t>
            </w:r>
          </w:p>
          <w:p w:rsidR="00000000" w:rsidRDefault="00000000">
            <w:pPr>
              <w:keepNext/>
              <w:tabs>
                <w:tab w:val="clear" w:pos="567"/>
                <w:tab w:val="clear" w:pos="1134"/>
                <w:tab w:val="clear" w:pos="1701"/>
              </w:tabs>
              <w:ind w:right="565"/>
              <w:jc w:val="right"/>
              <w:rPr>
                <w:lang w:val="en-US"/>
              </w:rPr>
            </w:pPr>
            <w:r>
              <w:rPr>
                <w:lang w:val="en-US"/>
              </w:rPr>
              <w:t>133 600</w:t>
            </w:r>
          </w:p>
          <w:p w:rsidR="00000000" w:rsidRDefault="00000000">
            <w:pPr>
              <w:keepNext/>
              <w:ind w:right="565"/>
              <w:jc w:val="right"/>
              <w:rPr>
                <w:lang w:val="en-US"/>
              </w:rPr>
            </w:pPr>
            <w:r>
              <w:rPr>
                <w:lang w:val="en-US"/>
              </w:rPr>
              <w:t>112 612</w:t>
            </w:r>
          </w:p>
        </w:tc>
      </w:tr>
    </w:tbl>
    <w:p w:rsidR="00000000" w:rsidRDefault="00000000">
      <w:pPr>
        <w:ind w:left="1134" w:hanging="1134"/>
        <w:rPr>
          <w:lang w:val="en-US"/>
        </w:rPr>
      </w:pPr>
    </w:p>
    <w:p w:rsidR="00000000" w:rsidRDefault="00000000">
      <w:pPr>
        <w:tabs>
          <w:tab w:val="right" w:pos="567"/>
        </w:tabs>
        <w:ind w:left="1134" w:hanging="1134"/>
      </w:pPr>
      <w:r>
        <w:rPr>
          <w:lang w:val="en-US"/>
        </w:rPr>
        <w:tab/>
        <w:t>*</w:t>
      </w:r>
      <w:r>
        <w:rPr>
          <w:lang w:val="en-US"/>
        </w:rPr>
        <w:tab/>
      </w:r>
      <w:proofErr w:type="spellStart"/>
      <w:r>
        <w:rPr>
          <w:lang w:val="en-US"/>
        </w:rPr>
        <w:t>Лица</w:t>
      </w:r>
      <w:proofErr w:type="spellEnd"/>
      <w:r>
        <w:rPr>
          <w:lang w:val="en-US"/>
        </w:rPr>
        <w:t xml:space="preserve"> в</w:t>
      </w:r>
      <w:r>
        <w:t xml:space="preserve"> возрасте от 15 до 24 лет.</w:t>
      </w:r>
    </w:p>
    <w:p w:rsidR="00000000" w:rsidRDefault="00000000">
      <w:pPr>
        <w:tabs>
          <w:tab w:val="right" w:pos="567"/>
        </w:tabs>
        <w:ind w:left="1134" w:hanging="1134"/>
      </w:pPr>
      <w:r>
        <w:tab/>
        <w:t>**</w:t>
      </w:r>
      <w:r>
        <w:tab/>
        <w:t>Лица, находящиеся без работы в течение более одного года.</w:t>
      </w:r>
    </w:p>
    <w:p w:rsidR="00000000" w:rsidRDefault="00000000">
      <w:pPr>
        <w:tabs>
          <w:tab w:val="right" w:pos="567"/>
        </w:tabs>
        <w:ind w:left="1134" w:hanging="1134"/>
      </w:pPr>
    </w:p>
    <w:p w:rsidR="00000000" w:rsidRDefault="00000000">
      <w:pPr>
        <w:tabs>
          <w:tab w:val="clear" w:pos="1134"/>
          <w:tab w:val="left" w:pos="0"/>
          <w:tab w:val="left" w:pos="567"/>
        </w:tabs>
      </w:pPr>
      <w:r>
        <w:t>47.</w:t>
      </w:r>
      <w:r>
        <w:tab/>
      </w:r>
      <w:r>
        <w:rPr>
          <w:u w:val="single"/>
        </w:rPr>
        <w:t>Молодежь</w:t>
      </w:r>
      <w:r>
        <w:t xml:space="preserve">.  Положение в сфере занятости среди молодежи заметно улучшилось по сравнению с первой половиной десятилетия.  Перелом в ситуации наметился в начале 1997 года с введением правила, согласно которому для получения трудовых пособий лица в возрасте до 25 лет должны в обязательном порядке соглашаться на предлагаемую им работу или место в учебном заведении или регистрироваться для обучения на курсах профессиональной подготовки.  Одновременно с этим возросла численность ежегодного набора абитуриентов в учебные заведения.  Более половины лиц в возрасте до 30 лет обучаются в различных учебных заведениях, при этом одна треть учащихся в период обучения имеет оплачиваемую работу.  Уровень безработицы среди молодежи по-прежнему выше по сравнению с уровнем безработицы в других категориях. Скрытая безработица и неполная занятость среди молодежи являются столь же обычными явлениями, что и безработица.  Периоды безработицы сократились, однако доля застойной безработицы остается неизменной.  Специальные центры </w:t>
      </w:r>
      <w:proofErr w:type="spellStart"/>
      <w:r>
        <w:t>профподготовки</w:t>
      </w:r>
      <w:proofErr w:type="spellEnd"/>
      <w:r>
        <w:t xml:space="preserve"> (около 350) для молодежи, созданные при финансовом содействии ЕС, помогают многим молодым людям продолжить свое образование.</w:t>
      </w:r>
    </w:p>
    <w:p w:rsidR="00000000" w:rsidRDefault="00000000">
      <w:pPr>
        <w:tabs>
          <w:tab w:val="clear" w:pos="1134"/>
          <w:tab w:val="left" w:pos="0"/>
          <w:tab w:val="left" w:pos="567"/>
        </w:tabs>
      </w:pPr>
    </w:p>
    <w:p w:rsidR="00000000" w:rsidRDefault="00000000">
      <w:r>
        <w:t>48.</w:t>
      </w:r>
      <w:r>
        <w:tab/>
      </w:r>
      <w:r>
        <w:rPr>
          <w:u w:val="single"/>
        </w:rPr>
        <w:t>Длительно безработные</w:t>
      </w:r>
      <w:r>
        <w:t>.  В наиболее трудном положении в сфере занятости находятся длительно безработные лица, численность которых растет (с 51 330 в 1995 году до 67 000 в 1998 году).  Для выправления сложившейся ситуации была разработана национальная программа для пожилых работников (см. пункт 2 b) ниже).  На сегодняшний день эта программа не принесла каких-либо значительных результатов, поскольку лица в возрасте старше 55 лет по-прежнему могут легко воспользоваться так называемой системой пенсий по безработице.</w:t>
      </w:r>
    </w:p>
    <w:p w:rsidR="00000000" w:rsidRDefault="00000000"/>
    <w:p w:rsidR="00000000" w:rsidRDefault="00000000">
      <w:r>
        <w:br w:type="page"/>
        <w:t>49.</w:t>
      </w:r>
      <w:r>
        <w:tab/>
      </w:r>
      <w:r>
        <w:rPr>
          <w:u w:val="single"/>
        </w:rPr>
        <w:t>Различия по регионам</w:t>
      </w:r>
      <w:r>
        <w:rPr>
          <w:i/>
          <w:u w:val="single"/>
        </w:rPr>
        <w:t>.</w:t>
      </w:r>
      <w:r>
        <w:t xml:space="preserve">  Величина снижения уровня безработицы неодинакова в различных районах страны.  Наиболее заметные улучшения были отмечены в южных и восточных районах Финляндии, где в некоторых городах безработица сократилась почти вдвое;  в ряде населенных пунктов в центральной и восточной части Финляндии уровень безработицы либо остался неизменным, либо даже вырос.</w:t>
      </w:r>
    </w:p>
    <w:p w:rsidR="00000000" w:rsidRDefault="00000000"/>
    <w:p w:rsidR="00000000" w:rsidRDefault="00000000">
      <w:pPr>
        <w:rPr>
          <w:u w:val="single"/>
        </w:rPr>
      </w:pPr>
      <w:r>
        <w:t>2.</w:t>
      </w:r>
      <w:r>
        <w:tab/>
      </w:r>
      <w:proofErr w:type="spellStart"/>
      <w:r>
        <w:t>b</w:t>
      </w:r>
      <w:proofErr w:type="spellEnd"/>
      <w:r>
        <w:t>)</w:t>
      </w:r>
      <w:r>
        <w:tab/>
      </w:r>
      <w:r>
        <w:rPr>
          <w:u w:val="single"/>
        </w:rPr>
        <w:t>Цели и методы политики в области труда</w:t>
      </w:r>
    </w:p>
    <w:p w:rsidR="00000000" w:rsidRDefault="00000000">
      <w:pPr>
        <w:rPr>
          <w:u w:val="single"/>
        </w:rPr>
      </w:pPr>
    </w:p>
    <w:p w:rsidR="00000000" w:rsidRDefault="00000000">
      <w:r>
        <w:t>50.</w:t>
      </w:r>
      <w:r>
        <w:tab/>
        <w:t>Согласно закону о занятости (275/1987), государство должно поощрять стабильное и сбалансированное в региональном отношении экономическое развитие и занятость.  Цель заключается в обеспечении полной занятости на основе свободного выбора вида деятельности и гарантии достаточного жизненного уровня для каждого гражданина.</w:t>
      </w:r>
    </w:p>
    <w:p w:rsidR="00000000" w:rsidRDefault="00000000"/>
    <w:p w:rsidR="00000000" w:rsidRDefault="00000000">
      <w:r>
        <w:t>51.</w:t>
      </w:r>
      <w:r>
        <w:tab/>
        <w:t>Согласно Закону о занятости, безработным должны в приоритетном порядке предоставляться возможности работы или места в учебных заведениях через систему услуг по трудоустройству, которая, согласно Закону об услугах по трудоустройству, включает в себя биржу труда, систему профессиональной ориентации, подготовку с учетом потребностей рынка труда, информирование населения о возможностях обучения и о различных специальностях, а также систему профессиональной реабилитации.  Услуги по трудоустройству могут также включать дополнительные услуги и целевые или приоритетные проекты на региональном уровне, осуществляемые совместно с этими службами.  Для обеспечения региональной и профессиональной мобильности работников предусматривается оказание помощи в связи с переездом к новому месту работы.  В случае невозможности найти работу для лица с помощью интенсивных мер с учетом индивидуальных потребностей такому лицу может быть оказана помощь посредством выделения специальных ассигнований для обеспечения занятости.</w:t>
      </w:r>
    </w:p>
    <w:p w:rsidR="00000000" w:rsidRDefault="00000000"/>
    <w:p w:rsidR="00000000" w:rsidRDefault="00000000">
      <w:r>
        <w:t>52.</w:t>
      </w:r>
      <w:r>
        <w:tab/>
      </w:r>
      <w:r>
        <w:rPr>
          <w:u w:val="single"/>
        </w:rPr>
        <w:t>Повышение эффективности рынков рабочей силы с помощью активной политики в области труда</w:t>
      </w:r>
      <w:r>
        <w:rPr>
          <w:i/>
        </w:rPr>
        <w:t>.</w:t>
      </w:r>
      <w:r>
        <w:t xml:space="preserve">  В начале 1998 года была принята новая политика в области труда для содействия повышению эффективности рынков рабочей силы и предупреждения социальной маргинализации безработных.  Эта политика устанавливает порядок использования услуг по трудоустройству с учетом индивидуальных потребностей, уделяя особое внимание качеству этих услуг.  В рамках этой реформы меры политики в сфере труда дополняются такими элементами, как периодические беседы, индивидуальные планы повышения квалификации и программы поиска работы.  Главная цель реформы - переход от пассивных к более активным мерам политики в области труда.</w:t>
      </w:r>
    </w:p>
    <w:p w:rsidR="00000000" w:rsidRDefault="00000000"/>
    <w:p w:rsidR="00000000" w:rsidRDefault="00000000">
      <w:r>
        <w:br w:type="page"/>
        <w:t>53.</w:t>
      </w:r>
      <w:r>
        <w:tab/>
      </w:r>
      <w:r>
        <w:rPr>
          <w:u w:val="single"/>
        </w:rPr>
        <w:t>Сокращение застойной безработицы и безработицы среди молодежи</w:t>
      </w:r>
      <w:r>
        <w:rPr>
          <w:i/>
        </w:rPr>
        <w:t>.</w:t>
      </w:r>
      <w:r>
        <w:t xml:space="preserve">  В 90-х годах одна из главных целей политики в сфере трудоустройства заключается в снижении численности длительно безработных и молодых безработных, в связи с чем ассигнования на обеспечение занятости направляются в первую очередь на улучшение положения длительно безработных и лиц в возрасте до 25 лет.</w:t>
      </w:r>
    </w:p>
    <w:p w:rsidR="00000000" w:rsidRDefault="00000000"/>
    <w:p w:rsidR="00000000" w:rsidRDefault="00000000">
      <w:r>
        <w:t>54.</w:t>
      </w:r>
      <w:r>
        <w:tab/>
        <w:t>Для облегчения возврата к трудовой жизни после продолжительной безработицы был разработан механизм поиска работы, а также введено новое так называемое комбинационное пособие, выплачиваемое в период занятости, которое предназначено прежде всего для оказания помощи длительно безработным в поиске работы в так называемом третьем секторе.  Кроме того, длительно безработные поощряются к поиску возможностей в области профессиональной подготовки.</w:t>
      </w:r>
    </w:p>
    <w:p w:rsidR="00000000" w:rsidRDefault="00000000"/>
    <w:p w:rsidR="00000000" w:rsidRDefault="00000000">
      <w:r>
        <w:t>55.</w:t>
      </w:r>
      <w:r>
        <w:tab/>
        <w:t>С начала 1996 года для получения пособий в период безработицы молодой неквалифицированный работник в возрасте до 20 лет должен поступить в соответствующее профессионально-техническое училище.  Пособие подлежит выплате в полном объеме в течение всего периода участия данного лица в мероприятии по линии политики в сфере труда.  С начала 1997 года вышеуказанное положение стало распространяться и на неквалифицированных работников в возрасте до 25 лет.  Был увеличен ежегодный прием учащихся и численность ученических и стажерских мест.  Около 90% молодых людей в Финляндии имеют среднее образование.</w:t>
      </w:r>
    </w:p>
    <w:p w:rsidR="00000000" w:rsidRDefault="00000000"/>
    <w:p w:rsidR="00000000" w:rsidRDefault="00000000">
      <w:r>
        <w:t>56.</w:t>
      </w:r>
      <w:r>
        <w:tab/>
        <w:t>Многие муниципалитеты ведут собственную социальную работу и осуществляют другую вспомогательную деятельность в поддержку усилий по обеспечению занятости лиц, живущих на пособие по безработице.  При наличии у безработного желания и заинтересованности ему может быть предоставлена возможность профессиональной подготовки, получения образования или занятия другими видами деятельности.  Молодежь и студенты считают, что эти меры существенно повысили их шансы на трудоустройство.  Муниципальные бюро по вопросам социального обеспечения ведут работу в этой области в сотрудничестве с органами по трудоустройству.</w:t>
      </w:r>
    </w:p>
    <w:p w:rsidR="00000000" w:rsidRDefault="00000000"/>
    <w:p w:rsidR="00000000" w:rsidRDefault="00000000">
      <w:r>
        <w:t>57.</w:t>
      </w:r>
      <w:r>
        <w:tab/>
      </w:r>
      <w:r>
        <w:rPr>
          <w:u w:val="single"/>
        </w:rPr>
        <w:t>Рост спроса на рабочую силу</w:t>
      </w:r>
      <w:r>
        <w:rPr>
          <w:i/>
        </w:rPr>
        <w:t>.</w:t>
      </w:r>
      <w:r>
        <w:t xml:space="preserve">  Трудовая администрация стремится улучшить начальные условия для экономического роста и сохранения стабильных рабочих мест путем, в частности, поддержки предпринимательской деятельности, открывающей новые возможности в сфере трудоустройства.  Другая цель состоит в обеспечении возможности оперативного привлечения работников с требуемой на рынке специализацией.  Повышению профессионального уровня и навыков лиц, подвергающихся опасности </w:t>
      </w:r>
    </w:p>
    <w:p w:rsidR="00000000" w:rsidRDefault="00000000">
      <w:r>
        <w:br w:type="page"/>
        <w:t>маргинализации, служат меры политики в сфере труда, имеющие целью помочь таким лицам конкурировать на равной основе с другими работниками в процессе их возвращения к трудовой жизни.</w:t>
      </w:r>
    </w:p>
    <w:p w:rsidR="00000000" w:rsidRDefault="00000000"/>
    <w:p w:rsidR="00000000" w:rsidRDefault="00000000">
      <w:r>
        <w:t>58.</w:t>
      </w:r>
      <w:r>
        <w:tab/>
      </w:r>
      <w:r>
        <w:rPr>
          <w:u w:val="single"/>
        </w:rPr>
        <w:t>Оказание помощи пожилым работникам в сохранении занятости</w:t>
      </w:r>
      <w:r>
        <w:t>.  По мере улучшения положения в сфере занятости молодежь и в особенности квалифицированные молодые и взрослые работники в настоящее время могут без труда найти работу.  Лицам более старшей возрастной категории (свыше 45 лет), потерявшим работу в период экономического спада, найти работу значительно труднее.  В Финляндии средний возраст выхода на пенсию составляет 59 лет, что является одним из наиболее низких показателей по международным стандартам.</w:t>
      </w:r>
    </w:p>
    <w:p w:rsidR="00000000" w:rsidRDefault="00000000"/>
    <w:p w:rsidR="00000000" w:rsidRDefault="00000000">
      <w:r>
        <w:t>59.</w:t>
      </w:r>
      <w:r>
        <w:tab/>
        <w:t>В период экономического спада для досрочного увольнения работников в связи с выходом на пенсию использовался ряд разработанных в 80-годах механизмов досрочного выхода на пенсию, один из которых получил название системы пенсионного обеспечения по безработице.  Лицу пожилого возраста, не имевшему работы в течение длительного периода, может быть назначена пенсия по безработице вплоть до достижения им возраста, дающего права на получение пенсии по старости.  Пожилым безработным трудоспособного возраста найти работу по-прежнему нелегко.  Их шансы на трудоустройство снижаются из-за более высокой вероятности заболевания, отсутствия на работе по причине болезни и повышенных обязательств работодателя.  Рынок труда 90</w:t>
      </w:r>
      <w:r>
        <w:noBreakHyphen/>
        <w:t>х годов предъявляет весьма высокие требования к работникам, так как профессиональные навыки и знания должны непрерывно обновляться;  одновременно происходит интенсификация труда.  Не имея уверенности в перспективах продолжения занятости и в собственных профессиональных навыках, ряд пожилых работников считают, что для них будет надежнее получать ежедневное пособие по безработице, а впоследствии выйти на пенсию.  Один из отрицательных эффектов системы пенсий по безработице состоит в том, что компании развязывают себе руки в плане увольнения пожилых работников.  Увольнение в связи с выходом на пенсию далеко не всегда производится на основе добровольного желания работника.</w:t>
      </w:r>
    </w:p>
    <w:p w:rsidR="00000000" w:rsidRDefault="00000000"/>
    <w:p w:rsidR="00000000" w:rsidRDefault="00000000">
      <w:r>
        <w:t>60.</w:t>
      </w:r>
      <w:r>
        <w:tab/>
        <w:t>В случае дискриминации по признаку возраста бремя доказывания возлагается на работника.  В этой связи обосновать дискриминацию в сфере труда, о которой идет речь в статье 3 главы 47 Уголовного кодекса, весьма трудно.</w:t>
      </w:r>
    </w:p>
    <w:p w:rsidR="00000000" w:rsidRDefault="00000000"/>
    <w:p w:rsidR="00000000" w:rsidRDefault="00000000">
      <w:r>
        <w:t>61.</w:t>
      </w:r>
      <w:r>
        <w:tab/>
        <w:t xml:space="preserve">В 1997 году правительство приступило к осуществлению пятилетней национальной программы в интересах пожилых работников для осуществления необходимых мер и создало руководящую группу в составе представителей нескольких министерств, </w:t>
      </w:r>
    </w:p>
    <w:p w:rsidR="00000000" w:rsidRDefault="00000000">
      <w:r>
        <w:br w:type="page"/>
        <w:t xml:space="preserve">основных организаций работодателей и работников, а также пенсионных учреждений и научно-исследовательских институтов.  Цель заключается в повышении среднего возраста выхода на пенсию и в совершенствовании условий труда, с тем чтобы работники старших возрастов могли продолжать трудиться вплоть до достижения ими возраста, дающего право на получение законной пенсии по старости, и чтобы безработные в возрасте старше 45 лет имели шансы на трудоустройство.  Ряд проведенных исследований показывает, что лица среднего и старшего возраста обладают значительно более высокой способностью к обучению и адаптации к изменению условий труда и что они более компетентны и обладают более высокими профессиональными навыками, чем это принято считать.  Развитие и расширение возможностей профессионального обучения дает работникам старшего возраста и безработным возможность получить новые знания и профессиональные навыки.  </w:t>
      </w:r>
      <w:proofErr w:type="spellStart"/>
      <w:r>
        <w:t>Обучeние</w:t>
      </w:r>
      <w:proofErr w:type="spellEnd"/>
      <w:r>
        <w:t xml:space="preserve"> также организуется для ряда так называемых ключевых групп в сфере труда, таких, как сотрудники, занимающиеся техникой безопасности и работающие в системе здравоохранения, в службах производственной гигиены, в администрации, в системе трудовой инспекции и в центрах по трудоустройству и экономическому развитию, а также сотрудники органов просвещения и преподаватели учебных заведений для взрослых.  На начальном  этапе основное внимание уделяется информации и коммуникации.  Цель заключается в попытке изменить сложившиеся стереотипы в отношении работников старшего возраста и по-новому взглянуть на их вклад в производственный процесс.</w:t>
      </w:r>
    </w:p>
    <w:p w:rsidR="00000000" w:rsidRDefault="00000000"/>
    <w:p w:rsidR="00000000" w:rsidRDefault="00000000">
      <w:r>
        <w:t>62.</w:t>
      </w:r>
      <w:r>
        <w:tab/>
        <w:t>Основная ответственность за разработку, реализацию и оценку результатов национальной программы в интересах работников пожилого возраста была возложена на организации, действующие на рынке рабочей силы, и министерство социальных вопросов и здравоохранения.  Осуществление ряда ключевых функций было также поручено министерству труда и министерству просвещения.</w:t>
      </w:r>
    </w:p>
    <w:p w:rsidR="00000000" w:rsidRDefault="00000000"/>
    <w:p w:rsidR="00000000" w:rsidRDefault="00000000">
      <w:r>
        <w:t>2.</w:t>
      </w:r>
      <w:r>
        <w:tab/>
        <w:t>c)</w:t>
      </w:r>
      <w:r>
        <w:tab/>
        <w:t xml:space="preserve"> </w:t>
      </w:r>
      <w:r>
        <w:rPr>
          <w:u w:val="single"/>
        </w:rPr>
        <w:t>Уровень производительности</w:t>
      </w:r>
    </w:p>
    <w:p w:rsidR="00000000" w:rsidRDefault="00000000"/>
    <w:p w:rsidR="00000000" w:rsidRDefault="00000000">
      <w:r>
        <w:t>63.</w:t>
      </w:r>
      <w:r>
        <w:tab/>
      </w:r>
      <w:r>
        <w:rPr>
          <w:u w:val="single"/>
        </w:rPr>
        <w:t>Программа развития в сфере труда</w:t>
      </w:r>
      <w:r>
        <w:rPr>
          <w:i/>
        </w:rPr>
        <w:t xml:space="preserve">.  </w:t>
      </w:r>
      <w:r>
        <w:t>В 1995 году правительство постановило приступить к осуществлению четырехлетней общенациональной программы развития в сфере труда.  Цели этой программы заключались в увеличении производительности и повышении качества трудовой жизни посредством более эффективного использования рабочей силы, накопления ноу-хау и поощрения инновационных подходов.  Эти цели реализуются путем развития кадровых ресурсов и поощрения компаний и государственных учреждений к реорганизации их трудовых процессов.  Программа состоит из 280 различных проектов развития и охватывает 450 предприятий и 40 000 работников.  Общий бюджет программы на период 1996-1999 годов составляет 95 миллионов финляндских марок.  Эта программа развития рассчитана до 2003 года.</w:t>
      </w:r>
    </w:p>
    <w:p w:rsidR="00000000" w:rsidRDefault="00000000"/>
    <w:p w:rsidR="00000000" w:rsidRDefault="00000000">
      <w:r>
        <w:t>64.</w:t>
      </w:r>
      <w:r>
        <w:tab/>
      </w:r>
      <w:r>
        <w:rPr>
          <w:u w:val="single"/>
        </w:rPr>
        <w:t>Фонды персонала</w:t>
      </w:r>
      <w:r>
        <w:t>.  Закон о фондах персонала (814/1989) вступил в силу в январе 1990 года.  Цель этих фондов – активизировать сотрудничество между компаниями, стимулировать персонал к достижению более высоких производственных результатов и тем самым повысить конкурентоспособность компаний.  Фонд персонала представляет собой организацию, которая учреждается и принадлежит персоналу соответствующей компании и которая распоряжается премиальными отчислениями из прибыли работодателя, а также прибылью от инвестирования премиальных отчислений.  Зарегистрированный фонд - это независимое юридическое лицо, имеющее собственные директивные органы.  На конец 1998 года в стране действовал 41 фонд, объединяющий около 94 000 работников.</w:t>
      </w:r>
    </w:p>
    <w:p w:rsidR="00000000" w:rsidRDefault="00000000"/>
    <w:p w:rsidR="00000000" w:rsidRDefault="00000000">
      <w:r>
        <w:t>65.</w:t>
      </w:r>
      <w:r>
        <w:tab/>
        <w:t>Предложение правительства о внесении поправок в Закон о фондах персонала было принято парламентом 12 марта 1999 года.  На сегодняшний день предусматривается равная возможность создания фондов как в департаментах гражданской службы, так и в государственных учреждениях и на государственных предприятиях.  Система оплаты по результатам труда, применяемая в департаментах и учреждениях гражданской службы, соответствует системе премиальных отчислений от прибыли, необходимой для создания фонда персонала, при этом система оплаты в зависимости от производственных показателей может рассматриваться как тождественная системе премиальных отчислений, описание которой приведено в Законе о фондах персонала.</w:t>
      </w:r>
    </w:p>
    <w:p w:rsidR="00000000" w:rsidRDefault="00000000"/>
    <w:p w:rsidR="00000000" w:rsidRDefault="00000000">
      <w:r>
        <w:t>66.</w:t>
      </w:r>
      <w:r>
        <w:tab/>
      </w:r>
      <w:r>
        <w:rPr>
          <w:u w:val="single"/>
        </w:rPr>
        <w:t>Программа повышения производительности труда</w:t>
      </w:r>
      <w:r>
        <w:t>.  В настоящее время в Финляндии осуществляется инициированная Экономическим советом общенациональная программа повышения производительности труда на период 1996-1999 годов.  Цель программы - повысить производительность финских компаний и других организаций, а следовательно и укрепить международную конкурентоспособность Финляндии, улучшить положение в сфере занятости и оказать помощь трудовым коллективам в повышении их эффективности.  Эта программа поддерживается правительством, организациями в сфере труда, муниципальными органами и предпринимателями.  В общей сложности начато осуществление 16 различных научных проектов и проектов в области развития, которые должны способствовать изменениям в сфере труда и трудовых сообществах и повышению благосостояния и процветанию в сфере труда.  Нынешнее правительство приняло решение о продолжении осуществления общенациональной программы повышения производительности труда в период 2000-2003 годов и выделило для этой цели дополнительные ресурсы.</w:t>
      </w:r>
    </w:p>
    <w:p w:rsidR="00000000" w:rsidRDefault="00000000">
      <w:pPr>
        <w:pStyle w:val="FootnoteText"/>
        <w:spacing w:line="288" w:lineRule="auto"/>
      </w:pPr>
    </w:p>
    <w:p w:rsidR="00000000" w:rsidRDefault="00000000">
      <w:r>
        <w:br w:type="page"/>
        <w:t>2.</w:t>
      </w:r>
      <w:r>
        <w:tab/>
      </w:r>
      <w:proofErr w:type="spellStart"/>
      <w:r>
        <w:t>d</w:t>
      </w:r>
      <w:proofErr w:type="spellEnd"/>
      <w:r>
        <w:t>)</w:t>
      </w:r>
      <w:r>
        <w:tab/>
      </w:r>
      <w:r>
        <w:rPr>
          <w:u w:val="single"/>
        </w:rPr>
        <w:t>Свобода выбора трудовой деятельности</w:t>
      </w:r>
    </w:p>
    <w:p w:rsidR="00000000" w:rsidRDefault="00000000"/>
    <w:p w:rsidR="00000000" w:rsidRDefault="00000000">
      <w:r>
        <w:t>67.</w:t>
      </w:r>
      <w:r>
        <w:tab/>
        <w:t>Основополагающие права граждан также включают право на труд и свободу выбора вида деятельности (статья 15 Закона о Конституции;  статья 18 Конституции Финляндии).  Согласно Конституции Финляндии, все лица имеют право получать средства к существованию путем различных видов трудовой деятельности, занятий или промыслов по их выбору.</w:t>
      </w:r>
    </w:p>
    <w:p w:rsidR="00000000" w:rsidRDefault="00000000"/>
    <w:p w:rsidR="00000000" w:rsidRDefault="00000000">
      <w:r>
        <w:t>68.</w:t>
      </w:r>
      <w:r>
        <w:tab/>
        <w:t>Разумеется, для реализации этой свободы должны быть созданы определенные предварительные условия (включая наличие вакансий, необходимого диплома, опыта и специальных знаний, удовлетворение критериев для занятия государственных постов и т.д.).  Кроме того, Конституция предусматривает возможность ограничения этой свободы на основе законодательства.  В соответствии с положениями Закона об иностранцах (378/1991) иностранные граждане для работы в Финляндии должны иметь разрешение на работу (согласно Соглашению о европейской экономической зоне (СЕЭЗ), это требование не распространяется на граждан государств – членов Европейского союза и членов их семей).  Закон о праве заниматься трудовой деятельностью, основанный на признании свободы трудовой деятельности, предусматривает ограничение этого права, например в случае, когда для занятия тем или иным видом деятельности требуется лицензия.  Эта норма создает общеправовую базу для принятия законодательных актов или постановлений в отношении перечисленных в законе видов трудовой деятельности.  За последние несколько лет в законодательстве произошли изменения в направлении уменьшения количества видов деятельности, для занятия которыми требуется лицензия, а также повышения статуса нормативной базы, регулирующей трудовую деятельность, с уровня постановлений до уровня законодательных положений.  Вместе с тем требование о необходимости получения специального разрешения, по всей видимости, будет сохранено в положениях, касающихся охраны и безопасности труда.</w:t>
      </w:r>
    </w:p>
    <w:p w:rsidR="00000000" w:rsidRDefault="00000000"/>
    <w:p w:rsidR="00000000" w:rsidRDefault="00000000">
      <w:r>
        <w:t>69.</w:t>
      </w:r>
      <w:r>
        <w:tab/>
        <w:t>Принцип защиты личной свободы, предусмотренный в статье 6 Закона о Конституции Финляндии, включает и идею о том, что в основе трудовой деятельности, как правило, должен лежать добровольный выбор.  Исключение составляют, в частности, работа заключенных, воинская или альтернативная служба, а также выполнение обязанностей, связанных с чрезвычайными ситуациями.</w:t>
      </w:r>
    </w:p>
    <w:p w:rsidR="00000000" w:rsidRDefault="00000000"/>
    <w:p w:rsidR="00000000" w:rsidRDefault="00000000">
      <w:r>
        <w:br w:type="page"/>
        <w:t>2.</w:t>
      </w:r>
      <w:r>
        <w:tab/>
      </w:r>
      <w:proofErr w:type="spellStart"/>
      <w:r>
        <w:t>e</w:t>
      </w:r>
      <w:proofErr w:type="spellEnd"/>
      <w:r>
        <w:t>)</w:t>
      </w:r>
      <w:r>
        <w:tab/>
      </w:r>
      <w:r>
        <w:rPr>
          <w:u w:val="single"/>
        </w:rPr>
        <w:t>Программы профессионально-технической подготовки</w:t>
      </w:r>
    </w:p>
    <w:p w:rsidR="00000000" w:rsidRDefault="00000000"/>
    <w:p w:rsidR="00000000" w:rsidRDefault="00000000">
      <w:r>
        <w:t>70.</w:t>
      </w:r>
      <w:r>
        <w:tab/>
        <w:t xml:space="preserve">В соответствии с Законом о профессиональной подготовке (630/1998) цель такой подготовки состоит в повышении уровня квалификации работников, в частности с учетом потребностей рынка рабочей силы, в совершенствовании сферы труда и содействии занятости.  Базовая профессиональная подготовка направлена на приобретение учащимися знаний и навыков, необходимых для трудовой деятельности.  Такая подготовка также имеет целью помочь учащимся стать полезными и полноправными членами общества и создать необходимые условия для всестороннего развития личности и постоянного наращивания знаний.  </w:t>
      </w:r>
    </w:p>
    <w:p w:rsidR="00000000" w:rsidRDefault="00000000"/>
    <w:p w:rsidR="00000000" w:rsidRDefault="00000000">
      <w:r>
        <w:t>71.</w:t>
      </w:r>
      <w:r>
        <w:tab/>
        <w:t>Базовое профессионально-техническое образование можно получить в средних школах второй ступени и в системе высшего специального образования в политехнических вузах.  Молодежь и взрослые могут поступать в учебные заведения в системе базового профессионального образования по следующему профилю:  природные ресурсы, технологии, транспорт и коммуникации, управление и торговля, туризм, пищевая промышленность и экономика, социальное обеспечение и здравоохранение, культура, досуг и физическая подготовка.</w:t>
      </w:r>
    </w:p>
    <w:p w:rsidR="00000000" w:rsidRDefault="00000000"/>
    <w:p w:rsidR="00000000" w:rsidRDefault="00000000">
      <w:r>
        <w:t>72.</w:t>
      </w:r>
      <w:r>
        <w:tab/>
        <w:t>В 1997 году в профессионально-технических учебных заведениях (в последних классах средних школ, в колледжах и высших специальных учебных заведениях) обучалось в общей сложности 153 500 студентов.  В 1996 году число студентов составляло 166 000 человек.</w:t>
      </w:r>
    </w:p>
    <w:p w:rsidR="00000000" w:rsidRDefault="00000000"/>
    <w:p w:rsidR="00000000" w:rsidRDefault="00000000">
      <w:r>
        <w:t>73.</w:t>
      </w:r>
      <w:r>
        <w:tab/>
        <w:t>Поощрение равноправия мужчин и женщин является одной из задач образования и в целом не вызывает каких-либо трудностей.  Проблема состоит в том, что образование и, следовательно, специальности по-прежнему четко разделяются на мужские и женские.  Борьба с сегрегацией в сфере образования и выбора профессии ведется посредством широкой консультационно-пропагандистской работы, путем предоставления возможностей в области дополнительного образования и повышения квалификации преподавателей, а также путем структурных улучшений и расширения учебных программ.  Принимаются меры для увеличения численности женщин, обучающихся по таким специальностям, как электронная техника и инженерное дело в целом, с тем чтобы иметь возможность удовлетворить будущие кадровые потребности в этих отраслях.</w:t>
      </w:r>
    </w:p>
    <w:p w:rsidR="00000000" w:rsidRDefault="00000000"/>
    <w:p w:rsidR="00000000" w:rsidRDefault="00000000">
      <w:r>
        <w:t>74.</w:t>
      </w:r>
      <w:r>
        <w:tab/>
        <w:t xml:space="preserve">На основе Закона (763/1990) и Постановления (912/1990) о профессиональной подготовке с учетом потребностей рынка рабочей силы обучение специалистов с учетом рыночной конъюнктуры направлено на </w:t>
      </w:r>
      <w:proofErr w:type="spellStart"/>
      <w:r>
        <w:t>уравновешивание</w:t>
      </w:r>
      <w:proofErr w:type="spellEnd"/>
      <w:r>
        <w:t xml:space="preserve"> спроса и предложения рабочей силы и предупреждение дефицита рабочей силы.  Подготовка специалистов с учетом потребностей рынка главным образом реализуется в сфере профессионально-технического образования, т.е. в центрах подготовки для взрослых, профессионально-технических училищах и других учебных заведениях.  Трудовая администрация определяет потребности в подготовке специалистов, объявляет конкурсы, оплачивает образовательные услуги и ведет отбор студентов.  Основная ответственность за реализацию этих функций возлагается на департаменты по вопросам труда различных центров по проблемам занятости и экономического развития.  В случае, если это признано целесообразным с точки зрения политики в сфере труда или, возможно, по другим причинам, выбирается полная или неполная форма обучения с вручением диплома.</w:t>
      </w:r>
    </w:p>
    <w:p w:rsidR="00000000" w:rsidRDefault="00000000"/>
    <w:p w:rsidR="00000000" w:rsidRDefault="00000000">
      <w:r>
        <w:t>75.</w:t>
      </w:r>
      <w:r>
        <w:tab/>
        <w:t>Лицо, зачисленное в учебное заведение в системе профессиональной подготовки с учетом конъюнктуры рынка труда, пользуется правом на получение стипендии, размер которой соответствует размеру дневного пособия по безработице, а также необлагаемого налогом пособия на жизнь.</w:t>
      </w:r>
    </w:p>
    <w:p w:rsidR="00000000" w:rsidRDefault="00000000"/>
    <w:tbl>
      <w:tblPr>
        <w:tblW w:w="0" w:type="auto"/>
        <w:tblInd w:w="-106" w:type="dxa"/>
        <w:tblLayout w:type="fixed"/>
        <w:tblLook w:val="0000" w:firstRow="0" w:lastRow="0" w:firstColumn="0" w:lastColumn="0" w:noHBand="0" w:noVBand="0"/>
      </w:tblPr>
      <w:tblGrid>
        <w:gridCol w:w="3085"/>
        <w:gridCol w:w="1985"/>
        <w:gridCol w:w="2409"/>
        <w:gridCol w:w="2089"/>
      </w:tblGrid>
      <w:tr w:rsidR="00000000">
        <w:tblPrEx>
          <w:tblCellMar>
            <w:top w:w="0" w:type="dxa"/>
            <w:bottom w:w="0" w:type="dxa"/>
          </w:tblCellMar>
        </w:tblPrEx>
        <w:trPr>
          <w:trHeight w:val="428"/>
        </w:trPr>
        <w:tc>
          <w:tcPr>
            <w:tcW w:w="3085" w:type="dxa"/>
            <w:tcBorders>
              <w:top w:val="single" w:sz="4" w:space="0" w:color="auto"/>
              <w:left w:val="single" w:sz="4" w:space="0" w:color="auto"/>
              <w:bottom w:val="single" w:sz="4" w:space="0" w:color="auto"/>
              <w:right w:val="single" w:sz="4" w:space="0" w:color="auto"/>
            </w:tcBorders>
          </w:tcPr>
          <w:p w:rsidR="00000000" w:rsidRDefault="00000000"/>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jc w:val="center"/>
              <w:rPr>
                <w:b/>
              </w:rPr>
            </w:pPr>
            <w:r>
              <w:rPr>
                <w:b/>
              </w:rPr>
              <w:t>1995</w:t>
            </w:r>
          </w:p>
        </w:tc>
        <w:tc>
          <w:tcPr>
            <w:tcW w:w="2409"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 w:val="left" w:pos="1453"/>
                <w:tab w:val="left" w:pos="2304"/>
              </w:tabs>
              <w:jc w:val="center"/>
              <w:rPr>
                <w:b/>
              </w:rPr>
            </w:pPr>
            <w:r>
              <w:rPr>
                <w:b/>
              </w:rPr>
              <w:t>1996</w:t>
            </w:r>
          </w:p>
        </w:tc>
        <w:tc>
          <w:tcPr>
            <w:tcW w:w="2089"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 w:val="left" w:pos="1755"/>
                <w:tab w:val="left" w:pos="2180"/>
              </w:tabs>
              <w:jc w:val="center"/>
              <w:rPr>
                <w:b/>
              </w:rPr>
            </w:pPr>
            <w:r>
              <w:rPr>
                <w:b/>
              </w:rPr>
              <w:t>1997</w:t>
            </w:r>
          </w:p>
        </w:tc>
      </w:tr>
      <w:tr w:rsidR="00000000">
        <w:tblPrEx>
          <w:tblCellMar>
            <w:top w:w="0" w:type="dxa"/>
            <w:bottom w:w="0" w:type="dxa"/>
          </w:tblCellMar>
        </w:tblPrEx>
        <w:tc>
          <w:tcPr>
            <w:tcW w:w="3085" w:type="dxa"/>
            <w:tcBorders>
              <w:left w:val="single" w:sz="4" w:space="0" w:color="auto"/>
              <w:bottom w:val="single" w:sz="4" w:space="0" w:color="auto"/>
              <w:right w:val="single" w:sz="4" w:space="0" w:color="auto"/>
            </w:tcBorders>
          </w:tcPr>
          <w:p w:rsidR="00000000" w:rsidRDefault="00000000">
            <w:r>
              <w:t>Количество заявлений</w:t>
            </w:r>
          </w:p>
        </w:tc>
        <w:tc>
          <w:tcPr>
            <w:tcW w:w="1985" w:type="dxa"/>
            <w:tcBorders>
              <w:left w:val="single" w:sz="4" w:space="0" w:color="auto"/>
              <w:bottom w:val="single" w:sz="4" w:space="0" w:color="auto"/>
              <w:right w:val="single" w:sz="4" w:space="0" w:color="auto"/>
            </w:tcBorders>
          </w:tcPr>
          <w:p w:rsidR="00000000" w:rsidRDefault="00000000">
            <w:pPr>
              <w:tabs>
                <w:tab w:val="clear" w:pos="1701"/>
                <w:tab w:val="clear" w:pos="2268"/>
                <w:tab w:val="left" w:pos="1577"/>
              </w:tabs>
              <w:jc w:val="center"/>
            </w:pPr>
            <w:r>
              <w:t>192 530</w:t>
            </w:r>
          </w:p>
        </w:tc>
        <w:tc>
          <w:tcPr>
            <w:tcW w:w="2409" w:type="dxa"/>
            <w:tcBorders>
              <w:left w:val="single" w:sz="4" w:space="0" w:color="auto"/>
              <w:bottom w:val="single" w:sz="4" w:space="0" w:color="auto"/>
              <w:right w:val="single" w:sz="4" w:space="0" w:color="auto"/>
            </w:tcBorders>
          </w:tcPr>
          <w:p w:rsidR="00000000" w:rsidRDefault="00000000">
            <w:pPr>
              <w:tabs>
                <w:tab w:val="clear" w:pos="2268"/>
                <w:tab w:val="left" w:pos="1595"/>
              </w:tabs>
              <w:jc w:val="center"/>
            </w:pPr>
            <w:r>
              <w:t>224 932</w:t>
            </w:r>
          </w:p>
        </w:tc>
        <w:tc>
          <w:tcPr>
            <w:tcW w:w="2089" w:type="dxa"/>
            <w:tcBorders>
              <w:left w:val="single" w:sz="4" w:space="0" w:color="auto"/>
              <w:bottom w:val="single" w:sz="4" w:space="0" w:color="auto"/>
              <w:right w:val="single" w:sz="4" w:space="0" w:color="auto"/>
            </w:tcBorders>
          </w:tcPr>
          <w:p w:rsidR="00000000" w:rsidRDefault="00000000">
            <w:pPr>
              <w:tabs>
                <w:tab w:val="clear" w:pos="2268"/>
                <w:tab w:val="left" w:pos="2180"/>
              </w:tabs>
              <w:jc w:val="center"/>
            </w:pPr>
            <w:r>
              <w:t>256 494</w:t>
            </w:r>
          </w:p>
        </w:tc>
      </w:tr>
      <w:tr w:rsidR="00000000">
        <w:tblPrEx>
          <w:tblCellMar>
            <w:top w:w="0" w:type="dxa"/>
            <w:bottom w:w="0" w:type="dxa"/>
          </w:tblCellMar>
        </w:tblPrEx>
        <w:tc>
          <w:tcPr>
            <w:tcW w:w="3085" w:type="dxa"/>
            <w:tcBorders>
              <w:top w:val="single" w:sz="4" w:space="0" w:color="auto"/>
              <w:left w:val="single" w:sz="4" w:space="0" w:color="auto"/>
              <w:bottom w:val="single" w:sz="4" w:space="0" w:color="auto"/>
              <w:right w:val="single" w:sz="4" w:space="0" w:color="auto"/>
            </w:tcBorders>
          </w:tcPr>
          <w:p w:rsidR="00000000" w:rsidRDefault="00000000">
            <w:r>
              <w:t>Количество абитуриентов</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 w:val="left" w:pos="1577"/>
              </w:tabs>
              <w:jc w:val="center"/>
            </w:pPr>
            <w:r>
              <w:t>136 856</w:t>
            </w:r>
          </w:p>
        </w:tc>
        <w:tc>
          <w:tcPr>
            <w:tcW w:w="2409" w:type="dxa"/>
            <w:tcBorders>
              <w:top w:val="single" w:sz="4" w:space="0" w:color="auto"/>
              <w:left w:val="single" w:sz="4" w:space="0" w:color="auto"/>
              <w:bottom w:val="single" w:sz="4" w:space="0" w:color="auto"/>
              <w:right w:val="single" w:sz="4" w:space="0" w:color="auto"/>
            </w:tcBorders>
          </w:tcPr>
          <w:p w:rsidR="00000000" w:rsidRDefault="00000000">
            <w:pPr>
              <w:tabs>
                <w:tab w:val="clear" w:pos="2268"/>
                <w:tab w:val="left" w:pos="1595"/>
              </w:tabs>
              <w:jc w:val="center"/>
            </w:pPr>
            <w:r>
              <w:t>162 285</w:t>
            </w:r>
          </w:p>
        </w:tc>
        <w:tc>
          <w:tcPr>
            <w:tcW w:w="2089" w:type="dxa"/>
            <w:tcBorders>
              <w:top w:val="single" w:sz="4" w:space="0" w:color="auto"/>
              <w:left w:val="single" w:sz="4" w:space="0" w:color="auto"/>
              <w:bottom w:val="single" w:sz="4" w:space="0" w:color="auto"/>
              <w:right w:val="single" w:sz="4" w:space="0" w:color="auto"/>
            </w:tcBorders>
          </w:tcPr>
          <w:p w:rsidR="00000000" w:rsidRDefault="00000000">
            <w:pPr>
              <w:tabs>
                <w:tab w:val="clear" w:pos="2268"/>
                <w:tab w:val="left" w:pos="2180"/>
              </w:tabs>
              <w:jc w:val="center"/>
            </w:pPr>
            <w:r>
              <w:t>182 754</w:t>
            </w:r>
          </w:p>
        </w:tc>
      </w:tr>
      <w:tr w:rsidR="00000000">
        <w:tblPrEx>
          <w:tblCellMar>
            <w:top w:w="0" w:type="dxa"/>
            <w:bottom w:w="0" w:type="dxa"/>
          </w:tblCellMar>
        </w:tblPrEx>
        <w:tc>
          <w:tcPr>
            <w:tcW w:w="3085" w:type="dxa"/>
            <w:tcBorders>
              <w:top w:val="single" w:sz="4" w:space="0" w:color="auto"/>
              <w:left w:val="single" w:sz="4" w:space="0" w:color="auto"/>
              <w:bottom w:val="single" w:sz="4" w:space="0" w:color="auto"/>
              <w:right w:val="single" w:sz="4" w:space="0" w:color="auto"/>
            </w:tcBorders>
          </w:tcPr>
          <w:p w:rsidR="00000000" w:rsidRDefault="00000000">
            <w:r>
              <w:t>Количество учащихся</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 w:val="left" w:pos="1577"/>
              </w:tabs>
              <w:jc w:val="center"/>
            </w:pPr>
            <w:r>
              <w:t>93 086</w:t>
            </w:r>
          </w:p>
        </w:tc>
        <w:tc>
          <w:tcPr>
            <w:tcW w:w="2409" w:type="dxa"/>
            <w:tcBorders>
              <w:top w:val="single" w:sz="4" w:space="0" w:color="auto"/>
              <w:left w:val="single" w:sz="4" w:space="0" w:color="auto"/>
              <w:bottom w:val="single" w:sz="4" w:space="0" w:color="auto"/>
              <w:right w:val="single" w:sz="4" w:space="0" w:color="auto"/>
            </w:tcBorders>
          </w:tcPr>
          <w:p w:rsidR="00000000" w:rsidRDefault="00000000">
            <w:pPr>
              <w:tabs>
                <w:tab w:val="clear" w:pos="2268"/>
                <w:tab w:val="left" w:pos="1595"/>
                <w:tab w:val="left" w:pos="1737"/>
              </w:tabs>
              <w:jc w:val="center"/>
            </w:pPr>
            <w:r>
              <w:t>118 521</w:t>
            </w:r>
          </w:p>
        </w:tc>
        <w:tc>
          <w:tcPr>
            <w:tcW w:w="2089" w:type="dxa"/>
            <w:tcBorders>
              <w:top w:val="single" w:sz="4" w:space="0" w:color="auto"/>
              <w:left w:val="single" w:sz="4" w:space="0" w:color="auto"/>
              <w:bottom w:val="single" w:sz="4" w:space="0" w:color="auto"/>
              <w:right w:val="single" w:sz="4" w:space="0" w:color="auto"/>
            </w:tcBorders>
          </w:tcPr>
          <w:p w:rsidR="00000000" w:rsidRDefault="00000000">
            <w:pPr>
              <w:tabs>
                <w:tab w:val="clear" w:pos="2268"/>
                <w:tab w:val="left" w:pos="2180"/>
              </w:tabs>
              <w:jc w:val="center"/>
            </w:pPr>
            <w:r>
              <w:t>134 325</w:t>
            </w:r>
          </w:p>
        </w:tc>
      </w:tr>
      <w:tr w:rsidR="00000000">
        <w:tblPrEx>
          <w:tblCellMar>
            <w:top w:w="0" w:type="dxa"/>
            <w:bottom w:w="0" w:type="dxa"/>
          </w:tblCellMar>
        </w:tblPrEx>
        <w:tc>
          <w:tcPr>
            <w:tcW w:w="3085" w:type="dxa"/>
            <w:tcBorders>
              <w:top w:val="single" w:sz="4" w:space="0" w:color="auto"/>
              <w:left w:val="single" w:sz="4" w:space="0" w:color="auto"/>
              <w:bottom w:val="single" w:sz="4" w:space="0" w:color="auto"/>
              <w:right w:val="single" w:sz="4" w:space="0" w:color="auto"/>
            </w:tcBorders>
          </w:tcPr>
          <w:p w:rsidR="00000000" w:rsidRDefault="00000000">
            <w:r>
              <w:t>Число лиц, прошедших курс обучения</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 w:val="left" w:pos="1577"/>
              </w:tabs>
              <w:jc w:val="center"/>
            </w:pPr>
            <w:r>
              <w:t>72 678</w:t>
            </w:r>
          </w:p>
        </w:tc>
        <w:tc>
          <w:tcPr>
            <w:tcW w:w="2409" w:type="dxa"/>
            <w:tcBorders>
              <w:top w:val="single" w:sz="4" w:space="0" w:color="auto"/>
              <w:left w:val="single" w:sz="4" w:space="0" w:color="auto"/>
              <w:bottom w:val="single" w:sz="4" w:space="0" w:color="auto"/>
              <w:right w:val="single" w:sz="4" w:space="0" w:color="auto"/>
            </w:tcBorders>
          </w:tcPr>
          <w:p w:rsidR="00000000" w:rsidRDefault="00000000">
            <w:pPr>
              <w:tabs>
                <w:tab w:val="clear" w:pos="2268"/>
                <w:tab w:val="left" w:pos="1595"/>
              </w:tabs>
              <w:jc w:val="center"/>
            </w:pPr>
            <w:r>
              <w:t>103 640</w:t>
            </w:r>
          </w:p>
        </w:tc>
        <w:tc>
          <w:tcPr>
            <w:tcW w:w="2089" w:type="dxa"/>
            <w:tcBorders>
              <w:top w:val="single" w:sz="4" w:space="0" w:color="auto"/>
              <w:left w:val="single" w:sz="4" w:space="0" w:color="auto"/>
              <w:bottom w:val="single" w:sz="4" w:space="0" w:color="auto"/>
              <w:right w:val="single" w:sz="4" w:space="0" w:color="auto"/>
            </w:tcBorders>
          </w:tcPr>
          <w:p w:rsidR="00000000" w:rsidRDefault="00000000">
            <w:pPr>
              <w:tabs>
                <w:tab w:val="clear" w:pos="2268"/>
                <w:tab w:val="left" w:pos="2180"/>
              </w:tabs>
              <w:jc w:val="center"/>
            </w:pPr>
            <w:r>
              <w:t>122 004</w:t>
            </w:r>
          </w:p>
        </w:tc>
      </w:tr>
      <w:tr w:rsidR="00000000">
        <w:tblPrEx>
          <w:tblCellMar>
            <w:top w:w="0" w:type="dxa"/>
            <w:bottom w:w="0" w:type="dxa"/>
          </w:tblCellMar>
        </w:tblPrEx>
        <w:tc>
          <w:tcPr>
            <w:tcW w:w="3085" w:type="dxa"/>
            <w:tcBorders>
              <w:top w:val="single" w:sz="4" w:space="0" w:color="auto"/>
              <w:left w:val="single" w:sz="4" w:space="0" w:color="auto"/>
              <w:bottom w:val="single" w:sz="4" w:space="0" w:color="auto"/>
              <w:right w:val="single" w:sz="4" w:space="0" w:color="auto"/>
            </w:tcBorders>
          </w:tcPr>
          <w:p w:rsidR="00000000" w:rsidRDefault="00000000">
            <w:r>
              <w:t>Средняя численность учащихся</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 w:val="left" w:pos="1577"/>
              </w:tabs>
              <w:jc w:val="center"/>
            </w:pPr>
            <w:r>
              <w:t>33 900</w:t>
            </w:r>
          </w:p>
        </w:tc>
        <w:tc>
          <w:tcPr>
            <w:tcW w:w="2409" w:type="dxa"/>
            <w:tcBorders>
              <w:top w:val="single" w:sz="4" w:space="0" w:color="auto"/>
              <w:left w:val="single" w:sz="4" w:space="0" w:color="auto"/>
              <w:bottom w:val="single" w:sz="4" w:space="0" w:color="auto"/>
              <w:right w:val="single" w:sz="4" w:space="0" w:color="auto"/>
            </w:tcBorders>
          </w:tcPr>
          <w:p w:rsidR="00000000" w:rsidRDefault="00000000">
            <w:pPr>
              <w:tabs>
                <w:tab w:val="clear" w:pos="2268"/>
                <w:tab w:val="left" w:pos="1595"/>
              </w:tabs>
              <w:jc w:val="center"/>
            </w:pPr>
            <w:r>
              <w:t>42 300</w:t>
            </w:r>
          </w:p>
        </w:tc>
        <w:tc>
          <w:tcPr>
            <w:tcW w:w="2089" w:type="dxa"/>
            <w:tcBorders>
              <w:top w:val="single" w:sz="4" w:space="0" w:color="auto"/>
              <w:left w:val="single" w:sz="4" w:space="0" w:color="auto"/>
              <w:bottom w:val="single" w:sz="4" w:space="0" w:color="auto"/>
              <w:right w:val="single" w:sz="4" w:space="0" w:color="auto"/>
            </w:tcBorders>
          </w:tcPr>
          <w:p w:rsidR="00000000" w:rsidRDefault="00000000">
            <w:pPr>
              <w:tabs>
                <w:tab w:val="clear" w:pos="2268"/>
                <w:tab w:val="left" w:pos="2180"/>
              </w:tabs>
              <w:jc w:val="center"/>
            </w:pPr>
            <w:r>
              <w:t>46 800</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t>76.</w:t>
      </w:r>
      <w:r>
        <w:tab/>
        <w:t>В связи с экономическим спадом и неблагоприятной обстановкой в сфере занятости в первой половине 90-х годов объем профессиональной подготовки в этом десятилетии резко возрос.  Даже несмотря на постепенное улучшение положения в сфере занятости, по-прежнему существует устойчивый спрос на услуги системы профессиональной подготовки, и поступить в соответствующие учебные заведения нелегко.  В 1997 году в учебные заведения было принято 52% абитуриентов.</w:t>
      </w:r>
    </w:p>
    <w:p w:rsidR="00000000" w:rsidRDefault="00000000"/>
    <w:p w:rsidR="00000000" w:rsidRDefault="00000000">
      <w:r>
        <w:t>77.</w:t>
      </w:r>
      <w:r>
        <w:tab/>
        <w:t xml:space="preserve">Профессиональная подготовка ориентирована на безработных.  В целях предупреждения социальной маргинализации длительно безработных и обеспечения возможности возвращения к трудовой жизни, подготовка все в большей степени ориентируется на длительно безработных, инвалидов и пожилых работников.  В 1997 году 19 900 учащихся в системе профессиональной подготовки с учетом потребностей рынка труда были длительно безработными, что составляет 21% от общей численности безработных, проходящих подготовку.  Свыше 8 900 лиц, прошедших подготовку, имели </w:t>
      </w:r>
    </w:p>
    <w:p w:rsidR="00000000" w:rsidRDefault="00000000">
      <w:r>
        <w:br w:type="page"/>
        <w:t>ту или иную форму инвалидности (в 1996 году соответствующий показатель составлял 7 200 человек).  Доля лиц в возрасте старше 50 лет заметно возросла:  в 1997 году общее число обучаемых в возрасте старше 50 лет составляло 10 700 человек против 6 900 в 1996 году.</w:t>
      </w:r>
    </w:p>
    <w:p w:rsidR="00000000" w:rsidRDefault="00000000"/>
    <w:p w:rsidR="00000000" w:rsidRDefault="00000000">
      <w:r>
        <w:t>78.</w:t>
      </w:r>
      <w:r>
        <w:tab/>
        <w:t>В 1997 году доля женщин, участвующих в профессиональной подготовке, составила 51%, что на два процентных пункта выше по сравнению с предыдущим годом.  В целях поощрения равноправия и предупреждения дифференциации труда по признаку пола сотрудникам органов, занимающихся вопросами занятости, рекомендуется уделять особое внимание путям прекращения такой сегрегации.  Были приняты меры по увеличению количества женщин, работающих по традиционно мужским специальностям, в частности с помощью профессиональной ориентации и подготовки для взрослых.  Поощряется работа женщин, например, в металлургии и электронной промышленности, где на сегодняшний день ощущается нехватка квалифицированных кадров.</w:t>
      </w:r>
    </w:p>
    <w:p w:rsidR="00000000" w:rsidRDefault="00000000"/>
    <w:p w:rsidR="00000000" w:rsidRDefault="00000000">
      <w:r>
        <w:t>79.</w:t>
      </w:r>
      <w:r>
        <w:tab/>
        <w:t>На основе меморандума, подготовленного рабочей группой по вопросам содействия занятости женщин, созданной в 1991 году по инициативе министерства труда, органы, занимающиеся вопросами труда и образования, учредили совместную рабочую группу для содействия осуществлению проектов в области образования.  Затем были сформированы региональные механизмы сотрудничества и в результате их деятельности созданы группы для вовлечения безработных женщин в сферу производительного труда, были организованы курсы планирования карьеры и повышения квалификации для женщин, начато осуществление проектов по обеспечению занятости женщин в сельской местности и обучению женщин-предпринимателей, а также созданы "пулы" для поддержки женщин-предпринимателей.</w:t>
      </w:r>
    </w:p>
    <w:p w:rsidR="00000000" w:rsidRDefault="00000000"/>
    <w:p w:rsidR="00000000" w:rsidRDefault="00000000">
      <w:r>
        <w:t>80.</w:t>
      </w:r>
      <w:r>
        <w:tab/>
        <w:t>Профессиональная подготовка максимально приближена к месту работы;  таким образом, работодатели получают возможность оказывать влияние на содержание и планирование программы подготовки, а также берут на себя ответственность за осуществление учебного процесса в сотрудничестве с учебными заведениями.  Цель заключается в расширении и развитии модели обучения на рабочем месте в сферах специализации (металлургические отрасли, электротехника, информационные технологии, строительство), с тем чтобы разработать более комплексную модель профессионально-технической подготовки, ориентированной на получение диплома.</w:t>
      </w:r>
    </w:p>
    <w:p w:rsidR="00000000" w:rsidRDefault="00000000"/>
    <w:p w:rsidR="00000000" w:rsidRDefault="00000000">
      <w:r>
        <w:t>81.</w:t>
      </w:r>
      <w:r>
        <w:tab/>
        <w:t>Информация о профессиональной подготовке также содержится в докладах об осуществлении Конвенции № 122, представленных МОТ в 1996 и в 1998 годах (приложения 8 и 9).</w:t>
      </w:r>
    </w:p>
    <w:p w:rsidR="00000000" w:rsidRDefault="00000000"/>
    <w:p w:rsidR="00000000" w:rsidRDefault="00000000">
      <w:pPr>
        <w:rPr>
          <w:u w:val="single"/>
        </w:rPr>
      </w:pPr>
      <w:r>
        <w:t>2</w:t>
      </w:r>
      <w:r>
        <w:tab/>
      </w:r>
      <w:r>
        <w:rPr>
          <w:lang w:val="en-US"/>
        </w:rPr>
        <w:t>f)</w:t>
      </w:r>
      <w:r>
        <w:rPr>
          <w:lang w:val="en-US"/>
        </w:rPr>
        <w:tab/>
      </w:r>
      <w:r>
        <w:rPr>
          <w:u w:val="single"/>
        </w:rPr>
        <w:t>Трудности, связанные с обеспечением полной занятости</w:t>
      </w:r>
    </w:p>
    <w:p w:rsidR="00000000" w:rsidRDefault="00000000">
      <w:pPr>
        <w:rPr>
          <w:b/>
          <w:u w:val="single"/>
        </w:rPr>
      </w:pPr>
    </w:p>
    <w:p w:rsidR="00000000" w:rsidRDefault="00000000">
      <w:r>
        <w:t>82.</w:t>
      </w:r>
      <w:r>
        <w:tab/>
        <w:t>Ликвидация более 400 000 рабочих мест в период экономического спада в первой половине 90-х годов создала проблемы в области организации мероприятий по содействию занятости.  Например, уровень профессионального роста на субсидируемой работе зависит главным образом от поставщика такой работы.  Во многих случаях непросто найти работодателя, способного предложить работу, отвечающую индивидуальным потребностям лица, ищущего работу.</w:t>
      </w:r>
    </w:p>
    <w:p w:rsidR="00000000" w:rsidRDefault="00000000"/>
    <w:p w:rsidR="00000000" w:rsidRDefault="00000000">
      <w:r>
        <w:t>83.</w:t>
      </w:r>
      <w:r>
        <w:tab/>
        <w:t>Предпринимаются усилия по устранению этой проблемы, в частности, путем предъявления обязательного требования к работодателям, желающим получить субсидию, способствовать развитию профессиональных навыков принимаемых ими на работу лиц, путем, к примеру, предоставления возможностей обучения без отрыва от производства.</w:t>
      </w:r>
    </w:p>
    <w:p w:rsidR="00000000" w:rsidRDefault="00000000"/>
    <w:p w:rsidR="00000000" w:rsidRDefault="00000000">
      <w:pPr>
        <w:rPr>
          <w:u w:val="single"/>
        </w:rPr>
      </w:pPr>
      <w:r>
        <w:t>3</w:t>
      </w:r>
      <w:r>
        <w:tab/>
        <w:t>а)</w:t>
      </w:r>
      <w:r>
        <w:tab/>
      </w:r>
      <w:r>
        <w:rPr>
          <w:u w:val="single"/>
        </w:rPr>
        <w:t>Запрещение дискриминации</w:t>
      </w:r>
    </w:p>
    <w:p w:rsidR="00000000" w:rsidRDefault="00000000">
      <w:pPr>
        <w:rPr>
          <w:b/>
          <w:u w:val="single"/>
        </w:rPr>
      </w:pPr>
    </w:p>
    <w:p w:rsidR="00000000" w:rsidRDefault="00000000">
      <w:r>
        <w:t>84.</w:t>
      </w:r>
      <w:r>
        <w:tab/>
        <w:t>Информация о законодательстве, касающемся запрещения дискриминации в сфере труда, изложена в третьем периодическом докладе, представленном Финляндией Комитету по экономическим, социальным и культурным правам.  Требование о равном обращении также закреплено в Законе о защите трудовых отношений муниципальных служащих (484/1996), который вступил в силу в 1996 году.  О запрещении дискриминации также сообщается в докладах об осуществлении Конвенции №111, представленных МОТ в 1995 и 1997 годах (приложения 6 и 7).</w:t>
      </w:r>
    </w:p>
    <w:p w:rsidR="00000000" w:rsidRDefault="00000000"/>
    <w:p w:rsidR="00000000" w:rsidRDefault="00000000">
      <w:r>
        <w:t>85.</w:t>
      </w:r>
      <w:r>
        <w:tab/>
        <w:t>На основе Государственной программы в области иммиграции и предоставления убежища (решение принято в 1997 году) в настоящее время поэтапно складывается система контроля за мерами по борьбе с расизмом и этнической дискриминацией, формирование которой будет завершено в течение 2001 года.</w:t>
      </w:r>
    </w:p>
    <w:p w:rsidR="00000000" w:rsidRDefault="00000000"/>
    <w:p w:rsidR="00000000" w:rsidRDefault="00000000">
      <w:r>
        <w:t>86.</w:t>
      </w:r>
      <w:r>
        <w:tab/>
        <w:t xml:space="preserve">В основе этой системы лежат следующие основные виды деятельности:  </w:t>
      </w:r>
      <w:proofErr w:type="spellStart"/>
      <w:r>
        <w:rPr>
          <w:lang w:val="en-US"/>
        </w:rPr>
        <w:t>i</w:t>
      </w:r>
      <w:proofErr w:type="spellEnd"/>
      <w:r>
        <w:rPr>
          <w:lang w:val="en-US"/>
        </w:rPr>
        <w:t>)  </w:t>
      </w:r>
      <w:r>
        <w:t>сотрудничество между органами власти, в том числе разработка учебных программ и участие в подготовке по вопросам межэтнических отношений;</w:t>
      </w:r>
      <w:r>
        <w:rPr>
          <w:lang w:val="en-US"/>
        </w:rPr>
        <w:t xml:space="preserve">  ii)  </w:t>
      </w:r>
      <w:r>
        <w:t>включение исследований по вопросам межэтнических отношений, дискриминации и жертв в общенациональную программу научных исследований;</w:t>
      </w:r>
      <w:r>
        <w:rPr>
          <w:lang w:val="en-US"/>
        </w:rPr>
        <w:t>  iii)  </w:t>
      </w:r>
      <w:r>
        <w:t>углубление сотрудничества между органами власти, иммигрантами и неправительственными организациями и средствами массовой информации;</w:t>
      </w:r>
      <w:r>
        <w:rPr>
          <w:lang w:val="en-US"/>
        </w:rPr>
        <w:t>  iv)  </w:t>
      </w:r>
      <w:proofErr w:type="spellStart"/>
      <w:r>
        <w:rPr>
          <w:lang w:val="en-US"/>
        </w:rPr>
        <w:t>поиск</w:t>
      </w:r>
      <w:proofErr w:type="spellEnd"/>
      <w:r>
        <w:t xml:space="preserve"> целей, способствующих осуществлению официальных мер, необходимых для ликвидации дискриминации;</w:t>
      </w:r>
      <w:r>
        <w:rPr>
          <w:lang w:val="en-US"/>
        </w:rPr>
        <w:t>  v)  </w:t>
      </w:r>
      <w:r>
        <w:t>сбор и анализ информации и, в частности, правовая и консультативная помощь жертвам расизма и дискриминации.</w:t>
      </w:r>
    </w:p>
    <w:p w:rsidR="00000000" w:rsidRDefault="00000000">
      <w:pPr>
        <w:ind w:left="1134" w:hanging="1134"/>
      </w:pPr>
    </w:p>
    <w:p w:rsidR="00000000" w:rsidRDefault="00000000">
      <w:r>
        <w:t>87.</w:t>
      </w:r>
      <w:r>
        <w:tab/>
        <w:t xml:space="preserve">По инициативе руководящей группы в рамках системы надзора за выполнением законодательства была начата работа по осуществлению нескольких научно-исследовательских проектов в области дискриминации, в частности по проведению развернутого исследования об отношении финнов к меньшинствам и иммигрантам, которое планируется завершить в июне 1999 года, и исследования по проблемам этнической дискриминации в сфере труда и ее проявлениях, которое намечено завершить осенью 1999 года.  </w:t>
      </w:r>
    </w:p>
    <w:p w:rsidR="00000000" w:rsidRDefault="00000000"/>
    <w:p w:rsidR="00000000" w:rsidRDefault="00000000">
      <w:r>
        <w:t>88.</w:t>
      </w:r>
      <w:r>
        <w:tab/>
        <w:t xml:space="preserve">В своей новой программе от 13 апреля 1999 года правительство уделяет особое внимание мерам по борьбе с дискриминацией.  </w:t>
      </w:r>
    </w:p>
    <w:p w:rsidR="00000000" w:rsidRDefault="00000000"/>
    <w:p w:rsidR="00000000" w:rsidRDefault="00000000">
      <w:r>
        <w:t>89.</w:t>
      </w:r>
      <w:r>
        <w:tab/>
      </w:r>
      <w:r>
        <w:rPr>
          <w:u w:val="single"/>
        </w:rPr>
        <w:t>Равноправие мужчин и женщин</w:t>
      </w:r>
      <w:r>
        <w:t xml:space="preserve">.  В 1998 году доля женщин трудоспособного возраста (15-64 года) составляла 50% от общей численности рабочей силы, 47% - от численности занятых, 50% - безработных и 55% - от общей численности незанятых.  Таким образом, общие показатели, характеризующие различия между мужчинами и женщинами, являются "равными", т.е. на долю женщин приходится около половины показателей во всех группах.  </w:t>
      </w:r>
    </w:p>
    <w:p w:rsidR="00000000" w:rsidRDefault="00000000"/>
    <w:p w:rsidR="00000000" w:rsidRDefault="00000000">
      <w:r>
        <w:t>90.</w:t>
      </w:r>
      <w:r>
        <w:tab/>
        <w:t xml:space="preserve">Наиболее существенная разница между мужчинами и женщинами (около 5%) наблюдается в группе населения, не входящей в состав рабочей силы.  В период экономического спада число мужчин, попавших в эту группу, превысило число женщин.  Спад в первую очередь ударил по преимущественно "мужским" отраслям промышленности, при этом темпы роста уровня безработицы среди мужчин были относительно высокими.  Достигнув пика в 1993-1994 годах, безработица среди мужчин была менее чем на 5% выше по сравнению с уровнем безработицы среди женщин.  В условиях замедления спада первые явные признаки экономического роста проявились в улучшении положения в области занятости среди мужчин на фоне роста объема промышленного производства.  Положение в сфере занятости среди мужчин выправляется значительно быстрее, чем среди женщин, ввиду чего уровень безработицы среди женщин в настоящее время несколько превышает аналогичный показатель для мужчин.  В 1996 году доля безработных женщин впервые превысила долю безработных мужчин.  </w:t>
      </w:r>
    </w:p>
    <w:p w:rsidR="00000000" w:rsidRDefault="00000000"/>
    <w:p w:rsidR="00000000" w:rsidRDefault="00000000">
      <w:r>
        <w:t>91.</w:t>
      </w:r>
      <w:r>
        <w:tab/>
        <w:t>В период 1994-1998 годов численность занятых мужчин значительно превысила 115 000 человек по сравнению с 52 000 занятых женщин.  Из общего количества рабочих мест, созданных после 1994 года, лишь больше четверти были заняты женщинами.  В 1998 году количество лиц в возрасте 15-64 лет, не входящих в состав рабочей силы, возросло по сравнению с 1990 годом на 80 000 женщин и 97 000 мужчин.</w:t>
      </w:r>
    </w:p>
    <w:p w:rsidR="00000000" w:rsidRDefault="00000000"/>
    <w:p w:rsidR="00000000" w:rsidRDefault="00000000">
      <w:r>
        <w:t>92.</w:t>
      </w:r>
      <w:r>
        <w:tab/>
        <w:t>В 1997 году по всем категориям рабочих и служащих в течение полного рабочего дня были заняты 81% мужчин и 70% женщин.  Несколько более 3% мужчин и 9% женщин имели постоянную работу на условиях неполного рабочего дня;  15% мужчин и 21% женщин имели временную работу, причем из этого числа 17% мужчин и 27% женщин имели временную работу на условиях неполного рабочего дня.  По всем категориям рабочих и служащих 15% работали неполный рабочий день;  доля мужчин, работающих неполный рабочий день, составила менее 6%.</w:t>
      </w:r>
    </w:p>
    <w:p w:rsidR="00000000" w:rsidRDefault="00000000"/>
    <w:p w:rsidR="00000000" w:rsidRDefault="00000000">
      <w:r>
        <w:t>93.</w:t>
      </w:r>
      <w:r>
        <w:tab/>
        <w:t>Приведенные выше статистические данные взяты из базы данных по статистике труда Управления омбудсмена по вопросам равноправия и Совета по вопросам равноправия.</w:t>
      </w:r>
    </w:p>
    <w:p w:rsidR="00000000" w:rsidRDefault="00000000"/>
    <w:p w:rsidR="00000000" w:rsidRDefault="00000000">
      <w:pPr>
        <w:rPr>
          <w:u w:val="single"/>
        </w:rPr>
      </w:pPr>
      <w:r>
        <w:t>3.</w:t>
      </w:r>
      <w:r>
        <w:tab/>
      </w:r>
      <w:proofErr w:type="spellStart"/>
      <w:r>
        <w:t>b</w:t>
      </w:r>
      <w:proofErr w:type="spellEnd"/>
      <w:r>
        <w:t>)</w:t>
      </w:r>
      <w:r>
        <w:tab/>
      </w:r>
      <w:r>
        <w:rPr>
          <w:u w:val="single"/>
        </w:rPr>
        <w:t>Профессиональная подготовка для отдельных групп населения</w:t>
      </w:r>
    </w:p>
    <w:p w:rsidR="00000000" w:rsidRDefault="00000000">
      <w:pPr>
        <w:rPr>
          <w:b/>
          <w:u w:val="single"/>
        </w:rPr>
      </w:pPr>
    </w:p>
    <w:p w:rsidR="00000000" w:rsidRDefault="00000000">
      <w:r>
        <w:t>94.</w:t>
      </w:r>
      <w:r>
        <w:tab/>
        <w:t>Принцип равенства всех граждан, как принято считать, не противоречит признанию целесообразности принятия специальных мер по улучшению перспектив занятости определенных групп населения (например, иммигрантов, рома и саами).</w:t>
      </w:r>
    </w:p>
    <w:p w:rsidR="00000000" w:rsidRDefault="00000000"/>
    <w:p w:rsidR="00000000" w:rsidRDefault="00000000">
      <w:r>
        <w:t>95.</w:t>
      </w:r>
      <w:r>
        <w:tab/>
        <w:t xml:space="preserve">В программе в области политики иммиграции и беженцев, принятой правительством в 1997 году, цели образования для взрослых определяются следующим образом:  все взрослые иммигранты, при условии подачи соответствующей просьбы, могут посещать курсы изучения основ финского общества и трудовой жизни, а также при необходимости получить базовое и дальнейшее профессиональное образование.  Обучение иммигрантов организуется и финансируется в рамках системы профессиональной подготовки для взрослых.  </w:t>
      </w:r>
    </w:p>
    <w:p w:rsidR="00000000" w:rsidRDefault="00000000"/>
    <w:p w:rsidR="00000000" w:rsidRDefault="00000000">
      <w:r>
        <w:t>96.</w:t>
      </w:r>
      <w:r>
        <w:tab/>
        <w:t xml:space="preserve">В 1997 году численность иностранцев в системе профессиональной подготовки составила 10 000 человек, что на 8% выше по сравнению с предыдущим годом.  Относительная доля иностранцев, обучающихся на курсах профподготовки, составила 9%, при этом в их числе были представители 100 различных национальностей.  </w:t>
      </w:r>
    </w:p>
    <w:p w:rsidR="00000000" w:rsidRDefault="00000000"/>
    <w:p w:rsidR="00000000" w:rsidRDefault="00000000">
      <w:r>
        <w:t>97.</w:t>
      </w:r>
      <w:r>
        <w:tab/>
        <w:t xml:space="preserve">В сентябре 1998 года в Финляндии проживало в общей сложности 61 500 иностранцев работоспособного возраста, из которых 34 000 (55%) имели оплачиваемую работу.  Что касается уровня безработицы, то следует отметить, что ряд иностранцев, зарегистрированных как безработные, посещают курсы профессиональной ориентации, организованные трудовой администрацией, и поэтому пока еще не числятся на рынке рабочей силы.  Уровень безработицы среди иностранцев также определяется прежде всего общей экономической ситуацией:  чем ниже уровень безработицы, тем проще, в том числе для иностранцев, найти работу.  </w:t>
      </w:r>
    </w:p>
    <w:p w:rsidR="00000000" w:rsidRDefault="00000000"/>
    <w:p w:rsidR="00000000" w:rsidRDefault="00000000">
      <w:r>
        <w:t>98.</w:t>
      </w:r>
      <w:r>
        <w:tab/>
        <w:t>Для удовлетворения особых потребностей населения рома были разработаны программы обучения, способствующие их трудоустройству по традиционным для рома специальностям и повышению их профессиональных навыков.  Для молодежи из числа рома, не окончившей общеобразовательную школу, обычно организуется общее дополнительное образование.  В рамках так называемого проекта Романко, осуществление которого рассчитано до 2000 года, планируются программы подготовки, направленные на улучшение перспектив трудоустройства для представителей рома.</w:t>
      </w:r>
    </w:p>
    <w:p w:rsidR="00000000" w:rsidRDefault="00000000"/>
    <w:p w:rsidR="00000000" w:rsidRDefault="00000000">
      <w:r>
        <w:t>99.</w:t>
      </w:r>
      <w:r>
        <w:tab/>
        <w:t xml:space="preserve">Поскольку в Финляндии не ведется учет статистической информации в разбивке по этническому происхождению, назвать точную численность рома, поступающих на учебные курсы, не представляется возможным.  Ежегодно в курсах подготовки принимают участие около 100-200 рома.  Многие женщины их числа рома по окончании курсов работают медицинскими сестрами и трудятся в ресторанах.  </w:t>
      </w:r>
    </w:p>
    <w:p w:rsidR="00000000" w:rsidRDefault="00000000"/>
    <w:p w:rsidR="00000000" w:rsidRDefault="00000000">
      <w:r>
        <w:t>100.</w:t>
      </w:r>
      <w:r>
        <w:tab/>
        <w:t>В Центре Лапландии по вопросам занятости и экономического развития услуги предоставляются также на саамском языке.  В дополнение к традиционным услугам бирж труда трудовая администрация выделяет средства на организацию курсов профессиональной подготовки с целью трудоустройства и широкопрофильных курсов, которые организуются на базе расположенного в Инари Центра профессионального обучения на территориях проживания саами.  Учебный центр организует курсы подготовки, зачастую включающей изучение языка саами и традиционных видов деятельности саами, например оленеводства и народных промыслов.  На основе соглашения о сотрудничестве между странами Северной Европы о профессиональной реабилитации и подготовки в целях трудоустройства саами имеют также возможность поступать на учебные курсы в Швеции и Норвегии.  Численность населения саами в Финляндии оценивается в 7 000 человек.</w:t>
      </w:r>
    </w:p>
    <w:p w:rsidR="00000000" w:rsidRDefault="00000000">
      <w:pPr>
        <w:pStyle w:val="FootnoteText"/>
        <w:spacing w:line="288" w:lineRule="auto"/>
      </w:pPr>
    </w:p>
    <w:p w:rsidR="00000000" w:rsidRDefault="00000000">
      <w:pPr>
        <w:rPr>
          <w:u w:val="single"/>
        </w:rPr>
      </w:pPr>
      <w:r>
        <w:t>3</w:t>
      </w:r>
      <w:r>
        <w:tab/>
        <w:t>с)</w:t>
      </w:r>
      <w:r>
        <w:tab/>
      </w:r>
      <w:r>
        <w:rPr>
          <w:u w:val="single"/>
        </w:rPr>
        <w:t>Изъятия из запрета на дискриминацию</w:t>
      </w:r>
    </w:p>
    <w:p w:rsidR="00000000" w:rsidRDefault="00000000">
      <w:pPr>
        <w:rPr>
          <w:b/>
          <w:u w:val="single"/>
        </w:rPr>
      </w:pPr>
    </w:p>
    <w:p w:rsidR="00000000" w:rsidRDefault="00000000">
      <w:r>
        <w:t>101.</w:t>
      </w:r>
      <w:r>
        <w:tab/>
        <w:t xml:space="preserve">В органах государственного управления кандидаты на определенные должности в сфере государственной безопасности или в судебной системе должны быть финскими гражданами и свободно владеть финским языком.  В муниципальных службах, в особенности в сфере здравоохранения и просвещения, от работников также требуется хорошее знание финского языка.  Поскольку финский язык является трудным для изучения, это требование может воспрепятствовать занятию той или иной должности.  Вместе с тем на указанные должности приходится весьма незначительная часть всего </w:t>
      </w:r>
    </w:p>
    <w:p w:rsidR="00000000" w:rsidRDefault="00000000">
      <w:r>
        <w:t>рынка труда и, таким образом, их роль в этом отношении невелика.  В соответствии с Конституцией Финляндии число постов, требующих финского гражданства, будет значительно сокращено в будущем.</w:t>
      </w:r>
    </w:p>
    <w:p w:rsidR="00000000" w:rsidRDefault="00000000"/>
    <w:p w:rsidR="00000000" w:rsidRDefault="00000000">
      <w:pPr>
        <w:rPr>
          <w:u w:val="single"/>
        </w:rPr>
      </w:pPr>
      <w:r>
        <w:t>4.</w:t>
      </w:r>
      <w:r>
        <w:tab/>
      </w:r>
      <w:r>
        <w:rPr>
          <w:u w:val="single"/>
        </w:rPr>
        <w:t>Лица, имеющие более одной работы на условиях полного рабочего времени</w:t>
      </w:r>
    </w:p>
    <w:p w:rsidR="00000000" w:rsidRDefault="00000000">
      <w:pPr>
        <w:rPr>
          <w:b/>
          <w:u w:val="single"/>
        </w:rPr>
      </w:pPr>
    </w:p>
    <w:p w:rsidR="00000000" w:rsidRDefault="00000000">
      <w:r>
        <w:t>102.</w:t>
      </w:r>
      <w:r>
        <w:tab/>
        <w:t>В Финляндии не ведется сбор статистической информации о лицах, имеющих более одной работы на условиях полного рабочего времени.</w:t>
      </w:r>
    </w:p>
    <w:p w:rsidR="00000000" w:rsidRDefault="00000000"/>
    <w:p w:rsidR="00000000" w:rsidRDefault="00000000">
      <w:r>
        <w:t>5.</w:t>
      </w:r>
      <w:r>
        <w:tab/>
      </w:r>
      <w:r>
        <w:rPr>
          <w:u w:val="single"/>
        </w:rPr>
        <w:t>Прочие изменения в законодательстве</w:t>
      </w:r>
    </w:p>
    <w:p w:rsidR="00000000" w:rsidRDefault="00000000"/>
    <w:p w:rsidR="00000000" w:rsidRDefault="00000000">
      <w:pPr>
        <w:rPr>
          <w:lang w:val="en-US"/>
        </w:rPr>
      </w:pPr>
      <w:r>
        <w:t>103.</w:t>
      </w:r>
      <w:r>
        <w:tab/>
        <w:t xml:space="preserve">Основные положения, касающиеся сферы занятости, изложены в Законе о занятости (275/1987) и принятых впоследствии поправках к нему (за отчетный период:  </w:t>
      </w:r>
      <w:r>
        <w:rPr>
          <w:lang w:val="en-US"/>
        </w:rPr>
        <w:t>1326/1996, 756/1997, 1081/1997, 1355/1997</w:t>
      </w:r>
      <w:r>
        <w:t>) и Постановлении о занятости (</w:t>
      </w:r>
      <w:r>
        <w:rPr>
          <w:lang w:val="en-US"/>
        </w:rPr>
        <w:t>1363/1997</w:t>
      </w:r>
      <w:r>
        <w:t xml:space="preserve">) с принятыми к нему впоследствии поправками </w:t>
      </w:r>
      <w:r>
        <w:rPr>
          <w:lang w:val="en-US"/>
        </w:rPr>
        <w:t xml:space="preserve">(1663/1995 </w:t>
      </w:r>
      <w:r>
        <w:t xml:space="preserve">и </w:t>
      </w:r>
      <w:r>
        <w:rPr>
          <w:lang w:val="en-US"/>
        </w:rPr>
        <w:t>425/1998).</w:t>
      </w:r>
    </w:p>
    <w:p w:rsidR="00000000" w:rsidRDefault="00000000">
      <w:pPr>
        <w:rPr>
          <w:lang w:val="en-US"/>
        </w:rPr>
      </w:pPr>
    </w:p>
    <w:p w:rsidR="00000000" w:rsidRDefault="00000000">
      <w:r>
        <w:rPr>
          <w:lang w:val="en-US"/>
        </w:rPr>
        <w:t>104.</w:t>
      </w:r>
      <w:r>
        <w:rPr>
          <w:lang w:val="en-US"/>
        </w:rPr>
        <w:tab/>
      </w:r>
      <w:r>
        <w:t>П</w:t>
      </w:r>
      <w:r>
        <w:rPr>
          <w:lang w:val="en-US"/>
        </w:rPr>
        <w:t xml:space="preserve">ри внесении поправок в Закон о </w:t>
      </w:r>
      <w:r>
        <w:t>занятости положения, касающиеся плана обеспечения занятости, были исключены.  Однако Закон об услугах по трудоустройству (1353/1997) содержит положения о схемах трудоустройства, а также о сотрудничестве с безработными лицами, ищущими работу.</w:t>
      </w:r>
    </w:p>
    <w:p w:rsidR="00000000" w:rsidRDefault="00000000"/>
    <w:p w:rsidR="00000000" w:rsidRDefault="00000000">
      <w:r>
        <w:t>105.</w:t>
      </w:r>
      <w:r>
        <w:tab/>
        <w:t xml:space="preserve">В течение отчетного периода в Законе о занятости (1329/1996) была восстановлена цель обеспечения работой лиц в возрасте старше 55 лет, т.е. рожденных в 1942 году или позднее.  Эта цель исходит из того, что, согласно порядку, действовавшему до 1997  года, такие лица имели бы право на получение пособия по безработице вплоть до достижения ими 60-летнего возраста.  Лица, удовлетворяющие этому критерию, имеют преимущественное право поступления на курсы профессиональной подготовки или реабилитации в целях содействия их трудоустройству.  В случае невозможности организации соответствующего обучения соответствующие муниципальные власти обязаны предоставить такому лицу возможность работы в течение десяти месяцев. </w:t>
      </w:r>
    </w:p>
    <w:p w:rsidR="00000000" w:rsidRDefault="00000000"/>
    <w:p w:rsidR="00000000" w:rsidRDefault="00000000">
      <w:pPr>
        <w:pStyle w:val="Heading7"/>
        <w:spacing w:line="288" w:lineRule="auto"/>
      </w:pPr>
      <w:r>
        <w:t>Статья 7</w:t>
      </w:r>
    </w:p>
    <w:p w:rsidR="00000000" w:rsidRDefault="00000000">
      <w:pPr>
        <w:pStyle w:val="Heading7"/>
        <w:spacing w:line="288" w:lineRule="auto"/>
      </w:pPr>
    </w:p>
    <w:p w:rsidR="00000000" w:rsidRDefault="00000000">
      <w:r>
        <w:t>106.</w:t>
      </w:r>
      <w:r>
        <w:tab/>
        <w:t>Положение, гарантирующее принцип равной оплаты за труд равной ценности, включено в Конституцию Финляндии (пункты 2 и 4 статьи 5 Конституции Финляндии).  Права, определяемые в этой статье, конкретизируются в статье 15 Закона о Конституции.</w:t>
      </w:r>
    </w:p>
    <w:p w:rsidR="00000000" w:rsidRDefault="00000000"/>
    <w:p w:rsidR="00000000" w:rsidRDefault="00000000">
      <w:r>
        <w:br w:type="page"/>
        <w:t>1.</w:t>
      </w:r>
      <w:r>
        <w:tab/>
      </w:r>
      <w:r>
        <w:rPr>
          <w:u w:val="single"/>
        </w:rPr>
        <w:t>Конвенции МОТ, ратифицированные Финляндией</w:t>
      </w:r>
    </w:p>
    <w:p w:rsidR="00000000" w:rsidRDefault="00000000"/>
    <w:p w:rsidR="00000000" w:rsidRDefault="00000000">
      <w:r>
        <w:t>107.</w:t>
      </w:r>
      <w:r>
        <w:tab/>
        <w:t>Финляндия ратифицировала следующие конвенции МОТ, упомянутые в соответствующем разделе руководящих принципов:</w:t>
      </w:r>
    </w:p>
    <w:p w:rsidR="00000000" w:rsidRDefault="00000000"/>
    <w:p w:rsidR="00000000" w:rsidRDefault="00000000">
      <w:r>
        <w:tab/>
        <w:t>Конвенция 1951 года о равном вознаграждении за труд равной ценности (№ 100);</w:t>
      </w:r>
    </w:p>
    <w:p w:rsidR="00000000" w:rsidRDefault="00000000">
      <w:pPr>
        <w:ind w:left="567" w:hanging="567"/>
      </w:pPr>
      <w:r>
        <w:tab/>
        <w:t>Конвенция 1921 года о еженедельном отдыхе на промышленных предприятиях (№ 14);</w:t>
      </w:r>
    </w:p>
    <w:p w:rsidR="00000000" w:rsidRDefault="00000000">
      <w:pPr>
        <w:ind w:left="567" w:hanging="567"/>
      </w:pPr>
      <w:r>
        <w:tab/>
        <w:t>Конвенция об оплачиваемых отпусках (пересмотренная в 1970 году) (№ 132);</w:t>
      </w:r>
    </w:p>
    <w:p w:rsidR="00000000" w:rsidRDefault="00000000">
      <w:pPr>
        <w:ind w:left="567" w:hanging="567"/>
      </w:pPr>
      <w:r>
        <w:tab/>
        <w:t>Конвенция об инспекции труда в промышленности и торговле (№ 81);</w:t>
      </w:r>
    </w:p>
    <w:p w:rsidR="00000000" w:rsidRDefault="00000000">
      <w:pPr>
        <w:ind w:left="567" w:hanging="567"/>
      </w:pPr>
      <w:r>
        <w:tab/>
        <w:t>Конвенция об инспекции труда в сельском хозяйстве (№ 129);</w:t>
      </w:r>
    </w:p>
    <w:p w:rsidR="00000000" w:rsidRDefault="00000000">
      <w:pPr>
        <w:ind w:left="567" w:hanging="567"/>
      </w:pPr>
      <w:r>
        <w:tab/>
        <w:t>Конвенция 1981 года о безопасности и гигиене труда и производственной среде (№ 155).</w:t>
      </w:r>
    </w:p>
    <w:p w:rsidR="00000000" w:rsidRDefault="00000000"/>
    <w:p w:rsidR="00000000" w:rsidRDefault="00000000">
      <w:r>
        <w:t>2.</w:t>
      </w:r>
      <w:r>
        <w:tab/>
      </w:r>
      <w:r>
        <w:rPr>
          <w:lang w:val="en-US"/>
        </w:rPr>
        <w:t>a</w:t>
      </w:r>
      <w:r>
        <w:t>)</w:t>
      </w:r>
      <w:r>
        <w:tab/>
      </w:r>
      <w:r>
        <w:rPr>
          <w:u w:val="single"/>
        </w:rPr>
        <w:t>Установление размера заработной платы и оклада</w:t>
      </w:r>
    </w:p>
    <w:p w:rsidR="00000000" w:rsidRDefault="00000000"/>
    <w:p w:rsidR="00000000" w:rsidRDefault="00000000">
      <w:r>
        <w:t>108.</w:t>
      </w:r>
      <w:r>
        <w:tab/>
        <w:t>В Финляндии размер заработной платы и оклада работающих по найму лиц устанавливается на основе трудового соглашения или коллективного договора.  Закон о трудовых соглашениях (320/1970) представляет собой общий нормативный акт, который содержит основные положения, относящиеся к сфере регулирования трудовых отношений, и является обязательным для работодателя и работника.  Согласно Закону о коллективных договорах (436/1946), работодатель, связанный с положениями коллективного договора, обязан соблюдать его применительно ко всем трудовым отношениям, независимо от того, подпадают ли работники под действие трудового договора, за исключением тех случаев, когда сфера действия договора ограничена и он распространяется лишь на работников, связанных с его положениями.  Если индивидуальное трудовое соглашение в определенных аспектах противоречит положениям коллективного договора, соблюдаемого в рамках производственных отношений, то преимущественную силу имеют соответствующие положения коллективного договора.  В государственном секторе размеры заработной платы устанавливаются на основе коллективных договоров о размере заработной платы на гражданской службе.</w:t>
      </w:r>
    </w:p>
    <w:p w:rsidR="00000000" w:rsidRDefault="00000000"/>
    <w:p w:rsidR="00000000" w:rsidRDefault="00000000">
      <w:r>
        <w:t>109.</w:t>
      </w:r>
      <w:r>
        <w:tab/>
        <w:t>Закон о трудовых соглашениях включает положения об общей силе коллективного договора, согласно которому наниматель должен как минимум выполнять условия, касающиеся вознаграждения и других аспектов труда, которые были закреплены в общенациональном трудовом соглашении в промышленности в отношении конкретного или другого близко сопоставимого с ним вида деятельности.  Таким образом, минимальный уровень условий, касающихся вознаграждения и прочих аспектов занятости, зависит от коллективного договора, имеющего общую силу, при условии существования такого договора.  Это делается для того, чтобы гарантировать аналогичный размер вознаграждений и тот же уровень занятости как членам, так и нечленам профессиональных союзов.  Если работодатель не связан никаким трудовым договором (в данной области не действует трудовой договор или трудовой договор не имеет общей силы), то работодатель и работник могут договориться об условиях, касающихся размера вознаграждения.  Закон о трудовых соглашениях предусматривает, что за работу должно выплачиваться стандартное и справедливое вознаграждение.</w:t>
      </w:r>
    </w:p>
    <w:p w:rsidR="00000000" w:rsidRDefault="00000000"/>
    <w:p w:rsidR="00000000" w:rsidRDefault="00000000">
      <w:r>
        <w:t>110.</w:t>
      </w:r>
      <w:r>
        <w:tab/>
        <w:t>В Финляндии не существует какого-либо специального органа, определяющего, какой коллективный договор имеет общую силу.  Выполнение положений трудовых договоров, имеющих общую силу, обеспечивается органами, ведающими вопросами безопасности и гигиены труда, которые подчинены министерству социальных вопросов и здравоохранения и которые, при необходимости, издают нормативные постановления, касающиеся коллективных договоров.</w:t>
      </w:r>
    </w:p>
    <w:p w:rsidR="00000000" w:rsidRDefault="00000000"/>
    <w:p w:rsidR="00000000" w:rsidRDefault="00000000">
      <w:pPr>
        <w:ind w:left="567" w:hanging="567"/>
      </w:pPr>
      <w:r>
        <w:t>2.</w:t>
      </w:r>
      <w:r>
        <w:tab/>
      </w:r>
      <w:r>
        <w:rPr>
          <w:lang w:val="en-US"/>
        </w:rPr>
        <w:t>b</w:t>
      </w:r>
      <w:r>
        <w:t>)</w:t>
      </w:r>
      <w:r>
        <w:tab/>
      </w:r>
      <w:r>
        <w:rPr>
          <w:u w:val="single"/>
        </w:rPr>
        <w:t xml:space="preserve">Установление минимального оклада и гарантирование его уровня </w:t>
      </w:r>
    </w:p>
    <w:p w:rsidR="00000000" w:rsidRDefault="00000000">
      <w:pPr>
        <w:ind w:left="567" w:hanging="567"/>
      </w:pPr>
    </w:p>
    <w:p w:rsidR="00000000" w:rsidRDefault="00000000">
      <w:r>
        <w:t>111.</w:t>
      </w:r>
      <w:r>
        <w:tab/>
      </w:r>
      <w:r>
        <w:rPr>
          <w:u w:val="single"/>
        </w:rPr>
        <w:t>Критерии установления минимальных окладов</w:t>
      </w:r>
      <w:r>
        <w:t>.  Сформированные ассоциациями работодателей и работников инициативные группы представляют собой центральные органы ассоциаций работодателей и работников, которые ведут переговоры по так называемым базовым договорам, лежащим в основе различных отраслевых коллективных соглашений.  Коллективное соглашение о размере оклада рабочих и служащих заключается между ассоциацией работодателей или одним работодателем и ассоциацией трудящихся.  Как правило, базовые договоры являются составной частью общего соглашения о политике в области доходов, которое касается не только окладов рабочих и служащих, но и вопросов, имеющих важное значение для социально-экономического благосостояния трудящихся.</w:t>
      </w:r>
    </w:p>
    <w:p w:rsidR="00000000" w:rsidRDefault="00000000"/>
    <w:p w:rsidR="00000000" w:rsidRDefault="00000000">
      <w:r>
        <w:t>112.</w:t>
      </w:r>
      <w:r>
        <w:tab/>
        <w:t>Комитет по экономическим, социальным и культурным правам рекомендовал рассмотреть вопрос о возможности введения общей системы установления минимального размера заработка, которая также действовала бы в отношении работников, не защищенных коллективными соглашениями.  Трехсторонний комитет, созданный на основе Закона о трудовых соглашениях, разрабатывает предложения в отношении кардинального пересмотра Закона о трудовых соглашениях.  Кроме того, этому комитету также было поручено разработать систему определения минимальных условий трудовых отношений.</w:t>
      </w:r>
    </w:p>
    <w:p w:rsidR="00000000" w:rsidRDefault="00000000"/>
    <w:p w:rsidR="00000000" w:rsidRDefault="00000000">
      <w:r>
        <w:t>113.</w:t>
      </w:r>
      <w:r>
        <w:tab/>
      </w:r>
      <w:r>
        <w:rPr>
          <w:u w:val="single"/>
        </w:rPr>
        <w:t>Динамика среднего и минимального размера окладов</w:t>
      </w:r>
      <w:r>
        <w:t>.  В Финляндии не существует единого общеприменимого минимального уровня заработной платы, и поэтому соответствующих статистических данных не имеется.  Минимальные размеры заработной платы для той или иной отрасли определяются в соответствующем коллективном договоре.</w:t>
      </w:r>
    </w:p>
    <w:p w:rsidR="00000000" w:rsidRDefault="00000000"/>
    <w:p w:rsidR="00000000" w:rsidRDefault="00000000">
      <w:r>
        <w:t>114.</w:t>
      </w:r>
      <w:r>
        <w:tab/>
        <w:t>В приведенной ниже таблице показаны средние уровни заработной платы:</w:t>
      </w:r>
    </w:p>
    <w:p w:rsidR="00000000" w:rsidRDefault="00000000">
      <w:pPr>
        <w:jc w:val="center"/>
      </w:pPr>
    </w:p>
    <w:tbl>
      <w:tblPr>
        <w:tblW w:w="0" w:type="auto"/>
        <w:jc w:val="center"/>
        <w:tblLayout w:type="fixed"/>
        <w:tblLook w:val="00AF" w:firstRow="1" w:lastRow="0" w:firstColumn="1" w:lastColumn="0" w:noHBand="0" w:noVBand="0"/>
      </w:tblPr>
      <w:tblGrid>
        <w:gridCol w:w="829"/>
        <w:gridCol w:w="1701"/>
        <w:gridCol w:w="1427"/>
        <w:gridCol w:w="1595"/>
        <w:gridCol w:w="1595"/>
        <w:gridCol w:w="1595"/>
      </w:tblGrid>
      <w:tr w:rsidR="00000000">
        <w:tblPrEx>
          <w:tblCellMar>
            <w:top w:w="0" w:type="dxa"/>
            <w:bottom w:w="0" w:type="dxa"/>
          </w:tblCellMar>
        </w:tblPrEx>
        <w:trPr>
          <w:cantSplit/>
          <w:jc w:val="center"/>
        </w:trPr>
        <w:tc>
          <w:tcPr>
            <w:tcW w:w="2530" w:type="dxa"/>
            <w:gridSpan w:val="2"/>
            <w:tcBorders>
              <w:top w:val="single" w:sz="4" w:space="0" w:color="auto"/>
              <w:left w:val="single" w:sz="4" w:space="0" w:color="auto"/>
              <w:right w:val="single" w:sz="4" w:space="0" w:color="auto"/>
            </w:tcBorders>
            <w:vAlign w:val="center"/>
          </w:tcPr>
          <w:p w:rsidR="00000000" w:rsidRDefault="00000000">
            <w:pPr>
              <w:jc w:val="center"/>
            </w:pPr>
            <w:r>
              <w:t>Индекс номинальной заработной платы</w:t>
            </w:r>
          </w:p>
        </w:tc>
        <w:tc>
          <w:tcPr>
            <w:tcW w:w="3022" w:type="dxa"/>
            <w:gridSpan w:val="2"/>
            <w:tcBorders>
              <w:top w:val="single" w:sz="4" w:space="0" w:color="auto"/>
              <w:left w:val="single" w:sz="4" w:space="0" w:color="auto"/>
              <w:right w:val="single" w:sz="4" w:space="0" w:color="auto"/>
            </w:tcBorders>
            <w:vAlign w:val="center"/>
          </w:tcPr>
          <w:p w:rsidR="00000000" w:rsidRDefault="00000000">
            <w:pPr>
              <w:jc w:val="center"/>
            </w:pPr>
            <w:r>
              <w:t>Индекс цен на потребительские товары</w:t>
            </w:r>
          </w:p>
        </w:tc>
        <w:tc>
          <w:tcPr>
            <w:tcW w:w="3190" w:type="dxa"/>
            <w:gridSpan w:val="2"/>
            <w:tcBorders>
              <w:top w:val="single" w:sz="4" w:space="0" w:color="auto"/>
              <w:left w:val="single" w:sz="4" w:space="0" w:color="auto"/>
              <w:right w:val="single" w:sz="4" w:space="0" w:color="auto"/>
            </w:tcBorders>
            <w:vAlign w:val="center"/>
          </w:tcPr>
          <w:p w:rsidR="00000000" w:rsidRDefault="00000000">
            <w:pPr>
              <w:jc w:val="center"/>
            </w:pPr>
            <w:r>
              <w:t>Индекс реальной заработной платы</w:t>
            </w:r>
          </w:p>
        </w:tc>
      </w:tr>
      <w:tr w:rsidR="00000000">
        <w:tblPrEx>
          <w:tblCellMar>
            <w:top w:w="0" w:type="dxa"/>
            <w:bottom w:w="0" w:type="dxa"/>
          </w:tblCellMar>
        </w:tblPrEx>
        <w:trPr>
          <w:jc w:val="center"/>
        </w:trPr>
        <w:tc>
          <w:tcPr>
            <w:tcW w:w="829" w:type="dxa"/>
            <w:tcBorders>
              <w:top w:val="single" w:sz="4" w:space="0" w:color="auto"/>
              <w:left w:val="single" w:sz="4" w:space="0" w:color="auto"/>
              <w:right w:val="single" w:sz="4" w:space="0" w:color="auto"/>
            </w:tcBorders>
            <w:vAlign w:val="center"/>
          </w:tcPr>
          <w:p w:rsidR="00000000" w:rsidRDefault="00000000">
            <w:r>
              <w:t>1989</w:t>
            </w:r>
          </w:p>
        </w:tc>
        <w:tc>
          <w:tcPr>
            <w:tcW w:w="1701" w:type="dxa"/>
            <w:tcBorders>
              <w:top w:val="single" w:sz="4" w:space="0" w:color="auto"/>
              <w:left w:val="single" w:sz="4" w:space="0" w:color="auto"/>
              <w:right w:val="single" w:sz="4" w:space="0" w:color="auto"/>
            </w:tcBorders>
            <w:vAlign w:val="center"/>
          </w:tcPr>
          <w:p w:rsidR="00000000" w:rsidRDefault="00000000">
            <w:pPr>
              <w:jc w:val="center"/>
            </w:pPr>
            <w:r>
              <w:t>135,7</w:t>
            </w:r>
          </w:p>
        </w:tc>
        <w:tc>
          <w:tcPr>
            <w:tcW w:w="1427" w:type="dxa"/>
            <w:tcBorders>
              <w:top w:val="single" w:sz="4" w:space="0" w:color="auto"/>
              <w:left w:val="single" w:sz="4" w:space="0" w:color="auto"/>
              <w:right w:val="single" w:sz="4" w:space="0" w:color="auto"/>
            </w:tcBorders>
            <w:vAlign w:val="center"/>
          </w:tcPr>
          <w:p w:rsidR="00000000" w:rsidRDefault="00000000">
            <w:pPr>
              <w:jc w:val="center"/>
            </w:pPr>
            <w:r>
              <w:t>1989</w:t>
            </w:r>
          </w:p>
        </w:tc>
        <w:tc>
          <w:tcPr>
            <w:tcW w:w="1595" w:type="dxa"/>
            <w:tcBorders>
              <w:top w:val="single" w:sz="4" w:space="0" w:color="auto"/>
              <w:left w:val="single" w:sz="4" w:space="0" w:color="auto"/>
              <w:right w:val="single" w:sz="4" w:space="0" w:color="auto"/>
            </w:tcBorders>
            <w:vAlign w:val="center"/>
          </w:tcPr>
          <w:p w:rsidR="00000000" w:rsidRDefault="00000000">
            <w:pPr>
              <w:jc w:val="center"/>
            </w:pPr>
            <w:r>
              <w:t>120,0</w:t>
            </w:r>
          </w:p>
        </w:tc>
        <w:tc>
          <w:tcPr>
            <w:tcW w:w="1595" w:type="dxa"/>
            <w:tcBorders>
              <w:top w:val="single" w:sz="4" w:space="0" w:color="auto"/>
              <w:left w:val="single" w:sz="4" w:space="0" w:color="auto"/>
              <w:right w:val="single" w:sz="4" w:space="0" w:color="auto"/>
            </w:tcBorders>
            <w:vAlign w:val="center"/>
          </w:tcPr>
          <w:p w:rsidR="00000000" w:rsidRDefault="00000000">
            <w:pPr>
              <w:jc w:val="center"/>
            </w:pPr>
            <w:r>
              <w:t>1989</w:t>
            </w:r>
          </w:p>
        </w:tc>
        <w:tc>
          <w:tcPr>
            <w:tcW w:w="1595" w:type="dxa"/>
            <w:tcBorders>
              <w:top w:val="single" w:sz="4" w:space="0" w:color="auto"/>
              <w:left w:val="single" w:sz="4" w:space="0" w:color="auto"/>
              <w:right w:val="single" w:sz="4" w:space="0" w:color="auto"/>
            </w:tcBorders>
            <w:vAlign w:val="center"/>
          </w:tcPr>
          <w:p w:rsidR="00000000" w:rsidRDefault="00000000">
            <w:pPr>
              <w:jc w:val="center"/>
            </w:pPr>
            <w:r>
              <w:t>113,1</w:t>
            </w:r>
          </w:p>
        </w:tc>
      </w:tr>
      <w:tr w:rsidR="00000000">
        <w:tblPrEx>
          <w:tblCellMar>
            <w:top w:w="0" w:type="dxa"/>
            <w:bottom w:w="0" w:type="dxa"/>
          </w:tblCellMar>
        </w:tblPrEx>
        <w:trPr>
          <w:jc w:val="center"/>
        </w:trPr>
        <w:tc>
          <w:tcPr>
            <w:tcW w:w="829" w:type="dxa"/>
            <w:tcBorders>
              <w:top w:val="single" w:sz="4" w:space="0" w:color="auto"/>
              <w:left w:val="single" w:sz="4" w:space="0" w:color="auto"/>
              <w:bottom w:val="single" w:sz="4" w:space="0" w:color="auto"/>
              <w:right w:val="single" w:sz="4" w:space="0" w:color="auto"/>
            </w:tcBorders>
            <w:vAlign w:val="center"/>
          </w:tcPr>
          <w:p w:rsidR="00000000" w:rsidRDefault="00000000">
            <w:r>
              <w:t>1994</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165,0</w:t>
            </w:r>
          </w:p>
        </w:tc>
        <w:tc>
          <w:tcPr>
            <w:tcW w:w="142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1994</w:t>
            </w:r>
          </w:p>
        </w:tc>
        <w:tc>
          <w:tcPr>
            <w:tcW w:w="159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140,4</w:t>
            </w:r>
          </w:p>
        </w:tc>
        <w:tc>
          <w:tcPr>
            <w:tcW w:w="159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1994</w:t>
            </w:r>
          </w:p>
        </w:tc>
        <w:tc>
          <w:tcPr>
            <w:tcW w:w="159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117,5</w:t>
            </w:r>
          </w:p>
        </w:tc>
      </w:tr>
      <w:tr w:rsidR="00000000">
        <w:tblPrEx>
          <w:tblCellMar>
            <w:top w:w="0" w:type="dxa"/>
            <w:bottom w:w="0" w:type="dxa"/>
          </w:tblCellMar>
        </w:tblPrEx>
        <w:trPr>
          <w:jc w:val="center"/>
        </w:trPr>
        <w:tc>
          <w:tcPr>
            <w:tcW w:w="829" w:type="dxa"/>
            <w:tcBorders>
              <w:top w:val="single" w:sz="4" w:space="0" w:color="auto"/>
              <w:left w:val="single" w:sz="4" w:space="0" w:color="auto"/>
              <w:bottom w:val="single" w:sz="4" w:space="0" w:color="auto"/>
              <w:right w:val="single" w:sz="4" w:space="0" w:color="auto"/>
            </w:tcBorders>
            <w:vAlign w:val="center"/>
          </w:tcPr>
          <w:p w:rsidR="00000000" w:rsidRDefault="00000000">
            <w:r>
              <w:t>1998*</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189,6</w:t>
            </w:r>
          </w:p>
        </w:tc>
        <w:tc>
          <w:tcPr>
            <w:tcW w:w="142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159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146,4</w:t>
            </w:r>
          </w:p>
        </w:tc>
        <w:tc>
          <w:tcPr>
            <w:tcW w:w="159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159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129,5</w:t>
            </w:r>
          </w:p>
        </w:tc>
      </w:tr>
    </w:tbl>
    <w:p w:rsidR="00000000" w:rsidRDefault="00000000">
      <w:pPr>
        <w:pStyle w:val="FootnoteText"/>
        <w:spacing w:line="288" w:lineRule="auto"/>
      </w:pPr>
    </w:p>
    <w:p w:rsidR="00000000" w:rsidRDefault="00000000">
      <w:pPr>
        <w:pStyle w:val="FootnoteText"/>
        <w:spacing w:line="288" w:lineRule="auto"/>
        <w:ind w:left="1134" w:hanging="1134"/>
      </w:pPr>
      <w:r>
        <w:tab/>
        <w:t>*</w:t>
      </w:r>
      <w:r>
        <w:tab/>
        <w:t>Предварительные данные за первые три квартала года, представленные Статистическим управлением Финляндии.</w:t>
      </w:r>
    </w:p>
    <w:p w:rsidR="00000000" w:rsidRDefault="00000000">
      <w:pPr>
        <w:pStyle w:val="FootnoteText"/>
        <w:spacing w:line="288" w:lineRule="auto"/>
        <w:ind w:left="1134" w:hanging="1134"/>
      </w:pPr>
    </w:p>
    <w:p w:rsidR="00000000" w:rsidRDefault="00000000">
      <w:pPr>
        <w:pStyle w:val="FootnoteText"/>
        <w:spacing w:line="288" w:lineRule="auto"/>
      </w:pPr>
      <w:r>
        <w:t>Индекс реальной заработной платы характеризует динамику размера средней заработной платы по отношению к изменению стоимости жизни.</w:t>
      </w:r>
    </w:p>
    <w:p w:rsidR="00000000" w:rsidRDefault="00000000">
      <w:pPr>
        <w:pStyle w:val="FootnoteText"/>
        <w:spacing w:line="288" w:lineRule="auto"/>
      </w:pPr>
    </w:p>
    <w:p w:rsidR="00000000" w:rsidRDefault="00000000">
      <w:pPr>
        <w:pStyle w:val="FootnoteText"/>
        <w:spacing w:line="288" w:lineRule="auto"/>
      </w:pPr>
      <w:r>
        <w:t>115.</w:t>
      </w:r>
      <w:r>
        <w:tab/>
        <w:t>Соответствующая информация изложена в представленном в 1991 году докладе об осуществлении нератифицированных Конвенций МОТ (№ 26, 99 и 131) и касающихся этих Конвенций рекомендаций (№ 30, 89 и 135), который содержится в приложении к настоящему докладу и включает описание методов исчисления минимального размера оплаты труда (приложение 10).  После 1991 года по данному вопросу докладов не представлялось.</w:t>
      </w:r>
    </w:p>
    <w:p w:rsidR="00000000" w:rsidRDefault="00000000">
      <w:pPr>
        <w:pStyle w:val="FootnoteText"/>
        <w:spacing w:line="288" w:lineRule="auto"/>
      </w:pPr>
    </w:p>
    <w:p w:rsidR="00000000" w:rsidRDefault="00000000">
      <w:pPr>
        <w:pStyle w:val="FootnoteText"/>
        <w:spacing w:line="288" w:lineRule="auto"/>
      </w:pPr>
      <w:r>
        <w:t>2.</w:t>
      </w:r>
      <w:r>
        <w:tab/>
      </w:r>
      <w:r>
        <w:rPr>
          <w:lang w:val="en-US"/>
        </w:rPr>
        <w:t>c</w:t>
      </w:r>
      <w:r>
        <w:t>)</w:t>
      </w:r>
      <w:r>
        <w:tab/>
      </w:r>
      <w:r>
        <w:rPr>
          <w:u w:val="single"/>
        </w:rPr>
        <w:t>Принцип равной оплаты за равный труд или труд равной ценности</w:t>
      </w:r>
    </w:p>
    <w:p w:rsidR="00000000" w:rsidRDefault="00000000">
      <w:pPr>
        <w:pStyle w:val="FootnoteText"/>
        <w:spacing w:line="288" w:lineRule="auto"/>
      </w:pPr>
    </w:p>
    <w:p w:rsidR="00000000" w:rsidRDefault="00000000">
      <w:pPr>
        <w:pStyle w:val="FootnoteText"/>
        <w:spacing w:line="288" w:lineRule="auto"/>
      </w:pPr>
      <w:r>
        <w:t>116.</w:t>
      </w:r>
      <w:r>
        <w:tab/>
        <w:t xml:space="preserve">За последние несколько лет не было отмечено каких-либо значительных изменений в различиях в оплате труда женщин и мужчин.  Согласно статистическим данным за 1997 год, полученным из статистического управления Финляндии, в государственном секторе валовой объем заработков женщин составил 78% от валового объема заработков мужчин.  Размер заработной платы около половины женщин составлял менее 9 200 фин. марок в месяц, тогда как размер ежемесячной заработной платы мужчин составлял около 12 000 </w:t>
      </w:r>
      <w:proofErr w:type="spellStart"/>
      <w:r>
        <w:t>фин</w:t>
      </w:r>
      <w:proofErr w:type="spellEnd"/>
      <w:r>
        <w:t xml:space="preserve">. марок.  Около 39% женщин относились к категории работников, размер заработка которых колеблется от 6 000 до 9 000 </w:t>
      </w:r>
      <w:proofErr w:type="spellStart"/>
      <w:r>
        <w:t>фин</w:t>
      </w:r>
      <w:proofErr w:type="spellEnd"/>
      <w:r>
        <w:t>. марок, а 57% мужчин -  к категории с размером заработка в пределах 7 000</w:t>
      </w:r>
      <w:r>
        <w:noBreakHyphen/>
        <w:t xml:space="preserve">13 000 </w:t>
      </w:r>
      <w:proofErr w:type="spellStart"/>
      <w:r>
        <w:t>фин</w:t>
      </w:r>
      <w:proofErr w:type="spellEnd"/>
      <w:r>
        <w:t xml:space="preserve">. марок. </w:t>
      </w:r>
      <w:r>
        <w:rPr>
          <w:lang w:val="en-US"/>
        </w:rPr>
        <w:t>(Salaries of government employees in 1997, Statistics Finland, Wages and salaries 1998:12)</w:t>
      </w:r>
    </w:p>
    <w:p w:rsidR="00000000" w:rsidRDefault="00000000"/>
    <w:p w:rsidR="00000000" w:rsidRDefault="00000000">
      <w:r>
        <w:t>117.</w:t>
      </w:r>
      <w:r>
        <w:tab/>
        <w:t xml:space="preserve">В муниципальном секторе соответствующие данные свидетельствуют о том, что средний валовой доход мужчин составлял 13 198 </w:t>
      </w:r>
      <w:proofErr w:type="spellStart"/>
      <w:r>
        <w:t>фин</w:t>
      </w:r>
      <w:proofErr w:type="spellEnd"/>
      <w:r>
        <w:t>. марок по сравнению с 10 094 </w:t>
      </w:r>
      <w:proofErr w:type="spellStart"/>
      <w:r>
        <w:t>фин</w:t>
      </w:r>
      <w:proofErr w:type="spellEnd"/>
      <w:r>
        <w:t>. марок для женщин.  В муниципальном секторе заняты преимущественно женщины, причем на долю мужчин приходится лишь около 21% муниципальных служащих, занятых на условиях полного рабочего времени.  Динамика размера заработка в период  после 70</w:t>
      </w:r>
      <w:r>
        <w:noBreakHyphen/>
        <w:t>х годов свидетельствует о сокращении разрыва в оплате труда между мужчинами и женщинами.  В муниципальном секторе в целом, как представляется, различия в оплате труда между женщинами и мужчинами по-прежнему велики.  Однако более подробный анализ цифр показывает, что на деле эти различия не существенны и что также имеется ряд видов деятельности, в которых средние доходы мужчин ниже, чем доходы женщин.  На основе общего анализа положения в муниципальном секторе можно сделать вывод о существовании высокооплачиваемых специальностей, по которым работают преимущественно мужчины, и низкооплачиваемых специальностей, по которым работают преимущественно женщины  (</w:t>
      </w:r>
      <w:r>
        <w:rPr>
          <w:lang w:val="en-US"/>
        </w:rPr>
        <w:t>Salaries in the municipal sector 1997, the Statistics Finland, Wages and salaries 1998:12)</w:t>
      </w:r>
      <w:r>
        <w:t>.</w:t>
      </w:r>
    </w:p>
    <w:p w:rsidR="00000000" w:rsidRDefault="00000000">
      <w:pPr>
        <w:pStyle w:val="FootnoteText"/>
        <w:spacing w:line="288" w:lineRule="auto"/>
      </w:pPr>
    </w:p>
    <w:p w:rsidR="00000000" w:rsidRDefault="00000000">
      <w:pPr>
        <w:pStyle w:val="FootnoteText"/>
        <w:spacing w:line="288" w:lineRule="auto"/>
      </w:pPr>
      <w:r>
        <w:t>118.</w:t>
      </w:r>
      <w:r>
        <w:tab/>
        <w:t>В приложении к настоящему докладу приводятся статистические данные, характеризующие различия в размере заработка по всем категориям рабочих и служащих в 1990</w:t>
      </w:r>
      <w:r>
        <w:noBreakHyphen/>
        <w:t>1998 годах (приложения 18 и 19).  Эта информация основана на индексе уровня доходов и статистических данных о распределении доходов, полученных из статистического управления Финляндии.</w:t>
      </w:r>
    </w:p>
    <w:p w:rsidR="00000000" w:rsidRDefault="00000000">
      <w:pPr>
        <w:pStyle w:val="FootnoteText"/>
        <w:spacing w:line="288" w:lineRule="auto"/>
      </w:pPr>
    </w:p>
    <w:p w:rsidR="00000000" w:rsidRDefault="00000000">
      <w:pPr>
        <w:pStyle w:val="FootnoteText"/>
        <w:spacing w:line="288" w:lineRule="auto"/>
      </w:pPr>
      <w:r>
        <w:t>119.</w:t>
      </w:r>
      <w:r>
        <w:tab/>
        <w:t>На основе заключенного в 1997 году соглашения о политике в области доходов была учреждена Группа мониторинга для оценки требований, предъявляемых к работе.  В качестве меры по укреплению принципа равной оплаты за равный труд или труд равной ценности Группа рекомендовала при оценке соответствующих требований использовать аналитические методы оценки.  Группа мониторинга подготовила руководство (озаглавленное "От иллюзий – к реальности") по разработке методов оценки работы.  Вопрос о равноправии полов включен в руководство в качестве одной из основных тем, которая относится как к критериям, так и к процессу оценки конкретного метода.  Одна из функций Группы мониторинга заключается в выявлении степени важности различных компонентов оплаты при определении базы справедливой оплаты.</w:t>
      </w:r>
    </w:p>
    <w:p w:rsidR="00000000" w:rsidRDefault="00000000">
      <w:pPr>
        <w:pStyle w:val="FootnoteText"/>
        <w:spacing w:line="288" w:lineRule="auto"/>
      </w:pPr>
    </w:p>
    <w:p w:rsidR="00000000" w:rsidRDefault="00000000">
      <w:r>
        <w:t xml:space="preserve">120.  Центральные профессиональные организации продолжают работу по поиску путей ликвидации несправедливой дифференциации в оплате труда.  В девяти компаниях в различных отраслях начато осуществление проекта развития под названием "Равноправное трудовое сообщество".  Его цель заключается в укреплении принципа равенства в производственной сфере путем использования накопленного опыта.  </w:t>
      </w:r>
    </w:p>
    <w:p w:rsidR="00000000" w:rsidRDefault="00000000"/>
    <w:p w:rsidR="00000000" w:rsidRDefault="00000000">
      <w:r>
        <w:t>121.  Информация о мерах, намеченных в соглашении 1997 года о политике в области доходов и касающихся поощрения равноправия мужчин и женщин, содержится в докладе об осуществлении Конвенции МОТ № 100, представленном в 1998 году (приложение 11). В указанном докладе также обсуждаются постановления судов.</w:t>
      </w:r>
    </w:p>
    <w:p w:rsidR="00000000" w:rsidRDefault="00000000"/>
    <w:p w:rsidR="00000000" w:rsidRDefault="00000000">
      <w:pPr>
        <w:ind w:left="1134" w:hanging="1134"/>
        <w:rPr>
          <w:u w:val="single"/>
        </w:rPr>
      </w:pPr>
      <w:r>
        <w:t>2.</w:t>
      </w:r>
      <w:r>
        <w:tab/>
      </w:r>
      <w:proofErr w:type="spellStart"/>
      <w:r>
        <w:t>d</w:t>
      </w:r>
      <w:proofErr w:type="spellEnd"/>
      <w:r>
        <w:t>)</w:t>
      </w:r>
      <w:r>
        <w:tab/>
      </w:r>
      <w:r>
        <w:rPr>
          <w:u w:val="single"/>
        </w:rPr>
        <w:t>Распределение доходов между лицами, работающими по найму в государственном и частном секторе</w:t>
      </w:r>
    </w:p>
    <w:p w:rsidR="00000000" w:rsidRDefault="00000000">
      <w:pPr>
        <w:ind w:left="567" w:hanging="567"/>
        <w:rPr>
          <w:b/>
          <w:u w:val="single"/>
        </w:rPr>
      </w:pPr>
    </w:p>
    <w:p w:rsidR="00000000" w:rsidRDefault="00000000">
      <w:pPr>
        <w:pStyle w:val="FootnoteText"/>
        <w:spacing w:line="288" w:lineRule="auto"/>
      </w:pPr>
      <w:r>
        <w:t>122.  Статистические данные о средних доходах по секторам и ежемесячных доходах работников по секторам приведены в приложении к настоящему докладу (приложение 20).</w:t>
      </w:r>
    </w:p>
    <w:p w:rsidR="00000000" w:rsidRDefault="00000000">
      <w:pPr>
        <w:pStyle w:val="FootnoteText"/>
        <w:spacing w:line="288" w:lineRule="auto"/>
      </w:pPr>
    </w:p>
    <w:p w:rsidR="00000000" w:rsidRDefault="00000000">
      <w:pPr>
        <w:pStyle w:val="FootnoteText"/>
        <w:spacing w:line="288" w:lineRule="auto"/>
        <w:rPr>
          <w:u w:val="single"/>
        </w:rPr>
      </w:pPr>
      <w:r>
        <w:t>3.</w:t>
      </w:r>
      <w:r>
        <w:tab/>
      </w:r>
      <w:r>
        <w:rPr>
          <w:u w:val="single"/>
        </w:rPr>
        <w:t>Нормы безопасности и гигиены труда</w:t>
      </w:r>
    </w:p>
    <w:p w:rsidR="00000000" w:rsidRDefault="00000000">
      <w:pPr>
        <w:pStyle w:val="FootnoteText"/>
        <w:spacing w:line="288" w:lineRule="auto"/>
        <w:rPr>
          <w:b/>
          <w:u w:val="single"/>
        </w:rPr>
      </w:pPr>
    </w:p>
    <w:p w:rsidR="00000000" w:rsidRDefault="00000000">
      <w:pPr>
        <w:pStyle w:val="FootnoteText"/>
        <w:spacing w:line="288" w:lineRule="auto"/>
      </w:pPr>
      <w:r>
        <w:t>123.  В апреле 1997 года органы по обеспечению безопасности и гигиены труда и их вспомогательные службы были выведены из подчинения министерства труда и переданы в ведение министерства социальных вопросов и здравоохранения.  Эта реорганизация была проведена в целях передачи всех вопросов, касающихся безопасности и гигиены труда на производстве, под контроль одного ведомства.  В начале 1994 года вступили в силу требуемые в соответствии с Соглашением ЕЭЗ поправки к Закону об охране труда, Закону о надзоре за охраной труда и к Закону о процедуре обжалования по вопросам, относящимся к охране труда.  Эти изменения, касающиеся программы действий в области охраны труда и сотрудничества в сфере охраны труда, определенных факторов риска и контроля за продукцией, подробно раскрыты в докладе об осуществлении Конвенции МОТ № 155, представленном в 1993 году.  При этом была расширена сфера применения вышеуказанных норм.  В них были включены положения о наемных работниках, а положения, касающиеся строительных работ, были пересмотрены путем введения обязательств по охране труда для строительных организаций и распространения действия Закона об охране труда на отдельных работников.</w:t>
      </w:r>
    </w:p>
    <w:p w:rsidR="00000000" w:rsidRDefault="00000000">
      <w:pPr>
        <w:pStyle w:val="FootnoteText"/>
        <w:spacing w:line="288" w:lineRule="auto"/>
      </w:pPr>
    </w:p>
    <w:p w:rsidR="00000000" w:rsidRDefault="00000000">
      <w:pPr>
        <w:pStyle w:val="FootnoteText"/>
        <w:spacing w:line="288" w:lineRule="auto"/>
      </w:pPr>
      <w:r>
        <w:t>125.</w:t>
      </w:r>
      <w:r>
        <w:tab/>
        <w:t xml:space="preserve">Согласно поправкам, внесенным в Закон об охране труда 1 июня 1997 года, работодателям было вменено в обязанность учитывать необходимость перерывов, в особенности на работах, связанных со значительной нагрузкой и требующих нахождения на одном месте.  С января 1998 года вступило в силу положение, согласно которому при принятии решений в отношении мер охраны труда необходимо учитывать возраст работников.  Программа действий работодателя в области охраны труда должна также предусматривать меры, помогающие сохранить работоспособность, как это предусмотрено в плане действий службы гигиены труда на производстве. </w:t>
      </w:r>
    </w:p>
    <w:p w:rsidR="00000000" w:rsidRDefault="00000000">
      <w:pPr>
        <w:pStyle w:val="FootnoteText"/>
        <w:spacing w:line="288" w:lineRule="auto"/>
      </w:pPr>
    </w:p>
    <w:p w:rsidR="00000000" w:rsidRDefault="00000000">
      <w:pPr>
        <w:pStyle w:val="FootnoteText"/>
        <w:spacing w:line="288" w:lineRule="auto"/>
      </w:pPr>
      <w:r>
        <w:t>126.  С начала 1995 года предусматривается возможность согласования форм сотрудничества в сфере охраны труда в том числе и на местном уровне.  В результате такого согласованного сотрудничества должен достигаться тот же уровень охраны труда, что и в рамках сотрудничества, организованного в соответствии с законодательством или на основе соглашений об охране труда, заключаемых центральными организациями, действующими на рынке труда.</w:t>
      </w:r>
    </w:p>
    <w:p w:rsidR="00000000" w:rsidRDefault="00000000">
      <w:pPr>
        <w:pStyle w:val="FootnoteText"/>
        <w:spacing w:line="288" w:lineRule="auto"/>
      </w:pPr>
    </w:p>
    <w:p w:rsidR="00000000" w:rsidRDefault="00000000">
      <w:pPr>
        <w:pStyle w:val="FootnoteText"/>
        <w:spacing w:line="288" w:lineRule="auto"/>
      </w:pPr>
      <w:r>
        <w:t>127.</w:t>
      </w:r>
      <w:r>
        <w:tab/>
        <w:t>1 февраля 1997 года вступил в силу ряд поправок, касающихся временных видов занятости.  Поправки были внесены в Закон о трудовых соглашениях, закон об охране труда и закон об учебном отпуске в целях укрепления гарантий лиц, работающих по краткосрочным и временным трудовым соглашениям.  Была повышена степень защищенности труда наемных работников путем расширения ответственности работодателя, который в настоящее время обязан гарантировать равный уровень защищенности для наемных и постоянных работников.  Эти изменения были введены в целях укрепления гарантий в рамках так называемой непостоянной занятости и сближения правового статуса лиц, имеющих непостоянную работу, со статусом постоянных работников.</w:t>
      </w:r>
    </w:p>
    <w:p w:rsidR="00000000" w:rsidRDefault="00000000">
      <w:pPr>
        <w:pStyle w:val="FootnoteText"/>
        <w:spacing w:line="288" w:lineRule="auto"/>
      </w:pPr>
    </w:p>
    <w:p w:rsidR="00000000" w:rsidRDefault="00000000">
      <w:pPr>
        <w:pStyle w:val="FootnoteText"/>
        <w:spacing w:line="288" w:lineRule="auto"/>
        <w:rPr>
          <w:u w:val="single"/>
        </w:rPr>
      </w:pPr>
      <w:r>
        <w:t>4.</w:t>
      </w:r>
      <w:r>
        <w:tab/>
      </w:r>
      <w:r>
        <w:rPr>
          <w:u w:val="single"/>
        </w:rPr>
        <w:t>Равные возможности для продвижения по службе</w:t>
      </w:r>
    </w:p>
    <w:p w:rsidR="00000000" w:rsidRDefault="00000000">
      <w:pPr>
        <w:pStyle w:val="FootnoteText"/>
        <w:spacing w:line="288" w:lineRule="auto"/>
        <w:rPr>
          <w:b/>
          <w:u w:val="single"/>
        </w:rPr>
      </w:pPr>
    </w:p>
    <w:p w:rsidR="00000000" w:rsidRDefault="00000000">
      <w:pPr>
        <w:pStyle w:val="FootnoteText"/>
        <w:spacing w:line="288" w:lineRule="auto"/>
      </w:pPr>
      <w:r>
        <w:t xml:space="preserve">128.  Все работодатели должны одинаково относиться ко всем работникам без какой-либо дискриминации. </w:t>
      </w:r>
    </w:p>
    <w:p w:rsidR="00000000" w:rsidRDefault="00000000">
      <w:pPr>
        <w:pStyle w:val="FootnoteText"/>
        <w:spacing w:line="288" w:lineRule="auto"/>
      </w:pPr>
    </w:p>
    <w:p w:rsidR="00000000" w:rsidRDefault="00000000">
      <w:pPr>
        <w:pStyle w:val="FootnoteText"/>
        <w:spacing w:line="288" w:lineRule="auto"/>
      </w:pPr>
      <w:r>
        <w:t>129.  В связи с реформой основополагающих прав дискриминация в сфере труда была квалифицирована как уголовное преступление путем добавления соответствующего положения в Уголовный кодекс (578/1995;  пункт 3 статьи 47).  Центральная организация профсоюзов Финляндии (</w:t>
      </w:r>
      <w:r>
        <w:rPr>
          <w:lang w:val="en-US"/>
        </w:rPr>
        <w:t>SAK</w:t>
      </w:r>
      <w:r>
        <w:t xml:space="preserve">) обратила особое внимание на то, что, коль скоро бремя </w:t>
      </w:r>
      <w:proofErr w:type="spellStart"/>
      <w:r>
        <w:t>доказывания</w:t>
      </w:r>
      <w:proofErr w:type="spellEnd"/>
      <w:r>
        <w:t xml:space="preserve"> в случае дискриминации в сфере труда возлагается на работника (кроме как при дискриминации по признаку пола), то в случаях, когда речь идет о праве на повышение по службе, привести убедительные доказательства дискриминации особенно трудно.</w:t>
      </w:r>
    </w:p>
    <w:p w:rsidR="00000000" w:rsidRDefault="00000000">
      <w:pPr>
        <w:pStyle w:val="FootnoteText"/>
        <w:spacing w:line="288" w:lineRule="auto"/>
      </w:pPr>
    </w:p>
    <w:p w:rsidR="00000000" w:rsidRDefault="00000000">
      <w:pPr>
        <w:pStyle w:val="FootnoteText"/>
        <w:spacing w:line="288" w:lineRule="auto"/>
      </w:pPr>
      <w:r>
        <w:t xml:space="preserve">130.  Соответствующая информация по этому вопросу изложена в докладах об осуществлении Конвенции № 111, представленных </w:t>
      </w:r>
      <w:proofErr w:type="spellStart"/>
      <w:r>
        <w:t>МОТв</w:t>
      </w:r>
      <w:proofErr w:type="spellEnd"/>
      <w:r>
        <w:t xml:space="preserve"> 1995 и 1997 годах (приложения 6 и 7).</w:t>
      </w:r>
    </w:p>
    <w:p w:rsidR="00000000" w:rsidRDefault="00000000">
      <w:pPr>
        <w:pStyle w:val="FootnoteText"/>
        <w:spacing w:line="288" w:lineRule="auto"/>
      </w:pPr>
    </w:p>
    <w:p w:rsidR="00000000" w:rsidRDefault="00000000">
      <w:pPr>
        <w:pStyle w:val="FootnoteText"/>
        <w:spacing w:line="288" w:lineRule="auto"/>
      </w:pPr>
      <w:r>
        <w:t xml:space="preserve">131.  Принятые </w:t>
      </w:r>
      <w:proofErr w:type="spellStart"/>
      <w:r>
        <w:t>омбудсменом</w:t>
      </w:r>
      <w:proofErr w:type="spellEnd"/>
      <w:r>
        <w:t xml:space="preserve"> по вопросам равноправия меры по поощрению равноправия обсуждаются в докладе по Конвенции МОТ № 100, представленном в 1998 году (приложение 13).  В него также включена информация о судебных решениях, касающихся проблемы равноправия.  В целях дополнения указанной информации следует отметить, что в 1996 году </w:t>
      </w:r>
      <w:proofErr w:type="spellStart"/>
      <w:r>
        <w:t>омбудсмен</w:t>
      </w:r>
      <w:proofErr w:type="spellEnd"/>
      <w:r>
        <w:t xml:space="preserve"> по вопросам равноправия подготовил инструкции, касающиеся планирования деятельности по обеспечению равноправия, которые охватывают не только проблему оплаты труда, но и другие вопросы, относящиеся к равноправию.  В 1996 году омбудсменом по вопросам равноправия было начато осуществление специального проекта содействия, направленного на повышение эффективности деятельности в области обеспечения равноправия, включая, например, посещение нескольких компаний и ряда центральных организаций, действующих на рынке труда.  В ходе этих посещений  </w:t>
      </w:r>
    </w:p>
    <w:p w:rsidR="00000000" w:rsidRDefault="00000000">
      <w:pPr>
        <w:pStyle w:val="FootnoteText"/>
        <w:spacing w:line="288" w:lineRule="auto"/>
      </w:pPr>
      <w:proofErr w:type="spellStart"/>
      <w:r>
        <w:t>омбудсмен</w:t>
      </w:r>
      <w:proofErr w:type="spellEnd"/>
      <w:r>
        <w:t xml:space="preserve"> по вопросам равноправия обычно проводил пресс-конференции.  В 1997 году министр, ведающий вопросами обеспечения равноправия, особо отметил ряд трудовых коллективов за их усилия по поощрению равноправия.</w:t>
      </w:r>
    </w:p>
    <w:p w:rsidR="00000000" w:rsidRDefault="00000000">
      <w:pPr>
        <w:pStyle w:val="FootnoteText"/>
        <w:spacing w:line="288" w:lineRule="auto"/>
      </w:pPr>
    </w:p>
    <w:p w:rsidR="00000000" w:rsidRDefault="00000000">
      <w:pPr>
        <w:pStyle w:val="FootnoteText"/>
        <w:spacing w:line="288" w:lineRule="auto"/>
        <w:ind w:left="567" w:hanging="567"/>
        <w:rPr>
          <w:u w:val="single"/>
        </w:rPr>
      </w:pPr>
      <w:r>
        <w:t>5.</w:t>
      </w:r>
      <w:r>
        <w:tab/>
      </w:r>
      <w:r>
        <w:rPr>
          <w:u w:val="single"/>
        </w:rPr>
        <w:t>Нормы, регулирующие продолжительность рабочего времени, ежегодные отпуска и оплачиваемые национальные праздники</w:t>
      </w:r>
    </w:p>
    <w:p w:rsidR="00000000" w:rsidRDefault="00000000">
      <w:pPr>
        <w:pStyle w:val="FootnoteText"/>
        <w:spacing w:line="288" w:lineRule="auto"/>
        <w:ind w:left="567" w:hanging="567"/>
        <w:rPr>
          <w:b/>
          <w:u w:val="single"/>
        </w:rPr>
      </w:pPr>
    </w:p>
    <w:p w:rsidR="00000000" w:rsidRDefault="00000000">
      <w:pPr>
        <w:pStyle w:val="FootnoteText"/>
        <w:spacing w:line="288" w:lineRule="auto"/>
      </w:pPr>
      <w:r>
        <w:t>132.  С вступлением в силу в 1996 году Закона о рабочих часах (605/1996) законодательство, регулирующее определенные аспекты продолжительности рабочего времени, было приведено в соответствие с директивой Европейской комиссии от 23 ноября 1993 года по этому вопросу.  Другая задача заключалась в уточнении и согласовании норм, касающихся трудовой жизни.  Новым законом были отменены Закон о рабочих часах в коммерческих фирмах и учреждениях, Закон о рабочих часах в сельском хозяйстве, Закон о рабочих часах для вахтеров и большая часть Закона о хлебопекарнях.  Положения нового закона действуют применительно к трудовым отношениям, о которых идет речь в Законе о трудовых соглашениях, а также работе, выполняемой государственными гражданскими служащими и конторскими работниками, нанимаемыми муниципалитетами, муниципальными федерациями, церковью и другими государственными образованиями.  Положения Закона о рабочих часах также распространяются на трудовые отношения в сфере профессионального обучения.  В отношении работы, выполняемой лицами в возрасте до 18 лет, действуют положения Закона о защите молодых трудящихся.</w:t>
      </w:r>
    </w:p>
    <w:p w:rsidR="00000000" w:rsidRDefault="00000000">
      <w:pPr>
        <w:pStyle w:val="FootnoteText"/>
        <w:spacing w:line="288" w:lineRule="auto"/>
      </w:pPr>
    </w:p>
    <w:p w:rsidR="00000000" w:rsidRDefault="00000000">
      <w:pPr>
        <w:pStyle w:val="FootnoteText"/>
        <w:spacing w:line="288" w:lineRule="auto"/>
      </w:pPr>
      <w:r>
        <w:t>133.  Согласно общим положениям указанного закона, обычная продолжительность рабочего дня должна составлять не более 8 часов в день или 40 часов в неделю. Обычная продолжительность рабочей недели может также составлять в среднем 40 часов в течение не более 52 недель.  В том случае, если работник вправе свободно покидать рабочее место без каких-либо ограничений, то ежедневный отдых исключается из рабочего времени. При периодической работе продолжительность рабочего дня может отклоняться от основного правила при условии, что обычная продолжительность рабочего времени составляет не более 120 часов в течение трехнедельного периода или не более 80 часов в течение двухнедельного периода.  Работодателям должно предоставляться право на еженедельный непрерывный отдых, продолжительностью не менее 35 часов, по возможности, включая воскресенье.  Согласно Закону о рабочих часах, время отдыха может также составлять в среднем 35 часов в течение двухнедельного периода при условии предоставления в течение недели времени на отдых, продолжительностью не менее 24 часов.</w:t>
      </w:r>
    </w:p>
    <w:p w:rsidR="00000000" w:rsidRDefault="00000000"/>
    <w:p w:rsidR="00000000" w:rsidRDefault="00000000">
      <w:r>
        <w:t>134.</w:t>
      </w:r>
      <w:r>
        <w:tab/>
        <w:t>Лицам, работающим посменно на непрерывном производстве, может предоставляться время на отдых продолжительностью в 35 часов в течение периода, не превышающего 12 недель.  Кроме того, работникам предоставляется еженедельный отдых продолжительностью не менее 24 часов.  Если технические условия или режим работы обусловливают необходимость аналогичного решения, то указанный подход может использоваться в случае согласия соответствующего работника.</w:t>
      </w:r>
    </w:p>
    <w:p w:rsidR="00000000" w:rsidRDefault="00000000"/>
    <w:p w:rsidR="00000000" w:rsidRDefault="00000000">
      <w:r>
        <w:t>135.</w:t>
      </w:r>
      <w:r>
        <w:tab/>
        <w:t>Особые условия, регулирующие продолжительность рабочего дня, включены, в частности, в Закон о рабочих часах моряков, Закон о рабочих часах на внутреннем транспорте, Закон о рабочих часах и отдыхе в автомобильном транспорте, Закон о молодых трудящихся и Закон о трудовых отношениях в сфере работы на дому.</w:t>
      </w:r>
    </w:p>
    <w:p w:rsidR="00000000" w:rsidRDefault="00000000"/>
    <w:p w:rsidR="00000000" w:rsidRDefault="00000000">
      <w:r>
        <w:t>136.</w:t>
      </w:r>
      <w:r>
        <w:tab/>
        <w:t>В связи с соглашением о политике в области экономики, занятости и рынка труда на 1996-1997 годы, заключенного в сентябре 1995 года, центральные организации, действующие на рынке труда, учредили рабочую группу в целях выявления потребностей в изменениях в сфере продолжительности рабочего времени в компаниях и трудовых сообществах и среди их персонала, а также установления того, какие последствия для занятости могло бы иметь осуществление требуемых изменений.  Рабочая группа провела сбор информации об используемых подходах и проанализировала возможное влияние различных моделей продолжительности рабочего времени на повышение конкурентоспособности и уровня занятости с учетом индивидуальных потребностей работников в этом отношении.  В июне 1998 года по результатам этой деятельности был опубликован доклад, который также имеется на английском языке (Working Time Report, 1999).</w:t>
      </w:r>
    </w:p>
    <w:p w:rsidR="00000000" w:rsidRDefault="00000000"/>
    <w:p w:rsidR="00000000" w:rsidRDefault="00000000">
      <w:r>
        <w:t>137.</w:t>
      </w:r>
      <w:r>
        <w:tab/>
        <w:t>Конфедерация профсоюзов работников учебных заведений (AKAVA) опубликовала собственное исследование положения на рынке труда, согласно которому продолжительность рабочего времени ее членов составляет в среднем 43 часа в неделю, но при этом между различными секторами наблюдаются существенные колебания.</w:t>
      </w:r>
    </w:p>
    <w:p w:rsidR="00000000" w:rsidRDefault="00000000"/>
    <w:p w:rsidR="00000000" w:rsidRDefault="00000000">
      <w:r>
        <w:t>138.</w:t>
      </w:r>
      <w:r>
        <w:tab/>
        <w:t>Закон о ежегодных отпусках (272/1973) распространяется на всех работодателей и работников, перечисленных в Законе о трудовых соглашениях.  Согласно положениям этого закона, работники пользуются правом на два отпускных дня за каждый полный отработанный месяц.  Если на конец года, за который начисляются отпускные дни и который предшествовал отпускному году, работник непрерывно проработал в течение более одного года у одного и того же нанимателя, он получает право на 2,5 отпускных дня за каждый полный отработанный месяц.  Согласно поправке к Закону о ежегодном отпуске (460/1997), работники пользуются правом на ежегодный оплачиваемый отпуск даже в случае 6-часового рабочего дня.  Аналогичная поправка была внесена в Закон о ежегодных отпусках моряков (433/1984).</w:t>
      </w:r>
    </w:p>
    <w:p w:rsidR="00000000" w:rsidRDefault="00000000"/>
    <w:p w:rsidR="00000000" w:rsidRDefault="00000000">
      <w:r>
        <w:t>139.</w:t>
      </w:r>
      <w:r>
        <w:tab/>
        <w:t>В начале 1999 года в муниципальном секторе была проведена комплексная реформа системы ежегодных отпусков, в рамках которой были унифицированы условия предоставления ежегодного отпуска.</w:t>
      </w:r>
    </w:p>
    <w:p w:rsidR="00000000" w:rsidRDefault="00000000"/>
    <w:p w:rsidR="00000000" w:rsidRDefault="00000000">
      <w:r>
        <w:t>140.</w:t>
      </w:r>
      <w:r>
        <w:tab/>
        <w:t>Положения законодательных норм, регулирующих предоставление ежегодных отпусков, более подробно изложены в докладе об осуществлении Конвенции № 132, представленном МОТ в 1994 году (приложение 13).</w:t>
      </w:r>
    </w:p>
    <w:p w:rsidR="00000000" w:rsidRDefault="00000000"/>
    <w:p w:rsidR="00000000" w:rsidRDefault="00000000">
      <w:r>
        <w:t>141.</w:t>
      </w:r>
      <w:r>
        <w:tab/>
        <w:t xml:space="preserve">Что касается государственных оплачиваемых праздников, то соответствующая информация приведена в предыдущем периодическом докладе.  </w:t>
      </w:r>
    </w:p>
    <w:p w:rsidR="00000000" w:rsidRDefault="00000000">
      <w:pPr>
        <w:pStyle w:val="FootnoteText"/>
        <w:spacing w:line="288" w:lineRule="auto"/>
      </w:pPr>
    </w:p>
    <w:p w:rsidR="00000000" w:rsidRDefault="00000000">
      <w:pPr>
        <w:ind w:left="567" w:hanging="567"/>
        <w:rPr>
          <w:u w:val="single"/>
        </w:rPr>
      </w:pPr>
      <w:r>
        <w:t>5.</w:t>
      </w:r>
      <w:r>
        <w:tab/>
      </w:r>
      <w:r>
        <w:rPr>
          <w:lang w:val="en-US"/>
        </w:rPr>
        <w:t>a)</w:t>
      </w:r>
      <w:r>
        <w:rPr>
          <w:lang w:val="en-US"/>
        </w:rPr>
        <w:tab/>
      </w:r>
      <w:r>
        <w:rPr>
          <w:u w:val="single"/>
        </w:rPr>
        <w:t>Проблемы, возникающие в связи с применением положений, касающихся</w:t>
      </w:r>
    </w:p>
    <w:p w:rsidR="00000000" w:rsidRDefault="00000000">
      <w:pPr>
        <w:ind w:left="567" w:hanging="567"/>
      </w:pPr>
      <w:r>
        <w:tab/>
      </w:r>
      <w:r>
        <w:tab/>
      </w:r>
      <w:r>
        <w:rPr>
          <w:u w:val="single"/>
        </w:rPr>
        <w:t>продолжительности рабочего времени и ежегодных отпусков</w:t>
      </w:r>
    </w:p>
    <w:p w:rsidR="00000000" w:rsidRDefault="00000000">
      <w:pPr>
        <w:ind w:left="567" w:hanging="567"/>
      </w:pPr>
    </w:p>
    <w:p w:rsidR="00000000" w:rsidRDefault="00000000">
      <w:r>
        <w:t>142.</w:t>
      </w:r>
      <w:r>
        <w:tab/>
        <w:t>В спорных случаях работодатель пользуется преимущественным правом толковать содержание и смысл того или иного положения трудового договора.  Работник обязан следовать толкованию работодателя, пока спор не будет урегулирован.  В некоторых случаях этот принцип может препятствовать безотлагательному осуществлению прав работников.</w:t>
      </w:r>
    </w:p>
    <w:p w:rsidR="00000000" w:rsidRDefault="00000000"/>
    <w:p w:rsidR="00000000" w:rsidRDefault="00000000">
      <w:pPr>
        <w:ind w:left="1134" w:hanging="1134"/>
      </w:pPr>
      <w:r>
        <w:t>5.</w:t>
      </w:r>
      <w:r>
        <w:tab/>
      </w:r>
      <w:r>
        <w:rPr>
          <w:lang w:val="en-US"/>
        </w:rPr>
        <w:t>b)</w:t>
      </w:r>
      <w:r>
        <w:rPr>
          <w:lang w:val="en-US"/>
        </w:rPr>
        <w:tab/>
      </w:r>
      <w:r>
        <w:rPr>
          <w:u w:val="single"/>
        </w:rPr>
        <w:t>Работники, не подпадающие под сферу действия Закона о продолжительности</w:t>
      </w:r>
      <w:r>
        <w:rPr>
          <w:u w:val="single"/>
          <w:lang w:val="en-US"/>
        </w:rPr>
        <w:t xml:space="preserve"> </w:t>
      </w:r>
      <w:r>
        <w:rPr>
          <w:u w:val="single"/>
        </w:rPr>
        <w:t>рабочего времени и Закона о ежегодном отпуске</w:t>
      </w:r>
    </w:p>
    <w:p w:rsidR="00000000" w:rsidRDefault="00000000">
      <w:pPr>
        <w:ind w:left="567" w:hanging="567"/>
        <w:rPr>
          <w:b/>
        </w:rPr>
      </w:pPr>
    </w:p>
    <w:p w:rsidR="00000000" w:rsidRDefault="00000000">
      <w:r>
        <w:t>143.</w:t>
      </w:r>
      <w:r>
        <w:tab/>
        <w:t xml:space="preserve">В Законе о рабочих часах (605/1996) определяются виды деятельности, не подпадающие под сферу его действия.  К такой деятельности относится управление компанией или учреждением (или какой-либо его автономной частью) или сопоставимая работа.  Положения закона не распространяются на работу в евангелической лютеранской церкви, православной церкви, а также культовые услуги, предоставляемые в любых других религиозных сообществах.  Указ о рабочих часах в евангелической лютеранской церкви (33/1998) предусматривает, что положения Закона о рабочих часах не действуют применительно к священнослужителям в лютеранской церкви.  Положения Закона о рабочих часах не распространяются на работу на дому или в аналогичных условиях, а также на виды деятельности, перечисленные в Законе об организации ухода за детьми.  Из сферы применения этого Закона также исключается работа, выполняемая членами семьи работодателя, гражданскими служащими министерства обороны (как правило), а также работниками в некоторых отраслях первичного производства.  Эти исключенные сферы деятельности обычно регулируются каким-либо иным нормативным актом о продолжительности рабочего времени, и таким образом этот вопрос не выходит из-под нормативного контроля.  </w:t>
      </w:r>
    </w:p>
    <w:p w:rsidR="00000000" w:rsidRDefault="00000000"/>
    <w:p w:rsidR="00000000" w:rsidRDefault="00000000">
      <w:r>
        <w:t>144.</w:t>
      </w:r>
      <w:r>
        <w:tab/>
        <w:t>Конфедерация профсоюзов работников учебных заведений Финляндии (AKAVA) обращает внимание на тот факт, что предусмотренное в Законе о рабочих часах ограничение в отношении отправления религиозных обрядов принципиально отличается от других ограничений, поскольку критерии в данном случае устанавливаются применительно к работникам, а не к выполняемой работе.  По этой причине положения Закона о рабочих часах не распространяются на священнослужителей и церковных певчих, даже несмотря на то, что отправление религиозных обрядов составляет лишь незначительную часть их работы.</w:t>
      </w:r>
    </w:p>
    <w:p w:rsidR="00000000" w:rsidRDefault="00000000"/>
    <w:p w:rsidR="00000000" w:rsidRDefault="00000000">
      <w:r>
        <w:t>145.</w:t>
      </w:r>
      <w:r>
        <w:tab/>
        <w:t>Закон о ежегодном отпуске не распространяется на членов семьи работодателя, в фирме которого не имеется других постоянных работников, а также на членов семьи работодателя в сельском хозяйстве.  Этот закон также не применим к работникам, вознаграждение которым выплачиваются исключительно в виде части дохода.</w:t>
      </w:r>
    </w:p>
    <w:p w:rsidR="00000000" w:rsidRDefault="00000000"/>
    <w:p w:rsidR="00000000" w:rsidRDefault="00000000">
      <w:r>
        <w:t>146.</w:t>
      </w:r>
      <w:r>
        <w:tab/>
        <w:t>В случае краткосрочных трудовых договоров работнику может быть выплачена компенсация за неиспользованные отпускные дни вместо предоставления отпуска.</w:t>
      </w:r>
    </w:p>
    <w:p w:rsidR="00000000" w:rsidRDefault="00000000"/>
    <w:p w:rsidR="00000000" w:rsidRDefault="00000000">
      <w:r>
        <w:t>147.</w:t>
      </w:r>
      <w:r>
        <w:tab/>
        <w:t>Лицам, работающим на дому, работодатели обязаны выплачивать компенсацию за ежегодный отпуск.</w:t>
      </w:r>
    </w:p>
    <w:p w:rsidR="00000000" w:rsidRDefault="00000000"/>
    <w:p w:rsidR="00000000" w:rsidRDefault="00000000">
      <w:r>
        <w:t>6.</w:t>
      </w:r>
      <w:r>
        <w:tab/>
      </w:r>
      <w:r>
        <w:rPr>
          <w:u w:val="single"/>
        </w:rPr>
        <w:t>Обеспечение равноправия в сфере труда</w:t>
      </w:r>
    </w:p>
    <w:p w:rsidR="00000000" w:rsidRDefault="00000000"/>
    <w:p w:rsidR="00000000" w:rsidRDefault="00000000">
      <w:r>
        <w:t>6</w:t>
      </w:r>
      <w:r>
        <w:rPr>
          <w:lang w:val="en-US"/>
        </w:rPr>
        <w:t>.</w:t>
      </w:r>
      <w:r>
        <w:rPr>
          <w:lang w:val="en-US"/>
        </w:rPr>
        <w:tab/>
        <w:t>a)</w:t>
      </w:r>
      <w:r>
        <w:rPr>
          <w:lang w:val="en-US"/>
        </w:rPr>
        <w:tab/>
      </w:r>
      <w:r>
        <w:rPr>
          <w:u w:val="single"/>
        </w:rPr>
        <w:t>Изменения в законодательстве</w:t>
      </w:r>
    </w:p>
    <w:p w:rsidR="00000000" w:rsidRDefault="00000000"/>
    <w:p w:rsidR="00000000" w:rsidRDefault="00000000">
      <w:r>
        <w:t>148.</w:t>
      </w:r>
      <w:r>
        <w:tab/>
        <w:t>В соответствии с поправкой к Закону о равноправии, внесенной в 1995 году, работодателю было вменено в обязанность на систематической основе вести работу по обеспечению равноправия между мужчинами и женщинами путем определения соответствующих целей.  Если на предприятии имеется не менее 30 работников, работодатель обязан составить ежегодную программу мер, направленных на поощрение равноправия.  Планирование мер по обеспечению равноправия преследует, в частности, следующие цели:  улучшить атмосферу в трудовом коллективе и сбалансировать перспективы продвижения по службе, содействовать повышению эффективности методов подбора кадров и обеспечить более равные условия исчисления размера вознаграждения.  Работа по поощрению равноправия осуществляется в различных формах в зависимости от места труда.  Факторы, обусловливающие принимаемые меры, включают имеющиеся в распоряжении работодателей ресурсы и другие конкретные аспекты, относящиеся к месту работы и данному конкретному сектору (численность сотрудников и финансовые ресурсы предприятия, наличие рабочей силы и профессиональные качества кандидатов на рабочие места и т.д.).</w:t>
      </w:r>
    </w:p>
    <w:p w:rsidR="00000000" w:rsidRDefault="00000000"/>
    <w:p w:rsidR="00000000" w:rsidRDefault="00000000">
      <w:r>
        <w:t>149.</w:t>
      </w:r>
      <w:r>
        <w:tab/>
        <w:t>С принятием поправок к Закону о равноправии были расширены возможности лиц, ищущих работу, и работников в плане получения разъяснений по поводу оснований для действий работодателя путем расширения обязательств работодателя в целях охвата возможных случаев дискриминации в размере заработка.  Работодатель обязан по запросу представлять разъяснения, касающиеся мотивов установления той или иной заработной платы рабочего или служащего, и другую информацию о работнике.  Эти разъяснения используются в качестве основания для установление факта нарушения запрета на дискриминацию в сфере заработной платы.</w:t>
      </w:r>
    </w:p>
    <w:p w:rsidR="00000000" w:rsidRDefault="00000000"/>
    <w:p w:rsidR="00000000" w:rsidRDefault="00000000">
      <w:pPr>
        <w:rPr>
          <w:lang w:val="en-US"/>
        </w:rPr>
      </w:pPr>
      <w:r>
        <w:t xml:space="preserve">150.  Другие предусмотренные законодательством обязательства работодателя включают меры, помогающие учитывать семейные обстоятельства как мужчин, так и женщин.  Работодатель также обязан обеспечивать, по мере возможности, защиту работников от сексуальных домогательств на рабочем месте.  </w:t>
      </w:r>
    </w:p>
    <w:p w:rsidR="00000000" w:rsidRDefault="00000000">
      <w:pPr>
        <w:rPr>
          <w:lang w:val="en-US"/>
        </w:rPr>
      </w:pPr>
    </w:p>
    <w:p w:rsidR="00000000" w:rsidRDefault="00000000">
      <w:r>
        <w:rPr>
          <w:lang w:val="en-US"/>
        </w:rPr>
        <w:t>151.</w:t>
      </w:r>
      <w:r>
        <w:rPr>
          <w:lang w:val="en-US"/>
        </w:rPr>
        <w:tab/>
      </w:r>
      <w:r>
        <w:t>Информация об изменении в системе организации охраны и гигиены труда изложена в докладах об осуществлении Конвенции МОТ № 81, представленных в 1995 и 1997 годах (приложения 11 и 12), и в докладах об осуществлении Конвенции № 129, представленных в 1996 и 1998 годах (приложения 14 и 15).</w:t>
      </w:r>
    </w:p>
    <w:p w:rsidR="00000000" w:rsidRDefault="00000000"/>
    <w:p w:rsidR="00000000" w:rsidRDefault="00000000">
      <w:pPr>
        <w:pStyle w:val="Heading7"/>
        <w:spacing w:line="288" w:lineRule="auto"/>
      </w:pPr>
      <w:r>
        <w:t>Статья 8</w:t>
      </w:r>
    </w:p>
    <w:p w:rsidR="00000000" w:rsidRDefault="00000000">
      <w:pPr>
        <w:pStyle w:val="Heading7"/>
        <w:spacing w:line="288" w:lineRule="auto"/>
      </w:pPr>
    </w:p>
    <w:p w:rsidR="00000000" w:rsidRDefault="00000000">
      <w:pPr>
        <w:rPr>
          <w:b/>
        </w:rPr>
      </w:pPr>
      <w:r>
        <w:t>1.</w:t>
      </w:r>
      <w:r>
        <w:tab/>
      </w:r>
      <w:r>
        <w:rPr>
          <w:u w:val="single"/>
        </w:rPr>
        <w:t>Международные соглашения</w:t>
      </w:r>
    </w:p>
    <w:p w:rsidR="00000000" w:rsidRDefault="00000000"/>
    <w:p w:rsidR="00000000" w:rsidRDefault="00000000">
      <w:r>
        <w:t>152.</w:t>
      </w:r>
      <w:r>
        <w:tab/>
        <w:t>Финляндия ратифицировала все конвенции, перечисленные в соответствующем разделе руководящих принципов.</w:t>
      </w:r>
    </w:p>
    <w:p w:rsidR="00000000" w:rsidRDefault="00000000"/>
    <w:p w:rsidR="00000000" w:rsidRDefault="00000000">
      <w:pPr>
        <w:ind w:left="1134" w:hanging="1134"/>
        <w:rPr>
          <w:u w:val="single"/>
        </w:rPr>
      </w:pPr>
      <w:r>
        <w:br w:type="page"/>
        <w:t>2.</w:t>
      </w:r>
      <w:r>
        <w:tab/>
      </w:r>
      <w:r>
        <w:rPr>
          <w:lang w:val="en-US"/>
        </w:rPr>
        <w:t>a-b)</w:t>
      </w:r>
      <w:r>
        <w:rPr>
          <w:lang w:val="en-US"/>
        </w:rPr>
        <w:tab/>
      </w:r>
      <w:r>
        <w:tab/>
      </w:r>
      <w:r>
        <w:rPr>
          <w:u w:val="single"/>
        </w:rPr>
        <w:t xml:space="preserve">Свобода ассоциаций в сфере профессиональной деятельности или </w:t>
      </w:r>
    </w:p>
    <w:p w:rsidR="00000000" w:rsidRDefault="00000000">
      <w:pPr>
        <w:ind w:left="1134" w:hanging="1134"/>
        <w:rPr>
          <w:b/>
        </w:rPr>
      </w:pPr>
      <w:r>
        <w:tab/>
      </w:r>
      <w:r>
        <w:tab/>
      </w:r>
      <w:r>
        <w:tab/>
      </w:r>
      <w:r>
        <w:rPr>
          <w:u w:val="single"/>
        </w:rPr>
        <w:t>профессиональных ассоциаций</w:t>
      </w:r>
    </w:p>
    <w:p w:rsidR="00000000" w:rsidRDefault="00000000">
      <w:pPr>
        <w:ind w:left="567" w:hanging="567"/>
      </w:pPr>
    </w:p>
    <w:p w:rsidR="00000000" w:rsidRDefault="00000000">
      <w:r>
        <w:t>153.</w:t>
      </w:r>
      <w:r>
        <w:tab/>
        <w:t>В пункте 2 статьи 10 а) Закона о Конституции Финляндии гарантируется конституционная свобода ассоциаций в профессиональной сфере, а также профессиональных ассоциаций. В этом пункте содержится специальное положение, развивающее общий принцип свободы ассоциаций.  При этом принцип  свободы ассоциаций в сфере профессиональной деятельности и профессиональных ассоциаций является частью права на создание ассоциаций.  Кроме того, в связи с реформой основополагающих прав было гарантировано право воздерживаться от вступления в ассоциацию или выхода из нее.  Аналогичное положение включено в статью 13 Конституции Финляндии.</w:t>
      </w:r>
    </w:p>
    <w:p w:rsidR="00000000" w:rsidRDefault="00000000"/>
    <w:p w:rsidR="00000000" w:rsidRDefault="00000000">
      <w:r>
        <w:t>154.</w:t>
      </w:r>
      <w:r>
        <w:tab/>
        <w:t>Нарушение свободы работников на организацию квалифицируется как уголовное правонарушение в статье 5 главы 47 Уголовного кодекса (578/1995).  В статье 3 главы 47 дискриминация в отношении профессиональной деятельности определяется как профессиональная дискриминация, караемая по закону.</w:t>
      </w:r>
    </w:p>
    <w:p w:rsidR="00000000" w:rsidRDefault="00000000"/>
    <w:p w:rsidR="00000000" w:rsidRDefault="00000000">
      <w:r>
        <w:t>155.</w:t>
      </w:r>
      <w:r>
        <w:tab/>
        <w:t>Информация о праве работников на организацию изложена в представленных в 1994, 1996 и 1998  годах докладах об осуществлении Конвенции МОТ № 87 (приложения 23, 24 и 25).</w:t>
      </w:r>
    </w:p>
    <w:p w:rsidR="00000000" w:rsidRDefault="00000000"/>
    <w:p w:rsidR="00000000" w:rsidRDefault="00000000">
      <w:pPr>
        <w:ind w:left="1134" w:hanging="1134"/>
      </w:pPr>
      <w:r>
        <w:t>2.</w:t>
      </w:r>
      <w:r>
        <w:tab/>
        <w:t>с)</w:t>
      </w:r>
      <w:r>
        <w:tab/>
      </w:r>
      <w:r>
        <w:rPr>
          <w:u w:val="single"/>
        </w:rPr>
        <w:t>Ограничения в отношении права профсоюзов вступать в международные организации</w:t>
      </w:r>
    </w:p>
    <w:p w:rsidR="00000000" w:rsidRDefault="00000000">
      <w:pPr>
        <w:ind w:left="567" w:hanging="567"/>
      </w:pPr>
    </w:p>
    <w:p w:rsidR="00000000" w:rsidRDefault="00000000">
      <w:r>
        <w:t>156.</w:t>
      </w:r>
      <w:r>
        <w:tab/>
        <w:t>Ассоциации работодателей и работников могут беспрепятственно создавать национальные конфедерации.  Законодательство Финляндии также не запрещает ассоциациям работодателей или работников присоединяться к аналогичным международным организациям.</w:t>
      </w:r>
    </w:p>
    <w:p w:rsidR="00000000" w:rsidRDefault="00000000"/>
    <w:p w:rsidR="00000000" w:rsidRDefault="00000000">
      <w:pPr>
        <w:ind w:left="1134" w:hanging="1134"/>
        <w:rPr>
          <w:b/>
        </w:rPr>
      </w:pPr>
      <w:r>
        <w:t>2.</w:t>
      </w:r>
      <w:r>
        <w:tab/>
      </w:r>
      <w:r>
        <w:rPr>
          <w:lang w:val="en-US"/>
        </w:rPr>
        <w:t>d</w:t>
      </w:r>
      <w:r>
        <w:t>)</w:t>
      </w:r>
      <w:r>
        <w:tab/>
      </w:r>
      <w:r>
        <w:rPr>
          <w:u w:val="single"/>
        </w:rPr>
        <w:t>Ограничения в отношении деятельности профсоюзов и поощрение процедур по ведению переговоров о заключении коллективных договоров</w:t>
      </w:r>
    </w:p>
    <w:p w:rsidR="00000000" w:rsidRDefault="00000000">
      <w:pPr>
        <w:ind w:left="567" w:hanging="567"/>
        <w:rPr>
          <w:b/>
        </w:rPr>
      </w:pPr>
    </w:p>
    <w:p w:rsidR="00000000" w:rsidRDefault="00000000">
      <w:r>
        <w:t>157.</w:t>
      </w:r>
      <w:r>
        <w:tab/>
        <w:t xml:space="preserve">Профессиональные союзы являются зарегистрированными организациями, которые защищают интересы рабочих и служащих;  их деятельность регулируется положениями Закона об ассоциации.  </w:t>
      </w:r>
    </w:p>
    <w:p w:rsidR="00000000" w:rsidRDefault="00000000"/>
    <w:p w:rsidR="00000000" w:rsidRDefault="00000000">
      <w:r>
        <w:br w:type="page"/>
        <w:t>158.</w:t>
      </w:r>
      <w:r>
        <w:tab/>
        <w:t>В процессе ведения переговоров с целью заключения коллективного договора интересы работодателя представляет либо сам работодатель, либо зарегистрированная ассоциация работодателей.  Представлять интересы работников может только зарегистрированная ассоциация.  Кроме того, ассоциации получают право на заключение трудовых договоров при том условии, что одна из их основных функций заключается в отстаивании интересов работодателей или работников в рамках трудовых отношений.</w:t>
      </w:r>
    </w:p>
    <w:p w:rsidR="00000000" w:rsidRDefault="00000000"/>
    <w:p w:rsidR="00000000" w:rsidRDefault="00000000">
      <w:r>
        <w:t>159.</w:t>
      </w:r>
      <w:r>
        <w:tab/>
        <w:t>Стороны коллективного договора пользуются правом беспрепятственно достигать обоюдного соглашения об условиях работы в рамках закрепленной в законе компетенции каждой стороны договора.  Коллективные договоры по сути относятся к сфере компетенции организации, однако правительству также отводится важная роль как коллективного работодателя.  Кроме того, правительство обязано создавать механизмы, гарантирующие поддержание бесконфликтных производственных отношений, эффективное соблюдение условий коллективных договоров, а также урегулирование споров в связи с такими договорами.</w:t>
      </w:r>
    </w:p>
    <w:p w:rsidR="00000000" w:rsidRDefault="00000000"/>
    <w:p w:rsidR="00000000" w:rsidRDefault="00000000">
      <w:r>
        <w:t>160.</w:t>
      </w:r>
      <w:r>
        <w:tab/>
        <w:t>Информация по этому вопросу изложена в докладах об осуществлении Конвенции МОТ № 87, представленных в 1994, 1996 и 1998 годах (приложения 23, 24 и 25), и Конвенции №  151, представленных в 1991 и 1993 годах (приложения 26 и 27).</w:t>
      </w:r>
    </w:p>
    <w:p w:rsidR="00000000" w:rsidRDefault="00000000"/>
    <w:p w:rsidR="00000000" w:rsidRDefault="00000000">
      <w:pPr>
        <w:rPr>
          <w:b/>
        </w:rPr>
      </w:pPr>
      <w:r>
        <w:t>2.</w:t>
      </w:r>
      <w:r>
        <w:tab/>
      </w:r>
      <w:proofErr w:type="spellStart"/>
      <w:r>
        <w:t>е</w:t>
      </w:r>
      <w:proofErr w:type="spellEnd"/>
      <w:r>
        <w:t>)</w:t>
      </w:r>
      <w:r>
        <w:tab/>
      </w:r>
      <w:r>
        <w:rPr>
          <w:u w:val="single"/>
        </w:rPr>
        <w:t>Статистические данные о профсоюзах и численности их членов</w:t>
      </w:r>
    </w:p>
    <w:p w:rsidR="00000000" w:rsidRDefault="00000000"/>
    <w:p w:rsidR="00000000" w:rsidRDefault="00000000">
      <w:r>
        <w:t>161.  Самым крупным центральным профсоюзом Финляндии является Центральная организация профсоюзов Финляндии (</w:t>
      </w:r>
      <w:r>
        <w:rPr>
          <w:lang w:val="en-US"/>
        </w:rPr>
        <w:t>SAK</w:t>
      </w:r>
      <w:r>
        <w:t>), объединяющая 26 профсоюзов и насчитывающая в общей сложности 1 083 200 членов (на 31 декабря 1998 года).  Около половины членов этой организации принадлежат к профессиональным союзам, менее одной трети – к ассоциациям в государственном секторе, и около одной четверти работает в частном секторе.</w:t>
      </w:r>
    </w:p>
    <w:p w:rsidR="00000000" w:rsidRDefault="00000000"/>
    <w:p w:rsidR="00000000" w:rsidRDefault="00000000">
      <w:r>
        <w:t>162.</w:t>
      </w:r>
      <w:r>
        <w:tab/>
        <w:t xml:space="preserve">Финская конфедерация служащих </w:t>
      </w:r>
      <w:r>
        <w:rPr>
          <w:lang w:val="en-US"/>
        </w:rPr>
        <w:t xml:space="preserve">(STTK) </w:t>
      </w:r>
      <w:r>
        <w:t>насчитывает 653 450 членов (по состоянию на 1  января 1999 года).  Из них 95 300 человек заняты в муниципальном секторе, 176 200 –  в сфере преимущественно муниципального здравоохранения, 136 300 –в промышленности, 88 000 занимают посты на государственной службе, 80 600 работают в секторе обслуживания и 62 050 занимаются специальными видами деятельности.</w:t>
      </w:r>
    </w:p>
    <w:p w:rsidR="00000000" w:rsidRDefault="00000000"/>
    <w:p w:rsidR="00000000" w:rsidRDefault="00000000">
      <w:r>
        <w:br w:type="page"/>
        <w:t>163.</w:t>
      </w:r>
      <w:r>
        <w:tab/>
        <w:t xml:space="preserve">Конфедерация профсоюзов работников учебных заведений Финляндии </w:t>
      </w:r>
      <w:r>
        <w:rPr>
          <w:lang w:val="en-US"/>
        </w:rPr>
        <w:t xml:space="preserve">(AKAVA) </w:t>
      </w:r>
      <w:r>
        <w:t>объединяет 32 профсоюза общей численностью около 347 000 членов (по состоянию на 1 января 1998 года).  Среди ее членов, занятых полный рабочий день, 17% приходится на долю государственных служащих, 40% - муниципальных работников, 39% работают в частном секторе и 4% - в других областях.</w:t>
      </w:r>
    </w:p>
    <w:p w:rsidR="00000000" w:rsidRDefault="00000000"/>
    <w:p w:rsidR="00000000" w:rsidRDefault="00000000">
      <w:r>
        <w:t>164.</w:t>
      </w:r>
      <w:r>
        <w:tab/>
        <w:t>27 профессиональных союзов не входят в структуру вышеуказанных центральных профессиональных союзов.</w:t>
      </w:r>
    </w:p>
    <w:p w:rsidR="00000000" w:rsidRDefault="00000000"/>
    <w:p w:rsidR="00000000" w:rsidRDefault="00000000">
      <w:r>
        <w:t>165.</w:t>
      </w:r>
      <w:r>
        <w:tab/>
        <w:t>Работодатели и работники государственного сектора, муниципалитетов, муниципальных федераций и церковных приходов имеют собственные органы, которые занимаются вопросами, связанными с заключением трудовых договоров.</w:t>
      </w:r>
    </w:p>
    <w:p w:rsidR="00000000" w:rsidRDefault="00000000"/>
    <w:p w:rsidR="00000000" w:rsidRDefault="00000000">
      <w:pPr>
        <w:rPr>
          <w:u w:val="single"/>
        </w:rPr>
      </w:pPr>
      <w:r>
        <w:t>3.</w:t>
      </w:r>
      <w:r>
        <w:tab/>
      </w:r>
      <w:r>
        <w:rPr>
          <w:u w:val="single"/>
        </w:rPr>
        <w:t>Право на забастовку</w:t>
      </w:r>
    </w:p>
    <w:p w:rsidR="00000000" w:rsidRDefault="00000000">
      <w:pPr>
        <w:rPr>
          <w:b/>
          <w:u w:val="single"/>
        </w:rPr>
      </w:pPr>
    </w:p>
    <w:p w:rsidR="00000000" w:rsidRDefault="00000000">
      <w:r>
        <w:t>166.</w:t>
      </w:r>
      <w:r>
        <w:tab/>
        <w:t>Существующая в Финляндии свобода действий для решения производственных конфликтов представляет собой один из основополагающих постулатов и принципов законодательства в сфере труда.  Обе страны могут беспрепятственно использовать определенные меры давления, например забастовку или прекращение работы.</w:t>
      </w:r>
    </w:p>
    <w:p w:rsidR="00000000" w:rsidRDefault="00000000"/>
    <w:p w:rsidR="00000000" w:rsidRDefault="00000000">
      <w:r>
        <w:t>3</w:t>
      </w:r>
      <w:r>
        <w:rPr>
          <w:b/>
        </w:rPr>
        <w:t>.</w:t>
      </w:r>
      <w:r>
        <w:rPr>
          <w:b/>
        </w:rPr>
        <w:tab/>
      </w:r>
      <w:proofErr w:type="spellStart"/>
      <w:r>
        <w:t>a</w:t>
      </w:r>
      <w:proofErr w:type="spellEnd"/>
      <w:r>
        <w:t>)</w:t>
      </w:r>
      <w:r>
        <w:tab/>
      </w:r>
      <w:r>
        <w:rPr>
          <w:u w:val="single"/>
        </w:rPr>
        <w:t>Ограничение права на забастовку</w:t>
      </w:r>
    </w:p>
    <w:p w:rsidR="00000000" w:rsidRDefault="00000000">
      <w:pPr>
        <w:rPr>
          <w:b/>
        </w:rPr>
      </w:pPr>
    </w:p>
    <w:p w:rsidR="00000000" w:rsidRDefault="00000000">
      <w:r>
        <w:t>167.</w:t>
      </w:r>
      <w:r>
        <w:tab/>
        <w:t>Закон о коллективных договорах содержит положения, обязывающие работодателей и работников поддерживать бесконфликтные производственные отношения.  Согласно этому закону, работодатели и работники, связанные положениями коллективного договора, не могут предпринимать коллективных действий, идущих вразрез со всем коллективным договором или каким-либо из его положений.  Кроме того, стороны, связанные коллективным договором, должны обеспечивать, чтобы отдельные ассоциации, работодатели и работники, подчиненные им и связанные договором, поддерживали бесконфликтные производственные отношения.</w:t>
      </w:r>
    </w:p>
    <w:p w:rsidR="00000000" w:rsidRDefault="00000000"/>
    <w:p w:rsidR="00000000" w:rsidRDefault="00000000">
      <w:r>
        <w:t>168.</w:t>
      </w:r>
      <w:r>
        <w:tab/>
        <w:t>Информация по этому вопросу включена в доклады об осуществлении Конвенции МОТ № 87, представленные в 1994, 1996 и 1998 годах (приложения 23, 24 и 25) и Конвенции № 151, представленные в 1991 и 1993 годах (приложения 26 и</w:t>
      </w:r>
      <w:r>
        <w:rPr>
          <w:lang w:val="en-US"/>
        </w:rPr>
        <w:t> </w:t>
      </w:r>
      <w:r>
        <w:t>27).</w:t>
      </w:r>
    </w:p>
    <w:p w:rsidR="00000000" w:rsidRDefault="00000000"/>
    <w:p w:rsidR="00000000" w:rsidRDefault="00000000">
      <w:pPr>
        <w:pStyle w:val="BodyTextIndent"/>
        <w:rPr>
          <w:u w:val="single"/>
        </w:rPr>
      </w:pPr>
      <w:r>
        <w:br w:type="page"/>
        <w:t>3.</w:t>
      </w:r>
      <w:r>
        <w:tab/>
      </w:r>
      <w:proofErr w:type="spellStart"/>
      <w:r>
        <w:t>b</w:t>
      </w:r>
      <w:proofErr w:type="spellEnd"/>
      <w:r>
        <w:t>)</w:t>
      </w:r>
      <w:r>
        <w:tab/>
      </w:r>
      <w:r>
        <w:rPr>
          <w:u w:val="single"/>
        </w:rPr>
        <w:t>Запрет на использование права на забастовку для некоторых категорий</w:t>
      </w:r>
    </w:p>
    <w:p w:rsidR="00000000" w:rsidRDefault="00000000">
      <w:pPr>
        <w:pStyle w:val="BodyTextIndent"/>
        <w:rPr>
          <w:u w:val="single"/>
        </w:rPr>
      </w:pPr>
      <w:r>
        <w:tab/>
      </w:r>
      <w:r>
        <w:tab/>
      </w:r>
      <w:r>
        <w:tab/>
      </w:r>
      <w:r>
        <w:rPr>
          <w:u w:val="single"/>
        </w:rPr>
        <w:t>работников</w:t>
      </w:r>
    </w:p>
    <w:p w:rsidR="00000000" w:rsidRDefault="00000000">
      <w:pPr>
        <w:pStyle w:val="BodyTextIndent"/>
        <w:rPr>
          <w:u w:val="single"/>
        </w:rPr>
      </w:pPr>
    </w:p>
    <w:p w:rsidR="00000000" w:rsidRDefault="00000000">
      <w:r>
        <w:t>169.</w:t>
      </w:r>
      <w:r>
        <w:tab/>
        <w:t>Информация по этому вопросу включена в доклады об осуществлении Конвенции МОТ № 87, представленные в 1994, 1996 и 1998 годах (приложения 23, 24 и 25) и Конвенции № 151, представленные в 1991 и 1993 годах (приложения 26 и 27).</w:t>
      </w:r>
    </w:p>
    <w:p w:rsidR="00000000" w:rsidRDefault="00000000"/>
    <w:p w:rsidR="00000000" w:rsidRDefault="00000000">
      <w:pPr>
        <w:ind w:left="567" w:hanging="567"/>
        <w:rPr>
          <w:u w:val="single"/>
        </w:rPr>
      </w:pPr>
      <w:r>
        <w:t>4.</w:t>
      </w:r>
      <w:r>
        <w:tab/>
      </w:r>
      <w:r>
        <w:rPr>
          <w:u w:val="single"/>
        </w:rPr>
        <w:t>Ограничения, касающиеся военнослужащих, сотрудников полиции и государственных гражданских служащих</w:t>
      </w:r>
    </w:p>
    <w:p w:rsidR="00000000" w:rsidRDefault="00000000">
      <w:pPr>
        <w:ind w:left="567" w:hanging="567"/>
        <w:rPr>
          <w:u w:val="single"/>
        </w:rPr>
      </w:pPr>
    </w:p>
    <w:p w:rsidR="00000000" w:rsidRDefault="00000000">
      <w:r>
        <w:t>170.</w:t>
      </w:r>
      <w:r>
        <w:tab/>
        <w:t>Государственным гражданским служащим, на которых распространяется действие положений Закона о коллективных договорах в отношении государственных гражданских служащих, не разрешается участвовать в коллективных действиях, касающихся законности, срока действия или содержания договора.  Не разрешаются также коллективные действия в целях урегулирования спора, связанного с требованием, основанным на положениях этого договора, для изменения режима действия договора или заключения нового договора.  В коллективном договоре может быть расширена сфера обязательств государственных и гражданских служащих по сохранению бесконфликтных производственных отношений.</w:t>
      </w:r>
    </w:p>
    <w:p w:rsidR="00000000" w:rsidRDefault="00000000"/>
    <w:p w:rsidR="00000000" w:rsidRDefault="00000000">
      <w:r>
        <w:t>171.</w:t>
      </w:r>
      <w:r>
        <w:tab/>
        <w:t>Согласно Закону о коллективных договорах, государственным и гражданским служащим объявление забастовки запрещается в тех случаях, когда она служит для решения иных вопросов, чем те, которые оговорены в указанном законе и могут решаться путем переговоров в соответствии с имеющимся договором, или в тех случаях, когда закон предусматривает конкретный запрет на объявление забастовки.  Запрет может также касаться иных вопросов, помимо тех, которые могут обсуждаться в ходе переговоров в рамках заключенного договора, в том случае, если возможно заключение основного или общего договора.</w:t>
      </w:r>
    </w:p>
    <w:p w:rsidR="00000000" w:rsidRDefault="00000000"/>
    <w:p w:rsidR="00000000" w:rsidRDefault="00000000">
      <w:r>
        <w:t>172.</w:t>
      </w:r>
      <w:r>
        <w:tab/>
        <w:t xml:space="preserve">Проведение запланированной забастовки может быть отсрочено либо по договоренности между участвующими в споре сторонами, либо по инициативе арбитра или арбитражного совета по решению министра труда.  Министр труда правомочен отсрочить решение спорных вопросов в отношении трудовых соглашений на 14 суток, а в </w:t>
      </w:r>
    </w:p>
    <w:p w:rsidR="00000000" w:rsidRDefault="00000000">
      <w:r>
        <w:t>отношении трудовых споров в государственном секторе – еще на 7 суток, если установлено, что запланированная забастовка или ее интенсификация может затронуть жизненно важные функции общества или серьезно сказаться на благополучии населения.</w:t>
      </w:r>
    </w:p>
    <w:p w:rsidR="00000000" w:rsidRDefault="00000000"/>
    <w:p w:rsidR="00000000" w:rsidRDefault="00000000">
      <w:r>
        <w:t>173.</w:t>
      </w:r>
      <w:r>
        <w:tab/>
        <w:t>Информация по этому вопросу включена в доклады об осуществлении Конвенции МОТ № 87, представленные в 1994, 1996 и 1998 годах (приложения 23, 24 и 25) и Конвенции № 151, представленные в 1991 и 1993 годах (приложения 26 и 27).</w:t>
      </w:r>
    </w:p>
    <w:p w:rsidR="00000000" w:rsidRDefault="00000000"/>
    <w:p w:rsidR="00000000" w:rsidRDefault="00000000">
      <w:pPr>
        <w:pStyle w:val="Heading7"/>
        <w:spacing w:line="288" w:lineRule="auto"/>
      </w:pPr>
      <w:r>
        <w:t>Статья 9</w:t>
      </w:r>
    </w:p>
    <w:p w:rsidR="00000000" w:rsidRDefault="00000000">
      <w:pPr>
        <w:pStyle w:val="Heading7"/>
        <w:spacing w:line="288" w:lineRule="auto"/>
      </w:pPr>
    </w:p>
    <w:p w:rsidR="00000000" w:rsidRDefault="00000000">
      <w:pPr>
        <w:rPr>
          <w:u w:val="single"/>
        </w:rPr>
      </w:pPr>
      <w:r>
        <w:t>1.</w:t>
      </w:r>
      <w:r>
        <w:tab/>
      </w:r>
      <w:r>
        <w:rPr>
          <w:u w:val="single"/>
        </w:rPr>
        <w:t>Конвенции МОТ, ратифицированные Финляндией</w:t>
      </w:r>
    </w:p>
    <w:p w:rsidR="00000000" w:rsidRDefault="00000000">
      <w:pPr>
        <w:rPr>
          <w:u w:val="single"/>
        </w:rPr>
      </w:pPr>
    </w:p>
    <w:p w:rsidR="00000000" w:rsidRDefault="00000000">
      <w:r>
        <w:t>174.</w:t>
      </w:r>
      <w:r>
        <w:tab/>
        <w:t>Финляндия ратифицировала все конвенции МОТ, перечисленные в соответствующем разделе руководящих принципов, и представила следующие последние периодические доклады:  доклад об осуществлении Конвенции № 102 в 1996 году, Конвенции № 121 в 1993 году, Конвенции № 128 в 1996 году, Конвенции № 130 в 1998 году и Конвенции № 168 в 1998 году (приложения 28-31).</w:t>
      </w:r>
    </w:p>
    <w:p w:rsidR="00000000" w:rsidRDefault="00000000"/>
    <w:p w:rsidR="00000000" w:rsidRDefault="00000000">
      <w:r>
        <w:t>2.</w:t>
      </w:r>
      <w:r>
        <w:tab/>
      </w:r>
      <w:r>
        <w:rPr>
          <w:u w:val="single"/>
        </w:rPr>
        <w:t>Социальное обеспечение</w:t>
      </w:r>
    </w:p>
    <w:p w:rsidR="00000000" w:rsidRDefault="00000000">
      <w:pPr>
        <w:rPr>
          <w:b/>
        </w:rPr>
      </w:pPr>
    </w:p>
    <w:p w:rsidR="00000000" w:rsidRDefault="00000000">
      <w:r>
        <w:t>175.</w:t>
      </w:r>
      <w:r>
        <w:tab/>
        <w:t>К настоящему докладу прилагается публикация министерства социальных дел и здравоохранения, озаглавленная "Тенденции в сфере социальной защиты за период 1998</w:t>
      </w:r>
      <w:r>
        <w:noBreakHyphen/>
        <w:t>1999 годов" (Sosiaaliturvan suuntaukset 1998-1999) (приложение 32).</w:t>
      </w:r>
    </w:p>
    <w:p w:rsidR="00000000" w:rsidRDefault="00000000"/>
    <w:p w:rsidR="00000000" w:rsidRDefault="00000000">
      <w:r>
        <w:t>2.</w:t>
      </w:r>
      <w:r>
        <w:tab/>
      </w:r>
      <w:proofErr w:type="spellStart"/>
      <w:r>
        <w:t>a</w:t>
      </w:r>
      <w:proofErr w:type="spellEnd"/>
      <w:r>
        <w:t>)</w:t>
      </w:r>
      <w:r>
        <w:tab/>
      </w:r>
      <w:r>
        <w:rPr>
          <w:u w:val="single"/>
        </w:rPr>
        <w:t>Здравоохранение</w:t>
      </w:r>
    </w:p>
    <w:p w:rsidR="00000000" w:rsidRDefault="00000000"/>
    <w:p w:rsidR="00000000" w:rsidRDefault="00000000">
      <w:r>
        <w:t>176.</w:t>
      </w:r>
      <w:r>
        <w:tab/>
        <w:t>Информация по данному вопросу изложена также в докладе об осуществлении Конвенции МОТ № 130, представленном в 1998 году (приложение 30).</w:t>
      </w:r>
    </w:p>
    <w:p w:rsidR="00000000" w:rsidRDefault="00000000"/>
    <w:p w:rsidR="00000000" w:rsidRDefault="00000000">
      <w:r>
        <w:t>177.</w:t>
      </w:r>
      <w:r>
        <w:tab/>
        <w:t xml:space="preserve">Как сообщалось в предыдущем периодическом докладе, каждый человек, проживающий в Финляндии, пользуется правом на первичную медицинскую помощь по месту своего жительства.  Медицинская помощь также охватывает реабилитацию.  Работодатели обязаны организовывать службы производственной гигиены, которые могут также включать предоставление врачебных услуг. </w:t>
      </w:r>
    </w:p>
    <w:p w:rsidR="00000000" w:rsidRDefault="00000000"/>
    <w:p w:rsidR="00000000" w:rsidRDefault="00000000">
      <w:r>
        <w:t>178.</w:t>
      </w:r>
      <w:r>
        <w:tab/>
        <w:t>По состоянию на 1 мая 1997 года стоимость койко-места при краткосрочном пребывании в психиатрическом стационаре снизилась со 125 до 70 </w:t>
      </w:r>
      <w:proofErr w:type="spellStart"/>
      <w:r>
        <w:t>фин</w:t>
      </w:r>
      <w:proofErr w:type="spellEnd"/>
      <w:r>
        <w:t>. марок, поскольку многие пациенты, страдающие психическими  заболеваниями, были вынуждены обращаться за специальной помощью для оплаты своего лечения.  За исключением указанного случая в течение отчетного периода стоимость лечения в муниципальных медицинских центрах и больницах осталась неизменной.</w:t>
      </w:r>
    </w:p>
    <w:p w:rsidR="00000000" w:rsidRDefault="00000000"/>
    <w:p w:rsidR="00000000" w:rsidRDefault="00000000">
      <w:pPr>
        <w:spacing w:line="264" w:lineRule="auto"/>
      </w:pPr>
      <w:r>
        <w:t>179.</w:t>
      </w:r>
      <w:r>
        <w:tab/>
        <w:t>В некоторых редких случаях стоимость медицинских услуг налагает на пациента неоправданно тяжелое финансовое бремя.  Такие случаи имеют место, в частности, среди малодоходной части населения при госпитализации.  Если пациент не имеет возможности оплатить соответствующие расходы, муниципальные органы могут снизить размер платы за медицинские услуги.  В приложении 30 приводится статистическая информация об обращениях в лечебные учреждения.</w:t>
      </w:r>
    </w:p>
    <w:p w:rsidR="00000000" w:rsidRDefault="00000000">
      <w:pPr>
        <w:spacing w:line="264" w:lineRule="auto"/>
      </w:pPr>
    </w:p>
    <w:p w:rsidR="00000000" w:rsidRDefault="00000000">
      <w:pPr>
        <w:spacing w:line="264" w:lineRule="auto"/>
      </w:pPr>
      <w:r>
        <w:t>180.</w:t>
      </w:r>
      <w:r>
        <w:tab/>
        <w:t>За отчетный период в секторе здравоохранения произошли некоторые изменения.  Пациентов переводят со стационарной на амбулаторно-профилактическую форму лечения.  По мере улучшения экономического положения все шире используются частные медицинские услуги.  Одновременно с этим наблюдается рост числа пациентов, нуждающихся в лечебных услугах, предоставляемых государственными и медицинскими учреждениями, что, возможно, в определенной степени обусловлено старением населения.  Время ожидания в очереди на хирургическую операцию в целом сократилось, однако в некоторых сферах очереди стали еще длиннее, чем ранее.</w:t>
      </w:r>
    </w:p>
    <w:p w:rsidR="00000000" w:rsidRDefault="00000000">
      <w:pPr>
        <w:spacing w:line="264" w:lineRule="auto"/>
      </w:pPr>
    </w:p>
    <w:p w:rsidR="00000000" w:rsidRDefault="00000000">
      <w:pPr>
        <w:spacing w:line="264" w:lineRule="auto"/>
      </w:pPr>
      <w:r>
        <w:t>181.</w:t>
      </w:r>
      <w:r>
        <w:tab/>
        <w:t xml:space="preserve">Зубоврачебные услуги оказываются как в муниципальных лечебных центрах, так и в частном секторе.  Для лиц в возрасте моложе 19 лет базовая зубоврачебная помощь оказывается в лечебных центрах на безвозмездной основе.  Кроме того, первоочередное внимание уделяется лицам, рожденным после 1956 года, ветеранам войны и беременным женщинам.  Другим группам населения зубоврачебная помощь оказывается в рамках имеющихся ресурсов.  Ситуация в этой области в различных городах весьма неодинакова.  </w:t>
      </w:r>
    </w:p>
    <w:p w:rsidR="00000000" w:rsidRDefault="00000000">
      <w:pPr>
        <w:spacing w:line="264" w:lineRule="auto"/>
      </w:pPr>
    </w:p>
    <w:p w:rsidR="00000000" w:rsidRDefault="00000000">
      <w:pPr>
        <w:spacing w:line="264" w:lineRule="auto"/>
      </w:pPr>
      <w:r>
        <w:t>182.</w:t>
      </w:r>
      <w:r>
        <w:tab/>
        <w:t>Врачи в частном секторе могут сами определять стоимость предоставляемых ими услуг.  Однако расходы на услуги частного стоматолога частично компенсируются в рамках национальной системы медицинского страхования.  Студенты университетов могут, при условии внесения ежегодной платы, пользоваться услугами системы медицинского обслуживания по более низкой цене по сравнению с частным сектором.</w:t>
      </w:r>
    </w:p>
    <w:p w:rsidR="00000000" w:rsidRDefault="00000000">
      <w:pPr>
        <w:spacing w:line="264" w:lineRule="auto"/>
      </w:pPr>
    </w:p>
    <w:p w:rsidR="00000000" w:rsidRDefault="00000000">
      <w:pPr>
        <w:pStyle w:val="Heading1"/>
        <w:spacing w:line="264" w:lineRule="auto"/>
        <w:jc w:val="center"/>
        <w:rPr>
          <w:b w:val="0"/>
          <w:kern w:val="0"/>
          <w:u w:val="single"/>
        </w:rPr>
      </w:pPr>
      <w:r>
        <w:rPr>
          <w:b w:val="0"/>
          <w:kern w:val="0"/>
        </w:rPr>
        <w:t>Таблица 1.</w:t>
      </w:r>
      <w:r>
        <w:rPr>
          <w:b w:val="0"/>
          <w:kern w:val="0"/>
        </w:rPr>
        <w:tab/>
      </w:r>
      <w:r>
        <w:rPr>
          <w:b w:val="0"/>
          <w:kern w:val="0"/>
        </w:rPr>
        <w:tab/>
      </w:r>
      <w:r>
        <w:rPr>
          <w:b w:val="0"/>
          <w:kern w:val="0"/>
          <w:u w:val="single"/>
        </w:rPr>
        <w:t>Расходы на зубоврачебное обслуживание в 1995 году</w:t>
      </w:r>
    </w:p>
    <w:p w:rsidR="00000000" w:rsidRDefault="00000000">
      <w:pPr>
        <w:pStyle w:val="a0"/>
        <w:widowControl/>
        <w:tabs>
          <w:tab w:val="left" w:pos="567"/>
          <w:tab w:val="left" w:pos="1134"/>
          <w:tab w:val="left" w:pos="1701"/>
          <w:tab w:val="left" w:pos="2268"/>
          <w:tab w:val="left" w:pos="6237"/>
        </w:tabs>
        <w:spacing w:line="264" w:lineRule="auto"/>
        <w:rPr>
          <w:rFonts w:ascii="Times New Roman" w:hAnsi="Times New Roman"/>
          <w:snapToGrid/>
        </w:rPr>
      </w:pPr>
    </w:p>
    <w:tbl>
      <w:tblPr>
        <w:tblW w:w="0" w:type="auto"/>
        <w:tblInd w:w="-106" w:type="dxa"/>
        <w:tblLayout w:type="fixed"/>
        <w:tblLook w:val="0000" w:firstRow="0" w:lastRow="0" w:firstColumn="0" w:lastColumn="0" w:noHBand="0" w:noVBand="0"/>
      </w:tblPr>
      <w:tblGrid>
        <w:gridCol w:w="6062"/>
        <w:gridCol w:w="3260"/>
      </w:tblGrid>
      <w:tr w:rsidR="00000000">
        <w:tblPrEx>
          <w:tblCellMar>
            <w:top w:w="0" w:type="dxa"/>
            <w:bottom w:w="0" w:type="dxa"/>
          </w:tblCellMar>
        </w:tblPrEx>
        <w:tc>
          <w:tcPr>
            <w:tcW w:w="6062" w:type="dxa"/>
            <w:tcBorders>
              <w:top w:val="single" w:sz="4" w:space="0" w:color="auto"/>
              <w:left w:val="single" w:sz="4" w:space="0" w:color="auto"/>
              <w:right w:val="single" w:sz="4" w:space="0" w:color="auto"/>
            </w:tcBorders>
          </w:tcPr>
          <w:p w:rsidR="00000000" w:rsidRDefault="00000000">
            <w:pPr>
              <w:spacing w:line="240" w:lineRule="auto"/>
            </w:pPr>
            <w:r>
              <w:t>Расходы</w:t>
            </w:r>
          </w:p>
        </w:tc>
        <w:tc>
          <w:tcPr>
            <w:tcW w:w="3260" w:type="dxa"/>
            <w:tcBorders>
              <w:top w:val="single" w:sz="4" w:space="0" w:color="auto"/>
              <w:left w:val="single" w:sz="4" w:space="0" w:color="auto"/>
              <w:right w:val="single" w:sz="4" w:space="0" w:color="auto"/>
            </w:tcBorders>
          </w:tcPr>
          <w:p w:rsidR="00000000" w:rsidRDefault="00000000">
            <w:pPr>
              <w:spacing w:line="240" w:lineRule="auto"/>
            </w:pPr>
            <w:r>
              <w:t>Млн. финляндских марок</w:t>
            </w:r>
          </w:p>
        </w:tc>
      </w:tr>
      <w:tr w:rsidR="00000000">
        <w:tblPrEx>
          <w:tblCellMar>
            <w:top w:w="0" w:type="dxa"/>
            <w:bottom w:w="0" w:type="dxa"/>
          </w:tblCellMar>
        </w:tblPrEx>
        <w:tc>
          <w:tcPr>
            <w:tcW w:w="6062" w:type="dxa"/>
            <w:tcBorders>
              <w:top w:val="single" w:sz="4" w:space="0" w:color="auto"/>
              <w:left w:val="single" w:sz="4" w:space="0" w:color="auto"/>
              <w:right w:val="single" w:sz="4" w:space="0" w:color="auto"/>
            </w:tcBorders>
          </w:tcPr>
          <w:p w:rsidR="00000000" w:rsidRDefault="00000000">
            <w:pPr>
              <w:spacing w:line="240" w:lineRule="auto"/>
            </w:pPr>
          </w:p>
          <w:p w:rsidR="00000000" w:rsidRDefault="00000000">
            <w:pPr>
              <w:spacing w:line="240" w:lineRule="auto"/>
            </w:pPr>
            <w:r>
              <w:t>В муниципальных лечебных центрах</w:t>
            </w:r>
          </w:p>
        </w:tc>
        <w:tc>
          <w:tcPr>
            <w:tcW w:w="3260" w:type="dxa"/>
            <w:tcBorders>
              <w:top w:val="single" w:sz="4" w:space="0" w:color="auto"/>
              <w:left w:val="single" w:sz="4" w:space="0" w:color="auto"/>
              <w:right w:val="single" w:sz="4" w:space="0" w:color="auto"/>
            </w:tcBorders>
          </w:tcPr>
          <w:p w:rsidR="00000000" w:rsidRDefault="00000000">
            <w:pPr>
              <w:tabs>
                <w:tab w:val="right" w:pos="567"/>
              </w:tabs>
              <w:spacing w:line="240" w:lineRule="auto"/>
              <w:jc w:val="center"/>
            </w:pPr>
          </w:p>
          <w:p w:rsidR="00000000" w:rsidRDefault="00000000">
            <w:pPr>
              <w:tabs>
                <w:tab w:val="right" w:pos="567"/>
              </w:tabs>
              <w:spacing w:line="240" w:lineRule="auto"/>
              <w:jc w:val="center"/>
            </w:pPr>
            <w:r>
              <w:t>1 232</w:t>
            </w:r>
          </w:p>
        </w:tc>
      </w:tr>
      <w:tr w:rsidR="00000000">
        <w:tblPrEx>
          <w:tblCellMar>
            <w:top w:w="0" w:type="dxa"/>
            <w:bottom w:w="0" w:type="dxa"/>
          </w:tblCellMar>
        </w:tblPrEx>
        <w:tc>
          <w:tcPr>
            <w:tcW w:w="6062" w:type="dxa"/>
            <w:tcBorders>
              <w:left w:val="single" w:sz="4" w:space="0" w:color="auto"/>
              <w:right w:val="single" w:sz="4" w:space="0" w:color="auto"/>
            </w:tcBorders>
          </w:tcPr>
          <w:p w:rsidR="00000000" w:rsidRDefault="00000000">
            <w:pPr>
              <w:spacing w:line="240" w:lineRule="auto"/>
            </w:pPr>
            <w:r>
              <w:t>В частном секторе</w:t>
            </w:r>
          </w:p>
        </w:tc>
        <w:tc>
          <w:tcPr>
            <w:tcW w:w="3260" w:type="dxa"/>
            <w:tcBorders>
              <w:left w:val="single" w:sz="4" w:space="0" w:color="auto"/>
              <w:right w:val="single" w:sz="4" w:space="0" w:color="auto"/>
            </w:tcBorders>
          </w:tcPr>
          <w:p w:rsidR="00000000" w:rsidRDefault="00000000">
            <w:pPr>
              <w:tabs>
                <w:tab w:val="right" w:pos="567"/>
              </w:tabs>
              <w:spacing w:line="240" w:lineRule="auto"/>
              <w:jc w:val="center"/>
            </w:pPr>
          </w:p>
        </w:tc>
      </w:tr>
      <w:tr w:rsidR="00000000">
        <w:tblPrEx>
          <w:tblCellMar>
            <w:top w:w="0" w:type="dxa"/>
            <w:bottom w:w="0" w:type="dxa"/>
          </w:tblCellMar>
        </w:tblPrEx>
        <w:tc>
          <w:tcPr>
            <w:tcW w:w="6062" w:type="dxa"/>
            <w:tcBorders>
              <w:left w:val="single" w:sz="4" w:space="0" w:color="auto"/>
              <w:right w:val="single" w:sz="4" w:space="0" w:color="auto"/>
            </w:tcBorders>
          </w:tcPr>
          <w:p w:rsidR="00000000" w:rsidRDefault="00000000">
            <w:pPr>
              <w:spacing w:line="240" w:lineRule="auto"/>
            </w:pPr>
            <w:r>
              <w:t>-  подлежат компенсации в системе медицинского</w:t>
            </w:r>
          </w:p>
          <w:p w:rsidR="00000000" w:rsidRDefault="00000000">
            <w:pPr>
              <w:spacing w:line="240" w:lineRule="auto"/>
            </w:pPr>
            <w:r>
              <w:t xml:space="preserve">   страхования</w:t>
            </w:r>
          </w:p>
        </w:tc>
        <w:tc>
          <w:tcPr>
            <w:tcW w:w="3260" w:type="dxa"/>
            <w:tcBorders>
              <w:left w:val="single" w:sz="4" w:space="0" w:color="auto"/>
              <w:right w:val="single" w:sz="4" w:space="0" w:color="auto"/>
            </w:tcBorders>
          </w:tcPr>
          <w:p w:rsidR="00000000" w:rsidRDefault="00000000">
            <w:pPr>
              <w:tabs>
                <w:tab w:val="right" w:pos="567"/>
              </w:tabs>
              <w:spacing w:line="240" w:lineRule="auto"/>
              <w:jc w:val="center"/>
            </w:pPr>
            <w:r>
              <w:t xml:space="preserve">    318</w:t>
            </w:r>
          </w:p>
        </w:tc>
      </w:tr>
      <w:tr w:rsidR="00000000">
        <w:tblPrEx>
          <w:tblCellMar>
            <w:top w:w="0" w:type="dxa"/>
            <w:bottom w:w="0" w:type="dxa"/>
          </w:tblCellMar>
        </w:tblPrEx>
        <w:tc>
          <w:tcPr>
            <w:tcW w:w="6062" w:type="dxa"/>
            <w:tcBorders>
              <w:left w:val="single" w:sz="4" w:space="0" w:color="auto"/>
              <w:right w:val="single" w:sz="4" w:space="0" w:color="auto"/>
            </w:tcBorders>
          </w:tcPr>
          <w:p w:rsidR="00000000" w:rsidRDefault="00000000">
            <w:pPr>
              <w:spacing w:line="240" w:lineRule="auto"/>
            </w:pPr>
            <w:r>
              <w:t>-  не подлежат компенсации</w:t>
            </w:r>
          </w:p>
        </w:tc>
        <w:tc>
          <w:tcPr>
            <w:tcW w:w="3260" w:type="dxa"/>
            <w:tcBorders>
              <w:left w:val="single" w:sz="4" w:space="0" w:color="auto"/>
              <w:right w:val="single" w:sz="4" w:space="0" w:color="auto"/>
            </w:tcBorders>
          </w:tcPr>
          <w:p w:rsidR="00000000" w:rsidRDefault="00000000">
            <w:pPr>
              <w:tabs>
                <w:tab w:val="right" w:pos="567"/>
              </w:tabs>
              <w:spacing w:line="240" w:lineRule="auto"/>
              <w:jc w:val="center"/>
            </w:pPr>
            <w:r>
              <w:t xml:space="preserve">    981</w:t>
            </w:r>
          </w:p>
        </w:tc>
      </w:tr>
      <w:tr w:rsidR="00000000">
        <w:tblPrEx>
          <w:tblCellMar>
            <w:top w:w="0" w:type="dxa"/>
            <w:bottom w:w="0" w:type="dxa"/>
          </w:tblCellMar>
        </w:tblPrEx>
        <w:tc>
          <w:tcPr>
            <w:tcW w:w="6062" w:type="dxa"/>
            <w:tcBorders>
              <w:left w:val="single" w:sz="4" w:space="0" w:color="auto"/>
              <w:right w:val="single" w:sz="4" w:space="0" w:color="auto"/>
            </w:tcBorders>
          </w:tcPr>
          <w:p w:rsidR="00000000" w:rsidRDefault="00000000">
            <w:pPr>
              <w:spacing w:line="240" w:lineRule="auto"/>
            </w:pPr>
            <w:r>
              <w:t>Зубное протезирование</w:t>
            </w:r>
          </w:p>
        </w:tc>
        <w:tc>
          <w:tcPr>
            <w:tcW w:w="3260" w:type="dxa"/>
            <w:tcBorders>
              <w:left w:val="single" w:sz="4" w:space="0" w:color="auto"/>
              <w:right w:val="single" w:sz="4" w:space="0" w:color="auto"/>
            </w:tcBorders>
          </w:tcPr>
          <w:p w:rsidR="00000000" w:rsidRDefault="00000000">
            <w:pPr>
              <w:tabs>
                <w:tab w:val="right" w:pos="567"/>
              </w:tabs>
              <w:spacing w:line="240" w:lineRule="auto"/>
              <w:jc w:val="center"/>
            </w:pPr>
            <w:r>
              <w:t xml:space="preserve">    219</w:t>
            </w:r>
          </w:p>
        </w:tc>
      </w:tr>
      <w:tr w:rsidR="00000000">
        <w:tblPrEx>
          <w:tblCellMar>
            <w:top w:w="0" w:type="dxa"/>
            <w:bottom w:w="0" w:type="dxa"/>
          </w:tblCellMar>
        </w:tblPrEx>
        <w:tc>
          <w:tcPr>
            <w:tcW w:w="6062" w:type="dxa"/>
            <w:tcBorders>
              <w:left w:val="single" w:sz="4" w:space="0" w:color="auto"/>
              <w:right w:val="single" w:sz="4" w:space="0" w:color="auto"/>
            </w:tcBorders>
          </w:tcPr>
          <w:p w:rsidR="00000000" w:rsidRDefault="00000000">
            <w:pPr>
              <w:spacing w:line="240" w:lineRule="auto"/>
            </w:pPr>
            <w:r>
              <w:br w:type="page"/>
              <w:t>Система медицинского обслуживания студентов</w:t>
            </w:r>
          </w:p>
        </w:tc>
        <w:tc>
          <w:tcPr>
            <w:tcW w:w="3260" w:type="dxa"/>
            <w:tcBorders>
              <w:left w:val="single" w:sz="4" w:space="0" w:color="auto"/>
              <w:right w:val="single" w:sz="4" w:space="0" w:color="auto"/>
            </w:tcBorders>
          </w:tcPr>
          <w:p w:rsidR="00000000" w:rsidRDefault="00000000">
            <w:pPr>
              <w:tabs>
                <w:tab w:val="right" w:pos="567"/>
              </w:tabs>
              <w:spacing w:line="240" w:lineRule="auto"/>
              <w:jc w:val="center"/>
            </w:pPr>
            <w:r>
              <w:t xml:space="preserve">      40</w:t>
            </w:r>
          </w:p>
          <w:p w:rsidR="00000000" w:rsidRDefault="00000000">
            <w:pPr>
              <w:tabs>
                <w:tab w:val="right" w:pos="567"/>
              </w:tabs>
              <w:spacing w:line="240" w:lineRule="auto"/>
              <w:jc w:val="center"/>
            </w:pPr>
          </w:p>
        </w:tc>
      </w:tr>
      <w:tr w:rsidR="00000000">
        <w:tblPrEx>
          <w:tblCellMar>
            <w:top w:w="0" w:type="dxa"/>
            <w:bottom w:w="0" w:type="dxa"/>
          </w:tblCellMar>
        </w:tblPrEx>
        <w:tc>
          <w:tcPr>
            <w:tcW w:w="606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p>
          <w:p w:rsidR="00000000" w:rsidRDefault="00000000">
            <w:pPr>
              <w:spacing w:line="240" w:lineRule="auto"/>
            </w:pPr>
            <w:r>
              <w:t>Всего</w:t>
            </w:r>
          </w:p>
        </w:tc>
        <w:tc>
          <w:tcPr>
            <w:tcW w:w="3260" w:type="dxa"/>
            <w:tcBorders>
              <w:top w:val="single" w:sz="4" w:space="0" w:color="auto"/>
              <w:left w:val="single" w:sz="4" w:space="0" w:color="auto"/>
              <w:bottom w:val="single" w:sz="4" w:space="0" w:color="auto"/>
              <w:right w:val="single" w:sz="4" w:space="0" w:color="auto"/>
            </w:tcBorders>
          </w:tcPr>
          <w:p w:rsidR="00000000" w:rsidRDefault="00000000">
            <w:pPr>
              <w:tabs>
                <w:tab w:val="right" w:pos="567"/>
              </w:tabs>
              <w:spacing w:line="240" w:lineRule="auto"/>
              <w:jc w:val="center"/>
            </w:pPr>
          </w:p>
          <w:p w:rsidR="00000000" w:rsidRDefault="00000000">
            <w:pPr>
              <w:tabs>
                <w:tab w:val="right" w:pos="567"/>
              </w:tabs>
              <w:spacing w:line="240" w:lineRule="auto"/>
              <w:jc w:val="center"/>
            </w:pPr>
            <w:r>
              <w:t>2 789</w:t>
            </w:r>
          </w:p>
          <w:p w:rsidR="00000000" w:rsidRDefault="00000000">
            <w:pPr>
              <w:tabs>
                <w:tab w:val="right" w:pos="567"/>
              </w:tabs>
              <w:spacing w:line="240" w:lineRule="auto"/>
              <w:jc w:val="center"/>
            </w:pPr>
          </w:p>
        </w:tc>
      </w:tr>
    </w:tbl>
    <w:p w:rsidR="00000000" w:rsidRDefault="00000000">
      <w:pPr>
        <w:pStyle w:val="FootnoteText"/>
      </w:pPr>
    </w:p>
    <w:p w:rsidR="00000000" w:rsidRDefault="00000000"/>
    <w:p w:rsidR="00000000" w:rsidRDefault="00000000">
      <w:r>
        <w:t>183.</w:t>
      </w:r>
      <w:r>
        <w:tab/>
        <w:t>Сфера здравоохранения финансируется прежде всего за счет налогов.  Правом взимать налоги пользуются муниципальные власти.  Правительство участвует в покрытии муниципальных расходов путем предоставления муниципалитетам бюджетных субсидий в зависимости от таких общих критериев, как численность, возрастная структура и плотность населения и т.д..</w:t>
      </w:r>
    </w:p>
    <w:p w:rsidR="00000000" w:rsidRDefault="00000000"/>
    <w:p w:rsidR="00000000" w:rsidRDefault="00000000">
      <w:r>
        <w:t>184.</w:t>
      </w:r>
      <w:r>
        <w:tab/>
        <w:t xml:space="preserve">Из-за глубокого экономического спада в начале 90-х годов средняя доля общих расходов на здравоохранение в ВНП заметно увеличилась (составив 9,4% в 1992 году, что являлось одним из наиболее высоких показателей по всем странам), но на фоне оживления экономики в настоящее время этот показатель пошел на спад (около 7,4% в 1998 году). </w:t>
      </w:r>
    </w:p>
    <w:p w:rsidR="00000000" w:rsidRDefault="00000000">
      <w:pPr>
        <w:pStyle w:val="FootnoteText"/>
        <w:spacing w:line="288" w:lineRule="auto"/>
      </w:pPr>
    </w:p>
    <w:p w:rsidR="00000000" w:rsidRDefault="00000000">
      <w:pPr>
        <w:pStyle w:val="Heading1"/>
        <w:jc w:val="center"/>
        <w:rPr>
          <w:b w:val="0"/>
          <w:kern w:val="0"/>
          <w:u w:val="single"/>
        </w:rPr>
      </w:pPr>
      <w:r>
        <w:rPr>
          <w:b w:val="0"/>
          <w:kern w:val="0"/>
        </w:rPr>
        <w:t>Таблица 2.</w:t>
      </w:r>
      <w:r>
        <w:rPr>
          <w:b w:val="0"/>
          <w:kern w:val="0"/>
        </w:rPr>
        <w:tab/>
      </w:r>
      <w:r>
        <w:rPr>
          <w:b w:val="0"/>
          <w:kern w:val="0"/>
        </w:rPr>
        <w:tab/>
      </w:r>
      <w:r>
        <w:rPr>
          <w:b w:val="0"/>
          <w:kern w:val="0"/>
          <w:u w:val="single"/>
        </w:rPr>
        <w:t>Доля расходов на здравоохранение в ВНП в 1995-1998 годах</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tbl>
      <w:tblPr>
        <w:tblW w:w="0" w:type="auto"/>
        <w:jc w:val="center"/>
        <w:tblLayout w:type="fixed"/>
        <w:tblLook w:val="0000" w:firstRow="0" w:lastRow="0" w:firstColumn="0" w:lastColumn="0" w:noHBand="0" w:noVBand="0"/>
      </w:tblPr>
      <w:tblGrid>
        <w:gridCol w:w="1778"/>
        <w:gridCol w:w="3303"/>
        <w:gridCol w:w="1524"/>
      </w:tblGrid>
      <w:tr w:rsidR="00000000">
        <w:tblPrEx>
          <w:tblCellMar>
            <w:top w:w="0" w:type="dxa"/>
            <w:bottom w:w="0" w:type="dxa"/>
          </w:tblCellMar>
        </w:tblPrEx>
        <w:trPr>
          <w:jc w:val="center"/>
        </w:trPr>
        <w:tc>
          <w:tcPr>
            <w:tcW w:w="1778" w:type="dxa"/>
            <w:tcBorders>
              <w:top w:val="single" w:sz="4" w:space="0" w:color="auto"/>
              <w:left w:val="single" w:sz="4" w:space="0" w:color="auto"/>
              <w:right w:val="single" w:sz="4" w:space="0" w:color="auto"/>
            </w:tcBorders>
          </w:tcPr>
          <w:p w:rsidR="00000000" w:rsidRDefault="00000000">
            <w:pPr>
              <w:pStyle w:val="FootnoteText"/>
            </w:pPr>
            <w:r>
              <w:t>Год</w:t>
            </w:r>
          </w:p>
        </w:tc>
        <w:tc>
          <w:tcPr>
            <w:tcW w:w="3303" w:type="dxa"/>
            <w:tcBorders>
              <w:top w:val="single" w:sz="4" w:space="0" w:color="auto"/>
              <w:left w:val="single" w:sz="4" w:space="0" w:color="auto"/>
              <w:right w:val="single" w:sz="4" w:space="0" w:color="auto"/>
            </w:tcBorders>
          </w:tcPr>
          <w:p w:rsidR="00000000" w:rsidRDefault="00000000">
            <w:pPr>
              <w:pStyle w:val="FootnoteText"/>
              <w:jc w:val="center"/>
            </w:pPr>
            <w:r>
              <w:t>Расходы на здравоохранение</w:t>
            </w:r>
          </w:p>
        </w:tc>
        <w:tc>
          <w:tcPr>
            <w:tcW w:w="1524" w:type="dxa"/>
            <w:tcBorders>
              <w:top w:val="single" w:sz="4" w:space="0" w:color="auto"/>
              <w:left w:val="single" w:sz="4" w:space="0" w:color="auto"/>
              <w:right w:val="single" w:sz="4" w:space="0" w:color="auto"/>
            </w:tcBorders>
          </w:tcPr>
          <w:p w:rsidR="00000000" w:rsidRDefault="00000000">
            <w:pPr>
              <w:pStyle w:val="FootnoteText"/>
              <w:jc w:val="center"/>
            </w:pPr>
            <w:r>
              <w:t>% от ВНП</w:t>
            </w:r>
          </w:p>
        </w:tc>
      </w:tr>
      <w:tr w:rsidR="00000000">
        <w:tblPrEx>
          <w:tblCellMar>
            <w:top w:w="0" w:type="dxa"/>
            <w:bottom w:w="0" w:type="dxa"/>
          </w:tblCellMar>
        </w:tblPrEx>
        <w:trPr>
          <w:jc w:val="center"/>
        </w:trPr>
        <w:tc>
          <w:tcPr>
            <w:tcW w:w="1778" w:type="dxa"/>
            <w:tcBorders>
              <w:top w:val="single" w:sz="4" w:space="0" w:color="auto"/>
              <w:left w:val="single" w:sz="4" w:space="0" w:color="auto"/>
              <w:right w:val="single" w:sz="4" w:space="0" w:color="auto"/>
            </w:tcBorders>
          </w:tcPr>
          <w:p w:rsidR="00000000" w:rsidRDefault="00000000">
            <w:pPr>
              <w:pStyle w:val="FootnoteText"/>
            </w:pPr>
            <w:r>
              <w:t>1995</w:t>
            </w:r>
          </w:p>
        </w:tc>
        <w:tc>
          <w:tcPr>
            <w:tcW w:w="3303" w:type="dxa"/>
            <w:tcBorders>
              <w:top w:val="single" w:sz="4" w:space="0" w:color="auto"/>
              <w:left w:val="single" w:sz="4" w:space="0" w:color="auto"/>
              <w:right w:val="single" w:sz="4" w:space="0" w:color="auto"/>
            </w:tcBorders>
          </w:tcPr>
          <w:p w:rsidR="00000000" w:rsidRDefault="00000000">
            <w:pPr>
              <w:pStyle w:val="FootnoteText"/>
              <w:jc w:val="center"/>
            </w:pPr>
            <w:r>
              <w:t>42 729 млн. фин. марок</w:t>
            </w:r>
          </w:p>
        </w:tc>
        <w:tc>
          <w:tcPr>
            <w:tcW w:w="1524" w:type="dxa"/>
            <w:tcBorders>
              <w:top w:val="single" w:sz="4" w:space="0" w:color="auto"/>
              <w:left w:val="single" w:sz="4" w:space="0" w:color="auto"/>
              <w:right w:val="single" w:sz="4" w:space="0" w:color="auto"/>
            </w:tcBorders>
          </w:tcPr>
          <w:p w:rsidR="00000000" w:rsidRDefault="00000000">
            <w:pPr>
              <w:pStyle w:val="FootnoteText"/>
              <w:jc w:val="center"/>
            </w:pPr>
            <w:r>
              <w:t>7,6</w:t>
            </w:r>
          </w:p>
        </w:tc>
      </w:tr>
      <w:tr w:rsidR="00000000">
        <w:tblPrEx>
          <w:tblCellMar>
            <w:top w:w="0" w:type="dxa"/>
            <w:bottom w:w="0" w:type="dxa"/>
          </w:tblCellMar>
        </w:tblPrEx>
        <w:trPr>
          <w:jc w:val="center"/>
        </w:trPr>
        <w:tc>
          <w:tcPr>
            <w:tcW w:w="1778" w:type="dxa"/>
            <w:tcBorders>
              <w:left w:val="single" w:sz="4" w:space="0" w:color="auto"/>
              <w:right w:val="single" w:sz="4" w:space="0" w:color="auto"/>
            </w:tcBorders>
          </w:tcPr>
          <w:p w:rsidR="00000000" w:rsidRDefault="00000000">
            <w:pPr>
              <w:pStyle w:val="FootnoteText"/>
            </w:pPr>
            <w:r>
              <w:t>1996</w:t>
            </w:r>
          </w:p>
        </w:tc>
        <w:tc>
          <w:tcPr>
            <w:tcW w:w="3303" w:type="dxa"/>
            <w:tcBorders>
              <w:left w:val="single" w:sz="4" w:space="0" w:color="auto"/>
              <w:right w:val="single" w:sz="4" w:space="0" w:color="auto"/>
            </w:tcBorders>
          </w:tcPr>
          <w:p w:rsidR="00000000" w:rsidRDefault="00000000">
            <w:pPr>
              <w:pStyle w:val="FootnoteText"/>
              <w:jc w:val="center"/>
            </w:pPr>
            <w:r>
              <w:t>44 600 млн. фин. марок</w:t>
            </w:r>
          </w:p>
        </w:tc>
        <w:tc>
          <w:tcPr>
            <w:tcW w:w="1524" w:type="dxa"/>
            <w:tcBorders>
              <w:left w:val="single" w:sz="4" w:space="0" w:color="auto"/>
              <w:right w:val="single" w:sz="4" w:space="0" w:color="auto"/>
            </w:tcBorders>
          </w:tcPr>
          <w:p w:rsidR="00000000" w:rsidRDefault="00000000">
            <w:pPr>
              <w:pStyle w:val="FootnoteText"/>
              <w:jc w:val="center"/>
            </w:pPr>
            <w:r>
              <w:t>7,8</w:t>
            </w:r>
          </w:p>
        </w:tc>
      </w:tr>
      <w:tr w:rsidR="00000000">
        <w:tblPrEx>
          <w:tblCellMar>
            <w:top w:w="0" w:type="dxa"/>
            <w:bottom w:w="0" w:type="dxa"/>
          </w:tblCellMar>
        </w:tblPrEx>
        <w:trPr>
          <w:jc w:val="center"/>
        </w:trPr>
        <w:tc>
          <w:tcPr>
            <w:tcW w:w="1778" w:type="dxa"/>
            <w:tcBorders>
              <w:left w:val="single" w:sz="4" w:space="0" w:color="auto"/>
              <w:right w:val="single" w:sz="4" w:space="0" w:color="auto"/>
            </w:tcBorders>
          </w:tcPr>
          <w:p w:rsidR="00000000" w:rsidRDefault="00000000">
            <w:pPr>
              <w:pStyle w:val="FootnoteText"/>
            </w:pPr>
            <w:r>
              <w:t>1997 приблиз.</w:t>
            </w:r>
          </w:p>
        </w:tc>
        <w:tc>
          <w:tcPr>
            <w:tcW w:w="3303" w:type="dxa"/>
            <w:tcBorders>
              <w:left w:val="single" w:sz="4" w:space="0" w:color="auto"/>
              <w:right w:val="single" w:sz="4" w:space="0" w:color="auto"/>
            </w:tcBorders>
          </w:tcPr>
          <w:p w:rsidR="00000000" w:rsidRDefault="00000000">
            <w:pPr>
              <w:pStyle w:val="FootnoteText"/>
              <w:jc w:val="center"/>
            </w:pPr>
            <w:r>
              <w:t>47 000 млн. фин. марок</w:t>
            </w:r>
          </w:p>
        </w:tc>
        <w:tc>
          <w:tcPr>
            <w:tcW w:w="1524" w:type="dxa"/>
            <w:tcBorders>
              <w:left w:val="single" w:sz="4" w:space="0" w:color="auto"/>
              <w:right w:val="single" w:sz="4" w:space="0" w:color="auto"/>
            </w:tcBorders>
          </w:tcPr>
          <w:p w:rsidR="00000000" w:rsidRDefault="00000000">
            <w:pPr>
              <w:pStyle w:val="FootnoteText"/>
              <w:jc w:val="center"/>
            </w:pPr>
            <w:r>
              <w:t>7,6</w:t>
            </w:r>
          </w:p>
        </w:tc>
      </w:tr>
      <w:tr w:rsidR="00000000">
        <w:tblPrEx>
          <w:tblCellMar>
            <w:top w:w="0" w:type="dxa"/>
            <w:bottom w:w="0" w:type="dxa"/>
          </w:tblCellMar>
        </w:tblPrEx>
        <w:trPr>
          <w:jc w:val="center"/>
        </w:trPr>
        <w:tc>
          <w:tcPr>
            <w:tcW w:w="1778" w:type="dxa"/>
            <w:tcBorders>
              <w:left w:val="single" w:sz="4" w:space="0" w:color="auto"/>
              <w:bottom w:val="single" w:sz="4" w:space="0" w:color="auto"/>
              <w:right w:val="single" w:sz="4" w:space="0" w:color="auto"/>
            </w:tcBorders>
          </w:tcPr>
          <w:p w:rsidR="00000000" w:rsidRDefault="00000000">
            <w:pPr>
              <w:pStyle w:val="FootnoteText"/>
            </w:pPr>
            <w:r>
              <w:t>1998 приблиз.</w:t>
            </w:r>
          </w:p>
        </w:tc>
        <w:tc>
          <w:tcPr>
            <w:tcW w:w="3303" w:type="dxa"/>
            <w:tcBorders>
              <w:left w:val="single" w:sz="4" w:space="0" w:color="auto"/>
              <w:bottom w:val="single" w:sz="4" w:space="0" w:color="auto"/>
              <w:right w:val="single" w:sz="4" w:space="0" w:color="auto"/>
            </w:tcBorders>
          </w:tcPr>
          <w:p w:rsidR="00000000" w:rsidRDefault="00000000">
            <w:pPr>
              <w:pStyle w:val="FootnoteText"/>
              <w:jc w:val="center"/>
            </w:pPr>
            <w:r>
              <w:t>49 400 млн. фин. марок</w:t>
            </w:r>
          </w:p>
        </w:tc>
        <w:tc>
          <w:tcPr>
            <w:tcW w:w="1524" w:type="dxa"/>
            <w:tcBorders>
              <w:left w:val="single" w:sz="4" w:space="0" w:color="auto"/>
              <w:bottom w:val="single" w:sz="4" w:space="0" w:color="auto"/>
              <w:right w:val="single" w:sz="4" w:space="0" w:color="auto"/>
            </w:tcBorders>
          </w:tcPr>
          <w:p w:rsidR="00000000" w:rsidRDefault="00000000">
            <w:pPr>
              <w:pStyle w:val="FootnoteText"/>
              <w:jc w:val="center"/>
            </w:pPr>
            <w:r>
              <w:t>7,4</w:t>
            </w:r>
          </w:p>
        </w:tc>
      </w:tr>
    </w:tbl>
    <w:p w:rsidR="00000000" w:rsidRDefault="00000000">
      <w:pPr>
        <w:pStyle w:val="FootnoteText"/>
        <w:spacing w:line="288" w:lineRule="auto"/>
      </w:pPr>
    </w:p>
    <w:p w:rsidR="00000000" w:rsidRDefault="00000000">
      <w:pPr>
        <w:pStyle w:val="Heading1"/>
        <w:jc w:val="center"/>
        <w:rPr>
          <w:b w:val="0"/>
          <w:kern w:val="0"/>
          <w:u w:val="single"/>
        </w:rPr>
      </w:pPr>
      <w:r>
        <w:rPr>
          <w:b w:val="0"/>
          <w:kern w:val="0"/>
        </w:rPr>
        <w:t>Таблица 3.</w:t>
      </w:r>
      <w:r>
        <w:rPr>
          <w:b w:val="0"/>
          <w:kern w:val="0"/>
        </w:rPr>
        <w:tab/>
      </w:r>
      <w:r>
        <w:rPr>
          <w:b w:val="0"/>
          <w:kern w:val="0"/>
        </w:rPr>
        <w:tab/>
      </w:r>
      <w:r>
        <w:rPr>
          <w:b w:val="0"/>
          <w:kern w:val="0"/>
          <w:u w:val="single"/>
        </w:rPr>
        <w:t>Финансирование здравоохранения в 1995 году</w:t>
      </w:r>
    </w:p>
    <w:p w:rsidR="00000000" w:rsidRDefault="00000000"/>
    <w:tbl>
      <w:tblPr>
        <w:tblW w:w="0" w:type="auto"/>
        <w:jc w:val="center"/>
        <w:tblLayout w:type="fixed"/>
        <w:tblLook w:val="0000" w:firstRow="0" w:lastRow="0" w:firstColumn="0" w:lastColumn="0" w:noHBand="0" w:noVBand="0"/>
      </w:tblPr>
      <w:tblGrid>
        <w:gridCol w:w="6685"/>
        <w:gridCol w:w="1194"/>
      </w:tblGrid>
      <w:tr w:rsidR="00000000">
        <w:tblPrEx>
          <w:tblCellMar>
            <w:top w:w="0" w:type="dxa"/>
            <w:bottom w:w="0" w:type="dxa"/>
          </w:tblCellMar>
        </w:tblPrEx>
        <w:trPr>
          <w:trHeight w:val="344"/>
          <w:jc w:val="center"/>
        </w:trPr>
        <w:tc>
          <w:tcPr>
            <w:tcW w:w="6685" w:type="dxa"/>
            <w:tcBorders>
              <w:top w:val="single" w:sz="4" w:space="0" w:color="auto"/>
              <w:left w:val="single" w:sz="4" w:space="0" w:color="auto"/>
              <w:right w:val="single" w:sz="4" w:space="0" w:color="auto"/>
            </w:tcBorders>
          </w:tcPr>
          <w:p w:rsidR="00000000" w:rsidRDefault="00000000">
            <w:pPr>
              <w:spacing w:line="240" w:lineRule="auto"/>
              <w:jc w:val="center"/>
            </w:pPr>
            <w:r>
              <w:t>Финансирование</w:t>
            </w:r>
          </w:p>
        </w:tc>
        <w:tc>
          <w:tcPr>
            <w:tcW w:w="1194" w:type="dxa"/>
            <w:tcBorders>
              <w:top w:val="single" w:sz="4" w:space="0" w:color="auto"/>
              <w:left w:val="single" w:sz="4" w:space="0" w:color="auto"/>
              <w:right w:val="single" w:sz="4" w:space="0" w:color="auto"/>
            </w:tcBorders>
          </w:tcPr>
          <w:p w:rsidR="00000000" w:rsidRDefault="00000000">
            <w:pPr>
              <w:spacing w:line="240" w:lineRule="auto"/>
              <w:jc w:val="center"/>
            </w:pPr>
            <w:r>
              <w:t>%</w:t>
            </w:r>
          </w:p>
        </w:tc>
      </w:tr>
      <w:tr w:rsidR="00000000">
        <w:tblPrEx>
          <w:tblCellMar>
            <w:top w:w="0" w:type="dxa"/>
            <w:bottom w:w="0" w:type="dxa"/>
          </w:tblCellMar>
        </w:tblPrEx>
        <w:trPr>
          <w:jc w:val="center"/>
        </w:trPr>
        <w:tc>
          <w:tcPr>
            <w:tcW w:w="6685" w:type="dxa"/>
            <w:tcBorders>
              <w:top w:val="single" w:sz="4" w:space="0" w:color="auto"/>
              <w:left w:val="single" w:sz="4" w:space="0" w:color="auto"/>
              <w:right w:val="single" w:sz="4" w:space="0" w:color="auto"/>
            </w:tcBorders>
          </w:tcPr>
          <w:p w:rsidR="00000000" w:rsidRDefault="00000000">
            <w:pPr>
              <w:spacing w:line="240" w:lineRule="auto"/>
            </w:pPr>
            <w:r>
              <w:t>Государственный сектор (правительство и муниципалитеты)</w:t>
            </w:r>
          </w:p>
        </w:tc>
        <w:tc>
          <w:tcPr>
            <w:tcW w:w="1194" w:type="dxa"/>
            <w:tcBorders>
              <w:top w:val="single" w:sz="4" w:space="0" w:color="auto"/>
              <w:left w:val="single" w:sz="4" w:space="0" w:color="auto"/>
              <w:right w:val="single" w:sz="4" w:space="0" w:color="auto"/>
            </w:tcBorders>
          </w:tcPr>
          <w:p w:rsidR="00000000" w:rsidRDefault="00000000">
            <w:pPr>
              <w:spacing w:line="240" w:lineRule="auto"/>
              <w:jc w:val="right"/>
            </w:pPr>
            <w:r>
              <w:t>35,2</w:t>
            </w:r>
          </w:p>
        </w:tc>
      </w:tr>
      <w:tr w:rsidR="00000000">
        <w:tblPrEx>
          <w:tblCellMar>
            <w:top w:w="0" w:type="dxa"/>
            <w:bottom w:w="0" w:type="dxa"/>
          </w:tblCellMar>
        </w:tblPrEx>
        <w:trPr>
          <w:jc w:val="center"/>
        </w:trPr>
        <w:tc>
          <w:tcPr>
            <w:tcW w:w="6685" w:type="dxa"/>
            <w:tcBorders>
              <w:left w:val="single" w:sz="4" w:space="0" w:color="auto"/>
              <w:right w:val="single" w:sz="4" w:space="0" w:color="auto"/>
            </w:tcBorders>
          </w:tcPr>
          <w:p w:rsidR="00000000" w:rsidRDefault="00000000">
            <w:pPr>
              <w:spacing w:line="240" w:lineRule="auto"/>
            </w:pPr>
            <w:r>
              <w:t>Обязательное медицинское страхование</w:t>
            </w:r>
          </w:p>
        </w:tc>
        <w:tc>
          <w:tcPr>
            <w:tcW w:w="1194" w:type="dxa"/>
            <w:tcBorders>
              <w:left w:val="single" w:sz="4" w:space="0" w:color="auto"/>
              <w:right w:val="single" w:sz="4" w:space="0" w:color="auto"/>
            </w:tcBorders>
          </w:tcPr>
          <w:p w:rsidR="00000000" w:rsidRDefault="00000000">
            <w:pPr>
              <w:spacing w:line="240" w:lineRule="auto"/>
              <w:jc w:val="right"/>
            </w:pPr>
            <w:r>
              <w:t>6,8</w:t>
            </w:r>
          </w:p>
        </w:tc>
      </w:tr>
      <w:tr w:rsidR="00000000">
        <w:tblPrEx>
          <w:tblCellMar>
            <w:top w:w="0" w:type="dxa"/>
            <w:bottom w:w="0" w:type="dxa"/>
          </w:tblCellMar>
        </w:tblPrEx>
        <w:trPr>
          <w:jc w:val="center"/>
        </w:trPr>
        <w:tc>
          <w:tcPr>
            <w:tcW w:w="6685" w:type="dxa"/>
            <w:tcBorders>
              <w:left w:val="single" w:sz="4" w:space="0" w:color="auto"/>
              <w:right w:val="single" w:sz="4" w:space="0" w:color="auto"/>
            </w:tcBorders>
          </w:tcPr>
          <w:p w:rsidR="00000000" w:rsidRDefault="00000000">
            <w:pPr>
              <w:spacing w:line="240" w:lineRule="auto"/>
            </w:pPr>
            <w:r>
              <w:t>Фонды медицинского страхования</w:t>
            </w:r>
          </w:p>
        </w:tc>
        <w:tc>
          <w:tcPr>
            <w:tcW w:w="1194" w:type="dxa"/>
            <w:tcBorders>
              <w:left w:val="single" w:sz="4" w:space="0" w:color="auto"/>
              <w:right w:val="single" w:sz="4" w:space="0" w:color="auto"/>
            </w:tcBorders>
          </w:tcPr>
          <w:p w:rsidR="00000000" w:rsidRDefault="00000000">
            <w:pPr>
              <w:spacing w:line="240" w:lineRule="auto"/>
              <w:jc w:val="right"/>
            </w:pPr>
            <w:r>
              <w:t>1,6</w:t>
            </w:r>
          </w:p>
        </w:tc>
      </w:tr>
      <w:tr w:rsidR="00000000">
        <w:tblPrEx>
          <w:tblCellMar>
            <w:top w:w="0" w:type="dxa"/>
            <w:bottom w:w="0" w:type="dxa"/>
          </w:tblCellMar>
        </w:tblPrEx>
        <w:trPr>
          <w:jc w:val="center"/>
        </w:trPr>
        <w:tc>
          <w:tcPr>
            <w:tcW w:w="6685" w:type="dxa"/>
            <w:tcBorders>
              <w:left w:val="single" w:sz="4" w:space="0" w:color="auto"/>
              <w:right w:val="single" w:sz="4" w:space="0" w:color="auto"/>
            </w:tcBorders>
          </w:tcPr>
          <w:p w:rsidR="00000000" w:rsidRDefault="00000000">
            <w:pPr>
              <w:spacing w:line="240" w:lineRule="auto"/>
            </w:pPr>
            <w:r>
              <w:t>Частные домохозяйства</w:t>
            </w:r>
          </w:p>
        </w:tc>
        <w:tc>
          <w:tcPr>
            <w:tcW w:w="1194" w:type="dxa"/>
            <w:tcBorders>
              <w:left w:val="single" w:sz="4" w:space="0" w:color="auto"/>
              <w:right w:val="single" w:sz="4" w:space="0" w:color="auto"/>
            </w:tcBorders>
          </w:tcPr>
          <w:p w:rsidR="00000000" w:rsidRDefault="00000000">
            <w:pPr>
              <w:spacing w:line="240" w:lineRule="auto"/>
              <w:jc w:val="right"/>
            </w:pPr>
            <w:r>
              <w:t>56,4</w:t>
            </w:r>
          </w:p>
        </w:tc>
      </w:tr>
      <w:tr w:rsidR="00000000">
        <w:tblPrEx>
          <w:tblCellMar>
            <w:top w:w="0" w:type="dxa"/>
            <w:bottom w:w="0" w:type="dxa"/>
          </w:tblCellMar>
        </w:tblPrEx>
        <w:trPr>
          <w:jc w:val="center"/>
        </w:trPr>
        <w:tc>
          <w:tcPr>
            <w:tcW w:w="668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Всего</w:t>
            </w:r>
          </w:p>
        </w:tc>
        <w:tc>
          <w:tcPr>
            <w:tcW w:w="119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pPr>
            <w:r>
              <w:t>100,0</w:t>
            </w:r>
          </w:p>
        </w:tc>
      </w:tr>
    </w:tbl>
    <w:p w:rsidR="00000000" w:rsidRDefault="00000000"/>
    <w:p w:rsidR="00000000" w:rsidRDefault="00000000">
      <w:r>
        <w:rPr>
          <w:lang w:val="en-US"/>
        </w:rPr>
        <w:t>2.</w:t>
      </w:r>
      <w:r>
        <w:rPr>
          <w:lang w:val="en-US"/>
        </w:rPr>
        <w:tab/>
        <w:t>b)</w:t>
      </w:r>
      <w:r>
        <w:rPr>
          <w:lang w:val="en-US"/>
        </w:rPr>
        <w:tab/>
      </w:r>
      <w:r>
        <w:rPr>
          <w:u w:val="single"/>
        </w:rPr>
        <w:t>Пособия по болезни</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t>185.</w:t>
      </w:r>
      <w:r>
        <w:tab/>
        <w:t>Информация о пособиях по болезни, выплачиваемых в рамках системы страхования, приведена в предыдущем периодическом докладе.</w:t>
      </w:r>
    </w:p>
    <w:p w:rsidR="00000000" w:rsidRDefault="00000000"/>
    <w:p w:rsidR="00000000" w:rsidRDefault="00000000">
      <w:r>
        <w:t>186.</w:t>
      </w:r>
      <w:r>
        <w:tab/>
        <w:t>Система медицинского страхования финансируется за счет отчислений работодателей, страховых взносов и государственных дотаций.</w:t>
      </w:r>
    </w:p>
    <w:p w:rsidR="00000000" w:rsidRDefault="00000000">
      <w:pPr>
        <w:rPr>
          <w:i/>
        </w:rPr>
      </w:pPr>
    </w:p>
    <w:p w:rsidR="00000000" w:rsidRDefault="00000000">
      <w:pPr>
        <w:spacing w:line="264" w:lineRule="auto"/>
        <w:jc w:val="center"/>
      </w:pPr>
      <w:r>
        <w:br w:type="page"/>
        <w:t>Таблица 4.</w:t>
      </w:r>
      <w:r>
        <w:tab/>
      </w:r>
      <w:r>
        <w:tab/>
      </w:r>
      <w:r>
        <w:rPr>
          <w:u w:val="single"/>
        </w:rPr>
        <w:t>Доля финансирования (%), 1994-1997 годы</w:t>
      </w:r>
    </w:p>
    <w:p w:rsidR="00000000" w:rsidRDefault="00000000">
      <w:pPr>
        <w:pStyle w:val="a0"/>
        <w:widowControl/>
        <w:pBdr>
          <w:between w:val="single" w:sz="4" w:space="1" w:color="auto"/>
        </w:pBdr>
        <w:tabs>
          <w:tab w:val="left" w:pos="567"/>
          <w:tab w:val="left" w:pos="1134"/>
          <w:tab w:val="left" w:pos="1701"/>
          <w:tab w:val="left" w:pos="2268"/>
          <w:tab w:val="left" w:pos="6237"/>
        </w:tabs>
        <w:spacing w:line="264" w:lineRule="auto"/>
        <w:rPr>
          <w:rFonts w:ascii="Times New Roman" w:hAnsi="Times New Roman"/>
          <w:snapToGrid/>
          <w:lang w:val="en-US"/>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92"/>
        <w:gridCol w:w="1992"/>
        <w:gridCol w:w="1815"/>
        <w:gridCol w:w="1814"/>
        <w:gridCol w:w="1578"/>
      </w:tblGrid>
      <w:tr w:rsidR="00000000">
        <w:tblPrEx>
          <w:tblCellMar>
            <w:top w:w="0" w:type="dxa"/>
            <w:bottom w:w="0" w:type="dxa"/>
          </w:tblCellMar>
        </w:tblPrEx>
        <w:trPr>
          <w:jc w:val="center"/>
        </w:trPr>
        <w:tc>
          <w:tcPr>
            <w:tcW w:w="1292" w:type="dxa"/>
            <w:tcBorders>
              <w:bottom w:val="nil"/>
            </w:tcBorders>
            <w:vAlign w:val="center"/>
          </w:tcPr>
          <w:p w:rsidR="00000000" w:rsidRDefault="00000000">
            <w:pPr>
              <w:spacing w:line="264" w:lineRule="auto"/>
            </w:pPr>
            <w:r>
              <w:t>Год</w:t>
            </w:r>
          </w:p>
        </w:tc>
        <w:tc>
          <w:tcPr>
            <w:tcW w:w="1992" w:type="dxa"/>
            <w:tcBorders>
              <w:bottom w:val="nil"/>
            </w:tcBorders>
            <w:vAlign w:val="center"/>
          </w:tcPr>
          <w:p w:rsidR="00000000" w:rsidRDefault="00000000">
            <w:pPr>
              <w:spacing w:line="264" w:lineRule="auto"/>
              <w:jc w:val="center"/>
            </w:pPr>
            <w:r>
              <w:t>Застрахованные лица</w:t>
            </w:r>
          </w:p>
        </w:tc>
        <w:tc>
          <w:tcPr>
            <w:tcW w:w="1815" w:type="dxa"/>
            <w:tcBorders>
              <w:bottom w:val="nil"/>
            </w:tcBorders>
            <w:vAlign w:val="center"/>
          </w:tcPr>
          <w:p w:rsidR="00000000" w:rsidRDefault="00000000">
            <w:pPr>
              <w:pStyle w:val="Heading7"/>
              <w:tabs>
                <w:tab w:val="left" w:pos="567"/>
                <w:tab w:val="left" w:pos="1134"/>
                <w:tab w:val="left" w:pos="1701"/>
                <w:tab w:val="left" w:pos="2268"/>
                <w:tab w:val="left" w:pos="6237"/>
              </w:tabs>
              <w:spacing w:line="264" w:lineRule="auto"/>
              <w:rPr>
                <w:u w:val="none"/>
              </w:rPr>
            </w:pPr>
            <w:r>
              <w:rPr>
                <w:u w:val="none"/>
              </w:rPr>
              <w:t>Работодатели</w:t>
            </w:r>
          </w:p>
        </w:tc>
        <w:tc>
          <w:tcPr>
            <w:tcW w:w="1814" w:type="dxa"/>
            <w:tcBorders>
              <w:bottom w:val="nil"/>
            </w:tcBorders>
            <w:vAlign w:val="center"/>
          </w:tcPr>
          <w:p w:rsidR="00000000" w:rsidRDefault="00000000">
            <w:pPr>
              <w:pStyle w:val="Heading7"/>
              <w:tabs>
                <w:tab w:val="left" w:pos="567"/>
                <w:tab w:val="left" w:pos="1134"/>
                <w:tab w:val="left" w:pos="1701"/>
                <w:tab w:val="left" w:pos="2268"/>
                <w:tab w:val="left" w:pos="6237"/>
              </w:tabs>
              <w:spacing w:line="264" w:lineRule="auto"/>
              <w:rPr>
                <w:u w:val="none"/>
              </w:rPr>
            </w:pPr>
            <w:r>
              <w:rPr>
                <w:u w:val="none"/>
              </w:rPr>
              <w:t>Правительство</w:t>
            </w:r>
          </w:p>
        </w:tc>
        <w:tc>
          <w:tcPr>
            <w:tcW w:w="1578" w:type="dxa"/>
            <w:tcBorders>
              <w:bottom w:val="nil"/>
            </w:tcBorders>
            <w:vAlign w:val="center"/>
          </w:tcPr>
          <w:p w:rsidR="00000000" w:rsidRDefault="00000000">
            <w:pPr>
              <w:spacing w:line="264" w:lineRule="auto"/>
              <w:jc w:val="center"/>
            </w:pPr>
            <w:r>
              <w:t>Прочие источники</w:t>
            </w:r>
          </w:p>
        </w:tc>
      </w:tr>
      <w:tr w:rsidR="00000000">
        <w:tblPrEx>
          <w:tblCellMar>
            <w:top w:w="0" w:type="dxa"/>
            <w:bottom w:w="0" w:type="dxa"/>
          </w:tblCellMar>
        </w:tblPrEx>
        <w:trPr>
          <w:jc w:val="center"/>
        </w:trPr>
        <w:tc>
          <w:tcPr>
            <w:tcW w:w="1292" w:type="dxa"/>
            <w:tcBorders>
              <w:top w:val="single" w:sz="4" w:space="0" w:color="auto"/>
              <w:bottom w:val="nil"/>
            </w:tcBorders>
          </w:tcPr>
          <w:p w:rsidR="00000000" w:rsidRDefault="00000000">
            <w:pPr>
              <w:pStyle w:val="FootnoteText"/>
              <w:spacing w:line="264" w:lineRule="auto"/>
              <w:rPr>
                <w:lang w:val="en-US"/>
              </w:rPr>
            </w:pPr>
            <w:r>
              <w:rPr>
                <w:lang w:val="en-US"/>
              </w:rPr>
              <w:t>1994</w:t>
            </w:r>
          </w:p>
        </w:tc>
        <w:tc>
          <w:tcPr>
            <w:tcW w:w="1992" w:type="dxa"/>
            <w:tcBorders>
              <w:top w:val="single" w:sz="4" w:space="0" w:color="auto"/>
              <w:bottom w:val="nil"/>
            </w:tcBorders>
          </w:tcPr>
          <w:p w:rsidR="00000000" w:rsidRDefault="00000000">
            <w:pPr>
              <w:spacing w:line="264" w:lineRule="auto"/>
              <w:jc w:val="center"/>
              <w:rPr>
                <w:lang w:val="en-US"/>
              </w:rPr>
            </w:pPr>
            <w:r>
              <w:rPr>
                <w:lang w:val="en-US"/>
              </w:rPr>
              <w:t>61,9</w:t>
            </w:r>
          </w:p>
        </w:tc>
        <w:tc>
          <w:tcPr>
            <w:tcW w:w="1815" w:type="dxa"/>
            <w:tcBorders>
              <w:top w:val="single" w:sz="4" w:space="0" w:color="auto"/>
              <w:bottom w:val="nil"/>
            </w:tcBorders>
          </w:tcPr>
          <w:p w:rsidR="00000000" w:rsidRDefault="00000000">
            <w:pPr>
              <w:spacing w:line="264" w:lineRule="auto"/>
              <w:jc w:val="center"/>
              <w:rPr>
                <w:lang w:val="en-US"/>
              </w:rPr>
            </w:pPr>
            <w:r>
              <w:rPr>
                <w:lang w:val="en-US"/>
              </w:rPr>
              <w:t>29,2</w:t>
            </w:r>
          </w:p>
        </w:tc>
        <w:tc>
          <w:tcPr>
            <w:tcW w:w="1814" w:type="dxa"/>
            <w:tcBorders>
              <w:top w:val="single" w:sz="4" w:space="0" w:color="auto"/>
              <w:bottom w:val="nil"/>
            </w:tcBorders>
          </w:tcPr>
          <w:p w:rsidR="00000000" w:rsidRDefault="00000000">
            <w:pPr>
              <w:spacing w:line="264" w:lineRule="auto"/>
              <w:jc w:val="center"/>
              <w:rPr>
                <w:lang w:val="en-US"/>
              </w:rPr>
            </w:pPr>
            <w:r>
              <w:rPr>
                <w:lang w:val="en-US"/>
              </w:rPr>
              <w:t>7,3</w:t>
            </w:r>
          </w:p>
        </w:tc>
        <w:tc>
          <w:tcPr>
            <w:tcW w:w="1578" w:type="dxa"/>
            <w:tcBorders>
              <w:top w:val="single" w:sz="4" w:space="0" w:color="auto"/>
              <w:bottom w:val="nil"/>
            </w:tcBorders>
          </w:tcPr>
          <w:p w:rsidR="00000000" w:rsidRDefault="00000000">
            <w:pPr>
              <w:spacing w:line="264" w:lineRule="auto"/>
              <w:jc w:val="center"/>
              <w:rPr>
                <w:lang w:val="en-US"/>
              </w:rPr>
            </w:pPr>
            <w:r>
              <w:rPr>
                <w:lang w:val="en-US"/>
              </w:rPr>
              <w:t>1,5</w:t>
            </w:r>
          </w:p>
        </w:tc>
      </w:tr>
      <w:tr w:rsidR="00000000">
        <w:tblPrEx>
          <w:tblCellMar>
            <w:top w:w="0" w:type="dxa"/>
            <w:bottom w:w="0" w:type="dxa"/>
          </w:tblCellMar>
        </w:tblPrEx>
        <w:trPr>
          <w:jc w:val="center"/>
        </w:trPr>
        <w:tc>
          <w:tcPr>
            <w:tcW w:w="1292" w:type="dxa"/>
            <w:tcBorders>
              <w:top w:val="nil"/>
            </w:tcBorders>
          </w:tcPr>
          <w:p w:rsidR="00000000" w:rsidRDefault="00000000">
            <w:pPr>
              <w:spacing w:line="264" w:lineRule="auto"/>
              <w:rPr>
                <w:lang w:val="en-US"/>
              </w:rPr>
            </w:pPr>
            <w:r>
              <w:rPr>
                <w:lang w:val="en-US"/>
              </w:rPr>
              <w:t>1995</w:t>
            </w:r>
          </w:p>
        </w:tc>
        <w:tc>
          <w:tcPr>
            <w:tcW w:w="1992" w:type="dxa"/>
            <w:tcBorders>
              <w:top w:val="nil"/>
            </w:tcBorders>
          </w:tcPr>
          <w:p w:rsidR="00000000" w:rsidRDefault="00000000">
            <w:pPr>
              <w:spacing w:line="264" w:lineRule="auto"/>
              <w:jc w:val="center"/>
              <w:rPr>
                <w:lang w:val="en-US"/>
              </w:rPr>
            </w:pPr>
            <w:r>
              <w:rPr>
                <w:lang w:val="en-US"/>
              </w:rPr>
              <w:t>63,8</w:t>
            </w:r>
          </w:p>
        </w:tc>
        <w:tc>
          <w:tcPr>
            <w:tcW w:w="1815" w:type="dxa"/>
            <w:tcBorders>
              <w:top w:val="nil"/>
            </w:tcBorders>
          </w:tcPr>
          <w:p w:rsidR="00000000" w:rsidRDefault="00000000">
            <w:pPr>
              <w:spacing w:line="264" w:lineRule="auto"/>
              <w:jc w:val="center"/>
              <w:rPr>
                <w:lang w:val="en-US"/>
              </w:rPr>
            </w:pPr>
            <w:r>
              <w:rPr>
                <w:lang w:val="en-US"/>
              </w:rPr>
              <w:t>34,3</w:t>
            </w:r>
          </w:p>
        </w:tc>
        <w:tc>
          <w:tcPr>
            <w:tcW w:w="1814" w:type="dxa"/>
            <w:tcBorders>
              <w:top w:val="nil"/>
            </w:tcBorders>
          </w:tcPr>
          <w:p w:rsidR="00000000" w:rsidRDefault="00000000">
            <w:pPr>
              <w:spacing w:line="264" w:lineRule="auto"/>
              <w:jc w:val="center"/>
              <w:rPr>
                <w:lang w:val="en-US"/>
              </w:rPr>
            </w:pPr>
            <w:r>
              <w:rPr>
                <w:lang w:val="en-US"/>
              </w:rPr>
              <w:t>0</w:t>
            </w:r>
          </w:p>
        </w:tc>
        <w:tc>
          <w:tcPr>
            <w:tcW w:w="1578" w:type="dxa"/>
            <w:tcBorders>
              <w:top w:val="nil"/>
            </w:tcBorders>
          </w:tcPr>
          <w:p w:rsidR="00000000" w:rsidRDefault="00000000">
            <w:pPr>
              <w:spacing w:line="264" w:lineRule="auto"/>
              <w:jc w:val="center"/>
              <w:rPr>
                <w:lang w:val="en-US"/>
              </w:rPr>
            </w:pPr>
            <w:r>
              <w:rPr>
                <w:lang w:val="en-US"/>
              </w:rPr>
              <w:t>1,9</w:t>
            </w:r>
          </w:p>
        </w:tc>
      </w:tr>
      <w:tr w:rsidR="00000000">
        <w:tblPrEx>
          <w:tblCellMar>
            <w:top w:w="0" w:type="dxa"/>
            <w:bottom w:w="0" w:type="dxa"/>
          </w:tblCellMar>
        </w:tblPrEx>
        <w:trPr>
          <w:jc w:val="center"/>
        </w:trPr>
        <w:tc>
          <w:tcPr>
            <w:tcW w:w="1292" w:type="dxa"/>
          </w:tcPr>
          <w:p w:rsidR="00000000" w:rsidRDefault="00000000">
            <w:pPr>
              <w:spacing w:line="264" w:lineRule="auto"/>
              <w:rPr>
                <w:lang w:val="en-US"/>
              </w:rPr>
            </w:pPr>
            <w:r>
              <w:rPr>
                <w:lang w:val="en-US"/>
              </w:rPr>
              <w:t>1996</w:t>
            </w:r>
          </w:p>
        </w:tc>
        <w:tc>
          <w:tcPr>
            <w:tcW w:w="1992" w:type="dxa"/>
          </w:tcPr>
          <w:p w:rsidR="00000000" w:rsidRDefault="00000000">
            <w:pPr>
              <w:spacing w:line="264" w:lineRule="auto"/>
              <w:jc w:val="center"/>
              <w:rPr>
                <w:lang w:val="en-US"/>
              </w:rPr>
            </w:pPr>
            <w:r>
              <w:rPr>
                <w:lang w:val="en-US"/>
              </w:rPr>
              <w:t>64,2</w:t>
            </w:r>
          </w:p>
        </w:tc>
        <w:tc>
          <w:tcPr>
            <w:tcW w:w="1815" w:type="dxa"/>
          </w:tcPr>
          <w:p w:rsidR="00000000" w:rsidRDefault="00000000">
            <w:pPr>
              <w:spacing w:line="264" w:lineRule="auto"/>
              <w:jc w:val="center"/>
              <w:rPr>
                <w:lang w:val="en-US"/>
              </w:rPr>
            </w:pPr>
            <w:r>
              <w:rPr>
                <w:lang w:val="en-US"/>
              </w:rPr>
              <w:t>34,5</w:t>
            </w:r>
          </w:p>
        </w:tc>
        <w:tc>
          <w:tcPr>
            <w:tcW w:w="1814" w:type="dxa"/>
          </w:tcPr>
          <w:p w:rsidR="00000000" w:rsidRDefault="00000000">
            <w:pPr>
              <w:spacing w:line="264" w:lineRule="auto"/>
              <w:jc w:val="center"/>
              <w:rPr>
                <w:lang w:val="en-US"/>
              </w:rPr>
            </w:pPr>
            <w:r>
              <w:rPr>
                <w:lang w:val="en-US"/>
              </w:rPr>
              <w:t>0</w:t>
            </w:r>
          </w:p>
        </w:tc>
        <w:tc>
          <w:tcPr>
            <w:tcW w:w="1578" w:type="dxa"/>
          </w:tcPr>
          <w:p w:rsidR="00000000" w:rsidRDefault="00000000">
            <w:pPr>
              <w:spacing w:line="264" w:lineRule="auto"/>
              <w:jc w:val="center"/>
              <w:rPr>
                <w:lang w:val="en-US"/>
              </w:rPr>
            </w:pPr>
            <w:r>
              <w:rPr>
                <w:lang w:val="en-US"/>
              </w:rPr>
              <w:t>1,3</w:t>
            </w:r>
          </w:p>
        </w:tc>
      </w:tr>
      <w:tr w:rsidR="00000000">
        <w:tblPrEx>
          <w:tblCellMar>
            <w:top w:w="0" w:type="dxa"/>
            <w:bottom w:w="0" w:type="dxa"/>
          </w:tblCellMar>
        </w:tblPrEx>
        <w:trPr>
          <w:jc w:val="center"/>
        </w:trPr>
        <w:tc>
          <w:tcPr>
            <w:tcW w:w="1292" w:type="dxa"/>
          </w:tcPr>
          <w:p w:rsidR="00000000" w:rsidRDefault="00000000">
            <w:pPr>
              <w:spacing w:line="264" w:lineRule="auto"/>
              <w:rPr>
                <w:lang w:val="en-US"/>
              </w:rPr>
            </w:pPr>
            <w:r>
              <w:rPr>
                <w:lang w:val="en-US"/>
              </w:rPr>
              <w:t>1997</w:t>
            </w:r>
          </w:p>
        </w:tc>
        <w:tc>
          <w:tcPr>
            <w:tcW w:w="1992" w:type="dxa"/>
          </w:tcPr>
          <w:p w:rsidR="00000000" w:rsidRDefault="00000000">
            <w:pPr>
              <w:spacing w:line="264" w:lineRule="auto"/>
              <w:jc w:val="center"/>
              <w:rPr>
                <w:lang w:val="en-US"/>
              </w:rPr>
            </w:pPr>
            <w:r>
              <w:rPr>
                <w:lang w:val="en-US"/>
              </w:rPr>
              <w:t>64,5</w:t>
            </w:r>
          </w:p>
        </w:tc>
        <w:tc>
          <w:tcPr>
            <w:tcW w:w="1815" w:type="dxa"/>
          </w:tcPr>
          <w:p w:rsidR="00000000" w:rsidRDefault="00000000">
            <w:pPr>
              <w:spacing w:line="264" w:lineRule="auto"/>
              <w:jc w:val="center"/>
              <w:rPr>
                <w:lang w:val="en-US"/>
              </w:rPr>
            </w:pPr>
            <w:r>
              <w:rPr>
                <w:lang w:val="en-US"/>
              </w:rPr>
              <w:t>34,4</w:t>
            </w:r>
          </w:p>
        </w:tc>
        <w:tc>
          <w:tcPr>
            <w:tcW w:w="1814" w:type="dxa"/>
          </w:tcPr>
          <w:p w:rsidR="00000000" w:rsidRDefault="00000000">
            <w:pPr>
              <w:spacing w:line="264" w:lineRule="auto"/>
              <w:jc w:val="center"/>
              <w:rPr>
                <w:lang w:val="en-US"/>
              </w:rPr>
            </w:pPr>
            <w:r>
              <w:rPr>
                <w:lang w:val="en-US"/>
              </w:rPr>
              <w:t>0</w:t>
            </w:r>
          </w:p>
        </w:tc>
        <w:tc>
          <w:tcPr>
            <w:tcW w:w="1578" w:type="dxa"/>
          </w:tcPr>
          <w:p w:rsidR="00000000" w:rsidRDefault="00000000">
            <w:pPr>
              <w:spacing w:line="264" w:lineRule="auto"/>
              <w:jc w:val="center"/>
              <w:rPr>
                <w:lang w:val="en-US"/>
              </w:rPr>
            </w:pPr>
            <w:r>
              <w:rPr>
                <w:lang w:val="en-US"/>
              </w:rPr>
              <w:t>1,1</w:t>
            </w:r>
          </w:p>
        </w:tc>
      </w:tr>
      <w:tr w:rsidR="00000000">
        <w:tblPrEx>
          <w:tblCellMar>
            <w:top w:w="0" w:type="dxa"/>
            <w:bottom w:w="0" w:type="dxa"/>
          </w:tblCellMar>
        </w:tblPrEx>
        <w:trPr>
          <w:jc w:val="center"/>
        </w:trPr>
        <w:tc>
          <w:tcPr>
            <w:tcW w:w="1292" w:type="dxa"/>
          </w:tcPr>
          <w:p w:rsidR="00000000" w:rsidRDefault="00000000">
            <w:pPr>
              <w:spacing w:line="264" w:lineRule="auto"/>
              <w:rPr>
                <w:lang w:val="en-US"/>
              </w:rPr>
            </w:pPr>
            <w:r>
              <w:rPr>
                <w:lang w:val="en-US"/>
              </w:rPr>
              <w:t>1998</w:t>
            </w:r>
          </w:p>
        </w:tc>
        <w:tc>
          <w:tcPr>
            <w:tcW w:w="1992" w:type="dxa"/>
          </w:tcPr>
          <w:p w:rsidR="00000000" w:rsidRDefault="00000000">
            <w:pPr>
              <w:spacing w:line="264" w:lineRule="auto"/>
              <w:jc w:val="center"/>
              <w:rPr>
                <w:lang w:val="en-US"/>
              </w:rPr>
            </w:pPr>
            <w:r>
              <w:rPr>
                <w:lang w:val="en-US"/>
              </w:rPr>
              <w:t>54,8</w:t>
            </w:r>
          </w:p>
        </w:tc>
        <w:tc>
          <w:tcPr>
            <w:tcW w:w="1815" w:type="dxa"/>
          </w:tcPr>
          <w:p w:rsidR="00000000" w:rsidRDefault="00000000">
            <w:pPr>
              <w:spacing w:line="264" w:lineRule="auto"/>
              <w:jc w:val="center"/>
              <w:rPr>
                <w:lang w:val="en-US"/>
              </w:rPr>
            </w:pPr>
            <w:r>
              <w:rPr>
                <w:lang w:val="en-US"/>
              </w:rPr>
              <w:t>34,5</w:t>
            </w:r>
          </w:p>
        </w:tc>
        <w:tc>
          <w:tcPr>
            <w:tcW w:w="1814" w:type="dxa"/>
          </w:tcPr>
          <w:p w:rsidR="00000000" w:rsidRDefault="00000000">
            <w:pPr>
              <w:spacing w:line="264" w:lineRule="auto"/>
              <w:jc w:val="center"/>
              <w:rPr>
                <w:lang w:val="en-US"/>
              </w:rPr>
            </w:pPr>
            <w:r>
              <w:rPr>
                <w:lang w:val="en-US"/>
              </w:rPr>
              <w:t>9,8</w:t>
            </w:r>
          </w:p>
        </w:tc>
        <w:tc>
          <w:tcPr>
            <w:tcW w:w="1578" w:type="dxa"/>
          </w:tcPr>
          <w:p w:rsidR="00000000" w:rsidRDefault="00000000">
            <w:pPr>
              <w:spacing w:line="264" w:lineRule="auto"/>
              <w:jc w:val="center"/>
              <w:rPr>
                <w:lang w:val="en-US"/>
              </w:rPr>
            </w:pPr>
            <w:r>
              <w:rPr>
                <w:lang w:val="en-US"/>
              </w:rPr>
              <w:t>0,9</w:t>
            </w:r>
          </w:p>
        </w:tc>
      </w:tr>
    </w:tbl>
    <w:p w:rsidR="00000000" w:rsidRDefault="00000000">
      <w:pPr>
        <w:spacing w:line="264" w:lineRule="auto"/>
        <w:rPr>
          <w:lang w:val="en-US"/>
        </w:rPr>
      </w:pPr>
    </w:p>
    <w:p w:rsidR="00000000" w:rsidRDefault="00000000">
      <w:pPr>
        <w:spacing w:line="264" w:lineRule="auto"/>
        <w:rPr>
          <w:lang w:val="en-US"/>
        </w:rPr>
      </w:pPr>
    </w:p>
    <w:p w:rsidR="00000000" w:rsidRDefault="00000000">
      <w:pPr>
        <w:spacing w:line="264" w:lineRule="auto"/>
      </w:pPr>
      <w:r>
        <w:tab/>
        <w:t xml:space="preserve">Изменения в размере бюджетного финансирования связаны с изменениями в законодательстве;  </w:t>
      </w:r>
      <w:proofErr w:type="spellStart"/>
      <w:r>
        <w:t>см.раздел</w:t>
      </w:r>
      <w:proofErr w:type="spellEnd"/>
      <w:r>
        <w:t xml:space="preserve"> 7.</w:t>
      </w:r>
    </w:p>
    <w:p w:rsidR="00000000" w:rsidRDefault="00000000">
      <w:pPr>
        <w:pStyle w:val="a0"/>
        <w:widowControl/>
        <w:tabs>
          <w:tab w:val="left" w:pos="567"/>
          <w:tab w:val="left" w:pos="1134"/>
          <w:tab w:val="left" w:pos="1701"/>
          <w:tab w:val="left" w:pos="2268"/>
          <w:tab w:val="left" w:pos="6237"/>
        </w:tabs>
        <w:spacing w:line="264" w:lineRule="auto"/>
        <w:rPr>
          <w:rFonts w:ascii="Times New Roman" w:hAnsi="Times New Roman"/>
          <w:snapToGrid/>
        </w:rPr>
      </w:pPr>
    </w:p>
    <w:p w:rsidR="00000000" w:rsidRDefault="00000000">
      <w:pPr>
        <w:spacing w:line="264" w:lineRule="auto"/>
      </w:pPr>
      <w:r>
        <w:t>187.</w:t>
      </w:r>
      <w:r>
        <w:tab/>
      </w:r>
      <w:r>
        <w:rPr>
          <w:u w:val="single"/>
        </w:rPr>
        <w:t>Ежедневное пособие</w:t>
      </w:r>
      <w:r>
        <w:t>.  В 1996 году система выплат ежедневных пособий была пересмотрена.  Минимальное дневное пособие было заменено на пособие, выплачиваемое, при условии проверки нуждаемости, реципиентам не имеющим никакого дохода, или лицам с очень низким доходом (менее 5 170 фин. марок в год в 1998 году).  Проверка доходов при назначении этого пособия осуществляется лишь в том случае, если продолжительность болезни составляет более 60 дней.  Компенсационная шкала для других групп доходности была незначительно скорректирована.  Размер ежедневного пособия исчисляется прогрессивно, исходя из уровня ежегодных доходов реципиента на основе его декларации о доходах за последний год, утвержденной налоговыми органами за вычетом 5%.  Работающие по найму и самостоятельно обеспечивающие себя работой лица в возрасте 16</w:t>
      </w:r>
      <w:r>
        <w:noBreakHyphen/>
        <w:t>64 лет пользуются правом на получение ежедневного пособия по медицинскому страхованию в случае потери трудоспособности в связи с болезнью, подтвержденной врачом.  Выплата пособия начинается по истечении девяти дней.  Пособие выплачивается шесть раз в неделю в течение не более 300 дней за двухлетний период по одному заболеванию.</w:t>
      </w:r>
    </w:p>
    <w:p w:rsidR="00000000" w:rsidRDefault="00000000">
      <w:pPr>
        <w:spacing w:line="264" w:lineRule="auto"/>
        <w:rPr>
          <w:i/>
          <w:lang w:val="en-US"/>
        </w:rPr>
      </w:pPr>
    </w:p>
    <w:p w:rsidR="00000000" w:rsidRDefault="00000000">
      <w:pPr>
        <w:spacing w:line="264" w:lineRule="auto"/>
        <w:jc w:val="center"/>
        <w:rPr>
          <w:u w:val="single"/>
          <w:lang w:val="en-US"/>
        </w:rPr>
      </w:pPr>
      <w:r>
        <w:t>Таблица 5.</w:t>
      </w:r>
      <w:r>
        <w:rPr>
          <w:lang w:val="en-US"/>
        </w:rPr>
        <w:tab/>
      </w:r>
      <w:r>
        <w:rPr>
          <w:lang w:val="en-US"/>
        </w:rPr>
        <w:tab/>
      </w:r>
      <w:r>
        <w:rPr>
          <w:u w:val="single"/>
        </w:rPr>
        <w:t>Пример размера ежедневного пособия в 1998 году</w:t>
      </w:r>
    </w:p>
    <w:p w:rsidR="00000000" w:rsidRDefault="00000000">
      <w:pPr>
        <w:spacing w:line="264" w:lineRule="auto"/>
        <w:rPr>
          <w:lang w:val="en-US"/>
        </w:rPr>
      </w:pPr>
    </w:p>
    <w:tbl>
      <w:tblPr>
        <w:tblW w:w="0" w:type="auto"/>
        <w:tblInd w:w="-10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785"/>
        <w:gridCol w:w="2"/>
        <w:gridCol w:w="4783"/>
      </w:tblGrid>
      <w:tr w:rsidR="00000000">
        <w:tblPrEx>
          <w:tblCellMar>
            <w:top w:w="0" w:type="dxa"/>
            <w:bottom w:w="0" w:type="dxa"/>
          </w:tblCellMar>
        </w:tblPrEx>
        <w:tc>
          <w:tcPr>
            <w:tcW w:w="4785" w:type="dxa"/>
            <w:tcBorders>
              <w:bottom w:val="nil"/>
            </w:tcBorders>
            <w:vAlign w:val="center"/>
          </w:tcPr>
          <w:p w:rsidR="00000000" w:rsidRDefault="00000000">
            <w:pPr>
              <w:pStyle w:val="Heading5"/>
              <w:spacing w:line="264" w:lineRule="auto"/>
              <w:jc w:val="center"/>
              <w:rPr>
                <w:i w:val="0"/>
                <w:u w:val="none"/>
                <w:lang w:val="en-US"/>
              </w:rPr>
            </w:pPr>
            <w:proofErr w:type="spellStart"/>
            <w:r>
              <w:rPr>
                <w:i w:val="0"/>
                <w:u w:val="none"/>
                <w:lang w:val="en-US"/>
              </w:rPr>
              <w:t>Доходная</w:t>
            </w:r>
            <w:proofErr w:type="spellEnd"/>
            <w:r>
              <w:rPr>
                <w:i w:val="0"/>
                <w:u w:val="none"/>
                <w:lang w:val="en-US"/>
              </w:rPr>
              <w:t xml:space="preserve"> </w:t>
            </w:r>
            <w:proofErr w:type="spellStart"/>
            <w:r>
              <w:rPr>
                <w:i w:val="0"/>
                <w:u w:val="none"/>
                <w:lang w:val="en-US"/>
              </w:rPr>
              <w:t>база</w:t>
            </w:r>
            <w:proofErr w:type="spellEnd"/>
            <w:r>
              <w:rPr>
                <w:i w:val="0"/>
                <w:u w:val="none"/>
                <w:lang w:val="en-US"/>
              </w:rPr>
              <w:t xml:space="preserve"> фин. марок/год</w:t>
            </w:r>
          </w:p>
        </w:tc>
        <w:tc>
          <w:tcPr>
            <w:tcW w:w="4785" w:type="dxa"/>
            <w:gridSpan w:val="2"/>
            <w:tcBorders>
              <w:bottom w:val="nil"/>
            </w:tcBorders>
          </w:tcPr>
          <w:p w:rsidR="00000000" w:rsidRDefault="00000000">
            <w:pPr>
              <w:pStyle w:val="FootnoteText"/>
              <w:spacing w:line="264" w:lineRule="auto"/>
              <w:jc w:val="center"/>
              <w:rPr>
                <w:lang w:val="en-US"/>
              </w:rPr>
            </w:pPr>
            <w:r>
              <w:rPr>
                <w:lang w:val="en-US"/>
              </w:rPr>
              <w:t>Размер ежедневного пособия</w:t>
            </w:r>
          </w:p>
          <w:p w:rsidR="00000000" w:rsidRDefault="00000000">
            <w:pPr>
              <w:spacing w:line="264" w:lineRule="auto"/>
              <w:jc w:val="center"/>
              <w:rPr>
                <w:lang w:val="en-US"/>
              </w:rPr>
            </w:pPr>
            <w:r>
              <w:rPr>
                <w:lang w:val="en-US"/>
              </w:rPr>
              <w:t>фин. марок/день</w:t>
            </w:r>
          </w:p>
        </w:tc>
      </w:tr>
      <w:tr w:rsidR="00000000">
        <w:tblPrEx>
          <w:tblCellMar>
            <w:top w:w="0" w:type="dxa"/>
            <w:bottom w:w="0" w:type="dxa"/>
          </w:tblCellMar>
        </w:tblPrEx>
        <w:tc>
          <w:tcPr>
            <w:tcW w:w="4787" w:type="dxa"/>
            <w:gridSpan w:val="2"/>
            <w:tcBorders>
              <w:top w:val="single" w:sz="4" w:space="0" w:color="auto"/>
              <w:bottom w:val="nil"/>
            </w:tcBorders>
          </w:tcPr>
          <w:p w:rsidR="00000000" w:rsidRDefault="00000000">
            <w:pPr>
              <w:pStyle w:val="a0"/>
              <w:widowControl/>
              <w:tabs>
                <w:tab w:val="right" w:pos="2694"/>
                <w:tab w:val="left" w:pos="6237"/>
              </w:tabs>
              <w:spacing w:line="264" w:lineRule="auto"/>
              <w:ind w:right="2019"/>
              <w:jc w:val="right"/>
              <w:rPr>
                <w:rFonts w:ascii="Times New Roman" w:hAnsi="Times New Roman"/>
                <w:snapToGrid/>
                <w:lang w:val="en-US"/>
              </w:rPr>
            </w:pPr>
            <w:r>
              <w:rPr>
                <w:rFonts w:ascii="Times New Roman" w:hAnsi="Times New Roman"/>
                <w:snapToGrid/>
                <w:lang w:val="en-US"/>
              </w:rPr>
              <w:t>5 170</w:t>
            </w:r>
          </w:p>
        </w:tc>
        <w:tc>
          <w:tcPr>
            <w:tcW w:w="4783" w:type="dxa"/>
            <w:tcBorders>
              <w:top w:val="single" w:sz="4" w:space="0" w:color="auto"/>
              <w:bottom w:val="nil"/>
            </w:tcBorders>
          </w:tcPr>
          <w:p w:rsidR="00000000" w:rsidRDefault="00000000">
            <w:pPr>
              <w:pStyle w:val="a0"/>
              <w:widowControl/>
              <w:tabs>
                <w:tab w:val="decimal" w:pos="2301"/>
              </w:tabs>
              <w:spacing w:line="264" w:lineRule="auto"/>
              <w:rPr>
                <w:rFonts w:ascii="Times New Roman" w:hAnsi="Times New Roman"/>
                <w:snapToGrid/>
                <w:lang w:val="en-US"/>
              </w:rPr>
            </w:pPr>
            <w:r>
              <w:rPr>
                <w:rFonts w:ascii="Times New Roman" w:hAnsi="Times New Roman"/>
                <w:snapToGrid/>
                <w:lang w:val="en-US"/>
              </w:rPr>
              <w:t>000</w:t>
            </w:r>
          </w:p>
        </w:tc>
      </w:tr>
      <w:tr w:rsidR="00000000">
        <w:tblPrEx>
          <w:tblCellMar>
            <w:top w:w="0" w:type="dxa"/>
            <w:bottom w:w="0" w:type="dxa"/>
          </w:tblCellMar>
        </w:tblPrEx>
        <w:tc>
          <w:tcPr>
            <w:tcW w:w="4787" w:type="dxa"/>
            <w:gridSpan w:val="2"/>
            <w:tcBorders>
              <w:top w:val="nil"/>
              <w:bottom w:val="nil"/>
            </w:tcBorders>
          </w:tcPr>
          <w:p w:rsidR="00000000" w:rsidRDefault="00000000">
            <w:pPr>
              <w:tabs>
                <w:tab w:val="clear" w:pos="567"/>
                <w:tab w:val="clear" w:pos="1134"/>
                <w:tab w:val="clear" w:pos="2268"/>
                <w:tab w:val="right" w:pos="1701"/>
                <w:tab w:val="right" w:pos="2694"/>
              </w:tabs>
              <w:spacing w:line="264" w:lineRule="auto"/>
              <w:ind w:right="2019"/>
              <w:jc w:val="right"/>
              <w:rPr>
                <w:lang w:val="en-US"/>
              </w:rPr>
            </w:pPr>
            <w:r>
              <w:rPr>
                <w:lang w:val="en-US"/>
              </w:rPr>
              <w:t>9 500</w:t>
            </w:r>
          </w:p>
        </w:tc>
        <w:tc>
          <w:tcPr>
            <w:tcW w:w="4783" w:type="dxa"/>
            <w:tcBorders>
              <w:top w:val="nil"/>
              <w:bottom w:val="nil"/>
            </w:tcBorders>
          </w:tcPr>
          <w:p w:rsidR="00000000" w:rsidRDefault="00000000">
            <w:pPr>
              <w:pStyle w:val="a0"/>
              <w:widowControl/>
              <w:tabs>
                <w:tab w:val="decimal" w:pos="2301"/>
              </w:tabs>
              <w:spacing w:line="264" w:lineRule="auto"/>
              <w:rPr>
                <w:rFonts w:ascii="Times New Roman" w:hAnsi="Times New Roman"/>
                <w:snapToGrid/>
                <w:lang w:val="en-US"/>
              </w:rPr>
            </w:pPr>
            <w:r>
              <w:rPr>
                <w:rFonts w:ascii="Times New Roman" w:hAnsi="Times New Roman"/>
                <w:snapToGrid/>
                <w:lang w:val="en-US"/>
              </w:rPr>
              <w:t>22,15</w:t>
            </w:r>
          </w:p>
        </w:tc>
      </w:tr>
      <w:tr w:rsidR="00000000">
        <w:tblPrEx>
          <w:tblCellMar>
            <w:top w:w="0" w:type="dxa"/>
            <w:bottom w:w="0" w:type="dxa"/>
          </w:tblCellMar>
        </w:tblPrEx>
        <w:tc>
          <w:tcPr>
            <w:tcW w:w="4787" w:type="dxa"/>
            <w:gridSpan w:val="2"/>
            <w:tcBorders>
              <w:top w:val="nil"/>
              <w:bottom w:val="nil"/>
            </w:tcBorders>
          </w:tcPr>
          <w:p w:rsidR="00000000" w:rsidRDefault="00000000">
            <w:pPr>
              <w:tabs>
                <w:tab w:val="clear" w:pos="567"/>
                <w:tab w:val="clear" w:pos="1134"/>
                <w:tab w:val="clear" w:pos="2268"/>
                <w:tab w:val="right" w:pos="1701"/>
                <w:tab w:val="right" w:pos="2694"/>
              </w:tabs>
              <w:spacing w:line="264" w:lineRule="auto"/>
              <w:ind w:right="2019"/>
              <w:jc w:val="right"/>
              <w:rPr>
                <w:lang w:val="en-US"/>
              </w:rPr>
            </w:pPr>
            <w:r>
              <w:rPr>
                <w:lang w:val="en-US"/>
              </w:rPr>
              <w:t>25 710</w:t>
            </w:r>
          </w:p>
        </w:tc>
        <w:tc>
          <w:tcPr>
            <w:tcW w:w="4783" w:type="dxa"/>
            <w:tcBorders>
              <w:top w:val="nil"/>
              <w:bottom w:val="nil"/>
            </w:tcBorders>
          </w:tcPr>
          <w:p w:rsidR="00000000" w:rsidRDefault="00000000">
            <w:pPr>
              <w:tabs>
                <w:tab w:val="clear" w:pos="567"/>
                <w:tab w:val="clear" w:pos="1134"/>
                <w:tab w:val="clear" w:pos="1701"/>
                <w:tab w:val="clear" w:pos="2268"/>
                <w:tab w:val="clear" w:pos="6237"/>
                <w:tab w:val="decimal" w:pos="2301"/>
              </w:tabs>
              <w:spacing w:line="264" w:lineRule="auto"/>
              <w:ind w:left="1592" w:hanging="1592"/>
              <w:rPr>
                <w:lang w:val="en-US"/>
              </w:rPr>
            </w:pPr>
            <w:r>
              <w:rPr>
                <w:lang w:val="en-US"/>
              </w:rPr>
              <w:t>60,00</w:t>
            </w:r>
          </w:p>
        </w:tc>
      </w:tr>
      <w:tr w:rsidR="00000000">
        <w:tblPrEx>
          <w:tblCellMar>
            <w:top w:w="0" w:type="dxa"/>
            <w:bottom w:w="0" w:type="dxa"/>
          </w:tblCellMar>
        </w:tblPrEx>
        <w:tc>
          <w:tcPr>
            <w:tcW w:w="4787" w:type="dxa"/>
            <w:gridSpan w:val="2"/>
            <w:tcBorders>
              <w:top w:val="nil"/>
              <w:bottom w:val="nil"/>
            </w:tcBorders>
          </w:tcPr>
          <w:p w:rsidR="00000000" w:rsidRDefault="00000000">
            <w:pPr>
              <w:tabs>
                <w:tab w:val="clear" w:pos="567"/>
                <w:tab w:val="clear" w:pos="1134"/>
                <w:tab w:val="clear" w:pos="2268"/>
                <w:tab w:val="right" w:pos="1701"/>
                <w:tab w:val="right" w:pos="2694"/>
              </w:tabs>
              <w:spacing w:line="264" w:lineRule="auto"/>
              <w:ind w:right="2019"/>
              <w:jc w:val="right"/>
              <w:rPr>
                <w:lang w:val="en-US"/>
              </w:rPr>
            </w:pPr>
            <w:r>
              <w:rPr>
                <w:lang w:val="en-US"/>
              </w:rPr>
              <w:t>104 500</w:t>
            </w:r>
          </w:p>
        </w:tc>
        <w:tc>
          <w:tcPr>
            <w:tcW w:w="4783" w:type="dxa"/>
            <w:tcBorders>
              <w:top w:val="nil"/>
              <w:bottom w:val="nil"/>
            </w:tcBorders>
          </w:tcPr>
          <w:p w:rsidR="00000000" w:rsidRDefault="00000000">
            <w:pPr>
              <w:tabs>
                <w:tab w:val="clear" w:pos="567"/>
                <w:tab w:val="clear" w:pos="1134"/>
                <w:tab w:val="clear" w:pos="1701"/>
                <w:tab w:val="clear" w:pos="2268"/>
                <w:tab w:val="clear" w:pos="6237"/>
                <w:tab w:val="decimal" w:pos="2301"/>
              </w:tabs>
              <w:spacing w:line="264" w:lineRule="auto"/>
              <w:rPr>
                <w:lang w:val="en-US"/>
              </w:rPr>
            </w:pPr>
            <w:r>
              <w:rPr>
                <w:lang w:val="en-US"/>
              </w:rPr>
              <w:t>243,85</w:t>
            </w:r>
          </w:p>
        </w:tc>
      </w:tr>
      <w:tr w:rsidR="00000000">
        <w:tblPrEx>
          <w:tblCellMar>
            <w:top w:w="0" w:type="dxa"/>
            <w:bottom w:w="0" w:type="dxa"/>
          </w:tblCellMar>
        </w:tblPrEx>
        <w:tc>
          <w:tcPr>
            <w:tcW w:w="4787" w:type="dxa"/>
            <w:gridSpan w:val="2"/>
            <w:tcBorders>
              <w:top w:val="nil"/>
              <w:bottom w:val="nil"/>
            </w:tcBorders>
          </w:tcPr>
          <w:p w:rsidR="00000000" w:rsidRDefault="00000000">
            <w:pPr>
              <w:tabs>
                <w:tab w:val="clear" w:pos="567"/>
                <w:tab w:val="clear" w:pos="1134"/>
                <w:tab w:val="clear" w:pos="2268"/>
                <w:tab w:val="right" w:pos="1701"/>
                <w:tab w:val="right" w:pos="2694"/>
              </w:tabs>
              <w:spacing w:line="264" w:lineRule="auto"/>
              <w:ind w:right="2019"/>
              <w:jc w:val="right"/>
              <w:rPr>
                <w:lang w:val="en-US"/>
              </w:rPr>
            </w:pPr>
            <w:r>
              <w:rPr>
                <w:lang w:val="en-US"/>
              </w:rPr>
              <w:t>134 810</w:t>
            </w:r>
          </w:p>
        </w:tc>
        <w:tc>
          <w:tcPr>
            <w:tcW w:w="4783" w:type="dxa"/>
            <w:tcBorders>
              <w:top w:val="nil"/>
              <w:bottom w:val="nil"/>
            </w:tcBorders>
          </w:tcPr>
          <w:p w:rsidR="00000000" w:rsidRDefault="00000000">
            <w:pPr>
              <w:tabs>
                <w:tab w:val="clear" w:pos="567"/>
                <w:tab w:val="clear" w:pos="1134"/>
                <w:tab w:val="clear" w:pos="1701"/>
                <w:tab w:val="clear" w:pos="2268"/>
                <w:tab w:val="clear" w:pos="6237"/>
                <w:tab w:val="decimal" w:pos="2301"/>
              </w:tabs>
              <w:spacing w:line="264" w:lineRule="auto"/>
              <w:rPr>
                <w:lang w:val="en-US"/>
              </w:rPr>
            </w:pPr>
            <w:r>
              <w:rPr>
                <w:lang w:val="en-US"/>
              </w:rPr>
              <w:t>314,53</w:t>
            </w:r>
          </w:p>
        </w:tc>
      </w:tr>
      <w:tr w:rsidR="00000000">
        <w:tblPrEx>
          <w:tblCellMar>
            <w:top w:w="0" w:type="dxa"/>
            <w:bottom w:w="0" w:type="dxa"/>
          </w:tblCellMar>
        </w:tblPrEx>
        <w:tc>
          <w:tcPr>
            <w:tcW w:w="4787" w:type="dxa"/>
            <w:gridSpan w:val="2"/>
            <w:tcBorders>
              <w:top w:val="nil"/>
              <w:bottom w:val="nil"/>
            </w:tcBorders>
          </w:tcPr>
          <w:p w:rsidR="00000000" w:rsidRDefault="00000000">
            <w:pPr>
              <w:tabs>
                <w:tab w:val="clear" w:pos="567"/>
                <w:tab w:val="clear" w:pos="1134"/>
                <w:tab w:val="clear" w:pos="2268"/>
                <w:tab w:val="right" w:pos="1701"/>
                <w:tab w:val="right" w:pos="2694"/>
              </w:tabs>
              <w:spacing w:line="264" w:lineRule="auto"/>
              <w:ind w:right="2019"/>
              <w:jc w:val="right"/>
              <w:rPr>
                <w:lang w:val="en-US"/>
              </w:rPr>
            </w:pPr>
            <w:r>
              <w:rPr>
                <w:lang w:val="en-US"/>
              </w:rPr>
              <w:t>190 000</w:t>
            </w:r>
          </w:p>
        </w:tc>
        <w:tc>
          <w:tcPr>
            <w:tcW w:w="4783" w:type="dxa"/>
            <w:tcBorders>
              <w:top w:val="nil"/>
              <w:bottom w:val="nil"/>
            </w:tcBorders>
          </w:tcPr>
          <w:p w:rsidR="00000000" w:rsidRDefault="00000000">
            <w:pPr>
              <w:tabs>
                <w:tab w:val="clear" w:pos="567"/>
                <w:tab w:val="clear" w:pos="1134"/>
                <w:tab w:val="clear" w:pos="1701"/>
                <w:tab w:val="clear" w:pos="2268"/>
                <w:tab w:val="clear" w:pos="6237"/>
                <w:tab w:val="decimal" w:pos="2301"/>
              </w:tabs>
              <w:spacing w:line="264" w:lineRule="auto"/>
              <w:rPr>
                <w:lang w:val="en-US"/>
              </w:rPr>
            </w:pPr>
            <w:r>
              <w:rPr>
                <w:lang w:val="en-US"/>
              </w:rPr>
              <w:t>388,15</w:t>
            </w:r>
          </w:p>
        </w:tc>
      </w:tr>
      <w:tr w:rsidR="00000000">
        <w:tblPrEx>
          <w:tblCellMar>
            <w:top w:w="0" w:type="dxa"/>
            <w:bottom w:w="0" w:type="dxa"/>
          </w:tblCellMar>
        </w:tblPrEx>
        <w:tc>
          <w:tcPr>
            <w:tcW w:w="4787" w:type="dxa"/>
            <w:gridSpan w:val="2"/>
            <w:tcBorders>
              <w:top w:val="nil"/>
              <w:bottom w:val="nil"/>
            </w:tcBorders>
          </w:tcPr>
          <w:p w:rsidR="00000000" w:rsidRDefault="00000000">
            <w:pPr>
              <w:tabs>
                <w:tab w:val="clear" w:pos="567"/>
                <w:tab w:val="clear" w:pos="1134"/>
                <w:tab w:val="clear" w:pos="2268"/>
                <w:tab w:val="right" w:pos="1701"/>
                <w:tab w:val="right" w:pos="2694"/>
              </w:tabs>
              <w:spacing w:line="264" w:lineRule="auto"/>
              <w:ind w:right="2019"/>
              <w:jc w:val="right"/>
              <w:rPr>
                <w:lang w:val="en-US"/>
              </w:rPr>
            </w:pPr>
            <w:r>
              <w:rPr>
                <w:lang w:val="en-US"/>
              </w:rPr>
              <w:t>207 380</w:t>
            </w:r>
          </w:p>
        </w:tc>
        <w:tc>
          <w:tcPr>
            <w:tcW w:w="4783" w:type="dxa"/>
            <w:tcBorders>
              <w:top w:val="nil"/>
              <w:bottom w:val="nil"/>
            </w:tcBorders>
          </w:tcPr>
          <w:p w:rsidR="00000000" w:rsidRDefault="00000000">
            <w:pPr>
              <w:tabs>
                <w:tab w:val="clear" w:pos="567"/>
                <w:tab w:val="clear" w:pos="1134"/>
                <w:tab w:val="clear" w:pos="1701"/>
                <w:tab w:val="clear" w:pos="2268"/>
                <w:tab w:val="clear" w:pos="6237"/>
                <w:tab w:val="decimal" w:pos="2301"/>
              </w:tabs>
              <w:spacing w:line="264" w:lineRule="auto"/>
              <w:rPr>
                <w:lang w:val="en-US"/>
              </w:rPr>
            </w:pPr>
            <w:r>
              <w:rPr>
                <w:lang w:val="en-US"/>
              </w:rPr>
              <w:t>411,31</w:t>
            </w:r>
          </w:p>
        </w:tc>
      </w:tr>
      <w:tr w:rsidR="00000000">
        <w:tblPrEx>
          <w:tblCellMar>
            <w:top w:w="0" w:type="dxa"/>
            <w:bottom w:w="0" w:type="dxa"/>
          </w:tblCellMar>
        </w:tblPrEx>
        <w:tc>
          <w:tcPr>
            <w:tcW w:w="4787" w:type="dxa"/>
            <w:gridSpan w:val="2"/>
            <w:tcBorders>
              <w:top w:val="nil"/>
              <w:bottom w:val="single" w:sz="4" w:space="0" w:color="auto"/>
            </w:tcBorders>
          </w:tcPr>
          <w:p w:rsidR="00000000" w:rsidRDefault="00000000">
            <w:pPr>
              <w:tabs>
                <w:tab w:val="clear" w:pos="567"/>
                <w:tab w:val="clear" w:pos="1134"/>
                <w:tab w:val="clear" w:pos="2268"/>
                <w:tab w:val="right" w:pos="1701"/>
                <w:tab w:val="right" w:pos="2694"/>
              </w:tabs>
              <w:spacing w:line="264" w:lineRule="auto"/>
              <w:ind w:right="2019"/>
              <w:jc w:val="right"/>
              <w:rPr>
                <w:lang w:val="en-US"/>
              </w:rPr>
            </w:pPr>
            <w:r>
              <w:rPr>
                <w:lang w:val="en-US"/>
              </w:rPr>
              <w:t>247 000</w:t>
            </w:r>
          </w:p>
        </w:tc>
        <w:tc>
          <w:tcPr>
            <w:tcW w:w="4783" w:type="dxa"/>
            <w:tcBorders>
              <w:top w:val="nil"/>
              <w:bottom w:val="single" w:sz="4" w:space="0" w:color="auto"/>
            </w:tcBorders>
          </w:tcPr>
          <w:p w:rsidR="00000000" w:rsidRDefault="00000000">
            <w:pPr>
              <w:pStyle w:val="a0"/>
              <w:widowControl/>
              <w:tabs>
                <w:tab w:val="decimal" w:pos="2301"/>
              </w:tabs>
              <w:spacing w:line="264" w:lineRule="auto"/>
              <w:rPr>
                <w:rFonts w:ascii="Times New Roman" w:hAnsi="Times New Roman"/>
                <w:snapToGrid/>
                <w:lang w:val="en-US"/>
              </w:rPr>
            </w:pPr>
            <w:r>
              <w:rPr>
                <w:rFonts w:ascii="Times New Roman" w:hAnsi="Times New Roman"/>
                <w:snapToGrid/>
                <w:lang w:val="en-US"/>
              </w:rPr>
              <w:t>444,30</w:t>
            </w:r>
          </w:p>
        </w:tc>
      </w:tr>
    </w:tbl>
    <w:p w:rsidR="00000000" w:rsidRDefault="00000000">
      <w:pPr>
        <w:spacing w:line="264" w:lineRule="auto"/>
        <w:rPr>
          <w:lang w:val="en-US"/>
        </w:rPr>
      </w:pPr>
    </w:p>
    <w:p w:rsidR="00000000" w:rsidRDefault="00000000">
      <w:pPr>
        <w:rPr>
          <w:lang w:val="en-US"/>
        </w:rPr>
      </w:pPr>
    </w:p>
    <w:p w:rsidR="00000000" w:rsidRDefault="00000000">
      <w:r>
        <w:rPr>
          <w:lang w:val="en-US"/>
        </w:rPr>
        <w:tab/>
      </w:r>
      <w:r>
        <w:t>Ежедневное пособие является налогооблагаемым доходом.  Возмещение расходов на медицинское обслуживание налогообложению не подлежит.</w:t>
      </w:r>
    </w:p>
    <w:p w:rsidR="00000000" w:rsidRDefault="00000000"/>
    <w:p w:rsidR="00000000" w:rsidRDefault="00000000">
      <w:r>
        <w:t>188.</w:t>
      </w:r>
      <w:r>
        <w:tab/>
      </w:r>
      <w:r>
        <w:rPr>
          <w:u w:val="single"/>
        </w:rPr>
        <w:t>Врачебные гонорары</w:t>
      </w:r>
      <w:r>
        <w:t xml:space="preserve">.  Система медицинского страхования возмещает 60% стоимости услуг согласно соответствующим тарифам, установленным </w:t>
      </w:r>
      <w:r>
        <w:rPr>
          <w:lang w:val="en-US"/>
        </w:rPr>
        <w:t xml:space="preserve">KELA </w:t>
      </w:r>
      <w:r>
        <w:t>(Институт социального страхования).</w:t>
      </w:r>
    </w:p>
    <w:p w:rsidR="00000000" w:rsidRDefault="00000000">
      <w:pPr>
        <w:rPr>
          <w:i/>
          <w:lang w:val="en-US"/>
        </w:rPr>
      </w:pPr>
    </w:p>
    <w:p w:rsidR="00000000" w:rsidRDefault="00000000">
      <w:pPr>
        <w:tabs>
          <w:tab w:val="left" w:pos="2835"/>
        </w:tabs>
        <w:rPr>
          <w:u w:val="single"/>
          <w:lang w:val="en-US"/>
        </w:rPr>
      </w:pPr>
      <w:r>
        <w:rPr>
          <w:lang w:val="en-US"/>
        </w:rPr>
        <w:tab/>
      </w:r>
      <w:r>
        <w:rPr>
          <w:lang w:val="en-US"/>
        </w:rPr>
        <w:tab/>
      </w:r>
      <w:r>
        <w:t>Таблица 6</w:t>
      </w:r>
      <w:r>
        <w:rPr>
          <w:i/>
        </w:rPr>
        <w:t>.</w:t>
      </w:r>
      <w:r>
        <w:rPr>
          <w:i/>
          <w:lang w:val="en-US"/>
        </w:rPr>
        <w:tab/>
      </w:r>
      <w:r>
        <w:rPr>
          <w:i/>
          <w:lang w:val="en-US"/>
        </w:rPr>
        <w:tab/>
      </w:r>
      <w:r>
        <w:rPr>
          <w:u w:val="single"/>
        </w:rPr>
        <w:t>Средние ставки возмещения, 1994</w:t>
      </w:r>
      <w:r>
        <w:rPr>
          <w:u w:val="single"/>
        </w:rPr>
        <w:noBreakHyphen/>
        <w:t>1998 годы</w:t>
      </w:r>
    </w:p>
    <w:p w:rsidR="00000000" w:rsidRDefault="00000000">
      <w:pPr>
        <w:tabs>
          <w:tab w:val="left" w:pos="2835"/>
        </w:tabs>
        <w:rPr>
          <w:i/>
        </w:rPr>
      </w:pPr>
      <w:r>
        <w:rPr>
          <w:lang w:val="en-US"/>
        </w:rPr>
        <w:tab/>
      </w:r>
      <w:r>
        <w:rPr>
          <w:lang w:val="en-US"/>
        </w:rPr>
        <w:tab/>
      </w:r>
      <w:r>
        <w:rPr>
          <w:lang w:val="en-US"/>
        </w:rPr>
        <w:tab/>
      </w:r>
      <w:r>
        <w:rPr>
          <w:lang w:val="en-US"/>
        </w:rPr>
        <w:tab/>
      </w:r>
      <w:r>
        <w:rPr>
          <w:lang w:val="en-US"/>
        </w:rPr>
        <w:tab/>
      </w:r>
      <w:r>
        <w:rPr>
          <w:u w:val="single"/>
        </w:rPr>
        <w:t>(% от фактической</w:t>
      </w:r>
      <w:r>
        <w:rPr>
          <w:u w:val="single"/>
          <w:lang w:val="en-US"/>
        </w:rPr>
        <w:t xml:space="preserve"> </w:t>
      </w:r>
      <w:r>
        <w:rPr>
          <w:u w:val="single"/>
        </w:rPr>
        <w:t>стоимости</w:t>
      </w:r>
      <w:r>
        <w:t>)</w:t>
      </w:r>
    </w:p>
    <w:p w:rsidR="00000000" w:rsidRDefault="00000000">
      <w:pPr>
        <w:rPr>
          <w:lang w:val="en-US"/>
        </w:rPr>
      </w:pPr>
    </w:p>
    <w:p w:rsidR="00000000" w:rsidRDefault="00000000">
      <w:pPr>
        <w:pBdr>
          <w:top w:val="single" w:sz="4" w:space="1" w:color="auto"/>
          <w:left w:val="single" w:sz="4" w:space="0" w:color="auto"/>
          <w:bottom w:val="single" w:sz="4" w:space="1" w:color="auto"/>
          <w:right w:val="single" w:sz="4" w:space="4" w:color="auto"/>
          <w:between w:val="single" w:sz="4" w:space="1" w:color="auto"/>
        </w:pBdr>
        <w:tabs>
          <w:tab w:val="left" w:pos="2835"/>
          <w:tab w:val="left" w:pos="3402"/>
          <w:tab w:val="left" w:pos="3969"/>
          <w:tab w:val="left" w:pos="4536"/>
          <w:tab w:val="left" w:pos="5103"/>
        </w:tabs>
        <w:ind w:left="851" w:right="284"/>
      </w:pPr>
      <w:r>
        <w:rPr>
          <w:lang w:val="en-US"/>
        </w:rPr>
        <w:tab/>
      </w:r>
      <w:r>
        <w:rPr>
          <w:lang w:val="en-US"/>
        </w:rPr>
        <w:tab/>
      </w:r>
      <w:r>
        <w:t>Год</w:t>
      </w:r>
      <w:r>
        <w:tab/>
      </w:r>
      <w:r>
        <w:tab/>
        <w:t>1994</w:t>
      </w:r>
      <w:r>
        <w:tab/>
      </w:r>
      <w:r>
        <w:tab/>
        <w:t>1995</w:t>
      </w:r>
      <w:r>
        <w:tab/>
      </w:r>
      <w:r>
        <w:tab/>
        <w:t>1996</w:t>
      </w:r>
      <w:r>
        <w:tab/>
      </w:r>
      <w:r>
        <w:rPr>
          <w:lang w:val="en-US"/>
        </w:rPr>
        <w:tab/>
      </w:r>
      <w:r>
        <w:t>1997</w:t>
      </w:r>
      <w:r>
        <w:tab/>
      </w:r>
      <w:r>
        <w:tab/>
        <w:t>1998</w:t>
      </w:r>
    </w:p>
    <w:p w:rsidR="00000000" w:rsidRDefault="00000000">
      <w:pPr>
        <w:pBdr>
          <w:top w:val="single" w:sz="4" w:space="1" w:color="auto"/>
          <w:left w:val="single" w:sz="4" w:space="0" w:color="auto"/>
          <w:bottom w:val="single" w:sz="4" w:space="1" w:color="auto"/>
          <w:right w:val="single" w:sz="4" w:space="4" w:color="auto"/>
          <w:between w:val="single" w:sz="4" w:space="1" w:color="auto"/>
        </w:pBdr>
        <w:tabs>
          <w:tab w:val="clear" w:pos="1134"/>
          <w:tab w:val="left" w:pos="2835"/>
          <w:tab w:val="left" w:pos="3402"/>
          <w:tab w:val="left" w:pos="3969"/>
          <w:tab w:val="left" w:pos="4536"/>
          <w:tab w:val="left" w:pos="5103"/>
        </w:tabs>
        <w:ind w:left="1134" w:right="284" w:hanging="283"/>
      </w:pPr>
      <w:r>
        <w:rPr>
          <w:lang w:val="en-US"/>
        </w:rPr>
        <w:tab/>
      </w:r>
      <w:r>
        <w:tab/>
        <w:t xml:space="preserve">  %</w:t>
      </w:r>
      <w:r>
        <w:tab/>
      </w:r>
      <w:r>
        <w:tab/>
        <w:t>36,1</w:t>
      </w:r>
      <w:r>
        <w:tab/>
      </w:r>
      <w:r>
        <w:tab/>
        <w:t>38,0</w:t>
      </w:r>
      <w:r>
        <w:tab/>
      </w:r>
      <w:r>
        <w:tab/>
        <w:t>40,1</w:t>
      </w:r>
      <w:r>
        <w:tab/>
      </w:r>
      <w:r>
        <w:tab/>
        <w:t>39,1</w:t>
      </w:r>
      <w:r>
        <w:tab/>
      </w:r>
      <w:r>
        <w:tab/>
        <w:t>38,2</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pPr>
        <w:rPr>
          <w:lang w:val="en-US"/>
        </w:rPr>
      </w:pPr>
      <w:r>
        <w:t>189.</w:t>
      </w:r>
      <w:r>
        <w:tab/>
      </w:r>
      <w:r>
        <w:rPr>
          <w:u w:val="single"/>
        </w:rPr>
        <w:t>Медицинские обследования и лечение.</w:t>
      </w:r>
      <w:r>
        <w:t xml:space="preserve">  Если стоимость медицинского обследования и лечения по назначению частного врача превышает 70 </w:t>
      </w:r>
      <w:proofErr w:type="spellStart"/>
      <w:r>
        <w:t>фин</w:t>
      </w:r>
      <w:proofErr w:type="spellEnd"/>
      <w:r>
        <w:t xml:space="preserve">. марок, то 75% расходов подлежит компенсации в соответствии с фиксированной шкалой, утвержденной </w:t>
      </w:r>
      <w:r>
        <w:rPr>
          <w:lang w:val="en-US"/>
        </w:rPr>
        <w:t>KELA.</w:t>
      </w:r>
    </w:p>
    <w:p w:rsidR="00000000" w:rsidRDefault="00000000">
      <w:pPr>
        <w:rPr>
          <w:i/>
        </w:rPr>
      </w:pPr>
    </w:p>
    <w:p w:rsidR="00000000" w:rsidRDefault="00000000">
      <w:pPr>
        <w:tabs>
          <w:tab w:val="left" w:pos="2835"/>
        </w:tabs>
        <w:rPr>
          <w:u w:val="single"/>
          <w:lang w:val="en-US"/>
        </w:rPr>
      </w:pPr>
      <w:r>
        <w:rPr>
          <w:lang w:val="en-US"/>
        </w:rPr>
        <w:tab/>
      </w:r>
      <w:r>
        <w:tab/>
        <w:t>Таблица 7</w:t>
      </w:r>
      <w:r>
        <w:rPr>
          <w:i/>
        </w:rPr>
        <w:t>.</w:t>
      </w:r>
      <w:r>
        <w:rPr>
          <w:i/>
          <w:lang w:val="en-US"/>
        </w:rPr>
        <w:tab/>
      </w:r>
      <w:r>
        <w:rPr>
          <w:i/>
        </w:rPr>
        <w:tab/>
      </w:r>
      <w:r>
        <w:rPr>
          <w:u w:val="single"/>
        </w:rPr>
        <w:t>Средние ставки возмещения, 1994</w:t>
      </w:r>
      <w:r>
        <w:rPr>
          <w:u w:val="single"/>
        </w:rPr>
        <w:noBreakHyphen/>
        <w:t>1998 годы</w:t>
      </w:r>
    </w:p>
    <w:p w:rsidR="00000000" w:rsidRDefault="00000000">
      <w:pPr>
        <w:tabs>
          <w:tab w:val="left" w:pos="2835"/>
        </w:tabs>
        <w:rPr>
          <w:lang w:val="en-US"/>
        </w:rPr>
      </w:pPr>
      <w:r>
        <w:rPr>
          <w:lang w:val="en-US"/>
        </w:rPr>
        <w:tab/>
      </w:r>
      <w:r>
        <w:rPr>
          <w:lang w:val="en-US"/>
        </w:rPr>
        <w:tab/>
      </w:r>
      <w:r>
        <w:rPr>
          <w:lang w:val="en-US"/>
        </w:rPr>
        <w:tab/>
      </w:r>
      <w:r>
        <w:rPr>
          <w:lang w:val="en-US"/>
        </w:rPr>
        <w:tab/>
      </w:r>
      <w:r>
        <w:rPr>
          <w:lang w:val="en-US"/>
        </w:rPr>
        <w:tab/>
      </w:r>
      <w:r>
        <w:rPr>
          <w:u w:val="single"/>
        </w:rPr>
        <w:t>(% от фактической</w:t>
      </w:r>
      <w:r>
        <w:rPr>
          <w:u w:val="single"/>
          <w:lang w:val="en-US"/>
        </w:rPr>
        <w:t xml:space="preserve"> </w:t>
      </w:r>
      <w:r>
        <w:rPr>
          <w:u w:val="single"/>
        </w:rPr>
        <w:t>стоимости</w:t>
      </w:r>
      <w:r>
        <w:t>)</w:t>
      </w:r>
    </w:p>
    <w:p w:rsidR="00000000" w:rsidRDefault="00000000">
      <w:pPr>
        <w:pStyle w:val="FootnoteText"/>
        <w:spacing w:line="288" w:lineRule="auto"/>
        <w:rPr>
          <w:lang w:val="en-US"/>
        </w:rPr>
      </w:pPr>
    </w:p>
    <w:p w:rsidR="00000000" w:rsidRDefault="00000000">
      <w:pPr>
        <w:pBdr>
          <w:top w:val="single" w:sz="4" w:space="1" w:color="auto"/>
          <w:left w:val="single" w:sz="4" w:space="3" w:color="auto"/>
          <w:bottom w:val="single" w:sz="4" w:space="1" w:color="auto"/>
          <w:right w:val="single" w:sz="4" w:space="4" w:color="auto"/>
          <w:between w:val="single" w:sz="4" w:space="1" w:color="auto"/>
        </w:pBdr>
        <w:tabs>
          <w:tab w:val="left" w:pos="2835"/>
          <w:tab w:val="left" w:pos="3402"/>
          <w:tab w:val="left" w:pos="3969"/>
          <w:tab w:val="left" w:pos="4536"/>
          <w:tab w:val="left" w:pos="5103"/>
        </w:tabs>
        <w:ind w:left="567" w:right="284"/>
      </w:pPr>
      <w:r>
        <w:rPr>
          <w:lang w:val="en-US"/>
        </w:rPr>
        <w:tab/>
      </w:r>
      <w:r>
        <w:rPr>
          <w:lang w:val="en-US"/>
        </w:rPr>
        <w:tab/>
      </w:r>
      <w:r>
        <w:t>Год</w:t>
      </w:r>
      <w:r>
        <w:tab/>
      </w:r>
      <w:r>
        <w:tab/>
        <w:t>1994</w:t>
      </w:r>
      <w:r>
        <w:tab/>
      </w:r>
      <w:r>
        <w:tab/>
        <w:t>1995</w:t>
      </w:r>
      <w:r>
        <w:tab/>
      </w:r>
      <w:r>
        <w:tab/>
        <w:t>1996</w:t>
      </w:r>
      <w:r>
        <w:tab/>
      </w:r>
      <w:r>
        <w:tab/>
        <w:t>1997</w:t>
      </w:r>
      <w:r>
        <w:tab/>
      </w:r>
      <w:r>
        <w:tab/>
        <w:t>1998</w:t>
      </w:r>
    </w:p>
    <w:p w:rsidR="00000000" w:rsidRDefault="00000000">
      <w:pPr>
        <w:pBdr>
          <w:top w:val="single" w:sz="4" w:space="1" w:color="auto"/>
          <w:left w:val="single" w:sz="4" w:space="4" w:color="auto"/>
          <w:bottom w:val="single" w:sz="4" w:space="1" w:color="auto"/>
          <w:right w:val="single" w:sz="4" w:space="4" w:color="auto"/>
          <w:between w:val="single" w:sz="4" w:space="1" w:color="auto"/>
        </w:pBdr>
        <w:tabs>
          <w:tab w:val="clear" w:pos="567"/>
          <w:tab w:val="left" w:pos="1134"/>
          <w:tab w:val="left" w:pos="2835"/>
          <w:tab w:val="left" w:pos="3402"/>
          <w:tab w:val="left" w:pos="3969"/>
          <w:tab w:val="left" w:pos="4536"/>
          <w:tab w:val="left" w:pos="5103"/>
        </w:tabs>
        <w:ind w:left="567" w:right="284"/>
      </w:pPr>
      <w:r>
        <w:rPr>
          <w:lang w:val="en-US"/>
        </w:rPr>
        <w:tab/>
      </w:r>
      <w:r>
        <w:tab/>
        <w:t xml:space="preserve">  %</w:t>
      </w:r>
      <w:r>
        <w:tab/>
      </w:r>
      <w:r>
        <w:tab/>
        <w:t>39,7</w:t>
      </w:r>
      <w:r>
        <w:tab/>
      </w:r>
      <w:r>
        <w:tab/>
        <w:t>41,5</w:t>
      </w:r>
      <w:r>
        <w:tab/>
      </w:r>
      <w:r>
        <w:tab/>
        <w:t>43,2</w:t>
      </w:r>
      <w:r>
        <w:tab/>
      </w:r>
      <w:r>
        <w:tab/>
        <w:t>42,8</w:t>
      </w:r>
      <w:r>
        <w:tab/>
      </w:r>
      <w:r>
        <w:tab/>
        <w:t>43,1</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pPr>
        <w:rPr>
          <w:lang w:val="en-US"/>
        </w:rPr>
      </w:pPr>
      <w:r>
        <w:t>190.</w:t>
      </w:r>
      <w:r>
        <w:tab/>
      </w:r>
      <w:r>
        <w:rPr>
          <w:u w:val="single"/>
        </w:rPr>
        <w:t>Лекарственные препараты</w:t>
      </w:r>
      <w:r>
        <w:t xml:space="preserve">.  Что касается расходов на лекарственные препараты, назначенные врачом, то компенсируется часть расходов свыше определенного установленного уровня.  Базовая ставка возмещения составляет 50% от суммы расходов, превышающей 50 </w:t>
      </w:r>
      <w:proofErr w:type="spellStart"/>
      <w:r>
        <w:t>фин</w:t>
      </w:r>
      <w:proofErr w:type="spellEnd"/>
      <w:r>
        <w:t xml:space="preserve">. марок.  Лица, страдающие от ряда конкретно оговоренных серьезных и длительных заболеваний, вправе претендовать на специальную компенсацию в размере 75 или 100% от суммы расходов, превышающей 25 </w:t>
      </w:r>
      <w:proofErr w:type="spellStart"/>
      <w:r>
        <w:t>фин</w:t>
      </w:r>
      <w:proofErr w:type="spellEnd"/>
      <w:r>
        <w:t xml:space="preserve">. марок (приложение 33;  </w:t>
      </w:r>
      <w:r>
        <w:rPr>
          <w:lang w:val="en-US"/>
        </w:rPr>
        <w:t>A Guide to Benefits/Supplement, 1997).</w:t>
      </w:r>
    </w:p>
    <w:p w:rsidR="00000000" w:rsidRDefault="00000000">
      <w:pPr>
        <w:rPr>
          <w:lang w:val="en-US"/>
        </w:rPr>
      </w:pPr>
    </w:p>
    <w:p w:rsidR="00000000" w:rsidRDefault="00000000">
      <w:pPr>
        <w:tabs>
          <w:tab w:val="left" w:pos="2835"/>
          <w:tab w:val="left" w:pos="3402"/>
        </w:tabs>
        <w:ind w:left="2160" w:hanging="2160"/>
        <w:rPr>
          <w:u w:val="single"/>
        </w:rPr>
      </w:pPr>
      <w:r>
        <w:rPr>
          <w:lang w:val="en-US"/>
        </w:rPr>
        <w:br w:type="page"/>
      </w:r>
      <w:r>
        <w:rPr>
          <w:lang w:val="en-US"/>
        </w:rPr>
        <w:tab/>
      </w:r>
      <w:r>
        <w:t>Таблица 8</w:t>
      </w:r>
      <w:r>
        <w:rPr>
          <w:i/>
        </w:rPr>
        <w:t>.</w:t>
      </w:r>
      <w:r>
        <w:rPr>
          <w:i/>
        </w:rPr>
        <w:tab/>
      </w:r>
      <w:r>
        <w:rPr>
          <w:i/>
          <w:lang w:val="en-US"/>
        </w:rPr>
        <w:tab/>
      </w:r>
      <w:r>
        <w:rPr>
          <w:u w:val="single"/>
        </w:rPr>
        <w:t>Средняя ставка возмещения в разбивке по компенсируемым группам,</w:t>
      </w:r>
      <w:r>
        <w:rPr>
          <w:u w:val="single"/>
          <w:lang w:val="en-US"/>
        </w:rPr>
        <w:t xml:space="preserve"> </w:t>
      </w:r>
      <w:r>
        <w:rPr>
          <w:u w:val="single"/>
        </w:rPr>
        <w:t>1994-1998 годы</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1304"/>
        <w:gridCol w:w="1304"/>
        <w:gridCol w:w="1304"/>
        <w:gridCol w:w="1304"/>
        <w:gridCol w:w="1304"/>
      </w:tblGrid>
      <w:tr w:rsidR="00000000">
        <w:tblPrEx>
          <w:tblCellMar>
            <w:top w:w="0" w:type="dxa"/>
            <w:bottom w:w="0" w:type="dxa"/>
          </w:tblCellMar>
        </w:tblPrEx>
        <w:trPr>
          <w:trHeight w:val="395"/>
          <w:jc w:val="center"/>
        </w:trPr>
        <w:tc>
          <w:tcPr>
            <w:tcW w:w="2660" w:type="dxa"/>
          </w:tcPr>
          <w:p w:rsidR="00000000" w:rsidRDefault="00000000">
            <w:pPr>
              <w:jc w:val="center"/>
            </w:pPr>
            <w:r>
              <w:t>Год/%</w:t>
            </w:r>
          </w:p>
        </w:tc>
        <w:tc>
          <w:tcPr>
            <w:tcW w:w="1304" w:type="dxa"/>
          </w:tcPr>
          <w:p w:rsidR="00000000" w:rsidRDefault="00000000">
            <w:pPr>
              <w:jc w:val="center"/>
            </w:pPr>
            <w:r>
              <w:t>1994</w:t>
            </w:r>
          </w:p>
        </w:tc>
        <w:tc>
          <w:tcPr>
            <w:tcW w:w="1304" w:type="dxa"/>
          </w:tcPr>
          <w:p w:rsidR="00000000" w:rsidRDefault="00000000">
            <w:pPr>
              <w:jc w:val="center"/>
            </w:pPr>
            <w:r>
              <w:t>1995</w:t>
            </w:r>
          </w:p>
        </w:tc>
        <w:tc>
          <w:tcPr>
            <w:tcW w:w="1304" w:type="dxa"/>
          </w:tcPr>
          <w:p w:rsidR="00000000" w:rsidRDefault="00000000">
            <w:pPr>
              <w:jc w:val="center"/>
            </w:pPr>
            <w:r>
              <w:t>1996</w:t>
            </w:r>
          </w:p>
        </w:tc>
        <w:tc>
          <w:tcPr>
            <w:tcW w:w="1304" w:type="dxa"/>
          </w:tcPr>
          <w:p w:rsidR="00000000" w:rsidRDefault="00000000">
            <w:pPr>
              <w:jc w:val="center"/>
            </w:pPr>
            <w:r>
              <w:t>1997</w:t>
            </w:r>
          </w:p>
        </w:tc>
        <w:tc>
          <w:tcPr>
            <w:tcW w:w="1304" w:type="dxa"/>
          </w:tcPr>
          <w:p w:rsidR="00000000" w:rsidRDefault="00000000">
            <w:pPr>
              <w:jc w:val="center"/>
            </w:pPr>
            <w:r>
              <w:t>1998</w:t>
            </w:r>
          </w:p>
        </w:tc>
      </w:tr>
      <w:tr w:rsidR="00000000">
        <w:tblPrEx>
          <w:tblCellMar>
            <w:top w:w="0" w:type="dxa"/>
            <w:bottom w:w="0" w:type="dxa"/>
          </w:tblCellMar>
        </w:tblPrEx>
        <w:trPr>
          <w:jc w:val="center"/>
        </w:trPr>
        <w:tc>
          <w:tcPr>
            <w:tcW w:w="2660" w:type="dxa"/>
          </w:tcPr>
          <w:p w:rsidR="00000000" w:rsidRDefault="00000000">
            <w:r>
              <w:t>Компенсируемая группа 50%</w:t>
            </w:r>
          </w:p>
        </w:tc>
        <w:tc>
          <w:tcPr>
            <w:tcW w:w="1304" w:type="dxa"/>
          </w:tcPr>
          <w:p w:rsidR="00000000" w:rsidRDefault="00000000">
            <w:pPr>
              <w:jc w:val="center"/>
            </w:pPr>
            <w:r>
              <w:t>35</w:t>
            </w:r>
            <w:r>
              <w:rPr>
                <w:lang w:val="en-US"/>
              </w:rPr>
              <w:t>,1</w:t>
            </w:r>
          </w:p>
        </w:tc>
        <w:tc>
          <w:tcPr>
            <w:tcW w:w="1304" w:type="dxa"/>
          </w:tcPr>
          <w:p w:rsidR="00000000" w:rsidRDefault="00000000">
            <w:pPr>
              <w:jc w:val="center"/>
              <w:rPr>
                <w:lang w:val="en-US"/>
              </w:rPr>
            </w:pPr>
            <w:r>
              <w:rPr>
                <w:lang w:val="en-US"/>
              </w:rPr>
              <w:t>38,2</w:t>
            </w:r>
          </w:p>
        </w:tc>
        <w:tc>
          <w:tcPr>
            <w:tcW w:w="1304" w:type="dxa"/>
          </w:tcPr>
          <w:p w:rsidR="00000000" w:rsidRDefault="00000000">
            <w:pPr>
              <w:jc w:val="center"/>
              <w:rPr>
                <w:lang w:val="en-US"/>
              </w:rPr>
            </w:pPr>
            <w:r>
              <w:rPr>
                <w:lang w:val="en-US"/>
              </w:rPr>
              <w:t>38,9</w:t>
            </w:r>
          </w:p>
        </w:tc>
        <w:tc>
          <w:tcPr>
            <w:tcW w:w="1304" w:type="dxa"/>
          </w:tcPr>
          <w:p w:rsidR="00000000" w:rsidRDefault="00000000">
            <w:pPr>
              <w:jc w:val="center"/>
              <w:rPr>
                <w:lang w:val="en-US"/>
              </w:rPr>
            </w:pPr>
            <w:r>
              <w:rPr>
                <w:lang w:val="en-US"/>
              </w:rPr>
              <w:t>39,7</w:t>
            </w:r>
          </w:p>
        </w:tc>
        <w:tc>
          <w:tcPr>
            <w:tcW w:w="1304" w:type="dxa"/>
          </w:tcPr>
          <w:p w:rsidR="00000000" w:rsidRDefault="00000000">
            <w:pPr>
              <w:jc w:val="center"/>
              <w:rPr>
                <w:lang w:val="en-US"/>
              </w:rPr>
            </w:pPr>
            <w:r>
              <w:rPr>
                <w:lang w:val="en-US"/>
              </w:rPr>
              <w:t>40,0</w:t>
            </w:r>
          </w:p>
        </w:tc>
      </w:tr>
      <w:tr w:rsidR="00000000">
        <w:tblPrEx>
          <w:tblCellMar>
            <w:top w:w="0" w:type="dxa"/>
            <w:bottom w:w="0" w:type="dxa"/>
          </w:tblCellMar>
        </w:tblPrEx>
        <w:trPr>
          <w:jc w:val="center"/>
        </w:trPr>
        <w:tc>
          <w:tcPr>
            <w:tcW w:w="2660" w:type="dxa"/>
          </w:tcPr>
          <w:p w:rsidR="00000000" w:rsidRDefault="00000000">
            <w:r>
              <w:t>Компенсируемая группа 75%</w:t>
            </w:r>
          </w:p>
        </w:tc>
        <w:tc>
          <w:tcPr>
            <w:tcW w:w="1304" w:type="dxa"/>
          </w:tcPr>
          <w:p w:rsidR="00000000" w:rsidRDefault="00000000">
            <w:pPr>
              <w:jc w:val="center"/>
              <w:rPr>
                <w:lang w:val="en-US"/>
              </w:rPr>
            </w:pPr>
            <w:r>
              <w:rPr>
                <w:lang w:val="en-US"/>
              </w:rPr>
              <w:t>73,6</w:t>
            </w:r>
          </w:p>
        </w:tc>
        <w:tc>
          <w:tcPr>
            <w:tcW w:w="1304" w:type="dxa"/>
          </w:tcPr>
          <w:p w:rsidR="00000000" w:rsidRDefault="00000000">
            <w:pPr>
              <w:jc w:val="center"/>
              <w:rPr>
                <w:lang w:val="en-US"/>
              </w:rPr>
            </w:pPr>
            <w:r>
              <w:rPr>
                <w:lang w:val="en-US"/>
              </w:rPr>
              <w:t>70,1</w:t>
            </w:r>
          </w:p>
        </w:tc>
        <w:tc>
          <w:tcPr>
            <w:tcW w:w="1304" w:type="dxa"/>
          </w:tcPr>
          <w:p w:rsidR="00000000" w:rsidRDefault="00000000">
            <w:pPr>
              <w:jc w:val="center"/>
              <w:rPr>
                <w:lang w:val="en-US"/>
              </w:rPr>
            </w:pPr>
            <w:r>
              <w:rPr>
                <w:lang w:val="en-US"/>
              </w:rPr>
              <w:t>70,3</w:t>
            </w:r>
          </w:p>
        </w:tc>
        <w:tc>
          <w:tcPr>
            <w:tcW w:w="1304" w:type="dxa"/>
          </w:tcPr>
          <w:p w:rsidR="00000000" w:rsidRDefault="00000000">
            <w:pPr>
              <w:jc w:val="center"/>
              <w:rPr>
                <w:lang w:val="en-US"/>
              </w:rPr>
            </w:pPr>
            <w:r>
              <w:rPr>
                <w:lang w:val="en-US"/>
              </w:rPr>
              <w:t>70,4</w:t>
            </w:r>
          </w:p>
        </w:tc>
        <w:tc>
          <w:tcPr>
            <w:tcW w:w="1304" w:type="dxa"/>
          </w:tcPr>
          <w:p w:rsidR="00000000" w:rsidRDefault="00000000">
            <w:pPr>
              <w:jc w:val="center"/>
              <w:rPr>
                <w:lang w:val="en-US"/>
              </w:rPr>
            </w:pPr>
            <w:r>
              <w:rPr>
                <w:lang w:val="en-US"/>
              </w:rPr>
              <w:t>70,2</w:t>
            </w:r>
          </w:p>
        </w:tc>
      </w:tr>
      <w:tr w:rsidR="00000000">
        <w:tblPrEx>
          <w:tblCellMar>
            <w:top w:w="0" w:type="dxa"/>
            <w:bottom w:w="0" w:type="dxa"/>
          </w:tblCellMar>
        </w:tblPrEx>
        <w:trPr>
          <w:jc w:val="center"/>
        </w:trPr>
        <w:tc>
          <w:tcPr>
            <w:tcW w:w="2660" w:type="dxa"/>
          </w:tcPr>
          <w:p w:rsidR="00000000" w:rsidRDefault="00000000">
            <w:r>
              <w:t>Компенсируемая группа 100%</w:t>
            </w:r>
          </w:p>
        </w:tc>
        <w:tc>
          <w:tcPr>
            <w:tcW w:w="1304" w:type="dxa"/>
          </w:tcPr>
          <w:p w:rsidR="00000000" w:rsidRDefault="00000000">
            <w:pPr>
              <w:jc w:val="center"/>
              <w:rPr>
                <w:lang w:val="en-US"/>
              </w:rPr>
            </w:pPr>
            <w:r>
              <w:rPr>
                <w:lang w:val="en-US"/>
              </w:rPr>
              <w:t>96</w:t>
            </w:r>
          </w:p>
        </w:tc>
        <w:tc>
          <w:tcPr>
            <w:tcW w:w="1304" w:type="dxa"/>
          </w:tcPr>
          <w:p w:rsidR="00000000" w:rsidRDefault="00000000">
            <w:pPr>
              <w:jc w:val="center"/>
              <w:rPr>
                <w:lang w:val="en-US"/>
              </w:rPr>
            </w:pPr>
            <w:r>
              <w:rPr>
                <w:lang w:val="en-US"/>
              </w:rPr>
              <w:t>96</w:t>
            </w:r>
          </w:p>
        </w:tc>
        <w:tc>
          <w:tcPr>
            <w:tcW w:w="1304" w:type="dxa"/>
          </w:tcPr>
          <w:p w:rsidR="00000000" w:rsidRDefault="00000000">
            <w:pPr>
              <w:jc w:val="center"/>
              <w:rPr>
                <w:lang w:val="en-US"/>
              </w:rPr>
            </w:pPr>
            <w:r>
              <w:rPr>
                <w:lang w:val="en-US"/>
              </w:rPr>
              <w:t>96</w:t>
            </w:r>
          </w:p>
        </w:tc>
        <w:tc>
          <w:tcPr>
            <w:tcW w:w="1304" w:type="dxa"/>
          </w:tcPr>
          <w:p w:rsidR="00000000" w:rsidRDefault="00000000">
            <w:pPr>
              <w:jc w:val="center"/>
              <w:rPr>
                <w:lang w:val="en-US"/>
              </w:rPr>
            </w:pPr>
            <w:r>
              <w:rPr>
                <w:lang w:val="en-US"/>
              </w:rPr>
              <w:t>96</w:t>
            </w:r>
          </w:p>
        </w:tc>
        <w:tc>
          <w:tcPr>
            <w:tcW w:w="1304" w:type="dxa"/>
          </w:tcPr>
          <w:p w:rsidR="00000000" w:rsidRDefault="00000000">
            <w:pPr>
              <w:jc w:val="center"/>
              <w:rPr>
                <w:lang w:val="en-US"/>
              </w:rPr>
            </w:pPr>
            <w:r>
              <w:rPr>
                <w:lang w:val="en-US"/>
              </w:rPr>
              <w:t>96,1</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rPr>
      </w:pP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rPr>
      </w:pPr>
    </w:p>
    <w:p w:rsidR="00000000" w:rsidRDefault="00000000">
      <w:r>
        <w:tab/>
        <w:t xml:space="preserve">В том случае, если расходы пациента на медицинские услуги в течение года превышают максимально установленную сумму, оставшаяся часть возмещается в полном объеме.  В 1998 году эта максимальная сумма составила 3 240 </w:t>
      </w:r>
      <w:proofErr w:type="spellStart"/>
      <w:r>
        <w:t>фин</w:t>
      </w:r>
      <w:proofErr w:type="spellEnd"/>
      <w:r>
        <w:t xml:space="preserve">. марок (по сравнению с 3 100 </w:t>
      </w:r>
      <w:proofErr w:type="spellStart"/>
      <w:r>
        <w:t>фин</w:t>
      </w:r>
      <w:proofErr w:type="spellEnd"/>
      <w:r>
        <w:t>. марок в 1994 году).</w:t>
      </w:r>
    </w:p>
    <w:p w:rsidR="00000000" w:rsidRDefault="00000000"/>
    <w:p w:rsidR="00000000" w:rsidRDefault="00000000">
      <w:r>
        <w:t>191.</w:t>
      </w:r>
      <w:r>
        <w:tab/>
      </w:r>
      <w:r>
        <w:rPr>
          <w:u w:val="single"/>
        </w:rPr>
        <w:t>Путевые расходы</w:t>
      </w:r>
      <w:r>
        <w:t xml:space="preserve">.  Путевые расходы в связи с медицинскими обследованиями или лечением возмещаются полностью в том случае, если размер расходов на одну поездку превышает определенную установленную сумму (45 </w:t>
      </w:r>
      <w:proofErr w:type="spellStart"/>
      <w:r>
        <w:t>фин</w:t>
      </w:r>
      <w:proofErr w:type="spellEnd"/>
      <w:r>
        <w:t xml:space="preserve">. марок с 1993 года).  Если годовая сумма путевых расходов пациента превышает максимальный уровень (составляющий с 1993 года 900 </w:t>
      </w:r>
      <w:proofErr w:type="spellStart"/>
      <w:r>
        <w:t>фин</w:t>
      </w:r>
      <w:proofErr w:type="spellEnd"/>
      <w:r>
        <w:t xml:space="preserve">. марок или 20 поездок), </w:t>
      </w:r>
    </w:p>
    <w:p w:rsidR="00000000" w:rsidRDefault="00000000">
      <w:r>
        <w:t>все расходы свыше этого уровня компенсируются.  За последние пять лет отмечается постоянное увеличение средней компенсируемой доли, которая в 1998 году составила 83% (80,1% в 1994 году).</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t>192.</w:t>
      </w:r>
      <w:r>
        <w:tab/>
      </w:r>
      <w:r>
        <w:rPr>
          <w:u w:val="single"/>
        </w:rPr>
        <w:t>Зубоврачебные услуги</w:t>
      </w:r>
      <w:r>
        <w:t>.  Для лиц, рожденных в 1956 году или позднее, расходы на зубоврачебную помощь возмещаются по фиксированной шкале, при этом расходы на осмотр полости рта и профилактическое лечение компенсируются в размере 75%.  Для лиц, рожденных до указанного времени, ставка возмещения составляет 75% расходов на один осмотр полости рта или профилактическое лечение один раз в течение трех лет (временно с 1 октября 1997 года до 31 декабря 1999 года).  Для ветеранов войны базовая зубоврачебная помощь компенсируется в полном объеме, а расходы на все прочие зубоврачебные услуги возмещаются частично.</w:t>
      </w:r>
    </w:p>
    <w:p w:rsidR="00000000" w:rsidRDefault="00000000"/>
    <w:p w:rsidR="00000000" w:rsidRDefault="00000000">
      <w:r>
        <w:rPr>
          <w:lang w:val="en-US"/>
        </w:rPr>
        <w:br w:type="page"/>
      </w:r>
      <w:r>
        <w:rPr>
          <w:lang w:val="en-US"/>
        </w:rPr>
        <w:tab/>
      </w:r>
      <w:r>
        <w:t>Таблица 9</w:t>
      </w:r>
      <w:r>
        <w:rPr>
          <w:i/>
        </w:rPr>
        <w:t>.</w:t>
      </w:r>
      <w:r>
        <w:rPr>
          <w:i/>
        </w:rPr>
        <w:tab/>
      </w:r>
      <w:r>
        <w:rPr>
          <w:i/>
          <w:u w:val="single"/>
        </w:rPr>
        <w:t xml:space="preserve"> </w:t>
      </w:r>
      <w:r>
        <w:rPr>
          <w:u w:val="single"/>
        </w:rPr>
        <w:t>Средняя ставка возмещения расходов на зубоврачебную помощь</w:t>
      </w:r>
      <w:r>
        <w:t>,</w:t>
      </w:r>
    </w:p>
    <w:p w:rsidR="00000000" w:rsidRDefault="00000000">
      <w:pPr>
        <w:rPr>
          <w:u w:val="single"/>
          <w:lang w:val="en-US"/>
        </w:rPr>
      </w:pPr>
      <w:r>
        <w:tab/>
      </w:r>
      <w:r>
        <w:rPr>
          <w:lang w:val="en-US"/>
        </w:rPr>
        <w:tab/>
      </w:r>
      <w:r>
        <w:tab/>
      </w:r>
      <w:r>
        <w:rPr>
          <w:u w:val="single"/>
        </w:rPr>
        <w:t>1994</w:t>
      </w:r>
      <w:r>
        <w:rPr>
          <w:u w:val="single"/>
        </w:rPr>
        <w:noBreakHyphen/>
        <w:t>1997 годы</w:t>
      </w:r>
    </w:p>
    <w:p w:rsidR="00000000" w:rsidRDefault="00000000">
      <w:pPr>
        <w:rPr>
          <w:u w:val="single"/>
          <w:lang w:val="en-US"/>
        </w:rPr>
      </w:pPr>
    </w:p>
    <w:p w:rsidR="00000000" w:rsidRDefault="00000000">
      <w:pPr>
        <w:pBdr>
          <w:top w:val="single" w:sz="4" w:space="1" w:color="auto"/>
          <w:left w:val="single" w:sz="4" w:space="4" w:color="auto"/>
          <w:bottom w:val="single" w:sz="4" w:space="1" w:color="auto"/>
          <w:right w:val="single" w:sz="4" w:space="4" w:color="auto"/>
          <w:between w:val="single" w:sz="4" w:space="1" w:color="auto"/>
        </w:pBdr>
        <w:tabs>
          <w:tab w:val="left" w:pos="2835"/>
          <w:tab w:val="left" w:pos="3402"/>
          <w:tab w:val="left" w:pos="3969"/>
          <w:tab w:val="left" w:pos="4536"/>
          <w:tab w:val="left" w:pos="5103"/>
        </w:tabs>
        <w:ind w:left="567"/>
      </w:pPr>
      <w:r>
        <w:rPr>
          <w:lang w:val="en-US"/>
        </w:rPr>
        <w:tab/>
      </w:r>
      <w:r>
        <w:rPr>
          <w:lang w:val="en-US"/>
        </w:rPr>
        <w:tab/>
      </w:r>
      <w:r>
        <w:t>Год</w:t>
      </w:r>
      <w:r>
        <w:tab/>
      </w:r>
      <w:r>
        <w:tab/>
        <w:t>1994</w:t>
      </w:r>
      <w:r>
        <w:tab/>
      </w:r>
      <w:r>
        <w:tab/>
        <w:t>1995</w:t>
      </w:r>
      <w:r>
        <w:tab/>
      </w:r>
      <w:r>
        <w:tab/>
        <w:t>1996</w:t>
      </w:r>
      <w:r>
        <w:tab/>
      </w:r>
      <w:r>
        <w:tab/>
        <w:t>1997</w:t>
      </w:r>
      <w:r>
        <w:tab/>
      </w:r>
      <w:r>
        <w:tab/>
        <w:t>1998</w:t>
      </w:r>
    </w:p>
    <w:p w:rsidR="00000000" w:rsidRDefault="00000000">
      <w:pPr>
        <w:pBdr>
          <w:top w:val="single" w:sz="4" w:space="1" w:color="auto"/>
          <w:left w:val="single" w:sz="4" w:space="4" w:color="auto"/>
          <w:bottom w:val="single" w:sz="4" w:space="1" w:color="auto"/>
          <w:right w:val="single" w:sz="4" w:space="4" w:color="auto"/>
          <w:between w:val="single" w:sz="4" w:space="1" w:color="auto"/>
        </w:pBdr>
        <w:tabs>
          <w:tab w:val="left" w:pos="2835"/>
          <w:tab w:val="left" w:pos="3402"/>
          <w:tab w:val="left" w:pos="3969"/>
          <w:tab w:val="left" w:pos="4536"/>
          <w:tab w:val="left" w:pos="5103"/>
        </w:tabs>
        <w:ind w:left="567"/>
        <w:rPr>
          <w:lang w:val="en-US"/>
        </w:rPr>
      </w:pPr>
      <w:r>
        <w:tab/>
      </w:r>
      <w:r>
        <w:tab/>
        <w:t xml:space="preserve">  %</w:t>
      </w:r>
      <w:r>
        <w:tab/>
      </w:r>
      <w:r>
        <w:tab/>
      </w:r>
      <w:r>
        <w:rPr>
          <w:lang w:val="en-US"/>
        </w:rPr>
        <w:t>55</w:t>
      </w:r>
      <w:r>
        <w:t>,</w:t>
      </w:r>
      <w:r>
        <w:rPr>
          <w:lang w:val="en-US"/>
        </w:rPr>
        <w:t>5</w:t>
      </w:r>
      <w:r>
        <w:tab/>
      </w:r>
      <w:r>
        <w:tab/>
      </w:r>
      <w:r>
        <w:rPr>
          <w:lang w:val="en-US"/>
        </w:rPr>
        <w:t>53</w:t>
      </w:r>
      <w:r>
        <w:t>,</w:t>
      </w:r>
      <w:r>
        <w:rPr>
          <w:lang w:val="en-US"/>
        </w:rPr>
        <w:t>1</w:t>
      </w:r>
      <w:r>
        <w:tab/>
      </w:r>
      <w:r>
        <w:tab/>
        <w:t>4</w:t>
      </w:r>
      <w:r>
        <w:rPr>
          <w:lang w:val="en-US"/>
        </w:rPr>
        <w:t>9</w:t>
      </w:r>
      <w:r>
        <w:t>,</w:t>
      </w:r>
      <w:r>
        <w:rPr>
          <w:lang w:val="en-US"/>
        </w:rPr>
        <w:t>9</w:t>
      </w:r>
      <w:r>
        <w:tab/>
      </w:r>
      <w:r>
        <w:tab/>
        <w:t>4</w:t>
      </w:r>
      <w:r>
        <w:rPr>
          <w:lang w:val="en-US"/>
        </w:rPr>
        <w:t>9</w:t>
      </w:r>
      <w:r>
        <w:t>,</w:t>
      </w:r>
      <w:r>
        <w:rPr>
          <w:lang w:val="en-US"/>
        </w:rPr>
        <w:t>0</w:t>
      </w:r>
      <w:r>
        <w:tab/>
      </w:r>
      <w:r>
        <w:tab/>
        <w:t>4</w:t>
      </w:r>
      <w:r>
        <w:rPr>
          <w:lang w:val="en-US"/>
        </w:rPr>
        <w:t>8</w:t>
      </w:r>
      <w:r>
        <w:t>,</w:t>
      </w:r>
      <w:r>
        <w:rPr>
          <w:lang w:val="en-US"/>
        </w:rPr>
        <w:t>9</w:t>
      </w:r>
    </w:p>
    <w:p w:rsidR="00000000" w:rsidRDefault="00000000">
      <w:pPr>
        <w:rPr>
          <w:lang w:val="en-US"/>
        </w:rPr>
      </w:pPr>
    </w:p>
    <w:p w:rsidR="00000000" w:rsidRDefault="00000000">
      <w:pPr>
        <w:rPr>
          <w:lang w:val="en-US"/>
        </w:rPr>
      </w:pPr>
    </w:p>
    <w:p w:rsidR="00000000" w:rsidRDefault="00000000">
      <w:r>
        <w:t>2</w:t>
      </w:r>
      <w:r>
        <w:rPr>
          <w:lang w:val="en-US"/>
        </w:rPr>
        <w:t>.</w:t>
      </w:r>
      <w:r>
        <w:rPr>
          <w:lang w:val="en-US"/>
        </w:rPr>
        <w:tab/>
        <w:t>c</w:t>
      </w:r>
      <w:r>
        <w:t>)</w:t>
      </w:r>
      <w:r>
        <w:tab/>
      </w:r>
      <w:r>
        <w:rPr>
          <w:u w:val="single"/>
        </w:rPr>
        <w:t>Пособия по беременности и родам</w:t>
      </w:r>
    </w:p>
    <w:p w:rsidR="00000000" w:rsidRDefault="00000000">
      <w:pPr>
        <w:pStyle w:val="FootnoteText"/>
        <w:spacing w:line="288" w:lineRule="auto"/>
      </w:pPr>
    </w:p>
    <w:p w:rsidR="00000000" w:rsidRDefault="00000000">
      <w:r>
        <w:t>193.</w:t>
      </w:r>
      <w:r>
        <w:tab/>
        <w:t>Информация по этому вопросу содержится в докладе об осуществлении Конвенции МОТ № 130, представленном в 1998 году (приложение 30), а также втором периодическом докладе по правам ребенка.</w:t>
      </w:r>
    </w:p>
    <w:p w:rsidR="00000000" w:rsidRDefault="00000000"/>
    <w:p w:rsidR="00000000" w:rsidRDefault="00000000">
      <w:r>
        <w:t>2</w:t>
      </w:r>
      <w:r>
        <w:rPr>
          <w:lang w:val="en-US"/>
        </w:rPr>
        <w:t>.</w:t>
      </w:r>
      <w:r>
        <w:rPr>
          <w:lang w:val="en-US"/>
        </w:rPr>
        <w:tab/>
        <w:t>d</w:t>
      </w:r>
      <w:r>
        <w:t>)</w:t>
      </w:r>
      <w:r>
        <w:tab/>
      </w:r>
      <w:r>
        <w:rPr>
          <w:u w:val="single"/>
        </w:rPr>
        <w:t>Пособия по старости</w:t>
      </w:r>
      <w:r>
        <w:t xml:space="preserve"> </w:t>
      </w:r>
    </w:p>
    <w:p w:rsidR="00000000" w:rsidRDefault="00000000">
      <w:pPr>
        <w:pStyle w:val="FootnoteText"/>
        <w:spacing w:line="288" w:lineRule="auto"/>
      </w:pPr>
    </w:p>
    <w:p w:rsidR="00000000" w:rsidRDefault="00000000">
      <w:r>
        <w:t>194.</w:t>
      </w:r>
      <w:r>
        <w:tab/>
        <w:t>Система пенсионного обеспечения отвечает принятым ЕС требованиям первого уровня и формируется за счет двух предусмотренных законом взаимодополняющих пенсионных систем – национальной пенсии по старости и пенсии за выслугу лет.</w:t>
      </w:r>
    </w:p>
    <w:p w:rsidR="00000000" w:rsidRDefault="00000000"/>
    <w:p w:rsidR="00000000" w:rsidRDefault="00000000">
      <w:r>
        <w:t>195.</w:t>
      </w:r>
      <w:r>
        <w:tab/>
      </w:r>
      <w:r>
        <w:rPr>
          <w:u w:val="single"/>
        </w:rPr>
        <w:t>Система национальных пенсий по старости</w:t>
      </w:r>
      <w:r>
        <w:t xml:space="preserve"> предоставляет минимальное пенсионное обеспечение лицу, проживающему в Финляндии.  Правом на получение национальной пенсии пользуются граждане, не охваченные системой пенсий за выслугу лет или получающие маленькую пенсию за выслугу лет.  Лица, прожившие в Финляндии не менее 40 лет после достижения ими 16-летнего возраста, пользуются правом на полную пенсию.  Финского гражданства в данном случае не требуется.  Для получения права на национальную пенсию финский гражданин должен прожить в Финляндии не менее трех лет после достижения им 16-летнего возраста.  Граждане других стран вправе претендовать на получение пенсии, прожив в Финляндии в течение пяти лет непосредственно до даты начала выплаты пенсии.  Беженцы и лица без гражданства, а также лица, подпадающие под законодательство Сообщества или соглашения по социальному обеспечению, приравниваются к финским гражданам.  Национальная пенсионная система финансируется за счет отчислений работодателей, дополняемых государственными дотациям (см. раздел 3).</w:t>
      </w:r>
    </w:p>
    <w:p w:rsidR="00000000" w:rsidRDefault="00000000"/>
    <w:p w:rsidR="00000000" w:rsidRDefault="00000000">
      <w:r>
        <w:t>196.</w:t>
      </w:r>
      <w:r>
        <w:tab/>
      </w:r>
      <w:r>
        <w:rPr>
          <w:u w:val="single"/>
        </w:rPr>
        <w:t>Система пенсий за выслугу лет</w:t>
      </w:r>
      <w:r>
        <w:t xml:space="preserve"> охватывает трудовые отношения как в государственном, так и в частном секторе.  Кроме того, были приняты отдельные положения, касающиеся пенсионного обеспечения лиц, работающих по краткосрочным договорам, и лиц некоторых профессий (фермеры, моряки).  Базовые критерии права на получение пенсионного пособия аналогичны во всех системах.  Одно и то же лицо может иметь право на получение различных пенсий.  Размер пенсии за выслугу лет исчисляется на основе продолжительности трудового стажа, размера дохода и тарифа начисления пенсионных выплат.  Максимальный уровень пенсии за выслугу лет составляет 60% от дохода, используемого для расчета размера пенсии, при продолжительности трудового стажа 40 лет.  Обычный тариф начисления составляет 1,5% в год.  В целях увеличения продолжительности трудового стажа в последние годы тариф начисления пенсий был увеличен.  Размер пенсий по безработице, пособий в связи с потерей кормильца и пенсий при досрочном выходе на пенсию несколько ниже по сравнению с размером пенсии по старости.  Пенсии частично финансируются за счет отчислений работодателей и частично </w:t>
      </w:r>
      <w:r>
        <w:noBreakHyphen/>
        <w:t xml:space="preserve"> за счет взносов по социальному страхованию, выплачиваемых работниками.  Некоторые пенсионные системы субсидируются правительством (например, для фермеров).  Перечисленные пенсионные системы взаимосвязаны, и, если пенсия за выслугу лет превышает определенный уровень, то национальная пенсия не выплачивается.  Доход пенсионеров также дополняется за счет жилищного пособия для пенсионеров, выплачиваемого в установленном законом порядке.</w:t>
      </w:r>
    </w:p>
    <w:p w:rsidR="00000000" w:rsidRDefault="00000000"/>
    <w:p w:rsidR="00000000" w:rsidRDefault="00000000">
      <w:r>
        <w:t>197.</w:t>
      </w:r>
      <w:r>
        <w:tab/>
        <w:t xml:space="preserve">В 1997 году общее количество получающих пенсионное пособие лиц составило 1 244 233 человек, или 24% от общей численности населения.  Пенсию по старости получали 836 701 человек.  Средний размер пенсии по старости составил 4 822 </w:t>
      </w:r>
      <w:proofErr w:type="spellStart"/>
      <w:r>
        <w:t>фин</w:t>
      </w:r>
      <w:proofErr w:type="spellEnd"/>
      <w:r>
        <w:t>. марки в месяц.</w:t>
      </w:r>
    </w:p>
    <w:p w:rsidR="00000000" w:rsidRDefault="00000000"/>
    <w:p w:rsidR="00000000" w:rsidRDefault="00000000">
      <w:r>
        <w:t>198.</w:t>
      </w:r>
      <w:r>
        <w:tab/>
        <w:t>Пенсионное пособие при досрочном выходе на пенсию может выплачиваться в случае нетрудоспособности или в виде досрочной пенсии по старости.  При досрочном выходе на пенсию размер выплачиваемого пенсионного пособия постоянно сокращается.</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t>199.</w:t>
      </w:r>
      <w:r>
        <w:tab/>
      </w:r>
      <w:r>
        <w:rPr>
          <w:u w:val="single"/>
        </w:rPr>
        <w:t>Обычный пенсионный возраст</w:t>
      </w:r>
      <w:r>
        <w:t xml:space="preserve"> в Финляндии составляет 65 лет. При досрочном выходе на пенсию, при условии достижения гражданином 60-летнего возраста, он имеет право на получение пособия по старости.  В начале 1993 года пенсионный возраст в государственном секторе был увеличен с 63 до 65 лет.  Это изменение затрагивает лиц, чей трудовой стаж исчисляется с 1 января 1993 года, а также лиц, рожденных после 1959 года и начавших свою трудовую деятельность после 1 января 1990 года.  Проведенная реформа предусматривает возможность для лиц, имевших значительные пенсионные права на момент принятия этого изменения, выйти на пенсию в соответствии с ранее действовавшими положениями.  Пенсионный возраст для таких работников фактически колеблется от 63 до 65 лет.</w:t>
      </w:r>
    </w:p>
    <w:p w:rsidR="00000000" w:rsidRDefault="00000000"/>
    <w:p w:rsidR="00000000" w:rsidRDefault="00000000">
      <w:pPr>
        <w:ind w:left="1418" w:hanging="1418"/>
        <w:rPr>
          <w:u w:val="single"/>
        </w:rPr>
      </w:pPr>
      <w:r>
        <w:br w:type="page"/>
        <w:t>Таблица 10.</w:t>
      </w:r>
      <w:r>
        <w:tab/>
      </w:r>
      <w:r>
        <w:rPr>
          <w:u w:val="single"/>
        </w:rPr>
        <w:t>Число выплачиваемых пенсий по старости в различных пенсионных системах по состоянию на 31декабря 1997 года</w:t>
      </w:r>
    </w:p>
    <w:p w:rsidR="00000000" w:rsidRDefault="00000000">
      <w:pPr>
        <w:ind w:left="1418" w:hanging="1418"/>
        <w:rPr>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2799"/>
      </w:tblGrid>
      <w:tr w:rsidR="00000000">
        <w:tblPrEx>
          <w:tblCellMar>
            <w:top w:w="0" w:type="dxa"/>
            <w:bottom w:w="0" w:type="dxa"/>
          </w:tblCellMar>
        </w:tblPrEx>
        <w:tc>
          <w:tcPr>
            <w:tcW w:w="3510" w:type="dxa"/>
            <w:vAlign w:val="center"/>
          </w:tcPr>
          <w:p w:rsidR="00000000" w:rsidRDefault="00000000">
            <w:pPr>
              <w:pStyle w:val="Heading2"/>
              <w:jc w:val="center"/>
              <w:rPr>
                <w:u w:val="none"/>
              </w:rPr>
            </w:pPr>
            <w:r>
              <w:rPr>
                <w:u w:val="none"/>
              </w:rPr>
              <w:t>Пенсионная система</w:t>
            </w:r>
          </w:p>
        </w:tc>
        <w:tc>
          <w:tcPr>
            <w:tcW w:w="3261" w:type="dxa"/>
            <w:tcBorders>
              <w:bottom w:val="nil"/>
            </w:tcBorders>
            <w:vAlign w:val="center"/>
          </w:tcPr>
          <w:p w:rsidR="00000000" w:rsidRDefault="00000000">
            <w:pPr>
              <w:jc w:val="center"/>
            </w:pPr>
            <w:r>
              <w:t>Количество пенсий</w:t>
            </w:r>
          </w:p>
        </w:tc>
        <w:tc>
          <w:tcPr>
            <w:tcW w:w="2799" w:type="dxa"/>
            <w:tcBorders>
              <w:bottom w:val="nil"/>
            </w:tcBorders>
            <w:vAlign w:val="center"/>
          </w:tcPr>
          <w:p w:rsidR="00000000" w:rsidRDefault="00000000">
            <w:pPr>
              <w:jc w:val="center"/>
            </w:pPr>
            <w:r>
              <w:t>Средний размер ежемесячной пенсии (</w:t>
            </w:r>
            <w:proofErr w:type="spellStart"/>
            <w:r>
              <w:t>фин</w:t>
            </w:r>
            <w:proofErr w:type="spellEnd"/>
            <w:r>
              <w:t> .марок)</w:t>
            </w:r>
          </w:p>
        </w:tc>
      </w:tr>
      <w:tr w:rsidR="00000000">
        <w:tblPrEx>
          <w:tblCellMar>
            <w:top w:w="0" w:type="dxa"/>
            <w:bottom w:w="0" w:type="dxa"/>
          </w:tblCellMar>
        </w:tblPrEx>
        <w:tc>
          <w:tcPr>
            <w:tcW w:w="3510" w:type="dxa"/>
          </w:tcPr>
          <w:p w:rsidR="00000000" w:rsidRDefault="00000000">
            <w:pPr>
              <w:pStyle w:val="FootnoteText"/>
              <w:spacing w:line="288" w:lineRule="auto"/>
            </w:pPr>
          </w:p>
          <w:p w:rsidR="00000000" w:rsidRDefault="00000000">
            <w:pPr>
              <w:pStyle w:val="FootnoteText"/>
              <w:spacing w:line="288" w:lineRule="auto"/>
            </w:pPr>
            <w:r>
              <w:t>Пенсии за выслугу лет</w:t>
            </w:r>
          </w:p>
        </w:tc>
        <w:tc>
          <w:tcPr>
            <w:tcW w:w="3261" w:type="dxa"/>
            <w:tcBorders>
              <w:right w:val="single" w:sz="4" w:space="0" w:color="auto"/>
            </w:tcBorders>
          </w:tcPr>
          <w:p w:rsidR="00000000" w:rsidRDefault="00000000">
            <w:pPr>
              <w:rPr>
                <w:i/>
                <w:u w:val="single"/>
              </w:rPr>
            </w:pPr>
          </w:p>
        </w:tc>
        <w:tc>
          <w:tcPr>
            <w:tcW w:w="2799" w:type="dxa"/>
            <w:tcBorders>
              <w:left w:val="single" w:sz="4" w:space="0" w:color="auto"/>
            </w:tcBorders>
          </w:tcPr>
          <w:p w:rsidR="00000000" w:rsidRDefault="00000000">
            <w:pPr>
              <w:rPr>
                <w:i/>
                <w:u w:val="single"/>
              </w:rPr>
            </w:pPr>
          </w:p>
        </w:tc>
      </w:tr>
      <w:tr w:rsidR="00000000">
        <w:tblPrEx>
          <w:tblCellMar>
            <w:top w:w="0" w:type="dxa"/>
            <w:bottom w:w="0" w:type="dxa"/>
          </w:tblCellMar>
        </w:tblPrEx>
        <w:tc>
          <w:tcPr>
            <w:tcW w:w="3510" w:type="dxa"/>
          </w:tcPr>
          <w:p w:rsidR="00000000" w:rsidRDefault="00000000">
            <w:pPr>
              <w:pStyle w:val="FootnoteText"/>
              <w:spacing w:line="288" w:lineRule="auto"/>
            </w:pPr>
            <w:r>
              <w:t>Частный сектор</w:t>
            </w:r>
          </w:p>
          <w:p w:rsidR="00000000" w:rsidRDefault="00000000">
            <w:pPr>
              <w:ind w:firstLine="284"/>
            </w:pPr>
            <w:r>
              <w:t>в том числе отсроченных</w:t>
            </w:r>
          </w:p>
          <w:p w:rsidR="00000000" w:rsidRDefault="00000000">
            <w:pPr>
              <w:ind w:left="284"/>
            </w:pPr>
            <w:r>
              <w:t>в том числе досрочных</w:t>
            </w:r>
          </w:p>
        </w:tc>
        <w:tc>
          <w:tcPr>
            <w:tcW w:w="3261" w:type="dxa"/>
            <w:tcBorders>
              <w:right w:val="single" w:sz="4" w:space="0" w:color="auto"/>
            </w:tcBorders>
          </w:tcPr>
          <w:p w:rsidR="00000000" w:rsidRDefault="00000000">
            <w:pPr>
              <w:tabs>
                <w:tab w:val="clear" w:pos="567"/>
                <w:tab w:val="clear" w:pos="1134"/>
                <w:tab w:val="clear" w:pos="1701"/>
                <w:tab w:val="clear" w:pos="2268"/>
                <w:tab w:val="left" w:pos="2160"/>
              </w:tabs>
              <w:ind w:right="1168"/>
              <w:jc w:val="right"/>
              <w:rPr>
                <w:lang w:val="en-US"/>
              </w:rPr>
            </w:pPr>
            <w:r>
              <w:rPr>
                <w:lang w:val="en-US"/>
              </w:rPr>
              <w:t>594 179</w:t>
            </w:r>
          </w:p>
          <w:p w:rsidR="00000000" w:rsidRDefault="00000000">
            <w:pPr>
              <w:tabs>
                <w:tab w:val="clear" w:pos="567"/>
                <w:tab w:val="clear" w:pos="1134"/>
                <w:tab w:val="clear" w:pos="1701"/>
                <w:tab w:val="clear" w:pos="2268"/>
                <w:tab w:val="left" w:pos="2160"/>
              </w:tabs>
              <w:ind w:right="1168"/>
              <w:jc w:val="right"/>
              <w:rPr>
                <w:lang w:val="en-US"/>
              </w:rPr>
            </w:pPr>
            <w:r>
              <w:rPr>
                <w:lang w:val="en-US"/>
              </w:rPr>
              <w:t>17 364</w:t>
            </w:r>
          </w:p>
          <w:p w:rsidR="00000000" w:rsidRDefault="00000000">
            <w:pPr>
              <w:tabs>
                <w:tab w:val="clear" w:pos="567"/>
                <w:tab w:val="clear" w:pos="1134"/>
                <w:tab w:val="clear" w:pos="1701"/>
                <w:tab w:val="clear" w:pos="2268"/>
                <w:tab w:val="left" w:pos="2160"/>
              </w:tabs>
              <w:ind w:right="1168"/>
              <w:jc w:val="right"/>
              <w:rPr>
                <w:lang w:val="en-US"/>
              </w:rPr>
            </w:pPr>
            <w:r>
              <w:rPr>
                <w:lang w:val="en-US"/>
              </w:rPr>
              <w:t>32 306</w:t>
            </w:r>
          </w:p>
        </w:tc>
        <w:tc>
          <w:tcPr>
            <w:tcW w:w="2799" w:type="dxa"/>
            <w:tcBorders>
              <w:left w:val="single" w:sz="4" w:space="0" w:color="auto"/>
            </w:tcBorders>
          </w:tcPr>
          <w:p w:rsidR="00000000" w:rsidRDefault="00000000">
            <w:pPr>
              <w:pStyle w:val="FootnoteText"/>
              <w:spacing w:line="288" w:lineRule="auto"/>
              <w:jc w:val="center"/>
              <w:rPr>
                <w:lang w:val="en-US"/>
              </w:rPr>
            </w:pPr>
            <w:r>
              <w:rPr>
                <w:lang w:val="en-US"/>
              </w:rPr>
              <w:t>2 487</w:t>
            </w:r>
          </w:p>
          <w:p w:rsidR="00000000" w:rsidRDefault="00000000">
            <w:pPr>
              <w:jc w:val="center"/>
              <w:rPr>
                <w:u w:val="single"/>
                <w:lang w:val="en-US"/>
              </w:rPr>
            </w:pPr>
          </w:p>
        </w:tc>
      </w:tr>
      <w:tr w:rsidR="00000000">
        <w:tblPrEx>
          <w:tblCellMar>
            <w:top w:w="0" w:type="dxa"/>
            <w:bottom w:w="0" w:type="dxa"/>
          </w:tblCellMar>
        </w:tblPrEx>
        <w:tc>
          <w:tcPr>
            <w:tcW w:w="3510" w:type="dxa"/>
            <w:tcBorders>
              <w:bottom w:val="nil"/>
            </w:tcBorders>
          </w:tcPr>
          <w:p w:rsidR="00000000" w:rsidRDefault="00000000">
            <w:pPr>
              <w:pStyle w:val="FootnoteText"/>
              <w:spacing w:line="288" w:lineRule="auto"/>
            </w:pPr>
            <w:r>
              <w:t>Государственный сектор</w:t>
            </w:r>
          </w:p>
        </w:tc>
        <w:tc>
          <w:tcPr>
            <w:tcW w:w="3261" w:type="dxa"/>
            <w:tcBorders>
              <w:bottom w:val="nil"/>
              <w:right w:val="single" w:sz="4" w:space="0" w:color="auto"/>
            </w:tcBorders>
          </w:tcPr>
          <w:p w:rsidR="00000000" w:rsidRDefault="00000000">
            <w:pPr>
              <w:jc w:val="center"/>
            </w:pPr>
          </w:p>
        </w:tc>
        <w:tc>
          <w:tcPr>
            <w:tcW w:w="2799" w:type="dxa"/>
            <w:tcBorders>
              <w:left w:val="single" w:sz="4" w:space="0" w:color="auto"/>
              <w:bottom w:val="nil"/>
            </w:tcBorders>
          </w:tcPr>
          <w:p w:rsidR="00000000" w:rsidRDefault="00000000">
            <w:pPr>
              <w:jc w:val="center"/>
              <w:rPr>
                <w:u w:val="single"/>
              </w:rPr>
            </w:pPr>
          </w:p>
        </w:tc>
      </w:tr>
      <w:tr w:rsidR="00000000">
        <w:tblPrEx>
          <w:tblCellMar>
            <w:top w:w="0" w:type="dxa"/>
            <w:bottom w:w="0" w:type="dxa"/>
          </w:tblCellMar>
        </w:tblPrEx>
        <w:tc>
          <w:tcPr>
            <w:tcW w:w="3510" w:type="dxa"/>
            <w:tcBorders>
              <w:top w:val="nil"/>
              <w:bottom w:val="nil"/>
            </w:tcBorders>
          </w:tcPr>
          <w:p w:rsidR="00000000" w:rsidRDefault="00000000">
            <w:pPr>
              <w:pStyle w:val="FootnoteText"/>
              <w:spacing w:line="288" w:lineRule="auto"/>
              <w:ind w:left="567" w:hanging="567"/>
            </w:pPr>
            <w:r>
              <w:t xml:space="preserve">    Государственные пенсии</w:t>
            </w:r>
          </w:p>
        </w:tc>
        <w:tc>
          <w:tcPr>
            <w:tcW w:w="3261" w:type="dxa"/>
            <w:tcBorders>
              <w:top w:val="nil"/>
              <w:bottom w:val="nil"/>
              <w:right w:val="single" w:sz="4" w:space="0" w:color="auto"/>
            </w:tcBorders>
          </w:tcPr>
          <w:p w:rsidR="00000000" w:rsidRDefault="00000000">
            <w:pPr>
              <w:pStyle w:val="FootnoteText"/>
              <w:spacing w:line="288" w:lineRule="auto"/>
              <w:jc w:val="center"/>
              <w:rPr>
                <w:lang w:val="en-US"/>
              </w:rPr>
            </w:pPr>
            <w:r>
              <w:rPr>
                <w:lang w:val="en-US"/>
              </w:rPr>
              <w:t>143 889</w:t>
            </w:r>
          </w:p>
        </w:tc>
        <w:tc>
          <w:tcPr>
            <w:tcW w:w="2799" w:type="dxa"/>
            <w:tcBorders>
              <w:top w:val="nil"/>
              <w:left w:val="single" w:sz="4" w:space="0" w:color="auto"/>
              <w:bottom w:val="nil"/>
            </w:tcBorders>
          </w:tcPr>
          <w:p w:rsidR="00000000" w:rsidRDefault="00000000">
            <w:pPr>
              <w:pStyle w:val="FootnoteText"/>
              <w:spacing w:line="288" w:lineRule="auto"/>
              <w:jc w:val="center"/>
              <w:rPr>
                <w:lang w:val="en-US"/>
              </w:rPr>
            </w:pPr>
            <w:r>
              <w:rPr>
                <w:lang w:val="en-US"/>
              </w:rPr>
              <w:t>5 224</w:t>
            </w:r>
          </w:p>
        </w:tc>
      </w:tr>
      <w:tr w:rsidR="00000000">
        <w:tblPrEx>
          <w:tblCellMar>
            <w:top w:w="0" w:type="dxa"/>
            <w:bottom w:w="0" w:type="dxa"/>
          </w:tblCellMar>
        </w:tblPrEx>
        <w:tc>
          <w:tcPr>
            <w:tcW w:w="3510" w:type="dxa"/>
            <w:tcBorders>
              <w:top w:val="nil"/>
              <w:bottom w:val="nil"/>
            </w:tcBorders>
          </w:tcPr>
          <w:p w:rsidR="00000000" w:rsidRDefault="00000000">
            <w:pPr>
              <w:pStyle w:val="FootnoteText"/>
              <w:spacing w:line="288" w:lineRule="auto"/>
            </w:pPr>
            <w:r>
              <w:rPr>
                <w:lang w:val="en-US"/>
              </w:rPr>
              <w:t xml:space="preserve">    </w:t>
            </w:r>
            <w:proofErr w:type="spellStart"/>
            <w:r>
              <w:rPr>
                <w:lang w:val="en-US"/>
              </w:rPr>
              <w:t>Муниципальные</w:t>
            </w:r>
            <w:proofErr w:type="spellEnd"/>
            <w:r>
              <w:rPr>
                <w:lang w:val="en-US"/>
              </w:rPr>
              <w:t xml:space="preserve"> </w:t>
            </w:r>
            <w:proofErr w:type="spellStart"/>
            <w:r>
              <w:rPr>
                <w:lang w:val="en-US"/>
              </w:rPr>
              <w:t>пенсии</w:t>
            </w:r>
            <w:proofErr w:type="spellEnd"/>
          </w:p>
        </w:tc>
        <w:tc>
          <w:tcPr>
            <w:tcW w:w="3261" w:type="dxa"/>
            <w:tcBorders>
              <w:top w:val="nil"/>
              <w:right w:val="single" w:sz="4" w:space="0" w:color="auto"/>
            </w:tcBorders>
          </w:tcPr>
          <w:p w:rsidR="00000000" w:rsidRDefault="00000000">
            <w:pPr>
              <w:pStyle w:val="FootnoteText"/>
              <w:spacing w:line="288" w:lineRule="auto"/>
              <w:jc w:val="center"/>
              <w:rPr>
                <w:lang w:val="en-US"/>
              </w:rPr>
            </w:pPr>
            <w:r>
              <w:rPr>
                <w:lang w:val="en-US"/>
              </w:rPr>
              <w:t>119 561</w:t>
            </w:r>
          </w:p>
        </w:tc>
        <w:tc>
          <w:tcPr>
            <w:tcW w:w="2799" w:type="dxa"/>
            <w:tcBorders>
              <w:top w:val="nil"/>
              <w:left w:val="single" w:sz="4" w:space="0" w:color="auto"/>
            </w:tcBorders>
          </w:tcPr>
          <w:p w:rsidR="00000000" w:rsidRDefault="00000000">
            <w:pPr>
              <w:jc w:val="center"/>
              <w:rPr>
                <w:lang w:val="en-US"/>
              </w:rPr>
            </w:pPr>
            <w:r>
              <w:rPr>
                <w:lang w:val="en-US"/>
              </w:rPr>
              <w:t>3 968</w:t>
            </w:r>
          </w:p>
        </w:tc>
      </w:tr>
      <w:tr w:rsidR="00000000">
        <w:tblPrEx>
          <w:tblCellMar>
            <w:top w:w="0" w:type="dxa"/>
            <w:bottom w:w="0" w:type="dxa"/>
          </w:tblCellMar>
        </w:tblPrEx>
        <w:tc>
          <w:tcPr>
            <w:tcW w:w="3510" w:type="dxa"/>
            <w:tcBorders>
              <w:top w:val="single" w:sz="4" w:space="0" w:color="auto"/>
              <w:bottom w:val="single" w:sz="4" w:space="0" w:color="auto"/>
            </w:tcBorders>
          </w:tcPr>
          <w:p w:rsidR="00000000" w:rsidRDefault="00000000">
            <w:pPr>
              <w:pStyle w:val="FootnoteText"/>
              <w:spacing w:line="288" w:lineRule="auto"/>
              <w:rPr>
                <w:i/>
              </w:rPr>
            </w:pPr>
            <w:r>
              <w:rPr>
                <w:i/>
              </w:rPr>
              <w:t>Национальные пенсии</w:t>
            </w:r>
          </w:p>
        </w:tc>
        <w:tc>
          <w:tcPr>
            <w:tcW w:w="3261" w:type="dxa"/>
            <w:tcBorders>
              <w:bottom w:val="single" w:sz="4" w:space="0" w:color="auto"/>
              <w:right w:val="single" w:sz="4" w:space="0" w:color="auto"/>
            </w:tcBorders>
          </w:tcPr>
          <w:p w:rsidR="00000000" w:rsidRDefault="00000000">
            <w:pPr>
              <w:pStyle w:val="FootnoteText"/>
              <w:spacing w:line="288" w:lineRule="auto"/>
              <w:jc w:val="center"/>
              <w:rPr>
                <w:lang w:val="en-US"/>
              </w:rPr>
            </w:pPr>
            <w:r>
              <w:rPr>
                <w:lang w:val="en-US"/>
              </w:rPr>
              <w:t>773 630</w:t>
            </w:r>
          </w:p>
        </w:tc>
        <w:tc>
          <w:tcPr>
            <w:tcW w:w="2799" w:type="dxa"/>
            <w:tcBorders>
              <w:left w:val="single" w:sz="4" w:space="0" w:color="auto"/>
              <w:bottom w:val="single" w:sz="4" w:space="0" w:color="auto"/>
            </w:tcBorders>
          </w:tcPr>
          <w:p w:rsidR="00000000" w:rsidRDefault="00000000">
            <w:pPr>
              <w:jc w:val="center"/>
              <w:rPr>
                <w:lang w:val="en-US"/>
              </w:rPr>
            </w:pPr>
            <w:r>
              <w:rPr>
                <w:lang w:val="en-US"/>
              </w:rPr>
              <w:t>1 345</w:t>
            </w:r>
          </w:p>
        </w:tc>
      </w:tr>
    </w:tbl>
    <w:p w:rsidR="00000000" w:rsidRDefault="00000000">
      <w:pPr>
        <w:ind w:left="1418" w:hanging="1418"/>
        <w:rPr>
          <w:u w:val="single"/>
        </w:rPr>
      </w:pPr>
    </w:p>
    <w:p w:rsidR="00000000" w:rsidRDefault="00000000">
      <w:pPr>
        <w:ind w:left="1418" w:hanging="1418"/>
        <w:rPr>
          <w:u w:val="single"/>
        </w:rPr>
      </w:pPr>
    </w:p>
    <w:p w:rsidR="00000000" w:rsidRDefault="00000000">
      <w:pPr>
        <w:pStyle w:val="Heading7"/>
        <w:spacing w:line="288" w:lineRule="auto"/>
      </w:pPr>
      <w:r>
        <w:t>Примечания</w:t>
      </w:r>
    </w:p>
    <w:p w:rsidR="00000000" w:rsidRDefault="00000000">
      <w:pPr>
        <w:pStyle w:val="Heading7"/>
        <w:spacing w:line="288" w:lineRule="auto"/>
      </w:pPr>
    </w:p>
    <w:p w:rsidR="00000000" w:rsidRDefault="00000000">
      <w:pPr>
        <w:tabs>
          <w:tab w:val="clear" w:pos="1701"/>
          <w:tab w:val="left" w:pos="1418"/>
        </w:tabs>
      </w:pPr>
      <w:r>
        <w:rPr>
          <w:b/>
          <w:vertAlign w:val="superscript"/>
        </w:rPr>
        <w:t>1</w:t>
      </w:r>
      <w:r>
        <w:rPr>
          <w:vertAlign w:val="superscript"/>
        </w:rPr>
        <w:tab/>
      </w:r>
      <w:r>
        <w:t xml:space="preserve">Поскольку один гражданин может иметь право на получение пенсии в нескольких пенсионных системах, количество выплаченных пенсий превышает число пенсионеров. </w:t>
      </w:r>
    </w:p>
    <w:p w:rsidR="00000000" w:rsidRDefault="00000000">
      <w:pPr>
        <w:tabs>
          <w:tab w:val="clear" w:pos="1701"/>
          <w:tab w:val="left" w:pos="1418"/>
        </w:tabs>
      </w:pPr>
    </w:p>
    <w:p w:rsidR="00000000" w:rsidRDefault="00000000">
      <w:pPr>
        <w:tabs>
          <w:tab w:val="clear" w:pos="1701"/>
          <w:tab w:val="left" w:pos="1418"/>
        </w:tabs>
      </w:pPr>
      <w:r>
        <w:rPr>
          <w:b/>
          <w:vertAlign w:val="superscript"/>
        </w:rPr>
        <w:t>2</w:t>
      </w:r>
      <w:r>
        <w:rPr>
          <w:vertAlign w:val="superscript"/>
        </w:rPr>
        <w:tab/>
      </w:r>
      <w:r>
        <w:t xml:space="preserve">Некоторые пенсии за выслугу лет представляют собой </w:t>
      </w:r>
      <w:proofErr w:type="spellStart"/>
      <w:r>
        <w:t>предоплаченные</w:t>
      </w:r>
      <w:proofErr w:type="spellEnd"/>
      <w:r>
        <w:t xml:space="preserve"> полисы и фактически имеют весьма небольшой размер, в связи с чем среднемесячный размер пенсии в вышеуказанной таблице ниже по сравнению со средней общей суммой пенсии, полученной бенефициарами.  Лица, имеющие невысокую пенсию за выслугу лет, пользуются правом на получение национальной пенсии в полном объеме или частично.</w:t>
      </w:r>
    </w:p>
    <w:p w:rsidR="00000000" w:rsidRDefault="00000000">
      <w:pPr>
        <w:tabs>
          <w:tab w:val="clear" w:pos="1701"/>
          <w:tab w:val="left" w:pos="1418"/>
        </w:tabs>
        <w:rPr>
          <w:lang w:val="en-US"/>
        </w:rPr>
      </w:pPr>
    </w:p>
    <w:p w:rsidR="00000000" w:rsidRDefault="00000000">
      <w:pPr>
        <w:tabs>
          <w:tab w:val="clear" w:pos="1701"/>
          <w:tab w:val="left" w:pos="1418"/>
        </w:tabs>
        <w:rPr>
          <w:lang w:val="en-US"/>
        </w:rPr>
      </w:pPr>
    </w:p>
    <w:p w:rsidR="00000000" w:rsidRDefault="00000000">
      <w:pPr>
        <w:tabs>
          <w:tab w:val="clear" w:pos="1701"/>
          <w:tab w:val="left" w:pos="1418"/>
        </w:tabs>
        <w:rPr>
          <w:u w:val="single"/>
        </w:rPr>
      </w:pPr>
      <w:r>
        <w:t>2.</w:t>
      </w:r>
      <w:r>
        <w:tab/>
      </w:r>
      <w:r>
        <w:rPr>
          <w:lang w:val="en-US"/>
        </w:rPr>
        <w:t>e</w:t>
      </w:r>
      <w:r>
        <w:t>)</w:t>
      </w:r>
      <w:r>
        <w:tab/>
      </w:r>
      <w:r>
        <w:rPr>
          <w:u w:val="single"/>
        </w:rPr>
        <w:t>Пособия по инвалидности</w:t>
      </w:r>
    </w:p>
    <w:p w:rsidR="00000000" w:rsidRDefault="00000000">
      <w:pPr>
        <w:tabs>
          <w:tab w:val="clear" w:pos="1701"/>
          <w:tab w:val="left" w:pos="1418"/>
        </w:tabs>
        <w:rPr>
          <w:b/>
          <w:u w:val="single"/>
        </w:rPr>
      </w:pPr>
    </w:p>
    <w:p w:rsidR="00000000" w:rsidRDefault="00000000">
      <w:pPr>
        <w:tabs>
          <w:tab w:val="clear" w:pos="1701"/>
          <w:tab w:val="left" w:pos="1418"/>
        </w:tabs>
      </w:pPr>
      <w:r>
        <w:t>200.</w:t>
      </w:r>
      <w:r>
        <w:tab/>
        <w:t>В течение периода нетрудоспособности доход граждан обеспечивается за счет пенсии за выслугу лет, национальной пенсии или пособия на жилье для пенсионеров.</w:t>
      </w:r>
    </w:p>
    <w:p w:rsidR="00000000" w:rsidRDefault="00000000">
      <w:pPr>
        <w:tabs>
          <w:tab w:val="clear" w:pos="1701"/>
          <w:tab w:val="left" w:pos="1418"/>
        </w:tabs>
      </w:pPr>
    </w:p>
    <w:p w:rsidR="00000000" w:rsidRDefault="00000000">
      <w:pPr>
        <w:tabs>
          <w:tab w:val="clear" w:pos="1701"/>
          <w:tab w:val="left" w:pos="1418"/>
        </w:tabs>
      </w:pPr>
      <w:r>
        <w:t>201.</w:t>
      </w:r>
      <w:r>
        <w:tab/>
        <w:t>Критерии назначения пенсии по инвалидности, изложенные в предыдущем докладе, по</w:t>
      </w:r>
      <w:r>
        <w:noBreakHyphen/>
        <w:t>прежнему действуют, за исключением того, что возраст досрочного выхода на пенсию был повышен до 58 лет (ранее он составлял 55 лет).</w:t>
      </w:r>
    </w:p>
    <w:p w:rsidR="00000000" w:rsidRDefault="00000000">
      <w:pPr>
        <w:tabs>
          <w:tab w:val="clear" w:pos="1701"/>
          <w:tab w:val="left" w:pos="1418"/>
        </w:tabs>
      </w:pPr>
    </w:p>
    <w:p w:rsidR="00000000" w:rsidRDefault="00000000">
      <w:pPr>
        <w:tabs>
          <w:tab w:val="clear" w:pos="1701"/>
          <w:tab w:val="left" w:pos="1418"/>
        </w:tabs>
      </w:pPr>
      <w:r>
        <w:t>202.</w:t>
      </w:r>
      <w:r>
        <w:tab/>
        <w:t>Пенсии выплачиваются из тех же пенсионных систем и на тех же условиях, что и пенсии по старости.  Однако с 1 января 1996 года были снижены тарифы начисления, используемые применительно к не входящим в трудовой стаж годам, засчитываемым при исчислении размера пенсий по инвалидности.  В настоящее время тариф начисления составляет 1,2% в год для зачетных лет в возрастной группе 50-59 лет и 0,8% в год для возрастной группы 60</w:t>
      </w:r>
      <w:r>
        <w:noBreakHyphen/>
        <w:t>64 года.  Во всех остальных случаях тариф начисления составляет 1,5% в год.  Пенсия по инвалидности начисляется с момента приобретения пенсионного права (в будущем) до момента получения реципиентом права на пенсию по старости.</w:t>
      </w:r>
    </w:p>
    <w:p w:rsidR="00000000" w:rsidRDefault="00000000">
      <w:pPr>
        <w:tabs>
          <w:tab w:val="clear" w:pos="1701"/>
          <w:tab w:val="left" w:pos="1418"/>
        </w:tabs>
      </w:pPr>
    </w:p>
    <w:p w:rsidR="00000000" w:rsidRDefault="00000000">
      <w:pPr>
        <w:tabs>
          <w:tab w:val="clear" w:pos="1701"/>
          <w:tab w:val="left" w:pos="1418"/>
        </w:tabs>
      </w:pPr>
      <w:r>
        <w:t>203.</w:t>
      </w:r>
      <w:r>
        <w:tab/>
        <w:t xml:space="preserve">В 1997 году пенсия по инвалидности выплачивалась 294 951 бенефициару, что составляет 5,7% от численности населения.  Среднемесячный размер пенсии был равен 5 146 </w:t>
      </w:r>
      <w:proofErr w:type="spellStart"/>
      <w:r>
        <w:t>фин</w:t>
      </w:r>
      <w:proofErr w:type="spellEnd"/>
      <w:r>
        <w:t>. марок.</w:t>
      </w:r>
    </w:p>
    <w:p w:rsidR="00000000" w:rsidRDefault="00000000">
      <w:pPr>
        <w:tabs>
          <w:tab w:val="clear" w:pos="1701"/>
          <w:tab w:val="left" w:pos="1418"/>
        </w:tabs>
      </w:pPr>
    </w:p>
    <w:p w:rsidR="00000000" w:rsidRDefault="00000000">
      <w:pPr>
        <w:tabs>
          <w:tab w:val="clear" w:pos="1701"/>
          <w:tab w:val="left" w:pos="1418"/>
        </w:tabs>
        <w:rPr>
          <w:u w:val="single"/>
        </w:rPr>
      </w:pPr>
      <w:r>
        <w:t>2.</w:t>
      </w:r>
      <w:r>
        <w:tab/>
      </w:r>
      <w:r>
        <w:rPr>
          <w:lang w:val="en-US"/>
        </w:rPr>
        <w:t>f</w:t>
      </w:r>
      <w:r>
        <w:t>)</w:t>
      </w:r>
      <w:r>
        <w:tab/>
      </w:r>
      <w:r>
        <w:rPr>
          <w:u w:val="single"/>
        </w:rPr>
        <w:t xml:space="preserve">Пенсионные выплаты в связи с потерей кормильца </w:t>
      </w:r>
    </w:p>
    <w:p w:rsidR="00000000" w:rsidRDefault="00000000">
      <w:pPr>
        <w:tabs>
          <w:tab w:val="clear" w:pos="1701"/>
          <w:tab w:val="left" w:pos="1418"/>
        </w:tabs>
        <w:rPr>
          <w:u w:val="single"/>
        </w:rPr>
      </w:pPr>
    </w:p>
    <w:p w:rsidR="00000000" w:rsidRDefault="00000000">
      <w:pPr>
        <w:tabs>
          <w:tab w:val="clear" w:pos="1701"/>
          <w:tab w:val="left" w:pos="1418"/>
        </w:tabs>
      </w:pPr>
      <w:r>
        <w:t>204.</w:t>
      </w:r>
      <w:r>
        <w:tab/>
        <w:t>В случае смерти кормильца вдова и дети, как правило, имеют право на получение двух предусмотренных законом пенсий:  пенсии в связи с потерей кормильца, предусмотренной системой пенсий за выслугу лет, и общей пенсии в связи с потерей кормильца, предусмотренной системой национальных пенсий.</w:t>
      </w:r>
    </w:p>
    <w:p w:rsidR="00000000" w:rsidRDefault="00000000">
      <w:pPr>
        <w:tabs>
          <w:tab w:val="clear" w:pos="1701"/>
          <w:tab w:val="left" w:pos="1418"/>
        </w:tabs>
      </w:pPr>
    </w:p>
    <w:p w:rsidR="00000000" w:rsidRDefault="00000000">
      <w:pPr>
        <w:tabs>
          <w:tab w:val="clear" w:pos="1701"/>
          <w:tab w:val="left" w:pos="1418"/>
        </w:tabs>
      </w:pPr>
      <w:r>
        <w:t>205.</w:t>
      </w:r>
      <w:r>
        <w:tab/>
        <w:t>За отчетный период каких-либо изменений в законодательстве о пенсионных правах и пособиях в связи с потерей кормильца не произошло.</w:t>
      </w:r>
    </w:p>
    <w:p w:rsidR="00000000" w:rsidRDefault="00000000">
      <w:pPr>
        <w:tabs>
          <w:tab w:val="clear" w:pos="1701"/>
          <w:tab w:val="left" w:pos="1418"/>
        </w:tabs>
      </w:pPr>
    </w:p>
    <w:p w:rsidR="00000000" w:rsidRDefault="00000000">
      <w:pPr>
        <w:tabs>
          <w:tab w:val="clear" w:pos="1701"/>
          <w:tab w:val="left" w:pos="1418"/>
        </w:tabs>
      </w:pPr>
      <w:r>
        <w:t>206.</w:t>
      </w:r>
      <w:r>
        <w:tab/>
        <w:t>Критерии назначения пенсий в связи с потерей кормильца в системе пенсий за выслугу лет были изложены в предыдущем докладе.</w:t>
      </w:r>
    </w:p>
    <w:p w:rsidR="00000000" w:rsidRDefault="00000000">
      <w:pPr>
        <w:tabs>
          <w:tab w:val="clear" w:pos="1701"/>
          <w:tab w:val="left" w:pos="1418"/>
        </w:tabs>
      </w:pPr>
    </w:p>
    <w:p w:rsidR="00000000" w:rsidRDefault="00000000">
      <w:pPr>
        <w:tabs>
          <w:tab w:val="clear" w:pos="1701"/>
          <w:tab w:val="left" w:pos="1418"/>
        </w:tabs>
      </w:pPr>
      <w:r>
        <w:t>207.</w:t>
      </w:r>
      <w:r>
        <w:tab/>
        <w:t>Пенсия в связи с потерей кормильца в системе национальных пенсий выплачивается на основании положений Закона о пенсиях в связи с потерей кормильца.  Пенсии выплачиваются несовершеннолетним сиротам (пенсия осиротевшим детям) или овдовевшим супругам в возрасте до 65 лет (пенсия супругу(</w:t>
      </w:r>
      <w:proofErr w:type="spellStart"/>
      <w:r>
        <w:t>е</w:t>
      </w:r>
      <w:proofErr w:type="spellEnd"/>
      <w:r>
        <w:t>)) при условии, что умерший(</w:t>
      </w:r>
      <w:proofErr w:type="spellStart"/>
      <w:r>
        <w:t>ая</w:t>
      </w:r>
      <w:proofErr w:type="spellEnd"/>
      <w:r>
        <w:t>) лицо вступил(а) в брак в возрасте до 65 лет.  Такая пенсия выплачивается вдове/вдовцу независимо от возраста, если она/он имеет или имел(</w:t>
      </w:r>
      <w:r>
        <w:rPr>
          <w:lang w:val="en-US"/>
        </w:rPr>
        <w:t>a</w:t>
      </w:r>
      <w:r>
        <w:t>) с умершим(ей) общего ребенка.  Этот вид пенсии также выплачивается в том случае, если вдова/вдовец достигли 50-летнего возраста, их брак длился не менее пяти лет и был заключен до достижения вдовой /вдовцом 50-летнего возраста.  Однако вдовы, родившиеся до 1 июля 1950 года, имеют право на получение этого пособия на льготных условиях.  Исходная пенсия в связи с потерей супруга включает базовую сумму, выплачиваемую во всех случаях, и дополнительную сумму, выплачиваемую при условии проверки дохода в течение первых шести месяцев после смерти супруга.  В последующий период выплата этой пенсии может быть продолжена, если оставшийся в живых супруг имеет на попечении ребенка в возрасте до 18 лет.  При отсутствии детей пенсия супругу(</w:t>
      </w:r>
      <w:proofErr w:type="spellStart"/>
      <w:r>
        <w:t>е</w:t>
      </w:r>
      <w:proofErr w:type="spellEnd"/>
      <w:r>
        <w:t>) состоит лишь из дополнительной суммы, зависящей от размера дохода.  Пенсия осиротевшим детям выплачивается потерявшим одного или обоих родителей сиротам в возрасте до 18 лет, а также сиротам в возрасте от 18 лет до 21 года, которые не могут самостоятельно обеспечивать себя в связи с обучением или прохождением профессиональной подготовки.  Соответствующее право может быть приобретено ребенком в связи со смертью родителя, приемного родителя или любого иного лица, взявшего на себя ответственность за ребенка.  Дети, лишившиеся обоих родителей имеют право на получение двух отдельных пенсий, выплачиваемых за каждого родителя.</w:t>
      </w:r>
    </w:p>
    <w:p w:rsidR="00000000" w:rsidRDefault="00000000">
      <w:pPr>
        <w:tabs>
          <w:tab w:val="clear" w:pos="1701"/>
          <w:tab w:val="left" w:pos="1418"/>
        </w:tabs>
      </w:pPr>
    </w:p>
    <w:p w:rsidR="00000000" w:rsidRDefault="00000000">
      <w:pPr>
        <w:tabs>
          <w:tab w:val="clear" w:pos="1701"/>
          <w:tab w:val="left" w:pos="1418"/>
        </w:tabs>
      </w:pPr>
      <w:r>
        <w:t>208.</w:t>
      </w:r>
      <w:r>
        <w:tab/>
        <w:t>В 1997 году право на получение пенсии супругу(</w:t>
      </w:r>
      <w:proofErr w:type="spellStart"/>
      <w:r>
        <w:t>е</w:t>
      </w:r>
      <w:proofErr w:type="spellEnd"/>
      <w:r>
        <w:t>) имели 243 445 человек, а пенсии осиротевшим детям – 29 339 детей.  Среднемесячный размер пенсии супругу(</w:t>
      </w:r>
      <w:proofErr w:type="spellStart"/>
      <w:r>
        <w:t>е</w:t>
      </w:r>
      <w:proofErr w:type="spellEnd"/>
      <w:r>
        <w:t xml:space="preserve">) составил 2 261 </w:t>
      </w:r>
      <w:proofErr w:type="spellStart"/>
      <w:r>
        <w:t>фин</w:t>
      </w:r>
      <w:proofErr w:type="spellEnd"/>
      <w:r>
        <w:t>. марку, в пенсии осиротевшим детям – 1 559 </w:t>
      </w:r>
      <w:proofErr w:type="spellStart"/>
      <w:r>
        <w:t>фин</w:t>
      </w:r>
      <w:proofErr w:type="spellEnd"/>
      <w:r>
        <w:t xml:space="preserve">. марок. </w:t>
      </w:r>
    </w:p>
    <w:p w:rsidR="00000000" w:rsidRDefault="00000000">
      <w:pPr>
        <w:tabs>
          <w:tab w:val="clear" w:pos="1701"/>
          <w:tab w:val="left" w:pos="1418"/>
        </w:tabs>
      </w:pPr>
    </w:p>
    <w:p w:rsidR="00000000" w:rsidRDefault="00000000">
      <w:pPr>
        <w:tabs>
          <w:tab w:val="clear" w:pos="1701"/>
          <w:tab w:val="left" w:pos="1418"/>
        </w:tabs>
        <w:rPr>
          <w:u w:val="single"/>
        </w:rPr>
      </w:pPr>
      <w:r>
        <w:t>2</w:t>
      </w:r>
      <w:r>
        <w:rPr>
          <w:lang w:val="en-US"/>
        </w:rPr>
        <w:t>.</w:t>
      </w:r>
      <w:r>
        <w:rPr>
          <w:lang w:val="en-US"/>
        </w:rPr>
        <w:tab/>
        <w:t>g)</w:t>
      </w:r>
      <w:r>
        <w:rPr>
          <w:lang w:val="en-US"/>
        </w:rPr>
        <w:tab/>
      </w:r>
      <w:r>
        <w:rPr>
          <w:u w:val="single"/>
        </w:rPr>
        <w:t>Пособия в связи с несчастными случаями на производстве</w:t>
      </w:r>
    </w:p>
    <w:p w:rsidR="00000000" w:rsidRDefault="00000000">
      <w:pPr>
        <w:tabs>
          <w:tab w:val="clear" w:pos="1701"/>
          <w:tab w:val="left" w:pos="1418"/>
        </w:tabs>
        <w:rPr>
          <w:b/>
          <w:u w:val="single"/>
        </w:rPr>
      </w:pPr>
    </w:p>
    <w:p w:rsidR="00000000" w:rsidRDefault="00000000">
      <w:pPr>
        <w:tabs>
          <w:tab w:val="clear" w:pos="1701"/>
          <w:tab w:val="left" w:pos="1418"/>
        </w:tabs>
      </w:pPr>
      <w:r>
        <w:t>209.</w:t>
      </w:r>
      <w:r>
        <w:tab/>
        <w:t>Работодатели обязаны страховать своих работников и выплачивать страховые взносы.  С начала 1999 года размер страховых взносов более не определяется соответствующими властями, однако они по-прежнему должны зависеть от степени опасности конкретной профессии или вида работ.  Сумма страховых взносов мелких работодателей зависит от статистической вероятности несчастного случая на данном производстве в целом.  Сумма страхового взноса средних и крупных работодателей исчисляется полностью или частично исходя из статистики несчастных случаев у данного работодателя.  Сумма страхового взноса определяется в соответствии с фиксированной процентной ставкой, зависящей от расходов работодателя на заработную плату и опасности конкретного производства.  В 1998 году отчисления работодателей на цели страхования от несчастных случаев на производстве составили в среднем 1,6% расходов на заработную плату.</w:t>
      </w:r>
    </w:p>
    <w:p w:rsidR="00000000" w:rsidRDefault="00000000">
      <w:pPr>
        <w:tabs>
          <w:tab w:val="clear" w:pos="1701"/>
          <w:tab w:val="left" w:pos="1418"/>
        </w:tabs>
      </w:pPr>
    </w:p>
    <w:p w:rsidR="00000000" w:rsidRDefault="00000000">
      <w:pPr>
        <w:tabs>
          <w:tab w:val="clear" w:pos="1701"/>
          <w:tab w:val="left" w:pos="1418"/>
        </w:tabs>
      </w:pPr>
      <w:r>
        <w:t>210.</w:t>
      </w:r>
      <w:r>
        <w:tab/>
        <w:t>Если страховая компания не удовлетворяет претензию на возмещение ущерба или не выплачивает компенсацию в течение разумного периода времени, данный вопрос передается на рассмотрение федерации учреждений по страхованию от несчастных случаев.  Расходы, связанные с подобной неуплатой, подлежат взысканию со страховой компании.  В случае ее банкротства ответственность за компенсацию передается другой страховой компании, занимающейся страхованием от несчастных случаев.  Эти системы гарантий вступили в силу в начале 1997 года.</w:t>
      </w:r>
    </w:p>
    <w:p w:rsidR="00000000" w:rsidRDefault="00000000">
      <w:pPr>
        <w:tabs>
          <w:tab w:val="clear" w:pos="1701"/>
          <w:tab w:val="left" w:pos="1418"/>
        </w:tabs>
      </w:pPr>
    </w:p>
    <w:p w:rsidR="00000000" w:rsidRDefault="00000000">
      <w:pPr>
        <w:tabs>
          <w:tab w:val="clear" w:pos="1701"/>
          <w:tab w:val="left" w:pos="1418"/>
        </w:tabs>
      </w:pPr>
      <w:r>
        <w:t>211.</w:t>
      </w:r>
      <w:r>
        <w:tab/>
        <w:t>В дополнение к информации о пособиях в связи с несчастными случаями на производстве, приведенной в предыдущем докладе, ниже излагаются некоторые новые положения.</w:t>
      </w:r>
    </w:p>
    <w:p w:rsidR="00000000" w:rsidRDefault="00000000">
      <w:pPr>
        <w:tabs>
          <w:tab w:val="clear" w:pos="1701"/>
          <w:tab w:val="left" w:pos="1418"/>
        </w:tabs>
      </w:pPr>
    </w:p>
    <w:p w:rsidR="00000000" w:rsidRDefault="00000000">
      <w:r>
        <w:t>212.</w:t>
      </w:r>
      <w:r>
        <w:tab/>
        <w:t xml:space="preserve">Ежедневное пособие по нетрудоспособности выплачивается в течение периода, не превышающего одного года, после которого застрахованное лицо приобретает право на получение пенсии в связи с несчастным случаем до тех пор, пока не будет установлено, что вследствие несчастного случая или профессионального заболевания доходы застрахованного лица снизились не менее чем на 10%.  Полная пенсия в связи с несчастным случаем составляет 85% от годового дохода, причем размер пенсии снижается до 70% от годового дохода после достижения бенефициаром 65 лет.  Расходы на медицинскую помощь возмещаются в полном объеме, включая оплату услуг врача, пребывания в больнице, лекарств, протезов и других вспомогательных средств, а также расходов на проезд.  Если повреждение, вызванное несчастным случаем или профессиональным заболеванием, приводит к утрате общей трудоспособности, застрахованное лицо имеет право на получение пособия за причиненные неудобства с целью компенсации за другие неудобства, помимо снижения степени трудоспособности, вызванные повреждением или заболеванием.  В случае смерти застрахованного лица в результате несчастного случая на производстве или профессионального заболевания иждивенцам выплачивается пенсия в связи с потерей кормильца, а также пособие на организацию похорон (размер которого в 1998 году составлял 19 400 фин. марок).  </w:t>
      </w:r>
    </w:p>
    <w:p w:rsidR="00000000" w:rsidRDefault="00000000"/>
    <w:p w:rsidR="00000000" w:rsidRDefault="00000000">
      <w:r>
        <w:t>2</w:t>
      </w:r>
      <w:r>
        <w:rPr>
          <w:lang w:val="en-US"/>
        </w:rPr>
        <w:t>.</w:t>
      </w:r>
      <w:r>
        <w:rPr>
          <w:lang w:val="en-US"/>
        </w:rPr>
        <w:tab/>
        <w:t>h</w:t>
      </w:r>
      <w:r>
        <w:t>)</w:t>
      </w:r>
      <w:r>
        <w:rPr>
          <w:lang w:val="en-US"/>
        </w:rPr>
        <w:tab/>
      </w:r>
      <w:r>
        <w:rPr>
          <w:u w:val="single"/>
        </w:rPr>
        <w:t>Пособия по безработице</w:t>
      </w:r>
    </w:p>
    <w:p w:rsidR="00000000" w:rsidRDefault="00000000">
      <w:pPr>
        <w:rPr>
          <w:b/>
        </w:rPr>
      </w:pPr>
    </w:p>
    <w:p w:rsidR="00000000" w:rsidRDefault="00000000">
      <w:r>
        <w:t>213.</w:t>
      </w:r>
      <w:r>
        <w:tab/>
        <w:t>Информация о пособиях по безработице и недавних изменениях в соответствующем законодательстве сообщалась в докладе об осуществлении Конвенции МОТ № 168, представленном в 1998 году (приложение 31).</w:t>
      </w:r>
    </w:p>
    <w:p w:rsidR="00000000" w:rsidRDefault="00000000"/>
    <w:p w:rsidR="00000000" w:rsidRDefault="00000000">
      <w:pPr>
        <w:rPr>
          <w:u w:val="single"/>
        </w:rPr>
      </w:pPr>
      <w:r>
        <w:t>3.</w:t>
      </w:r>
      <w:r>
        <w:tab/>
      </w:r>
      <w:r>
        <w:rPr>
          <w:u w:val="single"/>
        </w:rPr>
        <w:t>Финансирование социального обеспечения</w:t>
      </w:r>
    </w:p>
    <w:p w:rsidR="00000000" w:rsidRDefault="00000000">
      <w:pPr>
        <w:rPr>
          <w:b/>
          <w:u w:val="single"/>
        </w:rPr>
      </w:pPr>
    </w:p>
    <w:p w:rsidR="00000000" w:rsidRDefault="00000000">
      <w:r>
        <w:t>214.</w:t>
      </w:r>
      <w:r>
        <w:tab/>
        <w:t xml:space="preserve">В течение отчетного периода были проведены реформы системы финансирования социального обеспечения в соответствии с руководящими принципами, предусмотренными в правительственной программе.  Страховые взносы работников и застрахованных лиц были увеличены, а взносы работодателей и правительства – сокращены.  Общая тенденция заключалась в более тесной увязке отчисляемых взносов и получаемых льгот, в частности во всех системах, основанных на размере дохода.  Пособия по минимальному социальному обеспечению все шире финансируются за счет налоговых поступлений.  Вместе с тем обеспечить полное осуществление этого принципа невозможно из-за сокращения бюджетных расходов.  </w:t>
      </w:r>
    </w:p>
    <w:p w:rsidR="00000000" w:rsidRDefault="00000000"/>
    <w:p w:rsidR="00000000" w:rsidRDefault="00000000">
      <w:r>
        <w:t>215.</w:t>
      </w:r>
      <w:r>
        <w:tab/>
        <w:t xml:space="preserve">В Финляндии система социального обеспечения финансируется главным образом работниками, предпринимателями, застрахованными лицами и правительством.  Размер соответствующих взносов сторон и ставки платежей варьируются в зависимости от конкретной системы предоставления льгот.  </w:t>
      </w:r>
    </w:p>
    <w:p w:rsidR="00000000" w:rsidRDefault="00000000"/>
    <w:p w:rsidR="00000000" w:rsidRDefault="00000000">
      <w:r>
        <w:t>216.</w:t>
      </w:r>
      <w:r>
        <w:tab/>
        <w:t xml:space="preserve">Пособия, выплачиваемые </w:t>
      </w:r>
      <w:r>
        <w:rPr>
          <w:lang w:val="en-US"/>
        </w:rPr>
        <w:t>KELA</w:t>
      </w:r>
      <w:r>
        <w:t xml:space="preserve">, финансируются главным образом за счет налоговых поступлений.  Национальная пенсия и льготы по линии медицинского страхования частично финансируются за счет взносов работодателей на цели социального страхования.  В механизмы финансирования этих льгот были внесены изменения.  </w:t>
      </w:r>
    </w:p>
    <w:p w:rsidR="00000000" w:rsidRDefault="00000000">
      <w:pPr>
        <w:pStyle w:val="FootnoteText"/>
        <w:spacing w:line="288" w:lineRule="auto"/>
      </w:pPr>
    </w:p>
    <w:p w:rsidR="00000000" w:rsidRDefault="00000000">
      <w:r>
        <w:t>217.</w:t>
      </w:r>
      <w:r>
        <w:tab/>
      </w:r>
      <w:r>
        <w:rPr>
          <w:u w:val="single"/>
        </w:rPr>
        <w:t>Национальные пенсии</w:t>
      </w:r>
      <w:r>
        <w:t xml:space="preserve"> финансируются главным образом за счет взносов работодателей и дополнительных целевых ассигнований, выделяемых правительством.  С 1993 года для финансирования системы пенсионных льгот используется определенная доля доходов от налога на добавленную стоимость и особых сборов, взимаемых с компаний, занимающихся страхованием транспортных средств и дорожно-транспортных происшествий.  До 1996 года часть указанных расходов покрывали муниципалитеты, а застрахованный вносил общий взнос, приуроченный к уплате налогов.  Этот порядок был упразднен в 1996 году.  В настоящее время единственным источником финансирования системы пенсий в связи с потерей кормильца, льгот ветеранам, пособий по общей инвалидности, пособий по детской инвалидности и пособий на жилье для пенсионеров является государственный бюджет;  государством финансируется 29% национальных пенсий.  Правительство также обеспечивает систему национальных пенсий и выделяет дополнительные ассигнования в случае нехватки поступлений для покрытия соответствующих расходов.  В 1998 году сумма дополнительных субсидий составила в общей сложности 495 млн. фин. марок.  </w:t>
      </w:r>
    </w:p>
    <w:p w:rsidR="00000000" w:rsidRDefault="00000000"/>
    <w:p w:rsidR="00000000" w:rsidRDefault="00000000">
      <w:r>
        <w:t>218.</w:t>
      </w:r>
      <w:r>
        <w:tab/>
      </w:r>
      <w:r>
        <w:rPr>
          <w:u w:val="single"/>
        </w:rPr>
        <w:t>Система медицинского страхования</w:t>
      </w:r>
      <w:r>
        <w:rPr>
          <w:i/>
          <w:u w:val="single"/>
        </w:rPr>
        <w:t xml:space="preserve"> </w:t>
      </w:r>
      <w:r>
        <w:t>финансируется за счет отчислений работодателей и взносов застрахованных лиц, размер которых определяется исходя из уровня их облагаемого налогом дохода.  При недостаточном объеме других доходов правительство выделяет субсидию.  В период 1995</w:t>
      </w:r>
      <w:r>
        <w:noBreakHyphen/>
        <w:t>1997 годов необходимость в государственных субсидиях отсутствовала.  В 1998 году их размер составил 1 050 000</w:t>
      </w:r>
      <w:r>
        <w:rPr>
          <w:lang w:val="en-US"/>
        </w:rPr>
        <w:t> </w:t>
      </w:r>
      <w:proofErr w:type="spellStart"/>
      <w:r>
        <w:t>фин</w:t>
      </w:r>
      <w:proofErr w:type="spellEnd"/>
      <w:r>
        <w:t xml:space="preserve">. марок, или 8% от общего объема расходов.  На основе законодательства ЕС и двусторонних соглашений правительство берет на себя расходы, связанные с медицинским обслуживанием финских граждан за рубежом, при этом в Финляндии медицинское обслуживание иностранных граждан финансируется муниципалитетами.  </w:t>
      </w:r>
    </w:p>
    <w:p w:rsidR="00000000" w:rsidRDefault="00000000"/>
    <w:p w:rsidR="00000000" w:rsidRDefault="00000000">
      <w:r>
        <w:br w:type="page"/>
        <w:t>219.</w:t>
      </w:r>
      <w:r>
        <w:tab/>
        <w:t>В 1998 году размер взноса по медицинскому страхованию для застрахованного лица составлял 1,5% от облагаемого налогом дохода.  Размер взноса по медицинскому страхованию для пенсионеров составлял 1,5% от всех налогооблагаемых доходов плюс 2,7% от налогооблагаемого пенсионного дохода (что в сумме составляет 4,2%).  Размер взносов лиц, получающих пособия по линии социального обеспечения, превышал размер взносов, выплачиваемых работниками, в связи с тем, что с пенсионных выплат не взимаются обязательные взносы по линии пенсии за выслугу лет и взносы по страхованию от безработицы.</w:t>
      </w:r>
    </w:p>
    <w:p w:rsidR="00000000" w:rsidRDefault="00000000"/>
    <w:p w:rsidR="00000000" w:rsidRDefault="00000000">
      <w:r>
        <w:t>220.</w:t>
      </w:r>
      <w:r>
        <w:tab/>
        <w:t xml:space="preserve">Ставка отчислений работодателей по линии медицинского страхования в частном секторе составляет 1,6%, а ставка отчислений на цели национального пенсионного обеспечения – 2,4%, 4,0% или 4,9% от суммы выплаченной заработной платы.  Таким образом, в 1998 году общий объем взносов работодателей по линии социального обеспечения составил 4,0%, 5,6% или 6,5% от суммы выплаченной заработной платы.  На льготы для детей отчисления не производятся.  Для правительственных и государственных учреждений отчисления на цели медицинского страхования установлены в размере 2,85%, для муниципальных образований и федераций муниципалитетов – 1,6%, а других работодателей в государственном секторе (т.е. церковных приходов) - 6,85% от размера выплаченной заработной платы.  Ставка взноса по линии национального пенсионного обеспечения для всех работодателей в государственном секторе составляет 3,95% от выплаченной заработной платы.  </w:t>
      </w:r>
    </w:p>
    <w:p w:rsidR="00000000" w:rsidRDefault="00000000">
      <w:pPr>
        <w:pStyle w:val="FootnoteText"/>
        <w:spacing w:line="288" w:lineRule="auto"/>
      </w:pPr>
    </w:p>
    <w:p w:rsidR="00000000" w:rsidRDefault="00000000">
      <w:pPr>
        <w:tabs>
          <w:tab w:val="left" w:pos="2835"/>
        </w:tabs>
        <w:rPr>
          <w:u w:val="single"/>
        </w:rPr>
      </w:pPr>
      <w:r>
        <w:rPr>
          <w:lang w:val="en-US"/>
        </w:rPr>
        <w:tab/>
      </w:r>
      <w:r>
        <w:t>Таблица 11.</w:t>
      </w:r>
      <w:r>
        <w:rPr>
          <w:lang w:val="en-US"/>
        </w:rPr>
        <w:tab/>
      </w:r>
      <w:r>
        <w:rPr>
          <w:u w:val="single"/>
        </w:rPr>
        <w:t>Взносы по линии социального страхования, 1994-1998 годы</w:t>
      </w:r>
    </w:p>
    <w:p w:rsidR="00000000" w:rsidRDefault="00000000">
      <w:pPr>
        <w:rPr>
          <w:b/>
          <w:u w:val="single"/>
        </w:rPr>
      </w:pPr>
    </w:p>
    <w:tbl>
      <w:tblPr>
        <w:tblW w:w="0" w:type="auto"/>
        <w:tblInd w:w="-106" w:type="dxa"/>
        <w:tblLayout w:type="fixed"/>
        <w:tblLook w:val="0000" w:firstRow="0" w:lastRow="0" w:firstColumn="0" w:lastColumn="0" w:noHBand="0" w:noVBand="0"/>
      </w:tblPr>
      <w:tblGrid>
        <w:gridCol w:w="3794"/>
        <w:gridCol w:w="1155"/>
        <w:gridCol w:w="1155"/>
        <w:gridCol w:w="1155"/>
        <w:gridCol w:w="1155"/>
        <w:gridCol w:w="1156"/>
      </w:tblGrid>
      <w:tr w:rsidR="00000000">
        <w:tblPrEx>
          <w:tblCellMar>
            <w:top w:w="0" w:type="dxa"/>
            <w:bottom w:w="0" w:type="dxa"/>
          </w:tblCellMar>
        </w:tblPrEx>
        <w:tc>
          <w:tcPr>
            <w:tcW w:w="3794" w:type="dxa"/>
            <w:tcBorders>
              <w:top w:val="single" w:sz="4" w:space="0" w:color="auto"/>
              <w:left w:val="single" w:sz="4" w:space="0" w:color="auto"/>
              <w:bottom w:val="single" w:sz="4" w:space="0" w:color="auto"/>
              <w:right w:val="single" w:sz="4" w:space="0" w:color="auto"/>
            </w:tcBorders>
          </w:tcPr>
          <w:p w:rsidR="00000000" w:rsidRDefault="00000000">
            <w:r>
              <w:t>Год</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jc w:val="center"/>
            </w:pPr>
            <w:r>
              <w:t>1994</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c>
          <w:tcPr>
            <w:tcW w:w="3794" w:type="dxa"/>
            <w:tcBorders>
              <w:left w:val="single" w:sz="4" w:space="0" w:color="auto"/>
              <w:right w:val="single" w:sz="4" w:space="0" w:color="auto"/>
            </w:tcBorders>
          </w:tcPr>
          <w:p w:rsidR="00000000" w:rsidRDefault="00000000">
            <w:pPr>
              <w:pStyle w:val="Heading2"/>
            </w:pPr>
            <w:r>
              <w:t>Национальная пенсия</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pP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pP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pP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pPr>
          </w:p>
        </w:tc>
      </w:tr>
      <w:tr w:rsidR="00000000">
        <w:tblPrEx>
          <w:tblCellMar>
            <w:top w:w="0" w:type="dxa"/>
            <w:bottom w:w="0" w:type="dxa"/>
          </w:tblCellMar>
        </w:tblPrEx>
        <w:tc>
          <w:tcPr>
            <w:tcW w:w="3794" w:type="dxa"/>
            <w:tcBorders>
              <w:left w:val="single" w:sz="4" w:space="0" w:color="auto"/>
              <w:right w:val="single" w:sz="4" w:space="0" w:color="auto"/>
            </w:tcBorders>
          </w:tcPr>
          <w:p w:rsidR="00000000" w:rsidRDefault="00000000">
            <w:r>
              <w:t>Работодатели (в среднем)</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3,41</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3,39</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3,45</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3,24</w:t>
            </w: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3,25</w:t>
            </w:r>
          </w:p>
        </w:tc>
      </w:tr>
      <w:tr w:rsidR="00000000">
        <w:tblPrEx>
          <w:tblCellMar>
            <w:top w:w="0" w:type="dxa"/>
            <w:bottom w:w="0" w:type="dxa"/>
          </w:tblCellMar>
        </w:tblPrEx>
        <w:tc>
          <w:tcPr>
            <w:tcW w:w="3794" w:type="dxa"/>
            <w:tcBorders>
              <w:left w:val="single" w:sz="4" w:space="0" w:color="auto"/>
              <w:right w:val="single" w:sz="4" w:space="0" w:color="auto"/>
            </w:tcBorders>
          </w:tcPr>
          <w:p w:rsidR="00000000" w:rsidRDefault="00000000">
            <w:r>
              <w:t>Застрахованные лица/работники</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1,55</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0,55</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0</w:t>
            </w: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0</w:t>
            </w:r>
          </w:p>
        </w:tc>
      </w:tr>
      <w:tr w:rsidR="00000000">
        <w:tblPrEx>
          <w:tblCellMar>
            <w:top w:w="0" w:type="dxa"/>
            <w:bottom w:w="0" w:type="dxa"/>
          </w:tblCellMar>
        </w:tblPrEx>
        <w:tc>
          <w:tcPr>
            <w:tcW w:w="3794" w:type="dxa"/>
            <w:tcBorders>
              <w:left w:val="single" w:sz="4" w:space="0" w:color="auto"/>
              <w:right w:val="single" w:sz="4" w:space="0" w:color="auto"/>
            </w:tcBorders>
          </w:tcPr>
          <w:p w:rsidR="00000000" w:rsidRDefault="00000000">
            <w:r>
              <w:t>Застрахованные лица/пенсионеры</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2,55</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1,55</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0</w:t>
            </w: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0</w:t>
            </w:r>
          </w:p>
        </w:tc>
      </w:tr>
      <w:tr w:rsidR="00000000">
        <w:tblPrEx>
          <w:tblCellMar>
            <w:top w:w="0" w:type="dxa"/>
            <w:bottom w:w="0" w:type="dxa"/>
          </w:tblCellMar>
        </w:tblPrEx>
        <w:tc>
          <w:tcPr>
            <w:tcW w:w="3794" w:type="dxa"/>
            <w:tcBorders>
              <w:left w:val="single" w:sz="4" w:space="0" w:color="auto"/>
              <w:right w:val="single" w:sz="4" w:space="0" w:color="auto"/>
            </w:tcBorders>
          </w:tcPr>
          <w:p w:rsidR="00000000" w:rsidRDefault="00000000">
            <w:pPr>
              <w:pStyle w:val="Heading2"/>
            </w:pPr>
            <w:r>
              <w:t>Медицинское страхование</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pP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pP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pP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pPr>
          </w:p>
        </w:tc>
      </w:tr>
      <w:tr w:rsidR="00000000">
        <w:tblPrEx>
          <w:tblCellMar>
            <w:top w:w="0" w:type="dxa"/>
            <w:bottom w:w="0" w:type="dxa"/>
          </w:tblCellMar>
        </w:tblPrEx>
        <w:tc>
          <w:tcPr>
            <w:tcW w:w="3794" w:type="dxa"/>
            <w:tcBorders>
              <w:left w:val="single" w:sz="4" w:space="0" w:color="auto"/>
              <w:right w:val="single" w:sz="4" w:space="0" w:color="auto"/>
            </w:tcBorders>
          </w:tcPr>
          <w:p w:rsidR="00000000" w:rsidRDefault="00000000">
            <w:r>
              <w:t>Работодатели (в среднем)</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1,91</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2,05</w:t>
            </w:r>
          </w:p>
        </w:tc>
        <w:tc>
          <w:tcPr>
            <w:tcW w:w="1155" w:type="dxa"/>
            <w:tcBorders>
              <w:left w:val="single" w:sz="4" w:space="0" w:color="auto"/>
              <w:right w:val="single" w:sz="4" w:space="0" w:color="auto"/>
            </w:tcBorders>
          </w:tcPr>
          <w:p w:rsidR="00000000" w:rsidRDefault="00000000">
            <w:pPr>
              <w:pStyle w:val="a0"/>
              <w:widowControl/>
              <w:spacing w:line="288" w:lineRule="auto"/>
              <w:jc w:val="center"/>
              <w:rPr>
                <w:rFonts w:ascii="Times New Roman" w:hAnsi="Times New Roman"/>
                <w:snapToGrid/>
                <w:lang w:val="en-US"/>
              </w:rPr>
            </w:pPr>
            <w:r>
              <w:rPr>
                <w:rFonts w:ascii="Times New Roman" w:hAnsi="Times New Roman"/>
                <w:snapToGrid/>
                <w:lang w:val="en-US"/>
              </w:rPr>
              <w:t>2,05</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1,74</w:t>
            </w: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1,74</w:t>
            </w:r>
          </w:p>
        </w:tc>
      </w:tr>
      <w:tr w:rsidR="00000000">
        <w:tblPrEx>
          <w:tblCellMar>
            <w:top w:w="0" w:type="dxa"/>
            <w:bottom w:w="0" w:type="dxa"/>
          </w:tblCellMar>
        </w:tblPrEx>
        <w:tc>
          <w:tcPr>
            <w:tcW w:w="3794" w:type="dxa"/>
            <w:tcBorders>
              <w:left w:val="single" w:sz="4" w:space="0" w:color="auto"/>
              <w:right w:val="single" w:sz="4" w:space="0" w:color="auto"/>
            </w:tcBorders>
          </w:tcPr>
          <w:p w:rsidR="00000000" w:rsidRDefault="00000000">
            <w:r>
              <w:t>Застрахованные лица/работники</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pPr>
            <w:r>
              <w:rPr>
                <w:lang w:val="en-US"/>
              </w:rPr>
              <w:t>1,90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1,90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1,90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1,90</w:t>
            </w: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1,50</w:t>
            </w:r>
          </w:p>
        </w:tc>
      </w:tr>
      <w:tr w:rsidR="00000000">
        <w:tblPrEx>
          <w:tblCellMar>
            <w:top w:w="0" w:type="dxa"/>
            <w:bottom w:w="0" w:type="dxa"/>
          </w:tblCellMar>
        </w:tblPrEx>
        <w:tc>
          <w:tcPr>
            <w:tcW w:w="3794" w:type="dxa"/>
            <w:tcBorders>
              <w:left w:val="single" w:sz="4" w:space="0" w:color="auto"/>
              <w:bottom w:val="single" w:sz="4" w:space="0" w:color="auto"/>
              <w:right w:val="single" w:sz="4" w:space="0" w:color="auto"/>
            </w:tcBorders>
          </w:tcPr>
          <w:p w:rsidR="00000000" w:rsidRDefault="00000000">
            <w:r>
              <w:t>Застрахованные лица/пенсионеры</w:t>
            </w:r>
          </w:p>
        </w:tc>
        <w:tc>
          <w:tcPr>
            <w:tcW w:w="115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4,90</w:t>
            </w:r>
          </w:p>
        </w:tc>
        <w:tc>
          <w:tcPr>
            <w:tcW w:w="115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4,90</w:t>
            </w:r>
          </w:p>
        </w:tc>
        <w:tc>
          <w:tcPr>
            <w:tcW w:w="115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4,90</w:t>
            </w:r>
          </w:p>
        </w:tc>
        <w:tc>
          <w:tcPr>
            <w:tcW w:w="115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4,90</w:t>
            </w:r>
          </w:p>
        </w:tc>
        <w:tc>
          <w:tcPr>
            <w:tcW w:w="1156"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s>
              <w:jc w:val="center"/>
              <w:rPr>
                <w:lang w:val="en-US"/>
              </w:rPr>
            </w:pPr>
            <w:r>
              <w:rPr>
                <w:lang w:val="en-US"/>
              </w:rPr>
              <w:t>4,20</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t>221.</w:t>
      </w:r>
      <w:r>
        <w:tab/>
        <w:t xml:space="preserve">Работодатели в частном и государственном секторе вносят неодинаковые суммы в систему национального пенсионного обеспечения, при этом в рамках частного сектора размер отчислений работодателей также вырьируется в зависимости от штата и объема инвестиций.  </w:t>
      </w:r>
    </w:p>
    <w:p w:rsidR="00000000" w:rsidRDefault="00000000"/>
    <w:p w:rsidR="00000000" w:rsidRDefault="00000000">
      <w:r>
        <w:t>222.</w:t>
      </w:r>
      <w:r>
        <w:tab/>
        <w:t>Система пенсионных пособий за выслугу лет для работников, занятых в частном секторе, финансируется за счет производимых работодателем страховых отчислений, размер которых исчисляется на основе уровня заработной платы.  С 1993 года работодатели также участвуют в финансировании собственной пенсионной системы за выслугу лет путем внесения взносов по линии пенсий за выслугу лет.  Что касается страхования от несчастных случаев, соответствующая информация приведена в разделе 2 </w:t>
      </w:r>
      <w:r>
        <w:rPr>
          <w:lang w:val="en-US"/>
        </w:rPr>
        <w:t>g</w:t>
      </w:r>
      <w:r>
        <w:t>) выше.</w:t>
      </w:r>
    </w:p>
    <w:p w:rsidR="00000000" w:rsidRDefault="00000000">
      <w:pPr>
        <w:pStyle w:val="a0"/>
        <w:widowControl/>
        <w:tabs>
          <w:tab w:val="left" w:pos="567"/>
          <w:tab w:val="left" w:pos="1134"/>
          <w:tab w:val="left" w:pos="1701"/>
          <w:tab w:val="left" w:pos="2268"/>
          <w:tab w:val="center" w:pos="2835"/>
          <w:tab w:val="left" w:pos="6237"/>
        </w:tabs>
        <w:spacing w:line="288" w:lineRule="auto"/>
        <w:rPr>
          <w:rFonts w:ascii="Times New Roman" w:hAnsi="Times New Roman"/>
          <w:snapToGrid/>
        </w:rPr>
      </w:pPr>
    </w:p>
    <w:p w:rsidR="00000000" w:rsidRDefault="00000000">
      <w:pPr>
        <w:tabs>
          <w:tab w:val="left" w:pos="2835"/>
        </w:tabs>
        <w:rPr>
          <w:b/>
          <w:u w:val="single"/>
        </w:rPr>
      </w:pPr>
      <w:r>
        <w:rPr>
          <w:lang w:val="en-US"/>
        </w:rPr>
        <w:tab/>
      </w:r>
      <w:r>
        <w:t xml:space="preserve">Таблица 12.  </w:t>
      </w:r>
      <w:r>
        <w:rPr>
          <w:u w:val="single"/>
        </w:rPr>
        <w:t>Средний размер отчислений в частном секторе, 1994-1998 годы</w:t>
      </w:r>
    </w:p>
    <w:p w:rsidR="00000000" w:rsidRDefault="00000000">
      <w:pPr>
        <w:rPr>
          <w:b/>
          <w:i/>
          <w:u w:val="single"/>
        </w:rPr>
      </w:pPr>
    </w:p>
    <w:tbl>
      <w:tblPr>
        <w:tblW w:w="0" w:type="auto"/>
        <w:tblInd w:w="2" w:type="dxa"/>
        <w:tblLayout w:type="fixed"/>
        <w:tblLook w:val="0000" w:firstRow="0" w:lastRow="0" w:firstColumn="0" w:lastColumn="0" w:noHBand="0" w:noVBand="0"/>
      </w:tblPr>
      <w:tblGrid>
        <w:gridCol w:w="3686"/>
        <w:gridCol w:w="1155"/>
        <w:gridCol w:w="1155"/>
        <w:gridCol w:w="1155"/>
        <w:gridCol w:w="1155"/>
        <w:gridCol w:w="1156"/>
      </w:tblGrid>
      <w:tr w:rsidR="00000000">
        <w:tblPrEx>
          <w:tblCellMar>
            <w:top w:w="0" w:type="dxa"/>
            <w:bottom w:w="0" w:type="dxa"/>
          </w:tblCellMar>
        </w:tblPrEx>
        <w:tc>
          <w:tcPr>
            <w:tcW w:w="3686" w:type="dxa"/>
            <w:tcBorders>
              <w:top w:val="single" w:sz="4" w:space="0" w:color="auto"/>
              <w:left w:val="single" w:sz="4" w:space="0" w:color="auto"/>
              <w:bottom w:val="single" w:sz="4" w:space="0" w:color="auto"/>
              <w:right w:val="single" w:sz="4" w:space="0" w:color="auto"/>
            </w:tcBorders>
          </w:tcPr>
          <w:p w:rsidR="00000000" w:rsidRDefault="00000000">
            <w:r>
              <w:t>Год</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jc w:val="center"/>
            </w:pPr>
            <w:r>
              <w:t>1994</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c>
          <w:tcPr>
            <w:tcW w:w="3686" w:type="dxa"/>
            <w:tcBorders>
              <w:left w:val="single" w:sz="4" w:space="0" w:color="auto"/>
              <w:right w:val="single" w:sz="4" w:space="0" w:color="auto"/>
            </w:tcBorders>
          </w:tcPr>
          <w:p w:rsidR="00000000" w:rsidRDefault="00000000">
            <w:pPr>
              <w:pStyle w:val="Heading2"/>
              <w:rPr>
                <w:i/>
              </w:rPr>
            </w:pPr>
            <w:r>
              <w:rPr>
                <w:i/>
              </w:rPr>
              <w:t>Система пенсий за выслугу лет</w:t>
            </w:r>
          </w:p>
        </w:tc>
        <w:tc>
          <w:tcPr>
            <w:tcW w:w="1155"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680"/>
              </w:tabs>
              <w:spacing w:line="288" w:lineRule="auto"/>
            </w:pP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pP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pP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pP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pPr>
          </w:p>
        </w:tc>
      </w:tr>
      <w:tr w:rsidR="00000000">
        <w:tblPrEx>
          <w:tblCellMar>
            <w:top w:w="0" w:type="dxa"/>
            <w:bottom w:w="0" w:type="dxa"/>
          </w:tblCellMar>
        </w:tblPrEx>
        <w:tc>
          <w:tcPr>
            <w:tcW w:w="3686" w:type="dxa"/>
            <w:tcBorders>
              <w:left w:val="single" w:sz="4" w:space="0" w:color="auto"/>
              <w:right w:val="single" w:sz="4" w:space="0" w:color="auto"/>
            </w:tcBorders>
          </w:tcPr>
          <w:p w:rsidR="00000000" w:rsidRDefault="00000000">
            <w:r>
              <w:t>Работодатель</w:t>
            </w:r>
          </w:p>
        </w:tc>
        <w:tc>
          <w:tcPr>
            <w:tcW w:w="1155" w:type="dxa"/>
            <w:tcBorders>
              <w:left w:val="single" w:sz="4" w:space="0" w:color="auto"/>
              <w:right w:val="single" w:sz="4" w:space="0" w:color="auto"/>
            </w:tcBorders>
          </w:tcPr>
          <w:p w:rsidR="00000000" w:rsidRDefault="00000000">
            <w:pPr>
              <w:pStyle w:val="a0"/>
              <w:widowControl/>
              <w:tabs>
                <w:tab w:val="decimal" w:pos="317"/>
              </w:tabs>
              <w:spacing w:line="288" w:lineRule="auto"/>
              <w:jc w:val="center"/>
              <w:rPr>
                <w:rFonts w:ascii="Times New Roman" w:hAnsi="Times New Roman"/>
                <w:snapToGrid/>
                <w:lang w:val="en-US"/>
              </w:rPr>
            </w:pPr>
            <w:r>
              <w:rPr>
                <w:rFonts w:ascii="Times New Roman" w:hAnsi="Times New Roman"/>
                <w:snapToGrid/>
                <w:lang w:val="en-US"/>
              </w:rPr>
              <w:t>15,60</w:t>
            </w:r>
          </w:p>
        </w:tc>
        <w:tc>
          <w:tcPr>
            <w:tcW w:w="1155" w:type="dxa"/>
            <w:tcBorders>
              <w:left w:val="single" w:sz="4" w:space="0" w:color="auto"/>
              <w:right w:val="single" w:sz="4" w:space="0" w:color="auto"/>
            </w:tcBorders>
          </w:tcPr>
          <w:p w:rsidR="00000000" w:rsidRDefault="00000000">
            <w:pPr>
              <w:pStyle w:val="a0"/>
              <w:widowControl/>
              <w:tabs>
                <w:tab w:val="decimal" w:pos="317"/>
              </w:tabs>
              <w:spacing w:line="288" w:lineRule="auto"/>
              <w:jc w:val="center"/>
              <w:rPr>
                <w:rFonts w:ascii="Times New Roman" w:hAnsi="Times New Roman"/>
                <w:snapToGrid/>
                <w:lang w:val="en-US"/>
              </w:rPr>
            </w:pPr>
            <w:r>
              <w:rPr>
                <w:rFonts w:ascii="Times New Roman" w:hAnsi="Times New Roman"/>
                <w:snapToGrid/>
                <w:lang w:val="en-US"/>
              </w:rPr>
              <w:t>16,60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317"/>
              </w:tabs>
              <w:jc w:val="center"/>
              <w:rPr>
                <w:lang w:val="en-US"/>
              </w:rPr>
            </w:pPr>
            <w:r>
              <w:rPr>
                <w:lang w:val="en-US"/>
              </w:rPr>
              <w:t>16,80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317"/>
              </w:tabs>
              <w:jc w:val="center"/>
              <w:rPr>
                <w:lang w:val="en-US"/>
              </w:rPr>
            </w:pPr>
            <w:r>
              <w:rPr>
                <w:lang w:val="en-US"/>
              </w:rPr>
              <w:t>16,70</w:t>
            </w: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317"/>
              </w:tabs>
              <w:jc w:val="center"/>
              <w:rPr>
                <w:lang w:val="en-US"/>
              </w:rPr>
            </w:pPr>
            <w:r>
              <w:rPr>
                <w:lang w:val="en-US"/>
              </w:rPr>
              <w:t>16,80</w:t>
            </w:r>
          </w:p>
        </w:tc>
      </w:tr>
      <w:tr w:rsidR="00000000">
        <w:tblPrEx>
          <w:tblCellMar>
            <w:top w:w="0" w:type="dxa"/>
            <w:bottom w:w="0" w:type="dxa"/>
          </w:tblCellMar>
        </w:tblPrEx>
        <w:tc>
          <w:tcPr>
            <w:tcW w:w="3686" w:type="dxa"/>
            <w:tcBorders>
              <w:left w:val="single" w:sz="4" w:space="0" w:color="auto"/>
              <w:right w:val="single" w:sz="4" w:space="0" w:color="auto"/>
            </w:tcBorders>
          </w:tcPr>
          <w:p w:rsidR="00000000" w:rsidRDefault="00000000">
            <w:r>
              <w:t>Работники</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3,00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4,00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4,30</w:t>
            </w:r>
          </w:p>
        </w:tc>
        <w:tc>
          <w:tcPr>
            <w:tcW w:w="115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4,50</w:t>
            </w:r>
          </w:p>
        </w:tc>
        <w:tc>
          <w:tcPr>
            <w:tcW w:w="1156"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4,70</w:t>
            </w:r>
          </w:p>
        </w:tc>
      </w:tr>
      <w:tr w:rsidR="00000000">
        <w:tblPrEx>
          <w:tblCellMar>
            <w:top w:w="0" w:type="dxa"/>
            <w:bottom w:w="0" w:type="dxa"/>
          </w:tblCellMar>
        </w:tblPrEx>
        <w:tc>
          <w:tcPr>
            <w:tcW w:w="3686" w:type="dxa"/>
            <w:tcBorders>
              <w:left w:val="single" w:sz="4" w:space="0" w:color="auto"/>
              <w:bottom w:val="single" w:sz="4" w:space="0" w:color="auto"/>
              <w:right w:val="single" w:sz="4" w:space="0" w:color="auto"/>
            </w:tcBorders>
          </w:tcPr>
          <w:p w:rsidR="00000000" w:rsidRDefault="00000000">
            <w:pPr>
              <w:pStyle w:val="Heading2"/>
              <w:rPr>
                <w:i/>
              </w:rPr>
            </w:pPr>
            <w:r>
              <w:rPr>
                <w:i/>
              </w:rPr>
              <w:t>Страхование от несчастных случаев</w:t>
            </w:r>
          </w:p>
        </w:tc>
        <w:tc>
          <w:tcPr>
            <w:tcW w:w="115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1,20</w:t>
            </w:r>
          </w:p>
        </w:tc>
        <w:tc>
          <w:tcPr>
            <w:tcW w:w="115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1,20</w:t>
            </w:r>
          </w:p>
        </w:tc>
        <w:tc>
          <w:tcPr>
            <w:tcW w:w="115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1,30</w:t>
            </w:r>
          </w:p>
        </w:tc>
        <w:tc>
          <w:tcPr>
            <w:tcW w:w="115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1,40</w:t>
            </w:r>
          </w:p>
        </w:tc>
        <w:tc>
          <w:tcPr>
            <w:tcW w:w="1156"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459"/>
              </w:tabs>
              <w:rPr>
                <w:lang w:val="en-US"/>
              </w:rPr>
            </w:pPr>
            <w:r>
              <w:rPr>
                <w:lang w:val="en-US"/>
              </w:rPr>
              <w:t>1,60</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t>4.</w:t>
      </w:r>
      <w:r>
        <w:tab/>
      </w:r>
      <w:r>
        <w:rPr>
          <w:u w:val="single"/>
        </w:rPr>
        <w:t>Доля расходов на социальные нужды от ВВП</w:t>
      </w:r>
    </w:p>
    <w:p w:rsidR="00000000" w:rsidRDefault="00000000">
      <w:pPr>
        <w:rPr>
          <w:b/>
        </w:rPr>
      </w:pPr>
    </w:p>
    <w:p w:rsidR="00000000" w:rsidRDefault="00000000">
      <w:pPr>
        <w:pStyle w:val="FootnoteText"/>
        <w:tabs>
          <w:tab w:val="clear" w:pos="2268"/>
          <w:tab w:val="left" w:pos="567"/>
          <w:tab w:val="left" w:pos="1134"/>
          <w:tab w:val="left" w:pos="1985"/>
          <w:tab w:val="left" w:pos="2835"/>
        </w:tabs>
        <w:spacing w:line="288" w:lineRule="auto"/>
        <w:ind w:left="1985" w:hanging="1985"/>
        <w:rPr>
          <w:u w:val="single"/>
          <w:lang w:val="en-US"/>
        </w:rPr>
      </w:pPr>
      <w:r>
        <w:rPr>
          <w:i/>
          <w:lang w:val="en-US"/>
        </w:rPr>
        <w:tab/>
      </w:r>
      <w:r>
        <w:t>Таблица 13</w:t>
      </w:r>
      <w:r>
        <w:rPr>
          <w:i/>
        </w:rPr>
        <w:t>.</w:t>
      </w:r>
      <w:r>
        <w:rPr>
          <w:i/>
        </w:rPr>
        <w:tab/>
      </w:r>
      <w:r>
        <w:rPr>
          <w:u w:val="single"/>
        </w:rPr>
        <w:t>Доля расходов на цели социального обеспечения от ВВП,</w:t>
      </w:r>
      <w:r>
        <w:rPr>
          <w:u w:val="single"/>
          <w:lang w:val="en-US"/>
        </w:rPr>
        <w:tab/>
      </w:r>
      <w:r>
        <w:rPr>
          <w:u w:val="single"/>
        </w:rPr>
        <w:t>1980-1998 годы</w:t>
      </w:r>
    </w:p>
    <w:p w:rsidR="00000000" w:rsidRDefault="00000000">
      <w:pPr>
        <w:pStyle w:val="FootnoteText"/>
        <w:tabs>
          <w:tab w:val="left" w:pos="567"/>
          <w:tab w:val="left" w:pos="1134"/>
          <w:tab w:val="left" w:pos="2835"/>
        </w:tabs>
        <w:spacing w:line="288" w:lineRule="auto"/>
        <w:ind w:left="1701" w:hanging="1701"/>
        <w:rPr>
          <w:lang w:val="en-US"/>
        </w:rPr>
      </w:pPr>
      <w:r>
        <w:rPr>
          <w:lang w:val="en-US"/>
        </w:rPr>
        <w:tab/>
      </w:r>
      <w:r>
        <w:rPr>
          <w:lang w:val="en-US"/>
        </w:rPr>
        <w:tab/>
      </w:r>
      <w:r>
        <w:rPr>
          <w:lang w:val="en-US"/>
        </w:rPr>
        <w:tab/>
      </w:r>
    </w:p>
    <w:tbl>
      <w:tblPr>
        <w:tblW w:w="0" w:type="auto"/>
        <w:tblInd w:w="461" w:type="dxa"/>
        <w:tblBorders>
          <w:insideH w:val="single" w:sz="4" w:space="0" w:color="auto"/>
        </w:tblBorders>
        <w:tblLayout w:type="fixed"/>
        <w:tblLook w:val="0000" w:firstRow="0" w:lastRow="0" w:firstColumn="0" w:lastColumn="0" w:noHBand="0" w:noVBand="0"/>
      </w:tblPr>
      <w:tblGrid>
        <w:gridCol w:w="1309"/>
        <w:gridCol w:w="992"/>
        <w:gridCol w:w="992"/>
        <w:gridCol w:w="993"/>
        <w:gridCol w:w="992"/>
        <w:gridCol w:w="992"/>
        <w:gridCol w:w="1068"/>
        <w:gridCol w:w="879"/>
      </w:tblGrid>
      <w:tr w:rsidR="00000000">
        <w:tblPrEx>
          <w:tblCellMar>
            <w:top w:w="0" w:type="dxa"/>
            <w:bottom w:w="0" w:type="dxa"/>
          </w:tblCellMar>
        </w:tblPrEx>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rPr>
                <w:i/>
              </w:rPr>
            </w:pPr>
            <w:r>
              <w:rPr>
                <w:i/>
              </w:rPr>
              <w:t>Год</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i/>
              </w:rPr>
            </w:pPr>
            <w:r>
              <w:rPr>
                <w:i/>
              </w:rPr>
              <w:t>1980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i/>
              </w:rPr>
            </w:pPr>
            <w:r>
              <w:rPr>
                <w:i/>
              </w:rPr>
              <w:t>1985</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i/>
              </w:rPr>
            </w:pPr>
            <w:r>
              <w:rPr>
                <w:i/>
              </w:rPr>
              <w:t>1990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i/>
              </w:rPr>
            </w:pPr>
            <w:r>
              <w:rPr>
                <w:i/>
              </w:rPr>
              <w:t>1995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i/>
              </w:rPr>
            </w:pPr>
            <w:r>
              <w:rPr>
                <w:i/>
              </w:rPr>
              <w:t>1996</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i/>
              </w:rPr>
            </w:pPr>
            <w:r>
              <w:rPr>
                <w:i/>
              </w:rPr>
              <w:t>1997*</w:t>
            </w:r>
          </w:p>
        </w:tc>
        <w:tc>
          <w:tcPr>
            <w:tcW w:w="879"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rPr>
                <w:i/>
              </w:rPr>
            </w:pPr>
            <w:r>
              <w:rPr>
                <w:i/>
              </w:rPr>
              <w:t>1998*</w:t>
            </w:r>
          </w:p>
        </w:tc>
      </w:tr>
      <w:tr w:rsidR="00000000">
        <w:tblPrEx>
          <w:tblCellMar>
            <w:top w:w="0" w:type="dxa"/>
            <w:bottom w:w="0" w:type="dxa"/>
          </w:tblCellMar>
        </w:tblPrEx>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120" w:line="288" w:lineRule="auto"/>
            </w:pPr>
            <w:r>
              <w:t>% от ВВП</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120" w:line="288" w:lineRule="auto"/>
              <w:jc w:val="center"/>
            </w:pPr>
            <w:r>
              <w:t>19,7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120" w:line="288" w:lineRule="auto"/>
              <w:jc w:val="center"/>
            </w:pPr>
            <w:r>
              <w:t>24,1</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120" w:line="288" w:lineRule="auto"/>
              <w:jc w:val="center"/>
            </w:pPr>
            <w:r>
              <w:t>25,5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120" w:line="288" w:lineRule="auto"/>
              <w:jc w:val="center"/>
            </w:pPr>
            <w:r>
              <w:t>32,7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120" w:line="288" w:lineRule="auto"/>
              <w:jc w:val="center"/>
            </w:pPr>
            <w:r>
              <w:t>32,3</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120" w:line="288" w:lineRule="auto"/>
              <w:jc w:val="center"/>
            </w:pPr>
            <w:r>
              <w:t>30,0</w:t>
            </w:r>
          </w:p>
        </w:tc>
        <w:tc>
          <w:tcPr>
            <w:tcW w:w="879"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120" w:line="288" w:lineRule="auto"/>
              <w:jc w:val="center"/>
            </w:pPr>
            <w:r>
              <w:t>28,0</w:t>
            </w:r>
          </w:p>
        </w:tc>
      </w:tr>
      <w:tr w:rsidR="00000000">
        <w:tblPrEx>
          <w:tblCellMar>
            <w:top w:w="0" w:type="dxa"/>
            <w:bottom w:w="0" w:type="dxa"/>
          </w:tblCellMar>
        </w:tblPrEx>
        <w:tc>
          <w:tcPr>
            <w:tcW w:w="1309" w:type="dxa"/>
            <w:tcBorders>
              <w:top w:val="nil"/>
            </w:tcBorders>
          </w:tcPr>
          <w:p w:rsidR="00000000" w:rsidRDefault="00000000">
            <w:pPr>
              <w:pStyle w:val="FootnoteText"/>
              <w:spacing w:before="120" w:line="288" w:lineRule="auto"/>
              <w:jc w:val="center"/>
            </w:pPr>
          </w:p>
        </w:tc>
        <w:tc>
          <w:tcPr>
            <w:tcW w:w="992" w:type="dxa"/>
            <w:tcBorders>
              <w:top w:val="nil"/>
            </w:tcBorders>
          </w:tcPr>
          <w:p w:rsidR="00000000" w:rsidRDefault="00000000">
            <w:pPr>
              <w:pStyle w:val="FootnoteText"/>
              <w:spacing w:before="120" w:line="288" w:lineRule="auto"/>
              <w:jc w:val="center"/>
            </w:pPr>
          </w:p>
        </w:tc>
        <w:tc>
          <w:tcPr>
            <w:tcW w:w="992" w:type="dxa"/>
            <w:tcBorders>
              <w:top w:val="nil"/>
            </w:tcBorders>
          </w:tcPr>
          <w:p w:rsidR="00000000" w:rsidRDefault="00000000">
            <w:pPr>
              <w:pStyle w:val="FootnoteText"/>
              <w:spacing w:before="120" w:line="288" w:lineRule="auto"/>
              <w:jc w:val="center"/>
            </w:pPr>
          </w:p>
        </w:tc>
        <w:tc>
          <w:tcPr>
            <w:tcW w:w="993" w:type="dxa"/>
            <w:tcBorders>
              <w:top w:val="nil"/>
            </w:tcBorders>
          </w:tcPr>
          <w:p w:rsidR="00000000" w:rsidRDefault="00000000">
            <w:pPr>
              <w:pStyle w:val="FootnoteText"/>
              <w:spacing w:before="120" w:line="288" w:lineRule="auto"/>
              <w:jc w:val="center"/>
            </w:pPr>
          </w:p>
        </w:tc>
        <w:tc>
          <w:tcPr>
            <w:tcW w:w="992" w:type="dxa"/>
            <w:tcBorders>
              <w:top w:val="nil"/>
            </w:tcBorders>
          </w:tcPr>
          <w:p w:rsidR="00000000" w:rsidRDefault="00000000">
            <w:pPr>
              <w:pStyle w:val="FootnoteText"/>
              <w:spacing w:before="120" w:line="288" w:lineRule="auto"/>
              <w:jc w:val="center"/>
            </w:pPr>
          </w:p>
        </w:tc>
        <w:tc>
          <w:tcPr>
            <w:tcW w:w="992" w:type="dxa"/>
            <w:tcBorders>
              <w:top w:val="nil"/>
            </w:tcBorders>
          </w:tcPr>
          <w:p w:rsidR="00000000" w:rsidRDefault="00000000">
            <w:pPr>
              <w:pStyle w:val="FootnoteText"/>
              <w:spacing w:before="120" w:line="288" w:lineRule="auto"/>
              <w:jc w:val="center"/>
            </w:pPr>
          </w:p>
        </w:tc>
        <w:tc>
          <w:tcPr>
            <w:tcW w:w="1068" w:type="dxa"/>
            <w:tcBorders>
              <w:top w:val="nil"/>
            </w:tcBorders>
          </w:tcPr>
          <w:p w:rsidR="00000000" w:rsidRDefault="00000000">
            <w:pPr>
              <w:pStyle w:val="FootnoteText"/>
              <w:spacing w:before="120" w:line="288" w:lineRule="auto"/>
              <w:jc w:val="center"/>
            </w:pPr>
          </w:p>
        </w:tc>
        <w:tc>
          <w:tcPr>
            <w:tcW w:w="879" w:type="dxa"/>
            <w:tcBorders>
              <w:top w:val="nil"/>
            </w:tcBorders>
          </w:tcPr>
          <w:p w:rsidR="00000000" w:rsidRDefault="00000000">
            <w:pPr>
              <w:pStyle w:val="FootnoteText"/>
              <w:spacing w:before="120" w:line="288" w:lineRule="auto"/>
              <w:jc w:val="center"/>
            </w:pPr>
          </w:p>
        </w:tc>
      </w:tr>
    </w:tbl>
    <w:p w:rsidR="00000000" w:rsidRDefault="00000000">
      <w:pPr>
        <w:pStyle w:val="FootnoteText"/>
        <w:spacing w:line="288" w:lineRule="auto"/>
      </w:pPr>
      <w:r>
        <w:tab/>
        <w:t>*</w:t>
      </w:r>
      <w:r>
        <w:tab/>
        <w:t>приблизительные данные.</w:t>
      </w:r>
    </w:p>
    <w:p w:rsidR="00000000" w:rsidRDefault="00000000">
      <w:pPr>
        <w:pStyle w:val="FootnoteText"/>
        <w:spacing w:line="288" w:lineRule="auto"/>
      </w:pPr>
    </w:p>
    <w:p w:rsidR="00000000" w:rsidRDefault="00000000">
      <w:pPr>
        <w:pStyle w:val="FootnoteText"/>
        <w:spacing w:line="288" w:lineRule="auto"/>
      </w:pPr>
      <w:r>
        <w:t>223.</w:t>
      </w:r>
      <w:r>
        <w:tab/>
        <w:t>Увеличение доли расходов на социальные нужды от объема ВВП было обусловлено начавшимся в 1991 году серьезным экономическим спадом, в результате которого объем ВВП в период 1991-1993 годов сократился более чем на 10%.</w:t>
      </w:r>
    </w:p>
    <w:p w:rsidR="00000000" w:rsidRDefault="00000000">
      <w:pPr>
        <w:pStyle w:val="FootnoteText"/>
        <w:spacing w:line="288" w:lineRule="auto"/>
      </w:pPr>
    </w:p>
    <w:p w:rsidR="00000000" w:rsidRDefault="00000000">
      <w:pPr>
        <w:pStyle w:val="FootnoteText"/>
        <w:spacing w:line="288" w:lineRule="auto"/>
      </w:pPr>
      <w:r>
        <w:t>224.</w:t>
      </w:r>
      <w:r>
        <w:tab/>
        <w:t>Уровень безработицы также постепенно возрос с 3% в 1990 году до 18% в 1994 году. Это привело к трехкратному увеличению расходов в связи с выплатой пособий по безработице и увеличению доли социальных расходов в ВВП.  С 1994 года рост ВВП опережал рост расходов на социальные нужды и, как результат, доля расходов на социальное обеспечение в ВВП снизилась.  Уровень безработицы также сократился, достигнув в 1998 году около 12%.</w:t>
      </w:r>
    </w:p>
    <w:p w:rsidR="00000000" w:rsidRDefault="00000000">
      <w:pPr>
        <w:pStyle w:val="FootnoteText"/>
        <w:spacing w:line="288" w:lineRule="auto"/>
      </w:pPr>
    </w:p>
    <w:p w:rsidR="00000000" w:rsidRDefault="00000000">
      <w:pPr>
        <w:pStyle w:val="FootnoteText"/>
        <w:spacing w:line="288" w:lineRule="auto"/>
      </w:pPr>
      <w:r>
        <w:br w:type="page"/>
        <w:t>7.</w:t>
      </w:r>
      <w:r>
        <w:tab/>
      </w:r>
      <w:r>
        <w:rPr>
          <w:u w:val="single"/>
        </w:rPr>
        <w:t>Изменения в системе социального обеспечения</w:t>
      </w:r>
    </w:p>
    <w:p w:rsidR="00000000" w:rsidRDefault="00000000">
      <w:pPr>
        <w:pStyle w:val="FootnoteText"/>
        <w:spacing w:line="288" w:lineRule="auto"/>
        <w:rPr>
          <w:b/>
        </w:rPr>
      </w:pPr>
    </w:p>
    <w:p w:rsidR="00000000" w:rsidRDefault="00000000">
      <w:pPr>
        <w:pStyle w:val="FootnoteText"/>
        <w:spacing w:line="288" w:lineRule="auto"/>
      </w:pPr>
      <w:r>
        <w:t>225.</w:t>
      </w:r>
      <w:r>
        <w:tab/>
        <w:t xml:space="preserve">Возникший в начале 90-х годов спад привел к изменениям как в системе льгот по линии социального обеспечения, так и в порядке их финансирования, затронув, в частности, систему страхования от безработицы и пенсионную систему, систему медицинского страхования и льготы по беременности и родам.  Цель этих изменений заключалась в том, чтобы повысить заинтересованность населения в </w:t>
      </w:r>
    </w:p>
    <w:p w:rsidR="00000000" w:rsidRDefault="00000000">
      <w:pPr>
        <w:pStyle w:val="FootnoteText"/>
        <w:spacing w:line="288" w:lineRule="auto"/>
      </w:pPr>
      <w:r>
        <w:t>производительном труде.  Что касается финансирования, то была увеличена нагрузка на застрахованных лиц. Вместе с тем базовая структура системы социального обеспечения осталась неизменной.</w:t>
      </w:r>
    </w:p>
    <w:p w:rsidR="00000000" w:rsidRDefault="00000000">
      <w:pPr>
        <w:pStyle w:val="FootnoteText"/>
        <w:spacing w:line="288" w:lineRule="auto"/>
      </w:pPr>
    </w:p>
    <w:p w:rsidR="00000000" w:rsidRDefault="00000000">
      <w:pPr>
        <w:pStyle w:val="FootnoteText"/>
        <w:spacing w:line="288" w:lineRule="auto"/>
      </w:pPr>
      <w:r>
        <w:t>226.</w:t>
      </w:r>
      <w:r>
        <w:tab/>
        <w:t>Информация об изменениях в системе социального обеспечения и льгот была также изложена в докладах ОИССЗ (Объединенная информационная система в области социальной защиты в странах – членах Европейского союза) в период с 1 июля 1997 года до 31 декабря 1997 года и с 1 января до 31 декабря 1998 года (приложения 34-35).</w:t>
      </w:r>
    </w:p>
    <w:p w:rsidR="00000000" w:rsidRDefault="00000000">
      <w:pPr>
        <w:pStyle w:val="FootnoteText"/>
        <w:spacing w:line="288" w:lineRule="auto"/>
      </w:pPr>
    </w:p>
    <w:p w:rsidR="00000000" w:rsidRDefault="00000000">
      <w:pPr>
        <w:pStyle w:val="FootnoteText"/>
        <w:spacing w:line="288" w:lineRule="auto"/>
      </w:pPr>
      <w:r>
        <w:t>227.</w:t>
      </w:r>
      <w:r>
        <w:tab/>
        <w:t xml:space="preserve">Охват </w:t>
      </w:r>
      <w:r>
        <w:rPr>
          <w:u w:val="single"/>
        </w:rPr>
        <w:t>системы страхования от безработицы</w:t>
      </w:r>
      <w:r>
        <w:t xml:space="preserve"> был расширен в 1995 году с включением в нее лиц, самостоятельно обеспечивающих себя работой.  С этого времени указанные лица получили возможность на добровольной основе вступать в фонд страхования от безработицы и приобретать право на пособие в зависимости от уровня дохода.  Наиболее заметные изменения в системе страхования произошли в начале 1997 года.  Так, с шести до 10 месяцев был увеличен стаж работы, дающий право на получение пособия по безработице.  Кроме того, чтобы иметь право на получение льгот в зависимости от уровня дохода, соответствующее лицо должно состоять членом фонда страхования от безработицы в течение не менее 10 месяцев, а также, будучи членом фонда, иметь работу в течение определенного периода времени.  Период ожидания был увеличен до семи дней. Для пожилых длительно безработных возраст, дающий право на получение пособий по безработице, был увеличен с 55 до 57 лет.  Был повышен уровень пособия по безработице для лиц, работающих на условиях неполного рабочего времени, а также для лиц, имеющих право на получение скорректированного пособия по безработице.  Правила индексации были изменены таким образом, что на сегодняшний день индексация пособия по безработице производится ежегодно с привязкой к индексу стоимости жизни.</w:t>
      </w:r>
    </w:p>
    <w:p w:rsidR="00000000" w:rsidRDefault="00000000">
      <w:pPr>
        <w:pStyle w:val="FootnoteText"/>
        <w:spacing w:line="288" w:lineRule="auto"/>
      </w:pPr>
    </w:p>
    <w:p w:rsidR="00000000" w:rsidRDefault="00000000">
      <w:pPr>
        <w:pStyle w:val="FootnoteText"/>
        <w:spacing w:line="288" w:lineRule="auto"/>
      </w:pPr>
      <w:r>
        <w:t>228.</w:t>
      </w:r>
      <w:r>
        <w:tab/>
        <w:t>Лицам, не имеющим права на получение пособия по безработице, предоставляется поддержка на рынке труда.  Правила предоставления и уровни этой поддержки были изменены в целях поощрения обучения и профессиональной подготовки.</w:t>
      </w:r>
    </w:p>
    <w:p w:rsidR="00000000" w:rsidRDefault="00000000">
      <w:pPr>
        <w:pStyle w:val="FootnoteText"/>
        <w:spacing w:line="288" w:lineRule="auto"/>
      </w:pPr>
    </w:p>
    <w:p w:rsidR="00000000" w:rsidRDefault="00000000">
      <w:pPr>
        <w:pStyle w:val="FootnoteText"/>
        <w:spacing w:line="288" w:lineRule="auto"/>
      </w:pPr>
      <w:r>
        <w:t>229.</w:t>
      </w:r>
      <w:r>
        <w:tab/>
        <w:t xml:space="preserve">Доля участия работников в финансировании возросла. С 1993 года размер взноса по страхованию от безработицы исчислялся на ежегодной основе (ставка взноса становится постоянной в 1999 году).  В 1998 году эта ставка составила 1,4% </w:t>
      </w:r>
    </w:p>
    <w:p w:rsidR="00000000" w:rsidRDefault="00000000">
      <w:pPr>
        <w:pStyle w:val="FootnoteText"/>
        <w:spacing w:line="288" w:lineRule="auto"/>
      </w:pPr>
      <w:r>
        <w:t>от заработной платы. Доли правительства и работодателей были соответственно снижены.  В 1998 году доля работодателей составила в среднем 2,78% от выплаченной заработной платы.</w:t>
      </w:r>
    </w:p>
    <w:p w:rsidR="00000000" w:rsidRDefault="00000000">
      <w:pPr>
        <w:pStyle w:val="FootnoteText"/>
        <w:spacing w:line="288" w:lineRule="auto"/>
      </w:pPr>
    </w:p>
    <w:p w:rsidR="00000000" w:rsidRDefault="00000000">
      <w:pPr>
        <w:pStyle w:val="FootnoteText"/>
        <w:spacing w:line="288" w:lineRule="auto"/>
      </w:pPr>
      <w:r>
        <w:t>230.</w:t>
      </w:r>
      <w:r>
        <w:tab/>
      </w:r>
      <w:r>
        <w:rPr>
          <w:u w:val="single"/>
        </w:rPr>
        <w:t>Пенсионная система</w:t>
      </w:r>
      <w:r>
        <w:t xml:space="preserve"> была реформирована.  В целях более четкого определения функций национальной пенсии и пенсии за выслугу лет базовая и дополнительная суммы были объединены и на их основе сформирована единая национальная пенсия.  Это гарантирует каждому гражданину минимальную пенсию, которая причитается лицам, не получающим вообще или получающим небольшую пенсию за выслугу лет.  Пенсионные системы полностью интегрированы и, таким образом, лицам, получающим связанную с размером дохода пенсию, сумма которой превышает определенный уровень, национальная пенсия не выплачивается.  Если национальная пенсия была назначена до 1 января 1996 года, ее размер или размер назначенной ранее дополнительной выплаты остается неизменным для лиц, имеющих право на национальную пенсию в полном объеме.  В случае выплаты лишь базовой суммы размер национальной пенсии постепенно снижается (на 20% в год).  Это в конечном счете приведет к ликвидации выплаты базовой суммы к 2001 году.  В 1996 году была отменена система доплат на ребенка и супруга(у), а также пособие на организацию похорон.  Лицам, еще получающим эти льготы, выплата указанных пособий будет прекращена в течение пятилетнего срока.</w:t>
      </w:r>
    </w:p>
    <w:p w:rsidR="00000000" w:rsidRDefault="00000000">
      <w:pPr>
        <w:pStyle w:val="FootnoteText"/>
        <w:spacing w:line="288" w:lineRule="auto"/>
      </w:pPr>
    </w:p>
    <w:p w:rsidR="00000000" w:rsidRDefault="00000000">
      <w:pPr>
        <w:pStyle w:val="FootnoteText"/>
        <w:spacing w:line="288" w:lineRule="auto"/>
      </w:pPr>
      <w:r>
        <w:t>231.</w:t>
      </w:r>
      <w:r>
        <w:tab/>
        <w:t xml:space="preserve">В </w:t>
      </w:r>
      <w:r>
        <w:rPr>
          <w:u w:val="single"/>
        </w:rPr>
        <w:t>систему пенсий за выслугу лет</w:t>
      </w:r>
      <w:r>
        <w:t xml:space="preserve"> были внесены изменения в целях поощрения увеличения периода занятости и сокращения будущих расходов.  Размер заработной платы, используемый для целей исчисления суммы пенсии, в настоящее время определяется с учетом объема доходов за последние 10 лет трудовой деятельности (ранее этот срок составлял 4 года).  Если в течение этого периода имеются годы с низким уровнем дохода (менее половины среднего дохода за последние 10 лет) в связи с болезнью, учебой или аналогичными причинами, эти годы (не более одной трети) не учитываются.  Указанное законодательство было поэтапно введено с начала 1996 года.  Кроме того, ставка начислений для получения пенсионного пособия по инвалидности после выхода на пенсию была снижена до 1,2% за период начисления (ранее эта ставка равнялась 1,5%) для лиц в возрасте 50-59 лет и до 0,8% по достижении получателем пенсии 60-летнего возраста.  Критерии в отношении начисления пособия после выхода на пенсию были ужесточены: бенефициар должен отработать или быть самостоятельно занятым в частном или государственном секторе Финляндии не менее одного года в течение 10 лет, предшествующих выходу на пенсию.</w:t>
      </w:r>
    </w:p>
    <w:p w:rsidR="00000000" w:rsidRDefault="00000000">
      <w:pPr>
        <w:pStyle w:val="FootnoteText"/>
        <w:spacing w:line="288" w:lineRule="auto"/>
      </w:pPr>
    </w:p>
    <w:p w:rsidR="00000000" w:rsidRDefault="00000000">
      <w:pPr>
        <w:pStyle w:val="FootnoteText"/>
        <w:spacing w:line="288" w:lineRule="auto"/>
      </w:pPr>
      <w:r>
        <w:t>232.</w:t>
      </w:r>
      <w:r>
        <w:tab/>
        <w:t>Был изменен порядок индексации льгот, с тем чтобы пенсии по старости, выплачиваемые по достижении 65 лет, индексировались в соответствии с динамикой цен до 80% и в соответствии с изменениями доходов – до 20%.  С 1996 года применяется новый индекс.</w:t>
      </w:r>
    </w:p>
    <w:p w:rsidR="00000000" w:rsidRDefault="00000000">
      <w:pPr>
        <w:pStyle w:val="FootnoteText"/>
        <w:spacing w:line="288" w:lineRule="auto"/>
      </w:pPr>
    </w:p>
    <w:p w:rsidR="00000000" w:rsidRDefault="00000000">
      <w:pPr>
        <w:pStyle w:val="FootnoteText"/>
        <w:spacing w:line="288" w:lineRule="auto"/>
      </w:pPr>
      <w:r>
        <w:t>233.</w:t>
      </w:r>
      <w:r>
        <w:tab/>
        <w:t>Вместо временной пенсии по нетрудоспособности выплачивается пособие по реабилитации.  Данное изменение вступило в силу в 1996 году.  Это пособие выплачивается лишь при наличии реабилитационного плана прохождения работником курса лечения и реабилитации.</w:t>
      </w:r>
    </w:p>
    <w:p w:rsidR="00000000" w:rsidRDefault="00000000">
      <w:pPr>
        <w:pStyle w:val="FootnoteText"/>
        <w:spacing w:line="288" w:lineRule="auto"/>
      </w:pPr>
    </w:p>
    <w:p w:rsidR="00000000" w:rsidRDefault="00000000">
      <w:pPr>
        <w:pStyle w:val="FootnoteText"/>
        <w:spacing w:line="288" w:lineRule="auto"/>
      </w:pPr>
      <w:r>
        <w:t>234.</w:t>
      </w:r>
      <w:r>
        <w:tab/>
        <w:t>В законодательство о пенсиях за выслугу лет была внесена временная поправка, которая будет действовать с 1 июля 1998 года до 31 декабря 2000 года.  Эта поправка предусматривает возможность получения пенсии при занятости на условиях неполного рабочего времени в возрасте 56 лет вместо обычных 58 лет.</w:t>
      </w:r>
    </w:p>
    <w:p w:rsidR="00000000" w:rsidRDefault="00000000">
      <w:pPr>
        <w:pStyle w:val="FootnoteText"/>
        <w:spacing w:line="288" w:lineRule="auto"/>
      </w:pPr>
    </w:p>
    <w:p w:rsidR="00000000" w:rsidRDefault="00000000">
      <w:pPr>
        <w:pStyle w:val="FootnoteText"/>
        <w:spacing w:line="288" w:lineRule="auto"/>
      </w:pPr>
      <w:r>
        <w:t>235.</w:t>
      </w:r>
      <w:r>
        <w:tab/>
        <w:t xml:space="preserve">В 1996 году был изменен порядок выплаты </w:t>
      </w:r>
      <w:r>
        <w:rPr>
          <w:u w:val="single"/>
        </w:rPr>
        <w:t>базового ежедневного пособия в рамках системы медицинского страхования</w:t>
      </w:r>
      <w:r>
        <w:t xml:space="preserve">.  С 1 января 1996 года выплата этого пособия лицам с ежегодным доходом менее 5 000 </w:t>
      </w:r>
      <w:proofErr w:type="spellStart"/>
      <w:r>
        <w:t>фин</w:t>
      </w:r>
      <w:proofErr w:type="spellEnd"/>
      <w:r>
        <w:t xml:space="preserve">. марок была прекращена.  Однако если продолжительность болезни превышает 60 дней, предусматривается выплата минимального пособия в зависимости от уровня дохода.  В случае пособия по беременности и родам минимальное пособие выплачивается без проверки величины дохода.  В 1998 году размер минимального пособия составил 60 </w:t>
      </w:r>
      <w:proofErr w:type="spellStart"/>
      <w:r>
        <w:t>фин.марок</w:t>
      </w:r>
      <w:proofErr w:type="spellEnd"/>
      <w:r>
        <w:t>, при этом оно выплачивалось шесть дней в неделю.</w:t>
      </w:r>
    </w:p>
    <w:p w:rsidR="00000000" w:rsidRDefault="00000000">
      <w:pPr>
        <w:pStyle w:val="FootnoteText"/>
        <w:spacing w:line="288" w:lineRule="auto"/>
      </w:pPr>
    </w:p>
    <w:p w:rsidR="00000000" w:rsidRDefault="00000000">
      <w:pPr>
        <w:pStyle w:val="FootnoteText"/>
        <w:spacing w:line="288" w:lineRule="auto"/>
      </w:pPr>
      <w:r>
        <w:t>236.</w:t>
      </w:r>
      <w:r>
        <w:tab/>
        <w:t>С января 1997 года приемные родители пользуются правом на получение пособия для родителей в течение 180 дней вместо 100 дней.  Кроме того, пособие для родителей в настоящее время выплачивается до достижения приемным ребенком 7-летнего возраста (ранее этот возраст составлял 6 лет).</w:t>
      </w:r>
    </w:p>
    <w:p w:rsidR="00000000" w:rsidRDefault="00000000">
      <w:pPr>
        <w:pStyle w:val="FootnoteText"/>
        <w:spacing w:line="288" w:lineRule="auto"/>
      </w:pPr>
    </w:p>
    <w:p w:rsidR="00000000" w:rsidRDefault="00000000">
      <w:r>
        <w:t>237.</w:t>
      </w:r>
      <w:r>
        <w:tab/>
        <w:t xml:space="preserve">Было расширено право на получение пособия по материнству при преждевременных родах.  Если ребенок родился ранее чем за 30 дней до установленного срока, то продолжительность периода выплаты пособия по беременности и родам увеличивается, охватывая весь дополнительный период, предшествующий 30-дневному сроку до нормальных родов.  Эти дополнительные дни должны использоваться после периода выплаты пособия для родителей.  </w:t>
      </w:r>
    </w:p>
    <w:p w:rsidR="00000000" w:rsidRDefault="00000000"/>
    <w:p w:rsidR="00000000" w:rsidRDefault="00000000">
      <w:r>
        <w:br w:type="page"/>
        <w:t>238.</w:t>
      </w:r>
      <w:r>
        <w:tab/>
        <w:t xml:space="preserve">Были незначительно расширены параметры зубоврачебной помощи.  Согласно временно действующему с 1 октября 1997 года до 31 декабря 1999 года закону, все взрослое население пользуется правом один раз в три года на возмещение расходов, связанных с осмотром зубным врачом и профилактическим лечением полости рта и зубов. Ставка возмещения составляет 75% от соответствующих расходов.  </w:t>
      </w:r>
    </w:p>
    <w:p w:rsidR="00000000" w:rsidRDefault="00000000"/>
    <w:p w:rsidR="00000000" w:rsidRDefault="00000000">
      <w:pPr>
        <w:jc w:val="center"/>
        <w:rPr>
          <w:u w:val="single"/>
        </w:rPr>
      </w:pPr>
      <w:r>
        <w:rPr>
          <w:u w:val="single"/>
        </w:rPr>
        <w:t>Статья 10</w:t>
      </w:r>
    </w:p>
    <w:p w:rsidR="00000000" w:rsidRDefault="00000000">
      <w:pPr>
        <w:jc w:val="center"/>
        <w:rPr>
          <w:u w:val="single"/>
        </w:rPr>
      </w:pPr>
    </w:p>
    <w:p w:rsidR="00000000" w:rsidRDefault="00000000">
      <w:pPr>
        <w:rPr>
          <w:u w:val="single"/>
        </w:rPr>
      </w:pPr>
      <w:r>
        <w:t>1.</w:t>
      </w:r>
      <w:r>
        <w:tab/>
      </w:r>
      <w:r>
        <w:rPr>
          <w:u w:val="single"/>
        </w:rPr>
        <w:t>Международные соглашения</w:t>
      </w:r>
    </w:p>
    <w:p w:rsidR="00000000" w:rsidRDefault="00000000">
      <w:pPr>
        <w:rPr>
          <w:b/>
          <w:u w:val="single"/>
        </w:rPr>
      </w:pPr>
    </w:p>
    <w:p w:rsidR="00000000" w:rsidRDefault="00000000">
      <w:r>
        <w:t>239.</w:t>
      </w:r>
      <w:r>
        <w:tab/>
        <w:t xml:space="preserve">Финляндия ратифицировала следующие международные соглашения, упомянутые в руководящих принципах:  </w:t>
      </w:r>
    </w:p>
    <w:p w:rsidR="00000000" w:rsidRDefault="00000000"/>
    <w:p w:rsidR="00000000" w:rsidRDefault="00000000">
      <w:r>
        <w:tab/>
        <w:t>Международный пакт о гражданских и политических правах;</w:t>
      </w:r>
    </w:p>
    <w:p w:rsidR="00000000" w:rsidRDefault="00000000">
      <w:r>
        <w:tab/>
        <w:t>Конвенцию о правах ребенка;</w:t>
      </w:r>
    </w:p>
    <w:p w:rsidR="00000000" w:rsidRDefault="00000000">
      <w:r>
        <w:tab/>
        <w:t>Конвенцию о ликвидации всех форм дискриминации в отношении женщин;</w:t>
      </w:r>
    </w:p>
    <w:p w:rsidR="00000000" w:rsidRDefault="00000000">
      <w:pPr>
        <w:ind w:left="567"/>
      </w:pPr>
      <w:proofErr w:type="spellStart"/>
      <w:r>
        <w:t>Конвенци</w:t>
      </w:r>
      <w:proofErr w:type="spellEnd"/>
      <w:r>
        <w:rPr>
          <w:lang w:val="en-US"/>
        </w:rPr>
        <w:t>ю</w:t>
      </w:r>
      <w:r>
        <w:t xml:space="preserve"> МОТ о минимальном возрасте для приема на работу 1973 года (№ 138)</w:t>
      </w:r>
    </w:p>
    <w:p w:rsidR="00000000" w:rsidRDefault="00000000"/>
    <w:p w:rsidR="00000000" w:rsidRDefault="00000000">
      <w:pPr>
        <w:rPr>
          <w:u w:val="single"/>
        </w:rPr>
      </w:pPr>
      <w:r>
        <w:t>2.</w:t>
      </w:r>
      <w:r>
        <w:tab/>
      </w:r>
      <w:r>
        <w:rPr>
          <w:u w:val="single"/>
        </w:rPr>
        <w:t>Семья</w:t>
      </w:r>
    </w:p>
    <w:p w:rsidR="00000000" w:rsidRDefault="00000000">
      <w:pPr>
        <w:rPr>
          <w:b/>
          <w:u w:val="single"/>
        </w:rPr>
      </w:pPr>
    </w:p>
    <w:p w:rsidR="00000000" w:rsidRDefault="00000000">
      <w:r>
        <w:t>240.</w:t>
      </w:r>
      <w:r>
        <w:tab/>
        <w:t>Информация по данному вопросу содержится в предыдущем докладе.</w:t>
      </w:r>
    </w:p>
    <w:p w:rsidR="00000000" w:rsidRDefault="00000000"/>
    <w:p w:rsidR="00000000" w:rsidRDefault="00000000">
      <w:pPr>
        <w:rPr>
          <w:u w:val="single"/>
        </w:rPr>
      </w:pPr>
      <w:r>
        <w:t>3.</w:t>
      </w:r>
      <w:r>
        <w:tab/>
      </w:r>
      <w:r>
        <w:rPr>
          <w:u w:val="single"/>
        </w:rPr>
        <w:t>Возраст совершеннолетия</w:t>
      </w:r>
    </w:p>
    <w:p w:rsidR="00000000" w:rsidRDefault="00000000">
      <w:pPr>
        <w:rPr>
          <w:b/>
          <w:u w:val="single"/>
        </w:rPr>
      </w:pPr>
    </w:p>
    <w:p w:rsidR="00000000" w:rsidRDefault="00000000">
      <w:r>
        <w:t>241.</w:t>
      </w:r>
      <w:r>
        <w:tab/>
        <w:t>Согласно законодательству Финляндии, лицо, не достигшее 18-летнего возраста, является несовершеннолетним.  Однако имеется ряд положений, дающих несовершеннолетнему ребенку право на самоопределение или право на заслушание.  Например, несовершеннолетний в возрасте 15 лет может, совместно с попечителем, независимо осуществлять свое право на выступление в суде по касающимся его вопросам;  аналогичным образом при вступлении несовершеннолетнего лица в брак оно освобождается от власти попечителя в касающихся его вопросах, а несовершеннолетний в возрасте 15 лет может без разрешения попечителя заключать трудовой договор (который, однако, может быть расторгнут попечителем при определенных обстоятельствах) и т.д.  Эти вопросы обсуждались в разделе по статье 1 в представленном Финляндией первом периодическом докладе по правам ребенка.</w:t>
      </w:r>
    </w:p>
    <w:p w:rsidR="00000000" w:rsidRDefault="00000000"/>
    <w:p w:rsidR="00000000" w:rsidRDefault="00000000">
      <w:pPr>
        <w:rPr>
          <w:u w:val="single"/>
        </w:rPr>
      </w:pPr>
      <w:r>
        <w:br w:type="page"/>
        <w:t>4.</w:t>
      </w:r>
      <w:r>
        <w:tab/>
      </w:r>
      <w:proofErr w:type="spellStart"/>
      <w:r>
        <w:t>b</w:t>
      </w:r>
      <w:proofErr w:type="spellEnd"/>
      <w:r>
        <w:t>)</w:t>
      </w:r>
      <w:r>
        <w:tab/>
      </w:r>
      <w:r>
        <w:rPr>
          <w:u w:val="single"/>
        </w:rPr>
        <w:t>Защита семьи</w:t>
      </w:r>
    </w:p>
    <w:p w:rsidR="00000000" w:rsidRDefault="00000000">
      <w:pPr>
        <w:rPr>
          <w:b/>
          <w:u w:val="single"/>
        </w:rPr>
      </w:pPr>
    </w:p>
    <w:p w:rsidR="00000000" w:rsidRDefault="00000000">
      <w:r>
        <w:t>242.</w:t>
      </w:r>
      <w:r>
        <w:tab/>
        <w:t xml:space="preserve">В дополнение к информации по этому вопросу, изложенной в предыдущем докладе, ниже приводятся следующие новые данные.  </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t>243.</w:t>
      </w:r>
      <w:r>
        <w:tab/>
      </w:r>
      <w:r>
        <w:rPr>
          <w:u w:val="single"/>
        </w:rPr>
        <w:t>Насилие в отношении женщин</w:t>
      </w:r>
      <w:r>
        <w:t>.  В 1997 году статистическое управление Финляндии провело исследование по проблеме насилия в отношении женщин.  Исследование было профинансировано Советом по вопросам равноправия и министерством социальных дел и здравоохранения;  его результаты были представлены в виде статистических данных.  Было распространено в общей сложности 7 100 вопросников среди женщин в возрасте 15</w:t>
      </w:r>
      <w:r>
        <w:noBreakHyphen/>
        <w:t xml:space="preserve">74 лет, из которых на него ответили 5 000 человек (70%).  Респондентам было предложено рассказать об их страхах, о пережитых ими случаях насилия, указав, в частности, подвергались ли они насилию со стороны партнера, обращались ли они за помощью к властям и к профессиональным психологам, а также удовлетворила ли их оказанная помощь.  </w:t>
      </w:r>
    </w:p>
    <w:p w:rsidR="00000000" w:rsidRDefault="00000000"/>
    <w:p w:rsidR="00000000" w:rsidRDefault="00000000">
      <w:r>
        <w:t>244.</w:t>
      </w:r>
      <w:r>
        <w:tab/>
        <w:t>Вопреки ожиданиям было установлено, что в Финляндии насилие является широко распространенным явлением:  40% женщин сообщили о том, что в разное время после 15</w:t>
      </w:r>
      <w:r>
        <w:noBreakHyphen/>
        <w:t xml:space="preserve">летнего возраста они подвергались физическому или сексуальному насилию или угрозам такого насилия со стороны мужчин;  22% женщин были жертвами физического или сексуального нападения или угроз насилия со стороны нынешнего партнера, причем 9% таких случаев, как сообщалось, произошли в течение 12 предшествовавших опросу месяцев;  50% женщин, проживающих в гражданском или законном браке, сообщили о насилии со стороны их бывшего мужа или сожителя.  Среди тех, кто стал жертвой домашнего насилия, 12% обратились за помощью.  Среди мужчин, склонных к насильственным действиям, за помощью в решении их проблемы обратилось 6%.  </w:t>
      </w:r>
    </w:p>
    <w:p w:rsidR="00000000" w:rsidRDefault="00000000"/>
    <w:p w:rsidR="00000000" w:rsidRDefault="00000000">
      <w:r>
        <w:t>245.</w:t>
      </w:r>
      <w:r>
        <w:tab/>
        <w:t>Вопросник и результаты проведенного обследования имеются на английском языке и прилагаются к настоящему докладу (</w:t>
      </w:r>
      <w:r>
        <w:rPr>
          <w:lang w:val="en-US"/>
        </w:rPr>
        <w:t>Markku Heiskanen and Minna Piispa:  Faith, Hope, Battering:  A Survey on Men's Violence against Women in Finland, 1988;  приложение 37).</w:t>
      </w:r>
    </w:p>
    <w:p w:rsidR="00000000" w:rsidRDefault="00000000"/>
    <w:p w:rsidR="00000000" w:rsidRDefault="00000000">
      <w:r>
        <w:t>246.</w:t>
      </w:r>
      <w:r>
        <w:tab/>
        <w:t xml:space="preserve">Совет по вопросам равенства выдвинул предложение о проведении программы исследований по проблеме получающего все более широкое распространение насилия в отношении женщин. Инициирование этой программы исследований позволило привлечь внимание общественности к проблеме насилия и недостатку информации о возможных путях ее решения.  </w:t>
      </w:r>
    </w:p>
    <w:p w:rsidR="00000000" w:rsidRDefault="00000000"/>
    <w:p w:rsidR="00000000" w:rsidRDefault="00000000">
      <w:r>
        <w:br w:type="page"/>
        <w:t>247.</w:t>
      </w:r>
      <w:r>
        <w:tab/>
        <w:t>Информация о профилактических мерах в этой области была изложена в третьем докладе Финляндии, представленном Комитету по ликвидации насилия в отношении женщин в январе 1997 года.  Далее было отмечено, что в настоящее время также имеется возможность оказания психологической помощи мужчинам, желающим изменить свое склонное к насилию поведение (проекты "</w:t>
      </w:r>
      <w:r>
        <w:rPr>
          <w:lang w:val="en-US"/>
        </w:rPr>
        <w:t xml:space="preserve">Mobile", "Lyömätön linja" и "Jussi project").  </w:t>
      </w:r>
      <w:r>
        <w:t>Один из основных принципов психологической помощи состоит в том, чтобы заставить таких мужчин ощутить личную ответственность за свои действия.</w:t>
      </w:r>
    </w:p>
    <w:p w:rsidR="00000000" w:rsidRDefault="00000000"/>
    <w:p w:rsidR="00000000" w:rsidRDefault="00000000">
      <w:r>
        <w:t>248.</w:t>
      </w:r>
      <w:r>
        <w:tab/>
        <w:t xml:space="preserve">В 1998 году Национальный центр научных исследований и развития по проблемам социального обеспечения и здравоохранения (STAKES) приступил к осуществлению пятилетнего общенационального проекта по предупреждению насилия. Проект разделен на две части, одна из которых посвящена профилактике насилия в отношении женщин, а другая – борьбе с проституцией.  В дополнение к этому общенациональному проекту осуществляется 12 региональных проектов сотрудничества и ряд проектов на местном уровне, одним из которых является проект по борьбе с бытовым насилием в Хельсинки и который также предусматривает проведение информационно-пропагандистской кампании.  </w:t>
      </w:r>
    </w:p>
    <w:p w:rsidR="00000000" w:rsidRDefault="00000000"/>
    <w:p w:rsidR="00000000" w:rsidRDefault="00000000">
      <w:r>
        <w:t>249.</w:t>
      </w:r>
      <w:r>
        <w:tab/>
        <w:t>Проблемы предупреждения насилия в отношении женщин и бытового насилия также включены в программу действий финского правительства в области обеспечения равноправия.</w:t>
      </w:r>
    </w:p>
    <w:p w:rsidR="00000000" w:rsidRDefault="00000000"/>
    <w:p w:rsidR="00000000" w:rsidRDefault="00000000">
      <w:r>
        <w:t>250.</w:t>
      </w:r>
      <w:r>
        <w:tab/>
      </w:r>
      <w:r>
        <w:rPr>
          <w:u w:val="single"/>
        </w:rPr>
        <w:t>Организация послешкольного досуга детей</w:t>
      </w:r>
      <w:r>
        <w:t>.  В течение нескольких последних лет особое внимание уделяется вопросу организации досуга учащихся по окончании школьных занятий.  Все ученики после занятий в школе должны иметь возможность заниматься каким-либо любимым делом или проводить свободное время под надзором опытных педагогов.  Министерство просвещения оказывает поддержку  в организации и развитии послешкольных мероприятий в сотрудничестве с местными органами власти, неправительственными организациями и различными ассоциациями.  Национальный совет по вопросам образования приступил к осуществлению собственного экспериментального проекта по поддержке и развитию муниципальных кружков для организации досуга учеников по окончании занятий в школе.</w:t>
      </w:r>
    </w:p>
    <w:p w:rsidR="00000000" w:rsidRDefault="00000000"/>
    <w:p w:rsidR="00000000" w:rsidRDefault="00000000">
      <w:r>
        <w:t>251.</w:t>
      </w:r>
      <w:r>
        <w:tab/>
        <w:t>Согласно положениям Закона о трудовых соглашениях, работник вправе покидать рабочее место в случае крайней необходимости его присутствия дома в связи с непредвиденным или чрезвычайным обстоятельством, например болезнью или несчастным случаем в семье.  Аналогичные положения действуют применительно к государственному сектору.</w:t>
      </w:r>
    </w:p>
    <w:p w:rsidR="00000000" w:rsidRDefault="00000000"/>
    <w:p w:rsidR="00000000" w:rsidRDefault="00000000">
      <w:pPr>
        <w:rPr>
          <w:u w:val="single"/>
        </w:rPr>
      </w:pPr>
      <w:r>
        <w:t>5.</w:t>
      </w:r>
      <w:r>
        <w:tab/>
      </w:r>
      <w:r>
        <w:rPr>
          <w:u w:val="single"/>
        </w:rPr>
        <w:t>Охрана материнства</w:t>
      </w:r>
    </w:p>
    <w:p w:rsidR="00000000" w:rsidRDefault="00000000">
      <w:pPr>
        <w:rPr>
          <w:b/>
          <w:u w:val="single"/>
        </w:rPr>
      </w:pPr>
    </w:p>
    <w:p w:rsidR="00000000" w:rsidRDefault="00000000">
      <w:r>
        <w:t>252.</w:t>
      </w:r>
      <w:r>
        <w:tab/>
        <w:t>Дополнительно к данным, представленным по этому вопросу в предыдущем докладе, ниже приводится следующая информация.</w:t>
      </w:r>
    </w:p>
    <w:p w:rsidR="00000000" w:rsidRDefault="00000000"/>
    <w:p w:rsidR="00000000" w:rsidRDefault="00000000">
      <w:r>
        <w:t>253.</w:t>
      </w:r>
      <w:r>
        <w:tab/>
        <w:t>В октябре 1998 года вступила в силу поправка</w:t>
      </w:r>
      <w:r>
        <w:rPr>
          <w:lang w:val="en-US"/>
        </w:rPr>
        <w:t xml:space="preserve"> </w:t>
      </w:r>
      <w:r>
        <w:t>к Закону о трудовых соглашениях (320/1970), касающаяся отпуска по семейным обстоятельствам (357/1998).  Цель данной поправки состояла в уточнении положений Закона о трудовых соглашениях, касающихся отпуска по беременности и родам, специального отпуска по беременности и родам, отпуска для отцов, отпуска для родителей, а также в приведении их в соответствие с положениями директивы 96/34/ЕС, лежащей в основе соглашения о предоставлении отпуска родителям, заключенного между действующими на рынке труда организациями на европейском уровне.  С принятием поправки к Закону о трудовых соглашениях было признано требование, касающееся обязательного предоставления отпуска по беременности и родам, которое предусмотрено в директиве Совета 92/85/ЕЕС о беременных женщинах.  Указанная директива также направлена на совершенствование мер в области охраны труда беременных женщин, женщин, имеющих маленьких детей и кормящих матерей.</w:t>
      </w:r>
    </w:p>
    <w:p w:rsidR="00000000" w:rsidRDefault="00000000"/>
    <w:p w:rsidR="00000000" w:rsidRDefault="00000000">
      <w:r>
        <w:t>254.</w:t>
      </w:r>
      <w:r>
        <w:tab/>
        <w:t>Закон о трудовых соглашениях предоставляет работницам право не работать в период отпуска по беременности и родам, специального отпуска по беременности и родам, отпуска для отцов и родителей, о которых говорится в Законе о медицинском страховании.</w:t>
      </w:r>
    </w:p>
    <w:p w:rsidR="00000000" w:rsidRDefault="00000000"/>
    <w:p w:rsidR="00000000" w:rsidRDefault="00000000">
      <w:r>
        <w:t>255.</w:t>
      </w:r>
      <w:r>
        <w:tab/>
        <w:t>Закон о трудовых соглашениях охватывает виды деятельности, выполняемые работницами, получающими пособие по беременности и родам.  В период отпуска по беременности и родам работница может, с согласия работодателя, выполнять работу, которая не угрожает ее безопасности и безопасности плода или новорожденного ребенка.  Вместе с тем работница имеет право на отпуск в течение двух недель до предполагаемой даты родов и двух недель после рождения ребенка.  Как работодатель, так и работник вправе приостановить работу, выполняемую работницей, получающей пособие по беременности и родам.</w:t>
      </w:r>
    </w:p>
    <w:p w:rsidR="00000000" w:rsidRDefault="00000000"/>
    <w:p w:rsidR="00000000" w:rsidRDefault="00000000">
      <w:r>
        <w:t>256.</w:t>
      </w:r>
      <w:r>
        <w:tab/>
        <w:t>По истечении периода отпуска по беременности и родам работница имеет право на получение отпуска по уходу за ребенком в целях ухода за ее собственным ребенком или ребенком, постоянно проживающим в том же домашнем хозяйстве, до достижения им трехлетнего возраста.  Это право также действует применительно к отцу.  Отпуск по уходу за ребенком может быть разбит максимум на две части, продолжительностью не менее 30 дней, кроме как в случаях, когда работодатель и работница договариваются о разделении отпуска на более чем две части или о том, что продолжительность части отпуска составит менее одного месяца.  В поправке к Закону о трудовых соглашениях учитывается факт расширения практики временных трудовых отношений и поэтому предусматривается возможность предоставления частичного отпуска по уходу за ребенком.</w:t>
      </w:r>
    </w:p>
    <w:p w:rsidR="00000000" w:rsidRDefault="00000000"/>
    <w:p w:rsidR="00000000" w:rsidRDefault="00000000">
      <w:r>
        <w:t>257.</w:t>
      </w:r>
      <w:r>
        <w:tab/>
        <w:t>Отец, принимающий участие в уходе за своим ребенком и не работающий по найму или занимающийся другой деятельностью вне дома, пользуется правом на получение пособия для отцов в связи с рождением ребенка.</w:t>
      </w:r>
    </w:p>
    <w:p w:rsidR="00000000" w:rsidRDefault="00000000"/>
    <w:p w:rsidR="00000000" w:rsidRDefault="00000000">
      <w:r>
        <w:t>258.</w:t>
      </w:r>
      <w:r>
        <w:tab/>
        <w:t>Закон о медицинском страховании содержит положения о пособии по беременности и родам, которое выплачивается в связи с беременностью и родами, пособии для отцов или родителей в связи с рождением ребенка, которое выплачивается отцам или родителям осуществляющим уход за ребенком или приемным ребенком, а также специальном пособии по беременности и родам, которое выплачивается в случае угрозы нормальному развитию плода или беременности.  Для получения этого пособия необходимо, чтобы беременность продолжалась не менее 154 дней.  Срок получения пособия по беременности и родам начинается не ранее чем за 50 рабочих дней до предполагаемой даты родов, при том условии, что застрахованное лицо не работает по найму вне дома.  В других случаях выплата пособия по беременности и родам начинается не позднее 30 рабочих дней непосредственно перед предполагаемой датой родов.  Продолжительность срока выплаты пособия по беременности и родам составляет 105 дней.  По истечении этого периода отец или мать ребенка пользуется правом на получение пособия для родителей.  Объединенное пособие по беременности и родам и для родителей выплачивается в течение 263 рабочих дней.  Кроме того, в том случае, если отец ребенка не занимается доходной деятельностью или не работает по найму за пределами дома, он имеет право на получение пособия для отцов в связи с рождением ребенка в течение шести рабочих дней в период выплаты пособия по беременности и родам или пособия для родителей.</w:t>
      </w:r>
    </w:p>
    <w:p w:rsidR="00000000" w:rsidRDefault="00000000"/>
    <w:p w:rsidR="00000000" w:rsidRDefault="00000000">
      <w:pPr>
        <w:rPr>
          <w:u w:val="single"/>
        </w:rPr>
      </w:pPr>
      <w:r>
        <w:t>6.</w:t>
      </w:r>
      <w:r>
        <w:tab/>
      </w:r>
      <w:r>
        <w:rPr>
          <w:u w:val="single"/>
        </w:rPr>
        <w:t>Защита детей от экономической и социальной эксплуатации</w:t>
      </w:r>
    </w:p>
    <w:p w:rsidR="00000000" w:rsidRDefault="00000000">
      <w:pPr>
        <w:rPr>
          <w:b/>
          <w:u w:val="single"/>
        </w:rPr>
      </w:pPr>
    </w:p>
    <w:p w:rsidR="00000000" w:rsidRDefault="00000000">
      <w:r>
        <w:t>259.</w:t>
      </w:r>
      <w:r>
        <w:tab/>
        <w:t>Информация по этому вопросу изложена во втором периодическом докладе по правам ребенка, представленном Финляндией в июле 1998 года.</w:t>
      </w:r>
    </w:p>
    <w:p w:rsidR="00000000" w:rsidRDefault="00000000"/>
    <w:p w:rsidR="00000000" w:rsidRDefault="00000000">
      <w:pPr>
        <w:spacing w:line="264" w:lineRule="auto"/>
      </w:pPr>
      <w:r>
        <w:t>260.</w:t>
      </w:r>
      <w:r>
        <w:tab/>
        <w:t>1 января 1999 года вступили в силу новые положения, касающиеся преступлений на сексуальной почве и детской порнографии, включенные в статью 20 Уголовного кодекса.  Половой контакт с лицом, не достигшим 16-летнего возраста квалифицируется как сексуальное надругательство над ребенком и карается законом.  Были приняты отдельные положения, квалифицирующие в качестве уголовного преступления акты сексуального насилия над ребенком и приобретения сексуальных услуг у несовершеннолетнего лица.  Также были приняты меры по защите половой неприкосновенности и самоопределения ребенка или подростка путем признания уголовным нарушением актов сексуального насилия в отношении лица в возрасте до 18 лет в том случае, когда правонарушитель воспользовался своим должностным или социальным статусом или незрелостью подростка.</w:t>
      </w:r>
    </w:p>
    <w:p w:rsidR="00000000" w:rsidRDefault="00000000">
      <w:pPr>
        <w:spacing w:line="264" w:lineRule="auto"/>
      </w:pPr>
    </w:p>
    <w:p w:rsidR="00000000" w:rsidRDefault="00000000">
      <w:pPr>
        <w:spacing w:line="264" w:lineRule="auto"/>
      </w:pPr>
      <w:r>
        <w:t>261.</w:t>
      </w:r>
      <w:r>
        <w:tab/>
        <w:t>В декабре 1998 года парламент одобрил поправки, касающиеся учреждения системы, согласно которой муниципалитеты будут принимать значительное участие в покрытии расходов, связанных с социальным обеспечением детей.  С 1 марта 1999 года введена в действие система уравнивания расходов, смысл которой заключается в том, чтобы разделить с муниципалитетами экономическое бремя, связанное с осуществлением дорогостоящих мер в сфере детского социального обеспечения, и использовать имеющиеся ресурсы таким образом, чтобы гарантировать предоставление необходимых и своевременных услуг соответствующему контингенту.  Правительство берет на себя обязательство по покрытию половины соответствующих расходов.</w:t>
      </w:r>
    </w:p>
    <w:p w:rsidR="00000000" w:rsidRDefault="00000000">
      <w:pPr>
        <w:spacing w:line="264" w:lineRule="auto"/>
      </w:pPr>
    </w:p>
    <w:p w:rsidR="00000000" w:rsidRDefault="00000000">
      <w:pPr>
        <w:spacing w:line="264" w:lineRule="auto"/>
        <w:rPr>
          <w:u w:val="single"/>
        </w:rPr>
      </w:pPr>
      <w:r>
        <w:t>6</w:t>
      </w:r>
      <w:r>
        <w:tab/>
      </w:r>
      <w:proofErr w:type="spellStart"/>
      <w:r>
        <w:t>a</w:t>
      </w:r>
      <w:proofErr w:type="spellEnd"/>
      <w:r>
        <w:t>)</w:t>
      </w:r>
      <w:r>
        <w:rPr>
          <w:lang w:val="en-US"/>
        </w:rPr>
        <w:tab/>
      </w:r>
      <w:r>
        <w:rPr>
          <w:u w:val="single"/>
        </w:rPr>
        <w:t>Минимальный возраст для приема на работу</w:t>
      </w:r>
    </w:p>
    <w:p w:rsidR="00000000" w:rsidRDefault="00000000">
      <w:pPr>
        <w:spacing w:line="264" w:lineRule="auto"/>
        <w:rPr>
          <w:b/>
          <w:u w:val="single"/>
        </w:rPr>
      </w:pPr>
    </w:p>
    <w:p w:rsidR="00000000" w:rsidRDefault="00000000">
      <w:pPr>
        <w:spacing w:line="264" w:lineRule="auto"/>
      </w:pPr>
      <w:r>
        <w:t>262.</w:t>
      </w:r>
      <w:r>
        <w:tab/>
        <w:t>Информация по данному вопросу изложена во втором периодическом докладе по правам ребенка, представленном Финляндией в июле 1998 года, а также в докладе об осуществлении Конвенции МОТ № 138, представленном Финляндией в 1996 году (приложение 36).</w:t>
      </w:r>
    </w:p>
    <w:p w:rsidR="00000000" w:rsidRDefault="00000000">
      <w:pPr>
        <w:spacing w:line="264" w:lineRule="auto"/>
      </w:pPr>
    </w:p>
    <w:p w:rsidR="00000000" w:rsidRDefault="00000000">
      <w:pPr>
        <w:spacing w:line="264" w:lineRule="auto"/>
        <w:rPr>
          <w:u w:val="single"/>
        </w:rPr>
      </w:pPr>
      <w:r>
        <w:t>6</w:t>
      </w:r>
      <w:r>
        <w:tab/>
      </w:r>
      <w:r>
        <w:rPr>
          <w:lang w:val="en-US"/>
        </w:rPr>
        <w:t>b)</w:t>
      </w:r>
      <w:r>
        <w:rPr>
          <w:lang w:val="en-US"/>
        </w:rPr>
        <w:tab/>
      </w:r>
      <w:r>
        <w:rPr>
          <w:u w:val="single"/>
        </w:rPr>
        <w:t xml:space="preserve">Статистические данные о детях, имеющих оплачиваемую работу </w:t>
      </w:r>
    </w:p>
    <w:p w:rsidR="00000000" w:rsidRDefault="00000000">
      <w:pPr>
        <w:spacing w:line="264" w:lineRule="auto"/>
        <w:rPr>
          <w:b/>
          <w:u w:val="single"/>
        </w:rPr>
      </w:pPr>
    </w:p>
    <w:p w:rsidR="00000000" w:rsidRDefault="00000000">
      <w:pPr>
        <w:spacing w:line="264" w:lineRule="auto"/>
        <w:ind w:left="2160" w:hanging="2160"/>
        <w:rPr>
          <w:u w:val="single"/>
        </w:rPr>
      </w:pPr>
      <w:r>
        <w:tab/>
        <w:t>Таблица 1.</w:t>
      </w:r>
      <w:r>
        <w:tab/>
      </w:r>
      <w:r>
        <w:tab/>
      </w:r>
      <w:r>
        <w:rPr>
          <w:u w:val="single"/>
        </w:rPr>
        <w:t>Дети в возрасте 15–17 лет, работающие по найму и отнесенные к категории рабочей силы в 1998 году</w:t>
      </w:r>
    </w:p>
    <w:p w:rsidR="00000000" w:rsidRDefault="00000000">
      <w:pPr>
        <w:spacing w:line="264" w:lineRule="auto"/>
        <w:rPr>
          <w:i/>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2"/>
        <w:gridCol w:w="2392"/>
        <w:gridCol w:w="2270"/>
        <w:gridCol w:w="2514"/>
      </w:tblGrid>
      <w:tr w:rsidR="00000000">
        <w:tblPrEx>
          <w:tblCellMar>
            <w:top w:w="0" w:type="dxa"/>
            <w:bottom w:w="0" w:type="dxa"/>
          </w:tblCellMar>
        </w:tblPrEx>
        <w:tc>
          <w:tcPr>
            <w:tcW w:w="2392" w:type="dxa"/>
            <w:vAlign w:val="center"/>
          </w:tcPr>
          <w:p w:rsidR="00000000" w:rsidRDefault="00000000">
            <w:pPr>
              <w:pStyle w:val="FootnoteText"/>
              <w:spacing w:line="264" w:lineRule="auto"/>
            </w:pPr>
            <w:r>
              <w:t>1998</w:t>
            </w:r>
          </w:p>
        </w:tc>
        <w:tc>
          <w:tcPr>
            <w:tcW w:w="2392" w:type="dxa"/>
            <w:vAlign w:val="center"/>
          </w:tcPr>
          <w:p w:rsidR="00000000" w:rsidRDefault="00000000">
            <w:pPr>
              <w:spacing w:line="264" w:lineRule="auto"/>
              <w:jc w:val="center"/>
            </w:pPr>
            <w:r>
              <w:t>Всего</w:t>
            </w:r>
          </w:p>
        </w:tc>
        <w:tc>
          <w:tcPr>
            <w:tcW w:w="2270" w:type="dxa"/>
            <w:vAlign w:val="center"/>
          </w:tcPr>
          <w:p w:rsidR="00000000" w:rsidRDefault="00000000">
            <w:pPr>
              <w:spacing w:line="264" w:lineRule="auto"/>
              <w:jc w:val="center"/>
            </w:pPr>
            <w:r>
              <w:t>В категории рабочей силы</w:t>
            </w:r>
          </w:p>
        </w:tc>
        <w:tc>
          <w:tcPr>
            <w:tcW w:w="2514" w:type="dxa"/>
            <w:vAlign w:val="center"/>
          </w:tcPr>
          <w:p w:rsidR="00000000" w:rsidRDefault="00000000">
            <w:pPr>
              <w:spacing w:line="264" w:lineRule="auto"/>
              <w:jc w:val="center"/>
            </w:pPr>
            <w:r>
              <w:t>Работающие по найму</w:t>
            </w:r>
          </w:p>
        </w:tc>
      </w:tr>
      <w:tr w:rsidR="00000000">
        <w:tblPrEx>
          <w:tblCellMar>
            <w:top w:w="0" w:type="dxa"/>
            <w:bottom w:w="0" w:type="dxa"/>
          </w:tblCellMar>
        </w:tblPrEx>
        <w:tc>
          <w:tcPr>
            <w:tcW w:w="2392" w:type="dxa"/>
          </w:tcPr>
          <w:p w:rsidR="00000000" w:rsidRDefault="00000000">
            <w:pPr>
              <w:spacing w:line="264" w:lineRule="auto"/>
            </w:pPr>
            <w:r>
              <w:t>15 лет</w:t>
            </w:r>
          </w:p>
        </w:tc>
        <w:tc>
          <w:tcPr>
            <w:tcW w:w="2392" w:type="dxa"/>
          </w:tcPr>
          <w:p w:rsidR="00000000" w:rsidRDefault="00000000">
            <w:pPr>
              <w:tabs>
                <w:tab w:val="clear" w:pos="1134"/>
                <w:tab w:val="clear" w:pos="2268"/>
                <w:tab w:val="left" w:pos="1294"/>
                <w:tab w:val="left" w:pos="2003"/>
              </w:tabs>
              <w:spacing w:line="264" w:lineRule="auto"/>
              <w:jc w:val="center"/>
            </w:pPr>
            <w:r>
              <w:t>70 400</w:t>
            </w:r>
          </w:p>
        </w:tc>
        <w:tc>
          <w:tcPr>
            <w:tcW w:w="2270" w:type="dxa"/>
          </w:tcPr>
          <w:p w:rsidR="00000000" w:rsidRDefault="00000000">
            <w:pPr>
              <w:tabs>
                <w:tab w:val="left" w:pos="2304"/>
              </w:tabs>
              <w:spacing w:line="264" w:lineRule="auto"/>
              <w:jc w:val="center"/>
            </w:pPr>
            <w:r>
              <w:t>10 700</w:t>
            </w:r>
          </w:p>
        </w:tc>
        <w:tc>
          <w:tcPr>
            <w:tcW w:w="2514" w:type="dxa"/>
          </w:tcPr>
          <w:p w:rsidR="00000000" w:rsidRDefault="00000000">
            <w:pPr>
              <w:tabs>
                <w:tab w:val="clear" w:pos="2268"/>
              </w:tabs>
              <w:spacing w:line="264" w:lineRule="auto"/>
              <w:jc w:val="center"/>
            </w:pPr>
            <w:r>
              <w:t>6 500</w:t>
            </w:r>
          </w:p>
        </w:tc>
      </w:tr>
      <w:tr w:rsidR="00000000">
        <w:tblPrEx>
          <w:tblCellMar>
            <w:top w:w="0" w:type="dxa"/>
            <w:bottom w:w="0" w:type="dxa"/>
          </w:tblCellMar>
        </w:tblPrEx>
        <w:tc>
          <w:tcPr>
            <w:tcW w:w="2392" w:type="dxa"/>
          </w:tcPr>
          <w:p w:rsidR="00000000" w:rsidRDefault="00000000">
            <w:pPr>
              <w:spacing w:line="264" w:lineRule="auto"/>
            </w:pPr>
            <w:r>
              <w:t>16 лет</w:t>
            </w:r>
          </w:p>
        </w:tc>
        <w:tc>
          <w:tcPr>
            <w:tcW w:w="2392" w:type="dxa"/>
          </w:tcPr>
          <w:p w:rsidR="00000000" w:rsidRDefault="00000000">
            <w:pPr>
              <w:tabs>
                <w:tab w:val="clear" w:pos="1134"/>
                <w:tab w:val="clear" w:pos="2268"/>
                <w:tab w:val="left" w:pos="1294"/>
                <w:tab w:val="left" w:pos="2003"/>
              </w:tabs>
              <w:spacing w:line="264" w:lineRule="auto"/>
              <w:jc w:val="center"/>
            </w:pPr>
            <w:r>
              <w:t>69 200</w:t>
            </w:r>
          </w:p>
        </w:tc>
        <w:tc>
          <w:tcPr>
            <w:tcW w:w="2270" w:type="dxa"/>
          </w:tcPr>
          <w:p w:rsidR="00000000" w:rsidRDefault="00000000">
            <w:pPr>
              <w:tabs>
                <w:tab w:val="left" w:pos="2304"/>
              </w:tabs>
              <w:spacing w:line="264" w:lineRule="auto"/>
              <w:jc w:val="center"/>
            </w:pPr>
            <w:r>
              <w:t>15 000</w:t>
            </w:r>
          </w:p>
        </w:tc>
        <w:tc>
          <w:tcPr>
            <w:tcW w:w="2514" w:type="dxa"/>
          </w:tcPr>
          <w:p w:rsidR="00000000" w:rsidRDefault="00000000">
            <w:pPr>
              <w:tabs>
                <w:tab w:val="clear" w:pos="2268"/>
              </w:tabs>
              <w:spacing w:line="264" w:lineRule="auto"/>
              <w:jc w:val="center"/>
            </w:pPr>
            <w:r>
              <w:t>9 000</w:t>
            </w:r>
          </w:p>
        </w:tc>
      </w:tr>
      <w:tr w:rsidR="00000000">
        <w:tblPrEx>
          <w:tblCellMar>
            <w:top w:w="0" w:type="dxa"/>
            <w:bottom w:w="0" w:type="dxa"/>
          </w:tblCellMar>
        </w:tblPrEx>
        <w:tc>
          <w:tcPr>
            <w:tcW w:w="2392" w:type="dxa"/>
          </w:tcPr>
          <w:p w:rsidR="00000000" w:rsidRDefault="00000000">
            <w:pPr>
              <w:spacing w:line="264" w:lineRule="auto"/>
            </w:pPr>
            <w:r>
              <w:t>17 лет</w:t>
            </w:r>
          </w:p>
        </w:tc>
        <w:tc>
          <w:tcPr>
            <w:tcW w:w="2392" w:type="dxa"/>
          </w:tcPr>
          <w:p w:rsidR="00000000" w:rsidRDefault="00000000">
            <w:pPr>
              <w:tabs>
                <w:tab w:val="clear" w:pos="1134"/>
                <w:tab w:val="clear" w:pos="2268"/>
                <w:tab w:val="left" w:pos="1294"/>
                <w:tab w:val="left" w:pos="2003"/>
              </w:tabs>
              <w:spacing w:line="264" w:lineRule="auto"/>
              <w:jc w:val="center"/>
            </w:pPr>
            <w:r>
              <w:t>61 500</w:t>
            </w:r>
          </w:p>
        </w:tc>
        <w:tc>
          <w:tcPr>
            <w:tcW w:w="2270" w:type="dxa"/>
          </w:tcPr>
          <w:p w:rsidR="00000000" w:rsidRDefault="00000000">
            <w:pPr>
              <w:tabs>
                <w:tab w:val="left" w:pos="2304"/>
              </w:tabs>
              <w:spacing w:line="264" w:lineRule="auto"/>
              <w:jc w:val="center"/>
            </w:pPr>
            <w:r>
              <w:t>15 400</w:t>
            </w:r>
          </w:p>
        </w:tc>
        <w:tc>
          <w:tcPr>
            <w:tcW w:w="2514" w:type="dxa"/>
          </w:tcPr>
          <w:p w:rsidR="00000000" w:rsidRDefault="00000000">
            <w:pPr>
              <w:tabs>
                <w:tab w:val="clear" w:pos="2268"/>
              </w:tabs>
              <w:spacing w:line="264" w:lineRule="auto"/>
              <w:jc w:val="center"/>
            </w:pPr>
            <w:r>
              <w:t>10 600</w:t>
            </w:r>
          </w:p>
        </w:tc>
      </w:tr>
    </w:tbl>
    <w:p w:rsidR="00000000" w:rsidRDefault="00000000">
      <w:pPr>
        <w:pStyle w:val="FootnoteText"/>
        <w:spacing w:line="264" w:lineRule="auto"/>
      </w:pPr>
    </w:p>
    <w:p w:rsidR="00000000" w:rsidRDefault="00000000">
      <w:pPr>
        <w:spacing w:line="264" w:lineRule="auto"/>
      </w:pPr>
      <w:r>
        <w:tab/>
      </w:r>
      <w:r>
        <w:rPr>
          <w:u w:val="single"/>
        </w:rPr>
        <w:t>Источник</w:t>
      </w:r>
      <w:r>
        <w:t xml:space="preserve">: </w:t>
      </w:r>
      <w:r>
        <w:tab/>
        <w:t xml:space="preserve"> Статистические данные министерства труда.</w:t>
      </w:r>
    </w:p>
    <w:p w:rsidR="00000000" w:rsidRDefault="00000000">
      <w:pPr>
        <w:spacing w:line="264" w:lineRule="auto"/>
      </w:pPr>
    </w:p>
    <w:p w:rsidR="00000000" w:rsidRDefault="00000000">
      <w:pPr>
        <w:spacing w:line="264" w:lineRule="auto"/>
      </w:pPr>
      <w:r>
        <w:tab/>
      </w:r>
      <w:r>
        <w:rPr>
          <w:u w:val="single"/>
        </w:rPr>
        <w:t>Примечания</w:t>
      </w:r>
      <w:r>
        <w:t>:  Официальные статистические данные охватывают лиц в возрасте 15–24 лет.  В данные о рабочей силе включены как безработные, так и занятые лица.</w:t>
      </w:r>
    </w:p>
    <w:p w:rsidR="00000000" w:rsidRDefault="00000000"/>
    <w:p w:rsidR="00000000" w:rsidRDefault="00000000">
      <w:r>
        <w:br w:type="page"/>
        <w:t>6</w:t>
      </w:r>
      <w:r>
        <w:tab/>
      </w:r>
      <w:r>
        <w:rPr>
          <w:lang w:val="en-US"/>
        </w:rPr>
        <w:t>c)</w:t>
      </w:r>
      <w:r>
        <w:rPr>
          <w:lang w:val="en-US"/>
        </w:rPr>
        <w:tab/>
      </w:r>
      <w:r>
        <w:rPr>
          <w:u w:val="single"/>
        </w:rPr>
        <w:t>Дети, работающие на дому</w:t>
      </w:r>
    </w:p>
    <w:p w:rsidR="00000000" w:rsidRDefault="00000000"/>
    <w:p w:rsidR="00000000" w:rsidRDefault="00000000">
      <w:r>
        <w:t>263.</w:t>
      </w:r>
      <w:r>
        <w:tab/>
        <w:t>Информация по этому вопросу изложена в предыдущем докладе.</w:t>
      </w:r>
    </w:p>
    <w:p w:rsidR="00000000" w:rsidRDefault="00000000"/>
    <w:p w:rsidR="00000000" w:rsidRDefault="00000000">
      <w:r>
        <w:t>6</w:t>
      </w:r>
      <w:r>
        <w:tab/>
      </w:r>
      <w:r>
        <w:rPr>
          <w:lang w:val="en-US"/>
        </w:rPr>
        <w:t>d)</w:t>
      </w:r>
      <w:r>
        <w:tab/>
      </w:r>
      <w:r>
        <w:rPr>
          <w:u w:val="single"/>
        </w:rPr>
        <w:t>Дети, на которых не распространяются положения о социальной защите</w:t>
      </w:r>
    </w:p>
    <w:p w:rsidR="00000000" w:rsidRDefault="00000000"/>
    <w:p w:rsidR="00000000" w:rsidRDefault="00000000">
      <w:r>
        <w:t>264.</w:t>
      </w:r>
      <w:r>
        <w:tab/>
        <w:t>Соответствующая информация изложена в предыдущем докладе.</w:t>
      </w:r>
    </w:p>
    <w:p w:rsidR="00000000" w:rsidRDefault="00000000"/>
    <w:p w:rsidR="00000000" w:rsidRDefault="00000000">
      <w:pPr>
        <w:rPr>
          <w:u w:val="single"/>
        </w:rPr>
      </w:pPr>
      <w:r>
        <w:t>6</w:t>
      </w:r>
      <w:r>
        <w:tab/>
      </w:r>
      <w:r>
        <w:rPr>
          <w:lang w:val="en-US"/>
        </w:rPr>
        <w:t>e)</w:t>
      </w:r>
      <w:r>
        <w:tab/>
      </w:r>
      <w:r>
        <w:rPr>
          <w:u w:val="single"/>
        </w:rPr>
        <w:t>Предоставление информации по правам ребенка</w:t>
      </w:r>
    </w:p>
    <w:p w:rsidR="00000000" w:rsidRDefault="00000000">
      <w:pPr>
        <w:rPr>
          <w:b/>
          <w:u w:val="single"/>
        </w:rPr>
      </w:pPr>
    </w:p>
    <w:p w:rsidR="00000000" w:rsidRDefault="00000000">
      <w:r>
        <w:t>265. Соответствующая информация изложена в предыдущем докладе.</w:t>
      </w:r>
    </w:p>
    <w:p w:rsidR="00000000" w:rsidRDefault="00000000"/>
    <w:p w:rsidR="00000000" w:rsidRDefault="00000000">
      <w:pPr>
        <w:rPr>
          <w:u w:val="single"/>
        </w:rPr>
      </w:pPr>
      <w:r>
        <w:t>6</w:t>
      </w:r>
      <w:r>
        <w:tab/>
      </w:r>
      <w:r>
        <w:rPr>
          <w:lang w:val="en-US"/>
        </w:rPr>
        <w:t>f)</w:t>
      </w:r>
      <w:r>
        <w:rPr>
          <w:lang w:val="en-US"/>
        </w:rPr>
        <w:tab/>
      </w:r>
      <w:r>
        <w:rPr>
          <w:u w:val="single"/>
        </w:rPr>
        <w:t>Трудности и недостатки</w:t>
      </w:r>
    </w:p>
    <w:p w:rsidR="00000000" w:rsidRDefault="00000000">
      <w:pPr>
        <w:rPr>
          <w:b/>
          <w:u w:val="single"/>
        </w:rPr>
      </w:pPr>
    </w:p>
    <w:p w:rsidR="00000000" w:rsidRDefault="00000000">
      <w:r>
        <w:t>266.</w:t>
      </w:r>
      <w:r>
        <w:tab/>
        <w:t>В законодательстве Финляндии содержатся подробные положения, касающиеся молодых трудящихся, и осуществляется всесторонний надзор за их защитой.  Каких-либо конкретных проблем, связанных с реализацией прав молодых трудящихся, выявлено не было.</w:t>
      </w:r>
    </w:p>
    <w:p w:rsidR="00000000" w:rsidRDefault="00000000"/>
    <w:p w:rsidR="00000000" w:rsidRDefault="00000000">
      <w:pPr>
        <w:rPr>
          <w:u w:val="single"/>
        </w:rPr>
      </w:pPr>
      <w:r>
        <w:t>7.</w:t>
      </w:r>
      <w:r>
        <w:tab/>
      </w:r>
      <w:r>
        <w:rPr>
          <w:u w:val="single"/>
        </w:rPr>
        <w:t>Изменения в законодательстве</w:t>
      </w:r>
    </w:p>
    <w:p w:rsidR="00000000" w:rsidRDefault="00000000">
      <w:pPr>
        <w:rPr>
          <w:b/>
          <w:u w:val="single"/>
        </w:rPr>
      </w:pPr>
    </w:p>
    <w:p w:rsidR="00000000" w:rsidRDefault="00000000">
      <w:r>
        <w:t>267.</w:t>
      </w:r>
      <w:r>
        <w:tab/>
        <w:t>В начале 1999 года вступила в силу поправка к Закону о молодых трудящихся (754/1998).  Согласно этому закону, лица из числа молодежи, подлежащие обязательному школьному обучению, которым в течение соответствующего календарного года уже исполнилось или исполняется 14 лет могут использовать для трудовой деятельности не более половины школьных каникул.</w:t>
      </w:r>
    </w:p>
    <w:p w:rsidR="00000000" w:rsidRDefault="00000000"/>
    <w:p w:rsidR="00000000" w:rsidRDefault="00000000">
      <w:r>
        <w:t>268.</w:t>
      </w:r>
      <w:r>
        <w:tab/>
        <w:t>Была ограничена нормальная продолжительность рабочего времени для лиц, проходящих профессиональное обучение:  продолжительность рабочего дня и время, затраченное на профессиональное обучение не должны в сумме превышать восемь часов в день или 40 часов в неделю.  После внесения этой поправки Закон о молодых трудящихся соответствует требованиям, предусмотренным в Директиве Совета (94/33/ЕС) о защите работающей молодежи, и отвечает правовой практике, закрепленной в статье 7 Европейской социальной хартии.</w:t>
      </w:r>
    </w:p>
    <w:p w:rsidR="00000000" w:rsidRDefault="00000000"/>
    <w:p w:rsidR="00000000" w:rsidRDefault="00000000">
      <w:r>
        <w:t>269.</w:t>
      </w:r>
      <w:r>
        <w:tab/>
        <w:t xml:space="preserve">Вступившие в силу в 1998 году поправки к Закону о трудовых соглашениях, </w:t>
      </w:r>
      <w:proofErr w:type="spellStart"/>
      <w:r>
        <w:t>касаюющиеся</w:t>
      </w:r>
      <w:proofErr w:type="spellEnd"/>
      <w:r>
        <w:t xml:space="preserve"> предоставления отпуска по семейным обстоятельствам и обеспечению безопасности труда беременных женщин и женщин, имеющих маленьких детей, были обсуждены в разделе 5 выше.</w:t>
      </w:r>
    </w:p>
    <w:p w:rsidR="00000000" w:rsidRDefault="00000000"/>
    <w:p w:rsidR="00000000" w:rsidRDefault="00000000">
      <w:r>
        <w:t>270.</w:t>
      </w:r>
      <w:r>
        <w:tab/>
        <w:t xml:space="preserve">Что касается законодательства о равноправии, то соответствующая информация была изложена в третьем докладе об осуществлении Конвенции о ликвидации всех форм дискриминации в отношении женщин, представленном Финляндией в январе 1997 года.  В этом докладе также обсуждаются предложения правительства о частичной реформе Уголовного кодекса в целях </w:t>
      </w:r>
      <w:proofErr w:type="spellStart"/>
      <w:r>
        <w:t>криминализации</w:t>
      </w:r>
      <w:proofErr w:type="spellEnd"/>
      <w:r>
        <w:t xml:space="preserve"> преступлений на сексуальной почве, а также в отношении закона о порядке вынесения запретительных судебных решений.  Эти поправки вступили в силу в начале 1999 года.</w:t>
      </w:r>
    </w:p>
    <w:p w:rsidR="00000000" w:rsidRDefault="00000000"/>
    <w:p w:rsidR="00000000" w:rsidRDefault="00000000">
      <w:pPr>
        <w:pStyle w:val="Heading7"/>
        <w:spacing w:line="288" w:lineRule="auto"/>
      </w:pPr>
      <w:r>
        <w:t>Статья 11</w:t>
      </w:r>
    </w:p>
    <w:p w:rsidR="00000000" w:rsidRDefault="00000000"/>
    <w:p w:rsidR="00000000" w:rsidRDefault="00000000">
      <w:r>
        <w:t xml:space="preserve">271. </w:t>
      </w:r>
      <w:r>
        <w:rPr>
          <w:lang w:val="en-US"/>
        </w:rPr>
        <w:t xml:space="preserve"> </w:t>
      </w:r>
      <w:r>
        <w:t>Основные права в области социального обеспечения закреплены в разделе 15 a) Конституции Финляндии (раздел 19 Конституции Финляндии).</w:t>
      </w:r>
    </w:p>
    <w:p w:rsidR="00000000" w:rsidRDefault="00000000"/>
    <w:p w:rsidR="00000000" w:rsidRDefault="00000000">
      <w:r>
        <w:t>1.</w:t>
      </w:r>
      <w:r>
        <w:tab/>
      </w:r>
      <w:proofErr w:type="spellStart"/>
      <w:r>
        <w:t>a</w:t>
      </w:r>
      <w:proofErr w:type="spellEnd"/>
      <w:r>
        <w:t>)</w:t>
      </w:r>
      <w:r>
        <w:tab/>
      </w:r>
      <w:r>
        <w:rPr>
          <w:u w:val="single"/>
        </w:rPr>
        <w:t>Уровень жизни</w:t>
      </w:r>
    </w:p>
    <w:p w:rsidR="00000000" w:rsidRDefault="00000000"/>
    <w:p w:rsidR="00000000" w:rsidRDefault="00000000">
      <w:r>
        <w:t>272.  С наступлением экономического кризиса в начале 90-х годов прекратилась продолжавшаяся около 10 лет тенденция роста доходов домашних хозяйств.  В конце 80</w:t>
      </w:r>
      <w:r>
        <w:noBreakHyphen/>
        <w:t>х годов размер располагаемого дохода в расчете на душу населения был почти на 30% выше, чем в начале десятилетия.  В течение 1991-1994 годов средний размер реального дохода домашних хозяйств снизился более чем на 10%.  В отдельных домашних хозяйствах доходы сократились еще сильнее.  Больше других пострадали домашние хозяйства с низким уровнем дохода и задолженностью.  В 1995 году доходы стали расти, и эта положительная тенденция сохранялась до конца десятилетия.</w:t>
      </w:r>
    </w:p>
    <w:p w:rsidR="00000000" w:rsidRDefault="00000000"/>
    <w:p w:rsidR="00000000" w:rsidRDefault="00000000">
      <w:r>
        <w:t>273.  В 80-х годах разрыв в уровне доходов изменился очень незначительно.  Система перераспределения доходов и скромный рост доходов занятого населения препятствовали углублению разрыва в доходах в период стагнации начала 90-х годов.  С середины 90</w:t>
      </w:r>
      <w:r>
        <w:noBreakHyphen/>
        <w:t>х годов разрыв в доходах стал расти.  Плоды быстрого экономического роста ощутило на себе не все население страны.  Несмотря на улучшение ситуации с занятостью, нынешний уровень безработицы продолжает оставаться выше докризисного уровня.  Особенно остро стоит проблема долгосрочной безработицы.  В рамках мер по улучшению состояния бюджета были сокращены некоторые бюджетные выплаты, что стало причиной финансовых трудностей, в первую очередь среди домашних хозяйств с низким размером дохода.</w:t>
      </w:r>
    </w:p>
    <w:p w:rsidR="00000000" w:rsidRDefault="00000000"/>
    <w:p w:rsidR="00000000" w:rsidRDefault="00000000">
      <w:r>
        <w:br w:type="page"/>
        <w:t>274.  Основной жертвой массовой безработицы начала 90-х годов стала молодежь.  Кризис ударил не столько по домашним хозяйствам престарелых, сколько по трудоспособному населению.  С этого времени отмечается сокращение разрыва в доходах между различными возрастными группами.  К концу десятилетия стали расти доходы занятого населения.  Изменения в размере доходов различных категорий семей не являются причиной для изменения характера их распределения.  Углубление разрыва в доходах главным образом объясняется увеличением разницы в доходах в рамках различных категорий семей.</w:t>
      </w:r>
    </w:p>
    <w:p w:rsidR="00000000" w:rsidRDefault="00000000"/>
    <w:p w:rsidR="00000000" w:rsidRDefault="00000000">
      <w:r>
        <w:t>1.</w:t>
      </w:r>
      <w:r>
        <w:tab/>
        <w:t>c)</w:t>
      </w:r>
      <w:r>
        <w:tab/>
      </w:r>
      <w:r>
        <w:rPr>
          <w:u w:val="single"/>
        </w:rPr>
        <w:t>Черта бедности</w:t>
      </w:r>
    </w:p>
    <w:p w:rsidR="00000000" w:rsidRDefault="00000000"/>
    <w:p w:rsidR="00000000" w:rsidRDefault="00000000">
      <w:r>
        <w:t>275.  По причине отсутствия единой концепции трудно определить долю беднейших 40% населения в ВВП.  Легче оценить долю 40% наименее имущих домашних хозяйств в располагаемом доходе населения.  Однако без более подробных руководящих принципов данные, представляемые различными странами, могут оказаться несопоставимыми.  В 1997 году доля домашних хозяйств в четырех нижних децилях доходов (т.е. беднейшие 40%) составляла 25,6% от располагаемого дохода всех домашних хозяйств.  В 1987 году эта доля составляла 27,3%.  После расчета децилей и соответствующих долевых показателей доходов появилась возможность  принимать во внимание различные размеры домашних хозяйств (эквивалент располагаемого дохода).  Самым надежным источником данных о разрыве в уровне доходов внутри отдельных стран, судя по всему, являются исследования ОЭСР.  Статистика ОЭСР говорит о том, что по международным меркам распределение доходов в Финляндии является довольно равномерным.</w:t>
      </w:r>
    </w:p>
    <w:p w:rsidR="00000000" w:rsidRDefault="00000000"/>
    <w:p w:rsidR="00000000" w:rsidRDefault="00000000">
      <w:r>
        <w:t>276.  В Финляндии официальная черта бедности не установлена.  Вместо этого в статистике и исследованиях используется так называемая относительная черта бедности.  Под ней зачастую понимается 50% от медианного располагаемого дохода всех домашних хозяйств.  Уровень бедности, в основе которого лежит концепция относительной черты бедности, используется и в статистике ОЭСР.  По данным этой организации, уровень бедности в Финляндии ниже, чем в большинстве других стран ОЭСР.</w:t>
      </w:r>
    </w:p>
    <w:p w:rsidR="00000000" w:rsidRDefault="00000000"/>
    <w:p w:rsidR="00000000" w:rsidRDefault="00000000">
      <w:r>
        <w:t>2.</w:t>
      </w:r>
      <w:r>
        <w:tab/>
      </w:r>
      <w:r>
        <w:rPr>
          <w:u w:val="single"/>
        </w:rPr>
        <w:t>Право на достаточное питание</w:t>
      </w:r>
    </w:p>
    <w:p w:rsidR="00000000" w:rsidRDefault="00000000"/>
    <w:p w:rsidR="00000000" w:rsidRDefault="00000000">
      <w:r>
        <w:t xml:space="preserve">277.  </w:t>
      </w:r>
      <w:r>
        <w:rPr>
          <w:u w:val="single"/>
        </w:rPr>
        <w:t>Пособие на жизнь</w:t>
      </w:r>
      <w:r>
        <w:t>.  1  марта 1998 года в силу вступил Закон о пособии на жизнь (1412/1997).  Пособие на жизнь представляет собой форму экономической помощи, которую муниципалитеты обязаны оказывать в крайних случаях отдельным лицам или семьям.  Это пособие должно обеспечивать минимальный прожиточный уровень для достойной и самостоятельной жизни.  Пособие может быть предоставлено всем тем, кто удовлетворяет необходимым критериям.  Право на получение пособия имеют все группы населения, которые находятся в равном положении.  Если получатели пособия не могут самостоятельно распоряжаться деньгами, в исключительных случаях они могут получить пособие натурой.</w:t>
      </w:r>
    </w:p>
    <w:p w:rsidR="00000000" w:rsidRDefault="00000000"/>
    <w:p w:rsidR="00000000" w:rsidRDefault="00000000">
      <w:r>
        <w:t>278.  Базовый размер пособия на жизнь установлен законом на уровне 2 000 марок в месяц в расчете на одного проживающего самостоятельно совершеннолетнего.  Считается, что этой суммы достаточно для покрытия расходов на удовлетворение некоторых основных нужд, например в питании, одежде, гигиене, а также для оплаты 7% стоимости жилья.  Для расчета этой базовой суммы проводилось, например, изучение структуры потребления.  В настоящее время проводятся различные исследования, которые должны дать ответ на то, действительно ли минимальная потребительская корзина была определена правильно.</w:t>
      </w:r>
    </w:p>
    <w:p w:rsidR="00000000" w:rsidRDefault="00000000"/>
    <w:p w:rsidR="00000000" w:rsidRDefault="00000000">
      <w:r>
        <w:t>279.</w:t>
      </w:r>
      <w:r>
        <w:tab/>
        <w:t>Так называемая дополнительная сумма предоставляется с учетом индивидуальных потребностей.  При этом во внимание принимаются такие расходы, как основная часть расходов на жилье (на практике они составляют 93%), расходы на медицинское обслуживание сверх минимальных и расходы, связанные с конкретными потребностями и обстоятельствами.  Для целей расчета пособия на жизнь в категорию доходов включаются весь располагаемый доход и активы лица или семьи.</w:t>
      </w:r>
    </w:p>
    <w:p w:rsidR="00000000" w:rsidRDefault="00000000"/>
    <w:p w:rsidR="00000000" w:rsidRDefault="00000000">
      <w:r>
        <w:t>280.</w:t>
      </w:r>
      <w:r>
        <w:tab/>
        <w:t>В первой половине 90-х годов число домашних хозяйств, получавших подобную социальную помощь, практически удвоилось.  Срок выплаты помощи также увеличился (в 1996 году почти четверть бенефициаров получала помощь на протяжении почти одного года).  В 1997 году число домашних хозяйств, получавших пособие на жизнь, перестало расти и стало снижаться (при некотором росте общей суммы выплат).  Предварительная информация за период с января по июнь 1998 года говорит о том, что снизились как суммы выплат в счет пособия на жизнь, так и число домашних хозяйств, получающих это пособие.  Важнейшим критерием предоставления пособия на жизнь является отсутствие работы;  свыше половины бенефициаров являлись также получателями тех или иных пособий по безработице.  В домашних хозяйствах, получавших пособия на жизнь, возраст главы хозяйства в четверти случаев не превышал 25 лет.  Большинство из них были студентами.</w:t>
      </w:r>
    </w:p>
    <w:p w:rsidR="00000000" w:rsidRDefault="00000000"/>
    <w:p w:rsidR="00000000" w:rsidRDefault="00000000">
      <w:r>
        <w:t>281.</w:t>
      </w:r>
      <w:r>
        <w:tab/>
        <w:t>В связи с необходимостью дополнения первичных пособий (базового пособия по безработице, жилищных пособий, стипендии студентам) пособием на жизнь уровень первичных пособий был увеличен в законодательном порядке, с тем чтобы избежать необходимости выплаты пособия "последней надежды".  Размер базового пособия по безработице и жилищного пособия был повышен с января 1998 года, а стипендии студентам – с 1 августа 1998 года.</w:t>
      </w:r>
    </w:p>
    <w:p w:rsidR="00000000" w:rsidRDefault="00000000"/>
    <w:p w:rsidR="00000000" w:rsidRDefault="00000000">
      <w:r>
        <w:t>282.</w:t>
      </w:r>
      <w:r>
        <w:tab/>
        <w:t>Учащимся общеобразовательных школ и некоторых учреждений средней школы школьное питание предоставляется бесплатно.</w:t>
      </w:r>
    </w:p>
    <w:p w:rsidR="00000000" w:rsidRDefault="00000000"/>
    <w:p w:rsidR="00000000" w:rsidRDefault="00000000">
      <w:r>
        <w:t>283.</w:t>
      </w:r>
      <w:r>
        <w:tab/>
        <w:t>Как говорится в разделе 5, Финляндия принимает участие в программе распределения продуктов питания среди самого малоимущего населения, финансируемой ЕС.</w:t>
      </w:r>
    </w:p>
    <w:p w:rsidR="00000000" w:rsidRDefault="00000000"/>
    <w:p w:rsidR="00000000" w:rsidRDefault="00000000">
      <w:pPr>
        <w:rPr>
          <w:b/>
        </w:rPr>
      </w:pPr>
      <w:r>
        <w:t>3.</w:t>
      </w:r>
      <w:r>
        <w:tab/>
      </w:r>
      <w:r>
        <w:rPr>
          <w:u w:val="single"/>
        </w:rPr>
        <w:t>Жилье</w:t>
      </w:r>
    </w:p>
    <w:p w:rsidR="00000000" w:rsidRDefault="00000000">
      <w:pPr>
        <w:rPr>
          <w:b/>
        </w:rPr>
      </w:pPr>
    </w:p>
    <w:p w:rsidR="00000000" w:rsidRDefault="00000000">
      <w:r>
        <w:t>284.</w:t>
      </w:r>
      <w:r>
        <w:tab/>
        <w:t>В сфере жилищной политики и жилищного строительства существуют такие программы помощи, как жилищные пособия, процентные субсидии, дотации и налоговые льготы.  Система жилищных пособий включает в себя общецелевые жилищные пособия, дополнительные пособия на жилье для студентов и пособия на жилье для пенсионеров.  Процентные субсидии включают в себя жилищные сберегательные пособия (АСП), ипотечные кредиты под низкий процент и системы субсидирования процентов.  Прямые формы жилищной помощи распространяются на различные особые группы и проекты реконструкции.  Что касается налоговых льгот, то важнейшей из них является списание процентов по ипотечным кредитам из облагаемых налогами доходов.</w:t>
      </w:r>
    </w:p>
    <w:p w:rsidR="00000000" w:rsidRDefault="00000000"/>
    <w:p w:rsidR="00000000" w:rsidRDefault="00000000">
      <w:r>
        <w:t>3.</w:t>
      </w:r>
      <w:r>
        <w:tab/>
        <w:t>а)</w:t>
      </w:r>
      <w:r>
        <w:tab/>
      </w:r>
      <w:r>
        <w:rPr>
          <w:u w:val="single"/>
        </w:rPr>
        <w:t>Статистическая информация</w:t>
      </w:r>
    </w:p>
    <w:p w:rsidR="00000000" w:rsidRDefault="00000000"/>
    <w:p w:rsidR="00000000" w:rsidRDefault="00000000">
      <w:r>
        <w:t>285.  Статистическая информация о положении с жильем в Финляндии приводится в дополнении 38.</w:t>
      </w:r>
    </w:p>
    <w:p w:rsidR="00000000" w:rsidRDefault="00000000"/>
    <w:p w:rsidR="00000000" w:rsidRDefault="00000000">
      <w:r>
        <w:t>3.</w:t>
      </w:r>
      <w:r>
        <w:tab/>
        <w:t>b)</w:t>
      </w:r>
      <w:r>
        <w:tab/>
      </w:r>
      <w:r>
        <w:rPr>
          <w:u w:val="single"/>
        </w:rPr>
        <w:t>Уязвимые группы и группы, находящиеся в неблагоприятном положении</w:t>
      </w:r>
    </w:p>
    <w:p w:rsidR="00000000" w:rsidRDefault="00000000"/>
    <w:p w:rsidR="00000000" w:rsidRDefault="00000000">
      <w:r>
        <w:tab/>
      </w:r>
      <w:proofErr w:type="spellStart"/>
      <w:r>
        <w:t>i</w:t>
      </w:r>
      <w:proofErr w:type="spellEnd"/>
      <w:r>
        <w:t>)</w:t>
      </w:r>
      <w:r>
        <w:tab/>
      </w:r>
      <w:r>
        <w:rPr>
          <w:u w:val="single"/>
        </w:rPr>
        <w:t>Бездомные</w:t>
      </w:r>
    </w:p>
    <w:p w:rsidR="00000000" w:rsidRDefault="00000000"/>
    <w:p w:rsidR="00000000" w:rsidRDefault="00000000">
      <w:r>
        <w:t>286.</w:t>
      </w:r>
      <w:r>
        <w:tab/>
        <w:t>С начала 90-х годов численность бездомных стала постепенно снижаться и в 1997 году она, судя по всему, стабилизировалась (см. таблицу ниже).  Половина бездомных проживает в районе Хельсинки.  Число бездомных семей, судя по всему, возрастает.  Одной из возможных причин этого является тот факт, что возвращающимся мигрантам из Ингрии приходится подыскивать себе временное жилье в ожидании получения собственных домов или квартир.</w:t>
      </w:r>
    </w:p>
    <w:p w:rsidR="00000000" w:rsidRDefault="00000000">
      <w:pPr>
        <w:pStyle w:val="FootnoteText"/>
        <w:spacing w:line="288" w:lineRule="auto"/>
      </w:pPr>
    </w:p>
    <w:p w:rsidR="00000000" w:rsidRDefault="00000000">
      <w:pPr>
        <w:jc w:val="center"/>
        <w:rPr>
          <w:b/>
        </w:rPr>
      </w:pPr>
      <w:r>
        <w:br w:type="page"/>
        <w:t>Таблица 1.</w:t>
      </w:r>
      <w:r>
        <w:tab/>
      </w:r>
      <w:r>
        <w:tab/>
      </w:r>
      <w:r>
        <w:rPr>
          <w:u w:val="single"/>
        </w:rPr>
        <w:t>Бездомные лица и бездомные семьи, 1992-1997 годы</w:t>
      </w:r>
    </w:p>
    <w:p w:rsidR="00000000" w:rsidRDefault="00000000">
      <w:pPr>
        <w:pStyle w:val="FootnoteText"/>
        <w:spacing w:line="288" w:lineRule="auto"/>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59"/>
        <w:gridCol w:w="2231"/>
        <w:gridCol w:w="2021"/>
        <w:gridCol w:w="1418"/>
        <w:gridCol w:w="1417"/>
        <w:gridCol w:w="1524"/>
      </w:tblGrid>
      <w:tr w:rsidR="00000000">
        <w:tblPrEx>
          <w:tblCellMar>
            <w:top w:w="0" w:type="dxa"/>
            <w:bottom w:w="0" w:type="dxa"/>
          </w:tblCellMar>
        </w:tblPrEx>
        <w:tc>
          <w:tcPr>
            <w:tcW w:w="959" w:type="dxa"/>
            <w:tcBorders>
              <w:top w:val="single" w:sz="4" w:space="0" w:color="auto"/>
              <w:bottom w:val="single" w:sz="4" w:space="0" w:color="auto"/>
              <w:right w:val="nil"/>
            </w:tcBorders>
            <w:vAlign w:val="center"/>
          </w:tcPr>
          <w:p w:rsidR="00000000" w:rsidRDefault="00000000">
            <w:pPr>
              <w:jc w:val="center"/>
            </w:pPr>
            <w:r>
              <w:t>Год</w:t>
            </w:r>
          </w:p>
        </w:tc>
        <w:tc>
          <w:tcPr>
            <w:tcW w:w="2231" w:type="dxa"/>
            <w:tcBorders>
              <w:top w:val="single" w:sz="4" w:space="0" w:color="auto"/>
              <w:left w:val="single" w:sz="4" w:space="0" w:color="auto"/>
              <w:bottom w:val="single" w:sz="4" w:space="0" w:color="auto"/>
              <w:right w:val="single" w:sz="4" w:space="0" w:color="auto"/>
            </w:tcBorders>
          </w:tcPr>
          <w:p w:rsidR="00000000" w:rsidRDefault="00000000">
            <w:pPr>
              <w:jc w:val="center"/>
            </w:pPr>
            <w:r>
              <w:rPr>
                <w:u w:val="single"/>
              </w:rPr>
              <w:t xml:space="preserve">Отдельные лица </w:t>
            </w:r>
            <w:r>
              <w:rPr>
                <w:sz w:val="20"/>
              </w:rPr>
              <w:t>Живущие на улице, в ночных приютах и т.д.</w:t>
            </w:r>
          </w:p>
        </w:tc>
        <w:tc>
          <w:tcPr>
            <w:tcW w:w="2021" w:type="dxa"/>
            <w:tcBorders>
              <w:top w:val="single" w:sz="4" w:space="0" w:color="auto"/>
              <w:left w:val="nil"/>
              <w:bottom w:val="single" w:sz="4" w:space="0" w:color="auto"/>
              <w:right w:val="nil"/>
            </w:tcBorders>
          </w:tcPr>
          <w:p w:rsidR="00000000" w:rsidRDefault="00000000">
            <w:pPr>
              <w:jc w:val="center"/>
            </w:pPr>
          </w:p>
          <w:p w:rsidR="00000000" w:rsidRDefault="00000000">
            <w:pPr>
              <w:jc w:val="center"/>
              <w:rPr>
                <w:sz w:val="20"/>
              </w:rPr>
            </w:pPr>
            <w:r>
              <w:rPr>
                <w:sz w:val="20"/>
              </w:rPr>
              <w:t>Живущие в приютах из-за отсутствия жилья</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pPr>
          </w:p>
          <w:p w:rsidR="00000000" w:rsidRDefault="00000000">
            <w:pPr>
              <w:jc w:val="center"/>
              <w:rPr>
                <w:sz w:val="20"/>
              </w:rPr>
            </w:pPr>
            <w:r>
              <w:rPr>
                <w:sz w:val="20"/>
              </w:rPr>
              <w:t>Живущие временно у друзей</w:t>
            </w:r>
          </w:p>
        </w:tc>
        <w:tc>
          <w:tcPr>
            <w:tcW w:w="1417" w:type="dxa"/>
            <w:tcBorders>
              <w:top w:val="single" w:sz="4" w:space="0" w:color="auto"/>
              <w:left w:val="nil"/>
              <w:bottom w:val="single" w:sz="4" w:space="0" w:color="auto"/>
              <w:right w:val="nil"/>
            </w:tcBorders>
            <w:vAlign w:val="center"/>
          </w:tcPr>
          <w:p w:rsidR="00000000" w:rsidRDefault="00000000">
            <w:pPr>
              <w:pStyle w:val="Heading3"/>
              <w:jc w:val="center"/>
              <w:rPr>
                <w:i w:val="0"/>
              </w:rPr>
            </w:pPr>
            <w:r>
              <w:rPr>
                <w:i w:val="0"/>
              </w:rPr>
              <w:t>Всего</w:t>
            </w:r>
          </w:p>
        </w:tc>
        <w:tc>
          <w:tcPr>
            <w:tcW w:w="1524" w:type="dxa"/>
            <w:tcBorders>
              <w:top w:val="single" w:sz="4" w:space="0" w:color="auto"/>
              <w:left w:val="single" w:sz="4" w:space="0" w:color="auto"/>
              <w:bottom w:val="single" w:sz="4" w:space="0" w:color="auto"/>
            </w:tcBorders>
          </w:tcPr>
          <w:p w:rsidR="00000000" w:rsidRDefault="00000000">
            <w:pPr>
              <w:jc w:val="center"/>
            </w:pPr>
            <w:r>
              <w:rPr>
                <w:u w:val="single"/>
              </w:rPr>
              <w:t>Семьи</w:t>
            </w:r>
            <w:r>
              <w:t xml:space="preserve"> </w:t>
            </w:r>
            <w:r>
              <w:rPr>
                <w:sz w:val="20"/>
              </w:rPr>
              <w:t>Бездомные семьи</w:t>
            </w:r>
          </w:p>
        </w:tc>
      </w:tr>
      <w:tr w:rsidR="00000000">
        <w:tblPrEx>
          <w:tblCellMar>
            <w:top w:w="0" w:type="dxa"/>
            <w:bottom w:w="0" w:type="dxa"/>
          </w:tblCellMar>
        </w:tblPrEx>
        <w:tc>
          <w:tcPr>
            <w:tcW w:w="959" w:type="dxa"/>
            <w:tcBorders>
              <w:top w:val="nil"/>
              <w:right w:val="nil"/>
            </w:tcBorders>
          </w:tcPr>
          <w:p w:rsidR="00000000" w:rsidRDefault="00000000">
            <w:pPr>
              <w:spacing w:line="264" w:lineRule="auto"/>
              <w:jc w:val="center"/>
            </w:pPr>
            <w:r>
              <w:t>1992</w:t>
            </w:r>
          </w:p>
        </w:tc>
        <w:tc>
          <w:tcPr>
            <w:tcW w:w="2231" w:type="dxa"/>
            <w:tcBorders>
              <w:top w:val="nil"/>
              <w:left w:val="single" w:sz="4" w:space="0" w:color="auto"/>
              <w:bottom w:val="nil"/>
              <w:right w:val="single" w:sz="4" w:space="0" w:color="auto"/>
            </w:tcBorders>
          </w:tcPr>
          <w:p w:rsidR="00000000" w:rsidRDefault="00000000">
            <w:pPr>
              <w:spacing w:line="264" w:lineRule="auto"/>
              <w:jc w:val="center"/>
            </w:pPr>
            <w:r>
              <w:t>3 030</w:t>
            </w:r>
          </w:p>
        </w:tc>
        <w:tc>
          <w:tcPr>
            <w:tcW w:w="2021" w:type="dxa"/>
            <w:tcBorders>
              <w:top w:val="nil"/>
              <w:left w:val="nil"/>
              <w:right w:val="nil"/>
            </w:tcBorders>
          </w:tcPr>
          <w:p w:rsidR="00000000" w:rsidRDefault="00000000">
            <w:pPr>
              <w:spacing w:line="264" w:lineRule="auto"/>
              <w:jc w:val="center"/>
            </w:pPr>
            <w:r>
              <w:t>3 030</w:t>
            </w:r>
          </w:p>
        </w:tc>
        <w:tc>
          <w:tcPr>
            <w:tcW w:w="1418" w:type="dxa"/>
            <w:tcBorders>
              <w:top w:val="nil"/>
              <w:left w:val="single" w:sz="4" w:space="0" w:color="auto"/>
              <w:bottom w:val="nil"/>
              <w:right w:val="single" w:sz="4" w:space="0" w:color="auto"/>
            </w:tcBorders>
          </w:tcPr>
          <w:p w:rsidR="00000000" w:rsidRDefault="00000000">
            <w:pPr>
              <w:spacing w:line="264" w:lineRule="auto"/>
              <w:jc w:val="center"/>
            </w:pPr>
            <w:r>
              <w:t>6 820</w:t>
            </w:r>
          </w:p>
        </w:tc>
        <w:tc>
          <w:tcPr>
            <w:tcW w:w="1417" w:type="dxa"/>
            <w:tcBorders>
              <w:top w:val="nil"/>
              <w:left w:val="nil"/>
              <w:right w:val="nil"/>
            </w:tcBorders>
          </w:tcPr>
          <w:p w:rsidR="00000000" w:rsidRDefault="00000000">
            <w:pPr>
              <w:tabs>
                <w:tab w:val="clear" w:pos="1134"/>
              </w:tabs>
              <w:spacing w:line="264" w:lineRule="auto"/>
              <w:ind w:right="317"/>
              <w:jc w:val="right"/>
            </w:pPr>
            <w:r>
              <w:t>12 880</w:t>
            </w:r>
          </w:p>
        </w:tc>
        <w:tc>
          <w:tcPr>
            <w:tcW w:w="1524" w:type="dxa"/>
            <w:tcBorders>
              <w:top w:val="nil"/>
              <w:left w:val="single" w:sz="4" w:space="0" w:color="auto"/>
              <w:bottom w:val="nil"/>
            </w:tcBorders>
          </w:tcPr>
          <w:p w:rsidR="00000000" w:rsidRDefault="00000000">
            <w:pPr>
              <w:spacing w:line="264" w:lineRule="auto"/>
              <w:jc w:val="center"/>
            </w:pPr>
            <w:r>
              <w:t>570</w:t>
            </w:r>
          </w:p>
        </w:tc>
      </w:tr>
      <w:tr w:rsidR="00000000">
        <w:tblPrEx>
          <w:tblCellMar>
            <w:top w:w="0" w:type="dxa"/>
            <w:bottom w:w="0" w:type="dxa"/>
          </w:tblCellMar>
        </w:tblPrEx>
        <w:tc>
          <w:tcPr>
            <w:tcW w:w="959" w:type="dxa"/>
            <w:tcBorders>
              <w:right w:val="nil"/>
            </w:tcBorders>
          </w:tcPr>
          <w:p w:rsidR="00000000" w:rsidRDefault="00000000">
            <w:pPr>
              <w:spacing w:line="264" w:lineRule="auto"/>
              <w:jc w:val="center"/>
            </w:pPr>
            <w:r>
              <w:t>1993</w:t>
            </w:r>
          </w:p>
        </w:tc>
        <w:tc>
          <w:tcPr>
            <w:tcW w:w="2231" w:type="dxa"/>
            <w:tcBorders>
              <w:top w:val="nil"/>
              <w:left w:val="single" w:sz="4" w:space="0" w:color="auto"/>
              <w:bottom w:val="nil"/>
              <w:right w:val="single" w:sz="4" w:space="0" w:color="auto"/>
            </w:tcBorders>
          </w:tcPr>
          <w:p w:rsidR="00000000" w:rsidRDefault="00000000">
            <w:pPr>
              <w:spacing w:line="264" w:lineRule="auto"/>
              <w:jc w:val="center"/>
            </w:pPr>
            <w:r>
              <w:t>2 560</w:t>
            </w:r>
          </w:p>
        </w:tc>
        <w:tc>
          <w:tcPr>
            <w:tcW w:w="2021" w:type="dxa"/>
            <w:tcBorders>
              <w:left w:val="nil"/>
              <w:right w:val="nil"/>
            </w:tcBorders>
          </w:tcPr>
          <w:p w:rsidR="00000000" w:rsidRDefault="00000000">
            <w:pPr>
              <w:spacing w:line="264" w:lineRule="auto"/>
              <w:jc w:val="center"/>
            </w:pPr>
            <w:r>
              <w:t>2 410</w:t>
            </w:r>
          </w:p>
        </w:tc>
        <w:tc>
          <w:tcPr>
            <w:tcW w:w="1418" w:type="dxa"/>
            <w:tcBorders>
              <w:top w:val="nil"/>
              <w:left w:val="single" w:sz="4" w:space="0" w:color="auto"/>
              <w:bottom w:val="nil"/>
              <w:right w:val="single" w:sz="4" w:space="0" w:color="auto"/>
            </w:tcBorders>
          </w:tcPr>
          <w:p w:rsidR="00000000" w:rsidRDefault="00000000">
            <w:pPr>
              <w:spacing w:line="264" w:lineRule="auto"/>
              <w:jc w:val="center"/>
            </w:pPr>
            <w:r>
              <w:t>6 700</w:t>
            </w:r>
          </w:p>
        </w:tc>
        <w:tc>
          <w:tcPr>
            <w:tcW w:w="1417" w:type="dxa"/>
            <w:tcBorders>
              <w:left w:val="nil"/>
              <w:right w:val="nil"/>
            </w:tcBorders>
          </w:tcPr>
          <w:p w:rsidR="00000000" w:rsidRDefault="00000000">
            <w:pPr>
              <w:tabs>
                <w:tab w:val="clear" w:pos="1134"/>
              </w:tabs>
              <w:spacing w:line="264" w:lineRule="auto"/>
              <w:ind w:right="317"/>
              <w:jc w:val="right"/>
            </w:pPr>
            <w:r>
              <w:t>11 670</w:t>
            </w:r>
          </w:p>
        </w:tc>
        <w:tc>
          <w:tcPr>
            <w:tcW w:w="1524" w:type="dxa"/>
            <w:tcBorders>
              <w:top w:val="nil"/>
              <w:left w:val="single" w:sz="4" w:space="0" w:color="auto"/>
              <w:bottom w:val="nil"/>
            </w:tcBorders>
          </w:tcPr>
          <w:p w:rsidR="00000000" w:rsidRDefault="00000000">
            <w:pPr>
              <w:spacing w:line="264" w:lineRule="auto"/>
              <w:jc w:val="center"/>
            </w:pPr>
            <w:r>
              <w:t>250</w:t>
            </w:r>
          </w:p>
        </w:tc>
      </w:tr>
      <w:tr w:rsidR="00000000">
        <w:tblPrEx>
          <w:tblCellMar>
            <w:top w:w="0" w:type="dxa"/>
            <w:bottom w:w="0" w:type="dxa"/>
          </w:tblCellMar>
        </w:tblPrEx>
        <w:tc>
          <w:tcPr>
            <w:tcW w:w="959" w:type="dxa"/>
            <w:tcBorders>
              <w:right w:val="nil"/>
            </w:tcBorders>
          </w:tcPr>
          <w:p w:rsidR="00000000" w:rsidRDefault="00000000">
            <w:pPr>
              <w:spacing w:line="264" w:lineRule="auto"/>
              <w:jc w:val="center"/>
            </w:pPr>
            <w:r>
              <w:t>1994</w:t>
            </w:r>
          </w:p>
        </w:tc>
        <w:tc>
          <w:tcPr>
            <w:tcW w:w="2231" w:type="dxa"/>
            <w:tcBorders>
              <w:top w:val="nil"/>
              <w:left w:val="single" w:sz="4" w:space="0" w:color="auto"/>
              <w:bottom w:val="nil"/>
              <w:right w:val="single" w:sz="4" w:space="0" w:color="auto"/>
            </w:tcBorders>
          </w:tcPr>
          <w:p w:rsidR="00000000" w:rsidRDefault="00000000">
            <w:pPr>
              <w:spacing w:line="264" w:lineRule="auto"/>
              <w:jc w:val="center"/>
            </w:pPr>
            <w:r>
              <w:t>1 760</w:t>
            </w:r>
          </w:p>
        </w:tc>
        <w:tc>
          <w:tcPr>
            <w:tcW w:w="2021" w:type="dxa"/>
            <w:tcBorders>
              <w:left w:val="nil"/>
              <w:right w:val="nil"/>
            </w:tcBorders>
          </w:tcPr>
          <w:p w:rsidR="00000000" w:rsidRDefault="00000000">
            <w:pPr>
              <w:spacing w:line="264" w:lineRule="auto"/>
              <w:jc w:val="center"/>
            </w:pPr>
            <w:r>
              <w:t>2 170</w:t>
            </w:r>
          </w:p>
        </w:tc>
        <w:tc>
          <w:tcPr>
            <w:tcW w:w="1418" w:type="dxa"/>
            <w:tcBorders>
              <w:top w:val="nil"/>
              <w:left w:val="single" w:sz="4" w:space="0" w:color="auto"/>
              <w:bottom w:val="nil"/>
              <w:right w:val="single" w:sz="4" w:space="0" w:color="auto"/>
            </w:tcBorders>
          </w:tcPr>
          <w:p w:rsidR="00000000" w:rsidRDefault="00000000">
            <w:pPr>
              <w:spacing w:line="264" w:lineRule="auto"/>
              <w:jc w:val="center"/>
            </w:pPr>
            <w:r>
              <w:t>6 630</w:t>
            </w:r>
          </w:p>
        </w:tc>
        <w:tc>
          <w:tcPr>
            <w:tcW w:w="1417" w:type="dxa"/>
            <w:tcBorders>
              <w:left w:val="nil"/>
              <w:right w:val="nil"/>
            </w:tcBorders>
          </w:tcPr>
          <w:p w:rsidR="00000000" w:rsidRDefault="00000000">
            <w:pPr>
              <w:pStyle w:val="Heading7"/>
              <w:tabs>
                <w:tab w:val="clear" w:pos="1134"/>
              </w:tabs>
              <w:spacing w:line="264" w:lineRule="auto"/>
              <w:ind w:right="317"/>
              <w:jc w:val="right"/>
              <w:rPr>
                <w:b/>
                <w:i/>
                <w:u w:val="none"/>
              </w:rPr>
            </w:pPr>
            <w:r>
              <w:rPr>
                <w:b/>
                <w:i/>
                <w:u w:val="none"/>
              </w:rPr>
              <w:t>10 560</w:t>
            </w:r>
          </w:p>
        </w:tc>
        <w:tc>
          <w:tcPr>
            <w:tcW w:w="1524" w:type="dxa"/>
            <w:tcBorders>
              <w:top w:val="nil"/>
              <w:left w:val="single" w:sz="4" w:space="0" w:color="auto"/>
              <w:bottom w:val="nil"/>
            </w:tcBorders>
          </w:tcPr>
          <w:p w:rsidR="00000000" w:rsidRDefault="00000000">
            <w:pPr>
              <w:spacing w:line="264" w:lineRule="auto"/>
              <w:jc w:val="center"/>
            </w:pPr>
            <w:r>
              <w:t>380</w:t>
            </w:r>
          </w:p>
        </w:tc>
      </w:tr>
      <w:tr w:rsidR="00000000">
        <w:tblPrEx>
          <w:tblCellMar>
            <w:top w:w="0" w:type="dxa"/>
            <w:bottom w:w="0" w:type="dxa"/>
          </w:tblCellMar>
        </w:tblPrEx>
        <w:tc>
          <w:tcPr>
            <w:tcW w:w="959" w:type="dxa"/>
            <w:tcBorders>
              <w:right w:val="nil"/>
            </w:tcBorders>
          </w:tcPr>
          <w:p w:rsidR="00000000" w:rsidRDefault="00000000">
            <w:pPr>
              <w:spacing w:line="264" w:lineRule="auto"/>
              <w:jc w:val="center"/>
            </w:pPr>
            <w:r>
              <w:t>1995</w:t>
            </w:r>
          </w:p>
        </w:tc>
        <w:tc>
          <w:tcPr>
            <w:tcW w:w="2231" w:type="dxa"/>
            <w:tcBorders>
              <w:top w:val="nil"/>
              <w:left w:val="single" w:sz="4" w:space="0" w:color="auto"/>
              <w:bottom w:val="nil"/>
              <w:right w:val="single" w:sz="4" w:space="0" w:color="auto"/>
            </w:tcBorders>
          </w:tcPr>
          <w:p w:rsidR="00000000" w:rsidRDefault="00000000">
            <w:pPr>
              <w:spacing w:line="264" w:lineRule="auto"/>
              <w:jc w:val="center"/>
            </w:pPr>
            <w:r>
              <w:t>1 710</w:t>
            </w:r>
          </w:p>
        </w:tc>
        <w:tc>
          <w:tcPr>
            <w:tcW w:w="2021" w:type="dxa"/>
            <w:tcBorders>
              <w:left w:val="nil"/>
              <w:right w:val="nil"/>
            </w:tcBorders>
          </w:tcPr>
          <w:p w:rsidR="00000000" w:rsidRDefault="00000000">
            <w:pPr>
              <w:spacing w:line="264" w:lineRule="auto"/>
              <w:jc w:val="center"/>
            </w:pPr>
            <w:r>
              <w:t>2 110</w:t>
            </w:r>
          </w:p>
        </w:tc>
        <w:tc>
          <w:tcPr>
            <w:tcW w:w="1418" w:type="dxa"/>
            <w:tcBorders>
              <w:top w:val="nil"/>
              <w:left w:val="single" w:sz="4" w:space="0" w:color="auto"/>
              <w:bottom w:val="nil"/>
              <w:right w:val="single" w:sz="4" w:space="0" w:color="auto"/>
            </w:tcBorders>
          </w:tcPr>
          <w:p w:rsidR="00000000" w:rsidRDefault="00000000">
            <w:pPr>
              <w:spacing w:line="264" w:lineRule="auto"/>
              <w:jc w:val="center"/>
            </w:pPr>
            <w:r>
              <w:t>6 610</w:t>
            </w:r>
          </w:p>
        </w:tc>
        <w:tc>
          <w:tcPr>
            <w:tcW w:w="1417" w:type="dxa"/>
            <w:tcBorders>
              <w:left w:val="nil"/>
              <w:right w:val="nil"/>
            </w:tcBorders>
          </w:tcPr>
          <w:p w:rsidR="00000000" w:rsidRDefault="00000000">
            <w:pPr>
              <w:tabs>
                <w:tab w:val="clear" w:pos="1134"/>
              </w:tabs>
              <w:spacing w:line="264" w:lineRule="auto"/>
              <w:ind w:right="317"/>
              <w:jc w:val="right"/>
            </w:pPr>
            <w:r>
              <w:t>10 430</w:t>
            </w:r>
          </w:p>
        </w:tc>
        <w:tc>
          <w:tcPr>
            <w:tcW w:w="1524" w:type="dxa"/>
            <w:tcBorders>
              <w:top w:val="nil"/>
              <w:left w:val="single" w:sz="4" w:space="0" w:color="auto"/>
              <w:bottom w:val="nil"/>
            </w:tcBorders>
          </w:tcPr>
          <w:p w:rsidR="00000000" w:rsidRDefault="00000000">
            <w:pPr>
              <w:spacing w:line="264" w:lineRule="auto"/>
              <w:jc w:val="center"/>
            </w:pPr>
            <w:r>
              <w:t>560</w:t>
            </w:r>
          </w:p>
        </w:tc>
      </w:tr>
      <w:tr w:rsidR="00000000">
        <w:tblPrEx>
          <w:tblCellMar>
            <w:top w:w="0" w:type="dxa"/>
            <w:bottom w:w="0" w:type="dxa"/>
          </w:tblCellMar>
        </w:tblPrEx>
        <w:tc>
          <w:tcPr>
            <w:tcW w:w="959" w:type="dxa"/>
            <w:tcBorders>
              <w:right w:val="nil"/>
            </w:tcBorders>
          </w:tcPr>
          <w:p w:rsidR="00000000" w:rsidRDefault="00000000">
            <w:pPr>
              <w:spacing w:line="264" w:lineRule="auto"/>
              <w:jc w:val="center"/>
            </w:pPr>
            <w:r>
              <w:t>1996</w:t>
            </w:r>
          </w:p>
        </w:tc>
        <w:tc>
          <w:tcPr>
            <w:tcW w:w="2231" w:type="dxa"/>
            <w:tcBorders>
              <w:top w:val="nil"/>
              <w:left w:val="single" w:sz="4" w:space="0" w:color="auto"/>
              <w:bottom w:val="nil"/>
              <w:right w:val="single" w:sz="4" w:space="0" w:color="auto"/>
            </w:tcBorders>
          </w:tcPr>
          <w:p w:rsidR="00000000" w:rsidRDefault="00000000">
            <w:pPr>
              <w:spacing w:line="264" w:lineRule="auto"/>
              <w:jc w:val="center"/>
            </w:pPr>
            <w:r>
              <w:t>1 720</w:t>
            </w:r>
          </w:p>
        </w:tc>
        <w:tc>
          <w:tcPr>
            <w:tcW w:w="2021" w:type="dxa"/>
            <w:tcBorders>
              <w:left w:val="nil"/>
              <w:right w:val="nil"/>
            </w:tcBorders>
          </w:tcPr>
          <w:p w:rsidR="00000000" w:rsidRDefault="00000000">
            <w:pPr>
              <w:spacing w:line="264" w:lineRule="auto"/>
              <w:jc w:val="center"/>
            </w:pPr>
            <w:r>
              <w:t>2 110</w:t>
            </w:r>
          </w:p>
        </w:tc>
        <w:tc>
          <w:tcPr>
            <w:tcW w:w="1418" w:type="dxa"/>
            <w:tcBorders>
              <w:top w:val="nil"/>
              <w:left w:val="single" w:sz="4" w:space="0" w:color="auto"/>
              <w:bottom w:val="nil"/>
              <w:right w:val="single" w:sz="4" w:space="0" w:color="auto"/>
            </w:tcBorders>
          </w:tcPr>
          <w:p w:rsidR="00000000" w:rsidRDefault="00000000">
            <w:pPr>
              <w:spacing w:line="264" w:lineRule="auto"/>
              <w:jc w:val="center"/>
            </w:pPr>
            <w:r>
              <w:t>5 780</w:t>
            </w:r>
          </w:p>
        </w:tc>
        <w:tc>
          <w:tcPr>
            <w:tcW w:w="1417" w:type="dxa"/>
            <w:tcBorders>
              <w:left w:val="nil"/>
              <w:right w:val="nil"/>
            </w:tcBorders>
          </w:tcPr>
          <w:p w:rsidR="00000000" w:rsidRDefault="00000000">
            <w:pPr>
              <w:tabs>
                <w:tab w:val="clear" w:pos="1134"/>
              </w:tabs>
              <w:spacing w:line="264" w:lineRule="auto"/>
              <w:ind w:right="317"/>
              <w:jc w:val="right"/>
            </w:pPr>
            <w:r>
              <w:t>9 610</w:t>
            </w:r>
          </w:p>
        </w:tc>
        <w:tc>
          <w:tcPr>
            <w:tcW w:w="1524" w:type="dxa"/>
            <w:tcBorders>
              <w:top w:val="nil"/>
              <w:left w:val="single" w:sz="4" w:space="0" w:color="auto"/>
              <w:bottom w:val="nil"/>
            </w:tcBorders>
          </w:tcPr>
          <w:p w:rsidR="00000000" w:rsidRDefault="00000000">
            <w:pPr>
              <w:spacing w:line="264" w:lineRule="auto"/>
              <w:jc w:val="center"/>
            </w:pPr>
            <w:r>
              <w:t>360</w:t>
            </w:r>
          </w:p>
        </w:tc>
      </w:tr>
      <w:tr w:rsidR="00000000">
        <w:tblPrEx>
          <w:tblCellMar>
            <w:top w:w="0" w:type="dxa"/>
            <w:bottom w:w="0" w:type="dxa"/>
          </w:tblCellMar>
        </w:tblPrEx>
        <w:tc>
          <w:tcPr>
            <w:tcW w:w="959" w:type="dxa"/>
            <w:tcBorders>
              <w:right w:val="nil"/>
            </w:tcBorders>
          </w:tcPr>
          <w:p w:rsidR="00000000" w:rsidRDefault="00000000">
            <w:pPr>
              <w:spacing w:line="264" w:lineRule="auto"/>
              <w:jc w:val="center"/>
            </w:pPr>
            <w:r>
              <w:t>1997</w:t>
            </w:r>
          </w:p>
        </w:tc>
        <w:tc>
          <w:tcPr>
            <w:tcW w:w="2231" w:type="dxa"/>
            <w:tcBorders>
              <w:top w:val="nil"/>
              <w:left w:val="single" w:sz="4" w:space="0" w:color="auto"/>
              <w:bottom w:val="single" w:sz="4" w:space="0" w:color="auto"/>
              <w:right w:val="single" w:sz="4" w:space="0" w:color="auto"/>
            </w:tcBorders>
          </w:tcPr>
          <w:p w:rsidR="00000000" w:rsidRDefault="00000000">
            <w:pPr>
              <w:spacing w:line="264" w:lineRule="auto"/>
              <w:jc w:val="center"/>
            </w:pPr>
            <w:r>
              <w:t>1 720</w:t>
            </w:r>
          </w:p>
        </w:tc>
        <w:tc>
          <w:tcPr>
            <w:tcW w:w="2021" w:type="dxa"/>
            <w:tcBorders>
              <w:left w:val="nil"/>
              <w:right w:val="nil"/>
            </w:tcBorders>
          </w:tcPr>
          <w:p w:rsidR="00000000" w:rsidRDefault="00000000">
            <w:pPr>
              <w:spacing w:line="264" w:lineRule="auto"/>
              <w:jc w:val="center"/>
            </w:pPr>
            <w:r>
              <w:t>2 450</w:t>
            </w:r>
          </w:p>
        </w:tc>
        <w:tc>
          <w:tcPr>
            <w:tcW w:w="1418" w:type="dxa"/>
            <w:tcBorders>
              <w:top w:val="nil"/>
              <w:left w:val="single" w:sz="4" w:space="0" w:color="auto"/>
              <w:bottom w:val="single" w:sz="4" w:space="0" w:color="auto"/>
              <w:right w:val="single" w:sz="4" w:space="0" w:color="auto"/>
            </w:tcBorders>
          </w:tcPr>
          <w:p w:rsidR="00000000" w:rsidRDefault="00000000">
            <w:pPr>
              <w:spacing w:line="264" w:lineRule="auto"/>
              <w:jc w:val="center"/>
            </w:pPr>
            <w:r>
              <w:t>5 650</w:t>
            </w:r>
          </w:p>
        </w:tc>
        <w:tc>
          <w:tcPr>
            <w:tcW w:w="1417" w:type="dxa"/>
            <w:tcBorders>
              <w:left w:val="nil"/>
              <w:right w:val="nil"/>
            </w:tcBorders>
          </w:tcPr>
          <w:p w:rsidR="00000000" w:rsidRDefault="00000000">
            <w:pPr>
              <w:tabs>
                <w:tab w:val="clear" w:pos="1134"/>
              </w:tabs>
              <w:spacing w:line="264" w:lineRule="auto"/>
              <w:ind w:right="317"/>
              <w:jc w:val="right"/>
            </w:pPr>
            <w:r>
              <w:t>9 820</w:t>
            </w:r>
          </w:p>
        </w:tc>
        <w:tc>
          <w:tcPr>
            <w:tcW w:w="1524" w:type="dxa"/>
            <w:tcBorders>
              <w:top w:val="nil"/>
              <w:left w:val="single" w:sz="4" w:space="0" w:color="auto"/>
              <w:bottom w:val="single" w:sz="4" w:space="0" w:color="auto"/>
            </w:tcBorders>
          </w:tcPr>
          <w:p w:rsidR="00000000" w:rsidRDefault="00000000">
            <w:pPr>
              <w:spacing w:line="264" w:lineRule="auto"/>
              <w:jc w:val="center"/>
            </w:pPr>
            <w:r>
              <w:t>600</w:t>
            </w:r>
          </w:p>
        </w:tc>
      </w:tr>
    </w:tbl>
    <w:p w:rsidR="00000000" w:rsidRDefault="00000000">
      <w:pPr>
        <w:pStyle w:val="FootnoteText"/>
        <w:spacing w:line="264" w:lineRule="auto"/>
      </w:pPr>
    </w:p>
    <w:p w:rsidR="00000000" w:rsidRDefault="00000000">
      <w:pPr>
        <w:pStyle w:val="FootnoteText"/>
        <w:spacing w:line="264" w:lineRule="auto"/>
      </w:pPr>
    </w:p>
    <w:p w:rsidR="00000000" w:rsidRDefault="00000000">
      <w:pPr>
        <w:pStyle w:val="FootnoteText"/>
        <w:spacing w:line="264" w:lineRule="auto"/>
      </w:pPr>
      <w:r>
        <w:t>287.</w:t>
      </w:r>
      <w:r>
        <w:tab/>
        <w:t>Согласно информации, представленной Государственным жилищным фондом, в 1998 году в Финляндии жилья не имели 800 семей.  Численность бездомных-холостяков составляла 9 800 человек.</w:t>
      </w:r>
    </w:p>
    <w:p w:rsidR="00000000" w:rsidRDefault="00000000">
      <w:pPr>
        <w:pStyle w:val="FootnoteText"/>
        <w:spacing w:line="264" w:lineRule="auto"/>
      </w:pPr>
    </w:p>
    <w:p w:rsidR="00000000" w:rsidRDefault="00000000">
      <w:pPr>
        <w:pStyle w:val="FootnoteText"/>
        <w:spacing w:line="264" w:lineRule="auto"/>
      </w:pPr>
      <w:r>
        <w:tab/>
      </w:r>
      <w:proofErr w:type="spellStart"/>
      <w:r>
        <w:t>ii</w:t>
      </w:r>
      <w:proofErr w:type="spellEnd"/>
      <w:r>
        <w:t>)</w:t>
      </w:r>
      <w:r>
        <w:tab/>
      </w:r>
      <w:r>
        <w:rPr>
          <w:u w:val="single"/>
        </w:rPr>
        <w:t>Число лиц и семей, не имеющих адекватного жилья</w:t>
      </w:r>
    </w:p>
    <w:p w:rsidR="00000000" w:rsidRDefault="00000000">
      <w:pPr>
        <w:pStyle w:val="FootnoteText"/>
        <w:spacing w:line="264" w:lineRule="auto"/>
      </w:pPr>
    </w:p>
    <w:p w:rsidR="00000000" w:rsidRDefault="00000000">
      <w:pPr>
        <w:pStyle w:val="FootnoteText"/>
        <w:spacing w:line="264" w:lineRule="auto"/>
      </w:pPr>
      <w:r>
        <w:t>288.</w:t>
      </w:r>
      <w:r>
        <w:tab/>
        <w:t>В 1995 году 6,3% всех домашних хозяйств проживали в переполненных жилищах (свыше одного человека на комнату).  На основе данных за 1996 год, 12,6% всех домашних хозяйств проживали в неадекватных жилищах, которые не были оборудованы одним из следующих удобств:  водопроводом, канализацией, горячим водоснабжением, сливными туалетами или ванными помещениями (душевое/ванное помещение или сауна).</w:t>
      </w:r>
    </w:p>
    <w:p w:rsidR="00000000" w:rsidRDefault="00000000">
      <w:pPr>
        <w:pStyle w:val="FootnoteText"/>
        <w:spacing w:line="264" w:lineRule="auto"/>
      </w:pPr>
    </w:p>
    <w:p w:rsidR="00000000" w:rsidRDefault="00000000">
      <w:pPr>
        <w:pStyle w:val="FootnoteText"/>
        <w:spacing w:line="264" w:lineRule="auto"/>
      </w:pPr>
      <w:r>
        <w:t>289.</w:t>
      </w:r>
      <w:r>
        <w:tab/>
        <w:t>Жилищное положение рома описывается в разделе 3 с) vi).</w:t>
      </w:r>
    </w:p>
    <w:p w:rsidR="00000000" w:rsidRDefault="00000000">
      <w:pPr>
        <w:pStyle w:val="FootnoteText"/>
        <w:spacing w:line="264" w:lineRule="auto"/>
      </w:pPr>
    </w:p>
    <w:p w:rsidR="00000000" w:rsidRDefault="00000000">
      <w:pPr>
        <w:pStyle w:val="FootnoteText"/>
        <w:spacing w:line="264" w:lineRule="auto"/>
      </w:pPr>
      <w:r>
        <w:tab/>
      </w:r>
      <w:proofErr w:type="spellStart"/>
      <w:r>
        <w:t>iii</w:t>
      </w:r>
      <w:proofErr w:type="spellEnd"/>
      <w:r>
        <w:t>)</w:t>
      </w:r>
      <w:r>
        <w:tab/>
      </w:r>
      <w:r>
        <w:rPr>
          <w:u w:val="single"/>
        </w:rPr>
        <w:t>Незаконное жилье</w:t>
      </w:r>
    </w:p>
    <w:p w:rsidR="00000000" w:rsidRDefault="00000000">
      <w:pPr>
        <w:pStyle w:val="FootnoteText"/>
        <w:spacing w:line="264" w:lineRule="auto"/>
      </w:pPr>
    </w:p>
    <w:p w:rsidR="00000000" w:rsidRDefault="00000000">
      <w:pPr>
        <w:pStyle w:val="FootnoteText"/>
        <w:spacing w:line="264" w:lineRule="auto"/>
      </w:pPr>
      <w:r>
        <w:t>290.</w:t>
      </w:r>
      <w:r>
        <w:tab/>
        <w:t>В Финляндии незаконного жилья не существует.</w:t>
      </w:r>
    </w:p>
    <w:p w:rsidR="00000000" w:rsidRDefault="00000000">
      <w:pPr>
        <w:pStyle w:val="FootnoteText"/>
        <w:spacing w:line="264" w:lineRule="auto"/>
      </w:pPr>
    </w:p>
    <w:p w:rsidR="00000000" w:rsidRDefault="00000000">
      <w:pPr>
        <w:pStyle w:val="FootnoteText"/>
        <w:spacing w:line="264" w:lineRule="auto"/>
      </w:pPr>
      <w:r>
        <w:tab/>
      </w:r>
      <w:proofErr w:type="spellStart"/>
      <w:r>
        <w:t>iv</w:t>
      </w:r>
      <w:proofErr w:type="spellEnd"/>
      <w:r>
        <w:t>)</w:t>
      </w:r>
      <w:r>
        <w:tab/>
      </w:r>
      <w:r>
        <w:rPr>
          <w:u w:val="single"/>
        </w:rPr>
        <w:t>Число выселенных лиц</w:t>
      </w:r>
    </w:p>
    <w:p w:rsidR="00000000" w:rsidRDefault="00000000">
      <w:pPr>
        <w:pStyle w:val="FootnoteText"/>
        <w:spacing w:line="264" w:lineRule="auto"/>
      </w:pPr>
    </w:p>
    <w:p w:rsidR="00000000" w:rsidRDefault="00000000">
      <w:pPr>
        <w:pStyle w:val="FootnoteText"/>
        <w:spacing w:line="264" w:lineRule="auto"/>
        <w:jc w:val="center"/>
        <w:rPr>
          <w:b/>
        </w:rPr>
      </w:pPr>
      <w:r>
        <w:t>Таблица 2.</w:t>
      </w:r>
      <w:r>
        <w:tab/>
      </w:r>
      <w:r>
        <w:tab/>
      </w:r>
      <w:r>
        <w:rPr>
          <w:u w:val="single"/>
        </w:rPr>
        <w:t>Число судебных постановлений о выселении, 1994-1998 годы</w:t>
      </w:r>
    </w:p>
    <w:p w:rsidR="00000000" w:rsidRDefault="00000000">
      <w:pPr>
        <w:pStyle w:val="FootnoteText"/>
        <w:spacing w:line="264" w:lineRule="auto"/>
        <w:rPr>
          <w:b/>
        </w:rPr>
      </w:pPr>
    </w:p>
    <w:tbl>
      <w:tblPr>
        <w:tblW w:w="0" w:type="auto"/>
        <w:tblInd w:w="56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15"/>
        <w:gridCol w:w="3190"/>
        <w:gridCol w:w="2659"/>
      </w:tblGrid>
      <w:tr w:rsidR="00000000">
        <w:tblPrEx>
          <w:tblCellMar>
            <w:top w:w="0" w:type="dxa"/>
            <w:bottom w:w="0" w:type="dxa"/>
          </w:tblCellMar>
        </w:tblPrEx>
        <w:tc>
          <w:tcPr>
            <w:tcW w:w="2515" w:type="dxa"/>
            <w:tcBorders>
              <w:top w:val="single" w:sz="4" w:space="0" w:color="auto"/>
              <w:bottom w:val="single" w:sz="4" w:space="0" w:color="auto"/>
              <w:right w:val="nil"/>
            </w:tcBorders>
          </w:tcPr>
          <w:p w:rsidR="00000000" w:rsidRDefault="00000000">
            <w:pPr>
              <w:pStyle w:val="FootnoteText"/>
              <w:spacing w:line="264" w:lineRule="auto"/>
              <w:jc w:val="center"/>
            </w:pPr>
            <w:r>
              <w:t>Год</w:t>
            </w:r>
          </w:p>
        </w:tc>
        <w:tc>
          <w:tcPr>
            <w:tcW w:w="319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64" w:lineRule="auto"/>
              <w:jc w:val="center"/>
            </w:pPr>
            <w:r>
              <w:t>Судебные дела</w:t>
            </w:r>
          </w:p>
        </w:tc>
        <w:tc>
          <w:tcPr>
            <w:tcW w:w="2659" w:type="dxa"/>
            <w:tcBorders>
              <w:top w:val="single" w:sz="4" w:space="0" w:color="auto"/>
              <w:left w:val="nil"/>
              <w:bottom w:val="single" w:sz="4" w:space="0" w:color="auto"/>
            </w:tcBorders>
          </w:tcPr>
          <w:p w:rsidR="00000000" w:rsidRDefault="00000000">
            <w:pPr>
              <w:pStyle w:val="FootnoteText"/>
              <w:spacing w:line="264" w:lineRule="auto"/>
              <w:jc w:val="center"/>
            </w:pPr>
            <w:r>
              <w:t>Утвержденные иски</w:t>
            </w:r>
          </w:p>
        </w:tc>
      </w:tr>
      <w:tr w:rsidR="00000000">
        <w:tblPrEx>
          <w:tblCellMar>
            <w:top w:w="0" w:type="dxa"/>
            <w:bottom w:w="0" w:type="dxa"/>
          </w:tblCellMar>
        </w:tblPrEx>
        <w:tc>
          <w:tcPr>
            <w:tcW w:w="2515" w:type="dxa"/>
            <w:tcBorders>
              <w:top w:val="nil"/>
              <w:right w:val="nil"/>
            </w:tcBorders>
          </w:tcPr>
          <w:p w:rsidR="00000000" w:rsidRDefault="00000000">
            <w:pPr>
              <w:pStyle w:val="FootnoteText"/>
              <w:spacing w:line="264" w:lineRule="auto"/>
              <w:jc w:val="center"/>
            </w:pPr>
            <w:r>
              <w:t>1994</w:t>
            </w:r>
          </w:p>
        </w:tc>
        <w:tc>
          <w:tcPr>
            <w:tcW w:w="3190" w:type="dxa"/>
            <w:tcBorders>
              <w:top w:val="nil"/>
              <w:left w:val="single" w:sz="4" w:space="0" w:color="auto"/>
              <w:bottom w:val="nil"/>
              <w:right w:val="single" w:sz="4" w:space="0" w:color="auto"/>
            </w:tcBorders>
          </w:tcPr>
          <w:p w:rsidR="00000000" w:rsidRDefault="00000000">
            <w:pPr>
              <w:pStyle w:val="FootnoteText"/>
              <w:spacing w:line="264" w:lineRule="auto"/>
              <w:jc w:val="center"/>
            </w:pPr>
            <w:r>
              <w:t>2 334</w:t>
            </w:r>
          </w:p>
        </w:tc>
        <w:tc>
          <w:tcPr>
            <w:tcW w:w="2659" w:type="dxa"/>
            <w:tcBorders>
              <w:top w:val="nil"/>
              <w:left w:val="nil"/>
            </w:tcBorders>
          </w:tcPr>
          <w:p w:rsidR="00000000" w:rsidRDefault="00000000">
            <w:pPr>
              <w:pStyle w:val="FootnoteText"/>
              <w:spacing w:line="264" w:lineRule="auto"/>
              <w:ind w:right="1026"/>
              <w:jc w:val="right"/>
            </w:pPr>
            <w:r>
              <w:t>1 705</w:t>
            </w:r>
          </w:p>
        </w:tc>
      </w:tr>
      <w:tr w:rsidR="00000000">
        <w:tblPrEx>
          <w:tblCellMar>
            <w:top w:w="0" w:type="dxa"/>
            <w:bottom w:w="0" w:type="dxa"/>
          </w:tblCellMar>
        </w:tblPrEx>
        <w:tc>
          <w:tcPr>
            <w:tcW w:w="2515" w:type="dxa"/>
            <w:tcBorders>
              <w:right w:val="nil"/>
            </w:tcBorders>
          </w:tcPr>
          <w:p w:rsidR="00000000" w:rsidRDefault="00000000">
            <w:pPr>
              <w:pStyle w:val="FootnoteText"/>
              <w:spacing w:line="264" w:lineRule="auto"/>
              <w:jc w:val="center"/>
            </w:pPr>
            <w:r>
              <w:t>1995</w:t>
            </w:r>
          </w:p>
        </w:tc>
        <w:tc>
          <w:tcPr>
            <w:tcW w:w="3190" w:type="dxa"/>
            <w:tcBorders>
              <w:top w:val="nil"/>
              <w:left w:val="single" w:sz="4" w:space="0" w:color="auto"/>
              <w:bottom w:val="nil"/>
              <w:right w:val="single" w:sz="4" w:space="0" w:color="auto"/>
            </w:tcBorders>
          </w:tcPr>
          <w:p w:rsidR="00000000" w:rsidRDefault="00000000">
            <w:pPr>
              <w:pStyle w:val="FootnoteText"/>
              <w:spacing w:line="264" w:lineRule="auto"/>
              <w:jc w:val="center"/>
            </w:pPr>
            <w:r>
              <w:t>2 795</w:t>
            </w:r>
          </w:p>
        </w:tc>
        <w:tc>
          <w:tcPr>
            <w:tcW w:w="2659" w:type="dxa"/>
            <w:tcBorders>
              <w:left w:val="nil"/>
            </w:tcBorders>
          </w:tcPr>
          <w:p w:rsidR="00000000" w:rsidRDefault="00000000">
            <w:pPr>
              <w:pStyle w:val="FootnoteText"/>
              <w:spacing w:line="264" w:lineRule="auto"/>
              <w:ind w:right="1026"/>
              <w:jc w:val="right"/>
            </w:pPr>
            <w:r>
              <w:t>1 946</w:t>
            </w:r>
          </w:p>
        </w:tc>
      </w:tr>
      <w:tr w:rsidR="00000000">
        <w:tblPrEx>
          <w:tblCellMar>
            <w:top w:w="0" w:type="dxa"/>
            <w:bottom w:w="0" w:type="dxa"/>
          </w:tblCellMar>
        </w:tblPrEx>
        <w:tc>
          <w:tcPr>
            <w:tcW w:w="2515" w:type="dxa"/>
            <w:tcBorders>
              <w:right w:val="nil"/>
            </w:tcBorders>
          </w:tcPr>
          <w:p w:rsidR="00000000" w:rsidRDefault="00000000">
            <w:pPr>
              <w:pStyle w:val="FootnoteText"/>
              <w:spacing w:line="264" w:lineRule="auto"/>
              <w:jc w:val="center"/>
            </w:pPr>
            <w:r>
              <w:t>1996</w:t>
            </w:r>
          </w:p>
        </w:tc>
        <w:tc>
          <w:tcPr>
            <w:tcW w:w="3190" w:type="dxa"/>
            <w:tcBorders>
              <w:top w:val="nil"/>
              <w:left w:val="single" w:sz="4" w:space="0" w:color="auto"/>
              <w:bottom w:val="nil"/>
              <w:right w:val="single" w:sz="4" w:space="0" w:color="auto"/>
            </w:tcBorders>
          </w:tcPr>
          <w:p w:rsidR="00000000" w:rsidRDefault="00000000">
            <w:pPr>
              <w:pStyle w:val="FootnoteText"/>
              <w:spacing w:line="264" w:lineRule="auto"/>
              <w:jc w:val="center"/>
            </w:pPr>
            <w:r>
              <w:t>1 592</w:t>
            </w:r>
          </w:p>
        </w:tc>
        <w:tc>
          <w:tcPr>
            <w:tcW w:w="2659" w:type="dxa"/>
            <w:tcBorders>
              <w:left w:val="nil"/>
            </w:tcBorders>
          </w:tcPr>
          <w:p w:rsidR="00000000" w:rsidRDefault="00000000">
            <w:pPr>
              <w:pStyle w:val="FootnoteText"/>
              <w:spacing w:line="264" w:lineRule="auto"/>
              <w:ind w:right="1026"/>
              <w:jc w:val="right"/>
            </w:pPr>
            <w:r>
              <w:t>1 168</w:t>
            </w:r>
          </w:p>
        </w:tc>
      </w:tr>
      <w:tr w:rsidR="00000000">
        <w:tblPrEx>
          <w:tblCellMar>
            <w:top w:w="0" w:type="dxa"/>
            <w:bottom w:w="0" w:type="dxa"/>
          </w:tblCellMar>
        </w:tblPrEx>
        <w:tc>
          <w:tcPr>
            <w:tcW w:w="2515" w:type="dxa"/>
            <w:tcBorders>
              <w:right w:val="nil"/>
            </w:tcBorders>
          </w:tcPr>
          <w:p w:rsidR="00000000" w:rsidRDefault="00000000">
            <w:pPr>
              <w:pStyle w:val="FootnoteText"/>
              <w:spacing w:line="264" w:lineRule="auto"/>
              <w:jc w:val="center"/>
            </w:pPr>
            <w:r>
              <w:t>1997</w:t>
            </w:r>
          </w:p>
        </w:tc>
        <w:tc>
          <w:tcPr>
            <w:tcW w:w="3190" w:type="dxa"/>
            <w:tcBorders>
              <w:top w:val="nil"/>
              <w:left w:val="single" w:sz="4" w:space="0" w:color="auto"/>
              <w:bottom w:val="nil"/>
              <w:right w:val="single" w:sz="4" w:space="0" w:color="auto"/>
            </w:tcBorders>
          </w:tcPr>
          <w:p w:rsidR="00000000" w:rsidRDefault="00000000">
            <w:pPr>
              <w:pStyle w:val="FootnoteText"/>
              <w:spacing w:line="264" w:lineRule="auto"/>
              <w:jc w:val="center"/>
            </w:pPr>
            <w:r>
              <w:t>1 381</w:t>
            </w:r>
          </w:p>
        </w:tc>
        <w:tc>
          <w:tcPr>
            <w:tcW w:w="2659" w:type="dxa"/>
            <w:tcBorders>
              <w:left w:val="nil"/>
            </w:tcBorders>
          </w:tcPr>
          <w:p w:rsidR="00000000" w:rsidRDefault="00000000">
            <w:pPr>
              <w:pStyle w:val="FootnoteText"/>
              <w:spacing w:line="264" w:lineRule="auto"/>
              <w:ind w:right="1026"/>
              <w:jc w:val="right"/>
            </w:pPr>
            <w:r>
              <w:t>1 002</w:t>
            </w:r>
          </w:p>
        </w:tc>
      </w:tr>
      <w:tr w:rsidR="00000000">
        <w:tblPrEx>
          <w:tblCellMar>
            <w:top w:w="0" w:type="dxa"/>
            <w:bottom w:w="0" w:type="dxa"/>
          </w:tblCellMar>
        </w:tblPrEx>
        <w:tc>
          <w:tcPr>
            <w:tcW w:w="2515" w:type="dxa"/>
            <w:tcBorders>
              <w:right w:val="nil"/>
            </w:tcBorders>
          </w:tcPr>
          <w:p w:rsidR="00000000" w:rsidRDefault="00000000">
            <w:pPr>
              <w:pStyle w:val="FootnoteText"/>
              <w:spacing w:line="264" w:lineRule="auto"/>
              <w:jc w:val="center"/>
            </w:pPr>
            <w:r>
              <w:t>1998</w:t>
            </w:r>
          </w:p>
        </w:tc>
        <w:tc>
          <w:tcPr>
            <w:tcW w:w="3190" w:type="dxa"/>
            <w:tcBorders>
              <w:top w:val="nil"/>
              <w:left w:val="single" w:sz="4" w:space="0" w:color="auto"/>
              <w:bottom w:val="single" w:sz="4" w:space="0" w:color="auto"/>
              <w:right w:val="single" w:sz="4" w:space="0" w:color="auto"/>
            </w:tcBorders>
          </w:tcPr>
          <w:p w:rsidR="00000000" w:rsidRDefault="00000000">
            <w:pPr>
              <w:pStyle w:val="FootnoteText"/>
              <w:spacing w:line="264" w:lineRule="auto"/>
              <w:jc w:val="center"/>
            </w:pPr>
            <w:r>
              <w:t>1 472</w:t>
            </w:r>
          </w:p>
        </w:tc>
        <w:tc>
          <w:tcPr>
            <w:tcW w:w="2659" w:type="dxa"/>
            <w:tcBorders>
              <w:left w:val="nil"/>
            </w:tcBorders>
          </w:tcPr>
          <w:p w:rsidR="00000000" w:rsidRDefault="00000000">
            <w:pPr>
              <w:pStyle w:val="FootnoteText"/>
              <w:spacing w:line="264" w:lineRule="auto"/>
              <w:ind w:right="1026"/>
              <w:jc w:val="right"/>
            </w:pPr>
            <w:r>
              <w:t>918</w:t>
            </w:r>
          </w:p>
        </w:tc>
      </w:tr>
    </w:tbl>
    <w:p w:rsidR="00000000" w:rsidRDefault="00000000">
      <w:pPr>
        <w:pStyle w:val="FootnoteText"/>
        <w:spacing w:line="264" w:lineRule="auto"/>
      </w:pPr>
    </w:p>
    <w:p w:rsidR="00000000" w:rsidRDefault="00000000">
      <w:pPr>
        <w:pStyle w:val="FootnoteText"/>
        <w:spacing w:line="288" w:lineRule="auto"/>
      </w:pPr>
      <w:r>
        <w:t>291.</w:t>
      </w:r>
      <w:r>
        <w:tab/>
        <w:t>Не все судебные постановления о выселении приводятся в исполнение, и в результате фактическое число выселенных лиц меньше числа утвержденных исков.</w:t>
      </w:r>
    </w:p>
    <w:p w:rsidR="00000000" w:rsidRDefault="00000000">
      <w:pPr>
        <w:pStyle w:val="FootnoteText"/>
        <w:spacing w:line="288" w:lineRule="auto"/>
      </w:pPr>
    </w:p>
    <w:p w:rsidR="00000000" w:rsidRDefault="00000000">
      <w:pPr>
        <w:pStyle w:val="FootnoteText"/>
        <w:spacing w:line="288" w:lineRule="auto"/>
      </w:pPr>
      <w:r>
        <w:tab/>
      </w:r>
      <w:proofErr w:type="spellStart"/>
      <w:r>
        <w:t>v</w:t>
      </w:r>
      <w:proofErr w:type="spellEnd"/>
      <w:r>
        <w:t>)</w:t>
      </w:r>
      <w:r>
        <w:tab/>
      </w:r>
      <w:r>
        <w:rPr>
          <w:u w:val="single"/>
        </w:rPr>
        <w:t>Жилищные расходы</w:t>
      </w:r>
    </w:p>
    <w:p w:rsidR="00000000" w:rsidRDefault="00000000">
      <w:pPr>
        <w:pStyle w:val="FootnoteText"/>
        <w:spacing w:line="288" w:lineRule="auto"/>
      </w:pPr>
    </w:p>
    <w:p w:rsidR="00000000" w:rsidRDefault="00000000">
      <w:pPr>
        <w:pStyle w:val="FootnoteText"/>
        <w:spacing w:line="288" w:lineRule="auto"/>
      </w:pPr>
      <w:r>
        <w:t>292.</w:t>
      </w:r>
      <w:r>
        <w:tab/>
        <w:t>В Финляндии отсутствуют какие-либо правила или рекомендации в отношении того, каким образом оценивать соответствие жилищных расходов уровню доходов, равно как и установленный верхний предел расходов на жилье.  Цель жилищных пособий заключается в том, чтобы несколько снизить расходы на жилье малоимущих домашних хозяйств.  Они выдаются с учетом имеющихся в распоряжении домашних хозяйств средств, и их цель заключается в том, чтобы обеспечить нормальный уровень жилья для лиц с ограниченными финансовыми возможностями.</w:t>
      </w:r>
    </w:p>
    <w:p w:rsidR="00000000" w:rsidRDefault="00000000"/>
    <w:p w:rsidR="00000000" w:rsidRDefault="00000000">
      <w:pPr>
        <w:rPr>
          <w:u w:val="single"/>
        </w:rPr>
      </w:pPr>
      <w:r>
        <w:tab/>
      </w:r>
      <w:proofErr w:type="spellStart"/>
      <w:r>
        <w:t>vi</w:t>
      </w:r>
      <w:proofErr w:type="spellEnd"/>
      <w:r>
        <w:t>)</w:t>
      </w:r>
      <w:r>
        <w:tab/>
      </w:r>
      <w:r>
        <w:rPr>
          <w:u w:val="single"/>
        </w:rPr>
        <w:t>Лица, стоящие на очереди за жильем</w:t>
      </w:r>
    </w:p>
    <w:p w:rsidR="00000000" w:rsidRDefault="00000000">
      <w:pPr>
        <w:rPr>
          <w:i/>
          <w:u w:val="single"/>
        </w:rPr>
      </w:pPr>
    </w:p>
    <w:p w:rsidR="00000000" w:rsidRDefault="00000000">
      <w:r>
        <w:t>293.</w:t>
      </w:r>
      <w:r>
        <w:rPr>
          <w:lang w:val="en-US"/>
        </w:rPr>
        <w:tab/>
      </w:r>
      <w:r>
        <w:t>В ноябре 1998 года в списках</w:t>
      </w:r>
      <w:r>
        <w:rPr>
          <w:lang w:val="en-US"/>
        </w:rPr>
        <w:t xml:space="preserve"> </w:t>
      </w:r>
      <w:r>
        <w:t>лиц, стоящих на очереди за сдаваемым в аренду социальным жильем, принадлежащим муниципалитетам и некоммерческим обществам, было зарегистрировано 106 000 человек.  В течение 1998 года заявки на аренду социального жилья подали в общей сложности 210 000 человек, из которых 35% нашли себе жилье самостоятельно.  Средний срок ожидания составлял четыре месяца.  Поскольку количество заявок от проживающих в одиночку лиц гораздо больше, чем число имеющихся небольших жилых помещений, продолжительность ожидания небольших жилых помещений больше средней.  Дефицит сдаваемого в аренду жилья особенно остро ощущается в быстрорастущих районах, и в первую очередь в крупных городах.</w:t>
      </w:r>
    </w:p>
    <w:p w:rsidR="00000000" w:rsidRDefault="00000000"/>
    <w:p w:rsidR="00000000" w:rsidRDefault="00000000">
      <w:pPr>
        <w:rPr>
          <w:u w:val="single"/>
        </w:rPr>
      </w:pPr>
      <w:r>
        <w:tab/>
        <w:t>vii)</w:t>
      </w:r>
      <w:r>
        <w:tab/>
      </w:r>
      <w:r>
        <w:rPr>
          <w:u w:val="single"/>
        </w:rPr>
        <w:t>Виды жилья</w:t>
      </w:r>
    </w:p>
    <w:p w:rsidR="00000000" w:rsidRDefault="00000000">
      <w:pPr>
        <w:rPr>
          <w:i/>
          <w:u w:val="single"/>
        </w:rPr>
      </w:pPr>
    </w:p>
    <w:p w:rsidR="00000000" w:rsidRDefault="00000000">
      <w:pPr>
        <w:rPr>
          <w:b/>
          <w:i/>
          <w:u w:val="single"/>
        </w:rPr>
      </w:pPr>
      <w:r>
        <w:tab/>
        <w:t>Таблица 3</w:t>
      </w:r>
      <w:r>
        <w:rPr>
          <w:i/>
        </w:rPr>
        <w:t>.</w:t>
      </w:r>
      <w:r>
        <w:rPr>
          <w:i/>
        </w:rPr>
        <w:tab/>
      </w:r>
      <w:r>
        <w:rPr>
          <w:i/>
        </w:rPr>
        <w:tab/>
      </w:r>
      <w:r>
        <w:rPr>
          <w:u w:val="single"/>
        </w:rPr>
        <w:t>Количество жилых помещений различных видов в 1996 году</w:t>
      </w:r>
    </w:p>
    <w:p w:rsidR="00000000" w:rsidRDefault="00000000">
      <w:pPr>
        <w:rPr>
          <w:b/>
          <w:i/>
          <w:u w:val="single"/>
        </w:rPr>
      </w:pPr>
    </w:p>
    <w:p w:rsidR="00000000" w:rsidRDefault="00000000">
      <w:pPr>
        <w:pStyle w:val="FootnoteText"/>
        <w:pBdr>
          <w:top w:val="single" w:sz="4" w:space="1" w:color="auto"/>
          <w:left w:val="single" w:sz="4" w:space="4" w:color="auto"/>
          <w:bottom w:val="single" w:sz="4" w:space="1" w:color="auto"/>
          <w:right w:val="single" w:sz="4" w:space="4" w:color="auto"/>
        </w:pBdr>
        <w:tabs>
          <w:tab w:val="left" w:pos="5103"/>
        </w:tabs>
        <w:spacing w:line="288" w:lineRule="auto"/>
      </w:pPr>
      <w:r>
        <w:t xml:space="preserve">Социальное жилье, сдаваемое в аренду </w:t>
      </w:r>
      <w:r>
        <w:tab/>
        <w:t>14%</w:t>
      </w:r>
      <w:r>
        <w:tab/>
        <w:t>0,349 млн. фин. марок</w:t>
      </w:r>
    </w:p>
    <w:p w:rsidR="00000000" w:rsidRDefault="00000000">
      <w:pPr>
        <w:pStyle w:val="FootnoteText"/>
        <w:pBdr>
          <w:top w:val="single" w:sz="4" w:space="1" w:color="auto"/>
          <w:left w:val="single" w:sz="4" w:space="4" w:color="auto"/>
          <w:bottom w:val="single" w:sz="4" w:space="1" w:color="auto"/>
          <w:right w:val="single" w:sz="4" w:space="4" w:color="auto"/>
        </w:pBdr>
        <w:tabs>
          <w:tab w:val="left" w:pos="5103"/>
        </w:tabs>
        <w:spacing w:line="288" w:lineRule="auto"/>
      </w:pPr>
      <w:r>
        <w:t>Частное жилье, сдаваемое в аренду</w:t>
      </w:r>
      <w:r>
        <w:tab/>
        <w:t>15,2%</w:t>
      </w:r>
      <w:r>
        <w:tab/>
        <w:t>0,364 млн. фин. марок</w:t>
      </w:r>
    </w:p>
    <w:p w:rsidR="00000000" w:rsidRDefault="00000000">
      <w:pPr>
        <w:pStyle w:val="FootnoteText"/>
        <w:pBdr>
          <w:top w:val="single" w:sz="4" w:space="1" w:color="auto"/>
          <w:left w:val="single" w:sz="4" w:space="4" w:color="auto"/>
          <w:bottom w:val="single" w:sz="4" w:space="1" w:color="auto"/>
          <w:right w:val="single" w:sz="4" w:space="4" w:color="auto"/>
        </w:pBdr>
        <w:tabs>
          <w:tab w:val="left" w:pos="5103"/>
        </w:tabs>
        <w:spacing w:line="288" w:lineRule="auto"/>
      </w:pPr>
      <w:r>
        <w:t>Жилье, занимаемое владельцами</w:t>
      </w:r>
      <w:r>
        <w:tab/>
        <w:t>61,3%</w:t>
      </w:r>
      <w:r>
        <w:tab/>
        <w:t>1,464 млн. фин. марок</w:t>
      </w:r>
    </w:p>
    <w:p w:rsidR="00000000" w:rsidRDefault="00000000">
      <w:pPr>
        <w:pStyle w:val="FootnoteText"/>
        <w:pBdr>
          <w:top w:val="single" w:sz="4" w:space="1" w:color="auto"/>
          <w:left w:val="single" w:sz="4" w:space="4" w:color="auto"/>
          <w:bottom w:val="single" w:sz="4" w:space="1" w:color="auto"/>
          <w:right w:val="single" w:sz="4" w:space="4" w:color="auto"/>
        </w:pBdr>
        <w:tabs>
          <w:tab w:val="left" w:pos="5103"/>
        </w:tabs>
        <w:spacing w:line="288" w:lineRule="auto"/>
      </w:pPr>
      <w:r>
        <w:t>Другие виды жилья</w:t>
      </w:r>
      <w:r>
        <w:tab/>
      </w:r>
      <w:r>
        <w:tab/>
        <w:t xml:space="preserve">  8,9%</w:t>
      </w:r>
      <w:r>
        <w:tab/>
        <w:t>0,213 млн. фин. марок</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rPr>
          <w:u w:val="single"/>
        </w:rPr>
      </w:pPr>
      <w:r>
        <w:br w:type="page"/>
        <w:t>3.</w:t>
      </w:r>
      <w:r>
        <w:tab/>
        <w:t>с)</w:t>
      </w:r>
      <w:r>
        <w:tab/>
      </w:r>
      <w:r>
        <w:rPr>
          <w:u w:val="single"/>
        </w:rPr>
        <w:t>Законодательство</w:t>
      </w:r>
    </w:p>
    <w:p w:rsidR="00000000" w:rsidRDefault="00000000">
      <w:pPr>
        <w:pStyle w:val="FootnoteText"/>
        <w:tabs>
          <w:tab w:val="left" w:pos="5103"/>
        </w:tabs>
        <w:spacing w:line="288" w:lineRule="auto"/>
        <w:rPr>
          <w:b/>
          <w:u w:val="single"/>
        </w:rPr>
      </w:pPr>
    </w:p>
    <w:p w:rsidR="00000000" w:rsidRDefault="00000000">
      <w:pPr>
        <w:pStyle w:val="FootnoteText"/>
        <w:tabs>
          <w:tab w:val="left" w:pos="5103"/>
        </w:tabs>
        <w:spacing w:line="288" w:lineRule="auto"/>
      </w:pPr>
      <w:r>
        <w:tab/>
      </w:r>
      <w:proofErr w:type="spellStart"/>
      <w:r>
        <w:t>i</w:t>
      </w:r>
      <w:proofErr w:type="spellEnd"/>
      <w:r>
        <w:t>)</w:t>
      </w:r>
      <w:r>
        <w:tab/>
      </w:r>
      <w:r>
        <w:rPr>
          <w:u w:val="single"/>
        </w:rPr>
        <w:t>Право на жилье</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294.</w:t>
      </w:r>
      <w:r>
        <w:tab/>
        <w:t>Согласно разделу 15 а) Конституции Финляндии, органы власти должны поощрять право на жилье.  Это положение не является гарантией существования такого права у отдельных лиц.  Кроме того, не установлено никаких качественных требований к уровню жилья.  Закон об улучшении жилищных условий ориентирует действия органов власти, но не предоставляет индивидуальных прав как таковых.  Для снижения расходов на жилье было создано несколько систем, основанных, в частности, на налоговых льготах, стимулировании жилищного строительства и прямой частичной компенсации расходов на жилье из общественных фондов.</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ab/>
        <w:t>ii)</w:t>
      </w:r>
      <w:r>
        <w:tab/>
      </w:r>
      <w:r>
        <w:rPr>
          <w:u w:val="single"/>
        </w:rPr>
        <w:t>Конкретное законодательство</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295.</w:t>
      </w:r>
      <w:r>
        <w:tab/>
        <w:t>См. пункт выше.</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ab/>
        <w:t>iii)</w:t>
      </w:r>
      <w:r>
        <w:tab/>
      </w:r>
      <w:r>
        <w:rPr>
          <w:u w:val="single"/>
        </w:rPr>
        <w:t>Законодательство о землепользовании</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296.</w:t>
      </w:r>
      <w:r>
        <w:tab/>
        <w:t>В Финляндии все группы населения имеют равное право на землю.  В соответствии с Законом о контроле за приобретением недвижимости в Финляндии нерезидентами и иностранными организациями (1613/1992) право на владение недвижимостью в Финляндии в ряде случаев может быть ограничено для лиц, проживающих за рубежом.  В Земельный кодекс были внесены поправки, и в новом Кодексе (540/95), вступившем в силу 1 января 1997 года, закреплены положения, регулирующие право собственности на недвижимость и порядок регистрации собственности.  Новый Закон о землепользовании и застройке, вступающий в силу в начале 2000 года, расширяет участие общин и граждан в решении вопросов землепользования и районной застройки.</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ab/>
        <w:t>iv)</w:t>
      </w:r>
      <w:r>
        <w:tab/>
      </w:r>
      <w:r>
        <w:rPr>
          <w:u w:val="single"/>
        </w:rPr>
        <w:t>Права арендаторов</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297.</w:t>
      </w:r>
      <w:r>
        <w:tab/>
        <w:t>См. предыдущий доклад, а также нижеследующую дополнительную информацию.</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298.</w:t>
      </w:r>
      <w:r>
        <w:tab/>
        <w:t>Законом об аренде жилья устанавливаются сроки и основания для подачи как жильцами, так и владельцами жилья уведомлений о прекращении договора аренды, заключенного на неопределенный или фиксированный срок.  С 1 мая 1995 года в Финляндии упразднен контроль за арендой несубсидируемого жилья.</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br w:type="page"/>
      </w:r>
      <w:r>
        <w:tab/>
      </w:r>
      <w:proofErr w:type="spellStart"/>
      <w:r>
        <w:t>v</w:t>
      </w:r>
      <w:proofErr w:type="spellEnd"/>
      <w:r>
        <w:t>)</w:t>
      </w:r>
      <w:r>
        <w:tab/>
      </w:r>
      <w:r>
        <w:rPr>
          <w:u w:val="single"/>
        </w:rPr>
        <w:t>Законодательство, регулирующее жилищное строительство</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299.</w:t>
      </w:r>
      <w:r>
        <w:tab/>
        <w:t>Устойчивое коммунальное развитие и застройка обеспечиваются благодаря новому Закону о землепользовании и застройке.  Этот закон предоставляет гражданам больше возможностей для участия в планировании и осуществлении строительных проектов, а также поощряет обмен информацией по вопросам, касающимся коммунального планирования.</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ab/>
      </w:r>
      <w:proofErr w:type="spellStart"/>
      <w:r>
        <w:t>vi</w:t>
      </w:r>
      <w:proofErr w:type="spellEnd"/>
      <w:r>
        <w:t>)</w:t>
      </w:r>
      <w:r>
        <w:tab/>
      </w:r>
      <w:r>
        <w:rPr>
          <w:u w:val="single"/>
        </w:rPr>
        <w:t>Дискриминация в жилищном секторе</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300.</w:t>
      </w:r>
      <w:r>
        <w:tab/>
        <w:t>В сфере управления жилищным хозяйством дискриминация конкретно не запрещена законом.  Запрет всех форм дискриминации, закрепленный в основных правоохранительных актах, охватывает все сферы основных потребностей человека.  Поскольку частные владельцы жилья могут по своему усмотрению выбирать жильцов, может возникнуть такая ситуация, когда то или иное лицо, ищущее жилье, станет объектом дискриминации, например, по признаку этнического происхождения.</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301.  В последнее время положение с жильем ухудшилось из</w:t>
      </w:r>
      <w:r>
        <w:noBreakHyphen/>
        <w:t>за активизации миграционных процессов и нехватки недорогого сдаваемого в аренду или занимаемого владельцами жилья в быстрорастущих центрах.  В этой связи представителям меньшинств, например рома, становится все труднее арендовать даже муниципальное жилье.</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302.</w:t>
      </w:r>
      <w:r>
        <w:tab/>
        <w:t xml:space="preserve"> Согласно результатам исследования, проведенного министерством по охране окружающей среды в сентябре 1996 года, большинство рома занимает муниципальное или сдаваемое в некоммерческую аренду жилье.  Рома очень сложно найти жилье на свободном рынке.  Данные за январь</w:t>
      </w:r>
      <w:r>
        <w:noBreakHyphen/>
        <w:t>сентябрь 1995 года говорят о том, что каждый третий рома, ищущий жилье, испытывает в нем острую потребность, например, после переезда в новый район, где ему негде жить.</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303.</w:t>
      </w:r>
      <w:r>
        <w:tab/>
        <w:t>По инициативе Консультативного совета по делам народа рома министерство по охране окружающей среды распространило среди муниципалитетов циркуляр с просьбой уделять внимание жилищым потребностям особых групп населения.</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ab/>
        <w:t>vii)</w:t>
      </w:r>
      <w:r>
        <w:tab/>
      </w:r>
      <w:r>
        <w:rPr>
          <w:u w:val="single"/>
        </w:rPr>
        <w:t>Законодательство, запрещающее все формы выселения</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304.</w:t>
      </w:r>
      <w:r>
        <w:tab/>
        <w:t>В Финляндии под выселением понимается мера, прекращающая незаконное проживание.  Все дела о выселении рассматриваются в суде, который может выносить постановление о выселении.</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ind w:left="1134" w:hanging="1134"/>
      </w:pPr>
      <w:r>
        <w:tab/>
        <w:t>viii)</w:t>
      </w:r>
      <w:r>
        <w:tab/>
      </w:r>
      <w:r>
        <w:rPr>
          <w:u w:val="single"/>
        </w:rPr>
        <w:t>Законодательство, ограничивающее спекуляцию жильем или недвижимостью</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305.</w:t>
      </w:r>
      <w:r>
        <w:tab/>
        <w:t>В начале 2000 года в силу вступает законодательная поправка о распределении прибылей в связи со строительством некоммерческого жилья, которая ограничивает возможности использования жилищного фонда, субсидируемого государством.</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ab/>
        <w:t>iх)</w:t>
      </w:r>
      <w:r>
        <w:tab/>
      </w:r>
      <w:r>
        <w:rPr>
          <w:u w:val="single"/>
        </w:rPr>
        <w:t>Незаконное заселение</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306.</w:t>
      </w:r>
      <w:r>
        <w:tab/>
        <w:t>Случаи незаконного заселения и соответствующий незаконный жилищный сектор в Финляндии отсутствуют.</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rPr>
          <w:u w:val="single"/>
        </w:rPr>
      </w:pPr>
      <w:r>
        <w:t>3.</w:t>
      </w:r>
      <w:r>
        <w:tab/>
      </w:r>
      <w:proofErr w:type="spellStart"/>
      <w:r>
        <w:t>d</w:t>
      </w:r>
      <w:proofErr w:type="spellEnd"/>
      <w:r>
        <w:t>)</w:t>
      </w:r>
      <w:r>
        <w:tab/>
      </w:r>
      <w:r>
        <w:rPr>
          <w:u w:val="single"/>
        </w:rPr>
        <w:t>Прочие меры</w:t>
      </w:r>
    </w:p>
    <w:p w:rsidR="00000000" w:rsidRDefault="00000000">
      <w:pPr>
        <w:pStyle w:val="FootnoteText"/>
        <w:tabs>
          <w:tab w:val="left" w:pos="5103"/>
        </w:tabs>
        <w:spacing w:line="288" w:lineRule="auto"/>
        <w:rPr>
          <w:b/>
          <w:u w:val="single"/>
        </w:rPr>
      </w:pPr>
    </w:p>
    <w:p w:rsidR="00000000" w:rsidRDefault="00000000">
      <w:pPr>
        <w:pStyle w:val="FootnoteText"/>
        <w:tabs>
          <w:tab w:val="left" w:pos="5103"/>
        </w:tabs>
        <w:spacing w:line="288" w:lineRule="auto"/>
        <w:ind w:left="1134" w:hanging="1134"/>
      </w:pPr>
      <w:r>
        <w:tab/>
      </w:r>
      <w:proofErr w:type="spellStart"/>
      <w:r>
        <w:t>i</w:t>
      </w:r>
      <w:proofErr w:type="spellEnd"/>
      <w:r>
        <w:t>)</w:t>
      </w:r>
      <w:r>
        <w:tab/>
      </w:r>
      <w:r>
        <w:rPr>
          <w:u w:val="single"/>
        </w:rPr>
        <w:t>Государственная поддержка жилищных услуг, оказываемых коммунальными организациями</w:t>
      </w:r>
    </w:p>
    <w:p w:rsidR="00000000" w:rsidRDefault="00000000">
      <w:pPr>
        <w:pStyle w:val="FootnoteText"/>
        <w:tabs>
          <w:tab w:val="left" w:pos="5103"/>
        </w:tabs>
        <w:spacing w:line="288" w:lineRule="auto"/>
        <w:ind w:left="1134" w:hanging="1134"/>
      </w:pPr>
    </w:p>
    <w:p w:rsidR="00000000" w:rsidRDefault="00000000">
      <w:pPr>
        <w:pStyle w:val="FootnoteText"/>
        <w:tabs>
          <w:tab w:val="left" w:pos="5103"/>
        </w:tabs>
        <w:spacing w:line="288" w:lineRule="auto"/>
      </w:pPr>
      <w:r>
        <w:t>307.</w:t>
      </w:r>
      <w:r>
        <w:tab/>
        <w:t>Как правительство, так и муниципалитеты поддерживают организации, занимающиеся строительством жилья и оказанием жилищных услуг.</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ab/>
        <w:t>ii)</w:t>
      </w:r>
      <w:r>
        <w:tab/>
      </w:r>
      <w:r>
        <w:rPr>
          <w:u w:val="single"/>
        </w:rPr>
        <w:t>Доля государства в новом жилье и жилье, сдаваемом в аренду</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jc w:val="center"/>
        <w:rPr>
          <w:b/>
          <w:i/>
          <w:u w:val="single"/>
        </w:rPr>
      </w:pPr>
      <w:r>
        <w:t>Таблица 4</w:t>
      </w:r>
      <w:r>
        <w:rPr>
          <w:i/>
        </w:rPr>
        <w:t xml:space="preserve">.  </w:t>
      </w:r>
      <w:r>
        <w:rPr>
          <w:u w:val="single"/>
        </w:rPr>
        <w:t>Строительство и реконструкция жилья (число единиц жилья</w:t>
      </w:r>
      <w:r>
        <w:rPr>
          <w:b/>
          <w:i/>
        </w:rPr>
        <w:t>),</w:t>
      </w:r>
      <w:r>
        <w:rPr>
          <w:b/>
          <w:i/>
          <w:u w:val="single"/>
        </w:rPr>
        <w:t xml:space="preserve"> </w:t>
      </w:r>
      <w:r>
        <w:rPr>
          <w:u w:val="single"/>
        </w:rPr>
        <w:t>1996</w:t>
      </w:r>
      <w:r>
        <w:rPr>
          <w:u w:val="single"/>
        </w:rPr>
        <w:noBreakHyphen/>
        <w:t>1999 годы</w:t>
      </w:r>
    </w:p>
    <w:p w:rsidR="00000000" w:rsidRDefault="00000000">
      <w:pPr>
        <w:pStyle w:val="FootnoteText"/>
        <w:tabs>
          <w:tab w:val="left" w:pos="5103"/>
        </w:tabs>
        <w:spacing w:line="288" w:lineRule="auto"/>
        <w:jc w:val="center"/>
      </w:pPr>
    </w:p>
    <w:tbl>
      <w:tblPr>
        <w:tblW w:w="0" w:type="auto"/>
        <w:tblInd w:w="-106" w:type="dxa"/>
        <w:tblLayout w:type="fixed"/>
        <w:tblLook w:val="0000" w:firstRow="0" w:lastRow="0" w:firstColumn="0" w:lastColumn="0" w:noHBand="0" w:noVBand="0"/>
      </w:tblPr>
      <w:tblGrid>
        <w:gridCol w:w="2660"/>
        <w:gridCol w:w="1559"/>
        <w:gridCol w:w="1701"/>
        <w:gridCol w:w="1843"/>
        <w:gridCol w:w="1807"/>
      </w:tblGrid>
      <w:tr w:rsidR="00000000">
        <w:tblPrEx>
          <w:tblCellMar>
            <w:top w:w="0" w:type="dxa"/>
            <w:bottom w:w="0" w:type="dxa"/>
          </w:tblCellMar>
        </w:tblPrEx>
        <w:tc>
          <w:tcPr>
            <w:tcW w:w="266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jc w:val="center"/>
            </w:pP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jc w:val="center"/>
            </w:pPr>
            <w:r>
              <w:t>1996</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jc w:val="center"/>
            </w:pPr>
            <w:r>
              <w:t>1997</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jc w:val="center"/>
            </w:pPr>
            <w:r>
              <w:t>1998</w:t>
            </w:r>
          </w:p>
        </w:tc>
        <w:tc>
          <w:tcPr>
            <w:tcW w:w="1807"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jc w:val="center"/>
            </w:pPr>
            <w:r>
              <w:t>1999</w:t>
            </w:r>
          </w:p>
        </w:tc>
      </w:tr>
      <w:tr w:rsidR="00000000">
        <w:tblPrEx>
          <w:tblCellMar>
            <w:top w:w="0" w:type="dxa"/>
            <w:bottom w:w="0" w:type="dxa"/>
          </w:tblCellMar>
        </w:tblPrEx>
        <w:tc>
          <w:tcPr>
            <w:tcW w:w="2660" w:type="dxa"/>
            <w:tcBorders>
              <w:left w:val="single" w:sz="4" w:space="0" w:color="auto"/>
              <w:right w:val="single" w:sz="4" w:space="0" w:color="auto"/>
            </w:tcBorders>
          </w:tcPr>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 xml:space="preserve">Начатое жилье </w:t>
            </w:r>
          </w:p>
        </w:tc>
        <w:tc>
          <w:tcPr>
            <w:tcW w:w="1559" w:type="dxa"/>
            <w:tcBorders>
              <w:left w:val="single" w:sz="4" w:space="0" w:color="auto"/>
              <w:right w:val="single" w:sz="4" w:space="0" w:color="auto"/>
            </w:tcBorders>
          </w:tcPr>
          <w:p w:rsidR="00000000" w:rsidRDefault="00000000">
            <w:pPr>
              <w:pStyle w:val="FootnoteText"/>
              <w:tabs>
                <w:tab w:val="left" w:pos="5103"/>
              </w:tabs>
              <w:spacing w:line="288" w:lineRule="auto"/>
              <w:jc w:val="center"/>
            </w:pPr>
          </w:p>
          <w:p w:rsidR="00000000" w:rsidRDefault="00000000">
            <w:pPr>
              <w:pStyle w:val="FootnoteText"/>
              <w:tabs>
                <w:tab w:val="left" w:pos="5103"/>
              </w:tabs>
              <w:spacing w:line="288" w:lineRule="auto"/>
              <w:jc w:val="center"/>
            </w:pPr>
            <w:r>
              <w:t>24 000</w:t>
            </w:r>
          </w:p>
        </w:tc>
        <w:tc>
          <w:tcPr>
            <w:tcW w:w="1701" w:type="dxa"/>
            <w:tcBorders>
              <w:left w:val="single" w:sz="4" w:space="0" w:color="auto"/>
              <w:right w:val="single" w:sz="4" w:space="0" w:color="auto"/>
            </w:tcBorders>
          </w:tcPr>
          <w:p w:rsidR="00000000" w:rsidRDefault="00000000">
            <w:pPr>
              <w:pStyle w:val="FootnoteText"/>
              <w:tabs>
                <w:tab w:val="left" w:pos="5103"/>
              </w:tabs>
              <w:spacing w:line="288" w:lineRule="auto"/>
              <w:jc w:val="center"/>
            </w:pPr>
          </w:p>
          <w:p w:rsidR="00000000" w:rsidRDefault="00000000">
            <w:pPr>
              <w:pStyle w:val="FootnoteText"/>
              <w:tabs>
                <w:tab w:val="left" w:pos="5103"/>
              </w:tabs>
              <w:spacing w:line="288" w:lineRule="auto"/>
              <w:jc w:val="center"/>
            </w:pPr>
            <w:r>
              <w:t>30 000</w:t>
            </w:r>
          </w:p>
        </w:tc>
        <w:tc>
          <w:tcPr>
            <w:tcW w:w="1843" w:type="dxa"/>
            <w:tcBorders>
              <w:left w:val="single" w:sz="4" w:space="0" w:color="auto"/>
              <w:right w:val="single" w:sz="4" w:space="0" w:color="auto"/>
            </w:tcBorders>
          </w:tcPr>
          <w:p w:rsidR="00000000" w:rsidRDefault="00000000">
            <w:pPr>
              <w:pStyle w:val="FootnoteText"/>
              <w:tabs>
                <w:tab w:val="left" w:pos="5103"/>
              </w:tabs>
              <w:spacing w:line="288" w:lineRule="auto"/>
              <w:jc w:val="center"/>
            </w:pPr>
          </w:p>
          <w:p w:rsidR="00000000" w:rsidRDefault="00000000">
            <w:pPr>
              <w:pStyle w:val="FootnoteText"/>
              <w:tabs>
                <w:tab w:val="left" w:pos="5103"/>
              </w:tabs>
              <w:spacing w:line="288" w:lineRule="auto"/>
              <w:jc w:val="center"/>
            </w:pPr>
            <w:r>
              <w:t>30 000</w:t>
            </w:r>
          </w:p>
        </w:tc>
        <w:tc>
          <w:tcPr>
            <w:tcW w:w="1807" w:type="dxa"/>
            <w:tcBorders>
              <w:left w:val="single" w:sz="4" w:space="0" w:color="auto"/>
              <w:right w:val="single" w:sz="4" w:space="0" w:color="auto"/>
            </w:tcBorders>
          </w:tcPr>
          <w:p w:rsidR="00000000" w:rsidRDefault="00000000">
            <w:pPr>
              <w:pStyle w:val="FootnoteText"/>
              <w:tabs>
                <w:tab w:val="left" w:pos="5103"/>
              </w:tabs>
              <w:spacing w:line="288" w:lineRule="auto"/>
              <w:jc w:val="center"/>
            </w:pPr>
          </w:p>
          <w:p w:rsidR="00000000" w:rsidRDefault="00000000">
            <w:pPr>
              <w:pStyle w:val="FootnoteText"/>
              <w:tabs>
                <w:tab w:val="left" w:pos="5103"/>
              </w:tabs>
              <w:spacing w:line="288" w:lineRule="auto"/>
              <w:jc w:val="center"/>
            </w:pPr>
            <w:r>
              <w:t>31 500</w:t>
            </w:r>
          </w:p>
        </w:tc>
      </w:tr>
      <w:tr w:rsidR="00000000">
        <w:tblPrEx>
          <w:tblCellMar>
            <w:top w:w="0" w:type="dxa"/>
            <w:bottom w:w="0" w:type="dxa"/>
          </w:tblCellMar>
        </w:tblPrEx>
        <w:tc>
          <w:tcPr>
            <w:tcW w:w="2660" w:type="dxa"/>
            <w:tcBorders>
              <w:left w:val="single" w:sz="4" w:space="0" w:color="auto"/>
              <w:right w:val="single" w:sz="4" w:space="0" w:color="auto"/>
            </w:tcBorders>
          </w:tcPr>
          <w:p w:rsidR="00000000" w:rsidRDefault="00000000">
            <w:pPr>
              <w:pStyle w:val="FootnoteText"/>
              <w:tabs>
                <w:tab w:val="left" w:pos="5103"/>
              </w:tabs>
              <w:spacing w:line="288" w:lineRule="auto"/>
            </w:pPr>
            <w:r>
              <w:t>Жилье, субсидируемое</w:t>
            </w:r>
          </w:p>
          <w:p w:rsidR="00000000" w:rsidRDefault="00000000">
            <w:pPr>
              <w:pStyle w:val="FootnoteText"/>
              <w:tabs>
                <w:tab w:val="left" w:pos="5103"/>
              </w:tabs>
              <w:spacing w:line="288" w:lineRule="auto"/>
            </w:pPr>
            <w:r>
              <w:t xml:space="preserve">   государством</w:t>
            </w:r>
          </w:p>
        </w:tc>
        <w:tc>
          <w:tcPr>
            <w:tcW w:w="1559" w:type="dxa"/>
            <w:tcBorders>
              <w:left w:val="single" w:sz="4" w:space="0" w:color="auto"/>
              <w:right w:val="single" w:sz="4" w:space="0" w:color="auto"/>
            </w:tcBorders>
          </w:tcPr>
          <w:p w:rsidR="00000000" w:rsidRDefault="00000000">
            <w:pPr>
              <w:pStyle w:val="FootnoteText"/>
              <w:tabs>
                <w:tab w:val="left" w:pos="5103"/>
              </w:tabs>
              <w:spacing w:line="288" w:lineRule="auto"/>
              <w:jc w:val="center"/>
            </w:pPr>
            <w:r>
              <w:t>19 187</w:t>
            </w:r>
          </w:p>
        </w:tc>
        <w:tc>
          <w:tcPr>
            <w:tcW w:w="1701" w:type="dxa"/>
            <w:tcBorders>
              <w:left w:val="single" w:sz="4" w:space="0" w:color="auto"/>
              <w:right w:val="single" w:sz="4" w:space="0" w:color="auto"/>
            </w:tcBorders>
          </w:tcPr>
          <w:p w:rsidR="00000000" w:rsidRDefault="00000000">
            <w:pPr>
              <w:pStyle w:val="FootnoteText"/>
              <w:tabs>
                <w:tab w:val="left" w:pos="5103"/>
              </w:tabs>
              <w:spacing w:line="288" w:lineRule="auto"/>
              <w:jc w:val="center"/>
            </w:pPr>
            <w:r>
              <w:t>20 346</w:t>
            </w:r>
          </w:p>
        </w:tc>
        <w:tc>
          <w:tcPr>
            <w:tcW w:w="1843" w:type="dxa"/>
            <w:tcBorders>
              <w:left w:val="single" w:sz="4" w:space="0" w:color="auto"/>
              <w:right w:val="single" w:sz="4" w:space="0" w:color="auto"/>
            </w:tcBorders>
          </w:tcPr>
          <w:p w:rsidR="00000000" w:rsidRDefault="00000000">
            <w:pPr>
              <w:pStyle w:val="FootnoteText"/>
              <w:tabs>
                <w:tab w:val="left" w:pos="5103"/>
              </w:tabs>
              <w:spacing w:line="288" w:lineRule="auto"/>
              <w:jc w:val="center"/>
            </w:pPr>
            <w:r>
              <w:t>12 500</w:t>
            </w:r>
          </w:p>
        </w:tc>
        <w:tc>
          <w:tcPr>
            <w:tcW w:w="1807" w:type="dxa"/>
            <w:tcBorders>
              <w:left w:val="single" w:sz="4" w:space="0" w:color="auto"/>
              <w:right w:val="single" w:sz="4" w:space="0" w:color="auto"/>
            </w:tcBorders>
          </w:tcPr>
          <w:p w:rsidR="00000000" w:rsidRDefault="00000000">
            <w:pPr>
              <w:pStyle w:val="FootnoteText"/>
              <w:tabs>
                <w:tab w:val="left" w:pos="5103"/>
              </w:tabs>
              <w:spacing w:line="288" w:lineRule="auto"/>
              <w:jc w:val="center"/>
            </w:pPr>
            <w:r>
              <w:t>10 000</w:t>
            </w:r>
          </w:p>
        </w:tc>
      </w:tr>
      <w:tr w:rsidR="00000000">
        <w:tblPrEx>
          <w:tblCellMar>
            <w:top w:w="0" w:type="dxa"/>
            <w:bottom w:w="0" w:type="dxa"/>
          </w:tblCellMar>
        </w:tblPrEx>
        <w:tc>
          <w:tcPr>
            <w:tcW w:w="2660" w:type="dxa"/>
            <w:tcBorders>
              <w:left w:val="single" w:sz="4" w:space="0" w:color="auto"/>
              <w:right w:val="single" w:sz="4" w:space="0" w:color="auto"/>
            </w:tcBorders>
          </w:tcPr>
          <w:p w:rsidR="00000000" w:rsidRDefault="00000000">
            <w:pPr>
              <w:pStyle w:val="FootnoteText"/>
              <w:tabs>
                <w:tab w:val="left" w:pos="5103"/>
              </w:tabs>
              <w:spacing w:line="288" w:lineRule="auto"/>
            </w:pPr>
            <w:proofErr w:type="spellStart"/>
            <w:r>
              <w:t>Несубсидируемое</w:t>
            </w:r>
            <w:proofErr w:type="spellEnd"/>
          </w:p>
          <w:p w:rsidR="00000000" w:rsidRDefault="00000000">
            <w:pPr>
              <w:pStyle w:val="FootnoteText"/>
              <w:tabs>
                <w:tab w:val="left" w:pos="5103"/>
              </w:tabs>
              <w:spacing w:line="288" w:lineRule="auto"/>
            </w:pPr>
            <w:r>
              <w:t xml:space="preserve">   жилье</w:t>
            </w:r>
          </w:p>
        </w:tc>
        <w:tc>
          <w:tcPr>
            <w:tcW w:w="1559" w:type="dxa"/>
            <w:tcBorders>
              <w:left w:val="single" w:sz="4" w:space="0" w:color="auto"/>
              <w:right w:val="single" w:sz="4" w:space="0" w:color="auto"/>
            </w:tcBorders>
          </w:tcPr>
          <w:p w:rsidR="00000000" w:rsidRDefault="00000000">
            <w:pPr>
              <w:pStyle w:val="FootnoteText"/>
              <w:tabs>
                <w:tab w:val="left" w:pos="5103"/>
              </w:tabs>
              <w:spacing w:line="288" w:lineRule="auto"/>
              <w:jc w:val="center"/>
            </w:pPr>
            <w:r>
              <w:t>4 700</w:t>
            </w:r>
          </w:p>
        </w:tc>
        <w:tc>
          <w:tcPr>
            <w:tcW w:w="1701" w:type="dxa"/>
            <w:tcBorders>
              <w:left w:val="single" w:sz="4" w:space="0" w:color="auto"/>
              <w:right w:val="single" w:sz="4" w:space="0" w:color="auto"/>
            </w:tcBorders>
          </w:tcPr>
          <w:p w:rsidR="00000000" w:rsidRDefault="00000000">
            <w:pPr>
              <w:pStyle w:val="FootnoteText"/>
              <w:tabs>
                <w:tab w:val="left" w:pos="5103"/>
              </w:tabs>
              <w:spacing w:line="288" w:lineRule="auto"/>
              <w:jc w:val="center"/>
            </w:pPr>
            <w:r>
              <w:t>10 000</w:t>
            </w:r>
          </w:p>
        </w:tc>
        <w:tc>
          <w:tcPr>
            <w:tcW w:w="1843" w:type="dxa"/>
            <w:tcBorders>
              <w:left w:val="single" w:sz="4" w:space="0" w:color="auto"/>
              <w:right w:val="single" w:sz="4" w:space="0" w:color="auto"/>
            </w:tcBorders>
          </w:tcPr>
          <w:p w:rsidR="00000000" w:rsidRDefault="00000000">
            <w:pPr>
              <w:pStyle w:val="FootnoteText"/>
              <w:tabs>
                <w:tab w:val="left" w:pos="5103"/>
              </w:tabs>
              <w:spacing w:line="288" w:lineRule="auto"/>
              <w:jc w:val="center"/>
            </w:pPr>
            <w:r>
              <w:t>17 500</w:t>
            </w:r>
          </w:p>
        </w:tc>
        <w:tc>
          <w:tcPr>
            <w:tcW w:w="1807" w:type="dxa"/>
            <w:tcBorders>
              <w:left w:val="single" w:sz="4" w:space="0" w:color="auto"/>
              <w:right w:val="single" w:sz="4" w:space="0" w:color="auto"/>
            </w:tcBorders>
          </w:tcPr>
          <w:p w:rsidR="00000000" w:rsidRDefault="00000000">
            <w:pPr>
              <w:pStyle w:val="FootnoteText"/>
              <w:tabs>
                <w:tab w:val="left" w:pos="5103"/>
              </w:tabs>
              <w:spacing w:line="288" w:lineRule="auto"/>
              <w:jc w:val="center"/>
            </w:pPr>
            <w:r>
              <w:t>21 500</w:t>
            </w:r>
          </w:p>
        </w:tc>
      </w:tr>
      <w:tr w:rsidR="00000000">
        <w:tblPrEx>
          <w:tblCellMar>
            <w:top w:w="0" w:type="dxa"/>
            <w:bottom w:w="0" w:type="dxa"/>
          </w:tblCellMar>
        </w:tblPrEx>
        <w:tc>
          <w:tcPr>
            <w:tcW w:w="2660" w:type="dxa"/>
            <w:tcBorders>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pPr>
            <w:r>
              <w:t>Реконструкция,</w:t>
            </w:r>
          </w:p>
          <w:p w:rsidR="00000000" w:rsidRDefault="00000000">
            <w:pPr>
              <w:pStyle w:val="FootnoteText"/>
              <w:tabs>
                <w:tab w:val="left" w:pos="5103"/>
              </w:tabs>
              <w:spacing w:line="288" w:lineRule="auto"/>
            </w:pPr>
            <w:r>
              <w:t xml:space="preserve">   субсидируемая</w:t>
            </w:r>
          </w:p>
          <w:p w:rsidR="00000000" w:rsidRDefault="00000000">
            <w:pPr>
              <w:pStyle w:val="FootnoteText"/>
              <w:tabs>
                <w:tab w:val="left" w:pos="5103"/>
              </w:tabs>
              <w:spacing w:line="288" w:lineRule="auto"/>
            </w:pPr>
            <w:r>
              <w:t xml:space="preserve">   государством</w:t>
            </w:r>
          </w:p>
        </w:tc>
        <w:tc>
          <w:tcPr>
            <w:tcW w:w="1559" w:type="dxa"/>
            <w:tcBorders>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jc w:val="center"/>
            </w:pPr>
            <w:r>
              <w:t>23 162</w:t>
            </w:r>
          </w:p>
        </w:tc>
        <w:tc>
          <w:tcPr>
            <w:tcW w:w="1701" w:type="dxa"/>
            <w:tcBorders>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jc w:val="center"/>
            </w:pPr>
            <w:r>
              <w:t>24 248</w:t>
            </w:r>
          </w:p>
        </w:tc>
        <w:tc>
          <w:tcPr>
            <w:tcW w:w="1843" w:type="dxa"/>
            <w:tcBorders>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jc w:val="center"/>
            </w:pPr>
            <w:r>
              <w:t>9 300</w:t>
            </w:r>
          </w:p>
        </w:tc>
        <w:tc>
          <w:tcPr>
            <w:tcW w:w="1807" w:type="dxa"/>
            <w:tcBorders>
              <w:left w:val="single" w:sz="4" w:space="0" w:color="auto"/>
              <w:bottom w:val="single" w:sz="4" w:space="0" w:color="auto"/>
              <w:right w:val="single" w:sz="4" w:space="0" w:color="auto"/>
            </w:tcBorders>
          </w:tcPr>
          <w:p w:rsidR="00000000" w:rsidRDefault="00000000">
            <w:pPr>
              <w:pStyle w:val="FootnoteText"/>
              <w:tabs>
                <w:tab w:val="left" w:pos="5103"/>
              </w:tabs>
              <w:spacing w:line="288" w:lineRule="auto"/>
              <w:jc w:val="center"/>
            </w:pPr>
            <w:r>
              <w:t>5 900</w:t>
            </w:r>
          </w:p>
        </w:tc>
      </w:tr>
    </w:tbl>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ab/>
      </w:r>
      <w:r>
        <w:rPr>
          <w:u w:val="single"/>
        </w:rPr>
        <w:t>Примечание</w:t>
      </w:r>
      <w:r>
        <w:t>:  Цифры за 1999 год являются оценками.  Под строительством субсидируемого государством жилья понимается в первую очередь социальное жилье, а также значительная часть реконструируемого социального жилья, субсидируемого государством.</w:t>
      </w:r>
    </w:p>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rPr>
          <w:u w:val="single"/>
        </w:rPr>
      </w:pPr>
      <w:r>
        <w:tab/>
      </w:r>
      <w:proofErr w:type="spellStart"/>
      <w:r>
        <w:t>iii</w:t>
      </w:r>
      <w:proofErr w:type="spellEnd"/>
      <w:r>
        <w:t>)</w:t>
      </w:r>
      <w:r>
        <w:tab/>
      </w:r>
      <w:r>
        <w:rPr>
          <w:u w:val="single"/>
        </w:rPr>
        <w:t>Государственное финансирование</w:t>
      </w:r>
    </w:p>
    <w:p w:rsidR="00000000" w:rsidRDefault="00000000">
      <w:pPr>
        <w:pStyle w:val="FootnoteText"/>
        <w:tabs>
          <w:tab w:val="left" w:pos="5103"/>
        </w:tabs>
        <w:spacing w:line="288" w:lineRule="auto"/>
        <w:jc w:val="center"/>
        <w:rPr>
          <w:i/>
        </w:rPr>
      </w:pPr>
    </w:p>
    <w:p w:rsidR="00000000" w:rsidRDefault="00000000">
      <w:pPr>
        <w:pStyle w:val="FootnoteText"/>
        <w:tabs>
          <w:tab w:val="left" w:pos="5103"/>
        </w:tabs>
        <w:spacing w:line="288" w:lineRule="auto"/>
        <w:ind w:left="2268" w:hanging="2268"/>
        <w:rPr>
          <w:b/>
          <w:i/>
          <w:u w:val="single"/>
        </w:rPr>
      </w:pPr>
      <w:r>
        <w:tab/>
        <w:t>Таблица 5</w:t>
      </w:r>
      <w:r>
        <w:rPr>
          <w:i/>
        </w:rPr>
        <w:t>.</w:t>
      </w:r>
      <w:r>
        <w:rPr>
          <w:i/>
        </w:rPr>
        <w:tab/>
      </w:r>
      <w:r>
        <w:rPr>
          <w:i/>
        </w:rPr>
        <w:tab/>
      </w:r>
      <w:r>
        <w:rPr>
          <w:u w:val="single"/>
        </w:rPr>
        <w:t>Расходы на жилищные пособия и другие жилищные субсидии в 1997 году</w:t>
      </w:r>
    </w:p>
    <w:p w:rsidR="00000000" w:rsidRDefault="00000000">
      <w:pPr>
        <w:pStyle w:val="FootnoteText"/>
        <w:tabs>
          <w:tab w:val="left" w:pos="5103"/>
        </w:tabs>
        <w:spacing w:line="288" w:lineRule="auto"/>
        <w:jc w:val="center"/>
        <w:rPr>
          <w:b/>
          <w:i/>
          <w:u w:val="single"/>
        </w:rPr>
      </w:pPr>
    </w:p>
    <w:tbl>
      <w:tblPr>
        <w:tblW w:w="0" w:type="auto"/>
        <w:tblInd w:w="3" w:type="dxa"/>
        <w:tblLayout w:type="fixed"/>
        <w:tblLook w:val="0000" w:firstRow="0" w:lastRow="0" w:firstColumn="0" w:lastColumn="0" w:noHBand="0" w:noVBand="0"/>
      </w:tblPr>
      <w:tblGrid>
        <w:gridCol w:w="6521"/>
        <w:gridCol w:w="2940"/>
      </w:tblGrid>
      <w:tr w:rsidR="00000000">
        <w:tblPrEx>
          <w:tblCellMar>
            <w:top w:w="0" w:type="dxa"/>
            <w:bottom w:w="0" w:type="dxa"/>
          </w:tblCellMar>
        </w:tblPrEx>
        <w:tc>
          <w:tcPr>
            <w:tcW w:w="6521" w:type="dxa"/>
            <w:tcBorders>
              <w:top w:val="single" w:sz="4" w:space="0" w:color="auto"/>
              <w:left w:val="single" w:sz="4" w:space="0" w:color="auto"/>
              <w:right w:val="single" w:sz="4" w:space="0" w:color="auto"/>
            </w:tcBorders>
          </w:tcPr>
          <w:p w:rsidR="00000000" w:rsidRDefault="00000000">
            <w:pPr>
              <w:pStyle w:val="FootnoteText"/>
              <w:tabs>
                <w:tab w:val="left" w:pos="5103"/>
              </w:tabs>
              <w:spacing w:line="216" w:lineRule="auto"/>
            </w:pPr>
            <w:r>
              <w:t>Жилищные пособия (общецелевые, пособия студентам, пенсионерам)</w:t>
            </w:r>
          </w:p>
          <w:p w:rsidR="00000000" w:rsidRDefault="00000000">
            <w:pPr>
              <w:pStyle w:val="FootnoteText"/>
              <w:tabs>
                <w:tab w:val="left" w:pos="5103"/>
              </w:tabs>
              <w:spacing w:line="216" w:lineRule="auto"/>
            </w:pPr>
          </w:p>
        </w:tc>
        <w:tc>
          <w:tcPr>
            <w:tcW w:w="2940" w:type="dxa"/>
            <w:tcBorders>
              <w:top w:val="single" w:sz="4" w:space="0" w:color="auto"/>
              <w:left w:val="single" w:sz="4" w:space="0" w:color="auto"/>
              <w:right w:val="single" w:sz="4" w:space="0" w:color="auto"/>
            </w:tcBorders>
          </w:tcPr>
          <w:p w:rsidR="00000000" w:rsidRDefault="00000000">
            <w:pPr>
              <w:pStyle w:val="FootnoteText"/>
              <w:tabs>
                <w:tab w:val="left" w:pos="5103"/>
              </w:tabs>
              <w:spacing w:line="216" w:lineRule="auto"/>
              <w:jc w:val="center"/>
            </w:pPr>
            <w:r>
              <w:t>3 905 млн. фин. марок</w:t>
            </w:r>
          </w:p>
        </w:tc>
      </w:tr>
      <w:tr w:rsidR="00000000">
        <w:tblPrEx>
          <w:tblCellMar>
            <w:top w:w="0" w:type="dxa"/>
            <w:bottom w:w="0" w:type="dxa"/>
          </w:tblCellMar>
        </w:tblPrEx>
        <w:tc>
          <w:tcPr>
            <w:tcW w:w="6521" w:type="dxa"/>
            <w:tcBorders>
              <w:left w:val="single" w:sz="4" w:space="0" w:color="auto"/>
              <w:right w:val="single" w:sz="4" w:space="0" w:color="auto"/>
            </w:tcBorders>
          </w:tcPr>
          <w:p w:rsidR="00000000" w:rsidRDefault="00000000">
            <w:pPr>
              <w:pStyle w:val="FootnoteText"/>
              <w:tabs>
                <w:tab w:val="left" w:pos="5103"/>
              </w:tabs>
              <w:spacing w:line="216" w:lineRule="auto"/>
            </w:pPr>
            <w:r>
              <w:t>Ипотечные займы, субсидируемые государством</w:t>
            </w:r>
          </w:p>
          <w:p w:rsidR="00000000" w:rsidRDefault="00000000">
            <w:pPr>
              <w:pStyle w:val="FootnoteText"/>
              <w:tabs>
                <w:tab w:val="left" w:pos="5103"/>
              </w:tabs>
              <w:spacing w:line="216" w:lineRule="auto"/>
            </w:pPr>
          </w:p>
        </w:tc>
        <w:tc>
          <w:tcPr>
            <w:tcW w:w="2940" w:type="dxa"/>
            <w:tcBorders>
              <w:left w:val="single" w:sz="4" w:space="0" w:color="auto"/>
              <w:right w:val="single" w:sz="4" w:space="0" w:color="auto"/>
            </w:tcBorders>
          </w:tcPr>
          <w:p w:rsidR="00000000" w:rsidRDefault="00000000">
            <w:pPr>
              <w:pStyle w:val="FootnoteText"/>
              <w:tabs>
                <w:tab w:val="left" w:pos="5103"/>
              </w:tabs>
              <w:spacing w:line="216" w:lineRule="auto"/>
              <w:jc w:val="center"/>
            </w:pPr>
            <w:r>
              <w:t>2 000 млн. фин. марок</w:t>
            </w:r>
          </w:p>
        </w:tc>
      </w:tr>
      <w:tr w:rsidR="00000000">
        <w:tblPrEx>
          <w:tblCellMar>
            <w:top w:w="0" w:type="dxa"/>
            <w:bottom w:w="0" w:type="dxa"/>
          </w:tblCellMar>
        </w:tblPrEx>
        <w:tc>
          <w:tcPr>
            <w:tcW w:w="6521" w:type="dxa"/>
            <w:tcBorders>
              <w:left w:val="single" w:sz="4" w:space="0" w:color="auto"/>
              <w:right w:val="single" w:sz="4" w:space="0" w:color="auto"/>
            </w:tcBorders>
          </w:tcPr>
          <w:p w:rsidR="00000000" w:rsidRDefault="00000000">
            <w:pPr>
              <w:pStyle w:val="FootnoteText"/>
              <w:tabs>
                <w:tab w:val="left" w:pos="5103"/>
              </w:tabs>
              <w:spacing w:line="216" w:lineRule="auto"/>
            </w:pPr>
            <w:r>
              <w:t>Государственное субсидирование процентов по ипотечным займам</w:t>
            </w:r>
          </w:p>
          <w:p w:rsidR="00000000" w:rsidRDefault="00000000">
            <w:pPr>
              <w:pStyle w:val="FootnoteText"/>
              <w:tabs>
                <w:tab w:val="left" w:pos="5103"/>
              </w:tabs>
              <w:spacing w:line="216" w:lineRule="auto"/>
            </w:pPr>
          </w:p>
        </w:tc>
        <w:tc>
          <w:tcPr>
            <w:tcW w:w="2940" w:type="dxa"/>
            <w:tcBorders>
              <w:left w:val="single" w:sz="4" w:space="0" w:color="auto"/>
              <w:right w:val="single" w:sz="4" w:space="0" w:color="auto"/>
            </w:tcBorders>
          </w:tcPr>
          <w:p w:rsidR="00000000" w:rsidRDefault="00000000">
            <w:pPr>
              <w:pStyle w:val="FootnoteText"/>
              <w:tabs>
                <w:tab w:val="left" w:pos="5103"/>
              </w:tabs>
              <w:spacing w:line="216" w:lineRule="auto"/>
              <w:jc w:val="center"/>
            </w:pPr>
            <w:r>
              <w:t>731 млн. фин. марок</w:t>
            </w:r>
          </w:p>
        </w:tc>
      </w:tr>
      <w:tr w:rsidR="00000000">
        <w:tblPrEx>
          <w:tblCellMar>
            <w:top w:w="0" w:type="dxa"/>
            <w:bottom w:w="0" w:type="dxa"/>
          </w:tblCellMar>
        </w:tblPrEx>
        <w:tc>
          <w:tcPr>
            <w:tcW w:w="6521" w:type="dxa"/>
            <w:tcBorders>
              <w:left w:val="single" w:sz="4" w:space="0" w:color="auto"/>
              <w:right w:val="single" w:sz="4" w:space="0" w:color="auto"/>
            </w:tcBorders>
          </w:tcPr>
          <w:p w:rsidR="00000000" w:rsidRDefault="00000000">
            <w:pPr>
              <w:pStyle w:val="FootnoteText"/>
              <w:tabs>
                <w:tab w:val="left" w:pos="5103"/>
              </w:tabs>
              <w:spacing w:line="216" w:lineRule="auto"/>
            </w:pPr>
            <w:r>
              <w:t>Прямые дотации</w:t>
            </w:r>
          </w:p>
          <w:p w:rsidR="00000000" w:rsidRDefault="00000000">
            <w:pPr>
              <w:pStyle w:val="FootnoteText"/>
              <w:tabs>
                <w:tab w:val="left" w:pos="5103"/>
              </w:tabs>
              <w:spacing w:line="216" w:lineRule="auto"/>
            </w:pPr>
          </w:p>
        </w:tc>
        <w:tc>
          <w:tcPr>
            <w:tcW w:w="2940" w:type="dxa"/>
            <w:tcBorders>
              <w:left w:val="single" w:sz="4" w:space="0" w:color="auto"/>
              <w:right w:val="single" w:sz="4" w:space="0" w:color="auto"/>
            </w:tcBorders>
          </w:tcPr>
          <w:p w:rsidR="00000000" w:rsidRDefault="00000000">
            <w:pPr>
              <w:pStyle w:val="FootnoteText"/>
              <w:tabs>
                <w:tab w:val="left" w:pos="5103"/>
              </w:tabs>
              <w:spacing w:line="216" w:lineRule="auto"/>
              <w:jc w:val="center"/>
            </w:pPr>
            <w:r>
              <w:t>468 млн. фин. марок</w:t>
            </w:r>
          </w:p>
        </w:tc>
      </w:tr>
      <w:tr w:rsidR="00000000">
        <w:tblPrEx>
          <w:tblCellMar>
            <w:top w:w="0" w:type="dxa"/>
            <w:bottom w:w="0" w:type="dxa"/>
          </w:tblCellMar>
        </w:tblPrEx>
        <w:tc>
          <w:tcPr>
            <w:tcW w:w="6521" w:type="dxa"/>
            <w:tcBorders>
              <w:left w:val="single" w:sz="4" w:space="0" w:color="auto"/>
              <w:right w:val="single" w:sz="4" w:space="0" w:color="auto"/>
            </w:tcBorders>
          </w:tcPr>
          <w:p w:rsidR="00000000" w:rsidRDefault="00000000">
            <w:pPr>
              <w:pStyle w:val="FootnoteText"/>
              <w:tabs>
                <w:tab w:val="left" w:pos="5103"/>
              </w:tabs>
              <w:spacing w:line="216" w:lineRule="auto"/>
            </w:pPr>
            <w:r>
              <w:t>Налоговые льготы в связи с ипотечными займами</w:t>
            </w:r>
          </w:p>
          <w:p w:rsidR="00000000" w:rsidRDefault="00000000">
            <w:pPr>
              <w:pStyle w:val="FootnoteText"/>
              <w:tabs>
                <w:tab w:val="left" w:pos="5103"/>
              </w:tabs>
              <w:spacing w:line="216" w:lineRule="auto"/>
            </w:pPr>
          </w:p>
        </w:tc>
        <w:tc>
          <w:tcPr>
            <w:tcW w:w="2940" w:type="dxa"/>
            <w:tcBorders>
              <w:left w:val="single" w:sz="4" w:space="0" w:color="auto"/>
              <w:right w:val="single" w:sz="4" w:space="0" w:color="auto"/>
            </w:tcBorders>
          </w:tcPr>
          <w:p w:rsidR="00000000" w:rsidRDefault="00000000">
            <w:pPr>
              <w:pStyle w:val="FootnoteText"/>
              <w:tabs>
                <w:tab w:val="left" w:pos="5103"/>
              </w:tabs>
              <w:spacing w:line="216" w:lineRule="auto"/>
              <w:jc w:val="center"/>
            </w:pPr>
            <w:r>
              <w:t>2 300 млн. фин. марок</w:t>
            </w:r>
          </w:p>
        </w:tc>
      </w:tr>
      <w:tr w:rsidR="00000000">
        <w:tblPrEx>
          <w:tblCellMar>
            <w:top w:w="0" w:type="dxa"/>
            <w:bottom w:w="0" w:type="dxa"/>
          </w:tblCellMar>
        </w:tblPrEx>
        <w:tc>
          <w:tcPr>
            <w:tcW w:w="6521"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103"/>
              </w:tabs>
              <w:spacing w:line="216" w:lineRule="auto"/>
            </w:pPr>
            <w:r>
              <w:t>Всего</w:t>
            </w:r>
          </w:p>
        </w:tc>
        <w:tc>
          <w:tcPr>
            <w:tcW w:w="294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103"/>
              </w:tabs>
              <w:spacing w:line="216" w:lineRule="auto"/>
              <w:jc w:val="center"/>
            </w:pPr>
            <w:r>
              <w:t>9 404 млн. фин. марок</w:t>
            </w:r>
          </w:p>
          <w:p w:rsidR="00000000" w:rsidRDefault="00000000">
            <w:pPr>
              <w:pStyle w:val="FootnoteText"/>
              <w:tabs>
                <w:tab w:val="left" w:pos="5103"/>
              </w:tabs>
              <w:spacing w:line="216" w:lineRule="auto"/>
              <w:jc w:val="center"/>
            </w:pPr>
          </w:p>
        </w:tc>
      </w:tr>
    </w:tbl>
    <w:p w:rsidR="00000000" w:rsidRDefault="00000000">
      <w:pPr>
        <w:pStyle w:val="FootnoteText"/>
        <w:tabs>
          <w:tab w:val="left" w:pos="5103"/>
        </w:tabs>
        <w:spacing w:line="288" w:lineRule="auto"/>
      </w:pPr>
    </w:p>
    <w:p w:rsidR="00000000" w:rsidRDefault="00000000">
      <w:pPr>
        <w:pStyle w:val="FootnoteText"/>
        <w:tabs>
          <w:tab w:val="left" w:pos="5103"/>
        </w:tabs>
        <w:spacing w:line="288" w:lineRule="auto"/>
      </w:pPr>
      <w:r>
        <w:t>308.</w:t>
      </w:r>
      <w:r>
        <w:tab/>
        <w:t>В 1997 году общая сумма жилищных субсидий составила 622,1 млрд. фин. марок, т.е. 1,5% от ВВП.</w:t>
      </w:r>
    </w:p>
    <w:p w:rsidR="00000000" w:rsidRDefault="00000000">
      <w:pPr>
        <w:pStyle w:val="FootnoteText"/>
        <w:tabs>
          <w:tab w:val="left" w:pos="5103"/>
        </w:tabs>
        <w:spacing w:line="288" w:lineRule="auto"/>
      </w:pPr>
    </w:p>
    <w:p w:rsidR="00000000" w:rsidRDefault="00000000">
      <w:pPr>
        <w:jc w:val="center"/>
        <w:rPr>
          <w:u w:val="single"/>
        </w:rPr>
      </w:pPr>
      <w:r>
        <w:t>Таблица</w:t>
      </w:r>
      <w:r>
        <w:rPr>
          <w:i/>
        </w:rPr>
        <w:t xml:space="preserve"> </w:t>
      </w:r>
      <w:r>
        <w:t>6</w:t>
      </w:r>
      <w:r>
        <w:rPr>
          <w:i/>
        </w:rPr>
        <w:t xml:space="preserve">.  </w:t>
      </w:r>
      <w:r>
        <w:rPr>
          <w:u w:val="single"/>
        </w:rPr>
        <w:t>Субсидии на жилье и полномочия Государственного жилищного</w:t>
      </w:r>
    </w:p>
    <w:p w:rsidR="00000000" w:rsidRDefault="00000000">
      <w:pPr>
        <w:pStyle w:val="Heading7"/>
        <w:spacing w:line="288" w:lineRule="auto"/>
      </w:pPr>
      <w:r>
        <w:t>Фонда, 1996-1999 годы</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tbl>
      <w:tblPr>
        <w:tblW w:w="0" w:type="auto"/>
        <w:tblInd w:w="-106" w:type="dxa"/>
        <w:tblLayout w:type="fixed"/>
        <w:tblLook w:val="0000" w:firstRow="0" w:lastRow="0" w:firstColumn="0" w:lastColumn="0" w:noHBand="0" w:noVBand="0"/>
      </w:tblPr>
      <w:tblGrid>
        <w:gridCol w:w="4219"/>
        <w:gridCol w:w="1276"/>
        <w:gridCol w:w="1559"/>
        <w:gridCol w:w="1418"/>
        <w:gridCol w:w="1098"/>
      </w:tblGrid>
      <w:tr w:rsidR="00000000">
        <w:tblPrEx>
          <w:tblCellMar>
            <w:top w:w="0" w:type="dxa"/>
            <w:bottom w:w="0" w:type="dxa"/>
          </w:tblCellMar>
        </w:tblPrEx>
        <w:trPr>
          <w:trHeight w:val="510"/>
        </w:trPr>
        <w:tc>
          <w:tcPr>
            <w:tcW w:w="4219"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1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line="216" w:lineRule="auto"/>
              <w:jc w:val="center"/>
              <w:rPr>
                <w:i/>
                <w:sz w:val="20"/>
              </w:rPr>
            </w:pPr>
            <w:r>
              <w:rPr>
                <w:i/>
                <w:sz w:val="20"/>
              </w:rPr>
              <w:t>1996</w:t>
            </w:r>
          </w:p>
        </w:tc>
        <w:tc>
          <w:tcPr>
            <w:tcW w:w="15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 w:val="left" w:pos="1309"/>
              </w:tabs>
              <w:spacing w:line="216" w:lineRule="auto"/>
              <w:ind w:left="-250" w:right="317"/>
              <w:jc w:val="center"/>
              <w:rPr>
                <w:i/>
                <w:sz w:val="20"/>
              </w:rPr>
            </w:pPr>
            <w:r>
              <w:rPr>
                <w:i/>
                <w:sz w:val="20"/>
              </w:rPr>
              <w:t>1997</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i/>
                <w:sz w:val="20"/>
              </w:rPr>
            </w:pPr>
            <w:r>
              <w:rPr>
                <w:i/>
                <w:sz w:val="20"/>
              </w:rPr>
              <w:t>1998</w:t>
            </w:r>
          </w:p>
        </w:tc>
        <w:tc>
          <w:tcPr>
            <w:tcW w:w="109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i/>
                <w:sz w:val="20"/>
              </w:rPr>
            </w:pPr>
            <w:r>
              <w:rPr>
                <w:i/>
                <w:sz w:val="20"/>
              </w:rPr>
              <w:t>1999</w:t>
            </w: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pStyle w:val="FootnoteText"/>
              <w:spacing w:line="216" w:lineRule="auto"/>
              <w:rPr>
                <w:sz w:val="20"/>
              </w:rPr>
            </w:pPr>
            <w:r>
              <w:rPr>
                <w:sz w:val="20"/>
              </w:rPr>
              <w:t>Субсидии на жилье:</w:t>
            </w:r>
          </w:p>
        </w:tc>
        <w:tc>
          <w:tcPr>
            <w:tcW w:w="1276" w:type="dxa"/>
            <w:tcBorders>
              <w:left w:val="single" w:sz="4" w:space="0" w:color="auto"/>
              <w:right w:val="single" w:sz="4" w:space="0" w:color="auto"/>
            </w:tcBorders>
          </w:tcPr>
          <w:p w:rsidR="00000000" w:rsidRDefault="00000000">
            <w:pPr>
              <w:pStyle w:val="FootnoteText"/>
              <w:spacing w:line="216" w:lineRule="auto"/>
              <w:rPr>
                <w:sz w:val="20"/>
              </w:rPr>
            </w:pPr>
          </w:p>
        </w:tc>
        <w:tc>
          <w:tcPr>
            <w:tcW w:w="1559" w:type="dxa"/>
            <w:tcBorders>
              <w:left w:val="single" w:sz="4" w:space="0" w:color="auto"/>
              <w:right w:val="single" w:sz="4" w:space="0" w:color="auto"/>
            </w:tcBorders>
          </w:tcPr>
          <w:p w:rsidR="00000000" w:rsidRDefault="00000000">
            <w:pPr>
              <w:pStyle w:val="FootnoteText"/>
              <w:spacing w:line="216" w:lineRule="auto"/>
              <w:rPr>
                <w:sz w:val="20"/>
              </w:rPr>
            </w:pPr>
          </w:p>
        </w:tc>
        <w:tc>
          <w:tcPr>
            <w:tcW w:w="1418" w:type="dxa"/>
            <w:tcBorders>
              <w:left w:val="single" w:sz="4" w:space="0" w:color="auto"/>
              <w:right w:val="single" w:sz="4" w:space="0" w:color="auto"/>
            </w:tcBorders>
          </w:tcPr>
          <w:p w:rsidR="00000000" w:rsidRDefault="00000000">
            <w:pPr>
              <w:spacing w:line="216" w:lineRule="auto"/>
              <w:rPr>
                <w:sz w:val="20"/>
              </w:rPr>
            </w:pPr>
          </w:p>
        </w:tc>
        <w:tc>
          <w:tcPr>
            <w:tcW w:w="1098" w:type="dxa"/>
            <w:tcBorders>
              <w:left w:val="single" w:sz="4" w:space="0" w:color="auto"/>
              <w:right w:val="single" w:sz="4" w:space="0" w:color="auto"/>
            </w:tcBorders>
          </w:tcPr>
          <w:p w:rsidR="00000000" w:rsidRDefault="00000000">
            <w:pPr>
              <w:spacing w:line="216" w:lineRule="auto"/>
              <w:rPr>
                <w:sz w:val="20"/>
              </w:rPr>
            </w:pP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clear" w:pos="1134"/>
                <w:tab w:val="left" w:pos="851"/>
              </w:tabs>
              <w:spacing w:line="216" w:lineRule="auto"/>
              <w:ind w:left="284"/>
              <w:rPr>
                <w:sz w:val="20"/>
              </w:rPr>
            </w:pPr>
            <w:r>
              <w:rPr>
                <w:sz w:val="20"/>
              </w:rPr>
              <w:t>Общецелевые пособия на жилье</w:t>
            </w:r>
          </w:p>
        </w:tc>
        <w:tc>
          <w:tcPr>
            <w:tcW w:w="1276"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2 250</w:t>
            </w:r>
          </w:p>
        </w:tc>
        <w:tc>
          <w:tcPr>
            <w:tcW w:w="1559" w:type="dxa"/>
            <w:tcBorders>
              <w:left w:val="single" w:sz="4" w:space="0" w:color="auto"/>
              <w:right w:val="single" w:sz="4" w:space="0" w:color="auto"/>
            </w:tcBorders>
          </w:tcPr>
          <w:p w:rsidR="00000000" w:rsidRDefault="00000000">
            <w:pPr>
              <w:pStyle w:val="FootnoteText"/>
              <w:tabs>
                <w:tab w:val="clear" w:pos="567"/>
                <w:tab w:val="clear" w:pos="1134"/>
              </w:tabs>
              <w:spacing w:line="216" w:lineRule="auto"/>
              <w:ind w:right="317"/>
              <w:jc w:val="right"/>
              <w:rPr>
                <w:sz w:val="20"/>
              </w:rPr>
            </w:pPr>
            <w:r>
              <w:rPr>
                <w:sz w:val="20"/>
              </w:rPr>
              <w:t>2 120</w:t>
            </w:r>
          </w:p>
        </w:tc>
        <w:tc>
          <w:tcPr>
            <w:tcW w:w="141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2 300</w:t>
            </w:r>
          </w:p>
        </w:tc>
        <w:tc>
          <w:tcPr>
            <w:tcW w:w="109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2 470</w:t>
            </w: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clear" w:pos="1134"/>
                <w:tab w:val="left" w:pos="851"/>
              </w:tabs>
              <w:spacing w:line="216" w:lineRule="auto"/>
              <w:ind w:left="284"/>
              <w:rPr>
                <w:sz w:val="20"/>
              </w:rPr>
            </w:pPr>
            <w:r>
              <w:rPr>
                <w:sz w:val="20"/>
              </w:rPr>
              <w:t>Пособия на жилье для пенсионеров</w:t>
            </w:r>
          </w:p>
        </w:tc>
        <w:tc>
          <w:tcPr>
            <w:tcW w:w="1276"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1 112</w:t>
            </w:r>
          </w:p>
        </w:tc>
        <w:tc>
          <w:tcPr>
            <w:tcW w:w="1559" w:type="dxa"/>
            <w:tcBorders>
              <w:left w:val="single" w:sz="4" w:space="0" w:color="auto"/>
              <w:right w:val="single" w:sz="4" w:space="0" w:color="auto"/>
            </w:tcBorders>
          </w:tcPr>
          <w:p w:rsidR="00000000" w:rsidRDefault="00000000">
            <w:pPr>
              <w:pStyle w:val="FootnoteText"/>
              <w:tabs>
                <w:tab w:val="clear" w:pos="567"/>
                <w:tab w:val="clear" w:pos="1134"/>
              </w:tabs>
              <w:spacing w:line="216" w:lineRule="auto"/>
              <w:ind w:right="317"/>
              <w:jc w:val="right"/>
              <w:rPr>
                <w:sz w:val="20"/>
              </w:rPr>
            </w:pPr>
            <w:r>
              <w:rPr>
                <w:sz w:val="20"/>
              </w:rPr>
              <w:t>1 161</w:t>
            </w:r>
          </w:p>
        </w:tc>
        <w:tc>
          <w:tcPr>
            <w:tcW w:w="141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1 185</w:t>
            </w:r>
          </w:p>
        </w:tc>
        <w:tc>
          <w:tcPr>
            <w:tcW w:w="109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1 280</w:t>
            </w:r>
          </w:p>
        </w:tc>
      </w:tr>
      <w:tr w:rsidR="00000000">
        <w:tblPrEx>
          <w:tblCellMar>
            <w:top w:w="0" w:type="dxa"/>
            <w:bottom w:w="0" w:type="dxa"/>
          </w:tblCellMar>
        </w:tblPrEx>
        <w:trPr>
          <w:trHeight w:val="403"/>
        </w:trPr>
        <w:tc>
          <w:tcPr>
            <w:tcW w:w="4219" w:type="dxa"/>
            <w:tcBorders>
              <w:left w:val="single" w:sz="4" w:space="0" w:color="auto"/>
              <w:right w:val="single" w:sz="4" w:space="0" w:color="auto"/>
            </w:tcBorders>
          </w:tcPr>
          <w:p w:rsidR="00000000" w:rsidRDefault="00000000">
            <w:pPr>
              <w:tabs>
                <w:tab w:val="clear" w:pos="567"/>
                <w:tab w:val="clear" w:pos="1134"/>
                <w:tab w:val="left" w:pos="851"/>
              </w:tabs>
              <w:spacing w:line="216" w:lineRule="auto"/>
              <w:ind w:left="284"/>
              <w:rPr>
                <w:sz w:val="20"/>
              </w:rPr>
            </w:pPr>
            <w:r>
              <w:rPr>
                <w:sz w:val="20"/>
              </w:rPr>
              <w:t>Дотации на жилье для студентов</w:t>
            </w:r>
          </w:p>
        </w:tc>
        <w:tc>
          <w:tcPr>
            <w:tcW w:w="1276"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604</w:t>
            </w:r>
          </w:p>
        </w:tc>
        <w:tc>
          <w:tcPr>
            <w:tcW w:w="1559" w:type="dxa"/>
            <w:tcBorders>
              <w:left w:val="single" w:sz="4" w:space="0" w:color="auto"/>
              <w:right w:val="single" w:sz="4" w:space="0" w:color="auto"/>
            </w:tcBorders>
          </w:tcPr>
          <w:p w:rsidR="00000000" w:rsidRDefault="00000000">
            <w:pPr>
              <w:pStyle w:val="FootnoteText"/>
              <w:tabs>
                <w:tab w:val="clear" w:pos="567"/>
                <w:tab w:val="clear" w:pos="1134"/>
              </w:tabs>
              <w:spacing w:line="216" w:lineRule="auto"/>
              <w:ind w:right="317"/>
              <w:jc w:val="right"/>
              <w:rPr>
                <w:sz w:val="20"/>
              </w:rPr>
            </w:pPr>
            <w:r>
              <w:rPr>
                <w:sz w:val="20"/>
              </w:rPr>
              <w:t>622</w:t>
            </w:r>
          </w:p>
        </w:tc>
        <w:tc>
          <w:tcPr>
            <w:tcW w:w="141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674</w:t>
            </w:r>
          </w:p>
        </w:tc>
        <w:tc>
          <w:tcPr>
            <w:tcW w:w="109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660</w:t>
            </w: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clear" w:pos="1134"/>
                <w:tab w:val="left" w:pos="851"/>
              </w:tabs>
              <w:spacing w:line="216" w:lineRule="auto"/>
              <w:ind w:left="284"/>
              <w:rPr>
                <w:sz w:val="20"/>
              </w:rPr>
            </w:pPr>
            <w:r>
              <w:rPr>
                <w:sz w:val="20"/>
              </w:rPr>
              <w:t>Списание процентов по ипотечным</w:t>
            </w:r>
          </w:p>
          <w:p w:rsidR="00000000" w:rsidRDefault="00000000">
            <w:pPr>
              <w:tabs>
                <w:tab w:val="clear" w:pos="567"/>
                <w:tab w:val="clear" w:pos="1134"/>
                <w:tab w:val="left" w:pos="851"/>
              </w:tabs>
              <w:spacing w:line="216" w:lineRule="auto"/>
              <w:ind w:left="284"/>
              <w:rPr>
                <w:sz w:val="20"/>
              </w:rPr>
            </w:pPr>
            <w:r>
              <w:rPr>
                <w:sz w:val="20"/>
              </w:rPr>
              <w:t xml:space="preserve">  кредитам из облагаемых налогом</w:t>
            </w:r>
          </w:p>
          <w:p w:rsidR="00000000" w:rsidRDefault="00000000">
            <w:pPr>
              <w:tabs>
                <w:tab w:val="clear" w:pos="567"/>
                <w:tab w:val="clear" w:pos="1134"/>
                <w:tab w:val="left" w:pos="851"/>
              </w:tabs>
              <w:spacing w:line="216" w:lineRule="auto"/>
              <w:ind w:left="284"/>
              <w:rPr>
                <w:sz w:val="20"/>
              </w:rPr>
            </w:pPr>
            <w:r>
              <w:rPr>
                <w:sz w:val="20"/>
              </w:rPr>
              <w:t xml:space="preserve">  сумм </w:t>
            </w:r>
          </w:p>
        </w:tc>
        <w:tc>
          <w:tcPr>
            <w:tcW w:w="1276" w:type="dxa"/>
            <w:tcBorders>
              <w:left w:val="single" w:sz="4" w:space="0" w:color="auto"/>
              <w:right w:val="single" w:sz="4" w:space="0" w:color="auto"/>
            </w:tcBorders>
            <w:vAlign w:val="bottom"/>
          </w:tcPr>
          <w:p w:rsidR="00000000" w:rsidRDefault="00000000">
            <w:pPr>
              <w:tabs>
                <w:tab w:val="clear" w:pos="567"/>
                <w:tab w:val="clear" w:pos="1134"/>
              </w:tabs>
              <w:spacing w:line="216" w:lineRule="auto"/>
              <w:ind w:right="317"/>
              <w:jc w:val="right"/>
              <w:rPr>
                <w:sz w:val="20"/>
              </w:rPr>
            </w:pPr>
            <w:r>
              <w:rPr>
                <w:sz w:val="20"/>
              </w:rPr>
              <w:t>2 300</w:t>
            </w:r>
          </w:p>
        </w:tc>
        <w:tc>
          <w:tcPr>
            <w:tcW w:w="1559" w:type="dxa"/>
            <w:tcBorders>
              <w:left w:val="single" w:sz="4" w:space="0" w:color="auto"/>
              <w:right w:val="single" w:sz="4" w:space="0" w:color="auto"/>
            </w:tcBorders>
            <w:vAlign w:val="bottom"/>
          </w:tcPr>
          <w:p w:rsidR="00000000" w:rsidRDefault="00000000">
            <w:pPr>
              <w:pStyle w:val="FootnoteText"/>
              <w:tabs>
                <w:tab w:val="clear" w:pos="567"/>
                <w:tab w:val="clear" w:pos="1134"/>
              </w:tabs>
              <w:spacing w:line="216" w:lineRule="auto"/>
              <w:ind w:right="317"/>
              <w:jc w:val="right"/>
              <w:rPr>
                <w:sz w:val="20"/>
              </w:rPr>
            </w:pPr>
            <w:r>
              <w:rPr>
                <w:sz w:val="20"/>
              </w:rPr>
              <w:t>2 300</w:t>
            </w:r>
          </w:p>
        </w:tc>
        <w:tc>
          <w:tcPr>
            <w:tcW w:w="1418" w:type="dxa"/>
            <w:tcBorders>
              <w:left w:val="single" w:sz="4" w:space="0" w:color="auto"/>
              <w:right w:val="single" w:sz="4" w:space="0" w:color="auto"/>
            </w:tcBorders>
            <w:vAlign w:val="bottom"/>
          </w:tcPr>
          <w:p w:rsidR="00000000" w:rsidRDefault="00000000">
            <w:pPr>
              <w:tabs>
                <w:tab w:val="clear" w:pos="567"/>
                <w:tab w:val="clear" w:pos="1134"/>
              </w:tabs>
              <w:spacing w:line="216" w:lineRule="auto"/>
              <w:ind w:right="317"/>
              <w:jc w:val="right"/>
              <w:rPr>
                <w:sz w:val="20"/>
              </w:rPr>
            </w:pPr>
            <w:r>
              <w:rPr>
                <w:sz w:val="20"/>
              </w:rPr>
              <w:t>2 220</w:t>
            </w:r>
          </w:p>
        </w:tc>
        <w:tc>
          <w:tcPr>
            <w:tcW w:w="1098" w:type="dxa"/>
            <w:tcBorders>
              <w:left w:val="single" w:sz="4" w:space="0" w:color="auto"/>
              <w:right w:val="single" w:sz="4" w:space="0" w:color="auto"/>
            </w:tcBorders>
            <w:vAlign w:val="bottom"/>
          </w:tcPr>
          <w:p w:rsidR="00000000" w:rsidRDefault="00000000">
            <w:pPr>
              <w:tabs>
                <w:tab w:val="clear" w:pos="567"/>
                <w:tab w:val="clear" w:pos="1134"/>
              </w:tabs>
              <w:spacing w:line="216" w:lineRule="auto"/>
              <w:ind w:right="317"/>
              <w:jc w:val="right"/>
              <w:rPr>
                <w:sz w:val="20"/>
              </w:rPr>
            </w:pPr>
            <w:r>
              <w:rPr>
                <w:sz w:val="20"/>
              </w:rPr>
              <w:t>2 300</w:t>
            </w: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left" w:pos="284"/>
              </w:tabs>
              <w:spacing w:line="216" w:lineRule="auto"/>
              <w:ind w:left="284"/>
              <w:rPr>
                <w:sz w:val="20"/>
              </w:rPr>
            </w:pPr>
            <w:r>
              <w:rPr>
                <w:sz w:val="20"/>
              </w:rPr>
              <w:t>Полномочия государственного</w:t>
            </w:r>
          </w:p>
          <w:p w:rsidR="00000000" w:rsidRDefault="00000000">
            <w:pPr>
              <w:tabs>
                <w:tab w:val="clear" w:pos="567"/>
                <w:tab w:val="left" w:pos="284"/>
              </w:tabs>
              <w:spacing w:line="216" w:lineRule="auto"/>
              <w:ind w:left="284"/>
              <w:rPr>
                <w:sz w:val="20"/>
              </w:rPr>
            </w:pPr>
            <w:r>
              <w:rPr>
                <w:sz w:val="20"/>
              </w:rPr>
              <w:t xml:space="preserve">  жилищного фонда</w:t>
            </w:r>
          </w:p>
        </w:tc>
        <w:tc>
          <w:tcPr>
            <w:tcW w:w="1276"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p>
        </w:tc>
        <w:tc>
          <w:tcPr>
            <w:tcW w:w="1559" w:type="dxa"/>
            <w:tcBorders>
              <w:left w:val="single" w:sz="4" w:space="0" w:color="auto"/>
              <w:right w:val="single" w:sz="4" w:space="0" w:color="auto"/>
            </w:tcBorders>
          </w:tcPr>
          <w:p w:rsidR="00000000" w:rsidRDefault="00000000">
            <w:pPr>
              <w:pStyle w:val="FootnoteText"/>
              <w:tabs>
                <w:tab w:val="clear" w:pos="567"/>
                <w:tab w:val="clear" w:pos="1134"/>
              </w:tabs>
              <w:spacing w:line="216" w:lineRule="auto"/>
              <w:ind w:right="317"/>
              <w:jc w:val="right"/>
              <w:rPr>
                <w:sz w:val="20"/>
              </w:rPr>
            </w:pPr>
          </w:p>
        </w:tc>
        <w:tc>
          <w:tcPr>
            <w:tcW w:w="141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p>
        </w:tc>
        <w:tc>
          <w:tcPr>
            <w:tcW w:w="109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left" w:pos="284"/>
              </w:tabs>
              <w:spacing w:line="216" w:lineRule="auto"/>
              <w:ind w:left="284"/>
              <w:rPr>
                <w:sz w:val="20"/>
              </w:rPr>
            </w:pPr>
            <w:r>
              <w:rPr>
                <w:sz w:val="20"/>
              </w:rPr>
              <w:t>Предоставлять государственные</w:t>
            </w:r>
          </w:p>
          <w:p w:rsidR="00000000" w:rsidRDefault="00000000">
            <w:pPr>
              <w:tabs>
                <w:tab w:val="clear" w:pos="567"/>
                <w:tab w:val="left" w:pos="284"/>
              </w:tabs>
              <w:spacing w:line="216" w:lineRule="auto"/>
              <w:ind w:left="284"/>
              <w:rPr>
                <w:sz w:val="20"/>
              </w:rPr>
            </w:pPr>
            <w:r>
              <w:rPr>
                <w:sz w:val="20"/>
              </w:rPr>
              <w:t xml:space="preserve">  кредиты на жилье</w:t>
            </w:r>
          </w:p>
        </w:tc>
        <w:tc>
          <w:tcPr>
            <w:tcW w:w="1276"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p>
          <w:p w:rsidR="00000000" w:rsidRDefault="00000000">
            <w:pPr>
              <w:tabs>
                <w:tab w:val="clear" w:pos="567"/>
                <w:tab w:val="clear" w:pos="1134"/>
              </w:tabs>
              <w:spacing w:line="216" w:lineRule="auto"/>
              <w:ind w:right="317"/>
              <w:jc w:val="right"/>
              <w:rPr>
                <w:sz w:val="20"/>
              </w:rPr>
            </w:pPr>
            <w:r>
              <w:rPr>
                <w:sz w:val="20"/>
              </w:rPr>
              <w:t>4 185</w:t>
            </w:r>
          </w:p>
        </w:tc>
        <w:tc>
          <w:tcPr>
            <w:tcW w:w="1559" w:type="dxa"/>
            <w:tcBorders>
              <w:left w:val="single" w:sz="4" w:space="0" w:color="auto"/>
              <w:right w:val="single" w:sz="4" w:space="0" w:color="auto"/>
            </w:tcBorders>
          </w:tcPr>
          <w:p w:rsidR="00000000" w:rsidRDefault="00000000">
            <w:pPr>
              <w:pStyle w:val="FootnoteText"/>
              <w:tabs>
                <w:tab w:val="clear" w:pos="567"/>
                <w:tab w:val="clear" w:pos="1134"/>
              </w:tabs>
              <w:spacing w:line="216" w:lineRule="auto"/>
              <w:ind w:right="317"/>
              <w:jc w:val="right"/>
              <w:rPr>
                <w:sz w:val="20"/>
              </w:rPr>
            </w:pPr>
          </w:p>
          <w:p w:rsidR="00000000" w:rsidRDefault="00000000">
            <w:pPr>
              <w:pStyle w:val="FootnoteText"/>
              <w:tabs>
                <w:tab w:val="clear" w:pos="567"/>
                <w:tab w:val="clear" w:pos="1134"/>
              </w:tabs>
              <w:spacing w:line="216" w:lineRule="auto"/>
              <w:ind w:right="317"/>
              <w:jc w:val="right"/>
              <w:rPr>
                <w:sz w:val="20"/>
              </w:rPr>
            </w:pPr>
            <w:r>
              <w:rPr>
                <w:sz w:val="20"/>
              </w:rPr>
              <w:t>6 419</w:t>
            </w:r>
          </w:p>
        </w:tc>
        <w:tc>
          <w:tcPr>
            <w:tcW w:w="141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p>
          <w:p w:rsidR="00000000" w:rsidRDefault="00000000">
            <w:pPr>
              <w:tabs>
                <w:tab w:val="clear" w:pos="567"/>
                <w:tab w:val="clear" w:pos="1134"/>
              </w:tabs>
              <w:spacing w:line="216" w:lineRule="auto"/>
              <w:ind w:right="317"/>
              <w:jc w:val="right"/>
              <w:rPr>
                <w:sz w:val="20"/>
              </w:rPr>
            </w:pPr>
            <w:r>
              <w:rPr>
                <w:sz w:val="20"/>
              </w:rPr>
              <w:t>4 000</w:t>
            </w:r>
          </w:p>
        </w:tc>
        <w:tc>
          <w:tcPr>
            <w:tcW w:w="109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p>
          <w:p w:rsidR="00000000" w:rsidRDefault="00000000">
            <w:pPr>
              <w:tabs>
                <w:tab w:val="clear" w:pos="567"/>
                <w:tab w:val="clear" w:pos="1134"/>
              </w:tabs>
              <w:spacing w:line="216" w:lineRule="auto"/>
              <w:ind w:right="317"/>
              <w:jc w:val="right"/>
              <w:rPr>
                <w:sz w:val="20"/>
              </w:rPr>
            </w:pPr>
            <w:r>
              <w:rPr>
                <w:sz w:val="20"/>
              </w:rPr>
              <w:t>3 900</w:t>
            </w: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left" w:pos="284"/>
              </w:tabs>
              <w:spacing w:line="216" w:lineRule="auto"/>
              <w:ind w:left="284"/>
              <w:rPr>
                <w:sz w:val="20"/>
              </w:rPr>
            </w:pPr>
            <w:r>
              <w:rPr>
                <w:sz w:val="20"/>
              </w:rPr>
              <w:t>Утверждать кредиты под</w:t>
            </w:r>
          </w:p>
          <w:p w:rsidR="00000000" w:rsidRDefault="00000000">
            <w:pPr>
              <w:tabs>
                <w:tab w:val="clear" w:pos="567"/>
                <w:tab w:val="left" w:pos="284"/>
              </w:tabs>
              <w:spacing w:line="216" w:lineRule="auto"/>
              <w:ind w:left="284"/>
              <w:rPr>
                <w:sz w:val="20"/>
              </w:rPr>
            </w:pPr>
            <w:r>
              <w:rPr>
                <w:sz w:val="20"/>
              </w:rPr>
              <w:t xml:space="preserve">  субсидируемый процент</w:t>
            </w:r>
          </w:p>
        </w:tc>
        <w:tc>
          <w:tcPr>
            <w:tcW w:w="1276"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p>
          <w:p w:rsidR="00000000" w:rsidRDefault="00000000">
            <w:pPr>
              <w:tabs>
                <w:tab w:val="clear" w:pos="567"/>
                <w:tab w:val="clear" w:pos="1134"/>
              </w:tabs>
              <w:spacing w:line="216" w:lineRule="auto"/>
              <w:ind w:right="317"/>
              <w:jc w:val="right"/>
              <w:rPr>
                <w:sz w:val="20"/>
              </w:rPr>
            </w:pPr>
            <w:r>
              <w:rPr>
                <w:sz w:val="20"/>
              </w:rPr>
              <w:t>4 144</w:t>
            </w:r>
          </w:p>
        </w:tc>
        <w:tc>
          <w:tcPr>
            <w:tcW w:w="1559" w:type="dxa"/>
            <w:tcBorders>
              <w:left w:val="single" w:sz="4" w:space="0" w:color="auto"/>
              <w:right w:val="single" w:sz="4" w:space="0" w:color="auto"/>
            </w:tcBorders>
          </w:tcPr>
          <w:p w:rsidR="00000000" w:rsidRDefault="00000000">
            <w:pPr>
              <w:pStyle w:val="FootnoteText"/>
              <w:tabs>
                <w:tab w:val="clear" w:pos="567"/>
                <w:tab w:val="clear" w:pos="1134"/>
              </w:tabs>
              <w:spacing w:line="216" w:lineRule="auto"/>
              <w:ind w:right="317"/>
              <w:jc w:val="right"/>
              <w:rPr>
                <w:sz w:val="20"/>
              </w:rPr>
            </w:pPr>
          </w:p>
          <w:p w:rsidR="00000000" w:rsidRDefault="00000000">
            <w:pPr>
              <w:pStyle w:val="FootnoteText"/>
              <w:tabs>
                <w:tab w:val="clear" w:pos="567"/>
                <w:tab w:val="clear" w:pos="1134"/>
              </w:tabs>
              <w:spacing w:line="216" w:lineRule="auto"/>
              <w:ind w:right="317"/>
              <w:jc w:val="right"/>
              <w:rPr>
                <w:sz w:val="20"/>
              </w:rPr>
            </w:pPr>
            <w:r>
              <w:rPr>
                <w:sz w:val="20"/>
              </w:rPr>
              <w:t>4 872</w:t>
            </w:r>
          </w:p>
        </w:tc>
        <w:tc>
          <w:tcPr>
            <w:tcW w:w="141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p>
          <w:p w:rsidR="00000000" w:rsidRDefault="00000000">
            <w:pPr>
              <w:tabs>
                <w:tab w:val="clear" w:pos="567"/>
                <w:tab w:val="clear" w:pos="1134"/>
              </w:tabs>
              <w:spacing w:line="216" w:lineRule="auto"/>
              <w:ind w:right="317"/>
              <w:jc w:val="right"/>
              <w:rPr>
                <w:sz w:val="20"/>
              </w:rPr>
            </w:pPr>
            <w:r>
              <w:rPr>
                <w:sz w:val="20"/>
              </w:rPr>
              <w:t>3 500</w:t>
            </w:r>
          </w:p>
        </w:tc>
        <w:tc>
          <w:tcPr>
            <w:tcW w:w="109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p>
          <w:p w:rsidR="00000000" w:rsidRDefault="00000000">
            <w:pPr>
              <w:tabs>
                <w:tab w:val="clear" w:pos="567"/>
                <w:tab w:val="clear" w:pos="1134"/>
              </w:tabs>
              <w:spacing w:line="216" w:lineRule="auto"/>
              <w:ind w:right="317"/>
              <w:jc w:val="right"/>
              <w:rPr>
                <w:sz w:val="20"/>
              </w:rPr>
            </w:pPr>
            <w:r>
              <w:rPr>
                <w:sz w:val="20"/>
              </w:rPr>
              <w:t>3 000</w:t>
            </w: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left" w:pos="284"/>
              </w:tabs>
              <w:spacing w:line="216" w:lineRule="auto"/>
              <w:ind w:left="284"/>
              <w:rPr>
                <w:sz w:val="20"/>
              </w:rPr>
            </w:pPr>
            <w:r>
              <w:rPr>
                <w:sz w:val="20"/>
              </w:rPr>
              <w:t>Процентный бонус для участников</w:t>
            </w:r>
          </w:p>
          <w:p w:rsidR="00000000" w:rsidRDefault="00000000">
            <w:pPr>
              <w:tabs>
                <w:tab w:val="clear" w:pos="567"/>
                <w:tab w:val="left" w:pos="284"/>
              </w:tabs>
              <w:spacing w:line="216" w:lineRule="auto"/>
              <w:ind w:left="284"/>
              <w:rPr>
                <w:sz w:val="20"/>
              </w:rPr>
            </w:pPr>
            <w:r>
              <w:rPr>
                <w:sz w:val="20"/>
              </w:rPr>
              <w:t xml:space="preserve">  жилищных сберегательных</w:t>
            </w:r>
          </w:p>
          <w:p w:rsidR="00000000" w:rsidRDefault="00000000">
            <w:pPr>
              <w:tabs>
                <w:tab w:val="clear" w:pos="567"/>
                <w:tab w:val="left" w:pos="284"/>
              </w:tabs>
              <w:spacing w:line="216" w:lineRule="auto"/>
              <w:ind w:left="284"/>
              <w:rPr>
                <w:sz w:val="20"/>
              </w:rPr>
            </w:pPr>
            <w:r>
              <w:rPr>
                <w:sz w:val="20"/>
              </w:rPr>
              <w:t xml:space="preserve">  программ (АСП)</w:t>
            </w:r>
          </w:p>
        </w:tc>
        <w:tc>
          <w:tcPr>
            <w:tcW w:w="1276" w:type="dxa"/>
            <w:tcBorders>
              <w:left w:val="single" w:sz="4" w:space="0" w:color="auto"/>
              <w:right w:val="single" w:sz="4" w:space="0" w:color="auto"/>
            </w:tcBorders>
            <w:vAlign w:val="bottom"/>
          </w:tcPr>
          <w:p w:rsidR="00000000" w:rsidRDefault="00000000">
            <w:pPr>
              <w:tabs>
                <w:tab w:val="clear" w:pos="567"/>
                <w:tab w:val="clear" w:pos="1134"/>
              </w:tabs>
              <w:spacing w:line="216" w:lineRule="auto"/>
              <w:ind w:right="317"/>
              <w:jc w:val="right"/>
              <w:rPr>
                <w:sz w:val="20"/>
              </w:rPr>
            </w:pPr>
            <w:r>
              <w:rPr>
                <w:sz w:val="20"/>
              </w:rPr>
              <w:t>154</w:t>
            </w:r>
          </w:p>
        </w:tc>
        <w:tc>
          <w:tcPr>
            <w:tcW w:w="1559" w:type="dxa"/>
            <w:tcBorders>
              <w:left w:val="single" w:sz="4" w:space="0" w:color="auto"/>
              <w:right w:val="single" w:sz="4" w:space="0" w:color="auto"/>
            </w:tcBorders>
            <w:vAlign w:val="bottom"/>
          </w:tcPr>
          <w:p w:rsidR="00000000" w:rsidRDefault="00000000">
            <w:pPr>
              <w:pStyle w:val="FootnoteText"/>
              <w:tabs>
                <w:tab w:val="clear" w:pos="567"/>
                <w:tab w:val="clear" w:pos="1134"/>
              </w:tabs>
              <w:spacing w:line="216" w:lineRule="auto"/>
              <w:ind w:right="317"/>
              <w:jc w:val="right"/>
              <w:rPr>
                <w:sz w:val="20"/>
              </w:rPr>
            </w:pPr>
            <w:r>
              <w:rPr>
                <w:sz w:val="20"/>
              </w:rPr>
              <w:t>94</w:t>
            </w:r>
          </w:p>
        </w:tc>
        <w:tc>
          <w:tcPr>
            <w:tcW w:w="1418" w:type="dxa"/>
            <w:tcBorders>
              <w:left w:val="single" w:sz="4" w:space="0" w:color="auto"/>
              <w:right w:val="single" w:sz="4" w:space="0" w:color="auto"/>
            </w:tcBorders>
            <w:vAlign w:val="bottom"/>
          </w:tcPr>
          <w:p w:rsidR="00000000" w:rsidRDefault="00000000">
            <w:pPr>
              <w:tabs>
                <w:tab w:val="clear" w:pos="567"/>
                <w:tab w:val="clear" w:pos="1134"/>
              </w:tabs>
              <w:spacing w:line="216" w:lineRule="auto"/>
              <w:ind w:right="317"/>
              <w:jc w:val="right"/>
              <w:rPr>
                <w:sz w:val="20"/>
              </w:rPr>
            </w:pPr>
            <w:r>
              <w:rPr>
                <w:sz w:val="20"/>
              </w:rPr>
              <w:t>170</w:t>
            </w:r>
          </w:p>
        </w:tc>
        <w:tc>
          <w:tcPr>
            <w:tcW w:w="1098" w:type="dxa"/>
            <w:tcBorders>
              <w:left w:val="single" w:sz="4" w:space="0" w:color="auto"/>
              <w:right w:val="single" w:sz="4" w:space="0" w:color="auto"/>
            </w:tcBorders>
            <w:vAlign w:val="bottom"/>
          </w:tcPr>
          <w:p w:rsidR="00000000" w:rsidRDefault="00000000">
            <w:pPr>
              <w:tabs>
                <w:tab w:val="clear" w:pos="567"/>
                <w:tab w:val="clear" w:pos="1134"/>
              </w:tabs>
              <w:spacing w:line="216" w:lineRule="auto"/>
              <w:ind w:right="317"/>
              <w:jc w:val="right"/>
              <w:rPr>
                <w:sz w:val="20"/>
              </w:rPr>
            </w:pPr>
            <w:r>
              <w:rPr>
                <w:sz w:val="20"/>
              </w:rPr>
              <w:t>100</w:t>
            </w: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left" w:pos="284"/>
              </w:tabs>
              <w:spacing w:line="216" w:lineRule="auto"/>
              <w:ind w:left="284"/>
              <w:rPr>
                <w:sz w:val="20"/>
              </w:rPr>
            </w:pPr>
            <w:r>
              <w:rPr>
                <w:sz w:val="20"/>
              </w:rPr>
              <w:t>Другие формы субсидирования</w:t>
            </w:r>
          </w:p>
          <w:p w:rsidR="00000000" w:rsidRDefault="00000000">
            <w:pPr>
              <w:tabs>
                <w:tab w:val="clear" w:pos="567"/>
                <w:tab w:val="left" w:pos="284"/>
              </w:tabs>
              <w:spacing w:line="216" w:lineRule="auto"/>
              <w:ind w:left="284"/>
              <w:rPr>
                <w:sz w:val="20"/>
              </w:rPr>
            </w:pPr>
            <w:r>
              <w:rPr>
                <w:sz w:val="20"/>
              </w:rPr>
              <w:t xml:space="preserve">  процентов</w:t>
            </w:r>
          </w:p>
        </w:tc>
        <w:tc>
          <w:tcPr>
            <w:tcW w:w="1276" w:type="dxa"/>
            <w:tcBorders>
              <w:left w:val="single" w:sz="4" w:space="0" w:color="auto"/>
              <w:right w:val="single" w:sz="4" w:space="0" w:color="auto"/>
            </w:tcBorders>
            <w:vAlign w:val="bottom"/>
          </w:tcPr>
          <w:p w:rsidR="00000000" w:rsidRDefault="00000000">
            <w:pPr>
              <w:tabs>
                <w:tab w:val="clear" w:pos="567"/>
                <w:tab w:val="clear" w:pos="1134"/>
              </w:tabs>
              <w:spacing w:line="216" w:lineRule="auto"/>
              <w:ind w:right="317"/>
              <w:jc w:val="right"/>
              <w:rPr>
                <w:sz w:val="20"/>
              </w:rPr>
            </w:pPr>
            <w:r>
              <w:rPr>
                <w:sz w:val="20"/>
              </w:rPr>
              <w:t>71</w:t>
            </w:r>
          </w:p>
        </w:tc>
        <w:tc>
          <w:tcPr>
            <w:tcW w:w="1559" w:type="dxa"/>
            <w:tcBorders>
              <w:left w:val="single" w:sz="4" w:space="0" w:color="auto"/>
              <w:right w:val="single" w:sz="4" w:space="0" w:color="auto"/>
            </w:tcBorders>
            <w:vAlign w:val="bottom"/>
          </w:tcPr>
          <w:p w:rsidR="00000000" w:rsidRDefault="00000000">
            <w:pPr>
              <w:pStyle w:val="FootnoteText"/>
              <w:tabs>
                <w:tab w:val="clear" w:pos="567"/>
                <w:tab w:val="clear" w:pos="1134"/>
              </w:tabs>
              <w:spacing w:line="216" w:lineRule="auto"/>
              <w:ind w:right="317"/>
              <w:jc w:val="right"/>
              <w:rPr>
                <w:sz w:val="20"/>
              </w:rPr>
            </w:pPr>
            <w:r>
              <w:rPr>
                <w:sz w:val="20"/>
              </w:rPr>
              <w:t>40</w:t>
            </w:r>
          </w:p>
        </w:tc>
        <w:tc>
          <w:tcPr>
            <w:tcW w:w="1418" w:type="dxa"/>
            <w:tcBorders>
              <w:left w:val="single" w:sz="4" w:space="0" w:color="auto"/>
              <w:right w:val="single" w:sz="4" w:space="0" w:color="auto"/>
            </w:tcBorders>
            <w:vAlign w:val="bottom"/>
          </w:tcPr>
          <w:p w:rsidR="00000000" w:rsidRDefault="00000000">
            <w:pPr>
              <w:tabs>
                <w:tab w:val="clear" w:pos="567"/>
                <w:tab w:val="clear" w:pos="1134"/>
              </w:tabs>
              <w:spacing w:line="216" w:lineRule="auto"/>
              <w:ind w:right="317"/>
              <w:jc w:val="right"/>
              <w:rPr>
                <w:sz w:val="20"/>
              </w:rPr>
            </w:pPr>
            <w:r>
              <w:rPr>
                <w:sz w:val="20"/>
              </w:rPr>
              <w:t>5</w:t>
            </w:r>
          </w:p>
        </w:tc>
        <w:tc>
          <w:tcPr>
            <w:tcW w:w="1098" w:type="dxa"/>
            <w:tcBorders>
              <w:left w:val="single" w:sz="4" w:space="0" w:color="auto"/>
              <w:right w:val="single" w:sz="4" w:space="0" w:color="auto"/>
            </w:tcBorders>
            <w:vAlign w:val="bottom"/>
          </w:tcPr>
          <w:p w:rsidR="00000000" w:rsidRDefault="00000000">
            <w:pPr>
              <w:tabs>
                <w:tab w:val="clear" w:pos="567"/>
                <w:tab w:val="clear" w:pos="1134"/>
              </w:tabs>
              <w:spacing w:line="216" w:lineRule="auto"/>
              <w:ind w:right="317"/>
              <w:jc w:val="right"/>
              <w:rPr>
                <w:sz w:val="20"/>
              </w:rPr>
            </w:pPr>
            <w:r>
              <w:rPr>
                <w:sz w:val="20"/>
              </w:rPr>
              <w:t>3</w:t>
            </w: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left" w:pos="284"/>
              </w:tabs>
              <w:spacing w:line="216" w:lineRule="auto"/>
              <w:ind w:left="284"/>
              <w:rPr>
                <w:sz w:val="20"/>
              </w:rPr>
            </w:pPr>
            <w:r>
              <w:rPr>
                <w:sz w:val="20"/>
              </w:rPr>
              <w:t>Дотации на ремонт</w:t>
            </w:r>
          </w:p>
        </w:tc>
        <w:tc>
          <w:tcPr>
            <w:tcW w:w="1276"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530</w:t>
            </w:r>
          </w:p>
        </w:tc>
        <w:tc>
          <w:tcPr>
            <w:tcW w:w="1559" w:type="dxa"/>
            <w:tcBorders>
              <w:left w:val="single" w:sz="4" w:space="0" w:color="auto"/>
              <w:right w:val="single" w:sz="4" w:space="0" w:color="auto"/>
            </w:tcBorders>
          </w:tcPr>
          <w:p w:rsidR="00000000" w:rsidRDefault="00000000">
            <w:pPr>
              <w:pStyle w:val="FootnoteText"/>
              <w:tabs>
                <w:tab w:val="clear" w:pos="567"/>
                <w:tab w:val="clear" w:pos="1134"/>
              </w:tabs>
              <w:spacing w:line="216" w:lineRule="auto"/>
              <w:ind w:right="317"/>
              <w:jc w:val="right"/>
              <w:rPr>
                <w:sz w:val="20"/>
              </w:rPr>
            </w:pPr>
            <w:r>
              <w:rPr>
                <w:sz w:val="20"/>
              </w:rPr>
              <w:t>450</w:t>
            </w:r>
          </w:p>
        </w:tc>
        <w:tc>
          <w:tcPr>
            <w:tcW w:w="141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340</w:t>
            </w:r>
          </w:p>
        </w:tc>
        <w:tc>
          <w:tcPr>
            <w:tcW w:w="109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190</w:t>
            </w:r>
          </w:p>
        </w:tc>
      </w:tr>
      <w:tr w:rsidR="00000000">
        <w:tblPrEx>
          <w:tblCellMar>
            <w:top w:w="0" w:type="dxa"/>
            <w:bottom w:w="0" w:type="dxa"/>
          </w:tblCellMar>
        </w:tblPrEx>
        <w:tc>
          <w:tcPr>
            <w:tcW w:w="4219" w:type="dxa"/>
            <w:tcBorders>
              <w:left w:val="single" w:sz="4" w:space="0" w:color="auto"/>
              <w:right w:val="single" w:sz="4" w:space="0" w:color="auto"/>
            </w:tcBorders>
          </w:tcPr>
          <w:p w:rsidR="00000000" w:rsidRDefault="00000000">
            <w:pPr>
              <w:tabs>
                <w:tab w:val="clear" w:pos="567"/>
                <w:tab w:val="left" w:pos="284"/>
              </w:tabs>
              <w:spacing w:line="216" w:lineRule="auto"/>
              <w:ind w:left="284"/>
              <w:rPr>
                <w:sz w:val="20"/>
              </w:rPr>
            </w:pPr>
            <w:r>
              <w:rPr>
                <w:sz w:val="20"/>
              </w:rPr>
              <w:t>Дотации на аренду жилья</w:t>
            </w:r>
          </w:p>
        </w:tc>
        <w:tc>
          <w:tcPr>
            <w:tcW w:w="1276"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21</w:t>
            </w:r>
          </w:p>
        </w:tc>
        <w:tc>
          <w:tcPr>
            <w:tcW w:w="1559" w:type="dxa"/>
            <w:tcBorders>
              <w:left w:val="single" w:sz="4" w:space="0" w:color="auto"/>
              <w:right w:val="single" w:sz="4" w:space="0" w:color="auto"/>
            </w:tcBorders>
          </w:tcPr>
          <w:p w:rsidR="00000000" w:rsidRDefault="00000000">
            <w:pPr>
              <w:pStyle w:val="FootnoteText"/>
              <w:tabs>
                <w:tab w:val="clear" w:pos="567"/>
                <w:tab w:val="clear" w:pos="1134"/>
              </w:tabs>
              <w:spacing w:line="216" w:lineRule="auto"/>
              <w:ind w:right="317"/>
              <w:jc w:val="right"/>
              <w:rPr>
                <w:sz w:val="20"/>
              </w:rPr>
            </w:pPr>
            <w:r>
              <w:rPr>
                <w:sz w:val="20"/>
              </w:rPr>
              <w:t>10</w:t>
            </w:r>
          </w:p>
        </w:tc>
        <w:tc>
          <w:tcPr>
            <w:tcW w:w="141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23</w:t>
            </w:r>
          </w:p>
        </w:tc>
        <w:tc>
          <w:tcPr>
            <w:tcW w:w="1098" w:type="dxa"/>
            <w:tcBorders>
              <w:left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23</w:t>
            </w:r>
          </w:p>
        </w:tc>
      </w:tr>
      <w:tr w:rsidR="00000000">
        <w:tblPrEx>
          <w:tblCellMar>
            <w:top w:w="0" w:type="dxa"/>
            <w:bottom w:w="0" w:type="dxa"/>
          </w:tblCellMar>
        </w:tblPrEx>
        <w:tc>
          <w:tcPr>
            <w:tcW w:w="4219" w:type="dxa"/>
            <w:tcBorders>
              <w:left w:val="single" w:sz="4" w:space="0" w:color="auto"/>
              <w:bottom w:val="single" w:sz="4" w:space="0" w:color="auto"/>
              <w:right w:val="single" w:sz="4" w:space="0" w:color="auto"/>
            </w:tcBorders>
          </w:tcPr>
          <w:p w:rsidR="00000000" w:rsidRDefault="00000000">
            <w:pPr>
              <w:tabs>
                <w:tab w:val="clear" w:pos="567"/>
                <w:tab w:val="left" w:pos="284"/>
              </w:tabs>
              <w:spacing w:line="216" w:lineRule="auto"/>
              <w:ind w:left="284"/>
              <w:rPr>
                <w:sz w:val="20"/>
              </w:rPr>
            </w:pPr>
            <w:r>
              <w:rPr>
                <w:sz w:val="20"/>
              </w:rPr>
              <w:t>Дотации для бездомных и беженцев</w:t>
            </w:r>
          </w:p>
        </w:tc>
        <w:tc>
          <w:tcPr>
            <w:tcW w:w="1276" w:type="dxa"/>
            <w:tcBorders>
              <w:left w:val="single" w:sz="4" w:space="0" w:color="auto"/>
              <w:bottom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7</w:t>
            </w:r>
          </w:p>
        </w:tc>
        <w:tc>
          <w:tcPr>
            <w:tcW w:w="1559" w:type="dxa"/>
            <w:tcBorders>
              <w:left w:val="single" w:sz="4" w:space="0" w:color="auto"/>
              <w:bottom w:val="single" w:sz="4" w:space="0" w:color="auto"/>
              <w:right w:val="single" w:sz="4" w:space="0" w:color="auto"/>
            </w:tcBorders>
          </w:tcPr>
          <w:p w:rsidR="00000000" w:rsidRDefault="00000000">
            <w:pPr>
              <w:pStyle w:val="FootnoteText"/>
              <w:tabs>
                <w:tab w:val="clear" w:pos="567"/>
                <w:tab w:val="clear" w:pos="1134"/>
              </w:tabs>
              <w:spacing w:line="216" w:lineRule="auto"/>
              <w:ind w:right="317"/>
              <w:jc w:val="right"/>
              <w:rPr>
                <w:sz w:val="20"/>
              </w:rPr>
            </w:pPr>
            <w:r>
              <w:rPr>
                <w:sz w:val="20"/>
              </w:rPr>
              <w:t>8</w:t>
            </w:r>
          </w:p>
        </w:tc>
        <w:tc>
          <w:tcPr>
            <w:tcW w:w="1418" w:type="dxa"/>
            <w:tcBorders>
              <w:left w:val="single" w:sz="4" w:space="0" w:color="auto"/>
              <w:bottom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8</w:t>
            </w:r>
          </w:p>
        </w:tc>
        <w:tc>
          <w:tcPr>
            <w:tcW w:w="1098" w:type="dxa"/>
            <w:tcBorders>
              <w:left w:val="single" w:sz="4" w:space="0" w:color="auto"/>
              <w:bottom w:val="single" w:sz="4" w:space="0" w:color="auto"/>
              <w:right w:val="single" w:sz="4" w:space="0" w:color="auto"/>
            </w:tcBorders>
          </w:tcPr>
          <w:p w:rsidR="00000000" w:rsidRDefault="00000000">
            <w:pPr>
              <w:tabs>
                <w:tab w:val="clear" w:pos="567"/>
                <w:tab w:val="clear" w:pos="1134"/>
              </w:tabs>
              <w:spacing w:line="216" w:lineRule="auto"/>
              <w:ind w:right="317"/>
              <w:jc w:val="right"/>
              <w:rPr>
                <w:sz w:val="20"/>
              </w:rPr>
            </w:pPr>
            <w:r>
              <w:rPr>
                <w:sz w:val="20"/>
              </w:rPr>
              <w:t>15</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sz w:val="20"/>
        </w:rPr>
      </w:pPr>
    </w:p>
    <w:p w:rsidR="00000000" w:rsidRDefault="00000000">
      <w:r>
        <w:rPr>
          <w:u w:val="single"/>
        </w:rPr>
        <w:t>Примечание</w:t>
      </w:r>
      <w:r>
        <w:t xml:space="preserve">:  Доля Государственного жилищного фонда не включена, поскольку она выплачивается из отдельного фонда.  </w:t>
      </w:r>
    </w:p>
    <w:p w:rsidR="00000000" w:rsidRDefault="00000000"/>
    <w:p w:rsidR="00000000" w:rsidRDefault="00000000">
      <w:r>
        <w:tab/>
      </w:r>
      <w:proofErr w:type="spellStart"/>
      <w:r>
        <w:t>iv</w:t>
      </w:r>
      <w:proofErr w:type="spellEnd"/>
      <w:r>
        <w:t>)</w:t>
      </w:r>
      <w:r>
        <w:tab/>
      </w:r>
      <w:r>
        <w:rPr>
          <w:u w:val="single"/>
        </w:rPr>
        <w:t>Выселение</w:t>
      </w:r>
      <w:r>
        <w:t xml:space="preserve"> </w:t>
      </w:r>
    </w:p>
    <w:p w:rsidR="00000000" w:rsidRDefault="00000000"/>
    <w:p w:rsidR="00000000" w:rsidRDefault="00000000">
      <w:r>
        <w:t>309.</w:t>
      </w:r>
      <w:r>
        <w:tab/>
        <w:t>Согласно разделу 12 Конституции Финляндии, собственность, чьей бы она ни была, является неприкосновенной.  Выселение по соображениям общей необходимости и с полной компенсацией возможно лишь на основании закона.  Положения о выселении по соображениям общей необходимости закреплены, например, в Законе о выкупе недвижимой собственности и специальных правах, принятом в 1977 году.  Выселяемый владелец такой недвижимости имеет право на полную компенсацию в размере текущей стоимости имущества, причиненного вреда и компенсации ущерба.</w:t>
      </w:r>
    </w:p>
    <w:p w:rsidR="00000000" w:rsidRDefault="00000000"/>
    <w:p w:rsidR="00000000" w:rsidRDefault="00000000">
      <w:pPr>
        <w:rPr>
          <w:u w:val="single"/>
        </w:rPr>
      </w:pPr>
      <w:r>
        <w:t>3.</w:t>
      </w:r>
      <w:r>
        <w:tab/>
      </w:r>
      <w:proofErr w:type="spellStart"/>
      <w:r>
        <w:t>е</w:t>
      </w:r>
      <w:proofErr w:type="spellEnd"/>
      <w:r>
        <w:t>)</w:t>
      </w:r>
      <w:r>
        <w:tab/>
      </w:r>
      <w:r>
        <w:rPr>
          <w:u w:val="single"/>
        </w:rPr>
        <w:t>Негативные тенденции на рынке жилья</w:t>
      </w:r>
    </w:p>
    <w:p w:rsidR="00000000" w:rsidRDefault="00000000"/>
    <w:p w:rsidR="00000000" w:rsidRDefault="00000000">
      <w:r>
        <w:t>400.</w:t>
      </w:r>
      <w:r>
        <w:tab/>
        <w:t xml:space="preserve">В 90-х годах государство стало в меньшей степени поддерживать рынки сдаваемого в аренду и иного жилья, цены на которые были </w:t>
      </w:r>
      <w:proofErr w:type="spellStart"/>
      <w:r>
        <w:t>дерегулированы</w:t>
      </w:r>
      <w:proofErr w:type="spellEnd"/>
      <w:r>
        <w:t xml:space="preserve">.  1 мая 1995 года был упразднен контроль за арендной платой за все </w:t>
      </w:r>
      <w:proofErr w:type="spellStart"/>
      <w:r>
        <w:t>несубсидируемое</w:t>
      </w:r>
      <w:proofErr w:type="spellEnd"/>
      <w:r>
        <w:t xml:space="preserve"> жилье.  Контроль за арендной платой по-прежнему распространяется лишь на то жилье, которое финансировалось за счет ипотечных кредитов под низкий процент.  На протяжении 90</w:t>
      </w:r>
      <w:r>
        <w:noBreakHyphen/>
        <w:t>х годов размер арендной платы постоянно возрастал, причем этот рост был особенно быстрым в 1996-1998 годах.</w:t>
      </w:r>
    </w:p>
    <w:p w:rsidR="00000000" w:rsidRDefault="00000000"/>
    <w:p w:rsidR="00000000" w:rsidRDefault="00000000">
      <w:r>
        <w:t>401.</w:t>
      </w:r>
      <w:r>
        <w:tab/>
        <w:t>Арендовать дешевое жилье становится все труднее.  Количество людей, ищущих жилье, возросло, в первую очередь в городских районах, в то время как пороговый уровень расходов на жилье, дающий право на получение пособий, отстает от роста размера арендной платы.</w:t>
      </w:r>
    </w:p>
    <w:p w:rsidR="00000000" w:rsidRDefault="00000000"/>
    <w:p w:rsidR="00000000" w:rsidRDefault="00000000">
      <w:r>
        <w:t>402.</w:t>
      </w:r>
      <w:r>
        <w:tab/>
        <w:t xml:space="preserve">С 1995 года стоимость домов и квартир, находящихся во владении жильцов, быстро растет.  В городских районах среднегодовые темпы такого роста превышали 10%.  В других районах страны рост цен был более умеренным.  </w:t>
      </w:r>
    </w:p>
    <w:p w:rsidR="00000000" w:rsidRDefault="00000000"/>
    <w:p w:rsidR="00000000" w:rsidRDefault="00000000">
      <w:r>
        <w:t>4.</w:t>
      </w:r>
      <w:r>
        <w:tab/>
      </w:r>
      <w:r>
        <w:rPr>
          <w:u w:val="single"/>
        </w:rPr>
        <w:t>Особые трудности с обеспечением прожиточного минимума</w:t>
      </w:r>
    </w:p>
    <w:p w:rsidR="00000000" w:rsidRDefault="00000000"/>
    <w:p w:rsidR="00000000" w:rsidRDefault="00000000">
      <w:r>
        <w:t>403.</w:t>
      </w:r>
      <w:r>
        <w:tab/>
        <w:t>В обстановке недавнего экономического спада, продолжавшегося в течение отчетного периода, бюджетные расходы продолжали сокращаться.  Это повлияло на размер некоторых пособий, право на получение которых в Финляндии, как правило, рассматривается как основополагающее.</w:t>
      </w:r>
    </w:p>
    <w:p w:rsidR="00000000" w:rsidRDefault="00000000"/>
    <w:p w:rsidR="00000000" w:rsidRDefault="00000000">
      <w:r>
        <w:t>5.</w:t>
      </w:r>
      <w:r>
        <w:tab/>
      </w:r>
      <w:r>
        <w:rPr>
          <w:u w:val="single"/>
        </w:rPr>
        <w:t>Международная помощь</w:t>
      </w:r>
    </w:p>
    <w:p w:rsidR="00000000" w:rsidRDefault="00000000"/>
    <w:p w:rsidR="00000000" w:rsidRDefault="00000000">
      <w:r>
        <w:t>404.</w:t>
      </w:r>
      <w:r>
        <w:tab/>
        <w:t>С 1996 года Финляндия принимает активное участие в программе распределения продовольствия среди наиболее обездоленных лиц, которая финансируется ЕС.  В 1999 году Финляндия получила дотацию в размере 7 157 800 </w:t>
      </w:r>
      <w:proofErr w:type="spellStart"/>
      <w:r>
        <w:t>фин</w:t>
      </w:r>
      <w:proofErr w:type="spellEnd"/>
      <w:r>
        <w:t xml:space="preserve">. марок (в 1996 году дотация составила 13 135 400 </w:t>
      </w:r>
      <w:proofErr w:type="spellStart"/>
      <w:r>
        <w:t>фин</w:t>
      </w:r>
      <w:proofErr w:type="spellEnd"/>
      <w:r>
        <w:t xml:space="preserve">. марок).  Этим проектом руководит министерство сельского и лесного хозяйства.  Пособие идет на закупку продовольствия для нуждающихся, которое распределяется через благотворительные организации (16 различных организаций в 1998 году и церковные приходы). </w:t>
      </w:r>
    </w:p>
    <w:p w:rsidR="00000000" w:rsidRDefault="00000000"/>
    <w:p w:rsidR="00000000" w:rsidRDefault="00000000">
      <w:r>
        <w:t>405.</w:t>
      </w:r>
      <w:r>
        <w:tab/>
        <w:t xml:space="preserve">Поскольку в Финляндии прожиточный минимум, как правило, обеспечивается всем, распределение продовольственной помощи среди бедного населения привлекло к себе повышенное внимание, и в этой связи стали высказываться сомнения относительно того, действительно ли существует реальная потребность в такой помощи.  Однако участвующие в этой программе организации рассматривают ее как очень важную, особенно в районах, где безработица приняла массовый характер.  Министерство сельского и лесного хозяйства проинформировало Комиссию, что Финляндия готова вновь участвовать в проекте и в 2000 году.  </w:t>
      </w:r>
    </w:p>
    <w:p w:rsidR="00000000" w:rsidRDefault="00000000"/>
    <w:p w:rsidR="00000000" w:rsidRDefault="00000000">
      <w:pPr>
        <w:pStyle w:val="Heading8"/>
        <w:spacing w:line="288" w:lineRule="auto"/>
        <w:rPr>
          <w:b w:val="0"/>
          <w:u w:val="none"/>
        </w:rPr>
      </w:pPr>
      <w:r>
        <w:rPr>
          <w:b w:val="0"/>
        </w:rPr>
        <w:t>Статья 12</w:t>
      </w:r>
    </w:p>
    <w:p w:rsidR="00000000" w:rsidRDefault="00000000"/>
    <w:p w:rsidR="00000000" w:rsidRDefault="00000000">
      <w:r>
        <w:t>1.</w:t>
      </w:r>
      <w:r>
        <w:tab/>
      </w:r>
      <w:r>
        <w:rPr>
          <w:u w:val="single"/>
        </w:rPr>
        <w:t>Здоровье населения</w:t>
      </w:r>
      <w:r>
        <w:t xml:space="preserve"> </w:t>
      </w:r>
    </w:p>
    <w:p w:rsidR="00000000" w:rsidRDefault="00000000"/>
    <w:p w:rsidR="00000000" w:rsidRDefault="00000000">
      <w:r>
        <w:t>406.</w:t>
      </w:r>
      <w:r>
        <w:tab/>
        <w:t xml:space="preserve">См. третий доклад о ходе осуществления программы ВОЗ ("Здоровье для всех к 2000 году"), а также дополнения к нему, представленные Финляндией (Прогресс в обеспечении здоровья для всех в Финляндии и отдельные дополнения).  </w:t>
      </w:r>
    </w:p>
    <w:p w:rsidR="00000000" w:rsidRDefault="00000000"/>
    <w:p w:rsidR="00000000" w:rsidRDefault="00000000">
      <w:r>
        <w:t>407.</w:t>
      </w:r>
      <w:r>
        <w:tab/>
        <w:t>В последние годы в Финляндии наиболее распространенными были сердечно-сосудистые и раковые заболевания, болезни опорно-двигательного аппарата и психические расстройства.  Сегодня нередко встречаются и такие заболевания, как аллергия, хронические легочные заболевания и диабет.</w:t>
      </w:r>
    </w:p>
    <w:p w:rsidR="00000000" w:rsidRDefault="00000000"/>
    <w:p w:rsidR="00000000" w:rsidRDefault="00000000">
      <w:r>
        <w:t>408.</w:t>
      </w:r>
      <w:r>
        <w:tab/>
        <w:t>К числу основных сердечно-сосудистых заболеваний в Финляндии относятся ишемическая болезнь сердца, сердечная недостаточность и церебральная апоплексия.  Пятая часть всех финнов в возрасте свыше 30 лет страдает повышенным давлением, требующим принятия медикаментов или других форм терапии.  Ишемическая болезнь сердца стала более распространенной среди финнов, особенно мужчин, в 50</w:t>
      </w:r>
      <w:r>
        <w:noBreakHyphen/>
        <w:t>е и 60</w:t>
      </w:r>
      <w:r>
        <w:noBreakHyphen/>
        <w:t xml:space="preserve">е годы.  С начала 70-х годов смертность, вызванная ишемической болезнью, а также количество подобных заболеваний стали снижаться.  Около 14 000 человек ежегодно умирают от ишемической болезни, и еще свыше 150 000 человек получают специальную компенсацию за необходимые им лекарственные препараты.  За два десятилетия уровень смертности снизился на 20%.  Случаи повышенного кровяного давления наиболее распространены в восточной и северной частях Финляндии, хотя в последние несколько лет различия стали сглаживаться.  Среди населения среднего возраста повышенное кровяное давление более характерно для низших социальных групп.  </w:t>
      </w:r>
    </w:p>
    <w:p w:rsidR="00000000" w:rsidRDefault="00000000"/>
    <w:p w:rsidR="00000000" w:rsidRDefault="00000000">
      <w:r>
        <w:t>409.</w:t>
      </w:r>
      <w:r>
        <w:tab/>
        <w:t xml:space="preserve">После сердечно- и церебрально-сосудистых заболеваний наиболее распространенной причиной смерти в Финляндии является рак.  Каждый год около 19 000 человек заболевают раком, и из них примерно 10 000 человек умирают.  Участились случаи раковых заболеваний среди женщин.  Случаи рака молочной железы и матки постоянно учащаются, причем среди женщин более распространенным явлением стал рак легких (хотя женщины по-прежнему болеют им гораздо реже, чем мужчины).  Случаи заболевания женщин раком желудка и мозга встречаются не столь часто, как раньше.  Представители обоих полов все чаще болеют раком толстой кишки и </w:t>
      </w:r>
      <w:proofErr w:type="spellStart"/>
      <w:r>
        <w:t>меланомой</w:t>
      </w:r>
      <w:proofErr w:type="spellEnd"/>
      <w:r>
        <w:t>.  Мужчины стали реже страдать раком легких и желудка, но чаще – раком простаты.</w:t>
      </w:r>
    </w:p>
    <w:p w:rsidR="00000000" w:rsidRDefault="00000000"/>
    <w:p w:rsidR="00000000" w:rsidRDefault="00000000">
      <w:r>
        <w:t>410.</w:t>
      </w:r>
      <w:r>
        <w:tab/>
        <w:t>По оценкам, 150 000 финнов страдают диабетом и свыше 11 000 человек получают специальную страховую компенсацию для покрытия расходов на лекарства от диабета.  Свыше 20 000 больных диабетом страдают от недостатка инсулина.  В последние четыре десятилетия в Финляндии резко увеличилось число случаев инсулинной недостаточности, проявляющейся в детском возрасте.</w:t>
      </w:r>
    </w:p>
    <w:p w:rsidR="00000000" w:rsidRDefault="00000000"/>
    <w:p w:rsidR="00000000" w:rsidRDefault="00000000">
      <w:r>
        <w:t>411.</w:t>
      </w:r>
      <w:r>
        <w:tab/>
        <w:t>Нарушения работы опорно-двигательного аппарата являются наиболее распространенными болезненными заболеваниями в Финляндии, а также наиболее частыми причинами отсутствия на работе.  Особенно быстрыми темпами растет число заболеваний аллергией и астмой.  Около 5% населения страдает астмой и около 10% периодически проявляют астматические симптомы.  Почти пятая часть населения на том или ином этапе жизни страдает аллергическими кожными заболеваниями.</w:t>
      </w:r>
    </w:p>
    <w:p w:rsidR="00000000" w:rsidRDefault="00000000"/>
    <w:p w:rsidR="00000000" w:rsidRDefault="00000000">
      <w:r>
        <w:t>412.</w:t>
      </w:r>
      <w:r>
        <w:tab/>
        <w:t>В десятилетний период с 1987 по 1996 год среди трудоспособного населения более широкое распространение получили психические расстройства.  Согласно самооценкам состояния здоровья, каждый десятый человек страдает психическими расстройствами.  Женщины заявляют о таких расстройствах чаще, чем мужчины.  Чаще женщины страдают и перенапряжением, депрессией и утомлением.  По клиническим оценкам, такие расстройства встречаются еще чаще, чем следует из вышеуказанных данных.  Проблемы психического расстройства характерны примерно для 20% взрослого населения.  Психозы встречаются в 2% случаев, а неврозы – примерно в 13%.  Такие расстройства чаще проявляются при приближении к пенсионному возрасту и реже у более пожилых людей.  С 70-х годов участились случаи инвалидности, вызванной психическими расстройствами, и сегодня связанные с ними заболевания являются наиболее распространенной причиной нетрудоспособности.  В Финляндии серьезной причиной преждевременной смерти, особенно среди молодежи, являются самоубийства.  С 1940 по 1990 год случаи самоубийств постоянно учащались как в относительном, так и в абсолютном выражении.  Однако впоследствии наметилась тенденция к снижению.</w:t>
      </w:r>
    </w:p>
    <w:p w:rsidR="00000000" w:rsidRDefault="00000000"/>
    <w:p w:rsidR="00000000" w:rsidRDefault="00000000">
      <w:r>
        <w:t>413.</w:t>
      </w:r>
      <w:r>
        <w:tab/>
        <w:t>Из каждых 100 000 работников примерно 300 страдают теми или иными профессиональными заболеваниями (около 7 000 случаев в год).  Заболеваемость профессиональными болезнями росла на протяжении 80-х годов, однако с 1990 года наметилась легкая понижательная тенденция.</w:t>
      </w:r>
    </w:p>
    <w:p w:rsidR="00000000" w:rsidRDefault="00000000"/>
    <w:p w:rsidR="00000000" w:rsidRDefault="00000000">
      <w:r>
        <w:t>414.</w:t>
      </w:r>
      <w:r>
        <w:tab/>
        <w:t>С 70-х годов уменьшилось число заболеваний полости рта, в том числе кариеса, среди детей и подростков.  Сегодня у 12-летнего финского ребенка в среднем имеется 1,2 кариозной полости или пломбы, в то время как 20 лет назад эта цифра составляла 6,9.</w:t>
      </w:r>
    </w:p>
    <w:p w:rsidR="00000000" w:rsidRDefault="00000000"/>
    <w:p w:rsidR="00000000" w:rsidRDefault="00000000">
      <w:r>
        <w:t>415.</w:t>
      </w:r>
      <w:r>
        <w:tab/>
        <w:t>Значительно уменьшилось и число лиц, полностью потерявших зубы.  Как кариес, так и заболевания десен и общее выпадение зубов чаще встречаются среди представителей малоимущих и необразованных слоев населения.</w:t>
      </w:r>
    </w:p>
    <w:p w:rsidR="00000000" w:rsidRDefault="00000000"/>
    <w:p w:rsidR="00000000" w:rsidRDefault="00000000">
      <w:r>
        <w:t>416.</w:t>
      </w:r>
      <w:r>
        <w:tab/>
        <w:t>С 1960 года стало уменьшаться число курящих мужчин.  Количество курящих женщин росло до начала 70-х годов, оставалось неизменным до середины 80-х годов, а затем стало вновь расти.  Сегодня курящими являются 29% мужчин и 19% женщин в возрасте от 15 до 64 лет.  Число курящих мужчин уменьшается с повышением уровня их образованности.  Увеличение числа курящих женщин приходится на менее образованную часть.</w:t>
      </w:r>
    </w:p>
    <w:p w:rsidR="00000000" w:rsidRDefault="00000000"/>
    <w:p w:rsidR="00000000" w:rsidRDefault="00000000">
      <w:r>
        <w:t>417.</w:t>
      </w:r>
      <w:r>
        <w:tab/>
        <w:t>Потребление алкогольных напитков к концу 80-х годов стало расти, но после пика, достигнутого в 1990 году, оно вновь стало снижаться.  В 1994 году средний уровень потребления алкогольных напитков в Финляндии в расчете на душу населения возрос до 6,6 литра.  Почти половина всех алкогольных напитков потребляется десятой частью населения.  Алкогольные напитки в основном потребляются мужчинами, однако доля женщин в совокупном потреблении медленно растет и достигла почти одной четверти.</w:t>
      </w:r>
    </w:p>
    <w:p w:rsidR="00000000" w:rsidRDefault="00000000"/>
    <w:p w:rsidR="00000000" w:rsidRDefault="00000000">
      <w:r>
        <w:t>418.</w:t>
      </w:r>
      <w:r>
        <w:tab/>
        <w:t xml:space="preserve">Сегодня финны в большей степени удовлетворены своей половой жизнью, чем ранее.  Около 80% женщин в возрасте от 18 до 44 лет пользуются теми или иными противозачаточными средствами, наиболее распространенными среди которых являются </w:t>
      </w:r>
    </w:p>
    <w:p w:rsidR="00000000" w:rsidRDefault="00000000">
      <w:r>
        <w:br w:type="page"/>
      </w:r>
      <w:proofErr w:type="spellStart"/>
      <w:r>
        <w:t>пероральные</w:t>
      </w:r>
      <w:proofErr w:type="spellEnd"/>
      <w:r>
        <w:t xml:space="preserve"> средства.  Число абортов продолжает снижаться, особенно среди молодых возрастных групп.  В 1973 году было сделано свыше 23 000 абортов, а в 1994 году – 10 000.  Чаще всего к абортам прибегают по социальным мотивам.</w:t>
      </w:r>
    </w:p>
    <w:p w:rsidR="00000000" w:rsidRDefault="00000000"/>
    <w:p w:rsidR="00000000" w:rsidRDefault="00000000">
      <w:r>
        <w:t>419.</w:t>
      </w:r>
      <w:r>
        <w:tab/>
        <w:t>Самооценка населением своих функциональных возможностей и здоровья может рассматриваться в качестве общего показателя здоровья населения.  По данным исследования, в основе которого лежат самостоятельно представленные больными данные о хронических заболеваниях, в период с 1987 по 1995/96 год показатель хронической заболеваемости возрос с 41% до 49%.  Наиболее часто такие заболевания встречаются среди лиц в возрасте свыше 75 лет (90% опрошенных в 1995/96 году).  Процент хронических заболеваний среди детей возрос как в абсолютном, так и в относительном выражении, с 12% в 1987 году до почти 22% в 1995/96 году.</w:t>
      </w:r>
    </w:p>
    <w:p w:rsidR="00000000" w:rsidRDefault="00000000"/>
    <w:p w:rsidR="00000000" w:rsidRDefault="00000000">
      <w:pPr>
        <w:rPr>
          <w:u w:val="single"/>
        </w:rPr>
      </w:pPr>
      <w:r>
        <w:t>2.</w:t>
      </w:r>
      <w:r>
        <w:tab/>
      </w:r>
      <w:r>
        <w:rPr>
          <w:u w:val="single"/>
        </w:rPr>
        <w:t>Национальная политика в области здравоохранения</w:t>
      </w:r>
    </w:p>
    <w:p w:rsidR="00000000" w:rsidRDefault="00000000">
      <w:pPr>
        <w:rPr>
          <w:b/>
          <w:u w:val="single"/>
        </w:rPr>
      </w:pPr>
    </w:p>
    <w:p w:rsidR="00000000" w:rsidRDefault="00000000">
      <w:pPr>
        <w:pStyle w:val="FootnoteText"/>
        <w:spacing w:line="288" w:lineRule="auto"/>
      </w:pPr>
      <w:r>
        <w:t>420.</w:t>
      </w:r>
      <w:r>
        <w:tab/>
        <w:t>См. третий доклад Финляндии о ходе осуществления программы ВОЗ "Здоровье для всех к 2000 году" и дополнения к нему.</w:t>
      </w:r>
    </w:p>
    <w:p w:rsidR="00000000" w:rsidRDefault="00000000">
      <w:pPr>
        <w:pStyle w:val="FootnoteText"/>
        <w:spacing w:line="288" w:lineRule="auto"/>
      </w:pPr>
    </w:p>
    <w:p w:rsidR="00000000" w:rsidRDefault="00000000">
      <w:pPr>
        <w:pStyle w:val="FootnoteText"/>
        <w:spacing w:line="288" w:lineRule="auto"/>
        <w:jc w:val="center"/>
        <w:rPr>
          <w:u w:val="single"/>
        </w:rPr>
      </w:pPr>
      <w:r>
        <w:t xml:space="preserve">Таблица 1.  </w:t>
      </w:r>
      <w:r>
        <w:rPr>
          <w:u w:val="single"/>
        </w:rPr>
        <w:t>Компенсация по линии медицинского страхования в 1998 году</w:t>
      </w:r>
    </w:p>
    <w:p w:rsidR="00000000" w:rsidRDefault="00000000">
      <w:pPr>
        <w:pStyle w:val="FootnoteText"/>
        <w:spacing w:line="288" w:lineRule="auto"/>
        <w:jc w:val="center"/>
        <w:rPr>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2126"/>
        <w:gridCol w:w="2410"/>
        <w:gridCol w:w="1947"/>
      </w:tblGrid>
      <w:tr w:rsidR="00000000">
        <w:tblPrEx>
          <w:tblCellMar>
            <w:top w:w="0" w:type="dxa"/>
            <w:bottom w:w="0" w:type="dxa"/>
          </w:tblCellMar>
        </w:tblPrEx>
        <w:tc>
          <w:tcPr>
            <w:tcW w:w="3085" w:type="dxa"/>
            <w:tcBorders>
              <w:bottom w:val="nil"/>
            </w:tcBorders>
          </w:tcPr>
          <w:p w:rsidR="00000000" w:rsidRDefault="00000000">
            <w:pPr>
              <w:pStyle w:val="FootnoteText"/>
              <w:spacing w:line="288" w:lineRule="auto"/>
              <w:jc w:val="center"/>
              <w:rPr>
                <w:i/>
              </w:rPr>
            </w:pPr>
          </w:p>
        </w:tc>
        <w:tc>
          <w:tcPr>
            <w:tcW w:w="2126" w:type="dxa"/>
            <w:tcBorders>
              <w:bottom w:val="nil"/>
            </w:tcBorders>
          </w:tcPr>
          <w:p w:rsidR="00000000" w:rsidRDefault="00000000">
            <w:pPr>
              <w:pStyle w:val="FootnoteText"/>
              <w:spacing w:line="288" w:lineRule="auto"/>
              <w:jc w:val="center"/>
              <w:rPr>
                <w:i/>
                <w:u w:val="single"/>
              </w:rPr>
            </w:pPr>
            <w:r>
              <w:rPr>
                <w:i/>
                <w:u w:val="single"/>
              </w:rPr>
              <w:t>Совместные выплаты</w:t>
            </w:r>
          </w:p>
          <w:p w:rsidR="00000000" w:rsidRDefault="00000000">
            <w:pPr>
              <w:pStyle w:val="FootnoteText"/>
              <w:spacing w:line="288" w:lineRule="auto"/>
              <w:jc w:val="center"/>
              <w:rPr>
                <w:i/>
              </w:rPr>
            </w:pPr>
            <w:r>
              <w:rPr>
                <w:i/>
              </w:rPr>
              <w:t>(</w:t>
            </w:r>
            <w:r>
              <w:rPr>
                <w:i/>
                <w:u w:val="single"/>
              </w:rPr>
              <w:t>млн. фин. марок</w:t>
            </w:r>
            <w:r>
              <w:rPr>
                <w:i/>
              </w:rPr>
              <w:t>)</w:t>
            </w:r>
          </w:p>
        </w:tc>
        <w:tc>
          <w:tcPr>
            <w:tcW w:w="2410" w:type="dxa"/>
            <w:tcBorders>
              <w:bottom w:val="nil"/>
            </w:tcBorders>
          </w:tcPr>
          <w:p w:rsidR="00000000" w:rsidRDefault="00000000">
            <w:pPr>
              <w:pStyle w:val="FootnoteText"/>
              <w:spacing w:line="288" w:lineRule="auto"/>
              <w:jc w:val="center"/>
              <w:rPr>
                <w:i/>
                <w:u w:val="single"/>
              </w:rPr>
            </w:pPr>
            <w:r>
              <w:rPr>
                <w:i/>
                <w:u w:val="single"/>
              </w:rPr>
              <w:t>Компенсация размера превышения</w:t>
            </w:r>
          </w:p>
          <w:p w:rsidR="00000000" w:rsidRDefault="00000000">
            <w:pPr>
              <w:pStyle w:val="FootnoteText"/>
              <w:spacing w:line="288" w:lineRule="auto"/>
              <w:jc w:val="center"/>
              <w:rPr>
                <w:i/>
              </w:rPr>
            </w:pPr>
            <w:r>
              <w:rPr>
                <w:i/>
              </w:rPr>
              <w:t>(</w:t>
            </w:r>
            <w:r>
              <w:rPr>
                <w:i/>
                <w:u w:val="single"/>
              </w:rPr>
              <w:t>%</w:t>
            </w:r>
            <w:r>
              <w:rPr>
                <w:i/>
              </w:rPr>
              <w:t>)</w:t>
            </w:r>
          </w:p>
        </w:tc>
        <w:tc>
          <w:tcPr>
            <w:tcW w:w="1947" w:type="dxa"/>
            <w:tcBorders>
              <w:bottom w:val="nil"/>
            </w:tcBorders>
          </w:tcPr>
          <w:p w:rsidR="00000000" w:rsidRDefault="00000000">
            <w:pPr>
              <w:pStyle w:val="FootnoteText"/>
              <w:spacing w:line="288" w:lineRule="auto"/>
              <w:jc w:val="center"/>
              <w:rPr>
                <w:i/>
              </w:rPr>
            </w:pPr>
            <w:r>
              <w:rPr>
                <w:i/>
                <w:u w:val="single"/>
              </w:rPr>
              <w:t>Средний размер компенсации</w:t>
            </w:r>
            <w:r>
              <w:rPr>
                <w:i/>
              </w:rPr>
              <w:t xml:space="preserve"> (</w:t>
            </w:r>
            <w:r>
              <w:rPr>
                <w:i/>
                <w:u w:val="single"/>
              </w:rPr>
              <w:t>%</w:t>
            </w:r>
            <w:r>
              <w:rPr>
                <w:i/>
              </w:rPr>
              <w:t>)</w:t>
            </w:r>
          </w:p>
        </w:tc>
      </w:tr>
      <w:tr w:rsidR="00000000">
        <w:tblPrEx>
          <w:tblCellMar>
            <w:top w:w="0" w:type="dxa"/>
            <w:bottom w:w="0" w:type="dxa"/>
          </w:tblCellMar>
        </w:tblPrEx>
        <w:tc>
          <w:tcPr>
            <w:tcW w:w="3085" w:type="dxa"/>
            <w:tcBorders>
              <w:top w:val="single" w:sz="4" w:space="0" w:color="auto"/>
              <w:left w:val="single" w:sz="4" w:space="0" w:color="auto"/>
              <w:bottom w:val="nil"/>
              <w:right w:val="nil"/>
            </w:tcBorders>
          </w:tcPr>
          <w:p w:rsidR="00000000" w:rsidRDefault="00000000">
            <w:pPr>
              <w:pStyle w:val="FootnoteText"/>
              <w:spacing w:line="288" w:lineRule="auto"/>
            </w:pPr>
            <w:r>
              <w:t>Медикаменты</w:t>
            </w:r>
          </w:p>
        </w:tc>
        <w:tc>
          <w:tcPr>
            <w:tcW w:w="2126" w:type="dxa"/>
            <w:tcBorders>
              <w:top w:val="single" w:sz="4" w:space="0" w:color="auto"/>
              <w:left w:val="single" w:sz="4" w:space="0" w:color="auto"/>
              <w:bottom w:val="nil"/>
              <w:right w:val="nil"/>
            </w:tcBorders>
          </w:tcPr>
          <w:p w:rsidR="00000000" w:rsidRDefault="00000000">
            <w:pPr>
              <w:pStyle w:val="FootnoteText"/>
              <w:spacing w:line="288" w:lineRule="auto"/>
              <w:jc w:val="center"/>
            </w:pPr>
          </w:p>
        </w:tc>
        <w:tc>
          <w:tcPr>
            <w:tcW w:w="2410" w:type="dxa"/>
            <w:tcBorders>
              <w:top w:val="single" w:sz="4" w:space="0" w:color="auto"/>
              <w:left w:val="single" w:sz="4" w:space="0" w:color="auto"/>
              <w:bottom w:val="nil"/>
              <w:right w:val="nil"/>
            </w:tcBorders>
          </w:tcPr>
          <w:p w:rsidR="00000000" w:rsidRDefault="00000000">
            <w:pPr>
              <w:pStyle w:val="FootnoteText"/>
              <w:spacing w:line="288" w:lineRule="auto"/>
              <w:jc w:val="center"/>
            </w:pPr>
          </w:p>
        </w:tc>
        <w:tc>
          <w:tcPr>
            <w:tcW w:w="1947"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jc w:val="center"/>
            </w:pPr>
          </w:p>
        </w:tc>
      </w:tr>
      <w:tr w:rsidR="00000000">
        <w:tblPrEx>
          <w:tblCellMar>
            <w:top w:w="0" w:type="dxa"/>
            <w:bottom w:w="0" w:type="dxa"/>
          </w:tblCellMar>
        </w:tblPrEx>
        <w:tc>
          <w:tcPr>
            <w:tcW w:w="3085" w:type="dxa"/>
            <w:tcBorders>
              <w:top w:val="nil"/>
              <w:left w:val="single" w:sz="4" w:space="0" w:color="auto"/>
              <w:bottom w:val="nil"/>
              <w:right w:val="nil"/>
            </w:tcBorders>
          </w:tcPr>
          <w:p w:rsidR="00000000" w:rsidRDefault="00000000">
            <w:pPr>
              <w:pStyle w:val="FootnoteText"/>
              <w:spacing w:line="288" w:lineRule="auto"/>
            </w:pPr>
            <w:r>
              <w:t>Базовая компенсация</w:t>
            </w:r>
          </w:p>
        </w:tc>
        <w:tc>
          <w:tcPr>
            <w:tcW w:w="2126" w:type="dxa"/>
            <w:tcBorders>
              <w:top w:val="nil"/>
              <w:left w:val="single" w:sz="4" w:space="0" w:color="auto"/>
              <w:bottom w:val="nil"/>
              <w:right w:val="nil"/>
            </w:tcBorders>
          </w:tcPr>
          <w:p w:rsidR="00000000" w:rsidRDefault="00000000">
            <w:pPr>
              <w:pStyle w:val="FootnoteText"/>
              <w:spacing w:line="288" w:lineRule="auto"/>
              <w:jc w:val="center"/>
            </w:pPr>
            <w:r>
              <w:t>50</w:t>
            </w:r>
          </w:p>
        </w:tc>
        <w:tc>
          <w:tcPr>
            <w:tcW w:w="2410" w:type="dxa"/>
            <w:tcBorders>
              <w:top w:val="nil"/>
              <w:left w:val="single" w:sz="4" w:space="0" w:color="auto"/>
              <w:bottom w:val="nil"/>
              <w:right w:val="nil"/>
            </w:tcBorders>
          </w:tcPr>
          <w:p w:rsidR="00000000" w:rsidRDefault="00000000">
            <w:pPr>
              <w:pStyle w:val="FootnoteText"/>
              <w:spacing w:line="288" w:lineRule="auto"/>
              <w:jc w:val="center"/>
            </w:pPr>
            <w:r>
              <w:t>50</w:t>
            </w:r>
          </w:p>
        </w:tc>
        <w:tc>
          <w:tcPr>
            <w:tcW w:w="1947" w:type="dxa"/>
            <w:tcBorders>
              <w:top w:val="nil"/>
              <w:left w:val="single" w:sz="4" w:space="0" w:color="auto"/>
              <w:bottom w:val="nil"/>
              <w:right w:val="single" w:sz="4" w:space="0" w:color="auto"/>
            </w:tcBorders>
          </w:tcPr>
          <w:p w:rsidR="00000000" w:rsidRDefault="00000000">
            <w:pPr>
              <w:pStyle w:val="FootnoteText"/>
              <w:spacing w:line="288" w:lineRule="auto"/>
              <w:jc w:val="center"/>
            </w:pPr>
            <w:r>
              <w:t>40,0</w:t>
            </w:r>
          </w:p>
        </w:tc>
      </w:tr>
      <w:tr w:rsidR="00000000">
        <w:tblPrEx>
          <w:tblCellMar>
            <w:top w:w="0" w:type="dxa"/>
            <w:bottom w:w="0" w:type="dxa"/>
          </w:tblCellMar>
        </w:tblPrEx>
        <w:tc>
          <w:tcPr>
            <w:tcW w:w="3085" w:type="dxa"/>
            <w:tcBorders>
              <w:top w:val="nil"/>
              <w:left w:val="single" w:sz="4" w:space="0" w:color="auto"/>
              <w:bottom w:val="nil"/>
              <w:right w:val="nil"/>
            </w:tcBorders>
          </w:tcPr>
          <w:p w:rsidR="00000000" w:rsidRDefault="00000000">
            <w:pPr>
              <w:pStyle w:val="FootnoteText"/>
              <w:spacing w:line="288" w:lineRule="auto"/>
            </w:pPr>
            <w:r>
              <w:t>Специальная компенсация</w:t>
            </w:r>
          </w:p>
        </w:tc>
        <w:tc>
          <w:tcPr>
            <w:tcW w:w="2126" w:type="dxa"/>
            <w:tcBorders>
              <w:top w:val="nil"/>
              <w:left w:val="single" w:sz="4" w:space="0" w:color="auto"/>
              <w:bottom w:val="nil"/>
              <w:right w:val="nil"/>
            </w:tcBorders>
          </w:tcPr>
          <w:p w:rsidR="00000000" w:rsidRDefault="00000000">
            <w:pPr>
              <w:pStyle w:val="FootnoteText"/>
              <w:spacing w:line="288" w:lineRule="auto"/>
              <w:jc w:val="center"/>
            </w:pPr>
            <w:r>
              <w:t>25</w:t>
            </w:r>
          </w:p>
        </w:tc>
        <w:tc>
          <w:tcPr>
            <w:tcW w:w="2410" w:type="dxa"/>
            <w:tcBorders>
              <w:top w:val="nil"/>
              <w:left w:val="single" w:sz="4" w:space="0" w:color="auto"/>
              <w:bottom w:val="nil"/>
              <w:right w:val="nil"/>
            </w:tcBorders>
          </w:tcPr>
          <w:p w:rsidR="00000000" w:rsidRDefault="00000000">
            <w:pPr>
              <w:pStyle w:val="FootnoteText"/>
              <w:spacing w:line="288" w:lineRule="auto"/>
              <w:jc w:val="center"/>
            </w:pPr>
            <w:r>
              <w:t>75</w:t>
            </w:r>
          </w:p>
        </w:tc>
        <w:tc>
          <w:tcPr>
            <w:tcW w:w="1947" w:type="dxa"/>
            <w:tcBorders>
              <w:top w:val="nil"/>
              <w:left w:val="single" w:sz="4" w:space="0" w:color="auto"/>
              <w:bottom w:val="nil"/>
              <w:right w:val="single" w:sz="4" w:space="0" w:color="auto"/>
            </w:tcBorders>
          </w:tcPr>
          <w:p w:rsidR="00000000" w:rsidRDefault="00000000">
            <w:pPr>
              <w:pStyle w:val="FootnoteText"/>
              <w:spacing w:line="288" w:lineRule="auto"/>
              <w:jc w:val="center"/>
            </w:pPr>
            <w:r>
              <w:t>70,2</w:t>
            </w:r>
          </w:p>
        </w:tc>
      </w:tr>
      <w:tr w:rsidR="00000000">
        <w:tblPrEx>
          <w:tblCellMar>
            <w:top w:w="0" w:type="dxa"/>
            <w:bottom w:w="0" w:type="dxa"/>
          </w:tblCellMar>
        </w:tblPrEx>
        <w:tc>
          <w:tcPr>
            <w:tcW w:w="3085" w:type="dxa"/>
            <w:tcBorders>
              <w:top w:val="nil"/>
              <w:left w:val="single" w:sz="4" w:space="0" w:color="auto"/>
              <w:bottom w:val="nil"/>
              <w:right w:val="nil"/>
            </w:tcBorders>
          </w:tcPr>
          <w:p w:rsidR="00000000" w:rsidRDefault="00000000">
            <w:pPr>
              <w:pStyle w:val="FootnoteText"/>
              <w:spacing w:line="288" w:lineRule="auto"/>
            </w:pPr>
            <w:r>
              <w:t>Специальная компенсация</w:t>
            </w:r>
          </w:p>
        </w:tc>
        <w:tc>
          <w:tcPr>
            <w:tcW w:w="2126" w:type="dxa"/>
            <w:tcBorders>
              <w:top w:val="nil"/>
              <w:left w:val="single" w:sz="4" w:space="0" w:color="auto"/>
              <w:bottom w:val="nil"/>
              <w:right w:val="nil"/>
            </w:tcBorders>
          </w:tcPr>
          <w:p w:rsidR="00000000" w:rsidRDefault="00000000">
            <w:pPr>
              <w:pStyle w:val="FootnoteText"/>
              <w:spacing w:line="288" w:lineRule="auto"/>
              <w:jc w:val="center"/>
            </w:pPr>
            <w:r>
              <w:t>25</w:t>
            </w:r>
          </w:p>
        </w:tc>
        <w:tc>
          <w:tcPr>
            <w:tcW w:w="2410" w:type="dxa"/>
            <w:tcBorders>
              <w:top w:val="nil"/>
              <w:left w:val="single" w:sz="4" w:space="0" w:color="auto"/>
              <w:bottom w:val="nil"/>
              <w:right w:val="nil"/>
            </w:tcBorders>
          </w:tcPr>
          <w:p w:rsidR="00000000" w:rsidRDefault="00000000">
            <w:pPr>
              <w:pStyle w:val="FootnoteText"/>
              <w:spacing w:line="288" w:lineRule="auto"/>
              <w:jc w:val="center"/>
            </w:pPr>
            <w:r>
              <w:t>100</w:t>
            </w:r>
          </w:p>
        </w:tc>
        <w:tc>
          <w:tcPr>
            <w:tcW w:w="1947" w:type="dxa"/>
            <w:tcBorders>
              <w:top w:val="nil"/>
              <w:left w:val="single" w:sz="4" w:space="0" w:color="auto"/>
              <w:bottom w:val="nil"/>
              <w:right w:val="single" w:sz="4" w:space="0" w:color="auto"/>
            </w:tcBorders>
          </w:tcPr>
          <w:p w:rsidR="00000000" w:rsidRDefault="00000000">
            <w:pPr>
              <w:pStyle w:val="FootnoteText"/>
              <w:spacing w:line="288" w:lineRule="auto"/>
              <w:jc w:val="center"/>
            </w:pPr>
            <w:r>
              <w:t>96,1</w:t>
            </w:r>
          </w:p>
        </w:tc>
      </w:tr>
      <w:tr w:rsidR="00000000">
        <w:tblPrEx>
          <w:tblCellMar>
            <w:top w:w="0" w:type="dxa"/>
            <w:bottom w:w="0" w:type="dxa"/>
          </w:tblCellMar>
        </w:tblPrEx>
        <w:tc>
          <w:tcPr>
            <w:tcW w:w="3085" w:type="dxa"/>
            <w:tcBorders>
              <w:top w:val="nil"/>
              <w:left w:val="single" w:sz="4" w:space="0" w:color="auto"/>
              <w:bottom w:val="nil"/>
              <w:right w:val="nil"/>
            </w:tcBorders>
          </w:tcPr>
          <w:p w:rsidR="00000000" w:rsidRDefault="00000000">
            <w:pPr>
              <w:pStyle w:val="FootnoteText"/>
              <w:spacing w:line="288" w:lineRule="auto"/>
            </w:pPr>
            <w:r>
              <w:t>Гонорары врачей</w:t>
            </w:r>
          </w:p>
        </w:tc>
        <w:tc>
          <w:tcPr>
            <w:tcW w:w="2126" w:type="dxa"/>
            <w:tcBorders>
              <w:top w:val="nil"/>
              <w:left w:val="single" w:sz="4" w:space="0" w:color="auto"/>
              <w:bottom w:val="nil"/>
              <w:right w:val="nil"/>
            </w:tcBorders>
          </w:tcPr>
          <w:p w:rsidR="00000000" w:rsidRDefault="00000000">
            <w:pPr>
              <w:pStyle w:val="FootnoteText"/>
              <w:spacing w:line="288" w:lineRule="auto"/>
              <w:jc w:val="center"/>
            </w:pPr>
          </w:p>
        </w:tc>
        <w:tc>
          <w:tcPr>
            <w:tcW w:w="2410" w:type="dxa"/>
            <w:tcBorders>
              <w:top w:val="nil"/>
              <w:left w:val="single" w:sz="4" w:space="0" w:color="auto"/>
              <w:bottom w:val="nil"/>
              <w:right w:val="nil"/>
            </w:tcBorders>
          </w:tcPr>
          <w:p w:rsidR="00000000" w:rsidRDefault="00000000">
            <w:pPr>
              <w:pStyle w:val="FootnoteText"/>
              <w:spacing w:line="288" w:lineRule="auto"/>
              <w:jc w:val="center"/>
            </w:pPr>
            <w:r>
              <w:t>60*</w:t>
            </w:r>
          </w:p>
        </w:tc>
        <w:tc>
          <w:tcPr>
            <w:tcW w:w="1947" w:type="dxa"/>
            <w:tcBorders>
              <w:top w:val="nil"/>
              <w:left w:val="single" w:sz="4" w:space="0" w:color="auto"/>
              <w:bottom w:val="nil"/>
              <w:right w:val="single" w:sz="4" w:space="0" w:color="auto"/>
            </w:tcBorders>
          </w:tcPr>
          <w:p w:rsidR="00000000" w:rsidRDefault="00000000">
            <w:pPr>
              <w:pStyle w:val="FootnoteText"/>
              <w:spacing w:line="288" w:lineRule="auto"/>
              <w:jc w:val="center"/>
            </w:pPr>
            <w:r>
              <w:t>38,2</w:t>
            </w:r>
          </w:p>
        </w:tc>
      </w:tr>
      <w:tr w:rsidR="00000000">
        <w:tblPrEx>
          <w:tblCellMar>
            <w:top w:w="0" w:type="dxa"/>
            <w:bottom w:w="0" w:type="dxa"/>
          </w:tblCellMar>
        </w:tblPrEx>
        <w:tc>
          <w:tcPr>
            <w:tcW w:w="3085" w:type="dxa"/>
            <w:tcBorders>
              <w:top w:val="nil"/>
              <w:left w:val="single" w:sz="4" w:space="0" w:color="auto"/>
              <w:bottom w:val="nil"/>
              <w:right w:val="nil"/>
            </w:tcBorders>
          </w:tcPr>
          <w:p w:rsidR="00000000" w:rsidRDefault="00000000">
            <w:pPr>
              <w:pStyle w:val="FootnoteText"/>
              <w:spacing w:line="288" w:lineRule="auto"/>
            </w:pPr>
            <w:r>
              <w:t>Гонорары стоматологов</w:t>
            </w:r>
          </w:p>
        </w:tc>
        <w:tc>
          <w:tcPr>
            <w:tcW w:w="2126" w:type="dxa"/>
            <w:tcBorders>
              <w:top w:val="nil"/>
              <w:left w:val="single" w:sz="4" w:space="0" w:color="auto"/>
              <w:bottom w:val="nil"/>
              <w:right w:val="nil"/>
            </w:tcBorders>
          </w:tcPr>
          <w:p w:rsidR="00000000" w:rsidRDefault="00000000">
            <w:pPr>
              <w:pStyle w:val="FootnoteText"/>
              <w:spacing w:line="288" w:lineRule="auto"/>
              <w:jc w:val="center"/>
            </w:pPr>
          </w:p>
        </w:tc>
        <w:tc>
          <w:tcPr>
            <w:tcW w:w="2410" w:type="dxa"/>
            <w:tcBorders>
              <w:top w:val="nil"/>
              <w:left w:val="single" w:sz="4" w:space="0" w:color="auto"/>
              <w:bottom w:val="nil"/>
              <w:right w:val="nil"/>
            </w:tcBorders>
          </w:tcPr>
          <w:p w:rsidR="00000000" w:rsidRDefault="00000000">
            <w:pPr>
              <w:pStyle w:val="FootnoteText"/>
              <w:spacing w:line="288" w:lineRule="auto"/>
              <w:jc w:val="center"/>
            </w:pPr>
            <w:r>
              <w:t>60/70/100*</w:t>
            </w:r>
          </w:p>
        </w:tc>
        <w:tc>
          <w:tcPr>
            <w:tcW w:w="1947" w:type="dxa"/>
            <w:tcBorders>
              <w:top w:val="nil"/>
              <w:left w:val="single" w:sz="4" w:space="0" w:color="auto"/>
              <w:bottom w:val="nil"/>
              <w:right w:val="single" w:sz="4" w:space="0" w:color="auto"/>
            </w:tcBorders>
          </w:tcPr>
          <w:p w:rsidR="00000000" w:rsidRDefault="00000000">
            <w:pPr>
              <w:pStyle w:val="FootnoteText"/>
              <w:spacing w:line="288" w:lineRule="auto"/>
              <w:jc w:val="center"/>
            </w:pPr>
            <w:r>
              <w:t>48,9</w:t>
            </w:r>
          </w:p>
        </w:tc>
      </w:tr>
      <w:tr w:rsidR="00000000">
        <w:tblPrEx>
          <w:tblCellMar>
            <w:top w:w="0" w:type="dxa"/>
            <w:bottom w:w="0" w:type="dxa"/>
          </w:tblCellMar>
        </w:tblPrEx>
        <w:tc>
          <w:tcPr>
            <w:tcW w:w="3085" w:type="dxa"/>
            <w:tcBorders>
              <w:top w:val="nil"/>
              <w:left w:val="single" w:sz="4" w:space="0" w:color="auto"/>
              <w:bottom w:val="nil"/>
              <w:right w:val="nil"/>
            </w:tcBorders>
          </w:tcPr>
          <w:p w:rsidR="00000000" w:rsidRDefault="00000000">
            <w:pPr>
              <w:pStyle w:val="FootnoteText"/>
              <w:spacing w:line="288" w:lineRule="auto"/>
            </w:pPr>
            <w:r>
              <w:t>Обследование и лечение</w:t>
            </w:r>
          </w:p>
        </w:tc>
        <w:tc>
          <w:tcPr>
            <w:tcW w:w="2126" w:type="dxa"/>
            <w:tcBorders>
              <w:top w:val="nil"/>
              <w:left w:val="single" w:sz="4" w:space="0" w:color="auto"/>
              <w:bottom w:val="nil"/>
              <w:right w:val="nil"/>
            </w:tcBorders>
          </w:tcPr>
          <w:p w:rsidR="00000000" w:rsidRDefault="00000000">
            <w:pPr>
              <w:pStyle w:val="FootnoteText"/>
              <w:spacing w:line="288" w:lineRule="auto"/>
              <w:jc w:val="center"/>
            </w:pPr>
            <w:r>
              <w:t>70</w:t>
            </w:r>
          </w:p>
        </w:tc>
        <w:tc>
          <w:tcPr>
            <w:tcW w:w="2410" w:type="dxa"/>
            <w:tcBorders>
              <w:top w:val="nil"/>
              <w:left w:val="single" w:sz="4" w:space="0" w:color="auto"/>
              <w:bottom w:val="nil"/>
              <w:right w:val="nil"/>
            </w:tcBorders>
          </w:tcPr>
          <w:p w:rsidR="00000000" w:rsidRDefault="00000000">
            <w:pPr>
              <w:pStyle w:val="FootnoteText"/>
              <w:spacing w:line="288" w:lineRule="auto"/>
              <w:jc w:val="center"/>
            </w:pPr>
            <w:r>
              <w:t>75*</w:t>
            </w:r>
          </w:p>
        </w:tc>
        <w:tc>
          <w:tcPr>
            <w:tcW w:w="1947" w:type="dxa"/>
            <w:tcBorders>
              <w:top w:val="nil"/>
              <w:left w:val="single" w:sz="4" w:space="0" w:color="auto"/>
              <w:bottom w:val="nil"/>
              <w:right w:val="single" w:sz="4" w:space="0" w:color="auto"/>
            </w:tcBorders>
          </w:tcPr>
          <w:p w:rsidR="00000000" w:rsidRDefault="00000000">
            <w:pPr>
              <w:pStyle w:val="FootnoteText"/>
              <w:spacing w:line="288" w:lineRule="auto"/>
              <w:jc w:val="center"/>
            </w:pPr>
            <w:r>
              <w:t>43,1</w:t>
            </w:r>
          </w:p>
        </w:tc>
      </w:tr>
      <w:tr w:rsidR="00000000">
        <w:tblPrEx>
          <w:tblCellMar>
            <w:top w:w="0" w:type="dxa"/>
            <w:bottom w:w="0" w:type="dxa"/>
          </w:tblCellMar>
        </w:tblPrEx>
        <w:tc>
          <w:tcPr>
            <w:tcW w:w="3085" w:type="dxa"/>
            <w:tcBorders>
              <w:top w:val="nil"/>
              <w:left w:val="single" w:sz="4" w:space="0" w:color="auto"/>
              <w:bottom w:val="single" w:sz="4" w:space="0" w:color="auto"/>
              <w:right w:val="nil"/>
            </w:tcBorders>
          </w:tcPr>
          <w:p w:rsidR="00000000" w:rsidRDefault="00000000">
            <w:pPr>
              <w:pStyle w:val="FootnoteText"/>
              <w:spacing w:line="288" w:lineRule="auto"/>
            </w:pPr>
            <w:r>
              <w:t>Транспорт</w:t>
            </w:r>
          </w:p>
        </w:tc>
        <w:tc>
          <w:tcPr>
            <w:tcW w:w="2126" w:type="dxa"/>
            <w:tcBorders>
              <w:top w:val="nil"/>
              <w:left w:val="single" w:sz="4" w:space="0" w:color="auto"/>
              <w:bottom w:val="single" w:sz="4" w:space="0" w:color="auto"/>
              <w:right w:val="nil"/>
            </w:tcBorders>
          </w:tcPr>
          <w:p w:rsidR="00000000" w:rsidRDefault="00000000">
            <w:pPr>
              <w:pStyle w:val="FootnoteText"/>
              <w:spacing w:line="288" w:lineRule="auto"/>
              <w:jc w:val="center"/>
            </w:pPr>
            <w:r>
              <w:t>45</w:t>
            </w:r>
          </w:p>
        </w:tc>
        <w:tc>
          <w:tcPr>
            <w:tcW w:w="2410" w:type="dxa"/>
            <w:tcBorders>
              <w:top w:val="nil"/>
              <w:left w:val="single" w:sz="4" w:space="0" w:color="auto"/>
              <w:bottom w:val="single" w:sz="4" w:space="0" w:color="auto"/>
              <w:right w:val="nil"/>
            </w:tcBorders>
          </w:tcPr>
          <w:p w:rsidR="00000000" w:rsidRDefault="00000000">
            <w:pPr>
              <w:pStyle w:val="FootnoteText"/>
              <w:spacing w:line="288" w:lineRule="auto"/>
              <w:jc w:val="center"/>
            </w:pPr>
            <w:r>
              <w:t>100</w:t>
            </w:r>
          </w:p>
        </w:tc>
        <w:tc>
          <w:tcPr>
            <w:tcW w:w="1947" w:type="dxa"/>
            <w:tcBorders>
              <w:top w:val="nil"/>
              <w:left w:val="single" w:sz="4" w:space="0" w:color="auto"/>
              <w:bottom w:val="single" w:sz="4" w:space="0" w:color="auto"/>
              <w:right w:val="single" w:sz="4" w:space="0" w:color="auto"/>
            </w:tcBorders>
          </w:tcPr>
          <w:p w:rsidR="00000000" w:rsidRDefault="00000000">
            <w:pPr>
              <w:pStyle w:val="FootnoteText"/>
              <w:spacing w:line="288" w:lineRule="auto"/>
              <w:jc w:val="center"/>
            </w:pPr>
            <w:r>
              <w:t>85,8</w:t>
            </w:r>
          </w:p>
        </w:tc>
      </w:tr>
    </w:tbl>
    <w:p w:rsidR="00000000" w:rsidRDefault="00000000">
      <w:pPr>
        <w:pStyle w:val="FootnoteText"/>
        <w:spacing w:line="288" w:lineRule="auto"/>
      </w:pPr>
    </w:p>
    <w:p w:rsidR="00000000" w:rsidRDefault="00000000">
      <w:pPr>
        <w:pStyle w:val="FootnoteText"/>
        <w:spacing w:line="288" w:lineRule="auto"/>
      </w:pPr>
      <w:r>
        <w:tab/>
        <w:t>*</w:t>
      </w:r>
      <w:r>
        <w:tab/>
        <w:t>Размер компенсации рассчитывается на основе ставок, определенных по установленным критериям оплаты.</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rPr>
          <w:u w:val="single"/>
        </w:rPr>
      </w:pPr>
      <w:r>
        <w:br w:type="page"/>
        <w:t>3.</w:t>
      </w:r>
      <w:r>
        <w:tab/>
      </w:r>
      <w:r>
        <w:rPr>
          <w:u w:val="single"/>
        </w:rPr>
        <w:t>Процент ВВП и национального бюджета, расходуемый на здравоохранение</w:t>
      </w:r>
    </w:p>
    <w:p w:rsidR="00000000" w:rsidRDefault="00000000">
      <w:pPr>
        <w:pStyle w:val="FootnoteText"/>
        <w:spacing w:line="288" w:lineRule="auto"/>
        <w:rPr>
          <w:b/>
          <w:u w:val="single"/>
        </w:rPr>
      </w:pPr>
    </w:p>
    <w:p w:rsidR="00000000" w:rsidRDefault="00000000">
      <w:pPr>
        <w:pStyle w:val="FootnoteText"/>
        <w:spacing w:line="288" w:lineRule="auto"/>
      </w:pPr>
      <w:r>
        <w:t>421.</w:t>
      </w:r>
      <w:r>
        <w:tab/>
        <w:t xml:space="preserve">См. статью 9, таблицы 2 и 3 выше, в которых приводятся данные о доле ВВП на здравоохранение в 1995-1998 годах и в 1995 году.  По оценкам, в 1998 году на здравоохранение расходовалось 7,4% ВВП.  </w:t>
      </w:r>
    </w:p>
    <w:p w:rsidR="00000000" w:rsidRDefault="00000000">
      <w:pPr>
        <w:pStyle w:val="FootnoteText"/>
        <w:spacing w:line="288" w:lineRule="auto"/>
      </w:pPr>
    </w:p>
    <w:p w:rsidR="00000000" w:rsidRDefault="00000000">
      <w:pPr>
        <w:pStyle w:val="FootnoteText"/>
        <w:spacing w:line="288" w:lineRule="auto"/>
        <w:rPr>
          <w:u w:val="single"/>
        </w:rPr>
      </w:pPr>
      <w:r>
        <w:t>4.</w:t>
      </w:r>
      <w:r>
        <w:tab/>
        <w:t>а)</w:t>
      </w:r>
      <w:r>
        <w:tab/>
      </w:r>
      <w:r>
        <w:rPr>
          <w:u w:val="single"/>
        </w:rPr>
        <w:t>Уровень детской смертности</w:t>
      </w:r>
    </w:p>
    <w:p w:rsidR="00000000" w:rsidRDefault="00000000">
      <w:pPr>
        <w:pStyle w:val="FootnoteText"/>
        <w:spacing w:line="288" w:lineRule="auto"/>
        <w:rPr>
          <w:b/>
          <w:u w:val="single"/>
        </w:rPr>
      </w:pPr>
    </w:p>
    <w:p w:rsidR="00000000" w:rsidRDefault="00000000">
      <w:pPr>
        <w:pStyle w:val="FootnoteText"/>
        <w:spacing w:line="288" w:lineRule="auto"/>
      </w:pPr>
      <w:r>
        <w:t>422.</w:t>
      </w:r>
      <w:r>
        <w:tab/>
        <w:t xml:space="preserve">В основе последних статистических показателей детской смертности лежат данные за 1996 год, когда уровень перинатальной смертности составлял 5,0 на тысячу, а детской смертности - 3,9 на тысячу.  По сравнению с данными за более ранние периоды налицо тенденция постоянного снижения уровня смертности.  Отсутствуют как статистические данные в разбивке по полам, так и результаты сравнительного анализа положения в городских и сельских районах.  Не систематизируется статистическая информация и по социально-экономическим и </w:t>
      </w:r>
    </w:p>
    <w:p w:rsidR="00000000" w:rsidRDefault="00000000">
      <w:pPr>
        <w:pStyle w:val="FootnoteText"/>
        <w:spacing w:line="288" w:lineRule="auto"/>
      </w:pPr>
      <w:r>
        <w:t>географическим категориям.  Министерство социального обеспечения и здравоохранения считает, что в подобных данных об уровне детской смертности не будет никаких заметных различий.</w:t>
      </w:r>
    </w:p>
    <w:p w:rsidR="00000000" w:rsidRDefault="00000000"/>
    <w:p w:rsidR="00000000" w:rsidRDefault="00000000">
      <w:pPr>
        <w:rPr>
          <w:u w:val="single"/>
        </w:rPr>
      </w:pPr>
      <w:r>
        <w:t>4.</w:t>
      </w:r>
      <w:r>
        <w:tab/>
      </w:r>
      <w:r>
        <w:rPr>
          <w:lang w:val="en-US"/>
        </w:rPr>
        <w:t>d</w:t>
      </w:r>
      <w:r>
        <w:t>)</w:t>
      </w:r>
      <w:r>
        <w:tab/>
      </w:r>
      <w:r>
        <w:rPr>
          <w:u w:val="single"/>
        </w:rPr>
        <w:t>Вакцинация детей</w:t>
      </w:r>
    </w:p>
    <w:p w:rsidR="00000000" w:rsidRDefault="00000000">
      <w:pPr>
        <w:rPr>
          <w:u w:val="single"/>
        </w:rPr>
      </w:pPr>
    </w:p>
    <w:p w:rsidR="00000000" w:rsidRDefault="00000000">
      <w:r>
        <w:rPr>
          <w:lang w:val="en-US"/>
        </w:rPr>
        <w:t>423.</w:t>
      </w:r>
      <w:r>
        <w:rPr>
          <w:lang w:val="en-US"/>
        </w:rPr>
        <w:tab/>
        <w:t xml:space="preserve">В </w:t>
      </w:r>
      <w:r>
        <w:t xml:space="preserve">Финляндии программа вакцинация детей носит комплексный характер, и в последнее время она не менялась.  Ниже в таблице, подготовленной Национальным институтом общественного здравоохранения, указан охват и те заболевания, против которых детям делаются прививки.  Охват программой вакцинации указан в отношении детей в возрасте до двух лет.  Чем моложе дети, изучавшиеся для этих целей, тем </w:t>
      </w:r>
      <w:proofErr w:type="spellStart"/>
      <w:r>
        <w:t>комплекснее</w:t>
      </w:r>
      <w:proofErr w:type="spellEnd"/>
      <w:r>
        <w:t xml:space="preserve"> является их вакцинация.</w:t>
      </w:r>
    </w:p>
    <w:p w:rsidR="00000000" w:rsidRDefault="00000000"/>
    <w:p w:rsidR="00000000" w:rsidRDefault="00000000">
      <w:pPr>
        <w:ind w:left="2160" w:hanging="2160"/>
        <w:rPr>
          <w:b/>
          <w:u w:val="single"/>
        </w:rPr>
      </w:pPr>
      <w:r>
        <w:tab/>
        <w:t>Таблица 1.</w:t>
      </w:r>
      <w:r>
        <w:tab/>
      </w:r>
      <w:r>
        <w:tab/>
      </w:r>
      <w:r>
        <w:rPr>
          <w:u w:val="single"/>
        </w:rPr>
        <w:t>Охват программой вакцинации детей в возрасте до двух лет, 1998 год</w:t>
      </w:r>
    </w:p>
    <w:p w:rsidR="00000000" w:rsidRDefault="00000000">
      <w:pPr>
        <w:rPr>
          <w:b/>
          <w:i/>
          <w:u w:val="single"/>
        </w:rPr>
      </w:pPr>
    </w:p>
    <w:p w:rsidR="00000000" w:rsidRDefault="00000000">
      <w:pPr>
        <w:tabs>
          <w:tab w:val="clear" w:pos="1701"/>
          <w:tab w:val="clear" w:pos="2268"/>
          <w:tab w:val="left" w:pos="5103"/>
        </w:tabs>
      </w:pPr>
      <w:r>
        <w:t>Туберкулез</w:t>
      </w:r>
      <w:r>
        <w:tab/>
        <w:t>99,5% (новорожденные)</w:t>
      </w:r>
    </w:p>
    <w:p w:rsidR="00000000" w:rsidRDefault="00000000">
      <w:pPr>
        <w:tabs>
          <w:tab w:val="clear" w:pos="1701"/>
          <w:tab w:val="clear" w:pos="2268"/>
          <w:tab w:val="left" w:pos="5103"/>
        </w:tabs>
        <w:rPr>
          <w:lang w:val="en-US"/>
        </w:rPr>
      </w:pPr>
      <w:r>
        <w:t>Коклюш, дифтерия и столбняк</w:t>
      </w:r>
      <w:r>
        <w:rPr>
          <w:lang w:val="en-US"/>
        </w:rPr>
        <w:tab/>
        <w:t>98,2% (</w:t>
      </w:r>
      <w:r>
        <w:t>двухлетние дети</w:t>
      </w:r>
      <w:r>
        <w:rPr>
          <w:lang w:val="en-US"/>
        </w:rPr>
        <w:t>)</w:t>
      </w:r>
    </w:p>
    <w:p w:rsidR="00000000" w:rsidRDefault="00000000">
      <w:pPr>
        <w:tabs>
          <w:tab w:val="clear" w:pos="1701"/>
          <w:tab w:val="clear" w:pos="2268"/>
          <w:tab w:val="left" w:pos="5103"/>
        </w:tabs>
      </w:pPr>
      <w:r>
        <w:t>Полиомиелит</w:t>
      </w:r>
      <w:r>
        <w:tab/>
        <w:t>98% (двухлетние дети)</w:t>
      </w:r>
    </w:p>
    <w:p w:rsidR="00000000" w:rsidRDefault="00000000">
      <w:pPr>
        <w:tabs>
          <w:tab w:val="clear" w:pos="1701"/>
          <w:tab w:val="clear" w:pos="2268"/>
          <w:tab w:val="left" w:pos="5103"/>
        </w:tabs>
      </w:pPr>
      <w:r>
        <w:t>Корь, паротит, краснуха (корь)</w:t>
      </w:r>
      <w:r>
        <w:tab/>
        <w:t>98,4% (полуторалетние дети)</w:t>
      </w:r>
    </w:p>
    <w:p w:rsidR="00000000" w:rsidRDefault="00000000">
      <w:pPr>
        <w:tabs>
          <w:tab w:val="clear" w:pos="1701"/>
          <w:tab w:val="clear" w:pos="2268"/>
          <w:tab w:val="left" w:pos="5103"/>
        </w:tabs>
      </w:pPr>
    </w:p>
    <w:p w:rsidR="00000000" w:rsidRDefault="00000000">
      <w:pPr>
        <w:rPr>
          <w:lang w:val="en-US"/>
        </w:rPr>
      </w:pPr>
    </w:p>
    <w:p w:rsidR="00000000" w:rsidRDefault="00000000">
      <w:r>
        <w:rPr>
          <w:lang w:val="en-US"/>
        </w:rPr>
        <w:t>424.</w:t>
      </w:r>
      <w:r>
        <w:rPr>
          <w:lang w:val="en-US"/>
        </w:rPr>
        <w:tab/>
        <w:t xml:space="preserve">В </w:t>
      </w:r>
      <w:r>
        <w:t>Финляндии не проводится каких</w:t>
      </w:r>
      <w:r>
        <w:noBreakHyphen/>
        <w:t>либо различий по принципу пола или местожительства (городские/сельские районы).</w:t>
      </w:r>
    </w:p>
    <w:p w:rsidR="00000000" w:rsidRDefault="00000000"/>
    <w:p w:rsidR="00000000" w:rsidRDefault="00000000">
      <w:pPr>
        <w:rPr>
          <w:u w:val="single"/>
        </w:rPr>
      </w:pPr>
      <w:r>
        <w:t>4.</w:t>
      </w:r>
      <w:r>
        <w:tab/>
      </w:r>
      <w:proofErr w:type="spellStart"/>
      <w:r>
        <w:t>е</w:t>
      </w:r>
      <w:proofErr w:type="spellEnd"/>
      <w:r>
        <w:t>)</w:t>
      </w:r>
      <w:r>
        <w:tab/>
      </w:r>
      <w:r>
        <w:rPr>
          <w:u w:val="single"/>
        </w:rPr>
        <w:t>Средняя продолжительность жизни</w:t>
      </w:r>
    </w:p>
    <w:p w:rsidR="00000000" w:rsidRDefault="00000000">
      <w:pPr>
        <w:rPr>
          <w:u w:val="single"/>
        </w:rPr>
      </w:pPr>
    </w:p>
    <w:p w:rsidR="00000000" w:rsidRDefault="00000000">
      <w:r>
        <w:t>425.</w:t>
      </w:r>
      <w:r>
        <w:tab/>
        <w:t>С 40</w:t>
      </w:r>
      <w:r>
        <w:noBreakHyphen/>
        <w:t>х годов в Финляндии уровень смертности снижается, а продолжительность жизни растет.  В показателях смертности по</w:t>
      </w:r>
      <w:r>
        <w:noBreakHyphen/>
        <w:t>прежнему существуют некоторые региональные различия.  Уровень смертности выше в восточных и северных районах Финляндии, особенно что касается мужчин (сердечно-сосудистые и раковые заболевания, несчастные случаи).  Средняя продолжительность жизни, как правило, ниже среди менее образованных слоев населения.  По оценкам, к первому десятилетию нового тысячелетия средняя продолжительность жизни мужчин составит примерно 74 года (сегодня – 72,8 года), а женщин – почти 81 год (сегодня – 80,2 года).</w:t>
      </w:r>
    </w:p>
    <w:p w:rsidR="00000000" w:rsidRDefault="00000000"/>
    <w:p w:rsidR="00000000" w:rsidRDefault="00000000">
      <w:pPr>
        <w:rPr>
          <w:u w:val="single"/>
        </w:rPr>
      </w:pPr>
      <w:r>
        <w:t>4.</w:t>
      </w:r>
      <w:r>
        <w:tab/>
      </w:r>
      <w:r>
        <w:rPr>
          <w:lang w:val="en-US"/>
        </w:rPr>
        <w:t>g</w:t>
      </w:r>
      <w:r>
        <w:t>)</w:t>
      </w:r>
      <w:r>
        <w:tab/>
      </w:r>
      <w:r>
        <w:rPr>
          <w:u w:val="single"/>
        </w:rPr>
        <w:t>Беременность и деторождение</w:t>
      </w:r>
    </w:p>
    <w:p w:rsidR="00000000" w:rsidRDefault="00000000">
      <w:pPr>
        <w:rPr>
          <w:b/>
          <w:u w:val="single"/>
        </w:rPr>
      </w:pPr>
    </w:p>
    <w:p w:rsidR="00000000" w:rsidRDefault="00000000">
      <w:r>
        <w:rPr>
          <w:lang w:val="en-US"/>
        </w:rPr>
        <w:t>426.</w:t>
      </w:r>
      <w:r>
        <w:rPr>
          <w:lang w:val="en-US"/>
        </w:rPr>
        <w:tab/>
        <w:t xml:space="preserve">В </w:t>
      </w:r>
      <w:r>
        <w:t>Финляндии все женщины имеют доступ к консультациям и уходу до, в течение и после деторождения.  В финских родильных домах, поликлиниках и госпиталях работает лишь квалифицированный персонал.  В Финляндии уровень материнской смертности является очень низким.</w:t>
      </w:r>
    </w:p>
    <w:p w:rsidR="00000000" w:rsidRDefault="00000000"/>
    <w:p w:rsidR="00000000" w:rsidRDefault="00000000">
      <w:pPr>
        <w:rPr>
          <w:u w:val="single"/>
        </w:rPr>
      </w:pPr>
      <w:r>
        <w:t>4.</w:t>
      </w:r>
      <w:r>
        <w:tab/>
      </w:r>
      <w:r>
        <w:rPr>
          <w:lang w:val="en-US"/>
        </w:rPr>
        <w:t>h</w:t>
      </w:r>
      <w:r>
        <w:t>)</w:t>
      </w:r>
      <w:r>
        <w:tab/>
      </w:r>
      <w:r>
        <w:rPr>
          <w:u w:val="single"/>
        </w:rPr>
        <w:t>Охрана детства</w:t>
      </w:r>
    </w:p>
    <w:p w:rsidR="00000000" w:rsidRDefault="00000000">
      <w:pPr>
        <w:rPr>
          <w:b/>
          <w:u w:val="single"/>
        </w:rPr>
      </w:pPr>
    </w:p>
    <w:p w:rsidR="00000000" w:rsidRDefault="00000000">
      <w:pPr>
        <w:rPr>
          <w:u w:val="single"/>
        </w:rPr>
      </w:pPr>
      <w:r>
        <w:t>427.</w:t>
      </w:r>
      <w:r>
        <w:tab/>
        <w:t>В 1997 году в сфере ухода за детьми раннего возраста было занято в общей сложности 49 500 человек.  Число работников, имеющих медико-санитарное образование, точно неизвестно.  В 1997 году 25 200 человек с медико-санитарным образованием работали в сфере базового медико-санитарного обслуживания вне медицинских учреждений, и еще 61 500 человек – в специальных стационарных медицинских учреждениях.</w:t>
      </w:r>
    </w:p>
    <w:p w:rsidR="00000000" w:rsidRDefault="00000000">
      <w:pPr>
        <w:rPr>
          <w:u w:val="single"/>
        </w:rPr>
      </w:pPr>
    </w:p>
    <w:p w:rsidR="00000000" w:rsidRDefault="00000000">
      <w:pPr>
        <w:rPr>
          <w:u w:val="single"/>
        </w:rPr>
      </w:pPr>
      <w:r>
        <w:t>5.</w:t>
      </w:r>
      <w:r>
        <w:tab/>
      </w:r>
      <w:proofErr w:type="spellStart"/>
      <w:r>
        <w:t>е</w:t>
      </w:r>
      <w:proofErr w:type="spellEnd"/>
      <w:r>
        <w:t>)</w:t>
      </w:r>
      <w:r>
        <w:tab/>
      </w:r>
      <w:r>
        <w:rPr>
          <w:u w:val="single"/>
        </w:rPr>
        <w:t>Услуги здравоохранения</w:t>
      </w:r>
    </w:p>
    <w:p w:rsidR="00000000" w:rsidRDefault="00000000">
      <w:pPr>
        <w:rPr>
          <w:b/>
          <w:u w:val="single"/>
        </w:rPr>
      </w:pPr>
    </w:p>
    <w:p w:rsidR="00000000" w:rsidRDefault="00000000">
      <w:r>
        <w:t>428.</w:t>
      </w:r>
      <w:r>
        <w:tab/>
        <w:t>Национальные руководящие принципы охраны материнства и детства, принятые в Финляндии в 1995 году, постоянно обновляются.  Закон об общественном здравоохранении обязывает все муниципалитеты на подведомственной им территории создавать клиники по охране материнства и детства.  Эти клиники гарантируют всем матерям на этапе беременности и деторождения, а также детям младшего возраста равный доступ к медицинскому обслуживанию независимо от места их проживания, социально-экономического положения или других факторов.</w:t>
      </w:r>
    </w:p>
    <w:p w:rsidR="00000000" w:rsidRDefault="00000000"/>
    <w:p w:rsidR="00000000" w:rsidRDefault="00000000">
      <w:r>
        <w:t>429.</w:t>
      </w:r>
      <w:r>
        <w:tab/>
        <w:t>Положения закона требуют того, чтобы медицинское обслуживание матерей и детей осуществлялось лишь квалифицированным персоналом клиник, функционирующих как в рамках базовой системы здравоохранения, так и специальных клиник.</w:t>
      </w:r>
    </w:p>
    <w:p w:rsidR="00000000" w:rsidRDefault="00000000"/>
    <w:p w:rsidR="00000000" w:rsidRDefault="00000000">
      <w:pPr>
        <w:rPr>
          <w:u w:val="single"/>
        </w:rPr>
      </w:pPr>
      <w:r>
        <w:t>5.</w:t>
      </w:r>
      <w:r>
        <w:tab/>
      </w:r>
      <w:r>
        <w:rPr>
          <w:lang w:val="en-US"/>
        </w:rPr>
        <w:t>h</w:t>
      </w:r>
      <w:r>
        <w:t>)</w:t>
      </w:r>
      <w:r>
        <w:tab/>
      </w:r>
      <w:r>
        <w:rPr>
          <w:u w:val="single"/>
        </w:rPr>
        <w:t>Развитие услуг здравоохранения</w:t>
      </w:r>
    </w:p>
    <w:p w:rsidR="00000000" w:rsidRDefault="00000000">
      <w:pPr>
        <w:rPr>
          <w:b/>
          <w:u w:val="single"/>
        </w:rPr>
      </w:pPr>
    </w:p>
    <w:p w:rsidR="00000000" w:rsidRDefault="00000000">
      <w:pPr>
        <w:rPr>
          <w:lang w:val="en-US"/>
        </w:rPr>
      </w:pPr>
      <w:r>
        <w:rPr>
          <w:lang w:val="en-US"/>
        </w:rPr>
        <w:t>430.</w:t>
      </w:r>
      <w:r>
        <w:rPr>
          <w:lang w:val="en-US"/>
        </w:rPr>
        <w:tab/>
        <w:t>В 1997 </w:t>
      </w:r>
      <w:r>
        <w:t>году министерство социального обеспечения и здравоохранения в сотрудничестве с ассоциацией финских муниципалитетов приступило к осуществлению проекта, направленного на совершенствование медицинского обслуживания.  Цель заключалась в том, чтобы выявить все неудобства и трудности, с которыми сталкиваются пациенты, а также факторы, снижающие эффективность работы системы здравоохранения, и найти пути их должного решения.  Было подробно проанализировано положение дел в стране, и результаты этого анализа были опубликованы в докладах, озаглавленных "</w:t>
      </w:r>
      <w:proofErr w:type="spellStart"/>
      <w:r>
        <w:rPr>
          <w:lang w:val="en-US"/>
        </w:rPr>
        <w:t>Asiakkaan</w:t>
      </w:r>
      <w:proofErr w:type="spellEnd"/>
      <w:r>
        <w:rPr>
          <w:lang w:val="en-US"/>
        </w:rPr>
        <w:t xml:space="preserve"> </w:t>
      </w:r>
      <w:proofErr w:type="spellStart"/>
      <w:r>
        <w:rPr>
          <w:lang w:val="en-US"/>
        </w:rPr>
        <w:t>asema</w:t>
      </w:r>
      <w:proofErr w:type="spellEnd"/>
      <w:r>
        <w:rPr>
          <w:lang w:val="en-US"/>
        </w:rPr>
        <w:t xml:space="preserve"> </w:t>
      </w:r>
      <w:proofErr w:type="spellStart"/>
      <w:r>
        <w:rPr>
          <w:lang w:val="en-US"/>
        </w:rPr>
        <w:t>terveydenhuollossa</w:t>
      </w:r>
      <w:proofErr w:type="spellEnd"/>
      <w:r>
        <w:rPr>
          <w:lang w:val="en-US"/>
        </w:rPr>
        <w:t>" и "</w:t>
      </w:r>
      <w:proofErr w:type="spellStart"/>
      <w:r>
        <w:rPr>
          <w:lang w:val="en-US"/>
        </w:rPr>
        <w:t>Terveydenhoullon</w:t>
      </w:r>
      <w:proofErr w:type="spellEnd"/>
      <w:r>
        <w:rPr>
          <w:lang w:val="en-US"/>
        </w:rPr>
        <w:t xml:space="preserve"> </w:t>
      </w:r>
      <w:proofErr w:type="spellStart"/>
      <w:r>
        <w:rPr>
          <w:lang w:val="en-US"/>
        </w:rPr>
        <w:t>toimivuus</w:t>
      </w:r>
      <w:proofErr w:type="spellEnd"/>
      <w:r>
        <w:rPr>
          <w:lang w:val="en-US"/>
        </w:rPr>
        <w:t>" ("</w:t>
      </w:r>
      <w:r>
        <w:t>Положение пациентов в системе здравоохранения" и "Эффективность услуг здравоохранения"</w:t>
      </w:r>
      <w:r>
        <w:rPr>
          <w:lang w:val="en-US"/>
        </w:rPr>
        <w:t>).</w:t>
      </w:r>
    </w:p>
    <w:p w:rsidR="00000000" w:rsidRDefault="00000000">
      <w:pPr>
        <w:rPr>
          <w:lang w:val="en-US"/>
        </w:rPr>
      </w:pPr>
    </w:p>
    <w:p w:rsidR="00000000" w:rsidRDefault="00000000">
      <w:r>
        <w:rPr>
          <w:lang w:val="en-US"/>
        </w:rPr>
        <w:t>431.</w:t>
      </w:r>
      <w:r>
        <w:rPr>
          <w:lang w:val="en-US"/>
        </w:rPr>
        <w:tab/>
      </w:r>
      <w:r>
        <w:t>По итогам анализа группа по управлению проектом сформулировала национальную программу действий "</w:t>
      </w:r>
      <w:proofErr w:type="spellStart"/>
      <w:r>
        <w:rPr>
          <w:lang w:val="en-US"/>
        </w:rPr>
        <w:t>Terveydenhoulto</w:t>
      </w:r>
      <w:proofErr w:type="spellEnd"/>
      <w:r>
        <w:rPr>
          <w:lang w:val="en-US"/>
        </w:rPr>
        <w:t xml:space="preserve"> 2000</w:t>
      </w:r>
      <w:r>
        <w:rPr>
          <w:lang w:val="en-US"/>
        </w:rPr>
        <w:noBreakHyphen/>
        <w:t>luvulle</w:t>
      </w:r>
      <w:r>
        <w:t>" ("Система здравоохранения на пути к XXI веку"), в которой подробно излагаются необходимые меры и функции ответственных за их принятие сторон.  Программа действий требует улучшения положения пациентов, совершенствования мер профилактики, расширения доступа к услугам здравоохранения и повышения их эффективности, ужесточения контроля за качеством и учета последних научных достижений, сохранения высокого профессионального уровня кадров и обеспечения должного финансирования здравоохранения.  В 1998 году министерство учредило пять региональных групп для подготовки на основе сотрудничества программ действий для каждого из регионов и обеспечения их осуществления.  На местном и региональном уровнях за развитие услуг здравоохранения отвечают муниципалитеты, районное руководство системой здравоохранения и медико-санитарные центры.  Этот проект будет осуществляться до конца 2001 года, и его результаты будут проанализированы в первой половине 2002 года.</w:t>
      </w:r>
    </w:p>
    <w:p w:rsidR="00000000" w:rsidRDefault="00000000"/>
    <w:p w:rsidR="00000000" w:rsidRDefault="00000000">
      <w:pPr>
        <w:rPr>
          <w:u w:val="single"/>
        </w:rPr>
      </w:pPr>
      <w:r>
        <w:t>8.</w:t>
      </w:r>
      <w:r>
        <w:tab/>
      </w:r>
      <w:r>
        <w:rPr>
          <w:u w:val="single"/>
        </w:rPr>
        <w:t>Профессиональная подготовка сотрудников системы здравоохранения</w:t>
      </w:r>
    </w:p>
    <w:p w:rsidR="00000000" w:rsidRDefault="00000000">
      <w:pPr>
        <w:rPr>
          <w:b/>
          <w:u w:val="single"/>
        </w:rPr>
      </w:pPr>
    </w:p>
    <w:p w:rsidR="00000000" w:rsidRDefault="00000000">
      <w:r>
        <w:t>432.</w:t>
      </w:r>
      <w:r>
        <w:tab/>
        <w:t xml:space="preserve">Для того чтобы заниматься медицинской практикой в Финляндии, необходимо получить диплом соответствующего учреждения, как того требуют директивы ЕС.  Неквалифицированный персонал в финской системе здравоохранения является большой </w:t>
      </w:r>
    </w:p>
    <w:p w:rsidR="00000000" w:rsidRDefault="00000000">
      <w:r>
        <w:br w:type="page"/>
        <w:t>редкостью.  Согласно требованиям Закона о сотрудниках системы здравоохранения, работник этой сферы обязан поддерживать и повышать свой профессиональный уровень.  Ответственность за создание необходимых для этого условий лежит на работодателе.</w:t>
      </w:r>
    </w:p>
    <w:p w:rsidR="00000000" w:rsidRDefault="00000000"/>
    <w:p w:rsidR="00000000" w:rsidRDefault="00000000">
      <w:r>
        <w:t>433.</w:t>
      </w:r>
      <w:r>
        <w:tab/>
        <w:t>Краткосрочные программы повышения квалификации также важны, поскольку они помогают повышать профессиональный уровень сотрудников.  В рамках программы "</w:t>
      </w:r>
      <w:proofErr w:type="spellStart"/>
      <w:r>
        <w:rPr>
          <w:lang w:val="en-US"/>
        </w:rPr>
        <w:t>Terveydenhuolto</w:t>
      </w:r>
      <w:proofErr w:type="spellEnd"/>
      <w:r>
        <w:rPr>
          <w:lang w:val="en-US"/>
        </w:rPr>
        <w:t xml:space="preserve"> 2000</w:t>
      </w:r>
      <w:r>
        <w:rPr>
          <w:lang w:val="en-US"/>
        </w:rPr>
        <w:noBreakHyphen/>
        <w:t>luvulle</w:t>
      </w:r>
      <w:r>
        <w:t xml:space="preserve">", которая будет проводиться в жизнь до конца 2001 года, в сотрудничестве с учебными и функциональными учреждениями в соответствующих регионах будет проведена оценка потребностей в дальнейшей подготовке кадров и разработаны соответствующие планы.  Учебные заведения и </w:t>
      </w:r>
    </w:p>
    <w:p w:rsidR="00000000" w:rsidRDefault="00000000">
      <w:r>
        <w:t>работодатели также принимают совместные меры для поощрения сотрудников сферы здравоохранения к повышению их профессионального уровня и совершенствованию методов работы.</w:t>
      </w:r>
    </w:p>
    <w:p w:rsidR="00000000" w:rsidRDefault="00000000"/>
    <w:p w:rsidR="00000000" w:rsidRDefault="00000000">
      <w:pPr>
        <w:pStyle w:val="Heading7"/>
        <w:tabs>
          <w:tab w:val="left" w:pos="567"/>
          <w:tab w:val="left" w:pos="1134"/>
          <w:tab w:val="left" w:pos="1701"/>
          <w:tab w:val="left" w:pos="2268"/>
          <w:tab w:val="left" w:pos="6237"/>
        </w:tabs>
        <w:spacing w:line="288" w:lineRule="auto"/>
      </w:pPr>
      <w:r>
        <w:t>Статья 13</w:t>
      </w:r>
    </w:p>
    <w:p w:rsidR="00000000" w:rsidRDefault="00000000">
      <w:pPr>
        <w:jc w:val="center"/>
        <w:rPr>
          <w:b/>
          <w:u w:val="single"/>
        </w:rPr>
      </w:pPr>
    </w:p>
    <w:p w:rsidR="00000000" w:rsidRDefault="00000000">
      <w:r>
        <w:t>434.</w:t>
      </w:r>
      <w:r>
        <w:tab/>
        <w:t>В рамках реформы основных прав нормы, касающиеся сферы образования, были сведены воедино в статье 13 Конституции Финляндии.  Предложение правительства на этот счет рассматривалось в соответствующей статье предыдущего доклада.  Правовые нормы закреплены в разделе 16 Конституции Финляндии.</w:t>
      </w:r>
    </w:p>
    <w:p w:rsidR="00000000" w:rsidRDefault="00000000"/>
    <w:p w:rsidR="00000000" w:rsidRDefault="00000000">
      <w:r>
        <w:t>435.</w:t>
      </w:r>
      <w:r>
        <w:tab/>
        <w:t>В течение прошлого десятилетия в законодательство по вопросам образования были внесены коренные изменения, касающиеся всех этапов образования, начиная от дошкольного и кончая высшим.  Реформа была завершена 1 января 1999 года после вступления в силу Закона о базовом образования (628/1998), Закона о высшей средней школе (629/1998), Закона о профессиональной подготовке (630/1998), Закона о профессиональной подготовке совершеннолетних (631/1998), Закона о свободном обучении совершеннолетних (632/1998) и Закона о базовом обучении искусствам (633/1998).  В этот же период вступили в силу Законы об управлении государственными и частными учебными заведениями и о финансировании сферы образования и культуры.  Закон об университетах (645/1997) и Закон о реализации Закона об университетах (646/1997) вступили в силу 1 августа 1997 года.</w:t>
      </w:r>
    </w:p>
    <w:p w:rsidR="00000000" w:rsidRDefault="00000000"/>
    <w:p w:rsidR="00000000" w:rsidRDefault="00000000">
      <w:r>
        <w:t>436.</w:t>
      </w:r>
      <w:r>
        <w:tab/>
        <w:t>Основная цель реформы заключалась в совершенствовании законодательства в сфере образования и уменьшении числа разрозненных законодательных актов.  Был проведен всесторонний анализ законодательства в целях выявления тех актов, которые особенно важны для эффективной работы системы образования и которые требуют национальной стандартизации.  С одной стороны, цель заключалась в том, чтобы переложить ответственность с правительства на муниципалитеты и другие учреждения системы образования, а с другой – в том, чтобы предоставить учащимся и студентам более широкие возможности для выбора учебных заведений и изучаемых предметов.  Еще одна цель заключалась в повышении уровня образования и уточнении комплекса стоящих перед системой образования задач.  Сама система образования, которая описывалась во втором периодическом докладе (</w:t>
      </w:r>
      <w:r>
        <w:rPr>
          <w:lang w:val="en-US"/>
        </w:rPr>
        <w:t>E/1990/7/Add.1</w:t>
      </w:r>
      <w:r>
        <w:t>) и дополнительном докладе, не претерпела сколь</w:t>
      </w:r>
      <w:r>
        <w:rPr>
          <w:lang w:val="en-US"/>
        </w:rPr>
        <w:noBreakHyphen/>
      </w:r>
      <w:r>
        <w:t>либо серьезных изменений.</w:t>
      </w:r>
    </w:p>
    <w:p w:rsidR="00000000" w:rsidRDefault="00000000"/>
    <w:p w:rsidR="00000000" w:rsidRDefault="00000000">
      <w:pPr>
        <w:rPr>
          <w:u w:val="single"/>
        </w:rPr>
      </w:pPr>
      <w:r>
        <w:t>1.</w:t>
      </w:r>
      <w:r>
        <w:tab/>
        <w:t>а)</w:t>
      </w:r>
      <w:r>
        <w:tab/>
      </w:r>
      <w:r>
        <w:rPr>
          <w:u w:val="single"/>
        </w:rPr>
        <w:t>Бесплатное образование</w:t>
      </w:r>
    </w:p>
    <w:p w:rsidR="00000000" w:rsidRDefault="00000000">
      <w:pPr>
        <w:rPr>
          <w:b/>
          <w:u w:val="single"/>
        </w:rPr>
      </w:pPr>
    </w:p>
    <w:p w:rsidR="00000000" w:rsidRDefault="00000000">
      <w:r>
        <w:t>437.</w:t>
      </w:r>
      <w:r>
        <w:tab/>
        <w:t>В Законе о базовом образовании, а также в статье 13 Конституции Финляндии закреплен принцип бесплатного образования.  Муниципалитеты обязаны обеспечивать всем детям школьного возраста на своей территории обязательное базовое образование, а также учебные материалы и принадлежности.  Один раз в день школьники получают бесплатное питание.  В тех случаях, когда расстояние до школы превышает пять километров или когда с учетом возраста и положения учащихся дорога в школу является слишком утомительной, должен быть обеспечен бесплатный транспорт.  Дети-инвалиды имеют право на бесплатное сопровождение и такую школьную помощь, которая необходима им для посещения школы.</w:t>
      </w:r>
    </w:p>
    <w:p w:rsidR="00000000" w:rsidRDefault="00000000"/>
    <w:p w:rsidR="00000000" w:rsidRDefault="00000000">
      <w:r>
        <w:t>438.</w:t>
      </w:r>
      <w:r>
        <w:tab/>
        <w:t>Бюджет различных административных структур на период с 1997 по 1999 год был установлен правительством в 1996 году, когда после выхода из спада требовались различные меры по сокращению расходов.  Важнейшая финансовая задача заключалась в том, чтобы остановить рост долевого отношения государственного долга к ВВП, что привело также к ограничению дискреционных расходов.  Режим жесткой экономии продолжал отражаться на политике в области образования и в последние несколько лет, обусловливая, в частности, необходимость в ограничении государственного субсидирования муниципалитетов.  Некоторым муниципалитетам в этих условиях пришлось временно сократить штат учителей в целях снижения расходов на общеобразовательные услуги.  В 1997 году в общей сложности 47 муниципалитетов предлагали учителям уйти в административный отпуск продолжительностью от нескольких дней до одного месяца.  Такая практика подвергалась повсеместной критике, поскольку она ставила под угрозу возможность осуществления школьниками своих основных прав.  Новое законодательство, вступившее в силу в 1999 году, ограничивает возможности для увольнения учителей.  Лишь несколько муниципалитетов заявили о своих планах временно сократить штат учителей в 1999 году.</w:t>
      </w:r>
    </w:p>
    <w:p w:rsidR="00000000" w:rsidRDefault="00000000"/>
    <w:p w:rsidR="00000000" w:rsidRDefault="00000000">
      <w:r>
        <w:t>439.</w:t>
      </w:r>
      <w:r>
        <w:tab/>
        <w:t xml:space="preserve">В соответствии с поправкой к Закону о финансировании общеобразовательных и библиотечных услуг, принятой 15 мая 1997 года, доля муниципалитетов в финансировании расходов, связанных с работой системы образования и библиотек, сокращается.  В 1997 году размер государственных субсидий на покрытие расходов учебных заведений и библиотек составил 4 719 000 фин. марок;  3 735 000 фин. марок было выделено муниципальным федерациям, а 2 074 000 фин. марок </w:t>
      </w:r>
      <w:r>
        <w:rPr>
          <w:lang w:val="en-US"/>
        </w:rPr>
        <w:t xml:space="preserve">– </w:t>
      </w:r>
      <w:r>
        <w:t>частным ассоциациям.</w:t>
      </w:r>
    </w:p>
    <w:p w:rsidR="00000000" w:rsidRDefault="00000000"/>
    <w:p w:rsidR="00000000" w:rsidRDefault="00000000">
      <w:pPr>
        <w:rPr>
          <w:u w:val="single"/>
        </w:rPr>
      </w:pPr>
      <w:r>
        <w:t>1.</w:t>
      </w:r>
      <w:r>
        <w:tab/>
      </w:r>
      <w:r>
        <w:rPr>
          <w:lang w:val="en-US"/>
        </w:rPr>
        <w:t>b</w:t>
      </w:r>
      <w:r>
        <w:t>)</w:t>
      </w:r>
      <w:r>
        <w:tab/>
      </w:r>
      <w:r>
        <w:rPr>
          <w:u w:val="single"/>
        </w:rPr>
        <w:t>Бесплатное среднее образование</w:t>
      </w:r>
    </w:p>
    <w:p w:rsidR="00000000" w:rsidRDefault="00000000">
      <w:pPr>
        <w:rPr>
          <w:b/>
          <w:u w:val="single"/>
        </w:rPr>
      </w:pPr>
    </w:p>
    <w:p w:rsidR="00000000" w:rsidRDefault="00000000">
      <w:r>
        <w:t>440.</w:t>
      </w:r>
      <w:r>
        <w:tab/>
        <w:t>В Законе о высшей средней школе (629/1998) содержатся положения, регулирующие получение дальнейшего образования в рамках базовой общеобразовательной программы.  Так же, как и базовое образование, высшее среднее образование является бесплатным.  Учащиеся могут записываться в высшую среднюю школу по своему усмотрению.  После завершения высшей средней школы учащийся имеет право на поступление в университет, политехническое или другое профессиональное училище.</w:t>
      </w:r>
    </w:p>
    <w:p w:rsidR="00000000" w:rsidRDefault="00000000"/>
    <w:p w:rsidR="00000000" w:rsidRDefault="00000000">
      <w:r>
        <w:t>441.</w:t>
      </w:r>
      <w:r>
        <w:tab/>
        <w:t>В Законе о профессиональной подготовке (630/1998) содержатся нормы в отношении базового профессионального обучения молодежи и взрослых, а также о соответствующих дипломах.  Учащиеся имеют право самостоятельно выбирать направление своей профессиональной подготовки.  На базовом уровне образование является бесплатным.  Учащиеся, которые находятся в учебных заведениях полный учебный день, имеют право на одноразовое бесплатное питание.  Кроме того, бесплатным является и проживание в общежитиях учебных заведений.  Что касается преддипломной базовой программы подготовки, то могут быть организованы такие виды стажировки, которые тесно связаны с учебными курсами.  Для учащихся-инвалидов могут быть организованы подготовительные курсы, а также программы реабилитации и консультаций.</w:t>
      </w:r>
    </w:p>
    <w:p w:rsidR="00000000" w:rsidRDefault="00000000"/>
    <w:p w:rsidR="00000000" w:rsidRDefault="00000000">
      <w:pPr>
        <w:rPr>
          <w:u w:val="single"/>
        </w:rPr>
      </w:pPr>
      <w:r>
        <w:t>1.</w:t>
      </w:r>
      <w:r>
        <w:tab/>
        <w:t>с)</w:t>
      </w:r>
      <w:r>
        <w:tab/>
      </w:r>
      <w:r>
        <w:rPr>
          <w:u w:val="single"/>
        </w:rPr>
        <w:t xml:space="preserve">Бесплатное высшее образование </w:t>
      </w:r>
    </w:p>
    <w:p w:rsidR="00000000" w:rsidRDefault="00000000">
      <w:pPr>
        <w:rPr>
          <w:b/>
          <w:u w:val="single"/>
        </w:rPr>
      </w:pPr>
    </w:p>
    <w:p w:rsidR="00000000" w:rsidRDefault="00000000">
      <w:r>
        <w:t>442.</w:t>
      </w:r>
      <w:r>
        <w:tab/>
        <w:t xml:space="preserve">Действие Закона об университетах (645/1997) распространяется на 20 перечисленных в нем университетов и других высших учебных заведений.  Для студентов, претендующих на получение диплома, обучение является бесплатным.  Положения Закона о политехнических училищах (255/1995) распространяются на 31 училище.  Обучение с целью получения политехнического диплома является бесплатным.  </w:t>
      </w:r>
    </w:p>
    <w:p w:rsidR="00000000" w:rsidRDefault="00000000"/>
    <w:p w:rsidR="00000000" w:rsidRDefault="00000000">
      <w:pPr>
        <w:rPr>
          <w:u w:val="single"/>
        </w:rPr>
      </w:pPr>
      <w:r>
        <w:t>1.</w:t>
      </w:r>
      <w:r>
        <w:tab/>
      </w:r>
      <w:r>
        <w:rPr>
          <w:lang w:val="en-US"/>
        </w:rPr>
        <w:t>d</w:t>
      </w:r>
      <w:r>
        <w:t>)</w:t>
      </w:r>
      <w:r>
        <w:tab/>
      </w:r>
      <w:r>
        <w:rPr>
          <w:u w:val="single"/>
        </w:rPr>
        <w:t>Вспомогательные меры в сфере бесплатного базового образования</w:t>
      </w:r>
    </w:p>
    <w:p w:rsidR="00000000" w:rsidRDefault="00000000">
      <w:pPr>
        <w:rPr>
          <w:b/>
          <w:u w:val="single"/>
        </w:rPr>
      </w:pPr>
    </w:p>
    <w:p w:rsidR="00000000" w:rsidRDefault="00000000">
      <w:r>
        <w:t>443.</w:t>
      </w:r>
      <w:r>
        <w:tab/>
        <w:t xml:space="preserve">В соответствии с Законом о базовом бесплатном образовании для отстающих учащихся и учащихся, сталкивающихся с проблемами адаптации, организуются дополнительные занятия после уроков.  В 1994/95 учебном году дополнительные занятия посещали 16% всех учащихся общеобразовательных школ (94 000 </w:t>
      </w:r>
    </w:p>
    <w:p w:rsidR="00000000" w:rsidRDefault="00000000">
      <w:r>
        <w:t>учащихся).  Большинство из них (12,5%) посещали дополнительные занятия лишь по некоторым предметам и лишь 3,5% обучались в специальных классах по полной учебной программе.</w:t>
      </w:r>
    </w:p>
    <w:p w:rsidR="00000000" w:rsidRDefault="00000000"/>
    <w:p w:rsidR="00000000" w:rsidRDefault="00000000">
      <w:r>
        <w:t>444.</w:t>
      </w:r>
      <w:r>
        <w:tab/>
        <w:t>В некоторых муниципалитетах учащимся, заканчивающим общеобразовательную школу, предоставляется возможность записаться в дополнительный десятый класс.  В 1996 году в дополнительных классах учились примерно 2 600 человек.</w:t>
      </w:r>
    </w:p>
    <w:p w:rsidR="00000000" w:rsidRDefault="00000000"/>
    <w:p w:rsidR="00000000" w:rsidRDefault="00000000">
      <w:r>
        <w:t>445.</w:t>
      </w:r>
      <w:r>
        <w:tab/>
        <w:t>В соответствии с Законом о профессиональной подготовке для учащихся, которым по причинам инвалидности, болезни, запоздалого развития, психического расстройства или по каким-либо иным причинам требуется учебная и социальная помощь, существует программа специального обучения.  В 1995 году этой программой было охвачено примерно 3 400 учащихся профессионально-технических училищ (т.е. 7% всех учащихся таких училищ).  Те учащиеся, которым трудно обучаться в профессионально-техническом училище, могут закончить учебу, посещая профессионально-технические семинары.</w:t>
      </w:r>
    </w:p>
    <w:p w:rsidR="00000000" w:rsidRDefault="00000000"/>
    <w:p w:rsidR="00000000" w:rsidRDefault="00000000">
      <w:r>
        <w:t>446.</w:t>
      </w:r>
      <w:r>
        <w:tab/>
        <w:t>Министерство просвещения и Национальный совет по вопросам просвещения разработали проект развития системы специального образования, который будет осуществляться до 2000 года.</w:t>
      </w:r>
    </w:p>
    <w:p w:rsidR="00000000" w:rsidRDefault="00000000"/>
    <w:p w:rsidR="00000000" w:rsidRDefault="00000000">
      <w:pPr>
        <w:rPr>
          <w:u w:val="single"/>
        </w:rPr>
      </w:pPr>
      <w:r>
        <w:rPr>
          <w:lang w:val="en-US"/>
        </w:rPr>
        <w:t>2.</w:t>
      </w:r>
      <w:r>
        <w:rPr>
          <w:lang w:val="en-US"/>
        </w:rPr>
        <w:tab/>
      </w:r>
      <w:r>
        <w:rPr>
          <w:u w:val="single"/>
        </w:rPr>
        <w:t>Цели получения образования</w:t>
      </w:r>
    </w:p>
    <w:p w:rsidR="00000000" w:rsidRDefault="00000000">
      <w:pPr>
        <w:rPr>
          <w:b/>
          <w:u w:val="single"/>
        </w:rPr>
      </w:pPr>
    </w:p>
    <w:p w:rsidR="00000000" w:rsidRDefault="00000000">
      <w:r>
        <w:t>447.</w:t>
      </w:r>
      <w:r>
        <w:tab/>
        <w:t>Как говорится во втором периодическом докладе (</w:t>
      </w:r>
      <w:r>
        <w:rPr>
          <w:lang w:val="en-US"/>
        </w:rPr>
        <w:t>E/1990/7/Add.1)</w:t>
      </w:r>
      <w:r>
        <w:t xml:space="preserve"> и дополнительном докладе, представленных Финляндией, возможности для самосовершенствования на протяжении всей жизни в стране открыты для всех, кто этого желает.  Цели работы системы образования рассматривались во втором периодическом докладе по правам ребенка (статья 29).</w:t>
      </w:r>
    </w:p>
    <w:p w:rsidR="00000000" w:rsidRDefault="00000000"/>
    <w:p w:rsidR="00000000" w:rsidRDefault="00000000">
      <w:r>
        <w:t>448.</w:t>
      </w:r>
      <w:r>
        <w:tab/>
        <w:t xml:space="preserve">Обучение гражданским профессиям и основам информатики, необходимым в информационном обществе, а также самосовершенствование на протяжении всей жизни стимулируются, например, посредством программы "Финляндия на пути в информационную эру", спонсором которой является министерство просвещения, выделявшее на ее осуществление в 1996-1999 годах ежегодно порядка 15 млн. </w:t>
      </w:r>
      <w:proofErr w:type="spellStart"/>
      <w:r>
        <w:t>фин</w:t>
      </w:r>
      <w:proofErr w:type="spellEnd"/>
      <w:r>
        <w:t xml:space="preserve">. марок.  Благодаря финансовой поддержке музеи и библиотеки смогли компьютеризировать информацию о своих коллекциях, были созданы сети </w:t>
      </w:r>
    </w:p>
    <w:p w:rsidR="00000000" w:rsidRDefault="00000000">
      <w:r>
        <w:t xml:space="preserve">библиотек и виртуальные библиотеки.  Около 70% финских библиотек входят в региональную библиотечную сеть, причем в конце 1998 года 90% всех библиотек были подключены к </w:t>
      </w:r>
      <w:proofErr w:type="spellStart"/>
      <w:r>
        <w:t>Интернету</w:t>
      </w:r>
      <w:proofErr w:type="spellEnd"/>
      <w:r>
        <w:t>.</w:t>
      </w:r>
    </w:p>
    <w:p w:rsidR="00000000" w:rsidRDefault="00000000"/>
    <w:p w:rsidR="00000000" w:rsidRDefault="00000000">
      <w:r>
        <w:t>449.</w:t>
      </w:r>
      <w:r>
        <w:tab/>
        <w:t>В большинстве финских городов общественные библиотеки выполняют функции школьных библиотек.  В последние годы с развитием новых методов обучения, основанных на самостоятельном независимом поиске информации, а также с увеличением объема неструктурированной информации после появления глобальных сетей сотрудничество между школами и библиотеками стало укрепляться.  По данным обследования, проведенного в 90-х годах Международной ассоциацией по оценке академической успеваемости более чем в 30 странах, финские дети и подростки являются "самыми читающими в мире".  В международном контексте было отмечено, что письменная культура и близость библиотек и книжных магазинов являются важнейшими факторами, помогающими повышению грамотности и улучшению понимания письменной информации.</w:t>
      </w:r>
    </w:p>
    <w:p w:rsidR="00000000" w:rsidRDefault="00000000"/>
    <w:p w:rsidR="00000000" w:rsidRDefault="00000000">
      <w:pPr>
        <w:rPr>
          <w:u w:val="single"/>
        </w:rPr>
      </w:pPr>
      <w:r>
        <w:t>3.</w:t>
      </w:r>
      <w:r>
        <w:tab/>
      </w:r>
      <w:r>
        <w:rPr>
          <w:u w:val="single"/>
        </w:rPr>
        <w:t>Статистическая информация о сфере образования</w:t>
      </w:r>
    </w:p>
    <w:p w:rsidR="00000000" w:rsidRDefault="00000000">
      <w:pPr>
        <w:rPr>
          <w:b/>
          <w:u w:val="single"/>
        </w:rPr>
      </w:pPr>
    </w:p>
    <w:p w:rsidR="00000000" w:rsidRDefault="00000000">
      <w:r>
        <w:t>450.</w:t>
      </w:r>
      <w:r>
        <w:tab/>
        <w:t>См. публикацию Статистического управления Финляндии "Образование в Финляндии в 1999 году" (дополнение 40).</w:t>
      </w:r>
    </w:p>
    <w:p w:rsidR="00000000" w:rsidRDefault="00000000"/>
    <w:p w:rsidR="00000000" w:rsidRDefault="00000000">
      <w:pPr>
        <w:rPr>
          <w:u w:val="single"/>
        </w:rPr>
      </w:pPr>
      <w:r>
        <w:t>4.</w:t>
      </w:r>
      <w:r>
        <w:tab/>
      </w:r>
      <w:r>
        <w:rPr>
          <w:u w:val="single"/>
        </w:rPr>
        <w:t>Ассигнования на сферу образования</w:t>
      </w:r>
    </w:p>
    <w:p w:rsidR="00000000" w:rsidRDefault="00000000">
      <w:pPr>
        <w:rPr>
          <w:b/>
          <w:u w:val="single"/>
        </w:rPr>
      </w:pPr>
    </w:p>
    <w:p w:rsidR="00000000" w:rsidRDefault="00000000">
      <w:r>
        <w:t>451.</w:t>
      </w:r>
      <w:r>
        <w:tab/>
        <w:t xml:space="preserve">В государственном бюджете на 1996-1998 годы министерству просвещения в среднем ассигновывалось 26 млрд. </w:t>
      </w:r>
      <w:proofErr w:type="spellStart"/>
      <w:r>
        <w:t>фин</w:t>
      </w:r>
      <w:proofErr w:type="spellEnd"/>
      <w:r>
        <w:t>. марок (см. раздел 1 а)).</w:t>
      </w:r>
    </w:p>
    <w:p w:rsidR="00000000" w:rsidRDefault="00000000"/>
    <w:p w:rsidR="00000000" w:rsidRDefault="00000000">
      <w:r>
        <w:t>452.</w:t>
      </w:r>
      <w:r>
        <w:tab/>
        <w:t xml:space="preserve">Ассигнования административному управлению министерства просвещения на осуществление строительных проектов составили в 1997 году 1 298 600 </w:t>
      </w:r>
      <w:proofErr w:type="spellStart"/>
      <w:r>
        <w:t>фин</w:t>
      </w:r>
      <w:proofErr w:type="spellEnd"/>
      <w:r>
        <w:t xml:space="preserve">. марок, из которых на модернизацию общественных зданий, начатую правительством в 1996 году, было выделено 281 млн. </w:t>
      </w:r>
      <w:proofErr w:type="spellStart"/>
      <w:r>
        <w:t>фин</w:t>
      </w:r>
      <w:proofErr w:type="spellEnd"/>
      <w:r>
        <w:t xml:space="preserve">. марок.  В 1998 году на строительные проекты было в общей сложности ассигновано 984,2 млн. </w:t>
      </w:r>
      <w:proofErr w:type="spellStart"/>
      <w:r>
        <w:t>фин</w:t>
      </w:r>
      <w:proofErr w:type="spellEnd"/>
      <w:r>
        <w:t>. марок.</w:t>
      </w:r>
    </w:p>
    <w:p w:rsidR="00000000" w:rsidRDefault="00000000"/>
    <w:p w:rsidR="00000000" w:rsidRDefault="00000000">
      <w:pPr>
        <w:rPr>
          <w:u w:val="single"/>
        </w:rPr>
      </w:pPr>
      <w:r>
        <w:t>5.</w:t>
      </w:r>
      <w:r>
        <w:tab/>
        <w:t>а)</w:t>
      </w:r>
      <w:r>
        <w:tab/>
      </w:r>
      <w:r>
        <w:rPr>
          <w:u w:val="single"/>
        </w:rPr>
        <w:t>Половое соотношение учащихся</w:t>
      </w:r>
    </w:p>
    <w:p w:rsidR="00000000" w:rsidRDefault="00000000">
      <w:pPr>
        <w:rPr>
          <w:b/>
          <w:u w:val="single"/>
        </w:rPr>
      </w:pPr>
    </w:p>
    <w:p w:rsidR="00000000" w:rsidRDefault="00000000">
      <w:r>
        <w:t>453.</w:t>
      </w:r>
      <w:r>
        <w:tab/>
        <w:t xml:space="preserve">Согласно информации за 1997 год, представленной Статистическим управлением Финляндии, девочки составляют 48,8% учащихся общеобразовательных школ, 57,8% учащихся системы высшего и среднего </w:t>
      </w:r>
    </w:p>
    <w:p w:rsidR="00000000" w:rsidRDefault="00000000">
      <w:r>
        <w:t>образования и 53,2% учащихся профессионально-технических училищ.  Девушки составляют немногим более половины учащихся политехнических училищ (53,2%) и университетов (52,3%).</w:t>
      </w:r>
    </w:p>
    <w:p w:rsidR="00000000" w:rsidRDefault="00000000"/>
    <w:p w:rsidR="00000000" w:rsidRDefault="00000000">
      <w:pPr>
        <w:rPr>
          <w:u w:val="single"/>
        </w:rPr>
      </w:pPr>
      <w:r>
        <w:t>5.</w:t>
      </w:r>
      <w:r>
        <w:tab/>
      </w:r>
      <w:r>
        <w:rPr>
          <w:lang w:val="en-US"/>
        </w:rPr>
        <w:t>c-d</w:t>
      </w:r>
      <w:r>
        <w:t>)</w:t>
      </w:r>
      <w:r>
        <w:tab/>
      </w:r>
      <w:r>
        <w:rPr>
          <w:u w:val="single"/>
        </w:rPr>
        <w:t>Меры по обеспечению равенства и языкового равенства</w:t>
      </w:r>
    </w:p>
    <w:p w:rsidR="00000000" w:rsidRDefault="00000000">
      <w:pPr>
        <w:rPr>
          <w:b/>
          <w:u w:val="single"/>
        </w:rPr>
      </w:pPr>
    </w:p>
    <w:p w:rsidR="00000000" w:rsidRDefault="00000000">
      <w:r>
        <w:t>454.</w:t>
      </w:r>
      <w:r>
        <w:tab/>
        <w:t>В соответствии с Законом о базовом образовании обучение ведется на одном из двух официальных языков Финляндии:  финском или шведском.  Обучение может вестись также на языке саами, языке рома или на языке жестов.  Могут быть организованы классные занятия на языке, который является неродным для учеников, при том условии, если это не будет мешать их дальнейшему обучению.  Могут создаваться отдельные классы или школы для частичного или полного обучения на неродном для учащихся языке.  Муниципалитеты могут по собственному усмотрению организовывать обучение на нефинском и нешведском языках или же на языке саами на территории проживания этого народа.</w:t>
      </w:r>
    </w:p>
    <w:p w:rsidR="00000000" w:rsidRDefault="00000000"/>
    <w:p w:rsidR="00000000" w:rsidRDefault="00000000">
      <w:r>
        <w:t>455.</w:t>
      </w:r>
      <w:r>
        <w:tab/>
        <w:t>В соответствии с положениями Закона о базовом образовании и Закона о высшей и средней школе финский и шведский языки, а также язык саами могут преподаваться в качестве родных.  Кроме того, в качестве родных могут преподаваться также язык рома, язык жестов или какой-либо иной язык, который для учащихся является родным.</w:t>
      </w:r>
    </w:p>
    <w:p w:rsidR="00000000" w:rsidRDefault="00000000"/>
    <w:p w:rsidR="00000000" w:rsidRDefault="00000000">
      <w:r>
        <w:t>456.</w:t>
      </w:r>
      <w:r>
        <w:tab/>
        <w:t>В 1997 году в соответствии с Законом о профессиональной квалификации министерство просвещения  в список профессий добавило "советника по вопросам культуры народа рома" и "эксперта-советника по вопросам культуры народа рома".</w:t>
      </w:r>
    </w:p>
    <w:p w:rsidR="00000000" w:rsidRDefault="00000000"/>
    <w:p w:rsidR="00000000" w:rsidRDefault="00000000">
      <w:r>
        <w:t>457.</w:t>
      </w:r>
      <w:r>
        <w:tab/>
        <w:t xml:space="preserve">Для детей иммигрантов школьного и дошкольного возраста при определенных условиях может быть организовано подготовительное обучение.  В соответствии с Законом о базовом образовании (628/1998) для успешной интеграции иммигрантов в систему базового образования для них организуются подготовительные курсы продолжительностью в одну школьную четверть.  Согласно решению, принятому министром просвещения относительно подготовительного обучения иммигрантов, подобные курсы с 1997 года проходят все дети иммигрантов школьного возраста и дети, достигшие шести лет.  Для беженцев и лиц, просящих убежища, подготовительное обучение было организовано еще ранее.  Цель подготовительного обучения заключается в облегчении интеграции иммигрантов в финское общество и в их подготовке к учебе в классах, где преподавание ведется на финском или шведском языках.  Кроме того, иммигранты поощряются к использованию и </w:t>
      </w:r>
    </w:p>
    <w:p w:rsidR="00000000" w:rsidRDefault="00000000">
      <w:r>
        <w:t>совершенствованию их знаний своего родного языка.  Продолжительность подготовительного обучения составляет от 20 до 40 зачетных недель.  Для отстающих могут быть организованы дополнительные занятия.</w:t>
      </w:r>
    </w:p>
    <w:p w:rsidR="00000000" w:rsidRDefault="00000000"/>
    <w:p w:rsidR="00000000" w:rsidRDefault="00000000">
      <w:r>
        <w:t>458.</w:t>
      </w:r>
      <w:r>
        <w:tab/>
        <w:t>Согласно положениям Указа о профессиональном обучении (811/1998), базовые курсы подготовки иммигрантов к обучению в технических училищах нацелены на то, чтобы развить у учащихся лингвистические и другие навыки, необходимые им для начала учебы в профессионально-технических училищах.</w:t>
      </w:r>
    </w:p>
    <w:p w:rsidR="00000000" w:rsidRDefault="00000000"/>
    <w:p w:rsidR="00000000" w:rsidRDefault="00000000">
      <w:r>
        <w:t>459.</w:t>
      </w:r>
      <w:r>
        <w:tab/>
        <w:t>Согласно решению министра просвещения (248/1995), организуются занятия для отстающих и обучение учащихся и студентов на их родном языке, с тем чтобы облегчить для возвращающихся мигрантов и иммигрантов обучение в общеобразовательных и высших средних школах, а также в высших и средних школах для взрослых;  на эти цели предоставляются и государственные субсидии.</w:t>
      </w:r>
    </w:p>
    <w:p w:rsidR="00000000" w:rsidRDefault="00000000"/>
    <w:p w:rsidR="00000000" w:rsidRDefault="00000000">
      <w:r>
        <w:t>460.</w:t>
      </w:r>
      <w:r>
        <w:tab/>
        <w:t>В весенне-летний период 1997 года в общей сложности 7 893 иностранца, обучающихся в общеобразовательных и в высших, средних школах, посещали курсы на своих родных языках.  Такие курсы проводились на пятидесяти двух языках.</w:t>
      </w:r>
    </w:p>
    <w:p w:rsidR="00000000" w:rsidRDefault="00000000"/>
    <w:p w:rsidR="00000000" w:rsidRDefault="00000000">
      <w:pPr>
        <w:pStyle w:val="Heading7"/>
        <w:spacing w:line="288" w:lineRule="auto"/>
      </w:pPr>
      <w:r>
        <w:t>Статья 15</w:t>
      </w:r>
    </w:p>
    <w:p w:rsidR="00000000" w:rsidRDefault="00000000">
      <w:pPr>
        <w:pStyle w:val="Heading7"/>
        <w:spacing w:line="288" w:lineRule="auto"/>
      </w:pPr>
    </w:p>
    <w:p w:rsidR="00000000" w:rsidRDefault="00000000">
      <w:r>
        <w:t>461.</w:t>
      </w:r>
      <w:r>
        <w:tab/>
        <w:t>В пунктах 2 и 3 раздела 14 Конституционного закона (раздел 17 нового Конституционного закона) закрепляются культурные права различных групп.  В вышеуказанном разделе были учтены потребности инвалидов.  Например, язык жестов был отнесен к разряду лингвистических систем наравне с устными языками.  В пункте 3 раздела 13 Конституционного закона гарантируется право на научные исследования, научное творчество и получение высшего образования (раздел 16 нового Конституционного закона).  Законодательная реформа системы образования, завершенная в отчетный период, рассматривалась выше в статье 13.</w:t>
      </w:r>
    </w:p>
    <w:p w:rsidR="00000000" w:rsidRDefault="00000000"/>
    <w:p w:rsidR="00000000" w:rsidRDefault="00000000">
      <w:pPr>
        <w:rPr>
          <w:u w:val="single"/>
        </w:rPr>
      </w:pPr>
      <w:r>
        <w:t>1.</w:t>
      </w:r>
      <w:r>
        <w:tab/>
      </w:r>
      <w:r>
        <w:rPr>
          <w:u w:val="single"/>
        </w:rPr>
        <w:t>Участие в культурной жизни</w:t>
      </w:r>
    </w:p>
    <w:p w:rsidR="00000000" w:rsidRDefault="00000000">
      <w:pPr>
        <w:rPr>
          <w:b/>
          <w:u w:val="single"/>
        </w:rPr>
      </w:pPr>
    </w:p>
    <w:p w:rsidR="00000000" w:rsidRDefault="00000000">
      <w:pPr>
        <w:rPr>
          <w:u w:val="single"/>
        </w:rPr>
      </w:pPr>
      <w:r>
        <w:t>1.</w:t>
      </w:r>
      <w:r>
        <w:tab/>
      </w:r>
      <w:r>
        <w:rPr>
          <w:lang w:val="en-US"/>
        </w:rPr>
        <w:t>a-c</w:t>
      </w:r>
      <w:r>
        <w:t>)</w:t>
      </w:r>
      <w:r>
        <w:tab/>
      </w:r>
      <w:r>
        <w:rPr>
          <w:u w:val="single"/>
        </w:rPr>
        <w:t>Культура, библиотеки, искусство</w:t>
      </w:r>
    </w:p>
    <w:p w:rsidR="00000000" w:rsidRDefault="00000000">
      <w:pPr>
        <w:rPr>
          <w:b/>
          <w:u w:val="single"/>
        </w:rPr>
      </w:pPr>
    </w:p>
    <w:p w:rsidR="00000000" w:rsidRDefault="00000000">
      <w:r>
        <w:t>462.</w:t>
      </w:r>
      <w:r>
        <w:tab/>
        <w:t xml:space="preserve">Национальные культурные учреждения и комитеты по делам искусств подотчетны министерству просвещения.  Государство выплачивает бюджетные и дополнительные субсидии муниципалитетам для финансирования культурных </w:t>
      </w:r>
    </w:p>
    <w:p w:rsidR="00000000" w:rsidRDefault="00000000">
      <w:r>
        <w:t>мероприятий, библиотек, музеев, драматического искусства, оркестров, а также строительных проектов, связанных со сферой искусств.  Развитию искусств и культуры помогают также ежегодные премии и дотации артистам.</w:t>
      </w:r>
    </w:p>
    <w:p w:rsidR="00000000" w:rsidRDefault="00000000"/>
    <w:p w:rsidR="00000000" w:rsidRDefault="00000000">
      <w:r>
        <w:t>463.</w:t>
      </w:r>
      <w:r>
        <w:tab/>
        <w:t>1996 году на драматические спектакли было продано в общей сложности 2,6 млн. билетов, а на концерты – 1,2 млн. билетов;  в 1996 году музеи посетили 3,9 млн. человек.</w:t>
      </w:r>
    </w:p>
    <w:p w:rsidR="00000000" w:rsidRDefault="00000000"/>
    <w:p w:rsidR="00000000" w:rsidRDefault="00000000">
      <w:r>
        <w:t>464.</w:t>
      </w:r>
      <w:r>
        <w:tab/>
        <w:t>Развитие молодежной культуры стимулируется благодаря спонсорской поддержке молодежных мероприятий на национальном и региональном уровнях, а также международного молодежного культурного обмена.  Осуществляется субсидирование различных видов детского и подросткового искусства, а также стимулируется сотрудничество школ и различных культурных центров.</w:t>
      </w:r>
    </w:p>
    <w:p w:rsidR="00000000" w:rsidRDefault="00000000"/>
    <w:p w:rsidR="00000000" w:rsidRDefault="00000000">
      <w:r>
        <w:t>465.</w:t>
      </w:r>
      <w:r>
        <w:tab/>
        <w:t>В условиях экономического спада объем финансирования муниципалитетами культурной деятельности сократился.  В 1999 году эти ассигнования, судя по всему, не возрастут, поскольку муниципалитетам по-прежнему необходимо экономить средства.  В то же время ассоциациям и группам предоставляются дотации для проведения местных культурных мероприятий с участием широкой общественности, а уроки искусства в рамках базовой системы образования для детей и подростков, которые с 1999 года носят обязательный характер, продолжаются.</w:t>
      </w:r>
    </w:p>
    <w:p w:rsidR="00000000" w:rsidRDefault="00000000"/>
    <w:p w:rsidR="00000000" w:rsidRDefault="00000000">
      <w:r>
        <w:t>466.</w:t>
      </w:r>
      <w:r>
        <w:tab/>
        <w:t>В 1995-1997 годах министерство просвещения осуществляло специальный проект, посвященный культуре и творчеству, который получил название "</w:t>
      </w:r>
      <w:proofErr w:type="spellStart"/>
      <w:r>
        <w:t>Кеппи</w:t>
      </w:r>
      <w:proofErr w:type="spellEnd"/>
      <w:r>
        <w:t xml:space="preserve">".  Было организовано примерно 200 </w:t>
      </w:r>
      <w:proofErr w:type="spellStart"/>
      <w:r>
        <w:t>субпроектов</w:t>
      </w:r>
      <w:proofErr w:type="spellEnd"/>
      <w:r>
        <w:t xml:space="preserve">, в рамках которых, например, был проведен семинар с участием средств массовой информации, созданы базы данных на </w:t>
      </w:r>
      <w:proofErr w:type="spellStart"/>
      <w:r>
        <w:t>Интернете</w:t>
      </w:r>
      <w:proofErr w:type="spellEnd"/>
      <w:r>
        <w:t xml:space="preserve"> для поклонников искусств, организована ярмарка, посвященная теме защиты прав человека, ремесленные курсы, мероприятия по изучению культурного наследия и собраний музеев, музыкальные и визуальные культурные мероприятия, а также курсы кинематографии, театральные и культурные мероприятия в школах и налажено предоставление виртуальных библиотечных услуг.</w:t>
      </w:r>
    </w:p>
    <w:p w:rsidR="00000000" w:rsidRDefault="00000000"/>
    <w:p w:rsidR="00000000" w:rsidRDefault="00000000">
      <w:r>
        <w:t>467.</w:t>
      </w:r>
      <w:r>
        <w:tab/>
        <w:t xml:space="preserve">В начале 1999 года вступил в силу новый Закон о библиотеках.  Его цель заключается в том, чтобы гарантировать всем гражданам равный доступ к современным высококачественным библиотечным услугам вне зависимости от их места жительства и финансовых ресурсов.  Поскольку в Финляндии сеть библиотек работает хорошо, муниципалитеты, вынужденные экономить средства, смогли </w:t>
      </w:r>
    </w:p>
    <w:p w:rsidR="00000000" w:rsidRDefault="00000000">
      <w:r>
        <w:t>закрыть многие из них без ущерба качеству обслуживания.  Министерство просвещения отводит важное значение районным библиотекам, обслуживающим все возрастные группы.</w:t>
      </w:r>
    </w:p>
    <w:p w:rsidR="00000000" w:rsidRDefault="00000000"/>
    <w:p w:rsidR="00000000" w:rsidRDefault="00000000">
      <w:r>
        <w:t>468.</w:t>
      </w:r>
      <w:r>
        <w:tab/>
        <w:t>По международным меркам в Финляндии библиотеки используются очень активно: среднестатистический гражданин Финляндии берет в год в библиотеке 20 книг.  В период спада ассигнования на закупку новых книг сократились на 27%, однако, несмотря на это, число взятых в библиотеке изданий возросло на 30%, а интенсивность использования библиотек – на 31%.  Вызывает тревогу тот факт, что дети и подростки взяли в библиотеках на 25% книг меньше, чем ранее.  Закрытие библиотек и сокращение ассигнований частично объясняет это явление, поскольку библиотеки конкурируют с новыми средствами массовой информации, а также с другими интересами и увлечениями.</w:t>
      </w:r>
    </w:p>
    <w:p w:rsidR="00000000" w:rsidRDefault="00000000"/>
    <w:p w:rsidR="00000000" w:rsidRDefault="00000000">
      <w:pPr>
        <w:rPr>
          <w:u w:val="single"/>
        </w:rPr>
      </w:pPr>
      <w:r>
        <w:t>1.</w:t>
      </w:r>
      <w:r>
        <w:tab/>
      </w:r>
      <w:proofErr w:type="spellStart"/>
      <w:r>
        <w:t>d</w:t>
      </w:r>
      <w:proofErr w:type="spellEnd"/>
      <w:r>
        <w:t>)</w:t>
      </w:r>
      <w:r>
        <w:tab/>
      </w:r>
      <w:r>
        <w:rPr>
          <w:u w:val="single"/>
        </w:rPr>
        <w:t xml:space="preserve">Меньшинства, культурная </w:t>
      </w:r>
      <w:proofErr w:type="spellStart"/>
      <w:r>
        <w:rPr>
          <w:u w:val="single"/>
        </w:rPr>
        <w:t>многоукладность</w:t>
      </w:r>
      <w:proofErr w:type="spellEnd"/>
    </w:p>
    <w:p w:rsidR="00000000" w:rsidRDefault="00000000">
      <w:pPr>
        <w:rPr>
          <w:b/>
          <w:u w:val="single"/>
        </w:rPr>
      </w:pPr>
    </w:p>
    <w:p w:rsidR="00000000" w:rsidRDefault="00000000">
      <w:pPr>
        <w:pStyle w:val="FootnoteText"/>
        <w:spacing w:line="288" w:lineRule="auto"/>
      </w:pPr>
      <w:r>
        <w:t xml:space="preserve">469.  Культурная жизнь </w:t>
      </w:r>
      <w:proofErr w:type="spellStart"/>
      <w:r>
        <w:t>шведскоязычного</w:t>
      </w:r>
      <w:proofErr w:type="spellEnd"/>
      <w:r>
        <w:t xml:space="preserve"> меньшинства (примерно 6%) является разнообразной и очень активной.  Поддержка их культурных организаций и ассоциаций основывается  на тех же критериях, что и их </w:t>
      </w:r>
      <w:proofErr w:type="spellStart"/>
      <w:r>
        <w:t>финскоязычных</w:t>
      </w:r>
      <w:proofErr w:type="spellEnd"/>
      <w:r>
        <w:t xml:space="preserve"> сограждан.  В Законе о библиотеках говорится, что в двуязычных общинах отношение к обеим языковым группам должно быть одинаковым.  На территории проживания саами муниципалитеты должны распространять одинаковый режим на саами (0,03% населения) и на финнов.</w:t>
      </w:r>
    </w:p>
    <w:p w:rsidR="00000000" w:rsidRDefault="00000000">
      <w:pPr>
        <w:pStyle w:val="FootnoteText"/>
        <w:spacing w:line="288" w:lineRule="auto"/>
      </w:pPr>
    </w:p>
    <w:p w:rsidR="00000000" w:rsidRDefault="00000000">
      <w:pPr>
        <w:pStyle w:val="FootnoteText"/>
        <w:spacing w:line="288" w:lineRule="auto"/>
      </w:pPr>
      <w:r>
        <w:t>470.  Министерство просвещения оказывает помощь этническим и лингвистическим меньшинствам, группам эмигрантов и деятельности антирасистских неправительственных организаций.  Цель такой политики оказания помощи заключается в том, чтобы поощрять среди основного населения более благожелательное отношение к культуре меньшинств и в то же время помогать группам меньшинств адаптироваться к финскому обществу и облегчить им доступ к государственным культурным и вспомогательным услугам.</w:t>
      </w:r>
    </w:p>
    <w:p w:rsidR="00000000" w:rsidRDefault="00000000">
      <w:pPr>
        <w:pStyle w:val="FootnoteText"/>
        <w:spacing w:line="288" w:lineRule="auto"/>
      </w:pPr>
    </w:p>
    <w:p w:rsidR="00000000" w:rsidRDefault="00000000">
      <w:pPr>
        <w:pStyle w:val="FootnoteText"/>
        <w:spacing w:line="288" w:lineRule="auto"/>
      </w:pPr>
      <w:r>
        <w:t xml:space="preserve">471.  В рамках реформы основных прав в 1996 году в Закон и Указ об исследовательском институте языковедения Финляндии были внесены поправки, с тем чтобы ориентировать его исследовательскую работу и на развитие финского языка жестов и языка рома.  Ранее Институт занимался лишь финским и шведским языками, языками, родственными финскому языку, и языком саами.  В своих </w:t>
      </w:r>
    </w:p>
    <w:p w:rsidR="00000000" w:rsidRDefault="00000000">
      <w:pPr>
        <w:pStyle w:val="FootnoteText"/>
        <w:spacing w:line="288" w:lineRule="auto"/>
      </w:pPr>
      <w:r>
        <w:t>выводах Институт опирается на мнение специалистов из Советов по вопросам финского и шведского языков и языка саами, а также Советов по вопросам языка жестов и языка рома.</w:t>
      </w:r>
    </w:p>
    <w:p w:rsidR="00000000" w:rsidRDefault="00000000">
      <w:pPr>
        <w:pStyle w:val="FootnoteText"/>
        <w:spacing w:line="288" w:lineRule="auto"/>
      </w:pPr>
    </w:p>
    <w:p w:rsidR="00000000" w:rsidRDefault="00000000">
      <w:pPr>
        <w:pStyle w:val="FootnoteText"/>
        <w:spacing w:line="288" w:lineRule="auto"/>
      </w:pPr>
      <w:r>
        <w:t xml:space="preserve">472.  Консультативный совет по делам народа рома считает, что пока реформы не дали каких-либо желаемых конкретных результатов.  Изучение языка рома или исследовательская работа с этим языком на университетском уровне невозможны.  Консультативный совет предложил также создать музей культуры и истории народа рома. </w:t>
      </w:r>
    </w:p>
    <w:p w:rsidR="00000000" w:rsidRDefault="00000000">
      <w:pPr>
        <w:pStyle w:val="FootnoteText"/>
        <w:spacing w:line="288" w:lineRule="auto"/>
      </w:pPr>
    </w:p>
    <w:p w:rsidR="00000000" w:rsidRDefault="00000000">
      <w:pPr>
        <w:pStyle w:val="FootnoteText"/>
        <w:spacing w:line="288" w:lineRule="auto"/>
        <w:rPr>
          <w:u w:val="single"/>
        </w:rPr>
      </w:pPr>
      <w:r>
        <w:t>1.</w:t>
      </w:r>
      <w:r>
        <w:tab/>
      </w:r>
      <w:proofErr w:type="spellStart"/>
      <w:r>
        <w:t>g</w:t>
      </w:r>
      <w:proofErr w:type="spellEnd"/>
      <w:r>
        <w:t>)</w:t>
      </w:r>
      <w:r>
        <w:tab/>
      </w:r>
      <w:r>
        <w:rPr>
          <w:u w:val="single"/>
        </w:rPr>
        <w:t>Авторские права</w:t>
      </w:r>
    </w:p>
    <w:p w:rsidR="00000000" w:rsidRDefault="00000000">
      <w:pPr>
        <w:pStyle w:val="FootnoteText"/>
        <w:spacing w:line="288" w:lineRule="auto"/>
        <w:rPr>
          <w:b/>
          <w:u w:val="single"/>
        </w:rPr>
      </w:pPr>
    </w:p>
    <w:p w:rsidR="00000000" w:rsidRDefault="00000000">
      <w:pPr>
        <w:pStyle w:val="FootnoteText"/>
        <w:spacing w:line="288" w:lineRule="auto"/>
      </w:pPr>
      <w:r>
        <w:t xml:space="preserve">473.  Контроль за соблюдение авторских прав осуществляют организации, работающие в различных сферах искусства, причем в соответствующее законодательство были внесены поправки для приведения его в соответствие с директивами ЕС и положениями соглашений ВОИС.  На так называемые библиотечные пособия, выдаваемые отдельным авторам в форме субсидий, приходится порядка 10% ежегодных ассигнований на закупку материалов.  </w:t>
      </w:r>
    </w:p>
    <w:p w:rsidR="00000000" w:rsidRDefault="00000000">
      <w:pPr>
        <w:pStyle w:val="FootnoteText"/>
        <w:spacing w:line="288" w:lineRule="auto"/>
      </w:pPr>
    </w:p>
    <w:p w:rsidR="00000000" w:rsidRDefault="00000000">
      <w:pPr>
        <w:pStyle w:val="FootnoteText"/>
        <w:spacing w:line="288" w:lineRule="auto"/>
        <w:rPr>
          <w:u w:val="single"/>
        </w:rPr>
      </w:pPr>
      <w:r>
        <w:t>2.</w:t>
      </w:r>
      <w:r>
        <w:tab/>
      </w:r>
      <w:proofErr w:type="spellStart"/>
      <w:r>
        <w:t>a-b</w:t>
      </w:r>
      <w:proofErr w:type="spellEnd"/>
      <w:r>
        <w:t>)</w:t>
      </w:r>
      <w:r>
        <w:tab/>
      </w:r>
      <w:r>
        <w:rPr>
          <w:u w:val="single"/>
        </w:rPr>
        <w:t>Стратегические цели в научной области</w:t>
      </w:r>
    </w:p>
    <w:p w:rsidR="00000000" w:rsidRDefault="00000000">
      <w:pPr>
        <w:pStyle w:val="FootnoteText"/>
        <w:spacing w:line="288" w:lineRule="auto"/>
        <w:rPr>
          <w:b/>
          <w:u w:val="single"/>
        </w:rPr>
      </w:pPr>
    </w:p>
    <w:p w:rsidR="00000000" w:rsidRDefault="00000000">
      <w:pPr>
        <w:pStyle w:val="FootnoteText"/>
        <w:spacing w:line="288" w:lineRule="auto"/>
      </w:pPr>
      <w:r>
        <w:t>474.  Важнейшими стратегическими задачами в научной области, определенными министерством просвещения в 1997 году, является более эффективная подготовка научно-исследовательских кадров, повышение их профессионального уровня, улучшение условий работы наиболее эффективных исследовательских подразделений и повышение акцента на качество, интернационализацию научной деятельности и расширение контактов между научными учреждениями и деловыми кругами под углом зрения национальной инновационной системы в целом.</w:t>
      </w:r>
    </w:p>
    <w:p w:rsidR="00000000" w:rsidRDefault="00000000">
      <w:pPr>
        <w:pStyle w:val="FootnoteText"/>
        <w:spacing w:line="288" w:lineRule="auto"/>
      </w:pPr>
    </w:p>
    <w:p w:rsidR="00000000" w:rsidRDefault="00000000">
      <w:pPr>
        <w:pStyle w:val="FootnoteText"/>
        <w:spacing w:line="288" w:lineRule="auto"/>
      </w:pPr>
      <w:r>
        <w:t xml:space="preserve">475.  Благодаря принятому правительством решению был увеличен объем финансирования научно-исследовательской деятельности на основе программы, направленной на совершенствование работы национальной инновационной системы в интересах экономики, коммерческих предприятий и занятости.  Осуществление программы началось в рамках первого дополнительного бюджетного предложения в 1997 году. </w:t>
      </w:r>
    </w:p>
    <w:p w:rsidR="00000000" w:rsidRDefault="00000000">
      <w:pPr>
        <w:pStyle w:val="FootnoteText"/>
        <w:spacing w:line="288" w:lineRule="auto"/>
      </w:pPr>
    </w:p>
    <w:p w:rsidR="00000000" w:rsidRDefault="00000000">
      <w:pPr>
        <w:pStyle w:val="FootnoteText"/>
        <w:spacing w:line="288" w:lineRule="auto"/>
        <w:rPr>
          <w:u w:val="single"/>
        </w:rPr>
      </w:pPr>
      <w:r>
        <w:t>6.</w:t>
      </w:r>
      <w:r>
        <w:tab/>
      </w:r>
      <w:r>
        <w:rPr>
          <w:u w:val="single"/>
        </w:rPr>
        <w:t>Международное сотрудничество</w:t>
      </w:r>
    </w:p>
    <w:p w:rsidR="00000000" w:rsidRDefault="00000000">
      <w:pPr>
        <w:pStyle w:val="FootnoteText"/>
        <w:spacing w:line="288" w:lineRule="auto"/>
        <w:rPr>
          <w:b/>
          <w:u w:val="single"/>
        </w:rPr>
      </w:pPr>
    </w:p>
    <w:p w:rsidR="00000000" w:rsidRDefault="00000000">
      <w:pPr>
        <w:pStyle w:val="FootnoteText"/>
        <w:spacing w:line="288" w:lineRule="auto"/>
      </w:pPr>
      <w:r>
        <w:t>476.  Академия Финляндии провела общий обзор состояния и уровня финской науки в 1997 году.  По итогам этого обзора был сделан вывод, что уровень финской научной системы по международным меркам является очень высоким, равно как и работа подразделений и исследовательских групп во многих отраслях, таких, как физика, математика, космические исследования, молекулярная биология, биотехнология, генетика, цитология и экология.</w:t>
      </w:r>
    </w:p>
    <w:p w:rsidR="00000000" w:rsidRDefault="00000000">
      <w:pPr>
        <w:pStyle w:val="FootnoteText"/>
        <w:spacing w:line="288" w:lineRule="auto"/>
      </w:pPr>
    </w:p>
    <w:p w:rsidR="00000000" w:rsidRDefault="00000000">
      <w:pPr>
        <w:pStyle w:val="FootnoteText"/>
        <w:spacing w:line="288" w:lineRule="auto"/>
      </w:pPr>
      <w:r>
        <w:t>477.  Процессу интернационализации науки способствует участие в совместных проектах в рамках Европы и в исследовательских программах ЕС.</w:t>
      </w:r>
    </w:p>
    <w:p w:rsidR="00000000" w:rsidRDefault="00000000">
      <w:pPr>
        <w:pStyle w:val="FootnoteText"/>
        <w:spacing w:line="288" w:lineRule="auto"/>
      </w:pPr>
    </w:p>
    <w:p w:rsidR="00000000" w:rsidRDefault="00000000">
      <w:r>
        <w:br w:type="page"/>
      </w:r>
    </w:p>
    <w:p w:rsidR="00000000" w:rsidRDefault="00000000">
      <w:pPr>
        <w:pStyle w:val="Heading7"/>
        <w:spacing w:line="288" w:lineRule="auto"/>
      </w:pPr>
      <w:r>
        <w:t>СПИСОК ДОПОЛНЕНИЙ</w:t>
      </w:r>
    </w:p>
    <w:p w:rsidR="00000000" w:rsidRDefault="00000000">
      <w:pPr>
        <w:pStyle w:val="Heading7"/>
        <w:spacing w:line="288" w:lineRule="auto"/>
      </w:pPr>
    </w:p>
    <w:p w:rsidR="00000000" w:rsidRDefault="00000000">
      <w:pPr>
        <w:pStyle w:val="Heading1"/>
        <w:rPr>
          <w:b w:val="0"/>
          <w:kern w:val="0"/>
          <w:u w:val="single"/>
        </w:rPr>
      </w:pPr>
      <w:r>
        <w:rPr>
          <w:b w:val="0"/>
          <w:kern w:val="0"/>
          <w:u w:val="single"/>
        </w:rPr>
        <w:t>Введение</w:t>
      </w:r>
    </w:p>
    <w:p w:rsidR="00000000" w:rsidRDefault="00000000">
      <w:pPr>
        <w:pStyle w:val="Heading1"/>
        <w:rPr>
          <w:kern w:val="0"/>
          <w:u w:val="single"/>
        </w:rPr>
      </w:pPr>
    </w:p>
    <w:p w:rsidR="00000000" w:rsidRDefault="00000000">
      <w:pPr>
        <w:tabs>
          <w:tab w:val="clear" w:pos="1701"/>
        </w:tabs>
      </w:pPr>
      <w:r>
        <w:t>Дополнение 1</w:t>
      </w:r>
      <w:r>
        <w:tab/>
        <w:t>Конституционный закон Финляндии</w:t>
      </w:r>
    </w:p>
    <w:p w:rsidR="00000000" w:rsidRDefault="00000000">
      <w:pPr>
        <w:tabs>
          <w:tab w:val="clear" w:pos="1701"/>
        </w:tabs>
      </w:pPr>
      <w:r>
        <w:t>Дополнение 2</w:t>
      </w:r>
      <w:r>
        <w:tab/>
        <w:t>Конституционный закон Финляндии;  основные права</w:t>
      </w:r>
    </w:p>
    <w:p w:rsidR="00000000" w:rsidRDefault="00000000">
      <w:pPr>
        <w:tabs>
          <w:tab w:val="clear" w:pos="1701"/>
        </w:tabs>
      </w:pPr>
      <w:r>
        <w:t>Дополнение 3</w:t>
      </w:r>
      <w:r>
        <w:tab/>
        <w:t>Уголовный кодекс Финляндии РС 11:9</w:t>
      </w:r>
      <w:r>
        <w:rPr>
          <w:lang w:val="en-US"/>
        </w:rPr>
        <w:t xml:space="preserve"> </w:t>
      </w:r>
      <w:r>
        <w:rPr>
          <w:rFonts w:ascii="Lucida Console" w:hAnsi="Lucida Console"/>
          <w:lang w:val="en-US"/>
        </w:rPr>
        <w:t>§</w:t>
      </w:r>
      <w:r>
        <w:rPr>
          <w:lang w:val="en-US"/>
        </w:rPr>
        <w:t xml:space="preserve"> и</w:t>
      </w:r>
      <w:r>
        <w:t xml:space="preserve"> РС 47:3</w:t>
      </w:r>
      <w:r>
        <w:rPr>
          <w:rFonts w:ascii="Lucida Console" w:hAnsi="Lucida Console"/>
          <w:lang w:val="en-US"/>
        </w:rPr>
        <w:t>§</w:t>
      </w:r>
    </w:p>
    <w:p w:rsidR="00000000" w:rsidRDefault="00000000">
      <w:pPr>
        <w:tabs>
          <w:tab w:val="clear" w:pos="1701"/>
        </w:tabs>
      </w:pPr>
    </w:p>
    <w:p w:rsidR="00000000" w:rsidRDefault="00000000">
      <w:pPr>
        <w:pStyle w:val="Heading6"/>
        <w:tabs>
          <w:tab w:val="clear" w:pos="1701"/>
        </w:tabs>
        <w:rPr>
          <w:b w:val="0"/>
        </w:rPr>
      </w:pPr>
      <w:r>
        <w:rPr>
          <w:b w:val="0"/>
        </w:rPr>
        <w:t>Статья 2</w:t>
      </w:r>
    </w:p>
    <w:p w:rsidR="00000000" w:rsidRDefault="00000000">
      <w:pPr>
        <w:pStyle w:val="Heading6"/>
        <w:tabs>
          <w:tab w:val="clear" w:pos="1701"/>
        </w:tabs>
      </w:pPr>
    </w:p>
    <w:p w:rsidR="00000000" w:rsidRDefault="00000000">
      <w:pPr>
        <w:pStyle w:val="BodyTextIndent"/>
        <w:ind w:left="2268" w:hanging="2268"/>
        <w:rPr>
          <w:u w:val="single"/>
        </w:rPr>
      </w:pPr>
      <w:r>
        <w:t>Дополнение 4</w:t>
      </w:r>
      <w:r>
        <w:tab/>
      </w:r>
      <w:r>
        <w:tab/>
        <w:t>Первоначальный доклад Финляндии о применении Рамочной конвенции о защите национальных меньшинств</w:t>
      </w:r>
    </w:p>
    <w:p w:rsidR="00000000" w:rsidRDefault="00000000">
      <w:pPr>
        <w:pStyle w:val="Heading8"/>
        <w:spacing w:line="288" w:lineRule="auto"/>
      </w:pPr>
    </w:p>
    <w:p w:rsidR="00000000" w:rsidRDefault="00000000">
      <w:pPr>
        <w:pStyle w:val="Heading8"/>
        <w:spacing w:line="288" w:lineRule="auto"/>
        <w:jc w:val="left"/>
        <w:rPr>
          <w:b w:val="0"/>
        </w:rPr>
      </w:pPr>
      <w:r>
        <w:rPr>
          <w:b w:val="0"/>
        </w:rPr>
        <w:t>Статья 3</w:t>
      </w:r>
    </w:p>
    <w:p w:rsidR="00000000" w:rsidRDefault="00000000">
      <w:pPr>
        <w:pStyle w:val="Heading8"/>
        <w:spacing w:line="288" w:lineRule="auto"/>
      </w:pPr>
    </w:p>
    <w:p w:rsidR="00000000" w:rsidRDefault="00000000">
      <w:pPr>
        <w:tabs>
          <w:tab w:val="clear" w:pos="1701"/>
        </w:tabs>
        <w:ind w:left="2268" w:hanging="2268"/>
      </w:pPr>
      <w:r>
        <w:t>Дополнение 5</w:t>
      </w:r>
      <w:r>
        <w:tab/>
        <w:t>Закон о равенстве женщин и мужчин</w:t>
      </w:r>
    </w:p>
    <w:p w:rsidR="00000000" w:rsidRDefault="00000000">
      <w:pPr>
        <w:pStyle w:val="Heading9"/>
        <w:spacing w:line="288" w:lineRule="auto"/>
        <w:rPr>
          <w:u w:val="single"/>
        </w:rPr>
      </w:pPr>
    </w:p>
    <w:p w:rsidR="00000000" w:rsidRDefault="00000000">
      <w:pPr>
        <w:pStyle w:val="Heading9"/>
        <w:spacing w:line="288" w:lineRule="auto"/>
        <w:rPr>
          <w:b w:val="0"/>
          <w:u w:val="single"/>
        </w:rPr>
      </w:pPr>
      <w:r>
        <w:rPr>
          <w:b w:val="0"/>
          <w:u w:val="single"/>
        </w:rPr>
        <w:t>Статья 6</w:t>
      </w:r>
    </w:p>
    <w:p w:rsidR="00000000" w:rsidRDefault="00000000">
      <w:pPr>
        <w:pStyle w:val="Heading9"/>
        <w:spacing w:line="288" w:lineRule="auto"/>
        <w:rPr>
          <w:u w:val="single"/>
        </w:rPr>
      </w:pPr>
    </w:p>
    <w:p w:rsidR="00000000" w:rsidRDefault="00000000">
      <w:pPr>
        <w:tabs>
          <w:tab w:val="clear" w:pos="1701"/>
        </w:tabs>
        <w:ind w:left="2268" w:hanging="2268"/>
      </w:pPr>
      <w:r>
        <w:t>Дополнения 6-9</w:t>
      </w:r>
      <w:r>
        <w:tab/>
        <w:t>Доклады по Конвенциям МОТ № 111 и 122</w:t>
      </w:r>
    </w:p>
    <w:p w:rsidR="00000000" w:rsidRDefault="00000000">
      <w:pPr>
        <w:pStyle w:val="Heading8"/>
        <w:spacing w:line="288" w:lineRule="auto"/>
      </w:pPr>
    </w:p>
    <w:p w:rsidR="00000000" w:rsidRDefault="00000000">
      <w:pPr>
        <w:pStyle w:val="Heading8"/>
        <w:spacing w:line="288" w:lineRule="auto"/>
        <w:jc w:val="left"/>
        <w:rPr>
          <w:b w:val="0"/>
        </w:rPr>
      </w:pPr>
      <w:r>
        <w:rPr>
          <w:b w:val="0"/>
        </w:rPr>
        <w:t>Статья 7</w:t>
      </w:r>
    </w:p>
    <w:p w:rsidR="00000000" w:rsidRDefault="00000000">
      <w:pPr>
        <w:pStyle w:val="Heading8"/>
        <w:spacing w:line="288" w:lineRule="auto"/>
      </w:pPr>
    </w:p>
    <w:p w:rsidR="00000000" w:rsidRDefault="00000000">
      <w:pPr>
        <w:pStyle w:val="BodyTextIndent"/>
        <w:ind w:left="2268" w:hanging="2268"/>
      </w:pPr>
      <w:r>
        <w:t>Дополнения 10-17</w:t>
      </w:r>
      <w:r>
        <w:tab/>
        <w:t>Доклады по Конвенциям МОТ № 26, 81, 99, 100, 129, 131, 132 и 155 Статистика:</w:t>
      </w:r>
    </w:p>
    <w:p w:rsidR="00000000" w:rsidRDefault="00000000">
      <w:pPr>
        <w:tabs>
          <w:tab w:val="clear" w:pos="1701"/>
        </w:tabs>
        <w:ind w:left="2268" w:hanging="2268"/>
      </w:pPr>
      <w:r>
        <w:t>Дополнение 18</w:t>
      </w:r>
      <w:r>
        <w:tab/>
        <w:t>Различия в заработной плате женщин и мужчин</w:t>
      </w:r>
    </w:p>
    <w:p w:rsidR="00000000" w:rsidRDefault="00000000">
      <w:pPr>
        <w:tabs>
          <w:tab w:val="clear" w:pos="1701"/>
        </w:tabs>
        <w:ind w:left="2268" w:hanging="2268"/>
      </w:pPr>
      <w:r>
        <w:t>Дополнение 19</w:t>
      </w:r>
      <w:r>
        <w:tab/>
        <w:t>Разница в оплате труда – таблицы</w:t>
      </w:r>
    </w:p>
    <w:p w:rsidR="00000000" w:rsidRDefault="00000000">
      <w:pPr>
        <w:pStyle w:val="BodyTextIndent"/>
        <w:ind w:left="2268" w:hanging="2268"/>
      </w:pPr>
      <w:r>
        <w:t>Дополнение 20</w:t>
      </w:r>
      <w:r>
        <w:tab/>
      </w:r>
      <w:r>
        <w:tab/>
        <w:t>Доходы работников в разбивке по секторам занятости и виду деятельности</w:t>
      </w:r>
    </w:p>
    <w:p w:rsidR="00000000" w:rsidRDefault="00000000">
      <w:pPr>
        <w:pStyle w:val="BodyTextIndent"/>
        <w:ind w:left="2268" w:hanging="2268"/>
      </w:pPr>
      <w:r>
        <w:t>Дополнение 21</w:t>
      </w:r>
      <w:r>
        <w:tab/>
      </w:r>
      <w:r>
        <w:tab/>
        <w:t>Несчастные случаи на производстве, профессиональные заболевания и несчастные случаи на производстве со смертельным исходом в Финляндии, 1985-1996 годы</w:t>
      </w:r>
    </w:p>
    <w:p w:rsidR="00000000" w:rsidRDefault="00000000">
      <w:pPr>
        <w:pStyle w:val="BodyTextIndent"/>
        <w:ind w:left="2268" w:hanging="2268"/>
      </w:pPr>
      <w:r>
        <w:t>Дополнение 22</w:t>
      </w:r>
      <w:r>
        <w:tab/>
      </w:r>
      <w:r>
        <w:tab/>
        <w:t>Профессиональные заболевания и медико-санитарные осмотры, 1996-1998 годы</w:t>
      </w:r>
    </w:p>
    <w:p w:rsidR="00000000" w:rsidRDefault="00000000">
      <w:pPr>
        <w:pStyle w:val="Heading8"/>
        <w:spacing w:line="288" w:lineRule="auto"/>
      </w:pPr>
    </w:p>
    <w:p w:rsidR="00000000" w:rsidRDefault="00000000">
      <w:pPr>
        <w:pStyle w:val="Heading8"/>
        <w:spacing w:line="288" w:lineRule="auto"/>
        <w:jc w:val="left"/>
        <w:rPr>
          <w:b w:val="0"/>
        </w:rPr>
      </w:pPr>
      <w:r>
        <w:rPr>
          <w:b w:val="0"/>
        </w:rPr>
        <w:t>Статья 8</w:t>
      </w:r>
    </w:p>
    <w:p w:rsidR="00000000" w:rsidRDefault="00000000">
      <w:pPr>
        <w:pStyle w:val="Heading8"/>
        <w:spacing w:line="288" w:lineRule="auto"/>
      </w:pPr>
    </w:p>
    <w:p w:rsidR="00000000" w:rsidRDefault="00000000">
      <w:pPr>
        <w:tabs>
          <w:tab w:val="clear" w:pos="1701"/>
        </w:tabs>
        <w:ind w:left="2268" w:hanging="2268"/>
      </w:pPr>
      <w:r>
        <w:t>Дополнения 23-27</w:t>
      </w:r>
      <w:r>
        <w:tab/>
        <w:t>Доклады по Конвенциям МОТ № 87 и 151</w:t>
      </w:r>
    </w:p>
    <w:p w:rsidR="00000000" w:rsidRDefault="00000000">
      <w:pPr>
        <w:pStyle w:val="Heading8"/>
        <w:spacing w:line="288" w:lineRule="auto"/>
      </w:pPr>
    </w:p>
    <w:p w:rsidR="00000000" w:rsidRDefault="00000000">
      <w:pPr>
        <w:pStyle w:val="Heading8"/>
        <w:spacing w:line="288" w:lineRule="auto"/>
        <w:jc w:val="left"/>
        <w:rPr>
          <w:b w:val="0"/>
        </w:rPr>
      </w:pPr>
      <w:r>
        <w:rPr>
          <w:b w:val="0"/>
        </w:rPr>
        <w:t>Статья 9</w:t>
      </w:r>
    </w:p>
    <w:p w:rsidR="00000000" w:rsidRDefault="00000000">
      <w:pPr>
        <w:pStyle w:val="Heading8"/>
        <w:spacing w:line="288" w:lineRule="auto"/>
      </w:pPr>
    </w:p>
    <w:p w:rsidR="00000000" w:rsidRDefault="00000000">
      <w:pPr>
        <w:tabs>
          <w:tab w:val="clear" w:pos="1701"/>
        </w:tabs>
        <w:ind w:left="2268" w:hanging="2268"/>
      </w:pPr>
      <w:r>
        <w:t>Дополнения 28-31</w:t>
      </w:r>
      <w:r>
        <w:tab/>
        <w:t>Доклады по Конвенциям МОТ № 121, 128, 130 и 168</w:t>
      </w:r>
    </w:p>
    <w:p w:rsidR="00000000" w:rsidRDefault="00000000">
      <w:pPr>
        <w:pStyle w:val="BodyTextIndent"/>
        <w:ind w:left="2268" w:hanging="2268"/>
      </w:pPr>
      <w:r>
        <w:t>Дополнение 32</w:t>
      </w:r>
      <w:r>
        <w:tab/>
      </w:r>
      <w:r>
        <w:tab/>
        <w:t>Публикация министерства социального обеспечения и здравоохранения:  тенденции в области социальной защиты в 1998</w:t>
      </w:r>
      <w:r>
        <w:noBreakHyphen/>
        <w:t>1999 годах</w:t>
      </w:r>
    </w:p>
    <w:p w:rsidR="00000000" w:rsidRDefault="00000000">
      <w:pPr>
        <w:tabs>
          <w:tab w:val="clear" w:pos="1701"/>
        </w:tabs>
        <w:ind w:left="2268" w:hanging="2268"/>
      </w:pPr>
      <w:r>
        <w:t>Дополнение 33</w:t>
      </w:r>
      <w:r>
        <w:tab/>
        <w:t>Институт социального страхования;  руководство по страхованию</w:t>
      </w:r>
    </w:p>
    <w:p w:rsidR="00000000" w:rsidRDefault="00000000">
      <w:pPr>
        <w:pStyle w:val="BodyTextIndent"/>
        <w:ind w:left="2268" w:hanging="2268"/>
      </w:pPr>
      <w:r>
        <w:t>Дополнения 34-35</w:t>
      </w:r>
      <w:r>
        <w:tab/>
        <w:t>Доклады МИССОК 1.7.1996-31.12.1997 и 1.1.-31.12.1998 по вопросам изменений в системе социального обеспечения</w:t>
      </w:r>
    </w:p>
    <w:p w:rsidR="00000000" w:rsidRDefault="00000000">
      <w:pPr>
        <w:pStyle w:val="Heading8"/>
        <w:spacing w:line="288" w:lineRule="auto"/>
      </w:pPr>
    </w:p>
    <w:p w:rsidR="00000000" w:rsidRDefault="00000000">
      <w:pPr>
        <w:pStyle w:val="Heading8"/>
        <w:spacing w:line="288" w:lineRule="auto"/>
        <w:jc w:val="left"/>
        <w:rPr>
          <w:b w:val="0"/>
        </w:rPr>
      </w:pPr>
      <w:r>
        <w:rPr>
          <w:b w:val="0"/>
        </w:rPr>
        <w:t>Статья 10</w:t>
      </w:r>
    </w:p>
    <w:p w:rsidR="00000000" w:rsidRDefault="00000000">
      <w:pPr>
        <w:pStyle w:val="Heading8"/>
        <w:spacing w:line="288" w:lineRule="auto"/>
      </w:pPr>
    </w:p>
    <w:p w:rsidR="00000000" w:rsidRDefault="00000000">
      <w:pPr>
        <w:tabs>
          <w:tab w:val="clear" w:pos="1701"/>
        </w:tabs>
        <w:ind w:left="2268" w:hanging="2268"/>
      </w:pPr>
      <w:r>
        <w:t>Дополнение 36</w:t>
      </w:r>
      <w:r>
        <w:tab/>
        <w:t>Доклад по Конвенции МОТ № 138</w:t>
      </w:r>
    </w:p>
    <w:p w:rsidR="00000000" w:rsidRDefault="00000000">
      <w:pPr>
        <w:tabs>
          <w:tab w:val="clear" w:pos="1701"/>
        </w:tabs>
        <w:ind w:left="2268" w:hanging="2268"/>
        <w:rPr>
          <w:lang w:val="en-US"/>
        </w:rPr>
      </w:pPr>
      <w:r>
        <w:t>Дополнение 37</w:t>
      </w:r>
      <w:r>
        <w:tab/>
      </w:r>
      <w:proofErr w:type="spellStart"/>
      <w:r>
        <w:rPr>
          <w:lang w:val="en-US"/>
        </w:rPr>
        <w:t>Heiskanen</w:t>
      </w:r>
      <w:proofErr w:type="spellEnd"/>
      <w:r>
        <w:rPr>
          <w:lang w:val="en-US"/>
        </w:rPr>
        <w:t xml:space="preserve"> </w:t>
      </w:r>
      <w:proofErr w:type="spellStart"/>
      <w:r>
        <w:rPr>
          <w:lang w:val="en-US"/>
        </w:rPr>
        <w:t>Markku</w:t>
      </w:r>
      <w:proofErr w:type="spellEnd"/>
      <w:r>
        <w:rPr>
          <w:lang w:val="en-US"/>
        </w:rPr>
        <w:t xml:space="preserve">, </w:t>
      </w:r>
      <w:proofErr w:type="spellStart"/>
      <w:r>
        <w:rPr>
          <w:lang w:val="en-US"/>
        </w:rPr>
        <w:t>Piispa</w:t>
      </w:r>
      <w:proofErr w:type="spellEnd"/>
      <w:r>
        <w:rPr>
          <w:lang w:val="en-US"/>
        </w:rPr>
        <w:t xml:space="preserve"> </w:t>
      </w:r>
      <w:proofErr w:type="spellStart"/>
      <w:r>
        <w:rPr>
          <w:lang w:val="en-US"/>
        </w:rPr>
        <w:t>Minna</w:t>
      </w:r>
      <w:proofErr w:type="spellEnd"/>
      <w:r>
        <w:rPr>
          <w:lang w:val="en-US"/>
        </w:rPr>
        <w:t>,  Justice 1998:20 Faith, Hope, Battering. A Survey of Men's Violence against Women in Finland</w:t>
      </w:r>
    </w:p>
    <w:p w:rsidR="00000000" w:rsidRDefault="00000000">
      <w:pPr>
        <w:pStyle w:val="Heading8"/>
        <w:spacing w:line="288" w:lineRule="auto"/>
      </w:pPr>
    </w:p>
    <w:p w:rsidR="00000000" w:rsidRDefault="00000000">
      <w:pPr>
        <w:pStyle w:val="Heading8"/>
        <w:spacing w:line="288" w:lineRule="auto"/>
        <w:jc w:val="left"/>
        <w:rPr>
          <w:b w:val="0"/>
        </w:rPr>
      </w:pPr>
      <w:r>
        <w:rPr>
          <w:b w:val="0"/>
        </w:rPr>
        <w:t>Статья 11</w:t>
      </w:r>
    </w:p>
    <w:p w:rsidR="00000000" w:rsidRDefault="00000000">
      <w:pPr>
        <w:pStyle w:val="Heading8"/>
        <w:spacing w:line="288" w:lineRule="auto"/>
      </w:pPr>
    </w:p>
    <w:p w:rsidR="00000000" w:rsidRDefault="00000000">
      <w:pPr>
        <w:tabs>
          <w:tab w:val="clear" w:pos="1701"/>
        </w:tabs>
        <w:ind w:left="2268" w:hanging="2268"/>
      </w:pPr>
      <w:r>
        <w:t>Дополнение 38</w:t>
      </w:r>
      <w:r>
        <w:tab/>
        <w:t>Статистика жилищных условий</w:t>
      </w:r>
    </w:p>
    <w:p w:rsidR="00000000" w:rsidRDefault="00000000">
      <w:pPr>
        <w:pStyle w:val="Heading8"/>
        <w:spacing w:line="288" w:lineRule="auto"/>
      </w:pPr>
    </w:p>
    <w:p w:rsidR="00000000" w:rsidRDefault="00000000">
      <w:pPr>
        <w:pStyle w:val="Heading8"/>
        <w:spacing w:line="288" w:lineRule="auto"/>
        <w:jc w:val="left"/>
        <w:rPr>
          <w:b w:val="0"/>
        </w:rPr>
      </w:pPr>
      <w:r>
        <w:rPr>
          <w:b w:val="0"/>
        </w:rPr>
        <w:t>Статья 12</w:t>
      </w:r>
    </w:p>
    <w:p w:rsidR="00000000" w:rsidRDefault="00000000">
      <w:pPr>
        <w:pStyle w:val="Heading8"/>
        <w:spacing w:line="288" w:lineRule="auto"/>
      </w:pPr>
    </w:p>
    <w:p w:rsidR="00000000" w:rsidRDefault="00000000">
      <w:pPr>
        <w:tabs>
          <w:tab w:val="clear" w:pos="1701"/>
        </w:tabs>
        <w:ind w:left="2268" w:hanging="2268"/>
      </w:pPr>
      <w:r>
        <w:t>Дополнение 39</w:t>
      </w:r>
      <w:r>
        <w:tab/>
        <w:t xml:space="preserve">Статистика:  июнь 1998 года, отдельные показатели </w:t>
      </w:r>
      <w:r>
        <w:rPr>
          <w:lang w:val="en-US"/>
        </w:rPr>
        <w:t>HFA,</w:t>
      </w:r>
      <w:r>
        <w:t xml:space="preserve"> ранее представленные ВОЗ/ЕВРО:  Финляндия</w:t>
      </w:r>
    </w:p>
    <w:p w:rsidR="00000000" w:rsidRDefault="00000000">
      <w:pPr>
        <w:pStyle w:val="Heading8"/>
        <w:spacing w:line="288" w:lineRule="auto"/>
      </w:pPr>
    </w:p>
    <w:p w:rsidR="00000000" w:rsidRDefault="00000000">
      <w:pPr>
        <w:pStyle w:val="Heading8"/>
        <w:spacing w:line="288" w:lineRule="auto"/>
        <w:jc w:val="left"/>
        <w:rPr>
          <w:b w:val="0"/>
        </w:rPr>
      </w:pPr>
      <w:r>
        <w:rPr>
          <w:b w:val="0"/>
        </w:rPr>
        <w:t>Статья 13</w:t>
      </w:r>
    </w:p>
    <w:p w:rsidR="00000000" w:rsidRDefault="00000000">
      <w:pPr>
        <w:pStyle w:val="Heading8"/>
        <w:spacing w:line="288" w:lineRule="auto"/>
      </w:pPr>
    </w:p>
    <w:p w:rsidR="00000000" w:rsidRDefault="00000000">
      <w:pPr>
        <w:tabs>
          <w:tab w:val="clear" w:pos="1701"/>
        </w:tabs>
        <w:ind w:left="2268" w:hanging="2268"/>
      </w:pPr>
      <w:r>
        <w:t>Дополнение 40</w:t>
      </w:r>
      <w:r>
        <w:tab/>
        <w:t>Образование в Финляндии в 1999 году:  статистика и показатели</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jc w:val="center"/>
      </w:pPr>
      <w:r>
        <w:t>-----</w:t>
      </w:r>
    </w:p>
    <w:p w:rsidR="00000000" w:rsidRDefault="00000000">
      <w:pPr>
        <w:pStyle w:val="a0"/>
        <w:widowControl/>
        <w:tabs>
          <w:tab w:val="left" w:pos="567"/>
          <w:tab w:val="left" w:pos="1134"/>
          <w:tab w:val="left" w:pos="1418"/>
          <w:tab w:val="left" w:pos="2268"/>
          <w:tab w:val="left" w:pos="6237"/>
        </w:tabs>
        <w:spacing w:line="288" w:lineRule="auto"/>
        <w:rPr>
          <w:rFonts w:ascii="Times New Roman" w:hAnsi="Times New Roman"/>
          <w:snapToGrid/>
          <w:lang w:val="en-US"/>
        </w:rPr>
      </w:pPr>
    </w:p>
    <w:sectPr w:rsidR="00000000">
      <w:headerReference w:type="even" r:id="rId8"/>
      <w:headerReference w:type="default" r:id="rId9"/>
      <w:type w:val="oddPage"/>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E/C.12/4/Add.1</w:t>
    </w:r>
  </w:p>
  <w:p w:rsidR="00000000" w:rsidRDefault="00000000">
    <w:pPr>
      <w:pStyle w:val="Header"/>
      <w:spacing w:line="240" w:lineRule="auto"/>
      <w:rPr>
        <w:lang w:val="en-US"/>
      </w:rPr>
    </w:pPr>
    <w:r>
      <w:rPr>
        <w:lang w:val="en-US"/>
      </w:rPr>
      <w:t xml:space="preserve">page </w:t>
    </w:r>
    <w:r>
      <w:rPr>
        <w:lang w:val="en-US"/>
      </w:rPr>
      <w:fldChar w:fldCharType="begin"/>
    </w:r>
    <w:r>
      <w:rPr>
        <w:lang w:val="en-US"/>
      </w:rPr>
      <w:instrText xml:space="preserve"> PAGE  \* MERGEFORMAT </w:instrText>
    </w:r>
    <w:r>
      <w:rPr>
        <w:lang w:val="en-US"/>
      </w:rPr>
      <w:fldChar w:fldCharType="separate"/>
    </w:r>
    <w:r>
      <w:rPr>
        <w:noProof/>
      </w:rPr>
      <w:t>34</w:t>
    </w:r>
    <w:r>
      <w:rPr>
        <w:lang w:val="en-US"/>
      </w:rPr>
      <w:fldChar w:fldCharType="end"/>
    </w:r>
  </w:p>
  <w:p w:rsidR="00000000" w:rsidRDefault="00000000">
    <w:pPr>
      <w:pStyle w:val="Header"/>
      <w:spacing w:line="240" w:lineRule="auto"/>
      <w:rP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6803"/>
      </w:tabs>
      <w:spacing w:line="240" w:lineRule="auto"/>
      <w:rPr>
        <w:lang w:val="en-US"/>
      </w:rPr>
    </w:pPr>
    <w:r>
      <w:rPr>
        <w:lang w:val="en-US"/>
      </w:rPr>
      <w:tab/>
      <w:t>E/C.12/4/Add.1</w:t>
    </w:r>
  </w:p>
  <w:p w:rsidR="00000000" w:rsidRDefault="00000000">
    <w:pPr>
      <w:pStyle w:val="Header"/>
      <w:tabs>
        <w:tab w:val="clear" w:pos="4153"/>
        <w:tab w:val="clear" w:pos="8306"/>
        <w:tab w:val="left" w:pos="6803"/>
      </w:tabs>
      <w:spacing w:line="240" w:lineRule="auto"/>
      <w:rPr>
        <w:lang w:val="en-US"/>
      </w:rPr>
    </w:pPr>
    <w:r>
      <w:rPr>
        <w:lang w:val="en-US"/>
      </w:rPr>
      <w:tab/>
      <w:t xml:space="preserve">page </w:t>
    </w:r>
    <w:r>
      <w:rPr>
        <w:lang w:val="en-US"/>
      </w:rPr>
      <w:fldChar w:fldCharType="begin"/>
    </w:r>
    <w:r>
      <w:rPr>
        <w:lang w:val="en-US"/>
      </w:rPr>
      <w:instrText xml:space="preserve"> PAGE  \* MERGEFORMAT </w:instrText>
    </w:r>
    <w:r>
      <w:rPr>
        <w:lang w:val="en-US"/>
      </w:rPr>
      <w:fldChar w:fldCharType="separate"/>
    </w:r>
    <w:r>
      <w:rPr>
        <w:noProof/>
      </w:rPr>
      <w:t>33</w:t>
    </w:r>
    <w:r>
      <w:rPr>
        <w:lang w:val="en-US"/>
      </w:rPr>
      <w:fldChar w:fldCharType="end"/>
    </w:r>
  </w:p>
  <w:p w:rsidR="00000000" w:rsidRDefault="00000000">
    <w:pPr>
      <w:pStyle w:val="Header"/>
      <w:tabs>
        <w:tab w:val="clear" w:pos="4153"/>
        <w:tab w:val="clear" w:pos="8306"/>
        <w:tab w:val="left" w:pos="6803"/>
      </w:tabs>
      <w:spacing w:line="240" w:lineRule="auto"/>
      <w:rP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567"/>
        <w:tab w:val="left" w:pos="1134"/>
        <w:tab w:val="left" w:pos="1701"/>
        <w:tab w:val="left" w:pos="2268"/>
        <w:tab w:val="left" w:pos="6237"/>
      </w:tabs>
      <w:outlineLvl w:val="4"/>
    </w:pPr>
    <w:rPr>
      <w:i/>
      <w:u w:val="single"/>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jc w:val="center"/>
      <w:outlineLvl w:val="6"/>
    </w:pPr>
    <w:rPr>
      <w:u w:val="single"/>
    </w:rPr>
  </w:style>
  <w:style w:type="paragraph" w:styleId="Heading8">
    <w:name w:val="heading 8"/>
    <w:basedOn w:val="Normal"/>
    <w:next w:val="Normal"/>
    <w:qFormat/>
    <w:pPr>
      <w:keepNext/>
      <w:tabs>
        <w:tab w:val="left" w:pos="567"/>
        <w:tab w:val="left" w:pos="1134"/>
        <w:tab w:val="left" w:pos="1701"/>
        <w:tab w:val="left" w:pos="2268"/>
        <w:tab w:val="left" w:pos="6237"/>
      </w:tabs>
      <w:spacing w:line="720" w:lineRule="auto"/>
      <w:jc w:val="center"/>
      <w:outlineLvl w:val="7"/>
    </w:pPr>
    <w:rPr>
      <w:b/>
      <w:u w:val="single"/>
    </w:rPr>
  </w:style>
  <w:style w:type="paragraph" w:styleId="Heading9">
    <w:name w:val="heading 9"/>
    <w:basedOn w:val="Normal"/>
    <w:next w:val="Normal"/>
    <w:qFormat/>
    <w:pPr>
      <w:keepNext/>
      <w:tabs>
        <w:tab w:val="clear" w:pos="1701"/>
        <w:tab w:val="left" w:pos="567"/>
        <w:tab w:val="left" w:pos="1134"/>
        <w:tab w:val="left" w:pos="2268"/>
        <w:tab w:val="left" w:pos="6237"/>
      </w:tabs>
      <w:spacing w:line="720" w:lineRule="auto"/>
      <w:ind w:left="2268" w:hanging="2268"/>
      <w:outlineLvl w:val="8"/>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tabs>
        <w:tab w:val="left" w:pos="0"/>
      </w:tabs>
      <w:suppressAutoHyphens/>
      <w:ind w:left="480" w:hanging="480"/>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31343</Words>
  <Characters>178660</Characters>
  <Application>Microsoft Office Word</Application>
  <DocSecurity>4</DocSecurity>
  <Lines>1488</Lines>
  <Paragraphs>357</Paragraphs>
  <ScaleCrop>false</ScaleCrop>
  <HeadingPairs>
    <vt:vector size="2" baseType="variant">
      <vt:variant>
        <vt:lpstr>Название</vt:lpstr>
      </vt:variant>
      <vt:variant>
        <vt:i4>1</vt:i4>
      </vt:variant>
    </vt:vector>
  </HeadingPairs>
  <TitlesOfParts>
    <vt:vector size="1" baseType="lpstr">
      <vt:lpstr>9946236.doc</vt:lpstr>
    </vt:vector>
  </TitlesOfParts>
  <Company> </Company>
  <LinksUpToDate>false</LinksUpToDate>
  <CharactersWithSpaces>219407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9946236.doc</dc:title>
  <dc:subject>Муравьев</dc:subject>
  <dc:creator>Дудникова</dc:creator>
  <cp:keywords/>
  <dc:description/>
  <cp:lastModifiedBy>Наталья Ковальская</cp:lastModifiedBy>
  <cp:revision>4</cp:revision>
  <cp:lastPrinted>2000-03-27T09:35:00Z</cp:lastPrinted>
  <dcterms:created xsi:type="dcterms:W3CDTF">2000-03-27T09:49:00Z</dcterms:created>
  <dcterms:modified xsi:type="dcterms:W3CDTF">2000-03-27T09:51:00Z</dcterms:modified>
</cp:coreProperties>
</file>