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D2F83">
      <w:pPr>
        <w:framePr w:w="1701" w:h="440" w:hRule="exact" w:hSpace="181" w:wrap="notBeside" w:vAnchor="page" w:hAnchor="page" w:x="1354" w:y="1106" w:anchorLock="1"/>
        <w:spacing w:before="48"/>
      </w:pPr>
      <w:r>
        <w:rPr>
          <w:rFonts w:hint="eastAsia"/>
          <w:spacing w:val="80"/>
          <w:kern w:val="30"/>
          <w:sz w:val="30"/>
        </w:rPr>
        <w:t>联合国</w:t>
      </w:r>
    </w:p>
    <w:p w:rsidR="00000000" w:rsidRDefault="004D2F83">
      <w:pPr>
        <w:framePr w:hSpace="181" w:wrap="auto" w:vAnchor="text" w:hAnchor="page" w:x="1191" w:y="-3"/>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4D2F83">
      <w:pPr>
        <w:framePr w:w="3249" w:h="1565" w:hRule="exact" w:hSpace="181" w:wrap="auto" w:vAnchor="text" w:hAnchor="page" w:x="2387" w:y="-3"/>
        <w:spacing w:line="560" w:lineRule="exact"/>
        <w:jc w:val="left"/>
        <w:rPr>
          <w:rFonts w:ascii="SimHei" w:eastAsia="SimHei" w:hint="eastAsia"/>
          <w:b/>
          <w:sz w:val="52"/>
        </w:rPr>
      </w:pPr>
      <w:r>
        <w:rPr>
          <w:rFonts w:ascii="SimHei" w:eastAsia="SimHei" w:hint="eastAsia"/>
          <w:b/>
          <w:sz w:val="34"/>
        </w:rPr>
        <w:t>消除对妇女一切形式歧视公约</w:t>
      </w:r>
    </w:p>
    <w:p w:rsidR="00000000" w:rsidRDefault="004D2F83">
      <w:pPr>
        <w:pStyle w:val="5"/>
        <w:framePr w:w="2852" w:wrap="notBeside" w:x="8151" w:y="1834"/>
        <w:spacing w:line="240" w:lineRule="exact"/>
        <w:rPr>
          <w:color w:val="FFFFFF"/>
          <w:spacing w:val="10"/>
          <w:sz w:val="21"/>
        </w:rPr>
      </w:pPr>
      <w:r>
        <w:rPr>
          <w:sz w:val="21"/>
        </w:rPr>
        <w:t>Distr.:General</w:t>
      </w:r>
    </w:p>
    <w:p w:rsidR="00000000" w:rsidRDefault="004D2F83">
      <w:pPr>
        <w:pStyle w:val="5"/>
        <w:framePr w:w="2852" w:wrap="notBeside" w:x="8151" w:y="1834"/>
        <w:spacing w:line="240" w:lineRule="exact"/>
        <w:rPr>
          <w:sz w:val="21"/>
        </w:rPr>
      </w:pPr>
      <w:r>
        <w:rPr>
          <w:sz w:val="21"/>
        </w:rPr>
        <w:t xml:space="preserve">7 </w:t>
      </w:r>
      <w:r>
        <w:rPr>
          <w:rFonts w:hint="eastAsia"/>
          <w:sz w:val="21"/>
        </w:rPr>
        <w:t>November</w:t>
      </w:r>
      <w:r>
        <w:rPr>
          <w:sz w:val="21"/>
        </w:rPr>
        <w:t xml:space="preserve"> 200</w:t>
      </w:r>
      <w:r>
        <w:rPr>
          <w:rFonts w:hint="eastAsia"/>
          <w:sz w:val="21"/>
        </w:rPr>
        <w:t>2</w:t>
      </w:r>
    </w:p>
    <w:p w:rsidR="00000000" w:rsidRDefault="004D2F83">
      <w:pPr>
        <w:pStyle w:val="5"/>
        <w:framePr w:w="2852" w:wrap="notBeside" w:x="8151" w:y="1834"/>
        <w:spacing w:line="240" w:lineRule="exact"/>
        <w:rPr>
          <w:sz w:val="21"/>
        </w:rPr>
      </w:pPr>
    </w:p>
    <w:p w:rsidR="00000000" w:rsidRDefault="004D2F83">
      <w:pPr>
        <w:pStyle w:val="5"/>
        <w:framePr w:w="2852" w:wrap="notBeside" w:x="8151" w:y="1834"/>
        <w:spacing w:line="240" w:lineRule="exact"/>
        <w:rPr>
          <w:color w:val="auto"/>
          <w:spacing w:val="10"/>
          <w:sz w:val="21"/>
        </w:rPr>
      </w:pPr>
      <w:r>
        <w:rPr>
          <w:color w:val="auto"/>
          <w:spacing w:val="10"/>
          <w:sz w:val="21"/>
        </w:rPr>
        <w:t>Chinese</w:t>
      </w:r>
    </w:p>
    <w:p w:rsidR="00000000" w:rsidRDefault="004D2F83">
      <w:pPr>
        <w:pStyle w:val="5"/>
        <w:framePr w:w="2852" w:wrap="notBeside" w:x="8151" w:y="1834"/>
        <w:spacing w:line="240" w:lineRule="exact"/>
        <w:rPr>
          <w:color w:val="auto"/>
          <w:spacing w:val="10"/>
          <w:sz w:val="21"/>
        </w:rPr>
      </w:pPr>
      <w:r>
        <w:rPr>
          <w:sz w:val="21"/>
        </w:rPr>
        <w:t>Original</w:t>
      </w:r>
      <w:r>
        <w:rPr>
          <w:rFonts w:hint="eastAsia"/>
          <w:sz w:val="21"/>
        </w:rPr>
        <w:t>：</w:t>
      </w:r>
      <w:r>
        <w:rPr>
          <w:sz w:val="21"/>
        </w:rPr>
        <w:t>English</w:t>
      </w:r>
    </w:p>
    <w:p w:rsidR="00000000" w:rsidRDefault="004D2F83">
      <w:pPr>
        <w:pBdr>
          <w:top w:val="single" w:sz="12" w:space="1" w:color="auto"/>
        </w:pBdr>
        <w:spacing w:line="360" w:lineRule="exact"/>
        <w:rPr>
          <w:rFonts w:eastAsia="SimHei"/>
          <w:sz w:val="24"/>
        </w:rPr>
      </w:pPr>
      <w:r>
        <w:rPr>
          <w:rFonts w:eastAsia="SimHei" w:hint="eastAsia"/>
          <w:sz w:val="24"/>
        </w:rPr>
        <w:t>消除对妇女歧视委员</w:t>
      </w:r>
      <w:commentRangeStart w:id="0"/>
      <w:r>
        <w:rPr>
          <w:rFonts w:eastAsia="SimHei" w:hint="eastAsia"/>
          <w:sz w:val="24"/>
        </w:rPr>
        <w:t>会</w:t>
      </w:r>
      <w:commentRangeEnd w:id="0"/>
      <w:r>
        <w:rPr>
          <w:rStyle w:val="CommentReference"/>
          <w:rFonts w:hint="eastAsia"/>
          <w:vanish/>
        </w:rPr>
        <w:commentReference w:id="0"/>
      </w:r>
    </w:p>
    <w:p w:rsidR="00000000" w:rsidRDefault="004D2F83">
      <w:pPr>
        <w:spacing w:before="240" w:line="360" w:lineRule="exact"/>
        <w:jc w:val="center"/>
        <w:rPr>
          <w:rFonts w:eastAsia="SimHei"/>
          <w:sz w:val="28"/>
        </w:rPr>
      </w:pPr>
    </w:p>
    <w:p w:rsidR="00000000" w:rsidRDefault="004D2F83">
      <w:pPr>
        <w:spacing w:before="240" w:line="360" w:lineRule="exact"/>
        <w:jc w:val="center"/>
        <w:rPr>
          <w:rFonts w:eastAsia="SimHei"/>
          <w:sz w:val="28"/>
        </w:rPr>
      </w:pPr>
    </w:p>
    <w:p w:rsidR="00000000" w:rsidRDefault="004D2F83">
      <w:pPr>
        <w:spacing w:after="240" w:line="360" w:lineRule="exact"/>
        <w:jc w:val="center"/>
        <w:rPr>
          <w:rFonts w:ascii="SimHei" w:eastAsia="SimHei" w:hint="eastAsia"/>
          <w:sz w:val="28"/>
        </w:rPr>
      </w:pPr>
      <w:r>
        <w:rPr>
          <w:rFonts w:ascii="SimHei" w:eastAsia="SimHei" w:hint="eastAsia"/>
          <w:sz w:val="28"/>
        </w:rPr>
        <w:t>审议缔约国根据《消除对妇女一切形式歧视公约》</w:t>
      </w:r>
    </w:p>
    <w:p w:rsidR="00000000" w:rsidRDefault="004D2F83">
      <w:pPr>
        <w:spacing w:after="240" w:line="360" w:lineRule="exact"/>
        <w:jc w:val="center"/>
        <w:rPr>
          <w:rFonts w:ascii="SimHei" w:eastAsia="SimHei"/>
          <w:sz w:val="28"/>
        </w:rPr>
      </w:pPr>
      <w:r>
        <w:rPr>
          <w:rFonts w:ascii="SimHei" w:eastAsia="SimHei" w:hint="eastAsia"/>
          <w:sz w:val="28"/>
        </w:rPr>
        <w:t>第</w:t>
      </w:r>
      <w:r>
        <w:rPr>
          <w:rFonts w:ascii="SimHei" w:eastAsia="SimHei" w:hint="eastAsia"/>
          <w:sz w:val="28"/>
        </w:rPr>
        <w:t>18</w:t>
      </w:r>
      <w:r>
        <w:rPr>
          <w:rFonts w:ascii="SimHei" w:eastAsia="SimHei" w:hint="eastAsia"/>
          <w:sz w:val="28"/>
        </w:rPr>
        <w:t>条提交的报告</w:t>
      </w:r>
    </w:p>
    <w:p w:rsidR="00000000" w:rsidRDefault="004D2F83">
      <w:pPr>
        <w:spacing w:after="240" w:line="360" w:lineRule="exact"/>
        <w:jc w:val="center"/>
        <w:rPr>
          <w:rFonts w:ascii="SimHei" w:eastAsia="SimHei"/>
          <w:sz w:val="28"/>
        </w:rPr>
      </w:pPr>
    </w:p>
    <w:p w:rsidR="00000000" w:rsidRDefault="004D2F83">
      <w:pPr>
        <w:spacing w:after="240" w:line="360" w:lineRule="exact"/>
        <w:jc w:val="center"/>
        <w:rPr>
          <w:rFonts w:ascii="SimHei" w:eastAsia="SimHei"/>
          <w:sz w:val="28"/>
        </w:rPr>
      </w:pPr>
    </w:p>
    <w:p w:rsidR="00000000" w:rsidRDefault="004D2F83">
      <w:pPr>
        <w:spacing w:after="240" w:line="360" w:lineRule="exact"/>
        <w:jc w:val="center"/>
        <w:rPr>
          <w:rFonts w:eastAsia="SimHei" w:hint="eastAsia"/>
          <w:sz w:val="24"/>
        </w:rPr>
      </w:pPr>
      <w:r>
        <w:rPr>
          <w:rFonts w:eastAsia="SimHei" w:hint="eastAsia"/>
          <w:sz w:val="24"/>
        </w:rPr>
        <w:t>缔约国的第一、第二、第三、第四</w:t>
      </w:r>
    </w:p>
    <w:p w:rsidR="00000000" w:rsidRDefault="004D2F83">
      <w:pPr>
        <w:spacing w:after="240" w:line="360" w:lineRule="exact"/>
        <w:jc w:val="center"/>
        <w:rPr>
          <w:rFonts w:eastAsia="SimHei"/>
          <w:sz w:val="24"/>
        </w:rPr>
      </w:pPr>
      <w:r>
        <w:rPr>
          <w:rFonts w:eastAsia="SimHei" w:hint="eastAsia"/>
          <w:sz w:val="24"/>
        </w:rPr>
        <w:t>和第五次合并定期报告</w:t>
      </w:r>
    </w:p>
    <w:p w:rsidR="00000000" w:rsidRDefault="004D2F83">
      <w:pPr>
        <w:spacing w:after="240" w:line="360" w:lineRule="exact"/>
        <w:jc w:val="center"/>
        <w:rPr>
          <w:rFonts w:ascii="SimHei" w:eastAsia="SimHei"/>
          <w:sz w:val="28"/>
        </w:rPr>
      </w:pPr>
    </w:p>
    <w:p w:rsidR="00000000" w:rsidRDefault="004D2F83">
      <w:pPr>
        <w:spacing w:after="240" w:line="360" w:lineRule="exact"/>
        <w:jc w:val="center"/>
        <w:rPr>
          <w:rFonts w:ascii="SimHei" w:eastAsia="SimHei"/>
          <w:sz w:val="28"/>
        </w:rPr>
      </w:pPr>
    </w:p>
    <w:p w:rsidR="00000000" w:rsidRDefault="004D2F83">
      <w:pPr>
        <w:spacing w:after="240" w:line="360" w:lineRule="exact"/>
        <w:jc w:val="center"/>
        <w:rPr>
          <w:rFonts w:ascii="SimHei" w:eastAsia="SimHei" w:hint="eastAsia"/>
          <w:bCs/>
          <w:sz w:val="28"/>
        </w:rPr>
      </w:pPr>
      <w:r>
        <w:rPr>
          <w:rFonts w:eastAsia="SimHei" w:hint="eastAsia"/>
          <w:bCs/>
          <w:sz w:val="28"/>
        </w:rPr>
        <w:t>巴</w:t>
      </w:r>
      <w:r>
        <w:rPr>
          <w:rFonts w:eastAsia="SimHei" w:hint="eastAsia"/>
          <w:bCs/>
          <w:sz w:val="28"/>
        </w:rPr>
        <w:t xml:space="preserve"> </w:t>
      </w:r>
      <w:r>
        <w:rPr>
          <w:rFonts w:eastAsia="SimHei" w:hint="eastAsia"/>
          <w:bCs/>
          <w:sz w:val="28"/>
        </w:rPr>
        <w:t>西</w:t>
      </w:r>
      <w:r>
        <w:rPr>
          <w:rStyle w:val="FootnoteReference"/>
          <w:rFonts w:eastAsia="SimHei"/>
          <w:bCs/>
          <w:sz w:val="28"/>
        </w:rPr>
        <w:footnoteReference w:customMarkFollows="1" w:id="1"/>
        <w:t>*</w:t>
      </w:r>
    </w:p>
    <w:p w:rsidR="00000000" w:rsidRDefault="004D2F83">
      <w:pPr>
        <w:spacing w:before="240" w:line="360" w:lineRule="exact"/>
        <w:jc w:val="center"/>
        <w:rPr>
          <w:rFonts w:eastAsia="SimHei"/>
          <w:sz w:val="28"/>
        </w:rPr>
      </w:pPr>
    </w:p>
    <w:p w:rsidR="00000000" w:rsidRDefault="004D2F83">
      <w:pPr>
        <w:spacing w:after="240" w:line="360" w:lineRule="exact"/>
        <w:jc w:val="center"/>
        <w:rPr>
          <w:rFonts w:ascii="SimHei" w:eastAsia="SimHei" w:hint="eastAsia"/>
          <w:sz w:val="28"/>
        </w:rPr>
      </w:pPr>
    </w:p>
    <w:p w:rsidR="00000000" w:rsidRDefault="004D2F83">
      <w:pPr>
        <w:spacing w:after="120" w:line="360" w:lineRule="exact"/>
        <w:rPr>
          <w:rFonts w:eastAsia="SimHei" w:hint="eastAsia"/>
          <w:sz w:val="28"/>
        </w:rPr>
      </w:pPr>
      <w:r>
        <w:br w:type="page"/>
      </w:r>
      <w:r>
        <w:rPr>
          <w:rFonts w:eastAsia="SimHei" w:hint="eastAsia"/>
          <w:sz w:val="28"/>
        </w:rPr>
        <w:t>目录</w:t>
      </w:r>
    </w:p>
    <w:p w:rsidR="00000000" w:rsidRDefault="004D2F83">
      <w:pPr>
        <w:spacing w:after="240" w:line="360" w:lineRule="exact"/>
        <w:jc w:val="right"/>
        <w:rPr>
          <w:rFonts w:eastAsia="KaiTi_GB2312" w:hint="eastAsia"/>
        </w:rPr>
      </w:pPr>
      <w:r>
        <w:rPr>
          <w:rFonts w:eastAsia="KaiTi_GB2312" w:hint="eastAsia"/>
        </w:rPr>
        <w:t>页次</w:t>
      </w:r>
    </w:p>
    <w:p w:rsidR="00000000" w:rsidRDefault="004D2F83" w:rsidP="004D2F83">
      <w:pPr>
        <w:tabs>
          <w:tab w:val="center" w:leader="dot" w:pos="9240"/>
          <w:tab w:val="right" w:pos="9720"/>
        </w:tabs>
        <w:spacing w:after="120" w:line="320" w:lineRule="exact"/>
        <w:ind w:left="31680" w:rightChars="377" w:right="31680" w:hangingChars="228" w:firstLine="31680"/>
        <w:rPr>
          <w:rFonts w:hint="eastAsia"/>
        </w:rPr>
      </w:pPr>
      <w:r>
        <w:rPr>
          <w:rFonts w:hint="eastAsia"/>
        </w:rPr>
        <w:t>1</w:t>
      </w:r>
      <w:r>
        <w:rPr>
          <w:rFonts w:hint="eastAsia"/>
        </w:rPr>
        <w:t>．</w:t>
      </w:r>
      <w:r>
        <w:t xml:space="preserve"> </w:t>
      </w:r>
      <w:r>
        <w:rPr>
          <w:rFonts w:hint="eastAsia"/>
        </w:rPr>
        <w:t>概览</w:t>
      </w:r>
      <w:r>
        <w:tab/>
      </w:r>
      <w:r>
        <w:rPr>
          <w:rFonts w:hint="eastAsia"/>
        </w:rPr>
        <w:tab/>
        <w:t>3</w:t>
      </w:r>
    </w:p>
    <w:p w:rsidR="00000000" w:rsidRDefault="004D2F83" w:rsidP="004D2F83">
      <w:pPr>
        <w:tabs>
          <w:tab w:val="center" w:leader="dot" w:pos="9240"/>
          <w:tab w:val="right" w:pos="9720"/>
        </w:tabs>
        <w:spacing w:after="120" w:line="320" w:lineRule="exact"/>
        <w:ind w:leftChars="200" w:left="31680" w:rightChars="377" w:right="31680" w:hangingChars="257" w:firstLine="31680"/>
        <w:rPr>
          <w:rFonts w:hint="eastAsia"/>
        </w:rPr>
      </w:pPr>
      <w:r>
        <w:rPr>
          <w:rFonts w:hint="eastAsia"/>
        </w:rPr>
        <w:t>1.1</w:t>
      </w:r>
      <w:r>
        <w:tab/>
      </w:r>
      <w:r>
        <w:rPr>
          <w:rFonts w:hint="eastAsia"/>
        </w:rPr>
        <w:t>综合统计数据和信息</w:t>
      </w:r>
      <w:r>
        <w:rPr>
          <w:rFonts w:hint="eastAsia"/>
        </w:rPr>
        <w:tab/>
      </w:r>
      <w:r>
        <w:rPr>
          <w:rFonts w:hint="eastAsia"/>
        </w:rPr>
        <w:tab/>
        <w:t>3</w:t>
      </w:r>
    </w:p>
    <w:p w:rsidR="00000000" w:rsidRDefault="004D2F83" w:rsidP="004D2F83">
      <w:pPr>
        <w:tabs>
          <w:tab w:val="center" w:leader="dot" w:pos="9240"/>
          <w:tab w:val="right" w:pos="9720"/>
        </w:tabs>
        <w:spacing w:after="120" w:line="320" w:lineRule="exact"/>
        <w:ind w:leftChars="200" w:left="31680" w:rightChars="377" w:right="31680" w:hangingChars="257" w:firstLine="31680"/>
        <w:rPr>
          <w:rFonts w:hint="eastAsia"/>
        </w:rPr>
      </w:pPr>
      <w:r>
        <w:rPr>
          <w:rFonts w:hint="eastAsia"/>
        </w:rPr>
        <w:t>1.2</w:t>
      </w:r>
      <w:r>
        <w:tab/>
      </w:r>
      <w:r>
        <w:rPr>
          <w:rFonts w:hint="eastAsia"/>
        </w:rPr>
        <w:t>具体统计数据和信息</w:t>
      </w:r>
      <w:r>
        <w:rPr>
          <w:rFonts w:hint="eastAsia"/>
        </w:rPr>
        <w:tab/>
      </w:r>
      <w:r>
        <w:rPr>
          <w:rFonts w:hint="eastAsia"/>
        </w:rPr>
        <w:tab/>
        <w:t>6</w:t>
      </w:r>
    </w:p>
    <w:p w:rsidR="00000000" w:rsidRDefault="004D2F83" w:rsidP="004D2F83">
      <w:pPr>
        <w:tabs>
          <w:tab w:val="center" w:leader="dot" w:pos="9240"/>
          <w:tab w:val="right" w:pos="9720"/>
        </w:tabs>
        <w:spacing w:after="120" w:line="320" w:lineRule="exact"/>
        <w:ind w:leftChars="200" w:left="31680" w:rightChars="377" w:right="31680" w:hangingChars="257" w:firstLine="31680"/>
        <w:rPr>
          <w:rFonts w:hint="eastAsia"/>
        </w:rPr>
      </w:pPr>
      <w:r>
        <w:rPr>
          <w:rFonts w:hint="eastAsia"/>
        </w:rPr>
        <w:t>1.3</w:t>
      </w:r>
      <w:r>
        <w:tab/>
      </w:r>
      <w:r>
        <w:rPr>
          <w:rFonts w:hint="eastAsia"/>
        </w:rPr>
        <w:t>巴西和国际一级的人权保护</w:t>
      </w:r>
      <w:r>
        <w:tab/>
      </w:r>
      <w:r>
        <w:rPr>
          <w:rFonts w:hint="eastAsia"/>
        </w:rPr>
        <w:tab/>
        <w:t>11</w:t>
      </w:r>
    </w:p>
    <w:p w:rsidR="00000000" w:rsidRDefault="004D2F83" w:rsidP="004D2F83">
      <w:pPr>
        <w:tabs>
          <w:tab w:val="center" w:leader="dot" w:pos="9240"/>
          <w:tab w:val="right" w:pos="9720"/>
        </w:tabs>
        <w:spacing w:after="120" w:line="320" w:lineRule="exact"/>
        <w:ind w:leftChars="200" w:left="31680" w:rightChars="377" w:right="31680" w:hangingChars="257" w:firstLine="31680"/>
        <w:rPr>
          <w:rFonts w:hint="eastAsia"/>
        </w:rPr>
      </w:pPr>
      <w:r>
        <w:rPr>
          <w:rFonts w:hint="eastAsia"/>
        </w:rPr>
        <w:t>1.4</w:t>
      </w:r>
      <w:r>
        <w:tab/>
      </w:r>
      <w:r>
        <w:rPr>
          <w:rFonts w:hint="eastAsia"/>
        </w:rPr>
        <w:t>国家一级的人权保护</w:t>
      </w:r>
      <w:r>
        <w:tab/>
      </w:r>
      <w:r>
        <w:rPr>
          <w:rFonts w:hint="eastAsia"/>
        </w:rPr>
        <w:tab/>
        <w:t>14</w:t>
      </w:r>
    </w:p>
    <w:p w:rsidR="00000000" w:rsidRDefault="004D2F83" w:rsidP="004D2F83">
      <w:pPr>
        <w:tabs>
          <w:tab w:val="center" w:leader="dot" w:pos="9240"/>
          <w:tab w:val="right" w:pos="9720"/>
        </w:tabs>
        <w:spacing w:after="120" w:line="320" w:lineRule="exact"/>
        <w:ind w:left="31680" w:rightChars="377" w:right="31680" w:hangingChars="228" w:firstLine="31680"/>
        <w:rPr>
          <w:rFonts w:hint="eastAsia"/>
        </w:rPr>
      </w:pPr>
      <w:r>
        <w:rPr>
          <w:rFonts w:hint="eastAsia"/>
        </w:rPr>
        <w:t>2</w:t>
      </w:r>
      <w:r>
        <w:rPr>
          <w:rFonts w:hint="eastAsia"/>
        </w:rPr>
        <w:t>．</w:t>
      </w:r>
      <w:r>
        <w:t xml:space="preserve"> </w:t>
      </w:r>
      <w:r>
        <w:rPr>
          <w:rFonts w:hint="eastAsia"/>
        </w:rPr>
        <w:t>具体</w:t>
      </w:r>
      <w:r>
        <w:rPr>
          <w:rFonts w:hint="eastAsia"/>
        </w:rPr>
        <w:t>部分——《公约》条款</w:t>
      </w:r>
      <w:r>
        <w:tab/>
      </w:r>
      <w:r>
        <w:rPr>
          <w:rFonts w:hint="eastAsia"/>
        </w:rPr>
        <w:tab/>
        <w:t>26</w:t>
      </w:r>
    </w:p>
    <w:p w:rsidR="00000000" w:rsidRDefault="004D2F83" w:rsidP="004D2F83">
      <w:pPr>
        <w:tabs>
          <w:tab w:val="center" w:leader="dot" w:pos="9240"/>
          <w:tab w:val="right" w:pos="9720"/>
        </w:tabs>
        <w:spacing w:after="120" w:line="320" w:lineRule="exact"/>
        <w:ind w:leftChars="200" w:left="31680" w:rightChars="377" w:right="31680" w:hangingChars="257" w:firstLine="31680"/>
        <w:rPr>
          <w:rFonts w:hint="eastAsia"/>
        </w:rPr>
      </w:pPr>
      <w:r>
        <w:rPr>
          <w:rFonts w:hint="eastAsia"/>
        </w:rPr>
        <w:t>第</w:t>
      </w:r>
      <w:r>
        <w:rPr>
          <w:rFonts w:hint="eastAsia"/>
        </w:rPr>
        <w:t>1</w:t>
      </w:r>
      <w:r>
        <w:rPr>
          <w:rFonts w:hint="eastAsia"/>
        </w:rPr>
        <w:t>条</w:t>
      </w:r>
      <w:r>
        <w:tab/>
      </w:r>
      <w:r>
        <w:rPr>
          <w:rFonts w:hint="eastAsia"/>
        </w:rPr>
        <w:tab/>
        <w:t>26</w:t>
      </w:r>
    </w:p>
    <w:p w:rsidR="00000000" w:rsidRDefault="004D2F83" w:rsidP="004D2F83">
      <w:pPr>
        <w:tabs>
          <w:tab w:val="center" w:leader="dot" w:pos="9240"/>
          <w:tab w:val="right" w:pos="9720"/>
        </w:tabs>
        <w:spacing w:after="120" w:line="320" w:lineRule="exact"/>
        <w:ind w:leftChars="200" w:left="31680" w:rightChars="377" w:right="31680" w:hangingChars="257" w:firstLine="31680"/>
        <w:rPr>
          <w:rFonts w:hint="eastAsia"/>
        </w:rPr>
      </w:pPr>
      <w:r>
        <w:rPr>
          <w:rFonts w:hint="eastAsia"/>
        </w:rPr>
        <w:t>第</w:t>
      </w:r>
      <w:r>
        <w:rPr>
          <w:rFonts w:hint="eastAsia"/>
        </w:rPr>
        <w:t>2</w:t>
      </w:r>
      <w:r>
        <w:rPr>
          <w:rFonts w:hint="eastAsia"/>
        </w:rPr>
        <w:t>条</w:t>
      </w:r>
      <w:r>
        <w:tab/>
      </w:r>
      <w:r>
        <w:rPr>
          <w:rFonts w:hint="eastAsia"/>
        </w:rPr>
        <w:tab/>
        <w:t>26</w:t>
      </w:r>
    </w:p>
    <w:p w:rsidR="00000000" w:rsidRDefault="004D2F83" w:rsidP="004D2F83">
      <w:pPr>
        <w:tabs>
          <w:tab w:val="center" w:leader="dot" w:pos="9240"/>
          <w:tab w:val="right" w:pos="9720"/>
        </w:tabs>
        <w:spacing w:after="120" w:line="320" w:lineRule="exact"/>
        <w:ind w:leftChars="200" w:left="31680" w:rightChars="377" w:right="31680" w:hangingChars="257" w:firstLine="31680"/>
        <w:rPr>
          <w:rFonts w:hint="eastAsia"/>
        </w:rPr>
      </w:pPr>
      <w:r>
        <w:rPr>
          <w:rFonts w:hint="eastAsia"/>
        </w:rPr>
        <w:t>第</w:t>
      </w:r>
      <w:r>
        <w:rPr>
          <w:rFonts w:hint="eastAsia"/>
        </w:rPr>
        <w:t>3</w:t>
      </w:r>
      <w:r>
        <w:rPr>
          <w:rFonts w:hint="eastAsia"/>
        </w:rPr>
        <w:t>条</w:t>
      </w:r>
      <w:r>
        <w:tab/>
      </w:r>
      <w:r>
        <w:rPr>
          <w:rFonts w:hint="eastAsia"/>
        </w:rPr>
        <w:tab/>
        <w:t>56</w:t>
      </w:r>
    </w:p>
    <w:p w:rsidR="00000000" w:rsidRDefault="004D2F83" w:rsidP="004D2F83">
      <w:pPr>
        <w:tabs>
          <w:tab w:val="center" w:leader="dot" w:pos="9240"/>
          <w:tab w:val="right" w:pos="9720"/>
        </w:tabs>
        <w:spacing w:after="120" w:line="320" w:lineRule="exact"/>
        <w:ind w:leftChars="200" w:left="31680" w:rightChars="377" w:right="31680" w:hangingChars="257" w:firstLine="31680"/>
        <w:rPr>
          <w:rFonts w:hint="eastAsia"/>
        </w:rPr>
      </w:pPr>
      <w:r>
        <w:rPr>
          <w:rFonts w:hint="eastAsia"/>
        </w:rPr>
        <w:t>第</w:t>
      </w:r>
      <w:r>
        <w:rPr>
          <w:rFonts w:hint="eastAsia"/>
        </w:rPr>
        <w:t>4</w:t>
      </w:r>
      <w:r>
        <w:rPr>
          <w:rFonts w:hint="eastAsia"/>
        </w:rPr>
        <w:t>条</w:t>
      </w:r>
      <w:r>
        <w:tab/>
      </w:r>
      <w:r>
        <w:rPr>
          <w:rFonts w:hint="eastAsia"/>
        </w:rPr>
        <w:tab/>
        <w:t>64</w:t>
      </w:r>
    </w:p>
    <w:p w:rsidR="00000000" w:rsidRDefault="004D2F83" w:rsidP="004D2F83">
      <w:pPr>
        <w:tabs>
          <w:tab w:val="center" w:leader="dot" w:pos="9240"/>
          <w:tab w:val="right" w:pos="9720"/>
        </w:tabs>
        <w:spacing w:after="120" w:line="320" w:lineRule="exact"/>
        <w:ind w:leftChars="200" w:left="31680" w:rightChars="377" w:right="31680" w:hangingChars="257" w:firstLine="31680"/>
        <w:rPr>
          <w:rFonts w:hint="eastAsia"/>
        </w:rPr>
      </w:pPr>
      <w:r>
        <w:rPr>
          <w:rFonts w:hint="eastAsia"/>
        </w:rPr>
        <w:t>第</w:t>
      </w:r>
      <w:r>
        <w:rPr>
          <w:rFonts w:hint="eastAsia"/>
        </w:rPr>
        <w:t>5</w:t>
      </w:r>
      <w:r>
        <w:rPr>
          <w:rFonts w:hint="eastAsia"/>
        </w:rPr>
        <w:t>条</w:t>
      </w:r>
      <w:r>
        <w:tab/>
      </w:r>
      <w:r>
        <w:rPr>
          <w:rFonts w:hint="eastAsia"/>
        </w:rPr>
        <w:tab/>
        <w:t>78</w:t>
      </w:r>
    </w:p>
    <w:p w:rsidR="00000000" w:rsidRDefault="004D2F83" w:rsidP="004D2F83">
      <w:pPr>
        <w:tabs>
          <w:tab w:val="center" w:leader="dot" w:pos="9240"/>
          <w:tab w:val="right" w:pos="9720"/>
        </w:tabs>
        <w:spacing w:after="120" w:line="320" w:lineRule="exact"/>
        <w:ind w:leftChars="200" w:left="31680" w:rightChars="377" w:right="31680" w:hangingChars="257" w:firstLine="31680"/>
        <w:rPr>
          <w:rFonts w:hint="eastAsia"/>
        </w:rPr>
      </w:pPr>
      <w:r>
        <w:rPr>
          <w:rFonts w:hint="eastAsia"/>
        </w:rPr>
        <w:t>第</w:t>
      </w:r>
      <w:r>
        <w:rPr>
          <w:rFonts w:hint="eastAsia"/>
        </w:rPr>
        <w:t>6</w:t>
      </w:r>
      <w:r>
        <w:rPr>
          <w:rFonts w:hint="eastAsia"/>
        </w:rPr>
        <w:t>条</w:t>
      </w:r>
      <w:r>
        <w:tab/>
      </w:r>
      <w:r>
        <w:rPr>
          <w:rFonts w:hint="eastAsia"/>
        </w:rPr>
        <w:tab/>
        <w:t>89</w:t>
      </w:r>
    </w:p>
    <w:p w:rsidR="00000000" w:rsidRDefault="004D2F83" w:rsidP="004D2F83">
      <w:pPr>
        <w:tabs>
          <w:tab w:val="center" w:leader="dot" w:pos="9240"/>
          <w:tab w:val="right" w:pos="9720"/>
        </w:tabs>
        <w:spacing w:after="120" w:line="320" w:lineRule="exact"/>
        <w:ind w:leftChars="200" w:left="31680" w:rightChars="377" w:right="31680" w:hangingChars="257" w:firstLine="31680"/>
        <w:rPr>
          <w:rFonts w:hint="eastAsia"/>
        </w:rPr>
      </w:pPr>
      <w:r>
        <w:rPr>
          <w:rFonts w:hint="eastAsia"/>
        </w:rPr>
        <w:t>第</w:t>
      </w:r>
      <w:r>
        <w:rPr>
          <w:rFonts w:hint="eastAsia"/>
        </w:rPr>
        <w:t>7</w:t>
      </w:r>
      <w:r>
        <w:rPr>
          <w:rFonts w:hint="eastAsia"/>
        </w:rPr>
        <w:t>条</w:t>
      </w:r>
      <w:r>
        <w:tab/>
      </w:r>
      <w:r>
        <w:rPr>
          <w:rFonts w:hint="eastAsia"/>
        </w:rPr>
        <w:tab/>
        <w:t>108</w:t>
      </w:r>
    </w:p>
    <w:p w:rsidR="00000000" w:rsidRDefault="004D2F83" w:rsidP="004D2F83">
      <w:pPr>
        <w:tabs>
          <w:tab w:val="center" w:leader="dot" w:pos="9240"/>
          <w:tab w:val="right" w:pos="9720"/>
        </w:tabs>
        <w:spacing w:after="120" w:line="320" w:lineRule="exact"/>
        <w:ind w:leftChars="200" w:left="31680" w:rightChars="377" w:right="31680" w:hangingChars="257" w:firstLine="31680"/>
        <w:rPr>
          <w:rFonts w:hint="eastAsia"/>
        </w:rPr>
      </w:pPr>
      <w:r>
        <w:rPr>
          <w:rFonts w:hint="eastAsia"/>
        </w:rPr>
        <w:t>第</w:t>
      </w:r>
      <w:r>
        <w:rPr>
          <w:rFonts w:hint="eastAsia"/>
        </w:rPr>
        <w:t>8</w:t>
      </w:r>
      <w:r>
        <w:rPr>
          <w:rFonts w:hint="eastAsia"/>
        </w:rPr>
        <w:t>条</w:t>
      </w:r>
      <w:r>
        <w:tab/>
      </w:r>
      <w:r>
        <w:rPr>
          <w:rFonts w:hint="eastAsia"/>
        </w:rPr>
        <w:tab/>
        <w:t>120</w:t>
      </w:r>
    </w:p>
    <w:p w:rsidR="00000000" w:rsidRDefault="004D2F83" w:rsidP="004D2F83">
      <w:pPr>
        <w:tabs>
          <w:tab w:val="center" w:leader="dot" w:pos="9240"/>
          <w:tab w:val="right" w:pos="9720"/>
        </w:tabs>
        <w:spacing w:after="120" w:line="320" w:lineRule="exact"/>
        <w:ind w:leftChars="200" w:left="31680" w:rightChars="377" w:right="31680" w:hangingChars="257" w:firstLine="31680"/>
        <w:rPr>
          <w:rFonts w:hint="eastAsia"/>
        </w:rPr>
      </w:pPr>
      <w:r>
        <w:rPr>
          <w:rFonts w:hint="eastAsia"/>
        </w:rPr>
        <w:t>第</w:t>
      </w:r>
      <w:r>
        <w:rPr>
          <w:rFonts w:hint="eastAsia"/>
        </w:rPr>
        <w:t>9</w:t>
      </w:r>
      <w:r>
        <w:rPr>
          <w:rFonts w:hint="eastAsia"/>
        </w:rPr>
        <w:t>条</w:t>
      </w:r>
      <w:r>
        <w:tab/>
      </w:r>
      <w:r>
        <w:rPr>
          <w:rFonts w:hint="eastAsia"/>
        </w:rPr>
        <w:tab/>
        <w:t>124</w:t>
      </w:r>
    </w:p>
    <w:p w:rsidR="00000000" w:rsidRDefault="004D2F83" w:rsidP="004D2F83">
      <w:pPr>
        <w:tabs>
          <w:tab w:val="center" w:leader="dot" w:pos="9240"/>
          <w:tab w:val="right" w:pos="9720"/>
        </w:tabs>
        <w:spacing w:after="120" w:line="320" w:lineRule="exact"/>
        <w:ind w:leftChars="200" w:left="31680" w:rightChars="377" w:right="31680" w:hangingChars="257" w:firstLine="31680"/>
        <w:rPr>
          <w:rFonts w:hint="eastAsia"/>
        </w:rPr>
      </w:pPr>
      <w:r>
        <w:rPr>
          <w:rFonts w:hint="eastAsia"/>
        </w:rPr>
        <w:t>第</w:t>
      </w:r>
      <w:r>
        <w:rPr>
          <w:rFonts w:hint="eastAsia"/>
        </w:rPr>
        <w:t>10</w:t>
      </w:r>
      <w:r>
        <w:rPr>
          <w:rFonts w:hint="eastAsia"/>
        </w:rPr>
        <w:t>条</w:t>
      </w:r>
      <w:r>
        <w:tab/>
      </w:r>
      <w:r>
        <w:rPr>
          <w:rFonts w:hint="eastAsia"/>
        </w:rPr>
        <w:tab/>
        <w:t>126</w:t>
      </w:r>
    </w:p>
    <w:p w:rsidR="00000000" w:rsidRDefault="004D2F83" w:rsidP="004D2F83">
      <w:pPr>
        <w:tabs>
          <w:tab w:val="center" w:leader="dot" w:pos="9240"/>
          <w:tab w:val="right" w:pos="9720"/>
        </w:tabs>
        <w:spacing w:after="120" w:line="320" w:lineRule="exact"/>
        <w:ind w:leftChars="200" w:left="31680" w:rightChars="377" w:right="31680" w:hangingChars="257" w:firstLine="31680"/>
        <w:rPr>
          <w:rFonts w:hint="eastAsia"/>
        </w:rPr>
      </w:pPr>
      <w:r>
        <w:rPr>
          <w:rFonts w:hint="eastAsia"/>
        </w:rPr>
        <w:t>第</w:t>
      </w:r>
      <w:r>
        <w:rPr>
          <w:rFonts w:hint="eastAsia"/>
        </w:rPr>
        <w:t>11</w:t>
      </w:r>
      <w:r>
        <w:rPr>
          <w:rFonts w:hint="eastAsia"/>
        </w:rPr>
        <w:t>条</w:t>
      </w:r>
      <w:r>
        <w:tab/>
      </w:r>
      <w:r>
        <w:rPr>
          <w:rFonts w:hint="eastAsia"/>
        </w:rPr>
        <w:tab/>
        <w:t>139</w:t>
      </w:r>
    </w:p>
    <w:p w:rsidR="00000000" w:rsidRDefault="004D2F83" w:rsidP="004D2F83">
      <w:pPr>
        <w:tabs>
          <w:tab w:val="center" w:leader="dot" w:pos="9240"/>
          <w:tab w:val="right" w:pos="9720"/>
        </w:tabs>
        <w:spacing w:after="120" w:line="320" w:lineRule="exact"/>
        <w:ind w:leftChars="200" w:left="31680" w:rightChars="377" w:right="31680" w:hangingChars="257" w:firstLine="31680"/>
        <w:rPr>
          <w:rFonts w:hint="eastAsia"/>
        </w:rPr>
      </w:pPr>
      <w:r>
        <w:rPr>
          <w:rFonts w:hint="eastAsia"/>
        </w:rPr>
        <w:t>第</w:t>
      </w:r>
      <w:r>
        <w:rPr>
          <w:rFonts w:hint="eastAsia"/>
        </w:rPr>
        <w:t>12</w:t>
      </w:r>
      <w:r>
        <w:rPr>
          <w:rFonts w:hint="eastAsia"/>
        </w:rPr>
        <w:t>条</w:t>
      </w:r>
      <w:r>
        <w:tab/>
      </w:r>
      <w:r>
        <w:rPr>
          <w:rFonts w:hint="eastAsia"/>
        </w:rPr>
        <w:tab/>
        <w:t>161</w:t>
      </w:r>
    </w:p>
    <w:p w:rsidR="00000000" w:rsidRDefault="004D2F83" w:rsidP="004D2F83">
      <w:pPr>
        <w:tabs>
          <w:tab w:val="center" w:leader="dot" w:pos="9240"/>
          <w:tab w:val="right" w:pos="9720"/>
        </w:tabs>
        <w:spacing w:after="120" w:line="320" w:lineRule="exact"/>
        <w:ind w:leftChars="200" w:left="31680" w:rightChars="377" w:right="31680" w:hangingChars="257" w:firstLine="31680"/>
        <w:rPr>
          <w:rFonts w:hint="eastAsia"/>
        </w:rPr>
      </w:pPr>
      <w:r>
        <w:rPr>
          <w:rFonts w:hint="eastAsia"/>
        </w:rPr>
        <w:t>第</w:t>
      </w:r>
      <w:r>
        <w:rPr>
          <w:rFonts w:hint="eastAsia"/>
        </w:rPr>
        <w:t>13</w:t>
      </w:r>
      <w:r>
        <w:rPr>
          <w:rFonts w:hint="eastAsia"/>
        </w:rPr>
        <w:t>条</w:t>
      </w:r>
      <w:r>
        <w:tab/>
      </w:r>
      <w:r>
        <w:rPr>
          <w:rFonts w:hint="eastAsia"/>
        </w:rPr>
        <w:tab/>
        <w:t>176</w:t>
      </w:r>
    </w:p>
    <w:p w:rsidR="00000000" w:rsidRDefault="004D2F83" w:rsidP="004D2F83">
      <w:pPr>
        <w:tabs>
          <w:tab w:val="center" w:leader="dot" w:pos="9240"/>
          <w:tab w:val="right" w:pos="9720"/>
        </w:tabs>
        <w:spacing w:after="120" w:line="320" w:lineRule="exact"/>
        <w:ind w:leftChars="200" w:left="31680" w:rightChars="377" w:right="31680" w:hangingChars="257" w:firstLine="31680"/>
        <w:rPr>
          <w:rFonts w:hint="eastAsia"/>
        </w:rPr>
      </w:pPr>
      <w:r>
        <w:rPr>
          <w:rFonts w:hint="eastAsia"/>
        </w:rPr>
        <w:t>第</w:t>
      </w:r>
      <w:r>
        <w:rPr>
          <w:rFonts w:hint="eastAsia"/>
        </w:rPr>
        <w:t>14</w:t>
      </w:r>
      <w:r>
        <w:rPr>
          <w:rFonts w:hint="eastAsia"/>
        </w:rPr>
        <w:t>条</w:t>
      </w:r>
      <w:r>
        <w:tab/>
      </w:r>
      <w:r>
        <w:rPr>
          <w:rFonts w:hint="eastAsia"/>
        </w:rPr>
        <w:tab/>
        <w:t>180</w:t>
      </w:r>
    </w:p>
    <w:p w:rsidR="00000000" w:rsidRDefault="004D2F83" w:rsidP="004D2F83">
      <w:pPr>
        <w:tabs>
          <w:tab w:val="center" w:leader="dot" w:pos="9240"/>
          <w:tab w:val="right" w:pos="9720"/>
        </w:tabs>
        <w:spacing w:after="120" w:line="320" w:lineRule="exact"/>
        <w:ind w:leftChars="200" w:left="31680" w:rightChars="377" w:right="31680" w:hangingChars="257" w:firstLine="31680"/>
        <w:rPr>
          <w:rFonts w:hint="eastAsia"/>
        </w:rPr>
      </w:pPr>
      <w:r>
        <w:rPr>
          <w:rFonts w:hint="eastAsia"/>
        </w:rPr>
        <w:t>第</w:t>
      </w:r>
      <w:r>
        <w:rPr>
          <w:rFonts w:hint="eastAsia"/>
        </w:rPr>
        <w:t>15</w:t>
      </w:r>
      <w:r>
        <w:rPr>
          <w:rFonts w:hint="eastAsia"/>
        </w:rPr>
        <w:t>条</w:t>
      </w:r>
      <w:r>
        <w:tab/>
      </w:r>
      <w:r>
        <w:rPr>
          <w:rFonts w:hint="eastAsia"/>
        </w:rPr>
        <w:tab/>
        <w:t>189</w:t>
      </w:r>
    </w:p>
    <w:p w:rsidR="00000000" w:rsidRDefault="004D2F83" w:rsidP="004D2F83">
      <w:pPr>
        <w:tabs>
          <w:tab w:val="center" w:leader="dot" w:pos="9240"/>
          <w:tab w:val="right" w:pos="9720"/>
        </w:tabs>
        <w:spacing w:after="120" w:line="320" w:lineRule="exact"/>
        <w:ind w:leftChars="200" w:left="31680" w:rightChars="377" w:right="31680" w:hangingChars="257" w:firstLine="31680"/>
        <w:rPr>
          <w:rFonts w:hint="eastAsia"/>
        </w:rPr>
      </w:pPr>
      <w:r>
        <w:rPr>
          <w:rFonts w:hint="eastAsia"/>
        </w:rPr>
        <w:t>第</w:t>
      </w:r>
      <w:r>
        <w:rPr>
          <w:rFonts w:hint="eastAsia"/>
        </w:rPr>
        <w:t>16</w:t>
      </w:r>
      <w:r>
        <w:rPr>
          <w:rFonts w:hint="eastAsia"/>
        </w:rPr>
        <w:t>条</w:t>
      </w:r>
      <w:r>
        <w:tab/>
      </w:r>
      <w:r>
        <w:rPr>
          <w:rFonts w:hint="eastAsia"/>
        </w:rPr>
        <w:tab/>
        <w:t>190</w:t>
      </w:r>
    </w:p>
    <w:p w:rsidR="00000000" w:rsidRDefault="004D2F83" w:rsidP="004D2F83">
      <w:pPr>
        <w:tabs>
          <w:tab w:val="center" w:leader="dot" w:pos="9240"/>
          <w:tab w:val="right" w:pos="9720"/>
        </w:tabs>
        <w:spacing w:after="120" w:line="320" w:lineRule="exact"/>
        <w:ind w:leftChars="200" w:left="31680" w:rightChars="377" w:right="31680" w:hangingChars="257" w:firstLine="31680"/>
        <w:rPr>
          <w:rFonts w:hint="eastAsia"/>
        </w:rPr>
      </w:pPr>
      <w:r>
        <w:rPr>
          <w:rFonts w:hint="eastAsia"/>
        </w:rPr>
        <w:t>文献目录</w:t>
      </w:r>
      <w:r>
        <w:tab/>
      </w:r>
      <w:r>
        <w:rPr>
          <w:rFonts w:hint="eastAsia"/>
        </w:rPr>
        <w:tab/>
        <w:t>209</w:t>
      </w:r>
    </w:p>
    <w:p w:rsidR="00000000" w:rsidRDefault="004D2F83" w:rsidP="004D2F83">
      <w:pPr>
        <w:tabs>
          <w:tab w:val="center" w:leader="dot" w:pos="9240"/>
          <w:tab w:val="right" w:pos="9720"/>
        </w:tabs>
        <w:spacing w:after="120" w:line="320" w:lineRule="exact"/>
        <w:ind w:leftChars="200" w:left="31680" w:rightChars="377" w:right="31680" w:hangingChars="257" w:firstLine="31680"/>
        <w:rPr>
          <w:rFonts w:hint="eastAsia"/>
        </w:rPr>
      </w:pPr>
      <w:r>
        <w:rPr>
          <w:rFonts w:hint="eastAsia"/>
        </w:rPr>
        <w:t>报告组</w:t>
      </w:r>
      <w:r>
        <w:tab/>
      </w:r>
      <w:r>
        <w:rPr>
          <w:rFonts w:hint="eastAsia"/>
        </w:rPr>
        <w:tab/>
      </w:r>
    </w:p>
    <w:p w:rsidR="00000000" w:rsidRDefault="004D2F83">
      <w:pPr>
        <w:spacing w:after="120" w:line="360" w:lineRule="exact"/>
        <w:jc w:val="center"/>
      </w:pPr>
      <w:r>
        <w:br w:type="page"/>
      </w:r>
    </w:p>
    <w:p w:rsidR="00000000" w:rsidRDefault="004D2F83">
      <w:pPr>
        <w:pStyle w:val="Heading2"/>
        <w:spacing w:before="0" w:after="240" w:line="360" w:lineRule="exact"/>
        <w:jc w:val="center"/>
        <w:rPr>
          <w:rFonts w:ascii="SimHei" w:hint="eastAsia"/>
          <w:b w:val="0"/>
          <w:bCs/>
          <w:sz w:val="28"/>
        </w:rPr>
      </w:pPr>
      <w:bookmarkStart w:id="1" w:name="_Toc36367071"/>
      <w:r>
        <w:rPr>
          <w:rFonts w:ascii="SimHei" w:hint="eastAsia"/>
          <w:b w:val="0"/>
          <w:bCs/>
          <w:sz w:val="28"/>
        </w:rPr>
        <w:t>1</w:t>
      </w:r>
      <w:r>
        <w:rPr>
          <w:rFonts w:ascii="SimHei"/>
          <w:b w:val="0"/>
          <w:bCs/>
          <w:sz w:val="28"/>
        </w:rPr>
        <w:t>.</w:t>
      </w:r>
      <w:r>
        <w:rPr>
          <w:rFonts w:ascii="SimHei" w:hint="eastAsia"/>
          <w:b w:val="0"/>
          <w:bCs/>
          <w:sz w:val="28"/>
        </w:rPr>
        <w:t xml:space="preserve"> </w:t>
      </w:r>
      <w:r>
        <w:rPr>
          <w:rFonts w:ascii="SimHei" w:hint="eastAsia"/>
          <w:b w:val="0"/>
          <w:bCs/>
          <w:sz w:val="28"/>
        </w:rPr>
        <w:t>概览</w:t>
      </w:r>
      <w:bookmarkEnd w:id="1"/>
    </w:p>
    <w:p w:rsidR="00000000" w:rsidRDefault="004D2F83">
      <w:pPr>
        <w:pStyle w:val="Heading3"/>
        <w:numPr>
          <w:ilvl w:val="0"/>
          <w:numId w:val="0"/>
        </w:numPr>
        <w:rPr>
          <w:rFonts w:hint="eastAsia"/>
          <w:u w:val="none"/>
        </w:rPr>
      </w:pPr>
      <w:bookmarkStart w:id="2" w:name="_Toc36367072"/>
      <w:r>
        <w:rPr>
          <w:rFonts w:hint="eastAsia"/>
          <w:u w:val="none"/>
        </w:rPr>
        <w:t xml:space="preserve">1.1 </w:t>
      </w:r>
      <w:r>
        <w:rPr>
          <w:rFonts w:hint="eastAsia"/>
          <w:u w:val="none"/>
        </w:rPr>
        <w:t>综合统计数据和信息</w:t>
      </w:r>
      <w:bookmarkEnd w:id="2"/>
    </w:p>
    <w:p w:rsidR="00000000" w:rsidRDefault="004D2F83" w:rsidP="004D2F83">
      <w:pPr>
        <w:spacing w:after="240" w:line="360" w:lineRule="exact"/>
        <w:ind w:firstLineChars="200" w:firstLine="31680"/>
        <w:rPr>
          <w:rFonts w:hint="eastAsia"/>
        </w:rPr>
      </w:pPr>
      <w:r>
        <w:rPr>
          <w:rFonts w:hint="eastAsia"/>
        </w:rPr>
        <w:t>巴西联邦共和国共有</w:t>
      </w:r>
      <w:r>
        <w:rPr>
          <w:rFonts w:hint="eastAsia"/>
        </w:rPr>
        <w:t>26</w:t>
      </w:r>
      <w:r>
        <w:rPr>
          <w:rFonts w:hint="eastAsia"/>
        </w:rPr>
        <w:t>个州和</w:t>
      </w:r>
      <w:r>
        <w:rPr>
          <w:rFonts w:hint="eastAsia"/>
        </w:rPr>
        <w:t>1</w:t>
      </w:r>
      <w:r>
        <w:rPr>
          <w:rFonts w:hint="eastAsia"/>
        </w:rPr>
        <w:t>个联邦区，面积</w:t>
      </w:r>
      <w:r>
        <w:rPr>
          <w:rFonts w:hint="eastAsia"/>
        </w:rPr>
        <w:t>8</w:t>
      </w:r>
      <w:r>
        <w:t xml:space="preserve"> </w:t>
      </w:r>
      <w:r>
        <w:rPr>
          <w:rFonts w:hint="eastAsia"/>
        </w:rPr>
        <w:t>547</w:t>
      </w:r>
      <w:r>
        <w:t xml:space="preserve"> </w:t>
      </w:r>
      <w:r>
        <w:rPr>
          <w:rFonts w:hint="eastAsia"/>
        </w:rPr>
        <w:t>403</w:t>
      </w:r>
      <w:r>
        <w:rPr>
          <w:rFonts w:hint="eastAsia"/>
        </w:rPr>
        <w:t>平方公里。据巴西地理统计局（</w:t>
      </w:r>
      <w:r>
        <w:rPr>
          <w:rFonts w:hint="eastAsia"/>
        </w:rPr>
        <w:t>IBGE</w:t>
      </w:r>
      <w:r>
        <w:rPr>
          <w:rFonts w:hint="eastAsia"/>
        </w:rPr>
        <w:t>）</w:t>
      </w:r>
      <w:r>
        <w:t>2000</w:t>
      </w:r>
      <w:r>
        <w:rPr>
          <w:rFonts w:hint="eastAsia"/>
        </w:rPr>
        <w:t>年的人口</w:t>
      </w:r>
      <w:r>
        <w:rPr>
          <w:rFonts w:hint="eastAsia"/>
        </w:rPr>
        <w:t>普查统计，巴西共有</w:t>
      </w:r>
      <w:r>
        <w:rPr>
          <w:rFonts w:hint="eastAsia"/>
        </w:rPr>
        <w:t>5</w:t>
      </w:r>
      <w:r>
        <w:t xml:space="preserve"> </w:t>
      </w:r>
      <w:r>
        <w:rPr>
          <w:rFonts w:hint="eastAsia"/>
        </w:rPr>
        <w:t>561</w:t>
      </w:r>
      <w:r>
        <w:rPr>
          <w:rFonts w:hint="eastAsia"/>
        </w:rPr>
        <w:t>个市，人口为</w:t>
      </w:r>
      <w:r>
        <w:rPr>
          <w:rFonts w:hint="eastAsia"/>
        </w:rPr>
        <w:t>169</w:t>
      </w:r>
      <w:r>
        <w:t xml:space="preserve"> </w:t>
      </w:r>
      <w:r>
        <w:rPr>
          <w:rFonts w:hint="eastAsia"/>
        </w:rPr>
        <w:t>590</w:t>
      </w:r>
      <w:r>
        <w:t xml:space="preserve"> </w:t>
      </w:r>
      <w:r>
        <w:rPr>
          <w:rFonts w:hint="eastAsia"/>
        </w:rPr>
        <w:t>693</w:t>
      </w:r>
      <w:r>
        <w:rPr>
          <w:rFonts w:hint="eastAsia"/>
        </w:rPr>
        <w:t>人。</w:t>
      </w:r>
    </w:p>
    <w:p w:rsidR="00000000" w:rsidRDefault="004D2F83" w:rsidP="004D2F83">
      <w:pPr>
        <w:spacing w:after="240" w:line="360" w:lineRule="exact"/>
        <w:ind w:firstLineChars="200" w:firstLine="31680"/>
        <w:rPr>
          <w:rFonts w:hint="eastAsia"/>
        </w:rPr>
      </w:pPr>
      <w:r>
        <w:rPr>
          <w:rFonts w:hint="eastAsia"/>
        </w:rPr>
        <w:t>20</w:t>
      </w:r>
      <w:r>
        <w:rPr>
          <w:rFonts w:hint="eastAsia"/>
        </w:rPr>
        <w:t>世纪，巴西的人口几乎增至十倍，尽管这期间的增长并不呈匀速。过去二十年的增长率最低，</w:t>
      </w:r>
      <w:r>
        <w:rPr>
          <w:rFonts w:hint="eastAsia"/>
        </w:rPr>
        <w:t>1970</w:t>
      </w:r>
      <w:r>
        <w:rPr>
          <w:rFonts w:hint="eastAsia"/>
        </w:rPr>
        <w:t>至</w:t>
      </w:r>
      <w:r>
        <w:rPr>
          <w:rFonts w:hint="eastAsia"/>
        </w:rPr>
        <w:t>1980</w:t>
      </w:r>
      <w:r>
        <w:rPr>
          <w:rFonts w:hint="eastAsia"/>
        </w:rPr>
        <w:t>年间巴西人口平均每年增长</w:t>
      </w:r>
      <w:r>
        <w:rPr>
          <w:rFonts w:hint="eastAsia"/>
        </w:rPr>
        <w:t>2.48%</w:t>
      </w:r>
      <w:r>
        <w:rPr>
          <w:rFonts w:hint="eastAsia"/>
        </w:rPr>
        <w:t>。</w:t>
      </w:r>
      <w:r>
        <w:rPr>
          <w:rFonts w:hint="eastAsia"/>
        </w:rPr>
        <w:t>1980-1991</w:t>
      </w:r>
      <w:r>
        <w:rPr>
          <w:rFonts w:hint="eastAsia"/>
        </w:rPr>
        <w:t>年期间，人口的增长率降至每年</w:t>
      </w:r>
      <w:r>
        <w:rPr>
          <w:rFonts w:hint="eastAsia"/>
        </w:rPr>
        <w:t>1.93%</w:t>
      </w:r>
      <w:r>
        <w:rPr>
          <w:rFonts w:hint="eastAsia"/>
        </w:rPr>
        <w:t>。据</w:t>
      </w:r>
      <w:r>
        <w:rPr>
          <w:rFonts w:hint="eastAsia"/>
        </w:rPr>
        <w:t>2000</w:t>
      </w:r>
      <w:r>
        <w:rPr>
          <w:rFonts w:hint="eastAsia"/>
        </w:rPr>
        <w:t>年人口普查数据，过去十年的增长率降至</w:t>
      </w:r>
      <w:r>
        <w:rPr>
          <w:rFonts w:hint="eastAsia"/>
        </w:rPr>
        <w:t>1.63%</w:t>
      </w:r>
      <w:r>
        <w:rPr>
          <w:rFonts w:hint="eastAsia"/>
        </w:rPr>
        <w:t>。初步研究表明，人口增长率下降主要是由于自</w:t>
      </w:r>
      <w:r>
        <w:rPr>
          <w:rFonts w:hint="eastAsia"/>
        </w:rPr>
        <w:t>1970</w:t>
      </w:r>
      <w:r>
        <w:rPr>
          <w:rFonts w:hint="eastAsia"/>
        </w:rPr>
        <w:t>年代后半期以来，生育率降到较低水平。</w:t>
      </w:r>
      <w:r>
        <w:rPr>
          <w:rStyle w:val="FootnoteReference"/>
        </w:rPr>
        <w:footnoteReference w:customMarkFollows="1" w:id="2"/>
        <w:t>1</w:t>
      </w:r>
      <w:r>
        <w:rPr>
          <w:rFonts w:hint="eastAsia"/>
        </w:rPr>
        <w:t xml:space="preserve"> </w:t>
      </w:r>
      <w:r>
        <w:rPr>
          <w:rFonts w:hint="eastAsia"/>
        </w:rPr>
        <w:t>因此，家庭变小，人口开始老龄化。</w:t>
      </w:r>
    </w:p>
    <w:p w:rsidR="00000000" w:rsidRDefault="004D2F83" w:rsidP="004D2F83">
      <w:pPr>
        <w:spacing w:after="240" w:line="360" w:lineRule="exact"/>
        <w:ind w:firstLineChars="200" w:firstLine="31680"/>
        <w:rPr>
          <w:spacing w:val="4"/>
        </w:rPr>
      </w:pPr>
      <w:r>
        <w:rPr>
          <w:rFonts w:hint="eastAsia"/>
          <w:spacing w:val="4"/>
        </w:rPr>
        <w:t>对这个国家五大地区的人口分布情况的分析也表明，人口分布不均匀。北部</w:t>
      </w:r>
      <w:r>
        <w:rPr>
          <w:rFonts w:hint="eastAsia"/>
          <w:spacing w:val="4"/>
        </w:rPr>
        <w:t>地区的人口增长率最高，</w:t>
      </w:r>
      <w:r>
        <w:rPr>
          <w:rFonts w:hint="eastAsia"/>
          <w:spacing w:val="4"/>
        </w:rPr>
        <w:t>1980</w:t>
      </w:r>
      <w:r>
        <w:rPr>
          <w:rFonts w:hint="eastAsia"/>
          <w:spacing w:val="4"/>
        </w:rPr>
        <w:t>年和</w:t>
      </w:r>
      <w:r>
        <w:rPr>
          <w:rFonts w:hint="eastAsia"/>
          <w:spacing w:val="4"/>
        </w:rPr>
        <w:t>2000</w:t>
      </w:r>
      <w:r>
        <w:rPr>
          <w:rFonts w:hint="eastAsia"/>
          <w:spacing w:val="4"/>
        </w:rPr>
        <w:t>年分别占居民人数的</w:t>
      </w:r>
      <w:r>
        <w:rPr>
          <w:rFonts w:hint="eastAsia"/>
          <w:spacing w:val="4"/>
        </w:rPr>
        <w:t>5.6%</w:t>
      </w:r>
      <w:r>
        <w:rPr>
          <w:rFonts w:hint="eastAsia"/>
          <w:spacing w:val="4"/>
        </w:rPr>
        <w:t>和</w:t>
      </w:r>
      <w:r>
        <w:rPr>
          <w:rFonts w:hint="eastAsia"/>
          <w:spacing w:val="4"/>
        </w:rPr>
        <w:t>7.6%</w:t>
      </w:r>
      <w:r>
        <w:rPr>
          <w:rFonts w:hint="eastAsia"/>
          <w:spacing w:val="4"/>
        </w:rPr>
        <w:t>；中西部地区的相对人口比例从</w:t>
      </w:r>
      <w:r>
        <w:rPr>
          <w:rFonts w:hint="eastAsia"/>
          <w:spacing w:val="4"/>
        </w:rPr>
        <w:t>1980</w:t>
      </w:r>
      <w:r>
        <w:rPr>
          <w:rFonts w:hint="eastAsia"/>
          <w:spacing w:val="4"/>
        </w:rPr>
        <w:t>年的</w:t>
      </w:r>
      <w:r>
        <w:rPr>
          <w:rFonts w:hint="eastAsia"/>
          <w:spacing w:val="4"/>
        </w:rPr>
        <w:t>5.8%</w:t>
      </w:r>
      <w:r>
        <w:rPr>
          <w:rFonts w:hint="eastAsia"/>
          <w:spacing w:val="4"/>
        </w:rPr>
        <w:t>增加到</w:t>
      </w:r>
      <w:r>
        <w:rPr>
          <w:rFonts w:hint="eastAsia"/>
          <w:spacing w:val="4"/>
        </w:rPr>
        <w:t>2000</w:t>
      </w:r>
      <w:r>
        <w:rPr>
          <w:rFonts w:hint="eastAsia"/>
          <w:spacing w:val="4"/>
        </w:rPr>
        <w:t>年的</w:t>
      </w:r>
      <w:r>
        <w:rPr>
          <w:rFonts w:hint="eastAsia"/>
          <w:spacing w:val="4"/>
        </w:rPr>
        <w:t>6.8%</w:t>
      </w:r>
      <w:r>
        <w:rPr>
          <w:rFonts w:hint="eastAsia"/>
          <w:spacing w:val="4"/>
        </w:rPr>
        <w:t>。巴西人口最多的三个地区仍是东南部、东北部和南部。实际上，自</w:t>
      </w:r>
      <w:r>
        <w:rPr>
          <w:rFonts w:hint="eastAsia"/>
          <w:spacing w:val="4"/>
        </w:rPr>
        <w:t>1950</w:t>
      </w:r>
      <w:r>
        <w:rPr>
          <w:rFonts w:hint="eastAsia"/>
          <w:spacing w:val="4"/>
        </w:rPr>
        <w:t>年代以来，东南部和南部地区的相对人口比例一直保持不变，而巴西人口最多的地区东北部在全国人口比例方面呈下降趋势。</w:t>
      </w:r>
      <w:r>
        <w:rPr>
          <w:rStyle w:val="FootnoteReference"/>
          <w:spacing w:val="4"/>
        </w:rPr>
        <w:footnoteReference w:customMarkFollows="1" w:id="3"/>
        <w:t>2</w:t>
      </w:r>
    </w:p>
    <w:p w:rsidR="00000000" w:rsidRDefault="004D2F83">
      <w:pPr>
        <w:spacing w:after="240" w:line="360" w:lineRule="exact"/>
        <w:jc w:val="center"/>
        <w:rPr>
          <w:rFonts w:ascii="SimHei" w:eastAsia="SimHei" w:hint="eastAsia"/>
          <w:bCs/>
        </w:rPr>
      </w:pPr>
      <w:r>
        <w:rPr>
          <w:rFonts w:ascii="SimHei" w:eastAsia="SimHei" w:hint="eastAsia"/>
          <w:bCs/>
        </w:rPr>
        <w:t>表</w:t>
      </w:r>
      <w:r>
        <w:rPr>
          <w:rFonts w:ascii="SimHei" w:eastAsia="SimHei" w:hint="eastAsia"/>
          <w:bCs/>
        </w:rPr>
        <w:t>1</w:t>
      </w:r>
      <w:r>
        <w:rPr>
          <w:rFonts w:ascii="SimHei" w:eastAsia="SimHei" w:hint="eastAsia"/>
          <w:bCs/>
        </w:rPr>
        <w:t>：按地区列示的居民人口</w:t>
      </w:r>
    </w:p>
    <w:tbl>
      <w:tblPr>
        <w:tblW w:w="4946" w:type="pct"/>
        <w:tblInd w:w="108"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1442"/>
        <w:gridCol w:w="1402"/>
        <w:gridCol w:w="1402"/>
        <w:gridCol w:w="1403"/>
        <w:gridCol w:w="1402"/>
        <w:gridCol w:w="1402"/>
        <w:gridCol w:w="1403"/>
      </w:tblGrid>
      <w:tr w:rsidR="00000000">
        <w:tblPrEx>
          <w:tblCellMar>
            <w:top w:w="0" w:type="dxa"/>
            <w:bottom w:w="0" w:type="dxa"/>
          </w:tblCellMar>
        </w:tblPrEx>
        <w:tc>
          <w:tcPr>
            <w:tcW w:w="732" w:type="pct"/>
          </w:tcPr>
          <w:p w:rsidR="00000000" w:rsidRDefault="004D2F83">
            <w:pPr>
              <w:spacing w:after="120" w:line="400" w:lineRule="exact"/>
              <w:jc w:val="center"/>
              <w:rPr>
                <w:rFonts w:eastAsia="SimHei" w:hint="eastAsia"/>
                <w:bCs/>
                <w:sz w:val="18"/>
              </w:rPr>
            </w:pPr>
            <w:r>
              <w:rPr>
                <w:rFonts w:eastAsia="SimHei" w:hint="eastAsia"/>
                <w:bCs/>
                <w:sz w:val="18"/>
              </w:rPr>
              <w:t>时期</w:t>
            </w:r>
          </w:p>
        </w:tc>
        <w:tc>
          <w:tcPr>
            <w:tcW w:w="711" w:type="pct"/>
          </w:tcPr>
          <w:p w:rsidR="00000000" w:rsidRDefault="004D2F83">
            <w:pPr>
              <w:spacing w:after="120" w:line="400" w:lineRule="exact"/>
              <w:jc w:val="center"/>
              <w:rPr>
                <w:rFonts w:eastAsia="SimHei" w:hint="eastAsia"/>
                <w:bCs/>
                <w:sz w:val="18"/>
              </w:rPr>
            </w:pPr>
            <w:r>
              <w:rPr>
                <w:rFonts w:eastAsia="SimHei" w:hint="eastAsia"/>
                <w:bCs/>
                <w:sz w:val="18"/>
              </w:rPr>
              <w:t>巴西</w:t>
            </w:r>
          </w:p>
        </w:tc>
        <w:tc>
          <w:tcPr>
            <w:tcW w:w="711" w:type="pct"/>
          </w:tcPr>
          <w:p w:rsidR="00000000" w:rsidRDefault="004D2F83">
            <w:pPr>
              <w:spacing w:after="120" w:line="400" w:lineRule="exact"/>
              <w:jc w:val="center"/>
              <w:rPr>
                <w:rFonts w:eastAsia="SimHei" w:hint="eastAsia"/>
                <w:bCs/>
                <w:sz w:val="18"/>
              </w:rPr>
            </w:pPr>
            <w:r>
              <w:rPr>
                <w:rFonts w:eastAsia="SimHei" w:hint="eastAsia"/>
                <w:bCs/>
                <w:sz w:val="18"/>
              </w:rPr>
              <w:t>北部</w:t>
            </w:r>
          </w:p>
        </w:tc>
        <w:tc>
          <w:tcPr>
            <w:tcW w:w="712" w:type="pct"/>
          </w:tcPr>
          <w:p w:rsidR="00000000" w:rsidRDefault="004D2F83">
            <w:pPr>
              <w:spacing w:after="120" w:line="400" w:lineRule="exact"/>
              <w:jc w:val="center"/>
              <w:rPr>
                <w:rFonts w:eastAsia="SimHei" w:hint="eastAsia"/>
                <w:bCs/>
                <w:sz w:val="18"/>
              </w:rPr>
            </w:pPr>
            <w:r>
              <w:rPr>
                <w:rFonts w:eastAsia="SimHei" w:hint="eastAsia"/>
                <w:bCs/>
                <w:sz w:val="18"/>
              </w:rPr>
              <w:t>东北部</w:t>
            </w:r>
          </w:p>
        </w:tc>
        <w:tc>
          <w:tcPr>
            <w:tcW w:w="711" w:type="pct"/>
          </w:tcPr>
          <w:p w:rsidR="00000000" w:rsidRDefault="004D2F83">
            <w:pPr>
              <w:spacing w:after="120" w:line="400" w:lineRule="exact"/>
              <w:jc w:val="center"/>
              <w:rPr>
                <w:rFonts w:eastAsia="SimHei" w:hint="eastAsia"/>
                <w:bCs/>
                <w:sz w:val="18"/>
              </w:rPr>
            </w:pPr>
            <w:r>
              <w:rPr>
                <w:rFonts w:eastAsia="SimHei" w:hint="eastAsia"/>
                <w:bCs/>
                <w:sz w:val="18"/>
              </w:rPr>
              <w:t>东南部</w:t>
            </w:r>
          </w:p>
        </w:tc>
        <w:tc>
          <w:tcPr>
            <w:tcW w:w="711" w:type="pct"/>
          </w:tcPr>
          <w:p w:rsidR="00000000" w:rsidRDefault="004D2F83">
            <w:pPr>
              <w:spacing w:after="120" w:line="400" w:lineRule="exact"/>
              <w:jc w:val="center"/>
              <w:rPr>
                <w:rFonts w:eastAsia="SimHei" w:hint="eastAsia"/>
                <w:bCs/>
                <w:sz w:val="18"/>
              </w:rPr>
            </w:pPr>
            <w:r>
              <w:rPr>
                <w:rFonts w:eastAsia="SimHei" w:hint="eastAsia"/>
                <w:bCs/>
                <w:sz w:val="18"/>
              </w:rPr>
              <w:t>南部</w:t>
            </w:r>
          </w:p>
        </w:tc>
        <w:tc>
          <w:tcPr>
            <w:tcW w:w="712" w:type="pct"/>
          </w:tcPr>
          <w:p w:rsidR="00000000" w:rsidRDefault="004D2F83">
            <w:pPr>
              <w:spacing w:after="120" w:line="400" w:lineRule="exact"/>
              <w:jc w:val="center"/>
              <w:rPr>
                <w:rFonts w:eastAsia="SimHei" w:hint="eastAsia"/>
                <w:bCs/>
                <w:sz w:val="18"/>
              </w:rPr>
            </w:pPr>
            <w:r>
              <w:rPr>
                <w:rFonts w:eastAsia="SimHei" w:hint="eastAsia"/>
                <w:bCs/>
                <w:sz w:val="18"/>
              </w:rPr>
              <w:t>中西部</w:t>
            </w:r>
          </w:p>
        </w:tc>
      </w:tr>
      <w:tr w:rsidR="00000000">
        <w:tblPrEx>
          <w:tblCellMar>
            <w:top w:w="0" w:type="dxa"/>
            <w:bottom w:w="0" w:type="dxa"/>
          </w:tblCellMar>
        </w:tblPrEx>
        <w:tc>
          <w:tcPr>
            <w:tcW w:w="732" w:type="pct"/>
          </w:tcPr>
          <w:p w:rsidR="00000000" w:rsidRDefault="004D2F83">
            <w:pPr>
              <w:spacing w:after="120" w:line="400" w:lineRule="exact"/>
              <w:rPr>
                <w:rFonts w:ascii="SimHei" w:eastAsia="SimHei" w:hint="eastAsia"/>
                <w:sz w:val="18"/>
              </w:rPr>
            </w:pPr>
            <w:r>
              <w:rPr>
                <w:rFonts w:ascii="SimHei" w:eastAsia="SimHei" w:hint="eastAsia"/>
                <w:sz w:val="18"/>
              </w:rPr>
              <w:t>2000</w:t>
            </w:r>
            <w:r>
              <w:rPr>
                <w:rFonts w:ascii="SimHei" w:eastAsia="SimHei" w:hint="eastAsia"/>
                <w:sz w:val="18"/>
              </w:rPr>
              <w:t>年</w:t>
            </w:r>
          </w:p>
        </w:tc>
        <w:tc>
          <w:tcPr>
            <w:tcW w:w="711" w:type="pct"/>
          </w:tcPr>
          <w:p w:rsidR="00000000" w:rsidRDefault="004D2F83" w:rsidP="004D2F83">
            <w:pPr>
              <w:spacing w:after="120" w:line="400" w:lineRule="exact"/>
              <w:ind w:rightChars="125" w:right="31680"/>
              <w:jc w:val="right"/>
              <w:rPr>
                <w:rFonts w:hint="eastAsia"/>
                <w:sz w:val="18"/>
              </w:rPr>
            </w:pPr>
            <w:r>
              <w:rPr>
                <w:rFonts w:hint="eastAsia"/>
                <w:sz w:val="18"/>
              </w:rPr>
              <w:t>169 590 693</w:t>
            </w:r>
          </w:p>
        </w:tc>
        <w:tc>
          <w:tcPr>
            <w:tcW w:w="711" w:type="pct"/>
          </w:tcPr>
          <w:p w:rsidR="00000000" w:rsidRDefault="004D2F83" w:rsidP="004D2F83">
            <w:pPr>
              <w:spacing w:after="120" w:line="400" w:lineRule="exact"/>
              <w:ind w:rightChars="125" w:right="31680"/>
              <w:jc w:val="right"/>
              <w:rPr>
                <w:rFonts w:hint="eastAsia"/>
                <w:sz w:val="18"/>
              </w:rPr>
            </w:pPr>
            <w:r>
              <w:rPr>
                <w:rFonts w:hint="eastAsia"/>
                <w:sz w:val="18"/>
              </w:rPr>
              <w:t>12 893 561</w:t>
            </w:r>
          </w:p>
        </w:tc>
        <w:tc>
          <w:tcPr>
            <w:tcW w:w="712" w:type="pct"/>
          </w:tcPr>
          <w:p w:rsidR="00000000" w:rsidRDefault="004D2F83" w:rsidP="004D2F83">
            <w:pPr>
              <w:spacing w:after="120" w:line="400" w:lineRule="exact"/>
              <w:ind w:rightChars="125" w:right="31680"/>
              <w:jc w:val="right"/>
              <w:rPr>
                <w:rFonts w:hint="eastAsia"/>
                <w:sz w:val="18"/>
              </w:rPr>
            </w:pPr>
            <w:r>
              <w:rPr>
                <w:rFonts w:hint="eastAsia"/>
                <w:sz w:val="18"/>
              </w:rPr>
              <w:t>47 693 253</w:t>
            </w:r>
          </w:p>
        </w:tc>
        <w:tc>
          <w:tcPr>
            <w:tcW w:w="711" w:type="pct"/>
          </w:tcPr>
          <w:p w:rsidR="00000000" w:rsidRDefault="004D2F83" w:rsidP="004D2F83">
            <w:pPr>
              <w:spacing w:after="120" w:line="400" w:lineRule="exact"/>
              <w:ind w:rightChars="125" w:right="31680"/>
              <w:jc w:val="right"/>
              <w:rPr>
                <w:rFonts w:hint="eastAsia"/>
                <w:sz w:val="18"/>
              </w:rPr>
            </w:pPr>
            <w:r>
              <w:rPr>
                <w:rFonts w:hint="eastAsia"/>
                <w:sz w:val="18"/>
              </w:rPr>
              <w:t>72 297 351</w:t>
            </w:r>
          </w:p>
        </w:tc>
        <w:tc>
          <w:tcPr>
            <w:tcW w:w="711" w:type="pct"/>
          </w:tcPr>
          <w:p w:rsidR="00000000" w:rsidRDefault="004D2F83" w:rsidP="004D2F83">
            <w:pPr>
              <w:spacing w:after="120" w:line="400" w:lineRule="exact"/>
              <w:ind w:rightChars="125" w:right="31680"/>
              <w:jc w:val="right"/>
              <w:rPr>
                <w:rFonts w:hint="eastAsia"/>
                <w:sz w:val="18"/>
              </w:rPr>
            </w:pPr>
            <w:r>
              <w:rPr>
                <w:rFonts w:hint="eastAsia"/>
                <w:sz w:val="18"/>
              </w:rPr>
              <w:t>25 089 783</w:t>
            </w:r>
          </w:p>
        </w:tc>
        <w:tc>
          <w:tcPr>
            <w:tcW w:w="712" w:type="pct"/>
          </w:tcPr>
          <w:p w:rsidR="00000000" w:rsidRDefault="004D2F83" w:rsidP="004D2F83">
            <w:pPr>
              <w:spacing w:after="120" w:line="400" w:lineRule="exact"/>
              <w:ind w:rightChars="125" w:right="31680"/>
              <w:jc w:val="right"/>
              <w:rPr>
                <w:rFonts w:hint="eastAsia"/>
                <w:sz w:val="18"/>
              </w:rPr>
            </w:pPr>
            <w:r>
              <w:rPr>
                <w:rFonts w:hint="eastAsia"/>
                <w:sz w:val="18"/>
              </w:rPr>
              <w:t>11 616 745</w:t>
            </w:r>
          </w:p>
        </w:tc>
      </w:tr>
      <w:tr w:rsidR="00000000">
        <w:tblPrEx>
          <w:tblCellMar>
            <w:top w:w="0" w:type="dxa"/>
            <w:bottom w:w="0" w:type="dxa"/>
          </w:tblCellMar>
        </w:tblPrEx>
        <w:tc>
          <w:tcPr>
            <w:tcW w:w="732" w:type="pct"/>
          </w:tcPr>
          <w:p w:rsidR="00000000" w:rsidRDefault="004D2F83">
            <w:pPr>
              <w:spacing w:after="120" w:line="400" w:lineRule="exact"/>
              <w:rPr>
                <w:rFonts w:ascii="SimHei" w:eastAsia="SimHei" w:hint="eastAsia"/>
                <w:sz w:val="18"/>
              </w:rPr>
            </w:pPr>
            <w:r>
              <w:rPr>
                <w:rFonts w:ascii="SimHei" w:eastAsia="SimHei" w:hint="eastAsia"/>
                <w:sz w:val="18"/>
              </w:rPr>
              <w:t>1991</w:t>
            </w:r>
            <w:r>
              <w:rPr>
                <w:rFonts w:ascii="SimHei" w:eastAsia="SimHei" w:hint="eastAsia"/>
                <w:sz w:val="18"/>
              </w:rPr>
              <w:t>年</w:t>
            </w:r>
          </w:p>
        </w:tc>
        <w:tc>
          <w:tcPr>
            <w:tcW w:w="711" w:type="pct"/>
          </w:tcPr>
          <w:p w:rsidR="00000000" w:rsidRDefault="004D2F83" w:rsidP="004D2F83">
            <w:pPr>
              <w:spacing w:after="120" w:line="400" w:lineRule="exact"/>
              <w:ind w:rightChars="125" w:right="31680"/>
              <w:jc w:val="right"/>
              <w:rPr>
                <w:rFonts w:hint="eastAsia"/>
                <w:sz w:val="18"/>
              </w:rPr>
            </w:pPr>
            <w:r>
              <w:rPr>
                <w:rFonts w:hint="eastAsia"/>
                <w:sz w:val="18"/>
              </w:rPr>
              <w:t>146 917 459</w:t>
            </w:r>
          </w:p>
        </w:tc>
        <w:tc>
          <w:tcPr>
            <w:tcW w:w="711" w:type="pct"/>
          </w:tcPr>
          <w:p w:rsidR="00000000" w:rsidRDefault="004D2F83" w:rsidP="004D2F83">
            <w:pPr>
              <w:spacing w:after="120" w:line="400" w:lineRule="exact"/>
              <w:ind w:rightChars="125" w:right="31680"/>
              <w:jc w:val="right"/>
              <w:rPr>
                <w:rFonts w:hint="eastAsia"/>
                <w:sz w:val="18"/>
              </w:rPr>
            </w:pPr>
            <w:r>
              <w:rPr>
                <w:rFonts w:hint="eastAsia"/>
                <w:sz w:val="18"/>
              </w:rPr>
              <w:t>10 257 266</w:t>
            </w:r>
          </w:p>
        </w:tc>
        <w:tc>
          <w:tcPr>
            <w:tcW w:w="712" w:type="pct"/>
          </w:tcPr>
          <w:p w:rsidR="00000000" w:rsidRDefault="004D2F83" w:rsidP="004D2F83">
            <w:pPr>
              <w:spacing w:after="120" w:line="400" w:lineRule="exact"/>
              <w:ind w:rightChars="125" w:right="31680"/>
              <w:jc w:val="right"/>
              <w:rPr>
                <w:rFonts w:hint="eastAsia"/>
                <w:sz w:val="18"/>
              </w:rPr>
            </w:pPr>
            <w:r>
              <w:rPr>
                <w:rFonts w:hint="eastAsia"/>
                <w:sz w:val="18"/>
              </w:rPr>
              <w:t>42 470 225</w:t>
            </w:r>
          </w:p>
        </w:tc>
        <w:tc>
          <w:tcPr>
            <w:tcW w:w="711" w:type="pct"/>
          </w:tcPr>
          <w:p w:rsidR="00000000" w:rsidRDefault="004D2F83" w:rsidP="004D2F83">
            <w:pPr>
              <w:spacing w:after="120" w:line="400" w:lineRule="exact"/>
              <w:ind w:rightChars="125" w:right="31680"/>
              <w:jc w:val="right"/>
              <w:rPr>
                <w:rFonts w:hint="eastAsia"/>
                <w:sz w:val="18"/>
              </w:rPr>
            </w:pPr>
            <w:r>
              <w:rPr>
                <w:rFonts w:hint="eastAsia"/>
                <w:sz w:val="18"/>
              </w:rPr>
              <w:t>62 660 700</w:t>
            </w:r>
          </w:p>
        </w:tc>
        <w:tc>
          <w:tcPr>
            <w:tcW w:w="711" w:type="pct"/>
          </w:tcPr>
          <w:p w:rsidR="00000000" w:rsidRDefault="004D2F83" w:rsidP="004D2F83">
            <w:pPr>
              <w:spacing w:after="120" w:line="400" w:lineRule="exact"/>
              <w:ind w:rightChars="125" w:right="31680"/>
              <w:jc w:val="right"/>
              <w:rPr>
                <w:rFonts w:hint="eastAsia"/>
                <w:sz w:val="18"/>
              </w:rPr>
            </w:pPr>
            <w:r>
              <w:rPr>
                <w:rFonts w:hint="eastAsia"/>
                <w:sz w:val="18"/>
              </w:rPr>
              <w:t>22 117 026</w:t>
            </w:r>
          </w:p>
        </w:tc>
        <w:tc>
          <w:tcPr>
            <w:tcW w:w="712" w:type="pct"/>
          </w:tcPr>
          <w:p w:rsidR="00000000" w:rsidRDefault="004D2F83" w:rsidP="004D2F83">
            <w:pPr>
              <w:spacing w:after="120" w:line="400" w:lineRule="exact"/>
              <w:ind w:rightChars="125" w:right="31680"/>
              <w:jc w:val="right"/>
              <w:rPr>
                <w:rFonts w:hint="eastAsia"/>
                <w:sz w:val="18"/>
              </w:rPr>
            </w:pPr>
            <w:r>
              <w:rPr>
                <w:rFonts w:hint="eastAsia"/>
                <w:sz w:val="18"/>
              </w:rPr>
              <w:t>9 412 242</w:t>
            </w:r>
          </w:p>
        </w:tc>
      </w:tr>
      <w:tr w:rsidR="00000000">
        <w:tblPrEx>
          <w:tblCellMar>
            <w:top w:w="0" w:type="dxa"/>
            <w:bottom w:w="0" w:type="dxa"/>
          </w:tblCellMar>
        </w:tblPrEx>
        <w:tc>
          <w:tcPr>
            <w:tcW w:w="732" w:type="pct"/>
          </w:tcPr>
          <w:p w:rsidR="00000000" w:rsidRDefault="004D2F83">
            <w:pPr>
              <w:spacing w:after="120" w:line="400" w:lineRule="exact"/>
              <w:rPr>
                <w:rFonts w:ascii="SimHei" w:eastAsia="SimHei" w:hint="eastAsia"/>
                <w:sz w:val="18"/>
              </w:rPr>
            </w:pPr>
            <w:r>
              <w:rPr>
                <w:rFonts w:ascii="SimHei" w:eastAsia="SimHei" w:hint="eastAsia"/>
                <w:sz w:val="18"/>
              </w:rPr>
              <w:t>1980</w:t>
            </w:r>
            <w:r>
              <w:rPr>
                <w:rFonts w:ascii="SimHei" w:eastAsia="SimHei" w:hint="eastAsia"/>
                <w:sz w:val="18"/>
              </w:rPr>
              <w:t>年</w:t>
            </w:r>
          </w:p>
        </w:tc>
        <w:tc>
          <w:tcPr>
            <w:tcW w:w="711" w:type="pct"/>
          </w:tcPr>
          <w:p w:rsidR="00000000" w:rsidRDefault="004D2F83" w:rsidP="004D2F83">
            <w:pPr>
              <w:spacing w:after="120" w:line="400" w:lineRule="exact"/>
              <w:ind w:rightChars="125" w:right="31680"/>
              <w:jc w:val="right"/>
              <w:rPr>
                <w:rFonts w:hint="eastAsia"/>
                <w:sz w:val="18"/>
              </w:rPr>
            </w:pPr>
            <w:r>
              <w:rPr>
                <w:rFonts w:hint="eastAsia"/>
                <w:sz w:val="18"/>
              </w:rPr>
              <w:t>121 150 573</w:t>
            </w:r>
          </w:p>
        </w:tc>
        <w:tc>
          <w:tcPr>
            <w:tcW w:w="711" w:type="pct"/>
          </w:tcPr>
          <w:p w:rsidR="00000000" w:rsidRDefault="004D2F83" w:rsidP="004D2F83">
            <w:pPr>
              <w:spacing w:after="120" w:line="400" w:lineRule="exact"/>
              <w:ind w:rightChars="125" w:right="31680"/>
              <w:jc w:val="right"/>
              <w:rPr>
                <w:rFonts w:hint="eastAsia"/>
                <w:sz w:val="18"/>
              </w:rPr>
            </w:pPr>
            <w:r>
              <w:rPr>
                <w:rFonts w:hint="eastAsia"/>
                <w:sz w:val="18"/>
              </w:rPr>
              <w:t>6 767 249</w:t>
            </w:r>
          </w:p>
        </w:tc>
        <w:tc>
          <w:tcPr>
            <w:tcW w:w="712" w:type="pct"/>
          </w:tcPr>
          <w:p w:rsidR="00000000" w:rsidRDefault="004D2F83" w:rsidP="004D2F83">
            <w:pPr>
              <w:spacing w:after="120" w:line="400" w:lineRule="exact"/>
              <w:ind w:rightChars="125" w:right="31680"/>
              <w:jc w:val="right"/>
              <w:rPr>
                <w:rFonts w:hint="eastAsia"/>
                <w:sz w:val="18"/>
              </w:rPr>
            </w:pPr>
            <w:r>
              <w:rPr>
                <w:rFonts w:hint="eastAsia"/>
                <w:sz w:val="18"/>
              </w:rPr>
              <w:t>35 419 156</w:t>
            </w:r>
          </w:p>
        </w:tc>
        <w:tc>
          <w:tcPr>
            <w:tcW w:w="711" w:type="pct"/>
          </w:tcPr>
          <w:p w:rsidR="00000000" w:rsidRDefault="004D2F83" w:rsidP="004D2F83">
            <w:pPr>
              <w:spacing w:after="120" w:line="400" w:lineRule="exact"/>
              <w:ind w:rightChars="125" w:right="31680"/>
              <w:jc w:val="right"/>
              <w:rPr>
                <w:rFonts w:hint="eastAsia"/>
                <w:sz w:val="18"/>
              </w:rPr>
            </w:pPr>
            <w:r>
              <w:rPr>
                <w:rFonts w:hint="eastAsia"/>
                <w:sz w:val="18"/>
              </w:rPr>
              <w:t>52 580 527</w:t>
            </w:r>
          </w:p>
        </w:tc>
        <w:tc>
          <w:tcPr>
            <w:tcW w:w="711" w:type="pct"/>
          </w:tcPr>
          <w:p w:rsidR="00000000" w:rsidRDefault="004D2F83" w:rsidP="004D2F83">
            <w:pPr>
              <w:spacing w:after="120" w:line="400" w:lineRule="exact"/>
              <w:ind w:rightChars="125" w:right="31680"/>
              <w:jc w:val="right"/>
              <w:rPr>
                <w:rFonts w:hint="eastAsia"/>
                <w:sz w:val="18"/>
              </w:rPr>
            </w:pPr>
            <w:r>
              <w:rPr>
                <w:rFonts w:hint="eastAsia"/>
                <w:sz w:val="18"/>
              </w:rPr>
              <w:t>19 380 126</w:t>
            </w:r>
          </w:p>
        </w:tc>
        <w:tc>
          <w:tcPr>
            <w:tcW w:w="712" w:type="pct"/>
          </w:tcPr>
          <w:p w:rsidR="00000000" w:rsidRDefault="004D2F83" w:rsidP="004D2F83">
            <w:pPr>
              <w:spacing w:after="120" w:line="400" w:lineRule="exact"/>
              <w:ind w:rightChars="125" w:right="31680"/>
              <w:jc w:val="right"/>
              <w:rPr>
                <w:rFonts w:hint="eastAsia"/>
                <w:sz w:val="18"/>
              </w:rPr>
            </w:pPr>
            <w:r>
              <w:rPr>
                <w:rFonts w:hint="eastAsia"/>
                <w:sz w:val="18"/>
              </w:rPr>
              <w:t>7 003 515</w:t>
            </w:r>
          </w:p>
        </w:tc>
      </w:tr>
    </w:tbl>
    <w:p w:rsidR="00000000" w:rsidRDefault="004D2F83">
      <w:pPr>
        <w:spacing w:after="120" w:line="360" w:lineRule="exact"/>
        <w:rPr>
          <w:rFonts w:hint="eastAsia"/>
          <w:sz w:val="18"/>
        </w:rPr>
      </w:pPr>
      <w:r>
        <w:rPr>
          <w:rFonts w:eastAsia="SimHei" w:hint="eastAsia"/>
          <w:bCs/>
          <w:kern w:val="2"/>
          <w:sz w:val="18"/>
        </w:rPr>
        <w:t>资料来源：</w:t>
      </w:r>
      <w:r>
        <w:rPr>
          <w:rFonts w:hint="eastAsia"/>
          <w:bCs/>
          <w:kern w:val="2"/>
          <w:sz w:val="18"/>
        </w:rPr>
        <w:t>人</w:t>
      </w:r>
      <w:r>
        <w:rPr>
          <w:rFonts w:hint="eastAsia"/>
          <w:sz w:val="18"/>
        </w:rPr>
        <w:t>口普查。</w:t>
      </w:r>
      <w:r>
        <w:rPr>
          <w:rFonts w:hint="eastAsia"/>
          <w:sz w:val="18"/>
        </w:rPr>
        <w:t>2000</w:t>
      </w:r>
      <w:r>
        <w:rPr>
          <w:rFonts w:hint="eastAsia"/>
          <w:sz w:val="18"/>
        </w:rPr>
        <w:t>年的数字取自《初步概要》。</w:t>
      </w:r>
    </w:p>
    <w:p w:rsidR="00000000" w:rsidRDefault="004D2F83">
      <w:pPr>
        <w:spacing w:after="240" w:line="360" w:lineRule="exact"/>
        <w:rPr>
          <w:rFonts w:hint="eastAsia"/>
          <w:sz w:val="18"/>
        </w:rPr>
      </w:pPr>
      <w:r>
        <w:rPr>
          <w:rFonts w:hint="eastAsia"/>
          <w:sz w:val="18"/>
        </w:rPr>
        <w:t>巴西地理统计局基金会。</w:t>
      </w:r>
    </w:p>
    <w:p w:rsidR="00000000" w:rsidRDefault="004D2F83">
      <w:pPr>
        <w:spacing w:after="240" w:line="360" w:lineRule="exact"/>
        <w:jc w:val="center"/>
        <w:rPr>
          <w:rFonts w:ascii="SimHei" w:eastAsia="SimHei" w:hint="eastAsia"/>
          <w:bCs/>
        </w:rPr>
      </w:pPr>
      <w:r>
        <w:rPr>
          <w:rFonts w:ascii="SimHei" w:eastAsia="SimHei"/>
          <w:bCs/>
        </w:rPr>
        <w:br w:type="page"/>
      </w:r>
      <w:r>
        <w:rPr>
          <w:rFonts w:ascii="SimHei" w:eastAsia="SimHei" w:hint="eastAsia"/>
          <w:bCs/>
        </w:rPr>
        <w:t>表</w:t>
      </w:r>
      <w:r>
        <w:rPr>
          <w:rFonts w:ascii="SimHei" w:eastAsia="SimHei" w:hint="eastAsia"/>
          <w:bCs/>
        </w:rPr>
        <w:t>2</w:t>
      </w:r>
      <w:r>
        <w:rPr>
          <w:rFonts w:ascii="SimHei" w:eastAsia="SimHei" w:hint="eastAsia"/>
          <w:bCs/>
        </w:rPr>
        <w:t>：人口密度</w:t>
      </w:r>
      <w:r>
        <w:rPr>
          <w:rFonts w:ascii="SimHei" w:eastAsia="SimHei" w:hint="eastAsia"/>
          <w:bCs/>
        </w:rPr>
        <w:t xml:space="preserve"> </w:t>
      </w:r>
      <w:r>
        <w:rPr>
          <w:rFonts w:ascii="SimHei" w:eastAsia="SimHei" w:hint="eastAsia"/>
          <w:bCs/>
        </w:rPr>
        <w:t>—</w:t>
      </w:r>
      <w:r>
        <w:rPr>
          <w:rFonts w:ascii="SimHei" w:eastAsia="SimHei" w:hint="eastAsia"/>
          <w:bCs/>
        </w:rPr>
        <w:t xml:space="preserve"> </w:t>
      </w:r>
      <w:r>
        <w:rPr>
          <w:rFonts w:ascii="SimHei" w:eastAsia="SimHei" w:hint="eastAsia"/>
          <w:bCs/>
        </w:rPr>
        <w:t>居民</w:t>
      </w:r>
      <w:r>
        <w:rPr>
          <w:rFonts w:ascii="SimHei" w:eastAsia="SimHei" w:hint="eastAsia"/>
          <w:bCs/>
        </w:rPr>
        <w:t>/</w:t>
      </w:r>
      <w:r>
        <w:rPr>
          <w:rFonts w:ascii="SimHei" w:eastAsia="SimHei" w:hint="eastAsia"/>
          <w:bCs/>
        </w:rPr>
        <w:t>平方公里</w:t>
      </w:r>
    </w:p>
    <w:tbl>
      <w:tblPr>
        <w:tblW w:w="4946" w:type="pct"/>
        <w:tblInd w:w="108"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1316"/>
        <w:gridCol w:w="1423"/>
        <w:gridCol w:w="1423"/>
        <w:gridCol w:w="1423"/>
        <w:gridCol w:w="1425"/>
        <w:gridCol w:w="1425"/>
        <w:gridCol w:w="1421"/>
      </w:tblGrid>
      <w:tr w:rsidR="00000000">
        <w:tblPrEx>
          <w:tblCellMar>
            <w:top w:w="0" w:type="dxa"/>
            <w:bottom w:w="0" w:type="dxa"/>
          </w:tblCellMar>
        </w:tblPrEx>
        <w:tc>
          <w:tcPr>
            <w:tcW w:w="667" w:type="pct"/>
          </w:tcPr>
          <w:p w:rsidR="00000000" w:rsidRDefault="004D2F83">
            <w:pPr>
              <w:spacing w:after="120" w:line="360" w:lineRule="exact"/>
              <w:jc w:val="center"/>
              <w:rPr>
                <w:rFonts w:eastAsia="SimHei" w:hint="eastAsia"/>
                <w:bCs/>
                <w:sz w:val="18"/>
              </w:rPr>
            </w:pPr>
            <w:r>
              <w:rPr>
                <w:rFonts w:eastAsia="SimHei" w:hint="eastAsia"/>
                <w:bCs/>
                <w:sz w:val="18"/>
              </w:rPr>
              <w:t>时期</w:t>
            </w:r>
          </w:p>
        </w:tc>
        <w:tc>
          <w:tcPr>
            <w:tcW w:w="722" w:type="pct"/>
          </w:tcPr>
          <w:p w:rsidR="00000000" w:rsidRDefault="004D2F83">
            <w:pPr>
              <w:spacing w:after="120" w:line="360" w:lineRule="exact"/>
              <w:jc w:val="center"/>
              <w:rPr>
                <w:rFonts w:eastAsia="SimHei" w:hint="eastAsia"/>
                <w:bCs/>
                <w:sz w:val="18"/>
              </w:rPr>
            </w:pPr>
            <w:r>
              <w:rPr>
                <w:rFonts w:eastAsia="SimHei" w:hint="eastAsia"/>
                <w:bCs/>
                <w:sz w:val="18"/>
              </w:rPr>
              <w:t>巴西</w:t>
            </w:r>
          </w:p>
        </w:tc>
        <w:tc>
          <w:tcPr>
            <w:tcW w:w="722" w:type="pct"/>
          </w:tcPr>
          <w:p w:rsidR="00000000" w:rsidRDefault="004D2F83">
            <w:pPr>
              <w:spacing w:after="120" w:line="360" w:lineRule="exact"/>
              <w:jc w:val="center"/>
              <w:rPr>
                <w:rFonts w:eastAsia="SimHei" w:hint="eastAsia"/>
                <w:bCs/>
                <w:sz w:val="18"/>
              </w:rPr>
            </w:pPr>
            <w:r>
              <w:rPr>
                <w:rFonts w:eastAsia="SimHei" w:hint="eastAsia"/>
                <w:bCs/>
                <w:sz w:val="18"/>
              </w:rPr>
              <w:t>北部</w:t>
            </w:r>
          </w:p>
        </w:tc>
        <w:tc>
          <w:tcPr>
            <w:tcW w:w="722" w:type="pct"/>
          </w:tcPr>
          <w:p w:rsidR="00000000" w:rsidRDefault="004D2F83">
            <w:pPr>
              <w:spacing w:after="120" w:line="360" w:lineRule="exact"/>
              <w:jc w:val="center"/>
              <w:rPr>
                <w:rFonts w:eastAsia="SimHei" w:hint="eastAsia"/>
                <w:bCs/>
                <w:sz w:val="18"/>
              </w:rPr>
            </w:pPr>
            <w:r>
              <w:rPr>
                <w:rFonts w:eastAsia="SimHei" w:hint="eastAsia"/>
                <w:bCs/>
                <w:sz w:val="18"/>
              </w:rPr>
              <w:t>东北部</w:t>
            </w:r>
          </w:p>
        </w:tc>
        <w:tc>
          <w:tcPr>
            <w:tcW w:w="723" w:type="pct"/>
          </w:tcPr>
          <w:p w:rsidR="00000000" w:rsidRDefault="004D2F83">
            <w:pPr>
              <w:spacing w:after="120" w:line="360" w:lineRule="exact"/>
              <w:jc w:val="center"/>
              <w:rPr>
                <w:rFonts w:eastAsia="SimHei" w:hint="eastAsia"/>
                <w:bCs/>
                <w:sz w:val="18"/>
              </w:rPr>
            </w:pPr>
            <w:r>
              <w:rPr>
                <w:rFonts w:eastAsia="SimHei" w:hint="eastAsia"/>
                <w:bCs/>
                <w:sz w:val="18"/>
              </w:rPr>
              <w:t>东南部</w:t>
            </w:r>
          </w:p>
        </w:tc>
        <w:tc>
          <w:tcPr>
            <w:tcW w:w="723" w:type="pct"/>
          </w:tcPr>
          <w:p w:rsidR="00000000" w:rsidRDefault="004D2F83">
            <w:pPr>
              <w:spacing w:after="120" w:line="360" w:lineRule="exact"/>
              <w:jc w:val="center"/>
              <w:rPr>
                <w:rFonts w:eastAsia="SimHei" w:hint="eastAsia"/>
                <w:bCs/>
                <w:sz w:val="18"/>
              </w:rPr>
            </w:pPr>
            <w:r>
              <w:rPr>
                <w:rFonts w:eastAsia="SimHei" w:hint="eastAsia"/>
                <w:bCs/>
                <w:sz w:val="18"/>
              </w:rPr>
              <w:t>南部</w:t>
            </w:r>
          </w:p>
        </w:tc>
        <w:tc>
          <w:tcPr>
            <w:tcW w:w="722" w:type="pct"/>
          </w:tcPr>
          <w:p w:rsidR="00000000" w:rsidRDefault="004D2F83">
            <w:pPr>
              <w:spacing w:after="120" w:line="360" w:lineRule="exact"/>
              <w:jc w:val="center"/>
              <w:rPr>
                <w:rFonts w:eastAsia="SimHei" w:hint="eastAsia"/>
                <w:bCs/>
                <w:sz w:val="18"/>
              </w:rPr>
            </w:pPr>
            <w:r>
              <w:rPr>
                <w:rFonts w:eastAsia="SimHei" w:hint="eastAsia"/>
                <w:bCs/>
                <w:sz w:val="18"/>
              </w:rPr>
              <w:t>中西部</w:t>
            </w:r>
          </w:p>
        </w:tc>
      </w:tr>
      <w:tr w:rsidR="00000000">
        <w:tblPrEx>
          <w:tblCellMar>
            <w:top w:w="0" w:type="dxa"/>
            <w:bottom w:w="0" w:type="dxa"/>
          </w:tblCellMar>
        </w:tblPrEx>
        <w:tc>
          <w:tcPr>
            <w:tcW w:w="667" w:type="pct"/>
          </w:tcPr>
          <w:p w:rsidR="00000000" w:rsidRDefault="004D2F83">
            <w:pPr>
              <w:spacing w:after="120" w:line="360" w:lineRule="exact"/>
              <w:rPr>
                <w:rFonts w:ascii="SimHei" w:eastAsia="SimHei" w:hint="eastAsia"/>
                <w:sz w:val="18"/>
              </w:rPr>
            </w:pPr>
            <w:r>
              <w:rPr>
                <w:rFonts w:ascii="SimHei" w:eastAsia="SimHei" w:hint="eastAsia"/>
                <w:sz w:val="18"/>
              </w:rPr>
              <w:t>200</w:t>
            </w:r>
            <w:r>
              <w:rPr>
                <w:rFonts w:ascii="SimHei" w:eastAsia="SimHei" w:hint="eastAsia"/>
                <w:sz w:val="18"/>
              </w:rPr>
              <w:t>0</w:t>
            </w:r>
            <w:r>
              <w:rPr>
                <w:rFonts w:ascii="SimHei" w:eastAsia="SimHei" w:hint="eastAsia"/>
                <w:sz w:val="18"/>
              </w:rPr>
              <w:t>年</w:t>
            </w:r>
          </w:p>
        </w:tc>
        <w:tc>
          <w:tcPr>
            <w:tcW w:w="722" w:type="pct"/>
          </w:tcPr>
          <w:p w:rsidR="00000000" w:rsidRDefault="004D2F83" w:rsidP="004D2F83">
            <w:pPr>
              <w:spacing w:after="120" w:line="360" w:lineRule="exact"/>
              <w:ind w:rightChars="125" w:right="31680"/>
              <w:jc w:val="right"/>
              <w:rPr>
                <w:rFonts w:hint="eastAsia"/>
                <w:sz w:val="18"/>
              </w:rPr>
            </w:pPr>
            <w:r>
              <w:rPr>
                <w:rFonts w:hint="eastAsia"/>
                <w:sz w:val="18"/>
              </w:rPr>
              <w:t>19.92</w:t>
            </w:r>
          </w:p>
        </w:tc>
        <w:tc>
          <w:tcPr>
            <w:tcW w:w="722" w:type="pct"/>
          </w:tcPr>
          <w:p w:rsidR="00000000" w:rsidRDefault="004D2F83" w:rsidP="004D2F83">
            <w:pPr>
              <w:spacing w:after="120" w:line="360" w:lineRule="exact"/>
              <w:ind w:rightChars="125" w:right="31680"/>
              <w:jc w:val="right"/>
              <w:rPr>
                <w:rFonts w:hint="eastAsia"/>
                <w:sz w:val="18"/>
              </w:rPr>
            </w:pPr>
            <w:r>
              <w:rPr>
                <w:rFonts w:hint="eastAsia"/>
                <w:sz w:val="18"/>
              </w:rPr>
              <w:t>3.35</w:t>
            </w:r>
          </w:p>
        </w:tc>
        <w:tc>
          <w:tcPr>
            <w:tcW w:w="722" w:type="pct"/>
          </w:tcPr>
          <w:p w:rsidR="00000000" w:rsidRDefault="004D2F83" w:rsidP="004D2F83">
            <w:pPr>
              <w:spacing w:after="120" w:line="360" w:lineRule="exact"/>
              <w:ind w:rightChars="125" w:right="31680"/>
              <w:jc w:val="right"/>
              <w:rPr>
                <w:rFonts w:hint="eastAsia"/>
                <w:sz w:val="18"/>
              </w:rPr>
            </w:pPr>
            <w:r>
              <w:rPr>
                <w:rFonts w:hint="eastAsia"/>
                <w:sz w:val="18"/>
              </w:rPr>
              <w:t>30.69</w:t>
            </w:r>
          </w:p>
        </w:tc>
        <w:tc>
          <w:tcPr>
            <w:tcW w:w="723" w:type="pct"/>
          </w:tcPr>
          <w:p w:rsidR="00000000" w:rsidRDefault="004D2F83" w:rsidP="004D2F83">
            <w:pPr>
              <w:spacing w:after="120" w:line="360" w:lineRule="exact"/>
              <w:ind w:rightChars="125" w:right="31680"/>
              <w:jc w:val="right"/>
              <w:rPr>
                <w:rFonts w:hint="eastAsia"/>
                <w:sz w:val="18"/>
              </w:rPr>
            </w:pPr>
            <w:r>
              <w:rPr>
                <w:rFonts w:hint="eastAsia"/>
                <w:sz w:val="18"/>
              </w:rPr>
              <w:t>78.20</w:t>
            </w:r>
          </w:p>
        </w:tc>
        <w:tc>
          <w:tcPr>
            <w:tcW w:w="723" w:type="pct"/>
          </w:tcPr>
          <w:p w:rsidR="00000000" w:rsidRDefault="004D2F83" w:rsidP="004D2F83">
            <w:pPr>
              <w:spacing w:after="120" w:line="360" w:lineRule="exact"/>
              <w:ind w:rightChars="125" w:right="31680"/>
              <w:jc w:val="right"/>
              <w:rPr>
                <w:rFonts w:hint="eastAsia"/>
                <w:sz w:val="18"/>
              </w:rPr>
            </w:pPr>
            <w:r>
              <w:rPr>
                <w:rFonts w:hint="eastAsia"/>
                <w:sz w:val="18"/>
              </w:rPr>
              <w:t>43.54</w:t>
            </w:r>
          </w:p>
        </w:tc>
        <w:tc>
          <w:tcPr>
            <w:tcW w:w="722" w:type="pct"/>
          </w:tcPr>
          <w:p w:rsidR="00000000" w:rsidRDefault="004D2F83" w:rsidP="004D2F83">
            <w:pPr>
              <w:spacing w:after="120" w:line="360" w:lineRule="exact"/>
              <w:ind w:rightChars="125" w:right="31680"/>
              <w:jc w:val="right"/>
              <w:rPr>
                <w:rFonts w:hint="eastAsia"/>
                <w:sz w:val="18"/>
              </w:rPr>
            </w:pPr>
            <w:r>
              <w:rPr>
                <w:rFonts w:hint="eastAsia"/>
                <w:sz w:val="18"/>
              </w:rPr>
              <w:t>7.23</w:t>
            </w:r>
          </w:p>
        </w:tc>
      </w:tr>
      <w:tr w:rsidR="00000000">
        <w:tblPrEx>
          <w:tblCellMar>
            <w:top w:w="0" w:type="dxa"/>
            <w:bottom w:w="0" w:type="dxa"/>
          </w:tblCellMar>
        </w:tblPrEx>
        <w:tc>
          <w:tcPr>
            <w:tcW w:w="667" w:type="pct"/>
          </w:tcPr>
          <w:p w:rsidR="00000000" w:rsidRDefault="004D2F83">
            <w:pPr>
              <w:spacing w:after="120" w:line="360" w:lineRule="exact"/>
              <w:rPr>
                <w:rFonts w:ascii="SimHei" w:eastAsia="SimHei" w:hint="eastAsia"/>
                <w:sz w:val="18"/>
              </w:rPr>
            </w:pPr>
            <w:r>
              <w:rPr>
                <w:rFonts w:ascii="SimHei" w:eastAsia="SimHei" w:hint="eastAsia"/>
                <w:sz w:val="18"/>
              </w:rPr>
              <w:t>1991</w:t>
            </w:r>
            <w:r>
              <w:rPr>
                <w:rFonts w:ascii="SimHei" w:eastAsia="SimHei" w:hint="eastAsia"/>
                <w:sz w:val="18"/>
              </w:rPr>
              <w:t>年</w:t>
            </w:r>
          </w:p>
        </w:tc>
        <w:tc>
          <w:tcPr>
            <w:tcW w:w="722" w:type="pct"/>
          </w:tcPr>
          <w:p w:rsidR="00000000" w:rsidRDefault="004D2F83" w:rsidP="004D2F83">
            <w:pPr>
              <w:spacing w:after="120" w:line="360" w:lineRule="exact"/>
              <w:ind w:rightChars="125" w:right="31680"/>
              <w:jc w:val="right"/>
              <w:rPr>
                <w:rFonts w:hint="eastAsia"/>
                <w:sz w:val="18"/>
              </w:rPr>
            </w:pPr>
            <w:r>
              <w:rPr>
                <w:rFonts w:hint="eastAsia"/>
                <w:sz w:val="18"/>
              </w:rPr>
              <w:t>17.26</w:t>
            </w:r>
          </w:p>
        </w:tc>
        <w:tc>
          <w:tcPr>
            <w:tcW w:w="722" w:type="pct"/>
          </w:tcPr>
          <w:p w:rsidR="00000000" w:rsidRDefault="004D2F83" w:rsidP="004D2F83">
            <w:pPr>
              <w:spacing w:after="120" w:line="360" w:lineRule="exact"/>
              <w:ind w:rightChars="125" w:right="31680"/>
              <w:jc w:val="right"/>
              <w:rPr>
                <w:rFonts w:hint="eastAsia"/>
                <w:sz w:val="18"/>
              </w:rPr>
            </w:pPr>
            <w:r>
              <w:rPr>
                <w:rFonts w:hint="eastAsia"/>
                <w:sz w:val="18"/>
              </w:rPr>
              <w:t>2.66</w:t>
            </w:r>
          </w:p>
        </w:tc>
        <w:tc>
          <w:tcPr>
            <w:tcW w:w="722" w:type="pct"/>
          </w:tcPr>
          <w:p w:rsidR="00000000" w:rsidRDefault="004D2F83" w:rsidP="004D2F83">
            <w:pPr>
              <w:spacing w:after="120" w:line="360" w:lineRule="exact"/>
              <w:ind w:rightChars="125" w:right="31680"/>
              <w:jc w:val="right"/>
              <w:rPr>
                <w:rFonts w:hint="eastAsia"/>
                <w:sz w:val="18"/>
              </w:rPr>
            </w:pPr>
            <w:r>
              <w:rPr>
                <w:rFonts w:hint="eastAsia"/>
                <w:sz w:val="18"/>
              </w:rPr>
              <w:t>27.33</w:t>
            </w:r>
          </w:p>
        </w:tc>
        <w:tc>
          <w:tcPr>
            <w:tcW w:w="723" w:type="pct"/>
          </w:tcPr>
          <w:p w:rsidR="00000000" w:rsidRDefault="004D2F83" w:rsidP="004D2F83">
            <w:pPr>
              <w:spacing w:after="120" w:line="360" w:lineRule="exact"/>
              <w:ind w:rightChars="125" w:right="31680"/>
              <w:jc w:val="right"/>
              <w:rPr>
                <w:rFonts w:hint="eastAsia"/>
                <w:sz w:val="18"/>
              </w:rPr>
            </w:pPr>
            <w:r>
              <w:rPr>
                <w:rFonts w:hint="eastAsia"/>
                <w:sz w:val="18"/>
              </w:rPr>
              <w:t>67.77</w:t>
            </w:r>
          </w:p>
        </w:tc>
        <w:tc>
          <w:tcPr>
            <w:tcW w:w="723" w:type="pct"/>
          </w:tcPr>
          <w:p w:rsidR="00000000" w:rsidRDefault="004D2F83" w:rsidP="004D2F83">
            <w:pPr>
              <w:spacing w:after="120" w:line="360" w:lineRule="exact"/>
              <w:ind w:rightChars="125" w:right="31680"/>
              <w:jc w:val="right"/>
              <w:rPr>
                <w:rFonts w:hint="eastAsia"/>
                <w:sz w:val="18"/>
              </w:rPr>
            </w:pPr>
            <w:r>
              <w:rPr>
                <w:rFonts w:hint="eastAsia"/>
                <w:sz w:val="18"/>
              </w:rPr>
              <w:t>38.38</w:t>
            </w:r>
          </w:p>
        </w:tc>
        <w:tc>
          <w:tcPr>
            <w:tcW w:w="722" w:type="pct"/>
          </w:tcPr>
          <w:p w:rsidR="00000000" w:rsidRDefault="004D2F83" w:rsidP="004D2F83">
            <w:pPr>
              <w:spacing w:after="120" w:line="360" w:lineRule="exact"/>
              <w:ind w:rightChars="125" w:right="31680"/>
              <w:jc w:val="right"/>
              <w:rPr>
                <w:rFonts w:hint="eastAsia"/>
                <w:sz w:val="18"/>
              </w:rPr>
            </w:pPr>
            <w:r>
              <w:rPr>
                <w:rFonts w:hint="eastAsia"/>
                <w:sz w:val="18"/>
              </w:rPr>
              <w:t>5.86</w:t>
            </w:r>
          </w:p>
        </w:tc>
      </w:tr>
      <w:tr w:rsidR="00000000">
        <w:tblPrEx>
          <w:tblCellMar>
            <w:top w:w="0" w:type="dxa"/>
            <w:bottom w:w="0" w:type="dxa"/>
          </w:tblCellMar>
        </w:tblPrEx>
        <w:tc>
          <w:tcPr>
            <w:tcW w:w="667" w:type="pct"/>
          </w:tcPr>
          <w:p w:rsidR="00000000" w:rsidRDefault="004D2F83">
            <w:pPr>
              <w:spacing w:after="120" w:line="360" w:lineRule="exact"/>
              <w:rPr>
                <w:rFonts w:ascii="SimHei" w:eastAsia="SimHei" w:hint="eastAsia"/>
                <w:sz w:val="18"/>
              </w:rPr>
            </w:pPr>
            <w:r>
              <w:rPr>
                <w:rFonts w:ascii="SimHei" w:eastAsia="SimHei" w:hint="eastAsia"/>
                <w:sz w:val="18"/>
              </w:rPr>
              <w:t>1980</w:t>
            </w:r>
            <w:r>
              <w:rPr>
                <w:rFonts w:ascii="SimHei" w:eastAsia="SimHei" w:hint="eastAsia"/>
                <w:sz w:val="18"/>
              </w:rPr>
              <w:t>年</w:t>
            </w:r>
          </w:p>
        </w:tc>
        <w:tc>
          <w:tcPr>
            <w:tcW w:w="722" w:type="pct"/>
          </w:tcPr>
          <w:p w:rsidR="00000000" w:rsidRDefault="004D2F83" w:rsidP="004D2F83">
            <w:pPr>
              <w:spacing w:after="120" w:line="360" w:lineRule="exact"/>
              <w:ind w:rightChars="125" w:right="31680"/>
              <w:jc w:val="right"/>
              <w:rPr>
                <w:rFonts w:hint="eastAsia"/>
                <w:sz w:val="18"/>
              </w:rPr>
            </w:pPr>
            <w:r>
              <w:rPr>
                <w:rFonts w:hint="eastAsia"/>
                <w:sz w:val="18"/>
              </w:rPr>
              <w:t>14.23</w:t>
            </w:r>
          </w:p>
        </w:tc>
        <w:tc>
          <w:tcPr>
            <w:tcW w:w="722" w:type="pct"/>
          </w:tcPr>
          <w:p w:rsidR="00000000" w:rsidRDefault="004D2F83" w:rsidP="004D2F83">
            <w:pPr>
              <w:spacing w:after="120" w:line="360" w:lineRule="exact"/>
              <w:ind w:rightChars="125" w:right="31680"/>
              <w:jc w:val="right"/>
              <w:rPr>
                <w:rFonts w:hint="eastAsia"/>
                <w:sz w:val="18"/>
              </w:rPr>
            </w:pPr>
            <w:r>
              <w:rPr>
                <w:rFonts w:hint="eastAsia"/>
                <w:sz w:val="18"/>
              </w:rPr>
              <w:t>1.76</w:t>
            </w:r>
          </w:p>
        </w:tc>
        <w:tc>
          <w:tcPr>
            <w:tcW w:w="722" w:type="pct"/>
          </w:tcPr>
          <w:p w:rsidR="00000000" w:rsidRDefault="004D2F83" w:rsidP="004D2F83">
            <w:pPr>
              <w:spacing w:after="120" w:line="360" w:lineRule="exact"/>
              <w:ind w:rightChars="125" w:right="31680"/>
              <w:jc w:val="right"/>
              <w:rPr>
                <w:rFonts w:hint="eastAsia"/>
                <w:sz w:val="18"/>
              </w:rPr>
            </w:pPr>
            <w:r>
              <w:rPr>
                <w:rFonts w:hint="eastAsia"/>
                <w:sz w:val="18"/>
              </w:rPr>
              <w:t>22.79</w:t>
            </w:r>
          </w:p>
        </w:tc>
        <w:tc>
          <w:tcPr>
            <w:tcW w:w="723" w:type="pct"/>
          </w:tcPr>
          <w:p w:rsidR="00000000" w:rsidRDefault="004D2F83" w:rsidP="004D2F83">
            <w:pPr>
              <w:spacing w:after="120" w:line="360" w:lineRule="exact"/>
              <w:ind w:rightChars="125" w:right="31680"/>
              <w:jc w:val="right"/>
              <w:rPr>
                <w:rFonts w:hint="eastAsia"/>
                <w:sz w:val="18"/>
              </w:rPr>
            </w:pPr>
            <w:r>
              <w:rPr>
                <w:rFonts w:hint="eastAsia"/>
                <w:sz w:val="18"/>
              </w:rPr>
              <w:t>56.87</w:t>
            </w:r>
          </w:p>
        </w:tc>
        <w:tc>
          <w:tcPr>
            <w:tcW w:w="723" w:type="pct"/>
          </w:tcPr>
          <w:p w:rsidR="00000000" w:rsidRDefault="004D2F83" w:rsidP="004D2F83">
            <w:pPr>
              <w:spacing w:after="120" w:line="360" w:lineRule="exact"/>
              <w:ind w:rightChars="125" w:right="31680"/>
              <w:jc w:val="right"/>
              <w:rPr>
                <w:rFonts w:hint="eastAsia"/>
                <w:sz w:val="18"/>
              </w:rPr>
            </w:pPr>
            <w:r>
              <w:rPr>
                <w:rFonts w:hint="eastAsia"/>
                <w:sz w:val="18"/>
              </w:rPr>
              <w:t>33.63</w:t>
            </w:r>
          </w:p>
        </w:tc>
        <w:tc>
          <w:tcPr>
            <w:tcW w:w="722" w:type="pct"/>
          </w:tcPr>
          <w:p w:rsidR="00000000" w:rsidRDefault="004D2F83" w:rsidP="004D2F83">
            <w:pPr>
              <w:spacing w:after="120" w:line="360" w:lineRule="exact"/>
              <w:ind w:rightChars="125" w:right="31680"/>
              <w:jc w:val="right"/>
              <w:rPr>
                <w:rFonts w:hint="eastAsia"/>
                <w:sz w:val="18"/>
              </w:rPr>
            </w:pPr>
            <w:r>
              <w:rPr>
                <w:rFonts w:hint="eastAsia"/>
                <w:sz w:val="18"/>
              </w:rPr>
              <w:t>4.36</w:t>
            </w:r>
          </w:p>
        </w:tc>
      </w:tr>
    </w:tbl>
    <w:p w:rsidR="00000000" w:rsidRDefault="004D2F83">
      <w:pPr>
        <w:spacing w:line="360" w:lineRule="exact"/>
        <w:rPr>
          <w:rFonts w:hint="eastAsia"/>
          <w:sz w:val="18"/>
        </w:rPr>
      </w:pPr>
      <w:r>
        <w:rPr>
          <w:rFonts w:eastAsia="SimHei" w:hint="eastAsia"/>
          <w:bCs/>
          <w:kern w:val="2"/>
          <w:sz w:val="18"/>
        </w:rPr>
        <w:t>资料来源：</w:t>
      </w:r>
      <w:r>
        <w:rPr>
          <w:rFonts w:hint="eastAsia"/>
          <w:sz w:val="18"/>
        </w:rPr>
        <w:t>人口普查。</w:t>
      </w:r>
      <w:r>
        <w:rPr>
          <w:rFonts w:hint="eastAsia"/>
          <w:sz w:val="18"/>
        </w:rPr>
        <w:t>2000</w:t>
      </w:r>
      <w:r>
        <w:rPr>
          <w:rFonts w:hint="eastAsia"/>
          <w:sz w:val="18"/>
        </w:rPr>
        <w:t>年的数字取自《初步概要》。</w:t>
      </w:r>
    </w:p>
    <w:p w:rsidR="00000000" w:rsidRDefault="004D2F83">
      <w:pPr>
        <w:spacing w:after="240" w:line="360" w:lineRule="exact"/>
        <w:rPr>
          <w:rFonts w:hint="eastAsia"/>
          <w:sz w:val="18"/>
        </w:rPr>
      </w:pPr>
      <w:r>
        <w:rPr>
          <w:rFonts w:hint="eastAsia"/>
          <w:sz w:val="18"/>
        </w:rPr>
        <w:t>巴西地理统计局基金会。</w:t>
      </w:r>
    </w:p>
    <w:p w:rsidR="00000000" w:rsidRDefault="004D2F83" w:rsidP="004D2F83">
      <w:pPr>
        <w:spacing w:after="240" w:line="380" w:lineRule="exact"/>
        <w:ind w:firstLineChars="200" w:firstLine="31680"/>
        <w:rPr>
          <w:rFonts w:hint="eastAsia"/>
        </w:rPr>
      </w:pPr>
      <w:r>
        <w:rPr>
          <w:rFonts w:hint="eastAsia"/>
        </w:rPr>
        <w:t>据记载，巴西的人口密度为每平方公里</w:t>
      </w:r>
      <w:r>
        <w:rPr>
          <w:rFonts w:hint="eastAsia"/>
        </w:rPr>
        <w:t>19.92</w:t>
      </w:r>
      <w:r>
        <w:rPr>
          <w:rFonts w:hint="eastAsia"/>
        </w:rPr>
        <w:t>人。巴西总人口的</w:t>
      </w:r>
      <w:r>
        <w:rPr>
          <w:rFonts w:hint="eastAsia"/>
        </w:rPr>
        <w:t>57.4%</w:t>
      </w:r>
      <w:r>
        <w:rPr>
          <w:rFonts w:hint="eastAsia"/>
        </w:rPr>
        <w:t>集中在东南部和南部，这两个地区仅占巴西总面积的</w:t>
      </w:r>
      <w:r>
        <w:rPr>
          <w:rFonts w:hint="eastAsia"/>
        </w:rPr>
        <w:t>17.6%</w:t>
      </w:r>
      <w:r>
        <w:rPr>
          <w:rFonts w:hint="eastAsia"/>
        </w:rPr>
        <w:t>。另一方面，北部地区居住着总人口的</w:t>
      </w:r>
      <w:r>
        <w:rPr>
          <w:rFonts w:hint="eastAsia"/>
        </w:rPr>
        <w:t>7.6%</w:t>
      </w:r>
      <w:r>
        <w:rPr>
          <w:rFonts w:hint="eastAsia"/>
        </w:rPr>
        <w:t>，面积却为全国总面积的</w:t>
      </w:r>
      <w:r>
        <w:rPr>
          <w:rFonts w:hint="eastAsia"/>
        </w:rPr>
        <w:t>4</w:t>
      </w:r>
      <w:r>
        <w:rPr>
          <w:rFonts w:hint="eastAsia"/>
        </w:rPr>
        <w:t>5.2%</w:t>
      </w:r>
      <w:r>
        <w:rPr>
          <w:rFonts w:hint="eastAsia"/>
        </w:rPr>
        <w:t>。</w:t>
      </w:r>
    </w:p>
    <w:p w:rsidR="00000000" w:rsidRDefault="004D2F83" w:rsidP="004D2F83">
      <w:pPr>
        <w:spacing w:after="240" w:line="380" w:lineRule="exact"/>
        <w:ind w:firstLineChars="200" w:firstLine="31680"/>
        <w:rPr>
          <w:rFonts w:hint="eastAsia"/>
        </w:rPr>
      </w:pPr>
      <w:r>
        <w:rPr>
          <w:rFonts w:hint="eastAsia"/>
        </w:rPr>
        <w:t>最新的人口普查数据证实巴西城市人口呈上升趋势，从</w:t>
      </w:r>
      <w:r>
        <w:rPr>
          <w:rFonts w:hint="eastAsia"/>
        </w:rPr>
        <w:t>1980</w:t>
      </w:r>
      <w:r>
        <w:rPr>
          <w:rFonts w:hint="eastAsia"/>
        </w:rPr>
        <w:t>年的</w:t>
      </w:r>
      <w:r>
        <w:rPr>
          <w:rFonts w:hint="eastAsia"/>
        </w:rPr>
        <w:t>67.6%</w:t>
      </w:r>
      <w:r>
        <w:rPr>
          <w:rFonts w:hint="eastAsia"/>
        </w:rPr>
        <w:t>增至</w:t>
      </w:r>
      <w:r>
        <w:rPr>
          <w:rFonts w:hint="eastAsia"/>
        </w:rPr>
        <w:t>2000</w:t>
      </w:r>
      <w:r>
        <w:rPr>
          <w:rFonts w:hint="eastAsia"/>
        </w:rPr>
        <w:t>年的</w:t>
      </w:r>
      <w:r>
        <w:rPr>
          <w:rFonts w:hint="eastAsia"/>
        </w:rPr>
        <w:t>81.2%</w:t>
      </w:r>
      <w:r>
        <w:rPr>
          <w:rFonts w:hint="eastAsia"/>
        </w:rPr>
        <w:t>，大都市地区的人口最多。据最近的数据表明，目前仅有</w:t>
      </w:r>
      <w:r>
        <w:rPr>
          <w:rFonts w:hint="eastAsia"/>
        </w:rPr>
        <w:t>18.8%</w:t>
      </w:r>
      <w:r>
        <w:rPr>
          <w:rFonts w:hint="eastAsia"/>
        </w:rPr>
        <w:t>的人口居住在农村地区。下表显示了过去二十年城市和农村地区人口流动的走势。</w:t>
      </w:r>
    </w:p>
    <w:p w:rsidR="00000000" w:rsidRDefault="004D2F83" w:rsidP="004D2F83">
      <w:pPr>
        <w:spacing w:after="240" w:line="380" w:lineRule="exact"/>
        <w:ind w:firstLineChars="200" w:firstLine="31680"/>
        <w:rPr>
          <w:rFonts w:hint="eastAsia"/>
        </w:rPr>
      </w:pPr>
      <w:r>
        <w:rPr>
          <w:rFonts w:hint="eastAsia"/>
        </w:rPr>
        <w:t>近几十年来，卫生、交通和教育领域公共政策的执行工作未能跟上城市化的快速步伐。大型城市中心的居民目前面临着这些领域基础设施匮乏的严重问题，特别是在基础卫生方面。然而，由于采取了一些措施，使死亡率下降，人口预期寿命上升。巴西的平均人口死亡率（包括人口各部分）在</w:t>
      </w:r>
      <w:r>
        <w:rPr>
          <w:rFonts w:hint="eastAsia"/>
        </w:rPr>
        <w:t>1980</w:t>
      </w:r>
      <w:r>
        <w:rPr>
          <w:rFonts w:hint="eastAsia"/>
        </w:rPr>
        <w:t>年为每</w:t>
      </w:r>
      <w:r>
        <w:rPr>
          <w:rFonts w:hint="eastAsia"/>
        </w:rPr>
        <w:t>1 000</w:t>
      </w:r>
      <w:r>
        <w:rPr>
          <w:rFonts w:hint="eastAsia"/>
        </w:rPr>
        <w:t>人</w:t>
      </w:r>
      <w:r>
        <w:rPr>
          <w:rFonts w:hint="eastAsia"/>
        </w:rPr>
        <w:t>9</w:t>
      </w:r>
      <w:r>
        <w:rPr>
          <w:rFonts w:hint="eastAsia"/>
        </w:rPr>
        <w:t>人死亡，分别降至</w:t>
      </w:r>
      <w:r>
        <w:rPr>
          <w:rFonts w:hint="eastAsia"/>
        </w:rPr>
        <w:t>1996</w:t>
      </w:r>
      <w:r>
        <w:rPr>
          <w:rFonts w:hint="eastAsia"/>
        </w:rPr>
        <w:t>年的每</w:t>
      </w:r>
      <w:r>
        <w:rPr>
          <w:rFonts w:hint="eastAsia"/>
        </w:rPr>
        <w:t>1 000</w:t>
      </w:r>
      <w:r>
        <w:rPr>
          <w:rFonts w:hint="eastAsia"/>
        </w:rPr>
        <w:t>人</w:t>
      </w:r>
      <w:r>
        <w:rPr>
          <w:rFonts w:hint="eastAsia"/>
        </w:rPr>
        <w:t>7</w:t>
      </w:r>
      <w:r>
        <w:rPr>
          <w:rFonts w:hint="eastAsia"/>
        </w:rPr>
        <w:t>人死亡和</w:t>
      </w:r>
      <w:r>
        <w:rPr>
          <w:rFonts w:hint="eastAsia"/>
        </w:rPr>
        <w:t>1998</w:t>
      </w:r>
      <w:r>
        <w:rPr>
          <w:rFonts w:hint="eastAsia"/>
        </w:rPr>
        <w:t>年的每</w:t>
      </w:r>
      <w:r>
        <w:rPr>
          <w:rFonts w:hint="eastAsia"/>
        </w:rPr>
        <w:t>1 000</w:t>
      </w:r>
      <w:r>
        <w:rPr>
          <w:rFonts w:hint="eastAsia"/>
        </w:rPr>
        <w:t>人</w:t>
      </w:r>
      <w:r>
        <w:rPr>
          <w:rFonts w:hint="eastAsia"/>
        </w:rPr>
        <w:t>6</w:t>
      </w:r>
      <w:r>
        <w:rPr>
          <w:rFonts w:hint="eastAsia"/>
        </w:rPr>
        <w:t>人死亡。</w:t>
      </w:r>
      <w:r>
        <w:rPr>
          <w:rFonts w:hint="eastAsia"/>
        </w:rPr>
        <w:t>1992</w:t>
      </w:r>
      <w:r>
        <w:rPr>
          <w:rFonts w:hint="eastAsia"/>
        </w:rPr>
        <w:t>年至</w:t>
      </w:r>
      <w:r>
        <w:rPr>
          <w:rFonts w:hint="eastAsia"/>
        </w:rPr>
        <w:t>1999</w:t>
      </w:r>
      <w:r>
        <w:rPr>
          <w:rFonts w:hint="eastAsia"/>
        </w:rPr>
        <w:t>年期间，婴儿死亡率从每</w:t>
      </w:r>
      <w:r>
        <w:rPr>
          <w:rFonts w:hint="eastAsia"/>
        </w:rPr>
        <w:t>1 000</w:t>
      </w:r>
      <w:r>
        <w:rPr>
          <w:rFonts w:hint="eastAsia"/>
        </w:rPr>
        <w:t>个活产婴儿</w:t>
      </w:r>
      <w:r>
        <w:rPr>
          <w:rFonts w:hint="eastAsia"/>
        </w:rPr>
        <w:t>43</w:t>
      </w:r>
      <w:r>
        <w:rPr>
          <w:rFonts w:hint="eastAsia"/>
        </w:rPr>
        <w:t>例死亡降至</w:t>
      </w:r>
      <w:r>
        <w:rPr>
          <w:rFonts w:hint="eastAsia"/>
        </w:rPr>
        <w:t>34.6</w:t>
      </w:r>
      <w:r>
        <w:rPr>
          <w:rFonts w:hint="eastAsia"/>
        </w:rPr>
        <w:t>例死亡。</w:t>
      </w:r>
      <w:r>
        <w:rPr>
          <w:rStyle w:val="FootnoteReference"/>
        </w:rPr>
        <w:footnoteReference w:customMarkFollows="1" w:id="4"/>
        <w:t>3</w:t>
      </w:r>
      <w:r>
        <w:rPr>
          <w:rFonts w:hint="eastAsia"/>
        </w:rPr>
        <w:t xml:space="preserve"> 1999</w:t>
      </w:r>
      <w:r>
        <w:rPr>
          <w:rFonts w:hint="eastAsia"/>
        </w:rPr>
        <w:t>年，产妇死亡率估计为每十万例活产中</w:t>
      </w:r>
      <w:r>
        <w:rPr>
          <w:rFonts w:hint="eastAsia"/>
        </w:rPr>
        <w:t>160</w:t>
      </w:r>
      <w:r>
        <w:rPr>
          <w:rFonts w:hint="eastAsia"/>
        </w:rPr>
        <w:t>人死亡。</w:t>
      </w:r>
      <w:r>
        <w:rPr>
          <w:rStyle w:val="FootnoteReference"/>
        </w:rPr>
        <w:footnoteReference w:customMarkFollows="1" w:id="5"/>
        <w:t>4</w:t>
      </w:r>
    </w:p>
    <w:p w:rsidR="00000000" w:rsidRDefault="004D2F83" w:rsidP="004D2F83">
      <w:pPr>
        <w:spacing w:after="240" w:line="380" w:lineRule="exact"/>
        <w:ind w:firstLineChars="200" w:firstLine="31680"/>
        <w:rPr>
          <w:rFonts w:hint="eastAsia"/>
        </w:rPr>
      </w:pPr>
      <w:r>
        <w:rPr>
          <w:rFonts w:hint="eastAsia"/>
        </w:rPr>
        <w:t>1990</w:t>
      </w:r>
      <w:r>
        <w:rPr>
          <w:rFonts w:hint="eastAsia"/>
        </w:rPr>
        <w:t>年代的主要特征或许是巴西的教育状况大大改观。</w:t>
      </w:r>
      <w:r>
        <w:rPr>
          <w:rStyle w:val="FootnoteReference"/>
        </w:rPr>
        <w:footnoteReference w:customMarkFollows="1" w:id="6"/>
        <w:t>5</w:t>
      </w:r>
      <w:r>
        <w:rPr>
          <w:rFonts w:hint="eastAsia"/>
        </w:rPr>
        <w:t xml:space="preserve"> </w:t>
      </w:r>
      <w:r>
        <w:rPr>
          <w:rFonts w:hint="eastAsia"/>
        </w:rPr>
        <w:t>这方面值得指出的是，文盲率大大减少，</w:t>
      </w:r>
      <w:r>
        <w:rPr>
          <w:rStyle w:val="FootnoteReference"/>
        </w:rPr>
        <w:footnoteReference w:customMarkFollows="1" w:id="7"/>
        <w:t>6</w:t>
      </w:r>
      <w:r>
        <w:rPr>
          <w:rFonts w:hint="eastAsia"/>
        </w:rPr>
        <w:t xml:space="preserve"> </w:t>
      </w:r>
      <w:r>
        <w:rPr>
          <w:rFonts w:hint="eastAsia"/>
        </w:rPr>
        <w:t>普通教育</w:t>
      </w:r>
      <w:r>
        <w:rPr>
          <w:rStyle w:val="FootnoteReference"/>
        </w:rPr>
        <w:footnoteReference w:customMarkFollows="1" w:id="8"/>
        <w:t>7</w:t>
      </w:r>
      <w:r>
        <w:rPr>
          <w:rFonts w:hint="eastAsia"/>
        </w:rPr>
        <w:t>和入学率</w:t>
      </w:r>
      <w:r>
        <w:rPr>
          <w:rStyle w:val="FootnoteReference"/>
        </w:rPr>
        <w:footnoteReference w:customMarkFollows="1" w:id="9"/>
        <w:t>8</w:t>
      </w:r>
      <w:r>
        <w:rPr>
          <w:rFonts w:hint="eastAsia"/>
        </w:rPr>
        <w:t>随之普遍上升。尽管文盲率呈下降趋势——从</w:t>
      </w:r>
      <w:r>
        <w:rPr>
          <w:rFonts w:hint="eastAsia"/>
        </w:rPr>
        <w:t>1992</w:t>
      </w:r>
      <w:r>
        <w:rPr>
          <w:rFonts w:hint="eastAsia"/>
        </w:rPr>
        <w:t>年的</w:t>
      </w:r>
      <w:r>
        <w:rPr>
          <w:rFonts w:hint="eastAsia"/>
        </w:rPr>
        <w:t>17.2%</w:t>
      </w:r>
      <w:r>
        <w:rPr>
          <w:rFonts w:hint="eastAsia"/>
        </w:rPr>
        <w:t>降至</w:t>
      </w:r>
      <w:r>
        <w:rPr>
          <w:rFonts w:hint="eastAsia"/>
        </w:rPr>
        <w:t>1999</w:t>
      </w:r>
      <w:r>
        <w:rPr>
          <w:rFonts w:hint="eastAsia"/>
        </w:rPr>
        <w:t>年的</w:t>
      </w:r>
      <w:r>
        <w:rPr>
          <w:rFonts w:hint="eastAsia"/>
        </w:rPr>
        <w:t>13%</w:t>
      </w:r>
      <w:r>
        <w:rPr>
          <w:rFonts w:hint="eastAsia"/>
        </w:rPr>
        <w:t>，巴西的</w:t>
      </w:r>
      <w:r>
        <w:rPr>
          <w:rFonts w:hint="eastAsia"/>
          <w:color w:val="000000"/>
        </w:rPr>
        <w:t>文盲率仍然很</w:t>
      </w:r>
      <w:r>
        <w:rPr>
          <w:rFonts w:hint="eastAsia"/>
        </w:rPr>
        <w:t>高，</w:t>
      </w:r>
      <w:r>
        <w:rPr>
          <w:rFonts w:hint="eastAsia"/>
        </w:rPr>
        <w:t>1990</w:t>
      </w:r>
      <w:r>
        <w:rPr>
          <w:rFonts w:hint="eastAsia"/>
        </w:rPr>
        <w:t>年代后期不识字的成人共</w:t>
      </w:r>
      <w:r>
        <w:rPr>
          <w:rFonts w:hint="eastAsia"/>
        </w:rPr>
        <w:t>计</w:t>
      </w:r>
      <w:r>
        <w:rPr>
          <w:rFonts w:hint="eastAsia"/>
        </w:rPr>
        <w:t>1 500</w:t>
      </w:r>
      <w:r>
        <w:rPr>
          <w:rFonts w:hint="eastAsia"/>
        </w:rPr>
        <w:t>万。</w:t>
      </w:r>
      <w:r>
        <w:rPr>
          <w:rStyle w:val="FootnoteReference"/>
        </w:rPr>
        <w:footnoteReference w:customMarkFollows="1" w:id="10"/>
        <w:t>9</w:t>
      </w:r>
    </w:p>
    <w:p w:rsidR="00000000" w:rsidRDefault="004D2F83" w:rsidP="004D2F83">
      <w:pPr>
        <w:spacing w:after="240" w:line="360" w:lineRule="exact"/>
        <w:ind w:firstLineChars="200" w:firstLine="31680"/>
        <w:rPr>
          <w:rFonts w:hint="eastAsia"/>
        </w:rPr>
      </w:pPr>
      <w:r>
        <w:rPr>
          <w:rFonts w:hint="eastAsia"/>
        </w:rPr>
        <w:t>1996</w:t>
      </w:r>
      <w:r>
        <w:rPr>
          <w:rFonts w:hint="eastAsia"/>
        </w:rPr>
        <w:t>年，</w:t>
      </w:r>
      <w:r>
        <w:rPr>
          <w:rStyle w:val="FootnoteReference"/>
        </w:rPr>
        <w:footnoteReference w:customMarkFollows="1" w:id="11"/>
        <w:t>10</w:t>
      </w:r>
      <w:r>
        <w:rPr>
          <w:rFonts w:hint="eastAsia"/>
        </w:rPr>
        <w:t xml:space="preserve"> </w:t>
      </w:r>
      <w:r>
        <w:rPr>
          <w:rFonts w:hint="eastAsia"/>
        </w:rPr>
        <w:t>按照联合国</w:t>
      </w:r>
      <w:r>
        <w:rPr>
          <w:rFonts w:hint="eastAsia"/>
          <w:color w:val="000000"/>
        </w:rPr>
        <w:t>开发计划署（开发计划署）设立的标准，巴西列入高人类发展指数国家组。</w:t>
      </w:r>
      <w:r>
        <w:rPr>
          <w:rStyle w:val="FootnoteReference"/>
          <w:color w:val="000000"/>
        </w:rPr>
        <w:footnoteReference w:customMarkFollows="1" w:id="12"/>
        <w:t>11</w:t>
      </w:r>
      <w:r>
        <w:rPr>
          <w:rFonts w:hint="eastAsia"/>
          <w:color w:val="000000"/>
        </w:rPr>
        <w:t xml:space="preserve"> </w:t>
      </w:r>
      <w:r>
        <w:rPr>
          <w:rFonts w:hint="eastAsia"/>
          <w:color w:val="000000"/>
        </w:rPr>
        <w:t>这一年巴西的人类发展指数为</w:t>
      </w:r>
      <w:r>
        <w:rPr>
          <w:rFonts w:hint="eastAsia"/>
          <w:color w:val="000000"/>
        </w:rPr>
        <w:t>0.809</w:t>
      </w:r>
      <w:r>
        <w:rPr>
          <w:rFonts w:hint="eastAsia"/>
          <w:color w:val="000000"/>
        </w:rPr>
        <w:t>，在</w:t>
      </w:r>
      <w:r>
        <w:rPr>
          <w:rFonts w:hint="eastAsia"/>
          <w:color w:val="000000"/>
        </w:rPr>
        <w:t>174</w:t>
      </w:r>
      <w:r>
        <w:rPr>
          <w:rFonts w:hint="eastAsia"/>
          <w:color w:val="000000"/>
        </w:rPr>
        <w:t>个国家中排名第</w:t>
      </w:r>
      <w:r>
        <w:rPr>
          <w:rFonts w:hint="eastAsia"/>
          <w:color w:val="000000"/>
        </w:rPr>
        <w:t>62</w:t>
      </w:r>
      <w:r>
        <w:rPr>
          <w:rFonts w:hint="eastAsia"/>
          <w:color w:val="000000"/>
        </w:rPr>
        <w:t>位。</w:t>
      </w:r>
      <w:r>
        <w:rPr>
          <w:rStyle w:val="FootnoteReference"/>
          <w:color w:val="000000"/>
        </w:rPr>
        <w:footnoteReference w:customMarkFollows="1" w:id="13"/>
        <w:t>12</w:t>
      </w:r>
      <w:r>
        <w:rPr>
          <w:rFonts w:hint="eastAsia"/>
          <w:color w:val="000000"/>
        </w:rPr>
        <w:t xml:space="preserve"> </w:t>
      </w:r>
      <w:r>
        <w:rPr>
          <w:rFonts w:hint="eastAsia"/>
          <w:color w:val="000000"/>
        </w:rPr>
        <w:t>然而，</w:t>
      </w:r>
      <w:r>
        <w:rPr>
          <w:rFonts w:hint="eastAsia"/>
          <w:color w:val="000000"/>
        </w:rPr>
        <w:t>1999</w:t>
      </w:r>
      <w:r>
        <w:rPr>
          <w:rFonts w:hint="eastAsia"/>
          <w:color w:val="000000"/>
        </w:rPr>
        <w:t>年，收入评估的标准有所</w:t>
      </w:r>
      <w:r>
        <w:rPr>
          <w:rFonts w:hint="eastAsia"/>
        </w:rPr>
        <w:t>改变，巴西再次落入平均人类发展指数国家组。这一年，巴西降至第</w:t>
      </w:r>
      <w:r>
        <w:rPr>
          <w:rFonts w:hint="eastAsia"/>
        </w:rPr>
        <w:t>79</w:t>
      </w:r>
      <w:r>
        <w:rPr>
          <w:rFonts w:hint="eastAsia"/>
        </w:rPr>
        <w:t>位，人类发展指数为</w:t>
      </w:r>
      <w:r>
        <w:rPr>
          <w:rFonts w:hint="eastAsia"/>
        </w:rPr>
        <w:t>0.739</w:t>
      </w:r>
      <w:r>
        <w:rPr>
          <w:rFonts w:hint="eastAsia"/>
        </w:rPr>
        <w:t>。</w:t>
      </w:r>
      <w:r>
        <w:rPr>
          <w:rFonts w:hint="eastAsia"/>
        </w:rPr>
        <w:t>2000</w:t>
      </w:r>
      <w:r>
        <w:rPr>
          <w:rFonts w:hint="eastAsia"/>
        </w:rPr>
        <w:t>年，巴西排名第</w:t>
      </w:r>
      <w:r>
        <w:rPr>
          <w:rFonts w:hint="eastAsia"/>
        </w:rPr>
        <w:t>74</w:t>
      </w:r>
      <w:r>
        <w:rPr>
          <w:rFonts w:hint="eastAsia"/>
        </w:rPr>
        <w:t>位。</w:t>
      </w:r>
      <w:r>
        <w:rPr>
          <w:rFonts w:hint="eastAsia"/>
        </w:rPr>
        <w:t>2001</w:t>
      </w:r>
      <w:r>
        <w:rPr>
          <w:rFonts w:hint="eastAsia"/>
        </w:rPr>
        <w:t>年</w:t>
      </w:r>
      <w:r>
        <w:rPr>
          <w:rFonts w:hint="eastAsia"/>
        </w:rPr>
        <w:t>7</w:t>
      </w:r>
      <w:r>
        <w:rPr>
          <w:rFonts w:hint="eastAsia"/>
        </w:rPr>
        <w:t>月发表的报告表明，巴西在这些国家中居第</w:t>
      </w:r>
      <w:r>
        <w:rPr>
          <w:rFonts w:hint="eastAsia"/>
        </w:rPr>
        <w:t>69</w:t>
      </w:r>
      <w:r>
        <w:rPr>
          <w:rFonts w:hint="eastAsia"/>
        </w:rPr>
        <w:t>位。</w:t>
      </w:r>
    </w:p>
    <w:p w:rsidR="00000000" w:rsidRDefault="004D2F83" w:rsidP="004D2F83">
      <w:pPr>
        <w:spacing w:after="240" w:line="360" w:lineRule="exact"/>
        <w:ind w:firstLineChars="200" w:firstLine="31680"/>
        <w:rPr>
          <w:rFonts w:hint="eastAsia"/>
        </w:rPr>
      </w:pPr>
      <w:r>
        <w:rPr>
          <w:rFonts w:hint="eastAsia"/>
        </w:rPr>
        <w:t>1999</w:t>
      </w:r>
      <w:r>
        <w:rPr>
          <w:rFonts w:hint="eastAsia"/>
        </w:rPr>
        <w:t>年，巴西的国内生产总值为</w:t>
      </w:r>
      <w:r>
        <w:rPr>
          <w:rFonts w:hint="eastAsia"/>
        </w:rPr>
        <w:t>7 304</w:t>
      </w:r>
      <w:r>
        <w:rPr>
          <w:rFonts w:hint="eastAsia"/>
        </w:rPr>
        <w:t>亿美元，人均收入估计为</w:t>
      </w:r>
      <w:r>
        <w:rPr>
          <w:rFonts w:hint="eastAsia"/>
        </w:rPr>
        <w:t>4 350</w:t>
      </w:r>
      <w:r>
        <w:rPr>
          <w:rFonts w:hint="eastAsia"/>
        </w:rPr>
        <w:t>美元。</w:t>
      </w:r>
      <w:r>
        <w:rPr>
          <w:rStyle w:val="FootnoteReference"/>
        </w:rPr>
        <w:footnoteReference w:customMarkFollows="1" w:id="14"/>
        <w:t>13</w:t>
      </w:r>
      <w:r>
        <w:rPr>
          <w:rFonts w:hint="eastAsia"/>
        </w:rPr>
        <w:t xml:space="preserve"> </w:t>
      </w:r>
      <w:r>
        <w:rPr>
          <w:rFonts w:hint="eastAsia"/>
        </w:rPr>
        <w:t>然而，这些数</w:t>
      </w:r>
      <w:r>
        <w:rPr>
          <w:rFonts w:hint="eastAsia"/>
        </w:rPr>
        <w:t>字一方面表明巴西是全世界十个最富庶的国家之一，另一方面，未能反映出收入分配上存在的巨大差异。下表列示了各项指标，反映出这一差异，以及巴西生活在贫困状况的人口所占的比例和各地区之间的差异。</w:t>
      </w:r>
    </w:p>
    <w:p w:rsidR="00000000" w:rsidRDefault="004D2F83">
      <w:pPr>
        <w:spacing w:after="240" w:line="360" w:lineRule="exact"/>
        <w:jc w:val="center"/>
        <w:rPr>
          <w:rFonts w:ascii="SimHei" w:eastAsia="SimHei" w:hint="eastAsia"/>
          <w:bCs/>
        </w:rPr>
      </w:pPr>
      <w:r>
        <w:rPr>
          <w:rFonts w:ascii="SimHei" w:eastAsia="SimHei" w:hint="eastAsia"/>
          <w:bCs/>
        </w:rPr>
        <w:t>表</w:t>
      </w:r>
      <w:r>
        <w:rPr>
          <w:rFonts w:ascii="SimHei" w:eastAsia="SimHei" w:hint="eastAsia"/>
          <w:bCs/>
        </w:rPr>
        <w:t>3</w:t>
      </w:r>
      <w:r>
        <w:rPr>
          <w:rFonts w:ascii="SimHei" w:eastAsia="SimHei" w:hint="eastAsia"/>
          <w:bCs/>
        </w:rPr>
        <w:t>：收入比率</w:t>
      </w:r>
    </w:p>
    <w:p w:rsidR="00000000" w:rsidRDefault="004D2F83">
      <w:pPr>
        <w:spacing w:after="120" w:line="360" w:lineRule="exact"/>
        <w:rPr>
          <w:rFonts w:hint="eastAsia"/>
          <w:sz w:val="18"/>
        </w:rPr>
      </w:pPr>
      <w:r>
        <w:rPr>
          <w:rFonts w:hint="eastAsia"/>
          <w:sz w:val="18"/>
        </w:rPr>
        <w:t>最富的</w:t>
      </w:r>
      <w:r>
        <w:rPr>
          <w:rFonts w:hint="eastAsia"/>
          <w:sz w:val="18"/>
        </w:rPr>
        <w:t>20%</w:t>
      </w:r>
      <w:r>
        <w:rPr>
          <w:rFonts w:hint="eastAsia"/>
          <w:sz w:val="18"/>
        </w:rPr>
        <w:t>人口的收入超过最穷的</w:t>
      </w:r>
      <w:r>
        <w:rPr>
          <w:rFonts w:hint="eastAsia"/>
          <w:sz w:val="18"/>
        </w:rPr>
        <w:t>20%</w:t>
      </w:r>
      <w:r>
        <w:rPr>
          <w:rFonts w:hint="eastAsia"/>
          <w:sz w:val="18"/>
        </w:rPr>
        <w:t>人口的收入的倍数</w:t>
      </w:r>
    </w:p>
    <w:p w:rsidR="00000000" w:rsidRDefault="004D2F83">
      <w:pPr>
        <w:spacing w:after="240" w:line="360" w:lineRule="exact"/>
        <w:rPr>
          <w:rFonts w:hint="eastAsia"/>
          <w:sz w:val="18"/>
        </w:rPr>
      </w:pPr>
      <w:r>
        <w:rPr>
          <w:rFonts w:hint="eastAsia"/>
          <w:sz w:val="18"/>
        </w:rPr>
        <w:t>按巴西大区域分列</w:t>
      </w:r>
      <w:r>
        <w:rPr>
          <w:rFonts w:hint="eastAsia"/>
          <w:sz w:val="18"/>
        </w:rPr>
        <w:t xml:space="preserve"> </w:t>
      </w:r>
      <w:r>
        <w:rPr>
          <w:rFonts w:hint="eastAsia"/>
          <w:sz w:val="18"/>
        </w:rPr>
        <w:t>—</w:t>
      </w:r>
      <w:r>
        <w:rPr>
          <w:rFonts w:hint="eastAsia"/>
          <w:sz w:val="18"/>
        </w:rPr>
        <w:t xml:space="preserve"> 1997</w:t>
      </w:r>
      <w:r>
        <w:rPr>
          <w:rFonts w:hint="eastAsia"/>
          <w:sz w:val="18"/>
        </w:rPr>
        <w:t>年</w:t>
      </w:r>
      <w:r>
        <w:rPr>
          <w:rFonts w:hint="eastAsia"/>
          <w:sz w:val="18"/>
        </w:rPr>
        <w:t>/1999</w:t>
      </w:r>
      <w:r>
        <w:rPr>
          <w:rFonts w:hint="eastAsia"/>
          <w:sz w:val="18"/>
        </w:rPr>
        <w:t>年</w:t>
      </w:r>
    </w:p>
    <w:tbl>
      <w:tblPr>
        <w:tblW w:w="4946" w:type="pct"/>
        <w:tblInd w:w="108" w:type="dxa"/>
        <w:tblBorders>
          <w:top w:val="single" w:sz="4" w:space="0" w:color="auto"/>
          <w:insideH w:val="single" w:sz="4" w:space="0" w:color="auto"/>
          <w:insideV w:val="single" w:sz="4" w:space="0" w:color="auto"/>
        </w:tblBorders>
        <w:tblLook w:val="01E0" w:firstRow="1" w:lastRow="1" w:firstColumn="1" w:lastColumn="1" w:noHBand="0" w:noVBand="0"/>
      </w:tblPr>
      <w:tblGrid>
        <w:gridCol w:w="2382"/>
        <w:gridCol w:w="2492"/>
        <w:gridCol w:w="2492"/>
        <w:gridCol w:w="2490"/>
      </w:tblGrid>
      <w:tr w:rsidR="00000000">
        <w:tblPrEx>
          <w:tblCellMar>
            <w:top w:w="0" w:type="dxa"/>
            <w:bottom w:w="0" w:type="dxa"/>
          </w:tblCellMar>
        </w:tblPrEx>
        <w:tc>
          <w:tcPr>
            <w:tcW w:w="1209" w:type="pct"/>
          </w:tcPr>
          <w:p w:rsidR="00000000" w:rsidRDefault="004D2F83">
            <w:pPr>
              <w:spacing w:after="120" w:line="360" w:lineRule="exact"/>
              <w:jc w:val="center"/>
              <w:rPr>
                <w:rFonts w:ascii="SimHei" w:eastAsia="SimHei" w:hint="eastAsia"/>
                <w:bCs/>
                <w:sz w:val="18"/>
              </w:rPr>
            </w:pPr>
            <w:r>
              <w:rPr>
                <w:rFonts w:ascii="SimHei" w:eastAsia="SimHei" w:hint="eastAsia"/>
                <w:bCs/>
                <w:sz w:val="18"/>
              </w:rPr>
              <w:t>地区</w:t>
            </w:r>
          </w:p>
        </w:tc>
        <w:tc>
          <w:tcPr>
            <w:tcW w:w="1264" w:type="pct"/>
          </w:tcPr>
          <w:p w:rsidR="00000000" w:rsidRDefault="004D2F83">
            <w:pPr>
              <w:spacing w:after="120" w:line="360" w:lineRule="exact"/>
              <w:jc w:val="center"/>
              <w:rPr>
                <w:rFonts w:ascii="SimHei" w:eastAsia="SimHei" w:hint="eastAsia"/>
                <w:bCs/>
                <w:sz w:val="18"/>
              </w:rPr>
            </w:pPr>
            <w:r>
              <w:rPr>
                <w:rFonts w:ascii="SimHei" w:eastAsia="SimHei" w:hint="eastAsia"/>
                <w:bCs/>
                <w:sz w:val="18"/>
              </w:rPr>
              <w:t>1997</w:t>
            </w:r>
            <w:r>
              <w:rPr>
                <w:rFonts w:ascii="SimHei" w:eastAsia="SimHei" w:hint="eastAsia"/>
                <w:bCs/>
                <w:sz w:val="18"/>
              </w:rPr>
              <w:t>年</w:t>
            </w:r>
          </w:p>
        </w:tc>
        <w:tc>
          <w:tcPr>
            <w:tcW w:w="1264" w:type="pct"/>
          </w:tcPr>
          <w:p w:rsidR="00000000" w:rsidRDefault="004D2F83">
            <w:pPr>
              <w:spacing w:after="120" w:line="360" w:lineRule="exact"/>
              <w:jc w:val="center"/>
              <w:rPr>
                <w:rFonts w:ascii="SimHei" w:eastAsia="SimHei" w:hint="eastAsia"/>
                <w:bCs/>
                <w:sz w:val="18"/>
              </w:rPr>
            </w:pPr>
            <w:r>
              <w:rPr>
                <w:rFonts w:ascii="SimHei" w:eastAsia="SimHei" w:hint="eastAsia"/>
                <w:bCs/>
                <w:sz w:val="18"/>
              </w:rPr>
              <w:t>1998</w:t>
            </w:r>
            <w:r>
              <w:rPr>
                <w:rFonts w:ascii="SimHei" w:eastAsia="SimHei" w:hint="eastAsia"/>
                <w:bCs/>
                <w:sz w:val="18"/>
              </w:rPr>
              <w:t>年</w:t>
            </w:r>
          </w:p>
        </w:tc>
        <w:tc>
          <w:tcPr>
            <w:tcW w:w="1264" w:type="pct"/>
          </w:tcPr>
          <w:p w:rsidR="00000000" w:rsidRDefault="004D2F83">
            <w:pPr>
              <w:spacing w:after="120" w:line="360" w:lineRule="exact"/>
              <w:jc w:val="center"/>
              <w:rPr>
                <w:rFonts w:ascii="SimHei" w:eastAsia="SimHei" w:hint="eastAsia"/>
                <w:bCs/>
                <w:sz w:val="18"/>
              </w:rPr>
            </w:pPr>
            <w:r>
              <w:rPr>
                <w:rFonts w:ascii="SimHei" w:eastAsia="SimHei" w:hint="eastAsia"/>
                <w:bCs/>
                <w:sz w:val="18"/>
              </w:rPr>
              <w:t>1999</w:t>
            </w:r>
            <w:r>
              <w:rPr>
                <w:rFonts w:ascii="SimHei" w:eastAsia="SimHei" w:hint="eastAsia"/>
                <w:bCs/>
                <w:sz w:val="18"/>
              </w:rPr>
              <w:t>年</w:t>
            </w:r>
          </w:p>
        </w:tc>
      </w:tr>
      <w:tr w:rsidR="00000000">
        <w:tblPrEx>
          <w:tblCellMar>
            <w:top w:w="0" w:type="dxa"/>
            <w:bottom w:w="0" w:type="dxa"/>
          </w:tblCellMar>
        </w:tblPrEx>
        <w:tc>
          <w:tcPr>
            <w:tcW w:w="1209" w:type="pct"/>
          </w:tcPr>
          <w:p w:rsidR="00000000" w:rsidRDefault="004D2F83">
            <w:pPr>
              <w:spacing w:after="120" w:line="360" w:lineRule="exact"/>
              <w:rPr>
                <w:rFonts w:eastAsia="SimHei" w:hint="eastAsia"/>
                <w:bCs/>
                <w:sz w:val="18"/>
              </w:rPr>
            </w:pPr>
            <w:r>
              <w:rPr>
                <w:rFonts w:eastAsia="SimHei" w:hint="eastAsia"/>
                <w:bCs/>
                <w:sz w:val="18"/>
              </w:rPr>
              <w:t>北部</w:t>
            </w:r>
          </w:p>
        </w:tc>
        <w:tc>
          <w:tcPr>
            <w:tcW w:w="1264" w:type="pct"/>
          </w:tcPr>
          <w:p w:rsidR="00000000" w:rsidRDefault="004D2F83">
            <w:pPr>
              <w:spacing w:after="120" w:line="360" w:lineRule="exact"/>
              <w:jc w:val="center"/>
              <w:rPr>
                <w:rFonts w:hint="eastAsia"/>
                <w:sz w:val="18"/>
              </w:rPr>
            </w:pPr>
            <w:r>
              <w:rPr>
                <w:rFonts w:hint="eastAsia"/>
                <w:sz w:val="18"/>
              </w:rPr>
              <w:t>16.06</w:t>
            </w:r>
          </w:p>
        </w:tc>
        <w:tc>
          <w:tcPr>
            <w:tcW w:w="1264" w:type="pct"/>
          </w:tcPr>
          <w:p w:rsidR="00000000" w:rsidRDefault="004D2F83">
            <w:pPr>
              <w:spacing w:after="120" w:line="360" w:lineRule="exact"/>
              <w:jc w:val="center"/>
              <w:rPr>
                <w:rFonts w:hint="eastAsia"/>
                <w:sz w:val="18"/>
              </w:rPr>
            </w:pPr>
            <w:r>
              <w:rPr>
                <w:rFonts w:hint="eastAsia"/>
                <w:sz w:val="18"/>
              </w:rPr>
              <w:t>16.20</w:t>
            </w:r>
          </w:p>
        </w:tc>
        <w:tc>
          <w:tcPr>
            <w:tcW w:w="1264" w:type="pct"/>
          </w:tcPr>
          <w:p w:rsidR="00000000" w:rsidRDefault="004D2F83">
            <w:pPr>
              <w:spacing w:after="120" w:line="360" w:lineRule="exact"/>
              <w:jc w:val="center"/>
              <w:rPr>
                <w:rFonts w:hint="eastAsia"/>
                <w:sz w:val="18"/>
              </w:rPr>
            </w:pPr>
            <w:r>
              <w:rPr>
                <w:rFonts w:hint="eastAsia"/>
                <w:sz w:val="18"/>
              </w:rPr>
              <w:t>14.96</w:t>
            </w:r>
          </w:p>
        </w:tc>
      </w:tr>
      <w:tr w:rsidR="00000000">
        <w:tblPrEx>
          <w:tblCellMar>
            <w:top w:w="0" w:type="dxa"/>
            <w:bottom w:w="0" w:type="dxa"/>
          </w:tblCellMar>
        </w:tblPrEx>
        <w:tc>
          <w:tcPr>
            <w:tcW w:w="1209" w:type="pct"/>
          </w:tcPr>
          <w:p w:rsidR="00000000" w:rsidRDefault="004D2F83">
            <w:pPr>
              <w:spacing w:after="120" w:line="360" w:lineRule="exact"/>
              <w:rPr>
                <w:rFonts w:eastAsia="SimHei" w:hint="eastAsia"/>
                <w:bCs/>
                <w:sz w:val="18"/>
              </w:rPr>
            </w:pPr>
            <w:r>
              <w:rPr>
                <w:rFonts w:eastAsia="SimHei" w:hint="eastAsia"/>
                <w:bCs/>
                <w:sz w:val="18"/>
              </w:rPr>
              <w:t>东北部</w:t>
            </w:r>
          </w:p>
        </w:tc>
        <w:tc>
          <w:tcPr>
            <w:tcW w:w="1264" w:type="pct"/>
          </w:tcPr>
          <w:p w:rsidR="00000000" w:rsidRDefault="004D2F83">
            <w:pPr>
              <w:spacing w:after="120" w:line="360" w:lineRule="exact"/>
              <w:jc w:val="center"/>
              <w:rPr>
                <w:rFonts w:hint="eastAsia"/>
                <w:sz w:val="18"/>
              </w:rPr>
            </w:pPr>
            <w:r>
              <w:rPr>
                <w:rFonts w:hint="eastAsia"/>
                <w:sz w:val="18"/>
              </w:rPr>
              <w:t>19.30</w:t>
            </w:r>
          </w:p>
        </w:tc>
        <w:tc>
          <w:tcPr>
            <w:tcW w:w="1264" w:type="pct"/>
          </w:tcPr>
          <w:p w:rsidR="00000000" w:rsidRDefault="004D2F83">
            <w:pPr>
              <w:spacing w:after="120" w:line="360" w:lineRule="exact"/>
              <w:jc w:val="center"/>
              <w:rPr>
                <w:rFonts w:hint="eastAsia"/>
                <w:sz w:val="18"/>
              </w:rPr>
            </w:pPr>
            <w:r>
              <w:rPr>
                <w:rFonts w:hint="eastAsia"/>
                <w:sz w:val="18"/>
              </w:rPr>
              <w:t>17.38</w:t>
            </w:r>
          </w:p>
        </w:tc>
        <w:tc>
          <w:tcPr>
            <w:tcW w:w="1264" w:type="pct"/>
          </w:tcPr>
          <w:p w:rsidR="00000000" w:rsidRDefault="004D2F83">
            <w:pPr>
              <w:spacing w:after="120" w:line="360" w:lineRule="exact"/>
              <w:jc w:val="center"/>
              <w:rPr>
                <w:rFonts w:hint="eastAsia"/>
                <w:sz w:val="18"/>
              </w:rPr>
            </w:pPr>
            <w:r>
              <w:rPr>
                <w:rFonts w:hint="eastAsia"/>
                <w:sz w:val="18"/>
              </w:rPr>
              <w:t>17.61</w:t>
            </w:r>
          </w:p>
        </w:tc>
      </w:tr>
      <w:tr w:rsidR="00000000">
        <w:tblPrEx>
          <w:tblCellMar>
            <w:top w:w="0" w:type="dxa"/>
            <w:bottom w:w="0" w:type="dxa"/>
          </w:tblCellMar>
        </w:tblPrEx>
        <w:tc>
          <w:tcPr>
            <w:tcW w:w="1209" w:type="pct"/>
          </w:tcPr>
          <w:p w:rsidR="00000000" w:rsidRDefault="004D2F83">
            <w:pPr>
              <w:spacing w:after="120" w:line="360" w:lineRule="exact"/>
              <w:rPr>
                <w:rFonts w:eastAsia="SimHei" w:hint="eastAsia"/>
                <w:bCs/>
                <w:sz w:val="18"/>
              </w:rPr>
            </w:pPr>
            <w:r>
              <w:rPr>
                <w:rFonts w:eastAsia="SimHei" w:hint="eastAsia"/>
                <w:bCs/>
                <w:sz w:val="18"/>
              </w:rPr>
              <w:t>东南部</w:t>
            </w:r>
          </w:p>
        </w:tc>
        <w:tc>
          <w:tcPr>
            <w:tcW w:w="1264" w:type="pct"/>
          </w:tcPr>
          <w:p w:rsidR="00000000" w:rsidRDefault="004D2F83">
            <w:pPr>
              <w:spacing w:after="120" w:line="360" w:lineRule="exact"/>
              <w:jc w:val="center"/>
              <w:rPr>
                <w:rFonts w:hint="eastAsia"/>
                <w:sz w:val="18"/>
              </w:rPr>
            </w:pPr>
            <w:r>
              <w:rPr>
                <w:rFonts w:hint="eastAsia"/>
                <w:sz w:val="18"/>
              </w:rPr>
              <w:t>18.49</w:t>
            </w:r>
          </w:p>
        </w:tc>
        <w:tc>
          <w:tcPr>
            <w:tcW w:w="1264" w:type="pct"/>
          </w:tcPr>
          <w:p w:rsidR="00000000" w:rsidRDefault="004D2F83">
            <w:pPr>
              <w:spacing w:after="120" w:line="360" w:lineRule="exact"/>
              <w:jc w:val="center"/>
              <w:rPr>
                <w:rFonts w:hint="eastAsia"/>
                <w:sz w:val="18"/>
              </w:rPr>
            </w:pPr>
            <w:r>
              <w:rPr>
                <w:rFonts w:hint="eastAsia"/>
                <w:sz w:val="18"/>
              </w:rPr>
              <w:t>17.61</w:t>
            </w:r>
          </w:p>
        </w:tc>
        <w:tc>
          <w:tcPr>
            <w:tcW w:w="1264" w:type="pct"/>
          </w:tcPr>
          <w:p w:rsidR="00000000" w:rsidRDefault="004D2F83">
            <w:pPr>
              <w:spacing w:after="120" w:line="360" w:lineRule="exact"/>
              <w:jc w:val="center"/>
              <w:rPr>
                <w:rFonts w:hint="eastAsia"/>
                <w:sz w:val="18"/>
              </w:rPr>
            </w:pPr>
            <w:r>
              <w:rPr>
                <w:rFonts w:hint="eastAsia"/>
                <w:sz w:val="18"/>
              </w:rPr>
              <w:t>16.41</w:t>
            </w:r>
          </w:p>
        </w:tc>
      </w:tr>
      <w:tr w:rsidR="00000000">
        <w:tblPrEx>
          <w:tblCellMar>
            <w:top w:w="0" w:type="dxa"/>
            <w:bottom w:w="0" w:type="dxa"/>
          </w:tblCellMar>
        </w:tblPrEx>
        <w:tc>
          <w:tcPr>
            <w:tcW w:w="1209" w:type="pct"/>
          </w:tcPr>
          <w:p w:rsidR="00000000" w:rsidRDefault="004D2F83">
            <w:pPr>
              <w:spacing w:after="120" w:line="360" w:lineRule="exact"/>
              <w:rPr>
                <w:rFonts w:eastAsia="SimHei" w:hint="eastAsia"/>
                <w:bCs/>
                <w:sz w:val="18"/>
              </w:rPr>
            </w:pPr>
            <w:r>
              <w:rPr>
                <w:rFonts w:eastAsia="SimHei" w:hint="eastAsia"/>
                <w:bCs/>
                <w:sz w:val="18"/>
              </w:rPr>
              <w:t>南部</w:t>
            </w:r>
          </w:p>
        </w:tc>
        <w:tc>
          <w:tcPr>
            <w:tcW w:w="1264" w:type="pct"/>
          </w:tcPr>
          <w:p w:rsidR="00000000" w:rsidRDefault="004D2F83">
            <w:pPr>
              <w:spacing w:after="120" w:line="360" w:lineRule="exact"/>
              <w:jc w:val="center"/>
              <w:rPr>
                <w:rFonts w:hint="eastAsia"/>
                <w:sz w:val="18"/>
              </w:rPr>
            </w:pPr>
            <w:r>
              <w:rPr>
                <w:rFonts w:hint="eastAsia"/>
                <w:sz w:val="18"/>
              </w:rPr>
              <w:t>16.57</w:t>
            </w:r>
          </w:p>
        </w:tc>
        <w:tc>
          <w:tcPr>
            <w:tcW w:w="1264" w:type="pct"/>
          </w:tcPr>
          <w:p w:rsidR="00000000" w:rsidRDefault="004D2F83">
            <w:pPr>
              <w:spacing w:after="120" w:line="360" w:lineRule="exact"/>
              <w:jc w:val="center"/>
              <w:rPr>
                <w:rFonts w:hint="eastAsia"/>
                <w:sz w:val="18"/>
              </w:rPr>
            </w:pPr>
            <w:r>
              <w:rPr>
                <w:rFonts w:hint="eastAsia"/>
                <w:sz w:val="18"/>
              </w:rPr>
              <w:t>16.2</w:t>
            </w:r>
            <w:r>
              <w:rPr>
                <w:rFonts w:hint="eastAsia"/>
                <w:sz w:val="18"/>
              </w:rPr>
              <w:t>6</w:t>
            </w:r>
          </w:p>
        </w:tc>
        <w:tc>
          <w:tcPr>
            <w:tcW w:w="1264" w:type="pct"/>
          </w:tcPr>
          <w:p w:rsidR="00000000" w:rsidRDefault="004D2F83">
            <w:pPr>
              <w:spacing w:after="120" w:line="360" w:lineRule="exact"/>
              <w:jc w:val="center"/>
              <w:rPr>
                <w:rFonts w:hint="eastAsia"/>
                <w:sz w:val="18"/>
              </w:rPr>
            </w:pPr>
            <w:r>
              <w:rPr>
                <w:rFonts w:hint="eastAsia"/>
                <w:sz w:val="18"/>
              </w:rPr>
              <w:t>16.15</w:t>
            </w:r>
          </w:p>
        </w:tc>
      </w:tr>
      <w:tr w:rsidR="00000000">
        <w:tblPrEx>
          <w:tblCellMar>
            <w:top w:w="0" w:type="dxa"/>
            <w:bottom w:w="0" w:type="dxa"/>
          </w:tblCellMar>
        </w:tblPrEx>
        <w:tc>
          <w:tcPr>
            <w:tcW w:w="1209" w:type="pct"/>
            <w:tcBorders>
              <w:bottom w:val="single" w:sz="4" w:space="0" w:color="auto"/>
            </w:tcBorders>
          </w:tcPr>
          <w:p w:rsidR="00000000" w:rsidRDefault="004D2F83">
            <w:pPr>
              <w:spacing w:after="120" w:line="360" w:lineRule="exact"/>
              <w:rPr>
                <w:rFonts w:eastAsia="SimHei" w:hint="eastAsia"/>
                <w:bCs/>
                <w:sz w:val="18"/>
              </w:rPr>
            </w:pPr>
            <w:r>
              <w:rPr>
                <w:rFonts w:eastAsia="SimHei" w:hint="eastAsia"/>
                <w:bCs/>
                <w:sz w:val="18"/>
              </w:rPr>
              <w:t>中西部</w:t>
            </w:r>
          </w:p>
        </w:tc>
        <w:tc>
          <w:tcPr>
            <w:tcW w:w="1264" w:type="pct"/>
            <w:tcBorders>
              <w:bottom w:val="single" w:sz="4" w:space="0" w:color="auto"/>
            </w:tcBorders>
          </w:tcPr>
          <w:p w:rsidR="00000000" w:rsidRDefault="004D2F83">
            <w:pPr>
              <w:spacing w:after="120" w:line="360" w:lineRule="exact"/>
              <w:jc w:val="center"/>
              <w:rPr>
                <w:rFonts w:hint="eastAsia"/>
                <w:sz w:val="18"/>
              </w:rPr>
            </w:pPr>
            <w:r>
              <w:rPr>
                <w:rFonts w:hint="eastAsia"/>
                <w:sz w:val="18"/>
              </w:rPr>
              <w:t>19.05</w:t>
            </w:r>
          </w:p>
        </w:tc>
        <w:tc>
          <w:tcPr>
            <w:tcW w:w="1264" w:type="pct"/>
            <w:tcBorders>
              <w:bottom w:val="single" w:sz="4" w:space="0" w:color="auto"/>
            </w:tcBorders>
          </w:tcPr>
          <w:p w:rsidR="00000000" w:rsidRDefault="004D2F83">
            <w:pPr>
              <w:spacing w:after="120" w:line="360" w:lineRule="exact"/>
              <w:jc w:val="center"/>
              <w:rPr>
                <w:rFonts w:hint="eastAsia"/>
                <w:sz w:val="18"/>
              </w:rPr>
            </w:pPr>
            <w:r>
              <w:rPr>
                <w:rFonts w:hint="eastAsia"/>
                <w:sz w:val="18"/>
              </w:rPr>
              <w:t>18.14</w:t>
            </w:r>
          </w:p>
        </w:tc>
        <w:tc>
          <w:tcPr>
            <w:tcW w:w="1264" w:type="pct"/>
            <w:tcBorders>
              <w:bottom w:val="single" w:sz="4" w:space="0" w:color="auto"/>
            </w:tcBorders>
          </w:tcPr>
          <w:p w:rsidR="00000000" w:rsidRDefault="004D2F83">
            <w:pPr>
              <w:spacing w:after="120" w:line="360" w:lineRule="exact"/>
              <w:jc w:val="center"/>
              <w:rPr>
                <w:rFonts w:hint="eastAsia"/>
                <w:sz w:val="18"/>
              </w:rPr>
            </w:pPr>
            <w:r>
              <w:rPr>
                <w:rFonts w:hint="eastAsia"/>
                <w:sz w:val="18"/>
              </w:rPr>
              <w:t>17.54</w:t>
            </w:r>
          </w:p>
        </w:tc>
      </w:tr>
      <w:tr w:rsidR="00000000">
        <w:tblPrEx>
          <w:tblCellMar>
            <w:top w:w="0" w:type="dxa"/>
            <w:bottom w:w="0" w:type="dxa"/>
          </w:tblCellMar>
        </w:tblPrEx>
        <w:tc>
          <w:tcPr>
            <w:tcW w:w="1209" w:type="pct"/>
            <w:tcBorders>
              <w:bottom w:val="single" w:sz="4" w:space="0" w:color="auto"/>
            </w:tcBorders>
          </w:tcPr>
          <w:p w:rsidR="00000000" w:rsidRDefault="004D2F83">
            <w:pPr>
              <w:spacing w:after="120" w:line="360" w:lineRule="exact"/>
              <w:rPr>
                <w:rFonts w:eastAsia="SimHei" w:hint="eastAsia"/>
                <w:bCs/>
                <w:sz w:val="18"/>
              </w:rPr>
            </w:pPr>
            <w:r>
              <w:rPr>
                <w:rFonts w:eastAsia="SimHei" w:hint="eastAsia"/>
                <w:bCs/>
                <w:sz w:val="18"/>
              </w:rPr>
              <w:t>共计</w:t>
            </w:r>
          </w:p>
        </w:tc>
        <w:tc>
          <w:tcPr>
            <w:tcW w:w="1264" w:type="pct"/>
            <w:tcBorders>
              <w:bottom w:val="single" w:sz="4" w:space="0" w:color="auto"/>
            </w:tcBorders>
          </w:tcPr>
          <w:p w:rsidR="00000000" w:rsidRDefault="004D2F83">
            <w:pPr>
              <w:spacing w:after="120" w:line="360" w:lineRule="exact"/>
              <w:jc w:val="center"/>
              <w:rPr>
                <w:rFonts w:hint="eastAsia"/>
                <w:sz w:val="18"/>
              </w:rPr>
            </w:pPr>
            <w:r>
              <w:rPr>
                <w:rFonts w:hint="eastAsia"/>
                <w:sz w:val="18"/>
              </w:rPr>
              <w:t>18.93</w:t>
            </w:r>
          </w:p>
        </w:tc>
        <w:tc>
          <w:tcPr>
            <w:tcW w:w="1264" w:type="pct"/>
            <w:tcBorders>
              <w:bottom w:val="single" w:sz="4" w:space="0" w:color="auto"/>
            </w:tcBorders>
          </w:tcPr>
          <w:p w:rsidR="00000000" w:rsidRDefault="004D2F83">
            <w:pPr>
              <w:spacing w:after="120" w:line="360" w:lineRule="exact"/>
              <w:jc w:val="center"/>
              <w:rPr>
                <w:rFonts w:hint="eastAsia"/>
                <w:sz w:val="18"/>
              </w:rPr>
            </w:pPr>
            <w:r>
              <w:rPr>
                <w:rFonts w:hint="eastAsia"/>
                <w:sz w:val="18"/>
              </w:rPr>
              <w:t>18.06</w:t>
            </w:r>
          </w:p>
        </w:tc>
        <w:tc>
          <w:tcPr>
            <w:tcW w:w="1264" w:type="pct"/>
            <w:tcBorders>
              <w:bottom w:val="single" w:sz="4" w:space="0" w:color="auto"/>
            </w:tcBorders>
          </w:tcPr>
          <w:p w:rsidR="00000000" w:rsidRDefault="004D2F83">
            <w:pPr>
              <w:spacing w:after="120" w:line="360" w:lineRule="exact"/>
              <w:jc w:val="center"/>
              <w:rPr>
                <w:rFonts w:hint="eastAsia"/>
                <w:sz w:val="18"/>
              </w:rPr>
            </w:pPr>
            <w:r>
              <w:rPr>
                <w:rFonts w:hint="eastAsia"/>
                <w:sz w:val="18"/>
              </w:rPr>
              <w:t>17.36</w:t>
            </w:r>
          </w:p>
        </w:tc>
      </w:tr>
    </w:tbl>
    <w:p w:rsidR="00000000" w:rsidRDefault="004D2F83">
      <w:pPr>
        <w:spacing w:after="120" w:line="360" w:lineRule="exact"/>
        <w:rPr>
          <w:rFonts w:hint="eastAsia"/>
          <w:sz w:val="18"/>
        </w:rPr>
      </w:pPr>
      <w:r>
        <w:rPr>
          <w:rFonts w:eastAsia="SimHei" w:hint="eastAsia"/>
          <w:bCs/>
          <w:kern w:val="2"/>
          <w:sz w:val="18"/>
        </w:rPr>
        <w:t>资料来源：</w:t>
      </w:r>
      <w:r>
        <w:rPr>
          <w:rFonts w:hint="eastAsia"/>
          <w:sz w:val="18"/>
        </w:rPr>
        <w:t>巴西地理统计局</w:t>
      </w:r>
      <w:r>
        <w:rPr>
          <w:rFonts w:hint="eastAsia"/>
          <w:sz w:val="18"/>
        </w:rPr>
        <w:t>/</w:t>
      </w:r>
      <w:r>
        <w:rPr>
          <w:rFonts w:hint="eastAsia"/>
          <w:sz w:val="18"/>
        </w:rPr>
        <w:t>全国住户抽样调查（</w:t>
      </w:r>
      <w:r>
        <w:rPr>
          <w:rFonts w:hint="eastAsia"/>
          <w:sz w:val="18"/>
        </w:rPr>
        <w:t>PNAD</w:t>
      </w:r>
      <w:r>
        <w:rPr>
          <w:rFonts w:hint="eastAsia"/>
          <w:sz w:val="18"/>
        </w:rPr>
        <w:t>）；</w:t>
      </w:r>
    </w:p>
    <w:p w:rsidR="00000000" w:rsidRDefault="004D2F83">
      <w:pPr>
        <w:spacing w:after="240" w:line="360" w:lineRule="exact"/>
        <w:rPr>
          <w:rFonts w:hint="eastAsia"/>
          <w:sz w:val="18"/>
        </w:rPr>
      </w:pPr>
      <w:r>
        <w:rPr>
          <w:rFonts w:hint="eastAsia"/>
          <w:sz w:val="18"/>
        </w:rPr>
        <w:t>2000</w:t>
      </w:r>
      <w:r>
        <w:rPr>
          <w:rFonts w:hint="eastAsia"/>
          <w:sz w:val="18"/>
        </w:rPr>
        <w:t>年基本数据指标（</w:t>
      </w:r>
      <w:r>
        <w:rPr>
          <w:rFonts w:hint="eastAsia"/>
          <w:sz w:val="18"/>
        </w:rPr>
        <w:t>IDB</w:t>
      </w:r>
      <w:r>
        <w:rPr>
          <w:rFonts w:hint="eastAsia"/>
          <w:sz w:val="18"/>
        </w:rPr>
        <w:t>）</w:t>
      </w:r>
      <w:r>
        <w:rPr>
          <w:rFonts w:hint="eastAsia"/>
          <w:sz w:val="18"/>
        </w:rPr>
        <w:t xml:space="preserve"> </w:t>
      </w:r>
      <w:r>
        <w:rPr>
          <w:rFonts w:hint="eastAsia"/>
          <w:sz w:val="18"/>
        </w:rPr>
        <w:t>—</w:t>
      </w:r>
      <w:r>
        <w:rPr>
          <w:rFonts w:hint="eastAsia"/>
          <w:sz w:val="18"/>
        </w:rPr>
        <w:t xml:space="preserve"> Datasus/</w:t>
      </w:r>
      <w:r>
        <w:rPr>
          <w:rFonts w:hint="eastAsia"/>
          <w:sz w:val="18"/>
        </w:rPr>
        <w:t>卫生部长。</w:t>
      </w:r>
    </w:p>
    <w:p w:rsidR="00000000" w:rsidRDefault="004D2F83">
      <w:pPr>
        <w:spacing w:after="240" w:line="360" w:lineRule="exact"/>
        <w:jc w:val="center"/>
        <w:rPr>
          <w:rFonts w:ascii="SimHei" w:eastAsia="SimHei" w:hint="eastAsia"/>
          <w:bCs/>
        </w:rPr>
      </w:pPr>
      <w:r>
        <w:rPr>
          <w:rFonts w:ascii="SimHei" w:eastAsia="SimHei"/>
          <w:bCs/>
        </w:rPr>
        <w:br w:type="page"/>
      </w:r>
      <w:r>
        <w:rPr>
          <w:rFonts w:ascii="SimHei" w:eastAsia="SimHei" w:hint="eastAsia"/>
          <w:bCs/>
        </w:rPr>
        <w:t>表</w:t>
      </w:r>
      <w:r>
        <w:rPr>
          <w:rFonts w:ascii="SimHei" w:eastAsia="SimHei" w:hint="eastAsia"/>
          <w:bCs/>
        </w:rPr>
        <w:t>4</w:t>
      </w:r>
      <w:r>
        <w:rPr>
          <w:rFonts w:ascii="SimHei" w:eastAsia="SimHei" w:hint="eastAsia"/>
          <w:bCs/>
        </w:rPr>
        <w:t>：按地区列示的生活在贫困状态的人口所占的比例</w:t>
      </w:r>
      <w:r>
        <w:rPr>
          <w:rStyle w:val="FootnoteReference"/>
          <w:rFonts w:ascii="SimHei" w:eastAsia="SimHei"/>
          <w:bCs/>
        </w:rPr>
        <w:footnoteReference w:customMarkFollows="1" w:id="15"/>
        <w:t>14</w:t>
      </w:r>
    </w:p>
    <w:tbl>
      <w:tblPr>
        <w:tblW w:w="4946" w:type="pct"/>
        <w:tblInd w:w="108" w:type="dxa"/>
        <w:tblBorders>
          <w:top w:val="single" w:sz="4" w:space="0" w:color="auto"/>
          <w:insideH w:val="single" w:sz="4" w:space="0" w:color="auto"/>
          <w:insideV w:val="single" w:sz="4" w:space="0" w:color="auto"/>
        </w:tblBorders>
        <w:tblLook w:val="01E0" w:firstRow="1" w:lastRow="1" w:firstColumn="1" w:lastColumn="1" w:noHBand="0" w:noVBand="0"/>
      </w:tblPr>
      <w:tblGrid>
        <w:gridCol w:w="2382"/>
        <w:gridCol w:w="2492"/>
        <w:gridCol w:w="2492"/>
        <w:gridCol w:w="2490"/>
      </w:tblGrid>
      <w:tr w:rsidR="00000000">
        <w:tblPrEx>
          <w:tblCellMar>
            <w:top w:w="0" w:type="dxa"/>
            <w:bottom w:w="0" w:type="dxa"/>
          </w:tblCellMar>
        </w:tblPrEx>
        <w:tc>
          <w:tcPr>
            <w:tcW w:w="1209" w:type="pct"/>
          </w:tcPr>
          <w:p w:rsidR="00000000" w:rsidRDefault="004D2F83">
            <w:pPr>
              <w:spacing w:line="360" w:lineRule="exact"/>
              <w:jc w:val="center"/>
              <w:rPr>
                <w:rFonts w:ascii="SimHei" w:eastAsia="SimHei" w:hint="eastAsia"/>
                <w:bCs/>
                <w:sz w:val="18"/>
              </w:rPr>
            </w:pPr>
            <w:r>
              <w:rPr>
                <w:rFonts w:ascii="SimHei" w:eastAsia="SimHei" w:hint="eastAsia"/>
                <w:bCs/>
                <w:sz w:val="18"/>
              </w:rPr>
              <w:t>地区</w:t>
            </w:r>
          </w:p>
        </w:tc>
        <w:tc>
          <w:tcPr>
            <w:tcW w:w="1264" w:type="pct"/>
          </w:tcPr>
          <w:p w:rsidR="00000000" w:rsidRDefault="004D2F83">
            <w:pPr>
              <w:spacing w:line="360" w:lineRule="exact"/>
              <w:jc w:val="center"/>
              <w:rPr>
                <w:rFonts w:ascii="SimHei" w:eastAsia="SimHei" w:hint="eastAsia"/>
                <w:bCs/>
                <w:sz w:val="18"/>
              </w:rPr>
            </w:pPr>
            <w:r>
              <w:rPr>
                <w:rFonts w:ascii="SimHei" w:eastAsia="SimHei" w:hint="eastAsia"/>
                <w:bCs/>
                <w:sz w:val="18"/>
              </w:rPr>
              <w:t>1997</w:t>
            </w:r>
            <w:r>
              <w:rPr>
                <w:rFonts w:ascii="SimHei" w:eastAsia="SimHei" w:hint="eastAsia"/>
                <w:bCs/>
                <w:sz w:val="18"/>
              </w:rPr>
              <w:t>年</w:t>
            </w:r>
          </w:p>
        </w:tc>
        <w:tc>
          <w:tcPr>
            <w:tcW w:w="1264" w:type="pct"/>
          </w:tcPr>
          <w:p w:rsidR="00000000" w:rsidRDefault="004D2F83">
            <w:pPr>
              <w:spacing w:line="360" w:lineRule="exact"/>
              <w:jc w:val="center"/>
              <w:rPr>
                <w:rFonts w:ascii="SimHei" w:eastAsia="SimHei" w:hint="eastAsia"/>
                <w:bCs/>
                <w:sz w:val="18"/>
              </w:rPr>
            </w:pPr>
            <w:r>
              <w:rPr>
                <w:rFonts w:ascii="SimHei" w:eastAsia="SimHei" w:hint="eastAsia"/>
                <w:bCs/>
                <w:sz w:val="18"/>
              </w:rPr>
              <w:t>1998</w:t>
            </w:r>
            <w:r>
              <w:rPr>
                <w:rFonts w:ascii="SimHei" w:eastAsia="SimHei" w:hint="eastAsia"/>
                <w:bCs/>
                <w:sz w:val="18"/>
              </w:rPr>
              <w:t>年</w:t>
            </w:r>
          </w:p>
        </w:tc>
        <w:tc>
          <w:tcPr>
            <w:tcW w:w="1264" w:type="pct"/>
          </w:tcPr>
          <w:p w:rsidR="00000000" w:rsidRDefault="004D2F83">
            <w:pPr>
              <w:spacing w:line="360" w:lineRule="exact"/>
              <w:jc w:val="center"/>
              <w:rPr>
                <w:rFonts w:ascii="SimHei" w:eastAsia="SimHei" w:hint="eastAsia"/>
                <w:bCs/>
                <w:sz w:val="18"/>
              </w:rPr>
            </w:pPr>
            <w:r>
              <w:rPr>
                <w:rFonts w:ascii="SimHei" w:eastAsia="SimHei" w:hint="eastAsia"/>
                <w:bCs/>
                <w:sz w:val="18"/>
              </w:rPr>
              <w:t>1999</w:t>
            </w:r>
            <w:r>
              <w:rPr>
                <w:rFonts w:ascii="SimHei" w:eastAsia="SimHei" w:hint="eastAsia"/>
                <w:bCs/>
                <w:sz w:val="18"/>
              </w:rPr>
              <w:t>年</w:t>
            </w:r>
          </w:p>
        </w:tc>
      </w:tr>
      <w:tr w:rsidR="00000000">
        <w:tblPrEx>
          <w:tblCellMar>
            <w:top w:w="0" w:type="dxa"/>
            <w:bottom w:w="0" w:type="dxa"/>
          </w:tblCellMar>
        </w:tblPrEx>
        <w:tc>
          <w:tcPr>
            <w:tcW w:w="1209" w:type="pct"/>
          </w:tcPr>
          <w:p w:rsidR="00000000" w:rsidRDefault="004D2F83">
            <w:pPr>
              <w:spacing w:line="360" w:lineRule="exact"/>
              <w:rPr>
                <w:rFonts w:eastAsia="SimHei" w:hint="eastAsia"/>
                <w:bCs/>
                <w:sz w:val="18"/>
              </w:rPr>
            </w:pPr>
            <w:r>
              <w:rPr>
                <w:rFonts w:eastAsia="SimHei" w:hint="eastAsia"/>
                <w:bCs/>
                <w:sz w:val="18"/>
              </w:rPr>
              <w:t>北部</w:t>
            </w:r>
          </w:p>
        </w:tc>
        <w:tc>
          <w:tcPr>
            <w:tcW w:w="1264" w:type="pct"/>
          </w:tcPr>
          <w:p w:rsidR="00000000" w:rsidRDefault="004D2F83">
            <w:pPr>
              <w:spacing w:line="360" w:lineRule="exact"/>
              <w:jc w:val="center"/>
              <w:rPr>
                <w:rFonts w:hint="eastAsia"/>
                <w:sz w:val="18"/>
              </w:rPr>
            </w:pPr>
            <w:r>
              <w:rPr>
                <w:rFonts w:hint="eastAsia"/>
                <w:sz w:val="18"/>
              </w:rPr>
              <w:t>34.49</w:t>
            </w:r>
          </w:p>
        </w:tc>
        <w:tc>
          <w:tcPr>
            <w:tcW w:w="1264" w:type="pct"/>
          </w:tcPr>
          <w:p w:rsidR="00000000" w:rsidRDefault="004D2F83">
            <w:pPr>
              <w:spacing w:line="360" w:lineRule="exact"/>
              <w:jc w:val="center"/>
              <w:rPr>
                <w:rFonts w:hint="eastAsia"/>
                <w:sz w:val="18"/>
              </w:rPr>
            </w:pPr>
            <w:r>
              <w:rPr>
                <w:rFonts w:hint="eastAsia"/>
                <w:sz w:val="18"/>
              </w:rPr>
              <w:t>35.43</w:t>
            </w:r>
          </w:p>
        </w:tc>
        <w:tc>
          <w:tcPr>
            <w:tcW w:w="1264" w:type="pct"/>
          </w:tcPr>
          <w:p w:rsidR="00000000" w:rsidRDefault="004D2F83">
            <w:pPr>
              <w:spacing w:line="360" w:lineRule="exact"/>
              <w:jc w:val="center"/>
              <w:rPr>
                <w:rFonts w:hint="eastAsia"/>
                <w:sz w:val="18"/>
              </w:rPr>
            </w:pPr>
            <w:r>
              <w:rPr>
                <w:rFonts w:hint="eastAsia"/>
                <w:sz w:val="18"/>
              </w:rPr>
              <w:t>34.85</w:t>
            </w:r>
          </w:p>
        </w:tc>
      </w:tr>
      <w:tr w:rsidR="00000000">
        <w:tblPrEx>
          <w:tblCellMar>
            <w:top w:w="0" w:type="dxa"/>
            <w:bottom w:w="0" w:type="dxa"/>
          </w:tblCellMar>
        </w:tblPrEx>
        <w:tc>
          <w:tcPr>
            <w:tcW w:w="1209" w:type="pct"/>
          </w:tcPr>
          <w:p w:rsidR="00000000" w:rsidRDefault="004D2F83">
            <w:pPr>
              <w:spacing w:line="360" w:lineRule="exact"/>
              <w:rPr>
                <w:rFonts w:eastAsia="SimHei" w:hint="eastAsia"/>
                <w:bCs/>
                <w:sz w:val="18"/>
              </w:rPr>
            </w:pPr>
            <w:r>
              <w:rPr>
                <w:rFonts w:eastAsia="SimHei" w:hint="eastAsia"/>
                <w:bCs/>
                <w:sz w:val="18"/>
              </w:rPr>
              <w:t>东北部</w:t>
            </w:r>
          </w:p>
        </w:tc>
        <w:tc>
          <w:tcPr>
            <w:tcW w:w="1264" w:type="pct"/>
          </w:tcPr>
          <w:p w:rsidR="00000000" w:rsidRDefault="004D2F83">
            <w:pPr>
              <w:spacing w:line="360" w:lineRule="exact"/>
              <w:jc w:val="center"/>
              <w:rPr>
                <w:rFonts w:hint="eastAsia"/>
                <w:sz w:val="18"/>
              </w:rPr>
            </w:pPr>
            <w:r>
              <w:rPr>
                <w:rFonts w:hint="eastAsia"/>
                <w:sz w:val="18"/>
              </w:rPr>
              <w:t>52.19</w:t>
            </w:r>
          </w:p>
        </w:tc>
        <w:tc>
          <w:tcPr>
            <w:tcW w:w="1264" w:type="pct"/>
          </w:tcPr>
          <w:p w:rsidR="00000000" w:rsidRDefault="004D2F83">
            <w:pPr>
              <w:spacing w:line="360" w:lineRule="exact"/>
              <w:jc w:val="center"/>
              <w:rPr>
                <w:rFonts w:hint="eastAsia"/>
                <w:sz w:val="18"/>
              </w:rPr>
            </w:pPr>
            <w:r>
              <w:rPr>
                <w:rFonts w:hint="eastAsia"/>
                <w:sz w:val="18"/>
              </w:rPr>
              <w:t>49.67</w:t>
            </w:r>
          </w:p>
        </w:tc>
        <w:tc>
          <w:tcPr>
            <w:tcW w:w="1264" w:type="pct"/>
          </w:tcPr>
          <w:p w:rsidR="00000000" w:rsidRDefault="004D2F83">
            <w:pPr>
              <w:spacing w:line="360" w:lineRule="exact"/>
              <w:jc w:val="center"/>
              <w:rPr>
                <w:rFonts w:hint="eastAsia"/>
                <w:sz w:val="18"/>
              </w:rPr>
            </w:pPr>
            <w:r>
              <w:rPr>
                <w:rFonts w:hint="eastAsia"/>
                <w:sz w:val="18"/>
              </w:rPr>
              <w:t>50.15</w:t>
            </w:r>
          </w:p>
        </w:tc>
      </w:tr>
      <w:tr w:rsidR="00000000">
        <w:tblPrEx>
          <w:tblCellMar>
            <w:top w:w="0" w:type="dxa"/>
            <w:bottom w:w="0" w:type="dxa"/>
          </w:tblCellMar>
        </w:tblPrEx>
        <w:tc>
          <w:tcPr>
            <w:tcW w:w="1209" w:type="pct"/>
          </w:tcPr>
          <w:p w:rsidR="00000000" w:rsidRDefault="004D2F83">
            <w:pPr>
              <w:spacing w:line="360" w:lineRule="exact"/>
              <w:rPr>
                <w:rFonts w:eastAsia="SimHei" w:hint="eastAsia"/>
                <w:bCs/>
                <w:sz w:val="18"/>
              </w:rPr>
            </w:pPr>
            <w:r>
              <w:rPr>
                <w:rFonts w:eastAsia="SimHei" w:hint="eastAsia"/>
                <w:bCs/>
                <w:sz w:val="18"/>
              </w:rPr>
              <w:t>东南部</w:t>
            </w:r>
          </w:p>
        </w:tc>
        <w:tc>
          <w:tcPr>
            <w:tcW w:w="1264" w:type="pct"/>
          </w:tcPr>
          <w:p w:rsidR="00000000" w:rsidRDefault="004D2F83">
            <w:pPr>
              <w:spacing w:line="360" w:lineRule="exact"/>
              <w:jc w:val="center"/>
              <w:rPr>
                <w:rFonts w:hint="eastAsia"/>
                <w:sz w:val="18"/>
              </w:rPr>
            </w:pPr>
            <w:r>
              <w:rPr>
                <w:rFonts w:hint="eastAsia"/>
                <w:sz w:val="18"/>
              </w:rPr>
              <w:t>16.00</w:t>
            </w:r>
          </w:p>
        </w:tc>
        <w:tc>
          <w:tcPr>
            <w:tcW w:w="1264" w:type="pct"/>
          </w:tcPr>
          <w:p w:rsidR="00000000" w:rsidRDefault="004D2F83">
            <w:pPr>
              <w:spacing w:line="360" w:lineRule="exact"/>
              <w:jc w:val="center"/>
              <w:rPr>
                <w:rFonts w:hint="eastAsia"/>
                <w:sz w:val="18"/>
              </w:rPr>
            </w:pPr>
            <w:r>
              <w:rPr>
                <w:rFonts w:hint="eastAsia"/>
                <w:sz w:val="18"/>
              </w:rPr>
              <w:t>16.25</w:t>
            </w:r>
          </w:p>
        </w:tc>
        <w:tc>
          <w:tcPr>
            <w:tcW w:w="1264" w:type="pct"/>
          </w:tcPr>
          <w:p w:rsidR="00000000" w:rsidRDefault="004D2F83">
            <w:pPr>
              <w:spacing w:line="360" w:lineRule="exact"/>
              <w:jc w:val="center"/>
              <w:rPr>
                <w:rFonts w:hint="eastAsia"/>
                <w:sz w:val="18"/>
              </w:rPr>
            </w:pPr>
            <w:r>
              <w:rPr>
                <w:rFonts w:hint="eastAsia"/>
                <w:sz w:val="18"/>
              </w:rPr>
              <w:t>16.78</w:t>
            </w:r>
          </w:p>
        </w:tc>
      </w:tr>
      <w:tr w:rsidR="00000000">
        <w:tblPrEx>
          <w:tblCellMar>
            <w:top w:w="0" w:type="dxa"/>
            <w:bottom w:w="0" w:type="dxa"/>
          </w:tblCellMar>
        </w:tblPrEx>
        <w:tc>
          <w:tcPr>
            <w:tcW w:w="1209" w:type="pct"/>
          </w:tcPr>
          <w:p w:rsidR="00000000" w:rsidRDefault="004D2F83">
            <w:pPr>
              <w:spacing w:line="360" w:lineRule="exact"/>
              <w:rPr>
                <w:rFonts w:eastAsia="SimHei" w:hint="eastAsia"/>
                <w:bCs/>
                <w:sz w:val="18"/>
              </w:rPr>
            </w:pPr>
            <w:r>
              <w:rPr>
                <w:rFonts w:eastAsia="SimHei" w:hint="eastAsia"/>
                <w:bCs/>
                <w:sz w:val="18"/>
              </w:rPr>
              <w:t>南部</w:t>
            </w:r>
          </w:p>
        </w:tc>
        <w:tc>
          <w:tcPr>
            <w:tcW w:w="1264" w:type="pct"/>
          </w:tcPr>
          <w:p w:rsidR="00000000" w:rsidRDefault="004D2F83">
            <w:pPr>
              <w:spacing w:line="360" w:lineRule="exact"/>
              <w:jc w:val="center"/>
              <w:rPr>
                <w:rFonts w:hint="eastAsia"/>
                <w:sz w:val="18"/>
              </w:rPr>
            </w:pPr>
            <w:r>
              <w:rPr>
                <w:rFonts w:hint="eastAsia"/>
                <w:sz w:val="18"/>
              </w:rPr>
              <w:t>19.07</w:t>
            </w:r>
          </w:p>
        </w:tc>
        <w:tc>
          <w:tcPr>
            <w:tcW w:w="1264" w:type="pct"/>
          </w:tcPr>
          <w:p w:rsidR="00000000" w:rsidRDefault="004D2F83">
            <w:pPr>
              <w:spacing w:line="360" w:lineRule="exact"/>
              <w:jc w:val="center"/>
              <w:rPr>
                <w:rFonts w:hint="eastAsia"/>
                <w:sz w:val="18"/>
              </w:rPr>
            </w:pPr>
            <w:r>
              <w:rPr>
                <w:rFonts w:hint="eastAsia"/>
                <w:sz w:val="18"/>
              </w:rPr>
              <w:t>18.68</w:t>
            </w:r>
          </w:p>
        </w:tc>
        <w:tc>
          <w:tcPr>
            <w:tcW w:w="1264" w:type="pct"/>
          </w:tcPr>
          <w:p w:rsidR="00000000" w:rsidRDefault="004D2F83">
            <w:pPr>
              <w:spacing w:line="360" w:lineRule="exact"/>
              <w:jc w:val="center"/>
              <w:rPr>
                <w:rFonts w:hint="eastAsia"/>
                <w:sz w:val="18"/>
              </w:rPr>
            </w:pPr>
            <w:r>
              <w:rPr>
                <w:rFonts w:hint="eastAsia"/>
                <w:sz w:val="18"/>
              </w:rPr>
              <w:t>19.84</w:t>
            </w:r>
          </w:p>
        </w:tc>
      </w:tr>
      <w:tr w:rsidR="00000000">
        <w:tblPrEx>
          <w:tblCellMar>
            <w:top w:w="0" w:type="dxa"/>
            <w:bottom w:w="0" w:type="dxa"/>
          </w:tblCellMar>
        </w:tblPrEx>
        <w:tc>
          <w:tcPr>
            <w:tcW w:w="1209" w:type="pct"/>
            <w:tcBorders>
              <w:bottom w:val="single" w:sz="4" w:space="0" w:color="auto"/>
            </w:tcBorders>
          </w:tcPr>
          <w:p w:rsidR="00000000" w:rsidRDefault="004D2F83">
            <w:pPr>
              <w:spacing w:line="360" w:lineRule="exact"/>
              <w:rPr>
                <w:rFonts w:eastAsia="SimHei" w:hint="eastAsia"/>
                <w:bCs/>
                <w:sz w:val="18"/>
              </w:rPr>
            </w:pPr>
            <w:r>
              <w:rPr>
                <w:rFonts w:eastAsia="SimHei" w:hint="eastAsia"/>
                <w:bCs/>
                <w:sz w:val="18"/>
              </w:rPr>
              <w:t>中西部</w:t>
            </w:r>
          </w:p>
        </w:tc>
        <w:tc>
          <w:tcPr>
            <w:tcW w:w="1264" w:type="pct"/>
            <w:tcBorders>
              <w:bottom w:val="single" w:sz="4" w:space="0" w:color="auto"/>
            </w:tcBorders>
          </w:tcPr>
          <w:p w:rsidR="00000000" w:rsidRDefault="004D2F83">
            <w:pPr>
              <w:spacing w:line="360" w:lineRule="exact"/>
              <w:jc w:val="center"/>
              <w:rPr>
                <w:rFonts w:hint="eastAsia"/>
                <w:sz w:val="18"/>
              </w:rPr>
            </w:pPr>
            <w:r>
              <w:rPr>
                <w:rFonts w:hint="eastAsia"/>
                <w:sz w:val="18"/>
              </w:rPr>
              <w:t>22.59</w:t>
            </w:r>
          </w:p>
        </w:tc>
        <w:tc>
          <w:tcPr>
            <w:tcW w:w="1264" w:type="pct"/>
            <w:tcBorders>
              <w:bottom w:val="single" w:sz="4" w:space="0" w:color="auto"/>
            </w:tcBorders>
          </w:tcPr>
          <w:p w:rsidR="00000000" w:rsidRDefault="004D2F83">
            <w:pPr>
              <w:spacing w:line="360" w:lineRule="exact"/>
              <w:jc w:val="center"/>
              <w:rPr>
                <w:rFonts w:hint="eastAsia"/>
                <w:sz w:val="18"/>
              </w:rPr>
            </w:pPr>
            <w:r>
              <w:rPr>
                <w:rFonts w:hint="eastAsia"/>
                <w:sz w:val="18"/>
              </w:rPr>
              <w:t>21.96</w:t>
            </w:r>
          </w:p>
        </w:tc>
        <w:tc>
          <w:tcPr>
            <w:tcW w:w="1264" w:type="pct"/>
            <w:tcBorders>
              <w:bottom w:val="single" w:sz="4" w:space="0" w:color="auto"/>
            </w:tcBorders>
          </w:tcPr>
          <w:p w:rsidR="00000000" w:rsidRDefault="004D2F83">
            <w:pPr>
              <w:spacing w:line="360" w:lineRule="exact"/>
              <w:jc w:val="center"/>
              <w:rPr>
                <w:rFonts w:hint="eastAsia"/>
                <w:sz w:val="18"/>
              </w:rPr>
            </w:pPr>
            <w:r>
              <w:rPr>
                <w:rFonts w:hint="eastAsia"/>
                <w:sz w:val="18"/>
              </w:rPr>
              <w:t>23.64</w:t>
            </w:r>
          </w:p>
        </w:tc>
      </w:tr>
      <w:tr w:rsidR="00000000">
        <w:tblPrEx>
          <w:tblCellMar>
            <w:top w:w="0" w:type="dxa"/>
            <w:bottom w:w="0" w:type="dxa"/>
          </w:tblCellMar>
        </w:tblPrEx>
        <w:tc>
          <w:tcPr>
            <w:tcW w:w="1209" w:type="pct"/>
            <w:tcBorders>
              <w:bottom w:val="single" w:sz="4" w:space="0" w:color="auto"/>
            </w:tcBorders>
          </w:tcPr>
          <w:p w:rsidR="00000000" w:rsidRDefault="004D2F83">
            <w:pPr>
              <w:spacing w:line="360" w:lineRule="exact"/>
              <w:rPr>
                <w:rFonts w:eastAsia="SimHei" w:hint="eastAsia"/>
                <w:bCs/>
                <w:sz w:val="18"/>
              </w:rPr>
            </w:pPr>
            <w:r>
              <w:rPr>
                <w:rFonts w:eastAsia="SimHei" w:hint="eastAsia"/>
                <w:bCs/>
                <w:sz w:val="18"/>
              </w:rPr>
              <w:t>共计</w:t>
            </w:r>
          </w:p>
        </w:tc>
        <w:tc>
          <w:tcPr>
            <w:tcW w:w="1264" w:type="pct"/>
            <w:tcBorders>
              <w:bottom w:val="single" w:sz="4" w:space="0" w:color="auto"/>
            </w:tcBorders>
          </w:tcPr>
          <w:p w:rsidR="00000000" w:rsidRDefault="004D2F83">
            <w:pPr>
              <w:spacing w:line="360" w:lineRule="exact"/>
              <w:jc w:val="center"/>
              <w:rPr>
                <w:rFonts w:hint="eastAsia"/>
                <w:sz w:val="18"/>
              </w:rPr>
            </w:pPr>
            <w:r>
              <w:rPr>
                <w:rFonts w:hint="eastAsia"/>
                <w:sz w:val="18"/>
              </w:rPr>
              <w:t>28.40</w:t>
            </w:r>
          </w:p>
        </w:tc>
        <w:tc>
          <w:tcPr>
            <w:tcW w:w="1264" w:type="pct"/>
            <w:tcBorders>
              <w:bottom w:val="single" w:sz="4" w:space="0" w:color="auto"/>
            </w:tcBorders>
          </w:tcPr>
          <w:p w:rsidR="00000000" w:rsidRDefault="004D2F83">
            <w:pPr>
              <w:spacing w:line="360" w:lineRule="exact"/>
              <w:jc w:val="center"/>
              <w:rPr>
                <w:rFonts w:hint="eastAsia"/>
                <w:sz w:val="18"/>
              </w:rPr>
            </w:pPr>
            <w:r>
              <w:rPr>
                <w:rFonts w:hint="eastAsia"/>
                <w:sz w:val="18"/>
              </w:rPr>
              <w:t>27.73</w:t>
            </w:r>
          </w:p>
        </w:tc>
        <w:tc>
          <w:tcPr>
            <w:tcW w:w="1264" w:type="pct"/>
            <w:tcBorders>
              <w:bottom w:val="single" w:sz="4" w:space="0" w:color="auto"/>
            </w:tcBorders>
          </w:tcPr>
          <w:p w:rsidR="00000000" w:rsidRDefault="004D2F83">
            <w:pPr>
              <w:spacing w:line="360" w:lineRule="exact"/>
              <w:jc w:val="center"/>
              <w:rPr>
                <w:rFonts w:hint="eastAsia"/>
                <w:sz w:val="18"/>
              </w:rPr>
            </w:pPr>
            <w:r>
              <w:rPr>
                <w:rFonts w:hint="eastAsia"/>
                <w:sz w:val="18"/>
              </w:rPr>
              <w:t>28.36</w:t>
            </w:r>
          </w:p>
        </w:tc>
      </w:tr>
    </w:tbl>
    <w:p w:rsidR="00000000" w:rsidRDefault="004D2F83">
      <w:pPr>
        <w:spacing w:line="360" w:lineRule="exact"/>
        <w:rPr>
          <w:rFonts w:hint="eastAsia"/>
          <w:sz w:val="18"/>
        </w:rPr>
      </w:pPr>
      <w:r>
        <w:rPr>
          <w:rFonts w:eastAsia="SimHei" w:hint="eastAsia"/>
          <w:bCs/>
          <w:kern w:val="2"/>
          <w:sz w:val="18"/>
        </w:rPr>
        <w:t>资料来源：</w:t>
      </w:r>
      <w:r>
        <w:rPr>
          <w:rFonts w:hint="eastAsia"/>
          <w:sz w:val="18"/>
        </w:rPr>
        <w:t>巴西地理统计局</w:t>
      </w:r>
      <w:r>
        <w:rPr>
          <w:rFonts w:hint="eastAsia"/>
          <w:sz w:val="18"/>
        </w:rPr>
        <w:t>/</w:t>
      </w:r>
      <w:r>
        <w:rPr>
          <w:rFonts w:hint="eastAsia"/>
          <w:sz w:val="18"/>
        </w:rPr>
        <w:t>全国住户抽样调查（</w:t>
      </w:r>
      <w:r>
        <w:rPr>
          <w:rFonts w:hint="eastAsia"/>
          <w:sz w:val="18"/>
        </w:rPr>
        <w:t>PNAD</w:t>
      </w:r>
      <w:r>
        <w:rPr>
          <w:rFonts w:hint="eastAsia"/>
          <w:sz w:val="18"/>
        </w:rPr>
        <w:t>）；</w:t>
      </w:r>
    </w:p>
    <w:p w:rsidR="00000000" w:rsidRDefault="004D2F83">
      <w:pPr>
        <w:spacing w:after="240" w:line="360" w:lineRule="exact"/>
        <w:rPr>
          <w:rFonts w:hint="eastAsia"/>
          <w:sz w:val="18"/>
        </w:rPr>
      </w:pPr>
      <w:r>
        <w:rPr>
          <w:rFonts w:hint="eastAsia"/>
          <w:sz w:val="18"/>
        </w:rPr>
        <w:t>2000</w:t>
      </w:r>
      <w:r>
        <w:rPr>
          <w:rFonts w:hint="eastAsia"/>
          <w:sz w:val="18"/>
        </w:rPr>
        <w:t>年基本数据指标（</w:t>
      </w:r>
      <w:r>
        <w:rPr>
          <w:rFonts w:hint="eastAsia"/>
          <w:sz w:val="18"/>
        </w:rPr>
        <w:t>IDB</w:t>
      </w:r>
      <w:r>
        <w:rPr>
          <w:rFonts w:hint="eastAsia"/>
          <w:sz w:val="18"/>
        </w:rPr>
        <w:t>）</w:t>
      </w:r>
      <w:r>
        <w:rPr>
          <w:rFonts w:hint="eastAsia"/>
          <w:sz w:val="18"/>
        </w:rPr>
        <w:t xml:space="preserve"> </w:t>
      </w:r>
      <w:r>
        <w:rPr>
          <w:rFonts w:hint="eastAsia"/>
          <w:sz w:val="18"/>
        </w:rPr>
        <w:t>—</w:t>
      </w:r>
      <w:r>
        <w:rPr>
          <w:rFonts w:hint="eastAsia"/>
          <w:sz w:val="18"/>
        </w:rPr>
        <w:t xml:space="preserve"> Datasus/</w:t>
      </w:r>
      <w:r>
        <w:rPr>
          <w:rFonts w:hint="eastAsia"/>
          <w:sz w:val="18"/>
        </w:rPr>
        <w:t>卫生部长</w:t>
      </w:r>
    </w:p>
    <w:p w:rsidR="00000000" w:rsidRDefault="004D2F83" w:rsidP="004D2F83">
      <w:pPr>
        <w:spacing w:after="240" w:line="360" w:lineRule="exact"/>
        <w:ind w:firstLineChars="200" w:firstLine="31680"/>
        <w:rPr>
          <w:rFonts w:hint="eastAsia"/>
        </w:rPr>
      </w:pPr>
      <w:r>
        <w:rPr>
          <w:rFonts w:hint="eastAsia"/>
        </w:rPr>
        <w:t>关于宗教，巴西主要信奉天主教，天主教徒占大约</w:t>
      </w:r>
      <w:r>
        <w:rPr>
          <w:rFonts w:hint="eastAsia"/>
        </w:rPr>
        <w:t>75%</w:t>
      </w:r>
      <w:r>
        <w:rPr>
          <w:rFonts w:hint="eastAsia"/>
        </w:rPr>
        <w:t>，新教徒占</w:t>
      </w:r>
      <w:r>
        <w:rPr>
          <w:rFonts w:hint="eastAsia"/>
        </w:rPr>
        <w:t>14%</w:t>
      </w:r>
      <w:r>
        <w:rPr>
          <w:rFonts w:hint="eastAsia"/>
        </w:rPr>
        <w:t>。不过，应当指出的是，这个国家各种宗教彼此融合，受到</w:t>
      </w:r>
      <w:r>
        <w:rPr>
          <w:rFonts w:hint="eastAsia"/>
          <w:color w:val="000000"/>
        </w:rPr>
        <w:t>巫般达和伏都（</w:t>
      </w:r>
      <w:r>
        <w:rPr>
          <w:rFonts w:hint="eastAsia"/>
        </w:rPr>
        <w:t>混合了</w:t>
      </w:r>
      <w:r>
        <w:rPr>
          <w:rFonts w:hint="eastAsia"/>
        </w:rPr>
        <w:t>Alan Kardec</w:t>
      </w:r>
      <w:r>
        <w:rPr>
          <w:rFonts w:hint="eastAsia"/>
        </w:rPr>
        <w:t>的唯心论、天主教教义和非洲奴隶传入巴西的各教派教义的巴西黑人宗教）等非洲宗教的显著影响。因此，一个声称是天主教徒的人并不排除同时参加其他教派</w:t>
      </w:r>
      <w:r>
        <w:rPr>
          <w:rFonts w:hint="eastAsia"/>
        </w:rPr>
        <w:t>（</w:t>
      </w:r>
      <w:r>
        <w:rPr>
          <w:rFonts w:hint="eastAsia"/>
        </w:rPr>
        <w:t>DataFolha</w:t>
      </w:r>
      <w:r>
        <w:rPr>
          <w:rFonts w:hint="eastAsia"/>
        </w:rPr>
        <w:t>，</w:t>
      </w:r>
      <w:r>
        <w:rPr>
          <w:rFonts w:hint="eastAsia"/>
        </w:rPr>
        <w:t>1995</w:t>
      </w:r>
      <w:r>
        <w:rPr>
          <w:rFonts w:hint="eastAsia"/>
        </w:rPr>
        <w:t>年）。</w:t>
      </w:r>
    </w:p>
    <w:p w:rsidR="00000000" w:rsidRDefault="004D2F83">
      <w:pPr>
        <w:pStyle w:val="Heading3"/>
        <w:numPr>
          <w:ilvl w:val="0"/>
          <w:numId w:val="0"/>
        </w:numPr>
        <w:spacing w:before="0"/>
        <w:rPr>
          <w:rFonts w:hint="eastAsia"/>
          <w:u w:val="none"/>
        </w:rPr>
      </w:pPr>
      <w:bookmarkStart w:id="3" w:name="_Toc36367073"/>
      <w:r>
        <w:rPr>
          <w:rFonts w:hint="eastAsia"/>
          <w:u w:val="none"/>
        </w:rPr>
        <w:t xml:space="preserve">1.2 </w:t>
      </w:r>
      <w:r>
        <w:rPr>
          <w:rFonts w:hint="eastAsia"/>
          <w:u w:val="none"/>
        </w:rPr>
        <w:t>具体统计数据和信息</w:t>
      </w:r>
      <w:bookmarkEnd w:id="3"/>
    </w:p>
    <w:p w:rsidR="00000000" w:rsidRDefault="004D2F83">
      <w:pPr>
        <w:pStyle w:val="NormalIndent"/>
        <w:spacing w:after="240" w:line="360" w:lineRule="exact"/>
        <w:ind w:firstLine="0"/>
        <w:rPr>
          <w:rFonts w:hint="eastAsia"/>
        </w:rPr>
      </w:pPr>
      <w:r>
        <w:rPr>
          <w:rFonts w:hint="eastAsia"/>
        </w:rPr>
        <w:tab/>
      </w:r>
      <w:r>
        <w:rPr>
          <w:rFonts w:hint="eastAsia"/>
        </w:rPr>
        <w:t>巴西人口中女性居多，主要居住在城市地区。</w:t>
      </w:r>
    </w:p>
    <w:p w:rsidR="00000000" w:rsidRDefault="004D2F83">
      <w:pPr>
        <w:spacing w:after="240" w:line="360" w:lineRule="exact"/>
        <w:jc w:val="center"/>
        <w:rPr>
          <w:rFonts w:ascii="SimHei" w:eastAsia="SimHei" w:hint="eastAsia"/>
          <w:bCs/>
        </w:rPr>
      </w:pPr>
      <w:r>
        <w:rPr>
          <w:rFonts w:ascii="SimHei" w:eastAsia="SimHei" w:hint="eastAsia"/>
          <w:bCs/>
        </w:rPr>
        <w:t>表</w:t>
      </w:r>
      <w:r>
        <w:rPr>
          <w:rFonts w:ascii="SimHei" w:eastAsia="SimHei" w:hint="eastAsia"/>
          <w:bCs/>
        </w:rPr>
        <w:t>5</w:t>
      </w:r>
      <w:r>
        <w:rPr>
          <w:rFonts w:ascii="SimHei" w:eastAsia="SimHei" w:hint="eastAsia"/>
          <w:bCs/>
        </w:rPr>
        <w:t>：按性别列示的居民人口发展情况</w:t>
      </w:r>
      <w:r>
        <w:rPr>
          <w:rFonts w:ascii="SimHei" w:eastAsia="SimHei" w:hint="eastAsia"/>
          <w:bCs/>
        </w:rPr>
        <w:t xml:space="preserve"> </w:t>
      </w:r>
      <w:r>
        <w:rPr>
          <w:rFonts w:ascii="SimHei" w:eastAsia="SimHei"/>
          <w:bCs/>
        </w:rPr>
        <w:t>–</w:t>
      </w:r>
      <w:r>
        <w:rPr>
          <w:rFonts w:ascii="SimHei" w:eastAsia="SimHei" w:hint="eastAsia"/>
          <w:bCs/>
        </w:rPr>
        <w:t xml:space="preserve"> 1980-1999</w:t>
      </w:r>
      <w:r>
        <w:rPr>
          <w:rFonts w:ascii="SimHei" w:eastAsia="SimHei" w:hint="eastAsia"/>
          <w:bCs/>
        </w:rPr>
        <w:t>年</w:t>
      </w:r>
    </w:p>
    <w:tbl>
      <w:tblPr>
        <w:tblW w:w="4946" w:type="pct"/>
        <w:tblInd w:w="108" w:type="dxa"/>
        <w:tblBorders>
          <w:top w:val="single" w:sz="4" w:space="0" w:color="auto"/>
          <w:insideH w:val="single" w:sz="4" w:space="0" w:color="auto"/>
          <w:insideV w:val="single" w:sz="4" w:space="0" w:color="auto"/>
        </w:tblBorders>
        <w:tblLook w:val="01E0" w:firstRow="1" w:lastRow="1" w:firstColumn="1" w:lastColumn="1" w:noHBand="0" w:noVBand="0"/>
      </w:tblPr>
      <w:tblGrid>
        <w:gridCol w:w="1552"/>
        <w:gridCol w:w="1660"/>
        <w:gridCol w:w="1660"/>
        <w:gridCol w:w="1660"/>
        <w:gridCol w:w="1662"/>
        <w:gridCol w:w="1662"/>
      </w:tblGrid>
      <w:tr w:rsidR="00000000">
        <w:tblPrEx>
          <w:tblCellMar>
            <w:top w:w="0" w:type="dxa"/>
            <w:bottom w:w="0" w:type="dxa"/>
          </w:tblCellMar>
        </w:tblPrEx>
        <w:tc>
          <w:tcPr>
            <w:tcW w:w="787" w:type="pct"/>
          </w:tcPr>
          <w:p w:rsidR="00000000" w:rsidRDefault="004D2F83">
            <w:pPr>
              <w:pStyle w:val="NormalIndent"/>
              <w:spacing w:line="360" w:lineRule="exact"/>
              <w:ind w:firstLine="0"/>
              <w:jc w:val="center"/>
              <w:rPr>
                <w:rFonts w:ascii="SimHei" w:eastAsia="SimHei" w:hint="eastAsia"/>
                <w:bCs/>
                <w:sz w:val="18"/>
              </w:rPr>
            </w:pPr>
            <w:r>
              <w:rPr>
                <w:rFonts w:ascii="SimHei" w:eastAsia="SimHei" w:hint="eastAsia"/>
                <w:bCs/>
                <w:sz w:val="18"/>
              </w:rPr>
              <w:t>年份</w:t>
            </w:r>
          </w:p>
        </w:tc>
        <w:tc>
          <w:tcPr>
            <w:tcW w:w="842" w:type="pct"/>
          </w:tcPr>
          <w:p w:rsidR="00000000" w:rsidRDefault="004D2F83">
            <w:pPr>
              <w:pStyle w:val="NormalIndent"/>
              <w:spacing w:line="360" w:lineRule="exact"/>
              <w:ind w:firstLine="0"/>
              <w:jc w:val="center"/>
              <w:rPr>
                <w:rFonts w:ascii="SimHei" w:eastAsia="SimHei" w:hint="eastAsia"/>
                <w:bCs/>
                <w:sz w:val="18"/>
              </w:rPr>
            </w:pPr>
            <w:r>
              <w:rPr>
                <w:rFonts w:ascii="SimHei" w:eastAsia="SimHei" w:hint="eastAsia"/>
                <w:bCs/>
                <w:sz w:val="18"/>
              </w:rPr>
              <w:t>共计</w:t>
            </w:r>
          </w:p>
        </w:tc>
        <w:tc>
          <w:tcPr>
            <w:tcW w:w="842" w:type="pct"/>
          </w:tcPr>
          <w:p w:rsidR="00000000" w:rsidRDefault="004D2F83">
            <w:pPr>
              <w:pStyle w:val="NormalIndent"/>
              <w:spacing w:line="360" w:lineRule="exact"/>
              <w:ind w:firstLine="0"/>
              <w:jc w:val="center"/>
              <w:rPr>
                <w:rFonts w:ascii="SimHei" w:eastAsia="SimHei" w:hint="eastAsia"/>
                <w:bCs/>
                <w:sz w:val="18"/>
              </w:rPr>
            </w:pPr>
            <w:r>
              <w:rPr>
                <w:rFonts w:ascii="SimHei" w:eastAsia="SimHei" w:hint="eastAsia"/>
                <w:bCs/>
                <w:sz w:val="18"/>
              </w:rPr>
              <w:t>男</w:t>
            </w:r>
          </w:p>
        </w:tc>
        <w:tc>
          <w:tcPr>
            <w:tcW w:w="842" w:type="pct"/>
          </w:tcPr>
          <w:p w:rsidR="00000000" w:rsidRDefault="004D2F83">
            <w:pPr>
              <w:pStyle w:val="NormalIndent"/>
              <w:spacing w:line="360" w:lineRule="exact"/>
              <w:ind w:firstLine="0"/>
              <w:jc w:val="center"/>
              <w:rPr>
                <w:rFonts w:ascii="SimHei" w:eastAsia="SimHei" w:hint="eastAsia"/>
                <w:bCs/>
                <w:sz w:val="18"/>
              </w:rPr>
            </w:pPr>
            <w:r>
              <w:rPr>
                <w:rFonts w:ascii="SimHei" w:eastAsia="SimHei" w:hint="eastAsia"/>
                <w:bCs/>
                <w:sz w:val="18"/>
              </w:rPr>
              <w:t>%</w:t>
            </w:r>
          </w:p>
        </w:tc>
        <w:tc>
          <w:tcPr>
            <w:tcW w:w="843" w:type="pct"/>
          </w:tcPr>
          <w:p w:rsidR="00000000" w:rsidRDefault="004D2F83">
            <w:pPr>
              <w:pStyle w:val="NormalIndent"/>
              <w:spacing w:line="360" w:lineRule="exact"/>
              <w:ind w:firstLine="0"/>
              <w:jc w:val="center"/>
              <w:rPr>
                <w:rFonts w:ascii="SimHei" w:eastAsia="SimHei" w:hint="eastAsia"/>
                <w:bCs/>
                <w:sz w:val="18"/>
              </w:rPr>
            </w:pPr>
            <w:r>
              <w:rPr>
                <w:rFonts w:ascii="SimHei" w:eastAsia="SimHei" w:hint="eastAsia"/>
                <w:bCs/>
                <w:sz w:val="18"/>
              </w:rPr>
              <w:t>女</w:t>
            </w:r>
          </w:p>
        </w:tc>
        <w:tc>
          <w:tcPr>
            <w:tcW w:w="843" w:type="pct"/>
          </w:tcPr>
          <w:p w:rsidR="00000000" w:rsidRDefault="004D2F83">
            <w:pPr>
              <w:pStyle w:val="NormalIndent"/>
              <w:spacing w:line="360" w:lineRule="exact"/>
              <w:ind w:firstLine="0"/>
              <w:jc w:val="center"/>
              <w:rPr>
                <w:rFonts w:ascii="SimHei" w:eastAsia="SimHei" w:hint="eastAsia"/>
                <w:bCs/>
                <w:sz w:val="18"/>
              </w:rPr>
            </w:pPr>
            <w:r>
              <w:rPr>
                <w:rFonts w:ascii="SimHei" w:eastAsia="SimHei" w:hint="eastAsia"/>
                <w:bCs/>
                <w:sz w:val="18"/>
              </w:rPr>
              <w:t>%</w:t>
            </w:r>
          </w:p>
        </w:tc>
      </w:tr>
      <w:tr w:rsidR="00000000">
        <w:tblPrEx>
          <w:tblCellMar>
            <w:top w:w="0" w:type="dxa"/>
            <w:bottom w:w="0" w:type="dxa"/>
          </w:tblCellMar>
        </w:tblPrEx>
        <w:tc>
          <w:tcPr>
            <w:tcW w:w="787" w:type="pct"/>
          </w:tcPr>
          <w:p w:rsidR="00000000" w:rsidRDefault="004D2F83">
            <w:pPr>
              <w:pStyle w:val="NormalIndent"/>
              <w:spacing w:line="360" w:lineRule="exact"/>
              <w:ind w:firstLine="0"/>
              <w:rPr>
                <w:rFonts w:ascii="SimHei" w:eastAsia="SimHei" w:hint="eastAsia"/>
                <w:bCs/>
                <w:sz w:val="18"/>
              </w:rPr>
            </w:pPr>
            <w:r>
              <w:rPr>
                <w:rFonts w:ascii="SimHei" w:eastAsia="SimHei" w:hint="eastAsia"/>
                <w:bCs/>
                <w:sz w:val="18"/>
              </w:rPr>
              <w:t>1980</w:t>
            </w:r>
            <w:r>
              <w:rPr>
                <w:rFonts w:ascii="SimHei" w:eastAsia="SimHei" w:hint="eastAsia"/>
                <w:bCs/>
                <w:sz w:val="18"/>
              </w:rPr>
              <w:t>年</w:t>
            </w:r>
          </w:p>
        </w:tc>
        <w:tc>
          <w:tcPr>
            <w:tcW w:w="842" w:type="pct"/>
          </w:tcPr>
          <w:p w:rsidR="00000000" w:rsidRDefault="004D2F83">
            <w:pPr>
              <w:pStyle w:val="NormalIndent"/>
              <w:spacing w:line="360" w:lineRule="exact"/>
              <w:ind w:firstLine="0"/>
              <w:jc w:val="center"/>
              <w:rPr>
                <w:rFonts w:hint="eastAsia"/>
                <w:sz w:val="18"/>
              </w:rPr>
            </w:pPr>
            <w:r>
              <w:rPr>
                <w:rFonts w:hint="eastAsia"/>
                <w:sz w:val="18"/>
              </w:rPr>
              <w:t>119 002 706</w:t>
            </w:r>
          </w:p>
        </w:tc>
        <w:tc>
          <w:tcPr>
            <w:tcW w:w="842" w:type="pct"/>
          </w:tcPr>
          <w:p w:rsidR="00000000" w:rsidRDefault="004D2F83">
            <w:pPr>
              <w:pStyle w:val="NormalIndent"/>
              <w:spacing w:line="360" w:lineRule="exact"/>
              <w:ind w:firstLine="0"/>
              <w:jc w:val="center"/>
              <w:rPr>
                <w:rFonts w:hint="eastAsia"/>
                <w:sz w:val="18"/>
              </w:rPr>
            </w:pPr>
            <w:r>
              <w:rPr>
                <w:rFonts w:hint="eastAsia"/>
                <w:sz w:val="18"/>
              </w:rPr>
              <w:t>59 123 361</w:t>
            </w:r>
          </w:p>
        </w:tc>
        <w:tc>
          <w:tcPr>
            <w:tcW w:w="842" w:type="pct"/>
          </w:tcPr>
          <w:p w:rsidR="00000000" w:rsidRDefault="004D2F83">
            <w:pPr>
              <w:pStyle w:val="NormalIndent"/>
              <w:spacing w:line="360" w:lineRule="exact"/>
              <w:ind w:firstLine="0"/>
              <w:jc w:val="center"/>
              <w:rPr>
                <w:rFonts w:hint="eastAsia"/>
                <w:sz w:val="18"/>
              </w:rPr>
            </w:pPr>
            <w:r>
              <w:rPr>
                <w:rFonts w:hint="eastAsia"/>
                <w:sz w:val="18"/>
              </w:rPr>
              <w:t>49.68</w:t>
            </w:r>
          </w:p>
        </w:tc>
        <w:tc>
          <w:tcPr>
            <w:tcW w:w="843" w:type="pct"/>
          </w:tcPr>
          <w:p w:rsidR="00000000" w:rsidRDefault="004D2F83">
            <w:pPr>
              <w:pStyle w:val="NormalIndent"/>
              <w:spacing w:line="360" w:lineRule="exact"/>
              <w:ind w:firstLine="0"/>
              <w:jc w:val="center"/>
              <w:rPr>
                <w:rFonts w:hint="eastAsia"/>
                <w:sz w:val="18"/>
              </w:rPr>
            </w:pPr>
            <w:r>
              <w:rPr>
                <w:rFonts w:hint="eastAsia"/>
                <w:sz w:val="18"/>
              </w:rPr>
              <w:t>59 879 345</w:t>
            </w:r>
          </w:p>
        </w:tc>
        <w:tc>
          <w:tcPr>
            <w:tcW w:w="843" w:type="pct"/>
          </w:tcPr>
          <w:p w:rsidR="00000000" w:rsidRDefault="004D2F83">
            <w:pPr>
              <w:pStyle w:val="NormalIndent"/>
              <w:spacing w:line="360" w:lineRule="exact"/>
              <w:ind w:firstLine="0"/>
              <w:jc w:val="center"/>
              <w:rPr>
                <w:rFonts w:hint="eastAsia"/>
                <w:sz w:val="18"/>
              </w:rPr>
            </w:pPr>
            <w:r>
              <w:rPr>
                <w:rFonts w:hint="eastAsia"/>
                <w:sz w:val="18"/>
              </w:rPr>
              <w:t>50.32</w:t>
            </w:r>
          </w:p>
        </w:tc>
      </w:tr>
      <w:tr w:rsidR="00000000">
        <w:tblPrEx>
          <w:tblCellMar>
            <w:top w:w="0" w:type="dxa"/>
            <w:bottom w:w="0" w:type="dxa"/>
          </w:tblCellMar>
        </w:tblPrEx>
        <w:tc>
          <w:tcPr>
            <w:tcW w:w="787" w:type="pct"/>
            <w:tcBorders>
              <w:bottom w:val="single" w:sz="4" w:space="0" w:color="auto"/>
            </w:tcBorders>
          </w:tcPr>
          <w:p w:rsidR="00000000" w:rsidRDefault="004D2F83">
            <w:pPr>
              <w:pStyle w:val="NormalIndent"/>
              <w:spacing w:line="360" w:lineRule="exact"/>
              <w:ind w:firstLine="0"/>
              <w:rPr>
                <w:rFonts w:ascii="SimHei" w:eastAsia="SimHei" w:hint="eastAsia"/>
                <w:bCs/>
                <w:sz w:val="18"/>
              </w:rPr>
            </w:pPr>
            <w:r>
              <w:rPr>
                <w:rFonts w:ascii="SimHei" w:eastAsia="SimHei" w:hint="eastAsia"/>
                <w:bCs/>
                <w:sz w:val="18"/>
              </w:rPr>
              <w:t>1991</w:t>
            </w:r>
            <w:r>
              <w:rPr>
                <w:rFonts w:ascii="SimHei" w:eastAsia="SimHei" w:hint="eastAsia"/>
                <w:bCs/>
                <w:sz w:val="18"/>
              </w:rPr>
              <w:t>年</w:t>
            </w:r>
          </w:p>
        </w:tc>
        <w:tc>
          <w:tcPr>
            <w:tcW w:w="842" w:type="pct"/>
            <w:tcBorders>
              <w:bottom w:val="single" w:sz="4" w:space="0" w:color="auto"/>
            </w:tcBorders>
          </w:tcPr>
          <w:p w:rsidR="00000000" w:rsidRDefault="004D2F83">
            <w:pPr>
              <w:pStyle w:val="NormalIndent"/>
              <w:spacing w:line="360" w:lineRule="exact"/>
              <w:ind w:firstLine="0"/>
              <w:jc w:val="center"/>
              <w:rPr>
                <w:rFonts w:hint="eastAsia"/>
                <w:sz w:val="18"/>
              </w:rPr>
            </w:pPr>
            <w:r>
              <w:rPr>
                <w:rFonts w:hint="eastAsia"/>
                <w:sz w:val="18"/>
              </w:rPr>
              <w:t>146 825 475</w:t>
            </w:r>
          </w:p>
        </w:tc>
        <w:tc>
          <w:tcPr>
            <w:tcW w:w="842" w:type="pct"/>
            <w:tcBorders>
              <w:bottom w:val="single" w:sz="4" w:space="0" w:color="auto"/>
            </w:tcBorders>
          </w:tcPr>
          <w:p w:rsidR="00000000" w:rsidRDefault="004D2F83">
            <w:pPr>
              <w:pStyle w:val="NormalIndent"/>
              <w:spacing w:line="360" w:lineRule="exact"/>
              <w:ind w:firstLine="0"/>
              <w:jc w:val="center"/>
              <w:rPr>
                <w:rFonts w:hint="eastAsia"/>
                <w:sz w:val="18"/>
              </w:rPr>
            </w:pPr>
            <w:r>
              <w:rPr>
                <w:rFonts w:hint="eastAsia"/>
                <w:sz w:val="18"/>
              </w:rPr>
              <w:t>72 485 122</w:t>
            </w:r>
          </w:p>
        </w:tc>
        <w:tc>
          <w:tcPr>
            <w:tcW w:w="842" w:type="pct"/>
            <w:tcBorders>
              <w:bottom w:val="single" w:sz="4" w:space="0" w:color="auto"/>
            </w:tcBorders>
          </w:tcPr>
          <w:p w:rsidR="00000000" w:rsidRDefault="004D2F83">
            <w:pPr>
              <w:pStyle w:val="NormalIndent"/>
              <w:spacing w:line="360" w:lineRule="exact"/>
              <w:ind w:firstLine="0"/>
              <w:jc w:val="center"/>
              <w:rPr>
                <w:rFonts w:hint="eastAsia"/>
                <w:sz w:val="18"/>
              </w:rPr>
            </w:pPr>
            <w:r>
              <w:rPr>
                <w:rFonts w:hint="eastAsia"/>
                <w:sz w:val="18"/>
              </w:rPr>
              <w:t>49.37</w:t>
            </w:r>
          </w:p>
        </w:tc>
        <w:tc>
          <w:tcPr>
            <w:tcW w:w="843" w:type="pct"/>
            <w:tcBorders>
              <w:bottom w:val="single" w:sz="4" w:space="0" w:color="auto"/>
            </w:tcBorders>
          </w:tcPr>
          <w:p w:rsidR="00000000" w:rsidRDefault="004D2F83">
            <w:pPr>
              <w:pStyle w:val="NormalIndent"/>
              <w:spacing w:line="360" w:lineRule="exact"/>
              <w:ind w:firstLine="0"/>
              <w:jc w:val="center"/>
              <w:rPr>
                <w:rFonts w:hint="eastAsia"/>
                <w:sz w:val="18"/>
              </w:rPr>
            </w:pPr>
            <w:r>
              <w:rPr>
                <w:rFonts w:hint="eastAsia"/>
                <w:sz w:val="18"/>
              </w:rPr>
              <w:t>74 340 353</w:t>
            </w:r>
          </w:p>
        </w:tc>
        <w:tc>
          <w:tcPr>
            <w:tcW w:w="843" w:type="pct"/>
            <w:tcBorders>
              <w:bottom w:val="single" w:sz="4" w:space="0" w:color="auto"/>
            </w:tcBorders>
          </w:tcPr>
          <w:p w:rsidR="00000000" w:rsidRDefault="004D2F83">
            <w:pPr>
              <w:pStyle w:val="NormalIndent"/>
              <w:spacing w:line="360" w:lineRule="exact"/>
              <w:ind w:firstLine="0"/>
              <w:jc w:val="center"/>
              <w:rPr>
                <w:rFonts w:hint="eastAsia"/>
                <w:sz w:val="18"/>
              </w:rPr>
            </w:pPr>
            <w:r>
              <w:rPr>
                <w:rFonts w:hint="eastAsia"/>
                <w:sz w:val="18"/>
              </w:rPr>
              <w:t>50.63</w:t>
            </w:r>
          </w:p>
        </w:tc>
      </w:tr>
      <w:tr w:rsidR="00000000">
        <w:tblPrEx>
          <w:tblCellMar>
            <w:top w:w="0" w:type="dxa"/>
            <w:bottom w:w="0" w:type="dxa"/>
          </w:tblCellMar>
        </w:tblPrEx>
        <w:tc>
          <w:tcPr>
            <w:tcW w:w="787" w:type="pct"/>
            <w:tcBorders>
              <w:bottom w:val="single" w:sz="4" w:space="0" w:color="auto"/>
            </w:tcBorders>
          </w:tcPr>
          <w:p w:rsidR="00000000" w:rsidRDefault="004D2F83">
            <w:pPr>
              <w:pStyle w:val="NormalIndent"/>
              <w:spacing w:line="360" w:lineRule="exact"/>
              <w:ind w:firstLine="0"/>
              <w:rPr>
                <w:rFonts w:ascii="SimHei" w:eastAsia="SimHei" w:hint="eastAsia"/>
                <w:bCs/>
                <w:sz w:val="18"/>
              </w:rPr>
            </w:pPr>
            <w:r>
              <w:rPr>
                <w:rFonts w:ascii="SimHei" w:eastAsia="SimHei" w:hint="eastAsia"/>
                <w:bCs/>
                <w:sz w:val="18"/>
              </w:rPr>
              <w:t>1999</w:t>
            </w:r>
            <w:r>
              <w:rPr>
                <w:rFonts w:ascii="SimHei" w:eastAsia="SimHei" w:hint="eastAsia"/>
                <w:bCs/>
                <w:sz w:val="18"/>
              </w:rPr>
              <w:t>年</w:t>
            </w:r>
          </w:p>
        </w:tc>
        <w:tc>
          <w:tcPr>
            <w:tcW w:w="842" w:type="pct"/>
            <w:tcBorders>
              <w:bottom w:val="single" w:sz="4" w:space="0" w:color="auto"/>
            </w:tcBorders>
          </w:tcPr>
          <w:p w:rsidR="00000000" w:rsidRDefault="004D2F83">
            <w:pPr>
              <w:pStyle w:val="NormalIndent"/>
              <w:spacing w:line="360" w:lineRule="exact"/>
              <w:ind w:firstLine="0"/>
              <w:jc w:val="center"/>
              <w:rPr>
                <w:rFonts w:hint="eastAsia"/>
                <w:sz w:val="18"/>
              </w:rPr>
            </w:pPr>
            <w:r>
              <w:rPr>
                <w:rFonts w:hint="eastAsia"/>
                <w:sz w:val="18"/>
              </w:rPr>
              <w:t>160 336 471</w:t>
            </w:r>
          </w:p>
        </w:tc>
        <w:tc>
          <w:tcPr>
            <w:tcW w:w="842" w:type="pct"/>
            <w:tcBorders>
              <w:bottom w:val="single" w:sz="4" w:space="0" w:color="auto"/>
            </w:tcBorders>
          </w:tcPr>
          <w:p w:rsidR="00000000" w:rsidRDefault="004D2F83">
            <w:pPr>
              <w:pStyle w:val="NormalIndent"/>
              <w:spacing w:line="360" w:lineRule="exact"/>
              <w:ind w:firstLine="0"/>
              <w:jc w:val="center"/>
              <w:rPr>
                <w:rFonts w:hint="eastAsia"/>
                <w:sz w:val="18"/>
              </w:rPr>
            </w:pPr>
            <w:r>
              <w:rPr>
                <w:rFonts w:hint="eastAsia"/>
                <w:sz w:val="18"/>
              </w:rPr>
              <w:t>78 470 936</w:t>
            </w:r>
          </w:p>
        </w:tc>
        <w:tc>
          <w:tcPr>
            <w:tcW w:w="842" w:type="pct"/>
            <w:tcBorders>
              <w:bottom w:val="single" w:sz="4" w:space="0" w:color="auto"/>
            </w:tcBorders>
          </w:tcPr>
          <w:p w:rsidR="00000000" w:rsidRDefault="004D2F83">
            <w:pPr>
              <w:pStyle w:val="NormalIndent"/>
              <w:spacing w:line="360" w:lineRule="exact"/>
              <w:ind w:firstLine="0"/>
              <w:jc w:val="center"/>
              <w:rPr>
                <w:rFonts w:hint="eastAsia"/>
                <w:sz w:val="18"/>
              </w:rPr>
            </w:pPr>
            <w:r>
              <w:rPr>
                <w:rFonts w:hint="eastAsia"/>
                <w:sz w:val="18"/>
              </w:rPr>
              <w:t>48.94</w:t>
            </w:r>
          </w:p>
        </w:tc>
        <w:tc>
          <w:tcPr>
            <w:tcW w:w="843" w:type="pct"/>
            <w:tcBorders>
              <w:bottom w:val="single" w:sz="4" w:space="0" w:color="auto"/>
            </w:tcBorders>
          </w:tcPr>
          <w:p w:rsidR="00000000" w:rsidRDefault="004D2F83">
            <w:pPr>
              <w:pStyle w:val="NormalIndent"/>
              <w:spacing w:line="360" w:lineRule="exact"/>
              <w:ind w:firstLine="0"/>
              <w:jc w:val="center"/>
              <w:rPr>
                <w:rFonts w:hint="eastAsia"/>
                <w:sz w:val="18"/>
              </w:rPr>
            </w:pPr>
            <w:r>
              <w:rPr>
                <w:rFonts w:hint="eastAsia"/>
                <w:sz w:val="18"/>
              </w:rPr>
              <w:t>81 865 535</w:t>
            </w:r>
          </w:p>
        </w:tc>
        <w:tc>
          <w:tcPr>
            <w:tcW w:w="843" w:type="pct"/>
            <w:tcBorders>
              <w:bottom w:val="single" w:sz="4" w:space="0" w:color="auto"/>
            </w:tcBorders>
          </w:tcPr>
          <w:p w:rsidR="00000000" w:rsidRDefault="004D2F83">
            <w:pPr>
              <w:pStyle w:val="NormalIndent"/>
              <w:spacing w:line="360" w:lineRule="exact"/>
              <w:ind w:firstLine="0"/>
              <w:jc w:val="center"/>
              <w:rPr>
                <w:rFonts w:hint="eastAsia"/>
                <w:sz w:val="18"/>
              </w:rPr>
            </w:pPr>
            <w:r>
              <w:rPr>
                <w:rFonts w:hint="eastAsia"/>
                <w:sz w:val="18"/>
              </w:rPr>
              <w:t>51.</w:t>
            </w:r>
            <w:r>
              <w:rPr>
                <w:rFonts w:hint="eastAsia"/>
                <w:sz w:val="18"/>
              </w:rPr>
              <w:t>06</w:t>
            </w:r>
          </w:p>
        </w:tc>
      </w:tr>
    </w:tbl>
    <w:p w:rsidR="00000000" w:rsidRDefault="004D2F83">
      <w:pPr>
        <w:pStyle w:val="NormalIndent"/>
        <w:spacing w:after="240" w:line="360" w:lineRule="exact"/>
        <w:ind w:firstLine="0"/>
        <w:rPr>
          <w:rFonts w:hint="eastAsia"/>
          <w:sz w:val="18"/>
        </w:rPr>
      </w:pPr>
      <w:r>
        <w:rPr>
          <w:rFonts w:eastAsia="SimHei" w:hint="eastAsia"/>
          <w:bCs/>
          <w:sz w:val="18"/>
        </w:rPr>
        <w:t>资料来源：</w:t>
      </w:r>
      <w:r>
        <w:rPr>
          <w:rFonts w:hint="eastAsia"/>
          <w:sz w:val="18"/>
        </w:rPr>
        <w:t>巴西地理统计局</w:t>
      </w:r>
      <w:r>
        <w:rPr>
          <w:rFonts w:hint="eastAsia"/>
          <w:sz w:val="18"/>
        </w:rPr>
        <w:t xml:space="preserve"> </w:t>
      </w:r>
      <w:r>
        <w:rPr>
          <w:rFonts w:hint="eastAsia"/>
          <w:sz w:val="18"/>
        </w:rPr>
        <w:t>—</w:t>
      </w:r>
      <w:r>
        <w:rPr>
          <w:rFonts w:hint="eastAsia"/>
          <w:sz w:val="18"/>
        </w:rPr>
        <w:t xml:space="preserve"> 1980</w:t>
      </w:r>
      <w:r>
        <w:rPr>
          <w:rFonts w:hint="eastAsia"/>
          <w:sz w:val="18"/>
        </w:rPr>
        <w:t>和</w:t>
      </w:r>
      <w:r>
        <w:rPr>
          <w:rFonts w:hint="eastAsia"/>
          <w:sz w:val="18"/>
        </w:rPr>
        <w:t>1991</w:t>
      </w:r>
      <w:r>
        <w:rPr>
          <w:rFonts w:hint="eastAsia"/>
          <w:sz w:val="18"/>
        </w:rPr>
        <w:t>年人口普查以及</w:t>
      </w:r>
      <w:r>
        <w:rPr>
          <w:rFonts w:hint="eastAsia"/>
          <w:sz w:val="18"/>
        </w:rPr>
        <w:t>1999</w:t>
      </w:r>
      <w:r>
        <w:rPr>
          <w:rFonts w:hint="eastAsia"/>
          <w:sz w:val="18"/>
        </w:rPr>
        <w:t>年全国住户抽样调查</w:t>
      </w:r>
    </w:p>
    <w:p w:rsidR="00000000" w:rsidRDefault="004D2F83" w:rsidP="004D2F83">
      <w:pPr>
        <w:pStyle w:val="NormalIndent"/>
        <w:spacing w:after="240" w:line="360" w:lineRule="exact"/>
        <w:ind w:firstLineChars="200" w:firstLine="31680"/>
        <w:rPr>
          <w:rFonts w:hint="eastAsia"/>
          <w:spacing w:val="-2"/>
        </w:rPr>
      </w:pPr>
      <w:r>
        <w:rPr>
          <w:rFonts w:hint="eastAsia"/>
          <w:spacing w:val="-2"/>
        </w:rPr>
        <w:t>正式公布的权利与公民权利的实际行使之间存在巨大差距，这方面的报道很多。在巴西，提倡法律面前人人——男人和妇女、白种人和非白种人——平等的普遍权利观点不足以使巴西的法律制度切实加强人们所期望的平等。从巴西人口的社会经济数据中就可看出不平等。对种族</w:t>
      </w:r>
      <w:r>
        <w:rPr>
          <w:rFonts w:hint="eastAsia"/>
          <w:spacing w:val="-2"/>
        </w:rPr>
        <w:t>/</w:t>
      </w:r>
      <w:r>
        <w:rPr>
          <w:rFonts w:hint="eastAsia"/>
          <w:spacing w:val="-2"/>
        </w:rPr>
        <w:t>民族和性别等指标进行分析时，尤其是考虑到黑人和土著妇女等历史上一直被排斥的群体的情况，就会发现这些差异增大，不平等加剧。</w:t>
      </w:r>
    </w:p>
    <w:p w:rsidR="00000000" w:rsidRDefault="004D2F83" w:rsidP="004D2F83">
      <w:pPr>
        <w:pStyle w:val="NormalIndent"/>
        <w:spacing w:after="240" w:line="360" w:lineRule="exact"/>
        <w:ind w:firstLineChars="200" w:firstLine="31680"/>
        <w:rPr>
          <w:rFonts w:hint="eastAsia"/>
        </w:rPr>
      </w:pPr>
      <w:r>
        <w:rPr>
          <w:rFonts w:hint="eastAsia"/>
        </w:rPr>
        <w:t>在这种情况下，加强社会和男女平等需要重新调和平</w:t>
      </w:r>
      <w:r>
        <w:rPr>
          <w:rFonts w:hint="eastAsia"/>
        </w:rPr>
        <w:t>等的普遍原则与对那些一直受到排斥和文化上受到歧视的群体的具体需要的认识。</w:t>
      </w:r>
    </w:p>
    <w:p w:rsidR="00000000" w:rsidRDefault="004D2F83" w:rsidP="004D2F83">
      <w:pPr>
        <w:pStyle w:val="NormalIndent"/>
        <w:spacing w:after="240" w:line="360" w:lineRule="exact"/>
        <w:ind w:firstLineChars="200" w:firstLine="31680"/>
        <w:rPr>
          <w:rFonts w:hint="eastAsia"/>
        </w:rPr>
      </w:pPr>
      <w:r>
        <w:rPr>
          <w:rFonts w:hint="eastAsia"/>
        </w:rPr>
        <w:t>自</w:t>
      </w:r>
      <w:r>
        <w:rPr>
          <w:rFonts w:hint="eastAsia"/>
        </w:rPr>
        <w:t>1995</w:t>
      </w:r>
      <w:r>
        <w:rPr>
          <w:rFonts w:hint="eastAsia"/>
        </w:rPr>
        <w:t>年妇女问题世界会议在北京召开以来，</w:t>
      </w:r>
      <w:r>
        <w:rPr>
          <w:rFonts w:hint="eastAsia"/>
          <w:color w:val="000000"/>
        </w:rPr>
        <w:t>联合国开发计划署（开发计划署）发表了性别发展指数（</w:t>
      </w:r>
      <w:r>
        <w:rPr>
          <w:rFonts w:hint="eastAsia"/>
          <w:color w:val="000000"/>
        </w:rPr>
        <w:t>GDI</w:t>
      </w:r>
      <w:r>
        <w:rPr>
          <w:rFonts w:hint="eastAsia"/>
          <w:color w:val="000000"/>
        </w:rPr>
        <w:t>），用于衡量各国男女不平等的状况。因此，每个国家的社会指标现都在重新计算，以便把性别发展指数包括进</w:t>
      </w:r>
      <w:r>
        <w:rPr>
          <w:rFonts w:hint="eastAsia"/>
        </w:rPr>
        <w:t>去。社会指标中考虑到性别差异后，我们看到：</w:t>
      </w:r>
      <w:r>
        <w:rPr>
          <w:rStyle w:val="FootnoteReference"/>
        </w:rPr>
        <w:footnoteReference w:customMarkFollows="1" w:id="16"/>
        <w:t>15</w:t>
      </w:r>
    </w:p>
    <w:p w:rsidR="00000000" w:rsidRDefault="004D2F83">
      <w:pPr>
        <w:pStyle w:val="NormalIndent"/>
        <w:numPr>
          <w:ilvl w:val="0"/>
          <w:numId w:val="698"/>
        </w:numPr>
        <w:spacing w:after="180" w:line="360" w:lineRule="exact"/>
        <w:rPr>
          <w:rFonts w:hint="eastAsia"/>
        </w:rPr>
      </w:pPr>
      <w:r>
        <w:rPr>
          <w:rFonts w:hint="eastAsia"/>
        </w:rPr>
        <w:t>各个社会的妇女待遇均不如男子。（</w:t>
      </w:r>
      <w:r>
        <w:rPr>
          <w:rFonts w:hint="eastAsia"/>
        </w:rPr>
        <w:t>HDR</w:t>
      </w:r>
      <w:r>
        <w:rPr>
          <w:rFonts w:hint="eastAsia"/>
        </w:rPr>
        <w:t>，</w:t>
      </w:r>
      <w:r>
        <w:rPr>
          <w:rFonts w:hint="eastAsia"/>
        </w:rPr>
        <w:t>1996</w:t>
      </w:r>
      <w:r>
        <w:rPr>
          <w:rFonts w:hint="eastAsia"/>
        </w:rPr>
        <w:t>和</w:t>
      </w:r>
      <w:r>
        <w:rPr>
          <w:rFonts w:hint="eastAsia"/>
        </w:rPr>
        <w:t>1997</w:t>
      </w:r>
      <w:r>
        <w:rPr>
          <w:rFonts w:hint="eastAsia"/>
        </w:rPr>
        <w:t>年）；</w:t>
      </w:r>
    </w:p>
    <w:p w:rsidR="00000000" w:rsidRDefault="004D2F83">
      <w:pPr>
        <w:pStyle w:val="NormalIndent"/>
        <w:numPr>
          <w:ilvl w:val="0"/>
          <w:numId w:val="698"/>
        </w:numPr>
        <w:spacing w:after="180" w:line="360" w:lineRule="exact"/>
        <w:rPr>
          <w:rFonts w:hint="eastAsia"/>
        </w:rPr>
      </w:pPr>
      <w:r>
        <w:rPr>
          <w:rFonts w:hint="eastAsia"/>
        </w:rPr>
        <w:t>各国人类发展指数分类与其收入水平相比较表明，消除男女间不平等不取决于高收入水平（</w:t>
      </w:r>
      <w:r>
        <w:rPr>
          <w:rFonts w:hint="eastAsia"/>
        </w:rPr>
        <w:t>HDR</w:t>
      </w:r>
      <w:r>
        <w:rPr>
          <w:rFonts w:hint="eastAsia"/>
        </w:rPr>
        <w:t>，</w:t>
      </w:r>
      <w:r>
        <w:rPr>
          <w:rFonts w:hint="eastAsia"/>
        </w:rPr>
        <w:t>1996</w:t>
      </w:r>
      <w:r>
        <w:rPr>
          <w:rFonts w:hint="eastAsia"/>
        </w:rPr>
        <w:t>、</w:t>
      </w:r>
      <w:r>
        <w:rPr>
          <w:rFonts w:hint="eastAsia"/>
        </w:rPr>
        <w:t>1997</w:t>
      </w:r>
      <w:r>
        <w:rPr>
          <w:rFonts w:hint="eastAsia"/>
        </w:rPr>
        <w:t>和</w:t>
      </w:r>
      <w:r>
        <w:rPr>
          <w:rFonts w:hint="eastAsia"/>
        </w:rPr>
        <w:t>1999</w:t>
      </w:r>
      <w:r>
        <w:rPr>
          <w:rFonts w:hint="eastAsia"/>
        </w:rPr>
        <w:t>年）；</w:t>
      </w:r>
    </w:p>
    <w:p w:rsidR="00000000" w:rsidRDefault="004D2F83">
      <w:pPr>
        <w:pStyle w:val="NormalIndent"/>
        <w:numPr>
          <w:ilvl w:val="0"/>
          <w:numId w:val="698"/>
        </w:numPr>
        <w:spacing w:after="180" w:line="360" w:lineRule="exact"/>
        <w:rPr>
          <w:rFonts w:hint="eastAsia"/>
        </w:rPr>
      </w:pPr>
      <w:r>
        <w:rPr>
          <w:rFonts w:hint="eastAsia"/>
        </w:rPr>
        <w:t>男</w:t>
      </w:r>
      <w:r>
        <w:rPr>
          <w:rFonts w:hint="eastAsia"/>
        </w:rPr>
        <w:t>女平等不一定与高经济增长有关，这就表明其他决定性因素也会使人类发展指数上升；及</w:t>
      </w:r>
    </w:p>
    <w:p w:rsidR="00000000" w:rsidRDefault="004D2F83">
      <w:pPr>
        <w:pStyle w:val="NormalIndent"/>
        <w:numPr>
          <w:ilvl w:val="0"/>
          <w:numId w:val="698"/>
        </w:numPr>
        <w:spacing w:after="240" w:line="360" w:lineRule="exact"/>
        <w:rPr>
          <w:rFonts w:hint="eastAsia"/>
        </w:rPr>
      </w:pPr>
      <w:r>
        <w:rPr>
          <w:rFonts w:hint="eastAsia"/>
        </w:rPr>
        <w:t>男女不平等与人类贫困有很大关联（</w:t>
      </w:r>
      <w:r>
        <w:rPr>
          <w:rFonts w:hint="eastAsia"/>
        </w:rPr>
        <w:t>HDR</w:t>
      </w:r>
      <w:r>
        <w:rPr>
          <w:rFonts w:hint="eastAsia"/>
        </w:rPr>
        <w:t>，</w:t>
      </w:r>
      <w:r>
        <w:rPr>
          <w:rFonts w:hint="eastAsia"/>
        </w:rPr>
        <w:t>1997</w:t>
      </w:r>
      <w:r>
        <w:rPr>
          <w:rFonts w:hint="eastAsia"/>
        </w:rPr>
        <w:t>年）。</w:t>
      </w:r>
    </w:p>
    <w:p w:rsidR="00000000" w:rsidRDefault="004D2F83" w:rsidP="004D2F83">
      <w:pPr>
        <w:pStyle w:val="NormalIndent"/>
        <w:spacing w:after="240" w:line="360" w:lineRule="exact"/>
        <w:ind w:firstLineChars="200" w:firstLine="31680"/>
        <w:rPr>
          <w:rFonts w:hint="eastAsia"/>
        </w:rPr>
      </w:pPr>
      <w:r>
        <w:rPr>
          <w:rFonts w:hint="eastAsia"/>
        </w:rPr>
        <w:t>据巴西地理统计局的数据，巴西人口中有</w:t>
      </w:r>
      <w:r>
        <w:rPr>
          <w:rFonts w:hint="eastAsia"/>
        </w:rPr>
        <w:t>54%</w:t>
      </w:r>
      <w:r>
        <w:rPr>
          <w:rFonts w:hint="eastAsia"/>
        </w:rPr>
        <w:t>自称为白人，</w:t>
      </w:r>
      <w:r>
        <w:rPr>
          <w:rFonts w:hint="eastAsia"/>
        </w:rPr>
        <w:t>45.4%</w:t>
      </w:r>
      <w:r>
        <w:rPr>
          <w:rFonts w:hint="eastAsia"/>
        </w:rPr>
        <w:t>自称为黑人或黑白混血——非洲人后裔的同义词。巴西黑人是世界上最大的群体之一，仅次于非洲人口密度最大的尼日利亚人口。</w:t>
      </w:r>
      <w:r>
        <w:rPr>
          <w:rFonts w:hint="eastAsia"/>
        </w:rPr>
        <w:t>1999</w:t>
      </w:r>
      <w:r>
        <w:rPr>
          <w:rFonts w:hint="eastAsia"/>
        </w:rPr>
        <w:t>年达</w:t>
      </w:r>
      <w:r>
        <w:rPr>
          <w:rFonts w:hint="eastAsia"/>
        </w:rPr>
        <w:t>7 300</w:t>
      </w:r>
      <w:r>
        <w:rPr>
          <w:rFonts w:hint="eastAsia"/>
        </w:rPr>
        <w:t>万人，主要居住在东北部地区。另外，值得一提的是居住在东南部的非洲人后裔数量庞大，尽管在该地区人口中所占的比重相对较小。</w:t>
      </w:r>
      <w:r>
        <w:rPr>
          <w:rStyle w:val="FootnoteReference"/>
        </w:rPr>
        <w:footnoteReference w:customMarkFollows="1" w:id="17"/>
        <w:t>16</w:t>
      </w:r>
    </w:p>
    <w:p w:rsidR="00000000" w:rsidRDefault="004D2F83">
      <w:pPr>
        <w:pStyle w:val="NormalIndent"/>
        <w:spacing w:after="240" w:line="360" w:lineRule="exact"/>
        <w:ind w:firstLine="0"/>
        <w:jc w:val="center"/>
        <w:rPr>
          <w:rFonts w:ascii="SimHei" w:eastAsia="SimHei" w:hint="eastAsia"/>
          <w:bCs/>
        </w:rPr>
      </w:pPr>
      <w:r>
        <w:rPr>
          <w:rFonts w:ascii="SimHei" w:eastAsia="SimHei" w:hint="eastAsia"/>
          <w:bCs/>
        </w:rPr>
        <w:t>表</w:t>
      </w:r>
      <w:r>
        <w:rPr>
          <w:rFonts w:ascii="SimHei" w:eastAsia="SimHei" w:hint="eastAsia"/>
          <w:bCs/>
        </w:rPr>
        <w:t>6</w:t>
      </w:r>
      <w:r>
        <w:rPr>
          <w:rFonts w:ascii="SimHei" w:eastAsia="SimHei" w:hint="eastAsia"/>
          <w:bCs/>
        </w:rPr>
        <w:t>：巴西</w:t>
      </w:r>
      <w:r>
        <w:rPr>
          <w:rFonts w:ascii="SimHei" w:eastAsia="SimHei" w:hint="eastAsia"/>
          <w:bCs/>
        </w:rPr>
        <w:t xml:space="preserve"> </w:t>
      </w:r>
      <w:r>
        <w:rPr>
          <w:rFonts w:ascii="SimHei" w:eastAsia="SimHei" w:hint="eastAsia"/>
          <w:bCs/>
        </w:rPr>
        <w:t>—</w:t>
      </w:r>
      <w:r>
        <w:rPr>
          <w:rFonts w:ascii="SimHei" w:eastAsia="SimHei" w:hint="eastAsia"/>
          <w:bCs/>
        </w:rPr>
        <w:t xml:space="preserve"> 1999</w:t>
      </w:r>
      <w:r>
        <w:rPr>
          <w:rFonts w:ascii="SimHei" w:eastAsia="SimHei" w:hint="eastAsia"/>
          <w:bCs/>
        </w:rPr>
        <w:t>年按性别列示的各种族或肤色的</w:t>
      </w:r>
      <w:r>
        <w:rPr>
          <w:rFonts w:ascii="SimHei" w:eastAsia="SimHei" w:hint="eastAsia"/>
          <w:bCs/>
        </w:rPr>
        <w:t>人口</w:t>
      </w:r>
    </w:p>
    <w:tbl>
      <w:tblPr>
        <w:tblW w:w="4946" w:type="pct"/>
        <w:tblInd w:w="108"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2544"/>
        <w:gridCol w:w="2330"/>
        <w:gridCol w:w="2492"/>
        <w:gridCol w:w="2490"/>
      </w:tblGrid>
      <w:tr w:rsidR="00000000">
        <w:tblPrEx>
          <w:tblCellMar>
            <w:top w:w="0" w:type="dxa"/>
            <w:bottom w:w="0" w:type="dxa"/>
          </w:tblCellMar>
        </w:tblPrEx>
        <w:tc>
          <w:tcPr>
            <w:tcW w:w="1291" w:type="pct"/>
          </w:tcPr>
          <w:p w:rsidR="00000000" w:rsidRDefault="004D2F83">
            <w:pPr>
              <w:pStyle w:val="NormalIndent"/>
              <w:spacing w:line="400" w:lineRule="exact"/>
              <w:ind w:firstLine="0"/>
              <w:jc w:val="center"/>
              <w:rPr>
                <w:rFonts w:ascii="SimHei" w:eastAsia="SimHei" w:hint="eastAsia"/>
                <w:bCs/>
                <w:sz w:val="18"/>
              </w:rPr>
            </w:pPr>
            <w:r>
              <w:rPr>
                <w:rFonts w:ascii="SimHei" w:eastAsia="SimHei" w:hint="eastAsia"/>
                <w:bCs/>
                <w:sz w:val="18"/>
              </w:rPr>
              <w:t>肤色或种族</w:t>
            </w:r>
            <w:r>
              <w:rPr>
                <w:rFonts w:ascii="SimHei" w:eastAsia="SimHei" w:hint="eastAsia"/>
                <w:bCs/>
                <w:sz w:val="18"/>
              </w:rPr>
              <w:t>/</w:t>
            </w:r>
            <w:r>
              <w:rPr>
                <w:rFonts w:ascii="SimHei" w:eastAsia="SimHei" w:hint="eastAsia"/>
                <w:bCs/>
                <w:sz w:val="18"/>
              </w:rPr>
              <w:t>性别</w:t>
            </w:r>
          </w:p>
        </w:tc>
        <w:tc>
          <w:tcPr>
            <w:tcW w:w="1182" w:type="pct"/>
          </w:tcPr>
          <w:p w:rsidR="00000000" w:rsidRDefault="004D2F83">
            <w:pPr>
              <w:pStyle w:val="NormalIndent"/>
              <w:spacing w:line="400" w:lineRule="exact"/>
              <w:ind w:firstLine="0"/>
              <w:jc w:val="center"/>
              <w:rPr>
                <w:rFonts w:ascii="SimHei" w:eastAsia="SimHei" w:hint="eastAsia"/>
                <w:bCs/>
                <w:sz w:val="18"/>
              </w:rPr>
            </w:pPr>
            <w:r>
              <w:rPr>
                <w:rFonts w:ascii="SimHei" w:eastAsia="SimHei" w:hint="eastAsia"/>
                <w:bCs/>
                <w:sz w:val="18"/>
              </w:rPr>
              <w:t>男</w:t>
            </w:r>
          </w:p>
        </w:tc>
        <w:tc>
          <w:tcPr>
            <w:tcW w:w="1264" w:type="pct"/>
          </w:tcPr>
          <w:p w:rsidR="00000000" w:rsidRDefault="004D2F83">
            <w:pPr>
              <w:pStyle w:val="NormalIndent"/>
              <w:spacing w:line="400" w:lineRule="exact"/>
              <w:ind w:firstLine="0"/>
              <w:jc w:val="center"/>
              <w:rPr>
                <w:rFonts w:ascii="SimHei" w:eastAsia="SimHei" w:hint="eastAsia"/>
                <w:bCs/>
                <w:sz w:val="18"/>
              </w:rPr>
            </w:pPr>
            <w:r>
              <w:rPr>
                <w:rFonts w:ascii="SimHei" w:eastAsia="SimHei" w:hint="eastAsia"/>
                <w:bCs/>
                <w:sz w:val="18"/>
              </w:rPr>
              <w:t>女</w:t>
            </w:r>
          </w:p>
        </w:tc>
        <w:tc>
          <w:tcPr>
            <w:tcW w:w="1264" w:type="pct"/>
          </w:tcPr>
          <w:p w:rsidR="00000000" w:rsidRDefault="004D2F83">
            <w:pPr>
              <w:pStyle w:val="NormalIndent"/>
              <w:spacing w:line="400" w:lineRule="exact"/>
              <w:ind w:firstLine="0"/>
              <w:jc w:val="center"/>
              <w:rPr>
                <w:rFonts w:ascii="SimHei" w:eastAsia="SimHei" w:hint="eastAsia"/>
                <w:bCs/>
                <w:sz w:val="18"/>
              </w:rPr>
            </w:pPr>
            <w:r>
              <w:rPr>
                <w:rFonts w:ascii="SimHei" w:eastAsia="SimHei" w:hint="eastAsia"/>
                <w:bCs/>
                <w:sz w:val="18"/>
              </w:rPr>
              <w:t>共计</w:t>
            </w:r>
          </w:p>
        </w:tc>
      </w:tr>
      <w:tr w:rsidR="00000000">
        <w:tblPrEx>
          <w:tblCellMar>
            <w:top w:w="0" w:type="dxa"/>
            <w:bottom w:w="0" w:type="dxa"/>
          </w:tblCellMar>
        </w:tblPrEx>
        <w:tc>
          <w:tcPr>
            <w:tcW w:w="1291" w:type="pct"/>
          </w:tcPr>
          <w:p w:rsidR="00000000" w:rsidRDefault="004D2F83">
            <w:pPr>
              <w:pStyle w:val="NormalIndent"/>
              <w:spacing w:line="400" w:lineRule="exact"/>
              <w:ind w:firstLine="540"/>
              <w:rPr>
                <w:rFonts w:eastAsia="SimHei" w:hint="eastAsia"/>
                <w:sz w:val="18"/>
              </w:rPr>
            </w:pPr>
            <w:r>
              <w:rPr>
                <w:rFonts w:eastAsia="SimHei" w:hint="eastAsia"/>
                <w:sz w:val="18"/>
              </w:rPr>
              <w:t>白人</w:t>
            </w:r>
          </w:p>
        </w:tc>
        <w:tc>
          <w:tcPr>
            <w:tcW w:w="1182" w:type="pct"/>
          </w:tcPr>
          <w:p w:rsidR="00000000" w:rsidRDefault="004D2F83" w:rsidP="004D2F83">
            <w:pPr>
              <w:pStyle w:val="NormalIndent"/>
              <w:spacing w:line="400" w:lineRule="exact"/>
              <w:ind w:rightChars="337" w:right="31680" w:firstLine="0"/>
              <w:jc w:val="right"/>
              <w:rPr>
                <w:rFonts w:hint="eastAsia"/>
                <w:sz w:val="18"/>
              </w:rPr>
            </w:pPr>
            <w:r>
              <w:rPr>
                <w:rFonts w:hint="eastAsia"/>
                <w:sz w:val="18"/>
              </w:rPr>
              <w:t>41 581 723</w:t>
            </w:r>
          </w:p>
        </w:tc>
        <w:tc>
          <w:tcPr>
            <w:tcW w:w="1264" w:type="pct"/>
          </w:tcPr>
          <w:p w:rsidR="00000000" w:rsidRDefault="004D2F83" w:rsidP="004D2F83">
            <w:pPr>
              <w:pStyle w:val="NormalIndent"/>
              <w:spacing w:line="400" w:lineRule="exact"/>
              <w:ind w:rightChars="337" w:right="31680" w:firstLine="0"/>
              <w:jc w:val="right"/>
              <w:rPr>
                <w:rFonts w:hint="eastAsia"/>
                <w:sz w:val="18"/>
              </w:rPr>
            </w:pPr>
            <w:r>
              <w:rPr>
                <w:rFonts w:hint="eastAsia"/>
                <w:sz w:val="18"/>
              </w:rPr>
              <w:t>45 044 996</w:t>
            </w:r>
          </w:p>
        </w:tc>
        <w:tc>
          <w:tcPr>
            <w:tcW w:w="1264" w:type="pct"/>
          </w:tcPr>
          <w:p w:rsidR="00000000" w:rsidRDefault="004D2F83" w:rsidP="004D2F83">
            <w:pPr>
              <w:pStyle w:val="NormalIndent"/>
              <w:spacing w:line="400" w:lineRule="exact"/>
              <w:ind w:rightChars="337" w:right="31680" w:firstLine="0"/>
              <w:jc w:val="right"/>
              <w:rPr>
                <w:rFonts w:hint="eastAsia"/>
                <w:sz w:val="18"/>
              </w:rPr>
            </w:pPr>
            <w:r>
              <w:rPr>
                <w:rFonts w:hint="eastAsia"/>
                <w:sz w:val="18"/>
              </w:rPr>
              <w:t>86 626 719</w:t>
            </w:r>
          </w:p>
        </w:tc>
      </w:tr>
      <w:tr w:rsidR="00000000">
        <w:tblPrEx>
          <w:tblCellMar>
            <w:top w:w="0" w:type="dxa"/>
            <w:bottom w:w="0" w:type="dxa"/>
          </w:tblCellMar>
        </w:tblPrEx>
        <w:tc>
          <w:tcPr>
            <w:tcW w:w="1291" w:type="pct"/>
          </w:tcPr>
          <w:p w:rsidR="00000000" w:rsidRDefault="004D2F83">
            <w:pPr>
              <w:pStyle w:val="NormalIndent"/>
              <w:spacing w:line="400" w:lineRule="exact"/>
              <w:ind w:firstLine="540"/>
              <w:rPr>
                <w:rFonts w:eastAsia="SimHei" w:hint="eastAsia"/>
                <w:sz w:val="18"/>
              </w:rPr>
            </w:pPr>
            <w:r>
              <w:rPr>
                <w:rFonts w:eastAsia="SimHei" w:hint="eastAsia"/>
                <w:sz w:val="18"/>
              </w:rPr>
              <w:t>巴西黑人</w:t>
            </w:r>
          </w:p>
        </w:tc>
        <w:tc>
          <w:tcPr>
            <w:tcW w:w="1182" w:type="pct"/>
          </w:tcPr>
          <w:p w:rsidR="00000000" w:rsidRDefault="004D2F83" w:rsidP="004D2F83">
            <w:pPr>
              <w:pStyle w:val="NormalIndent"/>
              <w:spacing w:line="400" w:lineRule="exact"/>
              <w:ind w:rightChars="337" w:right="31680" w:firstLine="0"/>
              <w:jc w:val="right"/>
              <w:rPr>
                <w:rFonts w:hint="eastAsia"/>
                <w:sz w:val="18"/>
              </w:rPr>
            </w:pPr>
            <w:r>
              <w:rPr>
                <w:rFonts w:hint="eastAsia"/>
                <w:sz w:val="18"/>
              </w:rPr>
              <w:t>4 327 951</w:t>
            </w:r>
          </w:p>
        </w:tc>
        <w:tc>
          <w:tcPr>
            <w:tcW w:w="1264" w:type="pct"/>
          </w:tcPr>
          <w:p w:rsidR="00000000" w:rsidRDefault="004D2F83" w:rsidP="004D2F83">
            <w:pPr>
              <w:pStyle w:val="NormalIndent"/>
              <w:spacing w:line="400" w:lineRule="exact"/>
              <w:ind w:rightChars="337" w:right="31680" w:firstLine="0"/>
              <w:jc w:val="right"/>
              <w:rPr>
                <w:rFonts w:hint="eastAsia"/>
                <w:sz w:val="18"/>
              </w:rPr>
            </w:pPr>
            <w:r>
              <w:rPr>
                <w:rFonts w:hint="eastAsia"/>
                <w:sz w:val="18"/>
              </w:rPr>
              <w:t>4 317 555</w:t>
            </w:r>
          </w:p>
        </w:tc>
        <w:tc>
          <w:tcPr>
            <w:tcW w:w="1264" w:type="pct"/>
          </w:tcPr>
          <w:p w:rsidR="00000000" w:rsidRDefault="004D2F83" w:rsidP="004D2F83">
            <w:pPr>
              <w:pStyle w:val="NormalIndent"/>
              <w:spacing w:line="400" w:lineRule="exact"/>
              <w:ind w:rightChars="337" w:right="31680" w:firstLine="0"/>
              <w:jc w:val="right"/>
              <w:rPr>
                <w:rFonts w:hint="eastAsia"/>
                <w:sz w:val="18"/>
              </w:rPr>
            </w:pPr>
            <w:r>
              <w:rPr>
                <w:rFonts w:hint="eastAsia"/>
                <w:sz w:val="18"/>
              </w:rPr>
              <w:t>8 645 506</w:t>
            </w:r>
          </w:p>
        </w:tc>
      </w:tr>
      <w:tr w:rsidR="00000000">
        <w:tblPrEx>
          <w:tblCellMar>
            <w:top w:w="0" w:type="dxa"/>
            <w:bottom w:w="0" w:type="dxa"/>
          </w:tblCellMar>
        </w:tblPrEx>
        <w:tc>
          <w:tcPr>
            <w:tcW w:w="1291" w:type="pct"/>
          </w:tcPr>
          <w:p w:rsidR="00000000" w:rsidRDefault="004D2F83">
            <w:pPr>
              <w:pStyle w:val="NormalIndent"/>
              <w:spacing w:line="400" w:lineRule="exact"/>
              <w:ind w:firstLine="540"/>
              <w:rPr>
                <w:rFonts w:eastAsia="SimHei" w:hint="eastAsia"/>
                <w:sz w:val="18"/>
              </w:rPr>
            </w:pPr>
            <w:r>
              <w:rPr>
                <w:rFonts w:eastAsia="SimHei" w:hint="eastAsia"/>
                <w:sz w:val="18"/>
              </w:rPr>
              <w:t>黑白混血</w:t>
            </w:r>
          </w:p>
        </w:tc>
        <w:tc>
          <w:tcPr>
            <w:tcW w:w="1182" w:type="pct"/>
          </w:tcPr>
          <w:p w:rsidR="00000000" w:rsidRDefault="004D2F83" w:rsidP="004D2F83">
            <w:pPr>
              <w:pStyle w:val="NormalIndent"/>
              <w:spacing w:line="400" w:lineRule="exact"/>
              <w:ind w:rightChars="337" w:right="31680" w:firstLine="0"/>
              <w:jc w:val="right"/>
              <w:rPr>
                <w:rFonts w:hint="eastAsia"/>
                <w:sz w:val="18"/>
              </w:rPr>
            </w:pPr>
            <w:r>
              <w:rPr>
                <w:rFonts w:hint="eastAsia"/>
                <w:sz w:val="18"/>
              </w:rPr>
              <w:t>32 063 740</w:t>
            </w:r>
          </w:p>
        </w:tc>
        <w:tc>
          <w:tcPr>
            <w:tcW w:w="1264" w:type="pct"/>
          </w:tcPr>
          <w:p w:rsidR="00000000" w:rsidRDefault="004D2F83" w:rsidP="004D2F83">
            <w:pPr>
              <w:pStyle w:val="NormalIndent"/>
              <w:spacing w:line="400" w:lineRule="exact"/>
              <w:ind w:rightChars="337" w:right="31680" w:firstLine="0"/>
              <w:jc w:val="right"/>
              <w:rPr>
                <w:rFonts w:hint="eastAsia"/>
                <w:sz w:val="18"/>
              </w:rPr>
            </w:pPr>
            <w:r>
              <w:rPr>
                <w:rFonts w:hint="eastAsia"/>
                <w:sz w:val="18"/>
              </w:rPr>
              <w:t>31 979 310</w:t>
            </w:r>
          </w:p>
        </w:tc>
        <w:tc>
          <w:tcPr>
            <w:tcW w:w="1264" w:type="pct"/>
          </w:tcPr>
          <w:p w:rsidR="00000000" w:rsidRDefault="004D2F83" w:rsidP="004D2F83">
            <w:pPr>
              <w:pStyle w:val="NormalIndent"/>
              <w:spacing w:line="400" w:lineRule="exact"/>
              <w:ind w:rightChars="337" w:right="31680" w:firstLine="0"/>
              <w:jc w:val="right"/>
              <w:rPr>
                <w:rFonts w:hint="eastAsia"/>
                <w:sz w:val="18"/>
              </w:rPr>
            </w:pPr>
            <w:r>
              <w:rPr>
                <w:rFonts w:hint="eastAsia"/>
                <w:sz w:val="18"/>
              </w:rPr>
              <w:t>64 043 050</w:t>
            </w:r>
          </w:p>
        </w:tc>
      </w:tr>
      <w:tr w:rsidR="00000000">
        <w:tblPrEx>
          <w:tblCellMar>
            <w:top w:w="0" w:type="dxa"/>
            <w:bottom w:w="0" w:type="dxa"/>
          </w:tblCellMar>
        </w:tblPrEx>
        <w:tc>
          <w:tcPr>
            <w:tcW w:w="1291" w:type="pct"/>
          </w:tcPr>
          <w:p w:rsidR="00000000" w:rsidRDefault="004D2F83">
            <w:pPr>
              <w:pStyle w:val="NormalIndent"/>
              <w:spacing w:line="400" w:lineRule="exact"/>
              <w:ind w:firstLine="540"/>
              <w:rPr>
                <w:rFonts w:eastAsia="SimHei" w:hint="eastAsia"/>
                <w:sz w:val="18"/>
              </w:rPr>
            </w:pPr>
            <w:r>
              <w:rPr>
                <w:rFonts w:eastAsia="SimHei" w:hint="eastAsia"/>
                <w:sz w:val="18"/>
              </w:rPr>
              <w:t>亚裔</w:t>
            </w:r>
          </w:p>
        </w:tc>
        <w:tc>
          <w:tcPr>
            <w:tcW w:w="1182" w:type="pct"/>
          </w:tcPr>
          <w:p w:rsidR="00000000" w:rsidRDefault="004D2F83" w:rsidP="004D2F83">
            <w:pPr>
              <w:pStyle w:val="NormalIndent"/>
              <w:spacing w:line="400" w:lineRule="exact"/>
              <w:ind w:rightChars="337" w:right="31680" w:firstLine="0"/>
              <w:jc w:val="right"/>
              <w:rPr>
                <w:rFonts w:hint="eastAsia"/>
                <w:sz w:val="18"/>
              </w:rPr>
            </w:pPr>
            <w:r>
              <w:rPr>
                <w:rFonts w:hint="eastAsia"/>
                <w:sz w:val="18"/>
              </w:rPr>
              <w:t>359 991</w:t>
            </w:r>
          </w:p>
        </w:tc>
        <w:tc>
          <w:tcPr>
            <w:tcW w:w="1264" w:type="pct"/>
          </w:tcPr>
          <w:p w:rsidR="00000000" w:rsidRDefault="004D2F83" w:rsidP="004D2F83">
            <w:pPr>
              <w:pStyle w:val="NormalIndent"/>
              <w:spacing w:line="400" w:lineRule="exact"/>
              <w:ind w:rightChars="337" w:right="31680" w:firstLine="0"/>
              <w:jc w:val="right"/>
              <w:rPr>
                <w:rFonts w:hint="eastAsia"/>
                <w:sz w:val="18"/>
              </w:rPr>
            </w:pPr>
            <w:r>
              <w:rPr>
                <w:rFonts w:hint="eastAsia"/>
                <w:sz w:val="18"/>
              </w:rPr>
              <w:t>382 381</w:t>
            </w:r>
          </w:p>
        </w:tc>
        <w:tc>
          <w:tcPr>
            <w:tcW w:w="1264" w:type="pct"/>
          </w:tcPr>
          <w:p w:rsidR="00000000" w:rsidRDefault="004D2F83" w:rsidP="004D2F83">
            <w:pPr>
              <w:pStyle w:val="NormalIndent"/>
              <w:spacing w:line="400" w:lineRule="exact"/>
              <w:ind w:rightChars="337" w:right="31680" w:firstLine="0"/>
              <w:jc w:val="right"/>
              <w:rPr>
                <w:rFonts w:hint="eastAsia"/>
                <w:sz w:val="18"/>
              </w:rPr>
            </w:pPr>
            <w:r>
              <w:rPr>
                <w:rFonts w:hint="eastAsia"/>
                <w:sz w:val="18"/>
              </w:rPr>
              <w:t>742 372</w:t>
            </w:r>
          </w:p>
        </w:tc>
      </w:tr>
      <w:tr w:rsidR="00000000">
        <w:tblPrEx>
          <w:tblCellMar>
            <w:top w:w="0" w:type="dxa"/>
            <w:bottom w:w="0" w:type="dxa"/>
          </w:tblCellMar>
        </w:tblPrEx>
        <w:tc>
          <w:tcPr>
            <w:tcW w:w="1291" w:type="pct"/>
          </w:tcPr>
          <w:p w:rsidR="00000000" w:rsidRDefault="004D2F83">
            <w:pPr>
              <w:pStyle w:val="NormalIndent"/>
              <w:spacing w:line="400" w:lineRule="exact"/>
              <w:ind w:firstLine="540"/>
              <w:rPr>
                <w:rFonts w:eastAsia="SimHei" w:hint="eastAsia"/>
                <w:sz w:val="18"/>
              </w:rPr>
            </w:pPr>
            <w:r>
              <w:rPr>
                <w:rFonts w:eastAsia="SimHei" w:hint="eastAsia"/>
                <w:sz w:val="18"/>
              </w:rPr>
              <w:t>土著</w:t>
            </w:r>
          </w:p>
        </w:tc>
        <w:tc>
          <w:tcPr>
            <w:tcW w:w="1182" w:type="pct"/>
          </w:tcPr>
          <w:p w:rsidR="00000000" w:rsidRDefault="004D2F83" w:rsidP="004D2F83">
            <w:pPr>
              <w:pStyle w:val="NormalIndent"/>
              <w:spacing w:line="400" w:lineRule="exact"/>
              <w:ind w:rightChars="337" w:right="31680" w:firstLine="0"/>
              <w:jc w:val="right"/>
              <w:rPr>
                <w:rFonts w:hint="eastAsia"/>
                <w:sz w:val="18"/>
              </w:rPr>
            </w:pPr>
            <w:r>
              <w:rPr>
                <w:rFonts w:hint="eastAsia"/>
                <w:sz w:val="18"/>
              </w:rPr>
              <w:t>127 397</w:t>
            </w:r>
          </w:p>
        </w:tc>
        <w:tc>
          <w:tcPr>
            <w:tcW w:w="1264" w:type="pct"/>
          </w:tcPr>
          <w:p w:rsidR="00000000" w:rsidRDefault="004D2F83" w:rsidP="004D2F83">
            <w:pPr>
              <w:pStyle w:val="NormalIndent"/>
              <w:spacing w:line="400" w:lineRule="exact"/>
              <w:ind w:rightChars="337" w:right="31680" w:firstLine="0"/>
              <w:jc w:val="right"/>
              <w:rPr>
                <w:rFonts w:hint="eastAsia"/>
                <w:sz w:val="18"/>
              </w:rPr>
            </w:pPr>
            <w:r>
              <w:rPr>
                <w:rFonts w:hint="eastAsia"/>
                <w:sz w:val="18"/>
              </w:rPr>
              <w:t>134 343</w:t>
            </w:r>
          </w:p>
        </w:tc>
        <w:tc>
          <w:tcPr>
            <w:tcW w:w="1264" w:type="pct"/>
          </w:tcPr>
          <w:p w:rsidR="00000000" w:rsidRDefault="004D2F83" w:rsidP="004D2F83">
            <w:pPr>
              <w:pStyle w:val="NormalIndent"/>
              <w:spacing w:line="400" w:lineRule="exact"/>
              <w:ind w:rightChars="337" w:right="31680" w:firstLine="0"/>
              <w:jc w:val="right"/>
              <w:rPr>
                <w:rFonts w:hint="eastAsia"/>
                <w:sz w:val="18"/>
              </w:rPr>
            </w:pPr>
            <w:r>
              <w:rPr>
                <w:rFonts w:hint="eastAsia"/>
                <w:sz w:val="18"/>
              </w:rPr>
              <w:t>261 740</w:t>
            </w:r>
          </w:p>
        </w:tc>
      </w:tr>
      <w:tr w:rsidR="00000000">
        <w:tblPrEx>
          <w:tblCellMar>
            <w:top w:w="0" w:type="dxa"/>
            <w:bottom w:w="0" w:type="dxa"/>
          </w:tblCellMar>
        </w:tblPrEx>
        <w:tc>
          <w:tcPr>
            <w:tcW w:w="1291" w:type="pct"/>
          </w:tcPr>
          <w:p w:rsidR="00000000" w:rsidRDefault="004D2F83">
            <w:pPr>
              <w:pStyle w:val="NormalIndent"/>
              <w:spacing w:line="400" w:lineRule="exact"/>
              <w:ind w:firstLine="540"/>
              <w:rPr>
                <w:rFonts w:eastAsia="SimHei" w:hint="eastAsia"/>
                <w:sz w:val="18"/>
              </w:rPr>
            </w:pPr>
            <w:r>
              <w:rPr>
                <w:rFonts w:eastAsia="SimHei" w:hint="eastAsia"/>
                <w:sz w:val="18"/>
              </w:rPr>
              <w:t>不详</w:t>
            </w:r>
          </w:p>
        </w:tc>
        <w:tc>
          <w:tcPr>
            <w:tcW w:w="1182" w:type="pct"/>
          </w:tcPr>
          <w:p w:rsidR="00000000" w:rsidRDefault="004D2F83" w:rsidP="004D2F83">
            <w:pPr>
              <w:pStyle w:val="NormalIndent"/>
              <w:spacing w:line="400" w:lineRule="exact"/>
              <w:ind w:rightChars="337" w:right="31680" w:firstLine="0"/>
              <w:jc w:val="right"/>
              <w:rPr>
                <w:rFonts w:hint="eastAsia"/>
                <w:sz w:val="18"/>
              </w:rPr>
            </w:pPr>
            <w:r>
              <w:rPr>
                <w:rFonts w:hint="eastAsia"/>
                <w:sz w:val="18"/>
              </w:rPr>
              <w:t>10 134</w:t>
            </w:r>
          </w:p>
        </w:tc>
        <w:tc>
          <w:tcPr>
            <w:tcW w:w="1264" w:type="pct"/>
          </w:tcPr>
          <w:p w:rsidR="00000000" w:rsidRDefault="004D2F83" w:rsidP="004D2F83">
            <w:pPr>
              <w:pStyle w:val="NormalIndent"/>
              <w:spacing w:line="400" w:lineRule="exact"/>
              <w:ind w:rightChars="337" w:right="31680" w:firstLine="0"/>
              <w:jc w:val="right"/>
              <w:rPr>
                <w:rFonts w:hint="eastAsia"/>
                <w:sz w:val="18"/>
              </w:rPr>
            </w:pPr>
            <w:r>
              <w:rPr>
                <w:rFonts w:hint="eastAsia"/>
                <w:sz w:val="18"/>
              </w:rPr>
              <w:t>6 950</w:t>
            </w:r>
          </w:p>
        </w:tc>
        <w:tc>
          <w:tcPr>
            <w:tcW w:w="1264" w:type="pct"/>
          </w:tcPr>
          <w:p w:rsidR="00000000" w:rsidRDefault="004D2F83" w:rsidP="004D2F83">
            <w:pPr>
              <w:pStyle w:val="NormalIndent"/>
              <w:spacing w:line="400" w:lineRule="exact"/>
              <w:ind w:rightChars="337" w:right="31680" w:firstLine="0"/>
              <w:jc w:val="right"/>
              <w:rPr>
                <w:rFonts w:hint="eastAsia"/>
                <w:sz w:val="18"/>
              </w:rPr>
            </w:pPr>
            <w:r>
              <w:rPr>
                <w:rFonts w:hint="eastAsia"/>
                <w:sz w:val="18"/>
              </w:rPr>
              <w:t>17 084</w:t>
            </w:r>
          </w:p>
        </w:tc>
      </w:tr>
      <w:tr w:rsidR="00000000">
        <w:tblPrEx>
          <w:tblCellMar>
            <w:top w:w="0" w:type="dxa"/>
            <w:bottom w:w="0" w:type="dxa"/>
          </w:tblCellMar>
        </w:tblPrEx>
        <w:tc>
          <w:tcPr>
            <w:tcW w:w="1291" w:type="pct"/>
          </w:tcPr>
          <w:p w:rsidR="00000000" w:rsidRDefault="004D2F83">
            <w:pPr>
              <w:pStyle w:val="NormalIndent"/>
              <w:spacing w:line="400" w:lineRule="exact"/>
              <w:ind w:firstLine="540"/>
              <w:rPr>
                <w:rFonts w:eastAsia="SimHei" w:hint="eastAsia"/>
                <w:sz w:val="18"/>
              </w:rPr>
            </w:pPr>
            <w:r>
              <w:rPr>
                <w:rFonts w:eastAsia="SimHei" w:hint="eastAsia"/>
                <w:sz w:val="18"/>
              </w:rPr>
              <w:t>共计</w:t>
            </w:r>
          </w:p>
        </w:tc>
        <w:tc>
          <w:tcPr>
            <w:tcW w:w="1182" w:type="pct"/>
          </w:tcPr>
          <w:p w:rsidR="00000000" w:rsidRDefault="004D2F83" w:rsidP="004D2F83">
            <w:pPr>
              <w:pStyle w:val="NormalIndent"/>
              <w:spacing w:line="400" w:lineRule="exact"/>
              <w:ind w:rightChars="337" w:right="31680" w:firstLine="0"/>
              <w:jc w:val="right"/>
              <w:rPr>
                <w:rFonts w:hint="eastAsia"/>
                <w:sz w:val="18"/>
              </w:rPr>
            </w:pPr>
            <w:r>
              <w:rPr>
                <w:rFonts w:hint="eastAsia"/>
                <w:sz w:val="18"/>
              </w:rPr>
              <w:t>78 470 936</w:t>
            </w:r>
          </w:p>
        </w:tc>
        <w:tc>
          <w:tcPr>
            <w:tcW w:w="1264" w:type="pct"/>
          </w:tcPr>
          <w:p w:rsidR="00000000" w:rsidRDefault="004D2F83" w:rsidP="004D2F83">
            <w:pPr>
              <w:pStyle w:val="NormalIndent"/>
              <w:spacing w:line="400" w:lineRule="exact"/>
              <w:ind w:rightChars="337" w:right="31680" w:firstLine="0"/>
              <w:jc w:val="right"/>
              <w:rPr>
                <w:rFonts w:hint="eastAsia"/>
                <w:sz w:val="18"/>
              </w:rPr>
            </w:pPr>
            <w:r>
              <w:rPr>
                <w:rFonts w:hint="eastAsia"/>
                <w:sz w:val="18"/>
              </w:rPr>
              <w:t>81 865 535</w:t>
            </w:r>
          </w:p>
        </w:tc>
        <w:tc>
          <w:tcPr>
            <w:tcW w:w="1264" w:type="pct"/>
          </w:tcPr>
          <w:p w:rsidR="00000000" w:rsidRDefault="004D2F83" w:rsidP="004D2F83">
            <w:pPr>
              <w:pStyle w:val="NormalIndent"/>
              <w:spacing w:line="400" w:lineRule="exact"/>
              <w:ind w:rightChars="337" w:right="31680" w:firstLine="0"/>
              <w:jc w:val="right"/>
              <w:rPr>
                <w:rFonts w:hint="eastAsia"/>
                <w:sz w:val="18"/>
              </w:rPr>
            </w:pPr>
            <w:r>
              <w:rPr>
                <w:rFonts w:hint="eastAsia"/>
                <w:sz w:val="18"/>
              </w:rPr>
              <w:t>160 336 471</w:t>
            </w:r>
          </w:p>
        </w:tc>
      </w:tr>
    </w:tbl>
    <w:p w:rsidR="00000000" w:rsidRDefault="004D2F83">
      <w:pPr>
        <w:pStyle w:val="NormalIndent"/>
        <w:spacing w:after="240" w:line="360" w:lineRule="exact"/>
        <w:ind w:firstLine="0"/>
        <w:rPr>
          <w:rFonts w:hint="eastAsia"/>
          <w:sz w:val="18"/>
        </w:rPr>
      </w:pPr>
      <w:r>
        <w:rPr>
          <w:rFonts w:eastAsia="SimHei" w:hint="eastAsia"/>
          <w:bCs/>
          <w:sz w:val="18"/>
        </w:rPr>
        <w:t>资料来源：</w:t>
      </w:r>
      <w:r>
        <w:rPr>
          <w:rFonts w:hint="eastAsia"/>
          <w:sz w:val="18"/>
        </w:rPr>
        <w:t>巴</w:t>
      </w:r>
      <w:r>
        <w:rPr>
          <w:rFonts w:hint="eastAsia"/>
          <w:sz w:val="18"/>
        </w:rPr>
        <w:t>西地理统计局</w:t>
      </w:r>
      <w:r>
        <w:rPr>
          <w:rFonts w:hint="eastAsia"/>
          <w:sz w:val="18"/>
        </w:rPr>
        <w:t>/1999</w:t>
      </w:r>
      <w:r>
        <w:rPr>
          <w:rFonts w:hint="eastAsia"/>
          <w:sz w:val="18"/>
        </w:rPr>
        <w:t>年全国住户抽样调查</w:t>
      </w:r>
    </w:p>
    <w:p w:rsidR="00000000" w:rsidRDefault="004D2F83" w:rsidP="004D2F83">
      <w:pPr>
        <w:pStyle w:val="NormalIndent"/>
        <w:spacing w:after="240" w:line="360" w:lineRule="exact"/>
        <w:ind w:firstLineChars="200" w:firstLine="31680"/>
        <w:rPr>
          <w:rFonts w:hint="eastAsia"/>
        </w:rPr>
      </w:pPr>
      <w:r>
        <w:rPr>
          <w:rFonts w:hint="eastAsia"/>
        </w:rPr>
        <w:t>一些研究表明，种族</w:t>
      </w:r>
      <w:r>
        <w:rPr>
          <w:rFonts w:hint="eastAsia"/>
        </w:rPr>
        <w:t>/</w:t>
      </w:r>
      <w:r>
        <w:rPr>
          <w:rFonts w:hint="eastAsia"/>
        </w:rPr>
        <w:t>肤色类别与性别和社会阶级等其它类别交叉显示出巴西社会中男人和妇女、白人和黑人、富人和穷人之间生活状况的强烈对比。这些对比贯穿在社会生活的各个领域，体现在受教育、保健、生活质量（基础卫生设施、水、排污）、进入劳动力市场、获得信息、正义和公民权利等方面。因此，在性别发展指数中加入种族</w:t>
      </w:r>
      <w:r>
        <w:rPr>
          <w:rFonts w:hint="eastAsia"/>
        </w:rPr>
        <w:t>/</w:t>
      </w:r>
      <w:r>
        <w:rPr>
          <w:rFonts w:hint="eastAsia"/>
        </w:rPr>
        <w:t>民族变量后，差异就变得更加明显。白人男子排名第</w:t>
      </w:r>
      <w:r>
        <w:rPr>
          <w:rFonts w:hint="eastAsia"/>
        </w:rPr>
        <w:t>41</w:t>
      </w:r>
      <w:r>
        <w:rPr>
          <w:rFonts w:hint="eastAsia"/>
        </w:rPr>
        <w:t>位，非洲后裔则排名第</w:t>
      </w:r>
      <w:r>
        <w:rPr>
          <w:rFonts w:hint="eastAsia"/>
        </w:rPr>
        <w:t>104</w:t>
      </w:r>
      <w:r>
        <w:rPr>
          <w:rFonts w:hint="eastAsia"/>
        </w:rPr>
        <w:t>位——即落后</w:t>
      </w:r>
      <w:r>
        <w:rPr>
          <w:rFonts w:hint="eastAsia"/>
        </w:rPr>
        <w:t>63</w:t>
      </w:r>
      <w:r>
        <w:rPr>
          <w:rFonts w:hint="eastAsia"/>
        </w:rPr>
        <w:t>位。另一方面，白人妇女排名第</w:t>
      </w:r>
      <w:r>
        <w:rPr>
          <w:rFonts w:hint="eastAsia"/>
        </w:rPr>
        <w:t>69</w:t>
      </w:r>
      <w:r>
        <w:rPr>
          <w:rFonts w:hint="eastAsia"/>
        </w:rPr>
        <w:t>位，非洲后裔落后</w:t>
      </w:r>
      <w:r>
        <w:rPr>
          <w:rFonts w:hint="eastAsia"/>
        </w:rPr>
        <w:t>45</w:t>
      </w:r>
      <w:r>
        <w:rPr>
          <w:rFonts w:hint="eastAsia"/>
        </w:rPr>
        <w:t>位，排第</w:t>
      </w:r>
      <w:r>
        <w:rPr>
          <w:rFonts w:hint="eastAsia"/>
        </w:rPr>
        <w:t>114</w:t>
      </w:r>
      <w:r>
        <w:rPr>
          <w:rFonts w:hint="eastAsia"/>
        </w:rPr>
        <w:t>位——在所</w:t>
      </w:r>
      <w:r>
        <w:rPr>
          <w:rFonts w:hint="eastAsia"/>
        </w:rPr>
        <w:t>有四个群体中指数是最低的。</w:t>
      </w:r>
      <w:r>
        <w:rPr>
          <w:rStyle w:val="FootnoteReference"/>
        </w:rPr>
        <w:footnoteReference w:customMarkFollows="1" w:id="18"/>
        <w:t>17</w:t>
      </w:r>
      <w:r>
        <w:rPr>
          <w:rFonts w:hint="eastAsia"/>
        </w:rPr>
        <w:t xml:space="preserve"> </w:t>
      </w:r>
      <w:r>
        <w:rPr>
          <w:rFonts w:hint="eastAsia"/>
        </w:rPr>
        <w:t>鉴于这些差异，巴西人口的特征是在性别和种族</w:t>
      </w:r>
      <w:r>
        <w:rPr>
          <w:rFonts w:hint="eastAsia"/>
        </w:rPr>
        <w:t>/</w:t>
      </w:r>
      <w:r>
        <w:rPr>
          <w:rFonts w:hint="eastAsia"/>
        </w:rPr>
        <w:t>民族情况方面各有特点。</w:t>
      </w:r>
    </w:p>
    <w:p w:rsidR="00000000" w:rsidRDefault="004D2F83" w:rsidP="004D2F83">
      <w:pPr>
        <w:pStyle w:val="NormalIndent"/>
        <w:spacing w:after="240" w:line="360" w:lineRule="exact"/>
        <w:ind w:firstLineChars="200" w:firstLine="31680"/>
        <w:rPr>
          <w:rFonts w:hint="eastAsia"/>
        </w:rPr>
      </w:pPr>
      <w:r>
        <w:rPr>
          <w:rFonts w:hint="eastAsia"/>
        </w:rPr>
        <w:t>根据应用经济研究所（</w:t>
      </w:r>
      <w:r>
        <w:rPr>
          <w:rFonts w:hint="eastAsia"/>
        </w:rPr>
        <w:t>IPEA</w:t>
      </w:r>
      <w:r>
        <w:rPr>
          <w:rFonts w:hint="eastAsia"/>
        </w:rPr>
        <w:t>）进行的分析，</w:t>
      </w:r>
      <w:r>
        <w:rPr>
          <w:rFonts w:hint="eastAsia"/>
        </w:rPr>
        <w:t>1999</w:t>
      </w:r>
      <w:r>
        <w:rPr>
          <w:rFonts w:hint="eastAsia"/>
        </w:rPr>
        <w:t>年约</w:t>
      </w:r>
      <w:r>
        <w:rPr>
          <w:rFonts w:hint="eastAsia"/>
        </w:rPr>
        <w:t>34%</w:t>
      </w:r>
      <w:r>
        <w:rPr>
          <w:rFonts w:hint="eastAsia"/>
        </w:rPr>
        <w:t>的巴西人口居住在收入低于贫困线的家庭中，</w:t>
      </w:r>
      <w:r>
        <w:rPr>
          <w:rFonts w:hint="eastAsia"/>
        </w:rPr>
        <w:t>14%</w:t>
      </w:r>
      <w:r>
        <w:rPr>
          <w:rFonts w:hint="eastAsia"/>
        </w:rPr>
        <w:t>居住在收入低于极端贫困线的家庭中。</w:t>
      </w:r>
      <w:r>
        <w:rPr>
          <w:rStyle w:val="FootnoteReference"/>
        </w:rPr>
        <w:footnoteReference w:customMarkFollows="1" w:id="19"/>
        <w:t>18</w:t>
      </w:r>
      <w:r>
        <w:rPr>
          <w:rFonts w:hint="eastAsia"/>
        </w:rPr>
        <w:t xml:space="preserve"> </w:t>
      </w:r>
      <w:r>
        <w:rPr>
          <w:rFonts w:hint="eastAsia"/>
        </w:rPr>
        <w:t>下表表明在贫困人口中，非洲后裔在各年龄组所占的比例都过大。</w:t>
      </w:r>
    </w:p>
    <w:p w:rsidR="00000000" w:rsidRDefault="004D2F83">
      <w:pPr>
        <w:pStyle w:val="NormalIndent"/>
        <w:spacing w:after="240" w:line="360" w:lineRule="exact"/>
        <w:ind w:firstLine="0"/>
        <w:jc w:val="center"/>
        <w:rPr>
          <w:rFonts w:ascii="SimHei" w:eastAsia="SimHei" w:hint="eastAsia"/>
          <w:bCs/>
        </w:rPr>
      </w:pPr>
      <w:r>
        <w:rPr>
          <w:rFonts w:ascii="SimHei" w:eastAsia="SimHei" w:hint="eastAsia"/>
          <w:bCs/>
        </w:rPr>
        <w:t>表</w:t>
      </w:r>
      <w:r>
        <w:rPr>
          <w:rFonts w:ascii="SimHei" w:eastAsia="SimHei" w:hint="eastAsia"/>
          <w:bCs/>
        </w:rPr>
        <w:t>7</w:t>
      </w:r>
      <w:r>
        <w:rPr>
          <w:rFonts w:ascii="SimHei" w:eastAsia="SimHei" w:hint="eastAsia"/>
          <w:bCs/>
        </w:rPr>
        <w:t>：巴西</w:t>
      </w:r>
      <w:r>
        <w:rPr>
          <w:rFonts w:ascii="SimHei" w:eastAsia="SimHei" w:hint="eastAsia"/>
          <w:bCs/>
        </w:rPr>
        <w:t xml:space="preserve"> </w:t>
      </w:r>
      <w:r>
        <w:rPr>
          <w:rFonts w:ascii="SimHei" w:eastAsia="SimHei"/>
          <w:bCs/>
        </w:rPr>
        <w:t>–</w:t>
      </w:r>
      <w:r>
        <w:rPr>
          <w:rFonts w:ascii="SimHei" w:eastAsia="SimHei" w:hint="eastAsia"/>
          <w:bCs/>
        </w:rPr>
        <w:t xml:space="preserve"> 1999</w:t>
      </w:r>
      <w:r>
        <w:rPr>
          <w:rFonts w:ascii="SimHei" w:eastAsia="SimHei" w:hint="eastAsia"/>
          <w:bCs/>
        </w:rPr>
        <w:t>年贫困和极端贫困人口的种族构成（</w:t>
      </w:r>
      <w:r>
        <w:rPr>
          <w:rFonts w:ascii="SimHei" w:eastAsia="SimHei" w:hint="eastAsia"/>
          <w:bCs/>
        </w:rPr>
        <w:t>%</w:t>
      </w:r>
      <w:r>
        <w:rPr>
          <w:rFonts w:ascii="SimHei" w:eastAsia="SimHei" w:hint="eastAsia"/>
          <w:bCs/>
        </w:rPr>
        <w:t>）</w:t>
      </w:r>
    </w:p>
    <w:tbl>
      <w:tblPr>
        <w:tblW w:w="4946" w:type="pct"/>
        <w:tblInd w:w="108" w:type="dxa"/>
        <w:tblBorders>
          <w:top w:val="single" w:sz="4" w:space="0" w:color="auto"/>
          <w:insideH w:val="single" w:sz="4" w:space="0" w:color="auto"/>
          <w:insideV w:val="single" w:sz="4" w:space="0" w:color="auto"/>
        </w:tblBorders>
        <w:tblLook w:val="01E0" w:firstRow="1" w:lastRow="1" w:firstColumn="1" w:lastColumn="1" w:noHBand="0" w:noVBand="0"/>
      </w:tblPr>
      <w:tblGrid>
        <w:gridCol w:w="3212"/>
        <w:gridCol w:w="3322"/>
        <w:gridCol w:w="3322"/>
      </w:tblGrid>
      <w:tr w:rsidR="00000000">
        <w:tblPrEx>
          <w:tblCellMar>
            <w:top w:w="0" w:type="dxa"/>
            <w:bottom w:w="0" w:type="dxa"/>
          </w:tblCellMar>
        </w:tblPrEx>
        <w:tc>
          <w:tcPr>
            <w:tcW w:w="1629" w:type="pct"/>
          </w:tcPr>
          <w:p w:rsidR="00000000" w:rsidRDefault="004D2F83">
            <w:pPr>
              <w:pStyle w:val="NormalIndent"/>
              <w:spacing w:line="400" w:lineRule="exact"/>
              <w:ind w:firstLine="902"/>
              <w:rPr>
                <w:rFonts w:eastAsia="SimHei" w:hint="eastAsia"/>
                <w:sz w:val="18"/>
              </w:rPr>
            </w:pPr>
          </w:p>
        </w:tc>
        <w:tc>
          <w:tcPr>
            <w:tcW w:w="1685" w:type="pct"/>
          </w:tcPr>
          <w:p w:rsidR="00000000" w:rsidRDefault="004D2F83">
            <w:pPr>
              <w:pStyle w:val="NormalIndent"/>
              <w:spacing w:line="400" w:lineRule="exact"/>
              <w:ind w:firstLine="25"/>
              <w:jc w:val="center"/>
              <w:rPr>
                <w:rFonts w:eastAsia="SimHei" w:hint="eastAsia"/>
                <w:sz w:val="18"/>
              </w:rPr>
            </w:pPr>
            <w:r>
              <w:rPr>
                <w:rFonts w:eastAsia="SimHei" w:hint="eastAsia"/>
                <w:sz w:val="18"/>
              </w:rPr>
              <w:t>非洲后裔</w:t>
            </w:r>
          </w:p>
        </w:tc>
        <w:tc>
          <w:tcPr>
            <w:tcW w:w="1685" w:type="pct"/>
          </w:tcPr>
          <w:p w:rsidR="00000000" w:rsidRDefault="004D2F83">
            <w:pPr>
              <w:pStyle w:val="NormalIndent"/>
              <w:spacing w:line="400" w:lineRule="exact"/>
              <w:ind w:firstLine="25"/>
              <w:jc w:val="center"/>
              <w:rPr>
                <w:rFonts w:eastAsia="SimHei" w:hint="eastAsia"/>
                <w:sz w:val="18"/>
              </w:rPr>
            </w:pPr>
            <w:r>
              <w:rPr>
                <w:rFonts w:eastAsia="SimHei" w:hint="eastAsia"/>
                <w:sz w:val="18"/>
              </w:rPr>
              <w:t>白人</w:t>
            </w:r>
          </w:p>
        </w:tc>
      </w:tr>
      <w:tr w:rsidR="00000000">
        <w:tblPrEx>
          <w:tblCellMar>
            <w:top w:w="0" w:type="dxa"/>
            <w:bottom w:w="0" w:type="dxa"/>
          </w:tblCellMar>
        </w:tblPrEx>
        <w:tc>
          <w:tcPr>
            <w:tcW w:w="1629" w:type="pct"/>
          </w:tcPr>
          <w:p w:rsidR="00000000" w:rsidRDefault="004D2F83">
            <w:pPr>
              <w:pStyle w:val="NormalIndent"/>
              <w:spacing w:line="400" w:lineRule="exact"/>
              <w:ind w:firstLine="902"/>
              <w:rPr>
                <w:rFonts w:eastAsia="SimHei" w:hint="eastAsia"/>
                <w:sz w:val="18"/>
              </w:rPr>
            </w:pPr>
            <w:r>
              <w:rPr>
                <w:rFonts w:eastAsia="SimHei" w:hint="eastAsia"/>
                <w:sz w:val="18"/>
              </w:rPr>
              <w:t>共计</w:t>
            </w:r>
          </w:p>
        </w:tc>
        <w:tc>
          <w:tcPr>
            <w:tcW w:w="1685" w:type="pct"/>
          </w:tcPr>
          <w:p w:rsidR="00000000" w:rsidRDefault="004D2F83">
            <w:pPr>
              <w:pStyle w:val="NormalIndent"/>
              <w:spacing w:line="400" w:lineRule="exact"/>
              <w:ind w:firstLine="25"/>
              <w:jc w:val="center"/>
              <w:rPr>
                <w:rFonts w:hint="eastAsia"/>
                <w:sz w:val="18"/>
              </w:rPr>
            </w:pPr>
            <w:r>
              <w:rPr>
                <w:rFonts w:hint="eastAsia"/>
                <w:sz w:val="18"/>
              </w:rPr>
              <w:t>45</w:t>
            </w:r>
          </w:p>
        </w:tc>
        <w:tc>
          <w:tcPr>
            <w:tcW w:w="1685" w:type="pct"/>
          </w:tcPr>
          <w:p w:rsidR="00000000" w:rsidRDefault="004D2F83">
            <w:pPr>
              <w:pStyle w:val="NormalIndent"/>
              <w:spacing w:line="400" w:lineRule="exact"/>
              <w:ind w:firstLine="25"/>
              <w:jc w:val="center"/>
              <w:rPr>
                <w:rFonts w:hint="eastAsia"/>
                <w:sz w:val="18"/>
              </w:rPr>
            </w:pPr>
            <w:r>
              <w:rPr>
                <w:rFonts w:hint="eastAsia"/>
                <w:sz w:val="18"/>
              </w:rPr>
              <w:t>54</w:t>
            </w:r>
          </w:p>
        </w:tc>
      </w:tr>
      <w:tr w:rsidR="00000000">
        <w:tblPrEx>
          <w:tblCellMar>
            <w:top w:w="0" w:type="dxa"/>
            <w:bottom w:w="0" w:type="dxa"/>
          </w:tblCellMar>
        </w:tblPrEx>
        <w:tc>
          <w:tcPr>
            <w:tcW w:w="1629" w:type="pct"/>
            <w:tcBorders>
              <w:bottom w:val="single" w:sz="4" w:space="0" w:color="auto"/>
            </w:tcBorders>
          </w:tcPr>
          <w:p w:rsidR="00000000" w:rsidRDefault="004D2F83">
            <w:pPr>
              <w:pStyle w:val="NormalIndent"/>
              <w:spacing w:line="400" w:lineRule="exact"/>
              <w:ind w:firstLine="902"/>
              <w:rPr>
                <w:rFonts w:eastAsia="SimHei" w:hint="eastAsia"/>
                <w:sz w:val="18"/>
              </w:rPr>
            </w:pPr>
            <w:r>
              <w:rPr>
                <w:rFonts w:eastAsia="SimHei" w:hint="eastAsia"/>
                <w:sz w:val="18"/>
              </w:rPr>
              <w:t>贫困</w:t>
            </w:r>
          </w:p>
        </w:tc>
        <w:tc>
          <w:tcPr>
            <w:tcW w:w="1685" w:type="pct"/>
            <w:tcBorders>
              <w:bottom w:val="single" w:sz="4" w:space="0" w:color="auto"/>
            </w:tcBorders>
          </w:tcPr>
          <w:p w:rsidR="00000000" w:rsidRDefault="004D2F83">
            <w:pPr>
              <w:pStyle w:val="NormalIndent"/>
              <w:spacing w:line="400" w:lineRule="exact"/>
              <w:ind w:firstLine="25"/>
              <w:jc w:val="center"/>
              <w:rPr>
                <w:rFonts w:hint="eastAsia"/>
                <w:sz w:val="18"/>
              </w:rPr>
            </w:pPr>
            <w:r>
              <w:rPr>
                <w:rFonts w:hint="eastAsia"/>
                <w:sz w:val="18"/>
              </w:rPr>
              <w:t>64</w:t>
            </w:r>
          </w:p>
        </w:tc>
        <w:tc>
          <w:tcPr>
            <w:tcW w:w="1685" w:type="pct"/>
            <w:tcBorders>
              <w:bottom w:val="single" w:sz="4" w:space="0" w:color="auto"/>
            </w:tcBorders>
          </w:tcPr>
          <w:p w:rsidR="00000000" w:rsidRDefault="004D2F83">
            <w:pPr>
              <w:pStyle w:val="NormalIndent"/>
              <w:spacing w:line="400" w:lineRule="exact"/>
              <w:ind w:firstLine="25"/>
              <w:jc w:val="center"/>
              <w:rPr>
                <w:rFonts w:hint="eastAsia"/>
                <w:sz w:val="18"/>
              </w:rPr>
            </w:pPr>
            <w:r>
              <w:rPr>
                <w:rFonts w:hint="eastAsia"/>
                <w:sz w:val="18"/>
              </w:rPr>
              <w:t>36</w:t>
            </w:r>
          </w:p>
        </w:tc>
      </w:tr>
      <w:tr w:rsidR="00000000">
        <w:tblPrEx>
          <w:tblCellMar>
            <w:top w:w="0" w:type="dxa"/>
            <w:bottom w:w="0" w:type="dxa"/>
          </w:tblCellMar>
        </w:tblPrEx>
        <w:tc>
          <w:tcPr>
            <w:tcW w:w="1629" w:type="pct"/>
            <w:tcBorders>
              <w:bottom w:val="single" w:sz="4" w:space="0" w:color="auto"/>
            </w:tcBorders>
          </w:tcPr>
          <w:p w:rsidR="00000000" w:rsidRDefault="004D2F83">
            <w:pPr>
              <w:pStyle w:val="NormalIndent"/>
              <w:spacing w:line="400" w:lineRule="exact"/>
              <w:ind w:firstLine="902"/>
              <w:rPr>
                <w:rFonts w:eastAsia="SimHei" w:hint="eastAsia"/>
                <w:sz w:val="18"/>
              </w:rPr>
            </w:pPr>
            <w:r>
              <w:rPr>
                <w:rFonts w:eastAsia="SimHei" w:hint="eastAsia"/>
                <w:sz w:val="18"/>
              </w:rPr>
              <w:t>极端贫困</w:t>
            </w:r>
          </w:p>
        </w:tc>
        <w:tc>
          <w:tcPr>
            <w:tcW w:w="1685" w:type="pct"/>
            <w:tcBorders>
              <w:bottom w:val="single" w:sz="4" w:space="0" w:color="auto"/>
            </w:tcBorders>
          </w:tcPr>
          <w:p w:rsidR="00000000" w:rsidRDefault="004D2F83">
            <w:pPr>
              <w:pStyle w:val="NormalIndent"/>
              <w:spacing w:line="400" w:lineRule="exact"/>
              <w:ind w:firstLine="25"/>
              <w:jc w:val="center"/>
              <w:rPr>
                <w:rFonts w:hint="eastAsia"/>
                <w:sz w:val="18"/>
              </w:rPr>
            </w:pPr>
            <w:r>
              <w:rPr>
                <w:rFonts w:hint="eastAsia"/>
                <w:sz w:val="18"/>
              </w:rPr>
              <w:t>69</w:t>
            </w:r>
          </w:p>
        </w:tc>
        <w:tc>
          <w:tcPr>
            <w:tcW w:w="1685" w:type="pct"/>
            <w:tcBorders>
              <w:bottom w:val="single" w:sz="4" w:space="0" w:color="auto"/>
            </w:tcBorders>
          </w:tcPr>
          <w:p w:rsidR="00000000" w:rsidRDefault="004D2F83">
            <w:pPr>
              <w:pStyle w:val="NormalIndent"/>
              <w:spacing w:line="400" w:lineRule="exact"/>
              <w:ind w:firstLine="25"/>
              <w:jc w:val="center"/>
              <w:rPr>
                <w:rFonts w:hint="eastAsia"/>
                <w:sz w:val="18"/>
              </w:rPr>
            </w:pPr>
            <w:r>
              <w:rPr>
                <w:rFonts w:hint="eastAsia"/>
                <w:sz w:val="18"/>
              </w:rPr>
              <w:t>31</w:t>
            </w:r>
          </w:p>
        </w:tc>
      </w:tr>
    </w:tbl>
    <w:p w:rsidR="00000000" w:rsidRDefault="004D2F83">
      <w:pPr>
        <w:pStyle w:val="NormalIndent"/>
        <w:spacing w:line="360" w:lineRule="exact"/>
        <w:ind w:firstLine="0"/>
        <w:rPr>
          <w:rFonts w:hint="eastAsia"/>
        </w:rPr>
      </w:pPr>
    </w:p>
    <w:p w:rsidR="00000000" w:rsidRDefault="004D2F83" w:rsidP="004D2F83">
      <w:pPr>
        <w:pStyle w:val="NormalIndent"/>
        <w:spacing w:after="240" w:line="360" w:lineRule="exact"/>
        <w:ind w:firstLineChars="200" w:firstLine="31680"/>
        <w:rPr>
          <w:rFonts w:hint="eastAsia"/>
        </w:rPr>
      </w:pPr>
      <w:r>
        <w:rPr>
          <w:rFonts w:hint="eastAsia"/>
        </w:rPr>
        <w:t>从绝对数字看，巴西贫困人口共计</w:t>
      </w:r>
      <w:r>
        <w:rPr>
          <w:rFonts w:hint="eastAsia"/>
        </w:rPr>
        <w:t>5 300</w:t>
      </w:r>
      <w:r>
        <w:rPr>
          <w:rFonts w:hint="eastAsia"/>
        </w:rPr>
        <w:t>万，其中</w:t>
      </w:r>
      <w:r>
        <w:rPr>
          <w:rFonts w:hint="eastAsia"/>
        </w:rPr>
        <w:t>3 370</w:t>
      </w:r>
      <w:r>
        <w:rPr>
          <w:rFonts w:hint="eastAsia"/>
        </w:rPr>
        <w:t>万为非洲后裔。另有</w:t>
      </w:r>
      <w:r>
        <w:rPr>
          <w:rFonts w:hint="eastAsia"/>
        </w:rPr>
        <w:t>2 200</w:t>
      </w:r>
      <w:r>
        <w:rPr>
          <w:rFonts w:hint="eastAsia"/>
        </w:rPr>
        <w:t>万巴西人生活极端贫困，其中</w:t>
      </w:r>
      <w:r>
        <w:rPr>
          <w:rFonts w:hint="eastAsia"/>
        </w:rPr>
        <w:t>1 510</w:t>
      </w:r>
      <w:r>
        <w:rPr>
          <w:rFonts w:hint="eastAsia"/>
        </w:rPr>
        <w:t>万为非裔。因此，在全国最贫困的</w:t>
      </w:r>
      <w:r>
        <w:rPr>
          <w:rFonts w:hint="eastAsia"/>
        </w:rPr>
        <w:t>10%</w:t>
      </w:r>
      <w:r>
        <w:rPr>
          <w:rFonts w:hint="eastAsia"/>
        </w:rPr>
        <w:t>的人口中，非裔人口占</w:t>
      </w:r>
      <w:r>
        <w:rPr>
          <w:rFonts w:hint="eastAsia"/>
        </w:rPr>
        <w:t>70%</w:t>
      </w:r>
      <w:r>
        <w:rPr>
          <w:rFonts w:hint="eastAsia"/>
        </w:rPr>
        <w:t>。</w:t>
      </w:r>
    </w:p>
    <w:p w:rsidR="00000000" w:rsidRDefault="004D2F83" w:rsidP="004D2F83">
      <w:pPr>
        <w:pStyle w:val="NormalIndent"/>
        <w:spacing w:after="240" w:line="360" w:lineRule="exact"/>
        <w:ind w:firstLineChars="200" w:firstLine="31680"/>
        <w:rPr>
          <w:rFonts w:hint="eastAsia"/>
        </w:rPr>
      </w:pPr>
      <w:r>
        <w:rPr>
          <w:rFonts w:hint="eastAsia"/>
        </w:rPr>
        <w:t>关于预期寿命，非裔妇女和男子的预期寿命分别比白人妇女的预期寿命（</w:t>
      </w:r>
      <w:r>
        <w:rPr>
          <w:rFonts w:hint="eastAsia"/>
        </w:rPr>
        <w:t>71</w:t>
      </w:r>
      <w:r>
        <w:rPr>
          <w:rFonts w:hint="eastAsia"/>
        </w:rPr>
        <w:t>岁）短</w:t>
      </w:r>
      <w:r>
        <w:rPr>
          <w:rFonts w:hint="eastAsia"/>
        </w:rPr>
        <w:t>5</w:t>
      </w:r>
      <w:r>
        <w:rPr>
          <w:rFonts w:hint="eastAsia"/>
        </w:rPr>
        <w:t>年和</w:t>
      </w:r>
      <w:r>
        <w:rPr>
          <w:rFonts w:hint="eastAsia"/>
        </w:rPr>
        <w:t>6</w:t>
      </w:r>
      <w:r>
        <w:rPr>
          <w:rFonts w:hint="eastAsia"/>
        </w:rPr>
        <w:t>年。</w:t>
      </w:r>
      <w:r>
        <w:rPr>
          <w:rStyle w:val="FootnoteReference"/>
        </w:rPr>
        <w:footnoteReference w:customMarkFollows="1" w:id="20"/>
        <w:t>19</w:t>
      </w:r>
      <w:r>
        <w:rPr>
          <w:rFonts w:hint="eastAsia"/>
        </w:rPr>
        <w:t xml:space="preserve"> </w:t>
      </w:r>
      <w:r>
        <w:rPr>
          <w:rFonts w:hint="eastAsia"/>
        </w:rPr>
        <w:t>巴西黑人的预期寿命为</w:t>
      </w:r>
      <w:r>
        <w:rPr>
          <w:rFonts w:hint="eastAsia"/>
        </w:rPr>
        <w:t>64</w:t>
      </w:r>
      <w:r>
        <w:rPr>
          <w:rFonts w:hint="eastAsia"/>
        </w:rPr>
        <w:t>岁，比白人的预期寿命短</w:t>
      </w:r>
      <w:r>
        <w:rPr>
          <w:rFonts w:hint="eastAsia"/>
        </w:rPr>
        <w:t>6</w:t>
      </w:r>
      <w:r>
        <w:rPr>
          <w:rFonts w:hint="eastAsia"/>
        </w:rPr>
        <w:t>年。</w:t>
      </w:r>
      <w:r>
        <w:rPr>
          <w:rFonts w:hint="eastAsia"/>
        </w:rPr>
        <w:t>1995</w:t>
      </w:r>
      <w:r>
        <w:rPr>
          <w:rFonts w:hint="eastAsia"/>
        </w:rPr>
        <w:t>年，</w:t>
      </w:r>
      <w:r>
        <w:rPr>
          <w:rFonts w:hint="eastAsia"/>
        </w:rPr>
        <w:t>SEADE</w:t>
      </w:r>
      <w:r>
        <w:rPr>
          <w:rFonts w:hint="eastAsia"/>
        </w:rPr>
        <w:t>基金会所作的一项关于圣保罗市的死亡率的研究</w:t>
      </w:r>
      <w:r>
        <w:rPr>
          <w:rFonts w:hint="eastAsia"/>
          <w:vertAlign w:val="superscript"/>
        </w:rPr>
        <w:t>20</w:t>
      </w:r>
      <w:r>
        <w:rPr>
          <w:rFonts w:hint="eastAsia"/>
        </w:rPr>
        <w:t>表明，</w:t>
      </w:r>
      <w:r>
        <w:rPr>
          <w:rFonts w:hint="eastAsia"/>
        </w:rPr>
        <w:t>40.7%</w:t>
      </w:r>
      <w:r>
        <w:rPr>
          <w:rFonts w:hint="eastAsia"/>
        </w:rPr>
        <w:t>的巴西黑人妇女不到</w:t>
      </w:r>
      <w:r>
        <w:rPr>
          <w:rFonts w:hint="eastAsia"/>
        </w:rPr>
        <w:t>50</w:t>
      </w:r>
      <w:r>
        <w:rPr>
          <w:rFonts w:hint="eastAsia"/>
        </w:rPr>
        <w:t>岁便死亡。</w:t>
      </w:r>
    </w:p>
    <w:p w:rsidR="00000000" w:rsidRDefault="004D2F83" w:rsidP="004D2F83">
      <w:pPr>
        <w:pStyle w:val="NormalIndent"/>
        <w:spacing w:after="240" w:line="360" w:lineRule="exact"/>
        <w:ind w:firstLineChars="200" w:firstLine="31680"/>
        <w:rPr>
          <w:rFonts w:hint="eastAsia"/>
        </w:rPr>
      </w:pPr>
      <w:r>
        <w:rPr>
          <w:rFonts w:hint="eastAsia"/>
        </w:rPr>
        <w:t>同样，巴西的非裔和白人儿童在婴儿死亡率和</w:t>
      </w:r>
      <w:r>
        <w:rPr>
          <w:rFonts w:hint="eastAsia"/>
        </w:rPr>
        <w:t>5</w:t>
      </w:r>
      <w:r>
        <w:rPr>
          <w:rFonts w:hint="eastAsia"/>
        </w:rPr>
        <w:t>岁以下儿童的死亡率方面也有很大差异。同等社会经济标准下的非裔妇女和白人妇女所生</w:t>
      </w:r>
      <w:r>
        <w:rPr>
          <w:rFonts w:hint="eastAsia"/>
        </w:rPr>
        <w:t>的子女在第一年的死亡率也有差异。</w:t>
      </w:r>
      <w:r>
        <w:rPr>
          <w:rStyle w:val="FootnoteReference"/>
        </w:rPr>
        <w:footnoteReference w:customMarkFollows="1" w:id="21"/>
        <w:t>21</w:t>
      </w:r>
    </w:p>
    <w:p w:rsidR="00000000" w:rsidRDefault="004D2F83">
      <w:pPr>
        <w:pStyle w:val="NormalIndent"/>
        <w:spacing w:after="240" w:line="360" w:lineRule="exact"/>
        <w:ind w:firstLine="0"/>
        <w:jc w:val="center"/>
        <w:rPr>
          <w:rFonts w:ascii="SimHei" w:eastAsia="SimHei" w:hint="eastAsia"/>
          <w:bCs/>
        </w:rPr>
      </w:pPr>
      <w:r>
        <w:rPr>
          <w:rFonts w:ascii="SimHei" w:eastAsia="SimHei" w:hint="eastAsia"/>
          <w:bCs/>
        </w:rPr>
        <w:t>表</w:t>
      </w:r>
      <w:r>
        <w:rPr>
          <w:rFonts w:ascii="SimHei" w:eastAsia="SimHei" w:hint="eastAsia"/>
          <w:bCs/>
        </w:rPr>
        <w:t>8</w:t>
      </w:r>
      <w:r>
        <w:rPr>
          <w:rFonts w:ascii="SimHei" w:eastAsia="SimHei" w:hint="eastAsia"/>
          <w:bCs/>
        </w:rPr>
        <w:t>：巴西—按母亲肤色列示的每</w:t>
      </w:r>
      <w:r>
        <w:rPr>
          <w:rFonts w:ascii="SimHei" w:eastAsia="SimHei" w:hint="eastAsia"/>
          <w:bCs/>
        </w:rPr>
        <w:t>1 000</w:t>
      </w:r>
      <w:r>
        <w:rPr>
          <w:rFonts w:ascii="SimHei" w:eastAsia="SimHei" w:hint="eastAsia"/>
          <w:bCs/>
        </w:rPr>
        <w:t>名活产婴儿的死亡率</w:t>
      </w:r>
    </w:p>
    <w:tbl>
      <w:tblPr>
        <w:tblW w:w="4946" w:type="pct"/>
        <w:tblInd w:w="108" w:type="dxa"/>
        <w:tblBorders>
          <w:top w:val="single" w:sz="4" w:space="0" w:color="auto"/>
          <w:insideH w:val="single" w:sz="4" w:space="0" w:color="auto"/>
          <w:insideV w:val="single" w:sz="4" w:space="0" w:color="auto"/>
        </w:tblBorders>
        <w:tblLook w:val="01E0" w:firstRow="1" w:lastRow="1" w:firstColumn="1" w:lastColumn="1" w:noHBand="0" w:noVBand="0"/>
      </w:tblPr>
      <w:tblGrid>
        <w:gridCol w:w="2382"/>
        <w:gridCol w:w="2492"/>
        <w:gridCol w:w="2492"/>
        <w:gridCol w:w="2490"/>
      </w:tblGrid>
      <w:tr w:rsidR="00000000">
        <w:tblPrEx>
          <w:tblCellMar>
            <w:top w:w="0" w:type="dxa"/>
            <w:bottom w:w="0" w:type="dxa"/>
          </w:tblCellMar>
        </w:tblPrEx>
        <w:tc>
          <w:tcPr>
            <w:tcW w:w="1209" w:type="pct"/>
          </w:tcPr>
          <w:p w:rsidR="00000000" w:rsidRDefault="004D2F83">
            <w:pPr>
              <w:pStyle w:val="NormalIndent"/>
              <w:spacing w:after="120" w:line="360" w:lineRule="exact"/>
              <w:ind w:firstLine="0"/>
              <w:rPr>
                <w:rFonts w:eastAsia="SimHei" w:hint="eastAsia"/>
                <w:bCs/>
                <w:sz w:val="18"/>
              </w:rPr>
            </w:pPr>
            <w:r>
              <w:rPr>
                <w:rFonts w:eastAsia="SimHei" w:hint="eastAsia"/>
                <w:bCs/>
                <w:sz w:val="18"/>
              </w:rPr>
              <w:t>年份</w:t>
            </w:r>
          </w:p>
        </w:tc>
        <w:tc>
          <w:tcPr>
            <w:tcW w:w="1264" w:type="pct"/>
          </w:tcPr>
          <w:p w:rsidR="00000000" w:rsidRDefault="004D2F83">
            <w:pPr>
              <w:pStyle w:val="NormalIndent"/>
              <w:spacing w:after="120" w:line="360" w:lineRule="exact"/>
              <w:ind w:firstLine="0"/>
              <w:jc w:val="center"/>
              <w:rPr>
                <w:rFonts w:eastAsia="SimHei" w:hint="eastAsia"/>
                <w:bCs/>
                <w:sz w:val="18"/>
              </w:rPr>
            </w:pPr>
            <w:r>
              <w:rPr>
                <w:rFonts w:eastAsia="SimHei" w:hint="eastAsia"/>
                <w:bCs/>
                <w:sz w:val="18"/>
              </w:rPr>
              <w:t>白人</w:t>
            </w:r>
          </w:p>
        </w:tc>
        <w:tc>
          <w:tcPr>
            <w:tcW w:w="1264" w:type="pct"/>
          </w:tcPr>
          <w:p w:rsidR="00000000" w:rsidRDefault="004D2F83">
            <w:pPr>
              <w:pStyle w:val="NormalIndent"/>
              <w:spacing w:after="120" w:line="360" w:lineRule="exact"/>
              <w:ind w:firstLine="0"/>
              <w:jc w:val="center"/>
              <w:rPr>
                <w:rFonts w:eastAsia="SimHei" w:hint="eastAsia"/>
                <w:bCs/>
                <w:sz w:val="18"/>
              </w:rPr>
            </w:pPr>
            <w:r>
              <w:rPr>
                <w:rFonts w:eastAsia="SimHei" w:hint="eastAsia"/>
                <w:bCs/>
                <w:sz w:val="18"/>
              </w:rPr>
              <w:t>非裔</w:t>
            </w:r>
          </w:p>
        </w:tc>
        <w:tc>
          <w:tcPr>
            <w:tcW w:w="1264" w:type="pct"/>
          </w:tcPr>
          <w:p w:rsidR="00000000" w:rsidRDefault="004D2F83">
            <w:pPr>
              <w:pStyle w:val="NormalIndent"/>
              <w:spacing w:after="120" w:line="360" w:lineRule="exact"/>
              <w:ind w:firstLine="0"/>
              <w:jc w:val="center"/>
              <w:rPr>
                <w:rFonts w:eastAsia="SimHei" w:hint="eastAsia"/>
                <w:bCs/>
                <w:sz w:val="18"/>
              </w:rPr>
            </w:pPr>
            <w:r>
              <w:rPr>
                <w:rFonts w:eastAsia="SimHei" w:hint="eastAsia"/>
                <w:bCs/>
                <w:sz w:val="18"/>
              </w:rPr>
              <w:t>共计</w:t>
            </w:r>
          </w:p>
        </w:tc>
      </w:tr>
      <w:tr w:rsidR="00000000">
        <w:tblPrEx>
          <w:tblCellMar>
            <w:top w:w="0" w:type="dxa"/>
            <w:bottom w:w="0" w:type="dxa"/>
          </w:tblCellMar>
        </w:tblPrEx>
        <w:tc>
          <w:tcPr>
            <w:tcW w:w="1209" w:type="pct"/>
          </w:tcPr>
          <w:p w:rsidR="00000000" w:rsidRDefault="004D2F83">
            <w:pPr>
              <w:pStyle w:val="NormalIndent"/>
              <w:spacing w:after="120" w:line="360" w:lineRule="exact"/>
              <w:ind w:firstLine="0"/>
              <w:rPr>
                <w:rFonts w:hint="eastAsia"/>
                <w:sz w:val="18"/>
              </w:rPr>
            </w:pPr>
            <w:r>
              <w:rPr>
                <w:rFonts w:hint="eastAsia"/>
                <w:sz w:val="18"/>
              </w:rPr>
              <w:t>1977</w:t>
            </w:r>
          </w:p>
        </w:tc>
        <w:tc>
          <w:tcPr>
            <w:tcW w:w="1264" w:type="pct"/>
          </w:tcPr>
          <w:p w:rsidR="00000000" w:rsidRDefault="004D2F83">
            <w:pPr>
              <w:pStyle w:val="NormalIndent"/>
              <w:spacing w:after="120" w:line="360" w:lineRule="exact"/>
              <w:ind w:firstLine="0"/>
              <w:jc w:val="center"/>
              <w:rPr>
                <w:rFonts w:hint="eastAsia"/>
                <w:sz w:val="18"/>
              </w:rPr>
            </w:pPr>
            <w:r>
              <w:rPr>
                <w:rFonts w:hint="eastAsia"/>
                <w:sz w:val="18"/>
              </w:rPr>
              <w:t>76</w:t>
            </w:r>
          </w:p>
        </w:tc>
        <w:tc>
          <w:tcPr>
            <w:tcW w:w="1264" w:type="pct"/>
          </w:tcPr>
          <w:p w:rsidR="00000000" w:rsidRDefault="004D2F83">
            <w:pPr>
              <w:pStyle w:val="NormalIndent"/>
              <w:spacing w:after="120" w:line="360" w:lineRule="exact"/>
              <w:ind w:firstLine="0"/>
              <w:jc w:val="center"/>
              <w:rPr>
                <w:rFonts w:hint="eastAsia"/>
                <w:sz w:val="18"/>
              </w:rPr>
            </w:pPr>
            <w:r>
              <w:rPr>
                <w:rFonts w:hint="eastAsia"/>
                <w:sz w:val="18"/>
              </w:rPr>
              <w:t>96</w:t>
            </w:r>
          </w:p>
        </w:tc>
        <w:tc>
          <w:tcPr>
            <w:tcW w:w="1264" w:type="pct"/>
          </w:tcPr>
          <w:p w:rsidR="00000000" w:rsidRDefault="004D2F83">
            <w:pPr>
              <w:pStyle w:val="NormalIndent"/>
              <w:spacing w:after="120" w:line="360" w:lineRule="exact"/>
              <w:ind w:firstLine="0"/>
              <w:jc w:val="center"/>
              <w:rPr>
                <w:rFonts w:hint="eastAsia"/>
                <w:sz w:val="18"/>
              </w:rPr>
            </w:pPr>
            <w:r>
              <w:rPr>
                <w:rFonts w:hint="eastAsia"/>
                <w:sz w:val="18"/>
              </w:rPr>
              <w:t>87</w:t>
            </w:r>
          </w:p>
        </w:tc>
      </w:tr>
      <w:tr w:rsidR="00000000">
        <w:tblPrEx>
          <w:tblCellMar>
            <w:top w:w="0" w:type="dxa"/>
            <w:bottom w:w="0" w:type="dxa"/>
          </w:tblCellMar>
        </w:tblPrEx>
        <w:tc>
          <w:tcPr>
            <w:tcW w:w="1209" w:type="pct"/>
            <w:tcBorders>
              <w:bottom w:val="single" w:sz="4" w:space="0" w:color="auto"/>
            </w:tcBorders>
          </w:tcPr>
          <w:p w:rsidR="00000000" w:rsidRDefault="004D2F83">
            <w:pPr>
              <w:pStyle w:val="NormalIndent"/>
              <w:spacing w:after="120" w:line="360" w:lineRule="exact"/>
              <w:ind w:firstLine="0"/>
              <w:rPr>
                <w:rFonts w:hint="eastAsia"/>
                <w:sz w:val="18"/>
              </w:rPr>
            </w:pPr>
            <w:r>
              <w:rPr>
                <w:rFonts w:hint="eastAsia"/>
                <w:sz w:val="18"/>
              </w:rPr>
              <w:t>1987</w:t>
            </w:r>
          </w:p>
        </w:tc>
        <w:tc>
          <w:tcPr>
            <w:tcW w:w="1264" w:type="pct"/>
            <w:tcBorders>
              <w:bottom w:val="single" w:sz="4" w:space="0" w:color="auto"/>
            </w:tcBorders>
          </w:tcPr>
          <w:p w:rsidR="00000000" w:rsidRDefault="004D2F83">
            <w:pPr>
              <w:pStyle w:val="NormalIndent"/>
              <w:spacing w:after="120" w:line="360" w:lineRule="exact"/>
              <w:ind w:firstLine="0"/>
              <w:jc w:val="center"/>
              <w:rPr>
                <w:rFonts w:hint="eastAsia"/>
                <w:sz w:val="18"/>
              </w:rPr>
            </w:pPr>
            <w:r>
              <w:rPr>
                <w:rFonts w:hint="eastAsia"/>
                <w:sz w:val="18"/>
              </w:rPr>
              <w:t>43</w:t>
            </w:r>
          </w:p>
        </w:tc>
        <w:tc>
          <w:tcPr>
            <w:tcW w:w="1264" w:type="pct"/>
            <w:tcBorders>
              <w:bottom w:val="single" w:sz="4" w:space="0" w:color="auto"/>
            </w:tcBorders>
          </w:tcPr>
          <w:p w:rsidR="00000000" w:rsidRDefault="004D2F83">
            <w:pPr>
              <w:pStyle w:val="NormalIndent"/>
              <w:spacing w:after="120" w:line="360" w:lineRule="exact"/>
              <w:ind w:firstLine="0"/>
              <w:jc w:val="center"/>
              <w:rPr>
                <w:rFonts w:hint="eastAsia"/>
                <w:sz w:val="18"/>
              </w:rPr>
            </w:pPr>
            <w:r>
              <w:rPr>
                <w:rFonts w:hint="eastAsia"/>
                <w:sz w:val="18"/>
              </w:rPr>
              <w:t>72</w:t>
            </w:r>
          </w:p>
        </w:tc>
        <w:tc>
          <w:tcPr>
            <w:tcW w:w="1264" w:type="pct"/>
            <w:tcBorders>
              <w:bottom w:val="single" w:sz="4" w:space="0" w:color="auto"/>
            </w:tcBorders>
          </w:tcPr>
          <w:p w:rsidR="00000000" w:rsidRDefault="004D2F83">
            <w:pPr>
              <w:pStyle w:val="NormalIndent"/>
              <w:spacing w:after="120" w:line="360" w:lineRule="exact"/>
              <w:ind w:firstLine="0"/>
              <w:jc w:val="center"/>
              <w:rPr>
                <w:rFonts w:hint="eastAsia"/>
                <w:sz w:val="18"/>
              </w:rPr>
            </w:pPr>
            <w:r>
              <w:rPr>
                <w:rFonts w:hint="eastAsia"/>
                <w:sz w:val="18"/>
              </w:rPr>
              <w:t>58</w:t>
            </w:r>
          </w:p>
        </w:tc>
      </w:tr>
      <w:tr w:rsidR="00000000">
        <w:tblPrEx>
          <w:tblCellMar>
            <w:top w:w="0" w:type="dxa"/>
            <w:bottom w:w="0" w:type="dxa"/>
          </w:tblCellMar>
        </w:tblPrEx>
        <w:tc>
          <w:tcPr>
            <w:tcW w:w="1209" w:type="pct"/>
            <w:tcBorders>
              <w:bottom w:val="single" w:sz="4" w:space="0" w:color="auto"/>
            </w:tcBorders>
          </w:tcPr>
          <w:p w:rsidR="00000000" w:rsidRDefault="004D2F83">
            <w:pPr>
              <w:pStyle w:val="NormalIndent"/>
              <w:spacing w:after="120" w:line="360" w:lineRule="exact"/>
              <w:ind w:firstLine="0"/>
              <w:rPr>
                <w:rFonts w:hint="eastAsia"/>
                <w:sz w:val="18"/>
              </w:rPr>
            </w:pPr>
            <w:r>
              <w:rPr>
                <w:rFonts w:hint="eastAsia"/>
                <w:sz w:val="18"/>
              </w:rPr>
              <w:t>1993</w:t>
            </w:r>
          </w:p>
        </w:tc>
        <w:tc>
          <w:tcPr>
            <w:tcW w:w="1264" w:type="pct"/>
            <w:tcBorders>
              <w:bottom w:val="single" w:sz="4" w:space="0" w:color="auto"/>
            </w:tcBorders>
          </w:tcPr>
          <w:p w:rsidR="00000000" w:rsidRDefault="004D2F83">
            <w:pPr>
              <w:pStyle w:val="NormalIndent"/>
              <w:spacing w:after="120" w:line="360" w:lineRule="exact"/>
              <w:ind w:firstLine="0"/>
              <w:jc w:val="center"/>
              <w:rPr>
                <w:rFonts w:hint="eastAsia"/>
                <w:sz w:val="18"/>
              </w:rPr>
            </w:pPr>
            <w:r>
              <w:rPr>
                <w:rFonts w:hint="eastAsia"/>
                <w:sz w:val="18"/>
              </w:rPr>
              <w:t>37</w:t>
            </w:r>
          </w:p>
        </w:tc>
        <w:tc>
          <w:tcPr>
            <w:tcW w:w="1264" w:type="pct"/>
            <w:tcBorders>
              <w:bottom w:val="single" w:sz="4" w:space="0" w:color="auto"/>
            </w:tcBorders>
          </w:tcPr>
          <w:p w:rsidR="00000000" w:rsidRDefault="004D2F83">
            <w:pPr>
              <w:pStyle w:val="NormalIndent"/>
              <w:spacing w:after="120" w:line="360" w:lineRule="exact"/>
              <w:ind w:firstLine="0"/>
              <w:jc w:val="center"/>
              <w:rPr>
                <w:rFonts w:hint="eastAsia"/>
                <w:sz w:val="18"/>
              </w:rPr>
            </w:pPr>
            <w:r>
              <w:rPr>
                <w:rFonts w:hint="eastAsia"/>
                <w:sz w:val="18"/>
              </w:rPr>
              <w:t>62</w:t>
            </w:r>
          </w:p>
        </w:tc>
        <w:tc>
          <w:tcPr>
            <w:tcW w:w="1264" w:type="pct"/>
            <w:tcBorders>
              <w:bottom w:val="single" w:sz="4" w:space="0" w:color="auto"/>
            </w:tcBorders>
          </w:tcPr>
          <w:p w:rsidR="00000000" w:rsidRDefault="004D2F83">
            <w:pPr>
              <w:pStyle w:val="NormalIndent"/>
              <w:spacing w:after="120" w:line="360" w:lineRule="exact"/>
              <w:ind w:firstLine="0"/>
              <w:jc w:val="center"/>
              <w:rPr>
                <w:rFonts w:hint="eastAsia"/>
                <w:sz w:val="18"/>
              </w:rPr>
            </w:pPr>
            <w:r>
              <w:rPr>
                <w:rFonts w:hint="eastAsia"/>
                <w:sz w:val="18"/>
              </w:rPr>
              <w:t>37</w:t>
            </w:r>
          </w:p>
        </w:tc>
      </w:tr>
    </w:tbl>
    <w:p w:rsidR="00000000" w:rsidRDefault="004D2F83">
      <w:pPr>
        <w:pStyle w:val="NormalIndent"/>
        <w:spacing w:line="360" w:lineRule="exact"/>
        <w:ind w:firstLine="0"/>
        <w:rPr>
          <w:rFonts w:hint="eastAsia"/>
          <w:sz w:val="18"/>
        </w:rPr>
      </w:pPr>
      <w:r>
        <w:rPr>
          <w:rFonts w:hint="eastAsia"/>
          <w:sz w:val="18"/>
        </w:rPr>
        <w:t>共计：根据白人和黑人妇女提供的信息所作的间接估计。</w:t>
      </w:r>
    </w:p>
    <w:p w:rsidR="00000000" w:rsidRDefault="004D2F83">
      <w:pPr>
        <w:pStyle w:val="NormalIndent"/>
        <w:spacing w:after="240" w:line="360" w:lineRule="exact"/>
        <w:ind w:firstLine="0"/>
        <w:rPr>
          <w:rFonts w:hint="eastAsia"/>
          <w:sz w:val="18"/>
        </w:rPr>
      </w:pPr>
      <w:r>
        <w:rPr>
          <w:rFonts w:eastAsia="SimHei" w:hint="eastAsia"/>
          <w:bCs/>
          <w:sz w:val="18"/>
        </w:rPr>
        <w:t>资料来源：</w:t>
      </w:r>
      <w:r>
        <w:rPr>
          <w:rFonts w:hint="eastAsia"/>
          <w:sz w:val="18"/>
        </w:rPr>
        <w:t>巴西地理统计局，</w:t>
      </w:r>
      <w:r>
        <w:rPr>
          <w:rFonts w:hint="eastAsia"/>
          <w:sz w:val="18"/>
        </w:rPr>
        <w:t>1980</w:t>
      </w:r>
      <w:r>
        <w:rPr>
          <w:rFonts w:hint="eastAsia"/>
          <w:sz w:val="18"/>
        </w:rPr>
        <w:t>和</w:t>
      </w:r>
      <w:r>
        <w:rPr>
          <w:rFonts w:hint="eastAsia"/>
          <w:sz w:val="18"/>
        </w:rPr>
        <w:t>1991</w:t>
      </w:r>
      <w:r>
        <w:rPr>
          <w:rFonts w:hint="eastAsia"/>
          <w:sz w:val="18"/>
        </w:rPr>
        <w:t>年人口普查；</w:t>
      </w:r>
      <w:r>
        <w:rPr>
          <w:rFonts w:hint="eastAsia"/>
          <w:sz w:val="18"/>
        </w:rPr>
        <w:t>1995</w:t>
      </w:r>
      <w:r>
        <w:rPr>
          <w:rFonts w:hint="eastAsia"/>
          <w:sz w:val="18"/>
        </w:rPr>
        <w:t>年全国住户抽样调查，以及特别列表，</w:t>
      </w:r>
      <w:r>
        <w:rPr>
          <w:rFonts w:hint="eastAsia"/>
          <w:sz w:val="18"/>
        </w:rPr>
        <w:t>NEPO/UNICAMP</w:t>
      </w:r>
      <w:r>
        <w:rPr>
          <w:rFonts w:hint="eastAsia"/>
          <w:sz w:val="18"/>
        </w:rPr>
        <w:t>。</w:t>
      </w:r>
    </w:p>
    <w:p w:rsidR="00000000" w:rsidRDefault="004D2F83" w:rsidP="004D2F83">
      <w:pPr>
        <w:pStyle w:val="NormalIndent"/>
        <w:spacing w:after="240" w:line="360" w:lineRule="exact"/>
        <w:ind w:firstLineChars="200" w:firstLine="31680"/>
        <w:rPr>
          <w:rFonts w:hint="eastAsia"/>
        </w:rPr>
      </w:pPr>
      <w:r>
        <w:rPr>
          <w:rFonts w:hint="eastAsia"/>
        </w:rPr>
        <w:t>从总体上看，巴西人口在</w:t>
      </w:r>
      <w:r>
        <w:rPr>
          <w:rFonts w:hint="eastAsia"/>
        </w:rPr>
        <w:t>1990</w:t>
      </w:r>
      <w:r>
        <w:rPr>
          <w:rFonts w:hint="eastAsia"/>
        </w:rPr>
        <w:t>年代也许还有许多引人注目的成就。例如，在教育方面，文盲率下降，平均入学率上升，这些都极为重</w:t>
      </w:r>
      <w:r>
        <w:rPr>
          <w:rFonts w:hint="eastAsia"/>
        </w:rPr>
        <w:t>要。据</w:t>
      </w:r>
      <w:r>
        <w:rPr>
          <w:rFonts w:hint="eastAsia"/>
        </w:rPr>
        <w:t>1999</w:t>
      </w:r>
      <w:r>
        <w:rPr>
          <w:rFonts w:hint="eastAsia"/>
        </w:rPr>
        <w:t>年全国住户抽样调查的数据，</w:t>
      </w:r>
      <w:r>
        <w:rPr>
          <w:rFonts w:hint="eastAsia"/>
        </w:rPr>
        <w:t>10</w:t>
      </w:r>
      <w:r>
        <w:rPr>
          <w:rFonts w:hint="eastAsia"/>
        </w:rPr>
        <w:t>岁和</w:t>
      </w:r>
      <w:r>
        <w:rPr>
          <w:rFonts w:hint="eastAsia"/>
        </w:rPr>
        <w:t>10</w:t>
      </w:r>
      <w:r>
        <w:rPr>
          <w:rFonts w:hint="eastAsia"/>
        </w:rPr>
        <w:t>岁以上年龄组的平均入学年份为女性</w:t>
      </w:r>
      <w:r>
        <w:rPr>
          <w:rFonts w:hint="eastAsia"/>
        </w:rPr>
        <w:t>5.9</w:t>
      </w:r>
      <w:r>
        <w:rPr>
          <w:rFonts w:hint="eastAsia"/>
        </w:rPr>
        <w:t>年，男性</w:t>
      </w:r>
      <w:r>
        <w:rPr>
          <w:rFonts w:hint="eastAsia"/>
        </w:rPr>
        <w:t>5.6</w:t>
      </w:r>
      <w:r>
        <w:rPr>
          <w:rFonts w:hint="eastAsia"/>
        </w:rPr>
        <w:t>年。然而，尽管取得了一些进展，非裔人口和白种人之间教育程度的差异仍保持不变。</w:t>
      </w:r>
      <w:r>
        <w:rPr>
          <w:rFonts w:hint="eastAsia"/>
        </w:rPr>
        <w:t>1999</w:t>
      </w:r>
      <w:r>
        <w:rPr>
          <w:rFonts w:hint="eastAsia"/>
        </w:rPr>
        <w:t>年，非裔人口的文盲率约为</w:t>
      </w:r>
      <w:r>
        <w:rPr>
          <w:rFonts w:hint="eastAsia"/>
        </w:rPr>
        <w:t>20%</w:t>
      </w:r>
      <w:r>
        <w:rPr>
          <w:rFonts w:hint="eastAsia"/>
        </w:rPr>
        <w:t>，白人的文盲率为</w:t>
      </w:r>
      <w:r>
        <w:rPr>
          <w:rFonts w:hint="eastAsia"/>
        </w:rPr>
        <w:t>8.3%</w:t>
      </w:r>
      <w:r>
        <w:rPr>
          <w:rFonts w:hint="eastAsia"/>
        </w:rPr>
        <w:t>。</w:t>
      </w:r>
      <w:r>
        <w:rPr>
          <w:rFonts w:hint="eastAsia"/>
        </w:rPr>
        <w:t>15</w:t>
      </w:r>
      <w:r>
        <w:rPr>
          <w:rFonts w:hint="eastAsia"/>
        </w:rPr>
        <w:t>岁和</w:t>
      </w:r>
      <w:r>
        <w:rPr>
          <w:rFonts w:hint="eastAsia"/>
        </w:rPr>
        <w:t>15</w:t>
      </w:r>
      <w:r>
        <w:rPr>
          <w:rFonts w:hint="eastAsia"/>
        </w:rPr>
        <w:t>岁以上的年龄组中，非裔人口中的功能性文盲率</w:t>
      </w:r>
      <w:r>
        <w:rPr>
          <w:rStyle w:val="FootnoteReference"/>
        </w:rPr>
        <w:footnoteReference w:customMarkFollows="1" w:id="22"/>
        <w:t>22</w:t>
      </w:r>
      <w:r>
        <w:rPr>
          <w:rFonts w:hint="eastAsia"/>
        </w:rPr>
        <w:t>约为</w:t>
      </w:r>
      <w:r>
        <w:rPr>
          <w:rFonts w:hint="eastAsia"/>
        </w:rPr>
        <w:t>40%</w:t>
      </w:r>
      <w:r>
        <w:rPr>
          <w:rFonts w:hint="eastAsia"/>
        </w:rPr>
        <w:t>，白人中的功能性文盲率为</w:t>
      </w:r>
      <w:r>
        <w:rPr>
          <w:rFonts w:hint="eastAsia"/>
        </w:rPr>
        <w:t>21%</w:t>
      </w:r>
      <w:r>
        <w:rPr>
          <w:rFonts w:hint="eastAsia"/>
        </w:rPr>
        <w:t>。</w:t>
      </w:r>
    </w:p>
    <w:p w:rsidR="00000000" w:rsidRDefault="004D2F83">
      <w:pPr>
        <w:pStyle w:val="NormalIndent"/>
        <w:spacing w:line="360" w:lineRule="exact"/>
        <w:ind w:firstLine="0"/>
        <w:jc w:val="center"/>
        <w:rPr>
          <w:rFonts w:ascii="SimHei" w:eastAsia="SimHei" w:hint="eastAsia"/>
          <w:bCs/>
        </w:rPr>
      </w:pPr>
      <w:r>
        <w:rPr>
          <w:rFonts w:ascii="SimHei" w:eastAsia="SimHei" w:hint="eastAsia"/>
          <w:bCs/>
        </w:rPr>
        <w:t>表</w:t>
      </w:r>
      <w:r>
        <w:rPr>
          <w:rFonts w:ascii="SimHei" w:eastAsia="SimHei" w:hint="eastAsia"/>
          <w:bCs/>
        </w:rPr>
        <w:t>9</w:t>
      </w:r>
      <w:r>
        <w:rPr>
          <w:rFonts w:ascii="SimHei" w:eastAsia="SimHei" w:hint="eastAsia"/>
          <w:bCs/>
        </w:rPr>
        <w:t>：按年龄组列示的两性和各肤色人口的受教育率</w:t>
      </w:r>
    </w:p>
    <w:p w:rsidR="00000000" w:rsidRDefault="004D2F83">
      <w:pPr>
        <w:pStyle w:val="NormalIndent"/>
        <w:spacing w:after="240" w:line="360" w:lineRule="exact"/>
        <w:ind w:firstLine="0"/>
        <w:jc w:val="center"/>
        <w:rPr>
          <w:rFonts w:ascii="SimHei" w:eastAsia="SimHei" w:hint="eastAsia"/>
          <w:bCs/>
        </w:rPr>
      </w:pPr>
      <w:r>
        <w:rPr>
          <w:rFonts w:ascii="SimHei" w:eastAsia="SimHei" w:hint="eastAsia"/>
          <w:bCs/>
        </w:rPr>
        <w:t>1996</w:t>
      </w:r>
      <w:r>
        <w:rPr>
          <w:rFonts w:ascii="SimHei" w:eastAsia="SimHei" w:hint="eastAsia"/>
          <w:bCs/>
        </w:rPr>
        <w:t>年</w:t>
      </w:r>
      <w:r>
        <w:rPr>
          <w:rFonts w:ascii="SimHei" w:eastAsia="SimHei" w:hint="eastAsia"/>
          <w:bCs/>
        </w:rPr>
        <w:t>3</w:t>
      </w:r>
      <w:r>
        <w:rPr>
          <w:rFonts w:ascii="SimHei" w:eastAsia="SimHei" w:hint="eastAsia"/>
          <w:bCs/>
        </w:rPr>
        <w:t>月</w:t>
      </w:r>
      <w:r>
        <w:rPr>
          <w:rFonts w:ascii="SimHei" w:eastAsia="SimHei" w:hint="eastAsia"/>
          <w:bCs/>
        </w:rPr>
        <w:t>-1997</w:t>
      </w:r>
      <w:r>
        <w:rPr>
          <w:rFonts w:ascii="SimHei" w:eastAsia="SimHei" w:hint="eastAsia"/>
          <w:bCs/>
        </w:rPr>
        <w:t>年</w:t>
      </w:r>
      <w:r>
        <w:rPr>
          <w:rFonts w:ascii="SimHei" w:eastAsia="SimHei" w:hint="eastAsia"/>
          <w:bCs/>
        </w:rPr>
        <w:t>3</w:t>
      </w:r>
      <w:r>
        <w:rPr>
          <w:rFonts w:ascii="SimHei" w:eastAsia="SimHei" w:hint="eastAsia"/>
          <w:bCs/>
        </w:rPr>
        <w:t>月（</w:t>
      </w:r>
      <w:r>
        <w:rPr>
          <w:rFonts w:ascii="SimHei" w:eastAsia="SimHei" w:hint="eastAsia"/>
          <w:bCs/>
        </w:rPr>
        <w:t>%</w:t>
      </w:r>
      <w:r>
        <w:rPr>
          <w:rFonts w:ascii="SimHei" w:eastAsia="SimHei" w:hint="eastAsia"/>
          <w:bCs/>
        </w:rPr>
        <w:t>）</w:t>
      </w:r>
    </w:p>
    <w:tbl>
      <w:tblPr>
        <w:tblW w:w="4946" w:type="pct"/>
        <w:tblInd w:w="108" w:type="dxa"/>
        <w:tblBorders>
          <w:top w:val="single" w:sz="4" w:space="0" w:color="auto"/>
          <w:insideH w:val="single" w:sz="4" w:space="0" w:color="auto"/>
          <w:insideV w:val="single" w:sz="4" w:space="0" w:color="auto"/>
        </w:tblBorders>
        <w:tblLook w:val="01E0" w:firstRow="1" w:lastRow="1" w:firstColumn="1" w:lastColumn="1" w:noHBand="0" w:noVBand="0"/>
      </w:tblPr>
      <w:tblGrid>
        <w:gridCol w:w="1884"/>
        <w:gridCol w:w="1993"/>
        <w:gridCol w:w="1993"/>
        <w:gridCol w:w="1993"/>
        <w:gridCol w:w="1993"/>
      </w:tblGrid>
      <w:tr w:rsidR="00000000">
        <w:tblPrEx>
          <w:tblCellMar>
            <w:top w:w="0" w:type="dxa"/>
            <w:bottom w:w="0" w:type="dxa"/>
          </w:tblCellMar>
        </w:tblPrEx>
        <w:tc>
          <w:tcPr>
            <w:tcW w:w="956" w:type="pct"/>
          </w:tcPr>
          <w:p w:rsidR="00000000" w:rsidRDefault="004D2F83">
            <w:pPr>
              <w:pStyle w:val="NormalIndent"/>
              <w:spacing w:after="120" w:line="360" w:lineRule="exact"/>
              <w:ind w:firstLine="0"/>
              <w:rPr>
                <w:rFonts w:eastAsia="SimHei" w:hint="eastAsia"/>
                <w:bCs/>
                <w:sz w:val="18"/>
              </w:rPr>
            </w:pPr>
            <w:r>
              <w:rPr>
                <w:rFonts w:eastAsia="SimHei" w:hint="eastAsia"/>
                <w:bCs/>
                <w:sz w:val="18"/>
              </w:rPr>
              <w:t>年龄组</w:t>
            </w:r>
          </w:p>
        </w:tc>
        <w:tc>
          <w:tcPr>
            <w:tcW w:w="2022" w:type="pct"/>
            <w:gridSpan w:val="2"/>
          </w:tcPr>
          <w:p w:rsidR="00000000" w:rsidRDefault="004D2F83">
            <w:pPr>
              <w:pStyle w:val="NormalIndent"/>
              <w:spacing w:after="120" w:line="360" w:lineRule="exact"/>
              <w:ind w:firstLine="0"/>
              <w:jc w:val="center"/>
              <w:rPr>
                <w:rFonts w:eastAsia="SimHei" w:hint="eastAsia"/>
                <w:bCs/>
                <w:sz w:val="18"/>
              </w:rPr>
            </w:pPr>
            <w:r>
              <w:rPr>
                <w:rFonts w:eastAsia="SimHei" w:hint="eastAsia"/>
                <w:bCs/>
                <w:sz w:val="18"/>
              </w:rPr>
              <w:t>性别</w:t>
            </w:r>
          </w:p>
        </w:tc>
        <w:tc>
          <w:tcPr>
            <w:tcW w:w="2022" w:type="pct"/>
            <w:gridSpan w:val="2"/>
          </w:tcPr>
          <w:p w:rsidR="00000000" w:rsidRDefault="004D2F83">
            <w:pPr>
              <w:pStyle w:val="NormalIndent"/>
              <w:spacing w:after="120" w:line="360" w:lineRule="exact"/>
              <w:ind w:firstLine="0"/>
              <w:jc w:val="center"/>
              <w:rPr>
                <w:rFonts w:eastAsia="SimHei" w:hint="eastAsia"/>
                <w:bCs/>
                <w:sz w:val="18"/>
              </w:rPr>
            </w:pPr>
            <w:r>
              <w:rPr>
                <w:rFonts w:eastAsia="SimHei" w:hint="eastAsia"/>
                <w:bCs/>
                <w:sz w:val="18"/>
              </w:rPr>
              <w:t>肤色</w:t>
            </w:r>
          </w:p>
        </w:tc>
      </w:tr>
      <w:tr w:rsidR="00000000">
        <w:tblPrEx>
          <w:tblCellMar>
            <w:top w:w="0" w:type="dxa"/>
            <w:bottom w:w="0" w:type="dxa"/>
          </w:tblCellMar>
        </w:tblPrEx>
        <w:tc>
          <w:tcPr>
            <w:tcW w:w="956" w:type="pct"/>
          </w:tcPr>
          <w:p w:rsidR="00000000" w:rsidRDefault="004D2F83">
            <w:pPr>
              <w:pStyle w:val="NormalIndent"/>
              <w:spacing w:after="120" w:line="360" w:lineRule="exact"/>
              <w:ind w:firstLine="0"/>
              <w:rPr>
                <w:rFonts w:hint="eastAsia"/>
                <w:sz w:val="18"/>
              </w:rPr>
            </w:pPr>
          </w:p>
        </w:tc>
        <w:tc>
          <w:tcPr>
            <w:tcW w:w="1011" w:type="pct"/>
          </w:tcPr>
          <w:p w:rsidR="00000000" w:rsidRDefault="004D2F83">
            <w:pPr>
              <w:pStyle w:val="NormalIndent"/>
              <w:spacing w:after="120" w:line="360" w:lineRule="exact"/>
              <w:ind w:firstLine="0"/>
              <w:jc w:val="center"/>
              <w:rPr>
                <w:rFonts w:hint="eastAsia"/>
                <w:sz w:val="18"/>
              </w:rPr>
            </w:pPr>
            <w:r>
              <w:rPr>
                <w:rFonts w:hint="eastAsia"/>
                <w:sz w:val="18"/>
              </w:rPr>
              <w:t>男</w:t>
            </w:r>
          </w:p>
        </w:tc>
        <w:tc>
          <w:tcPr>
            <w:tcW w:w="1011" w:type="pct"/>
          </w:tcPr>
          <w:p w:rsidR="00000000" w:rsidRDefault="004D2F83">
            <w:pPr>
              <w:pStyle w:val="NormalIndent"/>
              <w:spacing w:after="120" w:line="360" w:lineRule="exact"/>
              <w:ind w:firstLine="0"/>
              <w:jc w:val="center"/>
              <w:rPr>
                <w:rFonts w:hint="eastAsia"/>
                <w:sz w:val="18"/>
              </w:rPr>
            </w:pPr>
            <w:r>
              <w:rPr>
                <w:rFonts w:hint="eastAsia"/>
                <w:sz w:val="18"/>
              </w:rPr>
              <w:t>女</w:t>
            </w:r>
          </w:p>
        </w:tc>
        <w:tc>
          <w:tcPr>
            <w:tcW w:w="1011" w:type="pct"/>
          </w:tcPr>
          <w:p w:rsidR="00000000" w:rsidRDefault="004D2F83">
            <w:pPr>
              <w:pStyle w:val="NormalIndent"/>
              <w:spacing w:after="120" w:line="360" w:lineRule="exact"/>
              <w:ind w:firstLine="0"/>
              <w:jc w:val="center"/>
              <w:rPr>
                <w:rFonts w:hint="eastAsia"/>
                <w:sz w:val="18"/>
              </w:rPr>
            </w:pPr>
            <w:r>
              <w:rPr>
                <w:rFonts w:hint="eastAsia"/>
                <w:sz w:val="18"/>
              </w:rPr>
              <w:t>白人</w:t>
            </w:r>
          </w:p>
        </w:tc>
        <w:tc>
          <w:tcPr>
            <w:tcW w:w="1011" w:type="pct"/>
          </w:tcPr>
          <w:p w:rsidR="00000000" w:rsidRDefault="004D2F83">
            <w:pPr>
              <w:pStyle w:val="NormalIndent"/>
              <w:spacing w:after="120" w:line="360" w:lineRule="exact"/>
              <w:ind w:firstLine="0"/>
              <w:jc w:val="center"/>
              <w:rPr>
                <w:rFonts w:hint="eastAsia"/>
                <w:sz w:val="18"/>
              </w:rPr>
            </w:pPr>
            <w:r>
              <w:rPr>
                <w:rFonts w:hint="eastAsia"/>
                <w:sz w:val="18"/>
              </w:rPr>
              <w:t>非裔</w:t>
            </w:r>
          </w:p>
        </w:tc>
      </w:tr>
      <w:tr w:rsidR="00000000">
        <w:tblPrEx>
          <w:tblCellMar>
            <w:top w:w="0" w:type="dxa"/>
            <w:bottom w:w="0" w:type="dxa"/>
          </w:tblCellMar>
        </w:tblPrEx>
        <w:tc>
          <w:tcPr>
            <w:tcW w:w="956" w:type="pct"/>
          </w:tcPr>
          <w:p w:rsidR="00000000" w:rsidRDefault="004D2F83">
            <w:pPr>
              <w:pStyle w:val="NormalIndent"/>
              <w:spacing w:after="120" w:line="360" w:lineRule="exact"/>
              <w:ind w:firstLine="0"/>
              <w:rPr>
                <w:rFonts w:hint="eastAsia"/>
                <w:sz w:val="18"/>
              </w:rPr>
            </w:pPr>
            <w:r>
              <w:rPr>
                <w:rFonts w:hint="eastAsia"/>
                <w:sz w:val="18"/>
              </w:rPr>
              <w:t>0-6</w:t>
            </w:r>
            <w:r>
              <w:rPr>
                <w:rFonts w:hint="eastAsia"/>
                <w:sz w:val="18"/>
              </w:rPr>
              <w:t>岁</w:t>
            </w:r>
          </w:p>
        </w:tc>
        <w:tc>
          <w:tcPr>
            <w:tcW w:w="1011" w:type="pct"/>
          </w:tcPr>
          <w:p w:rsidR="00000000" w:rsidRDefault="004D2F83" w:rsidP="004D2F83">
            <w:pPr>
              <w:pStyle w:val="NormalIndent"/>
              <w:spacing w:after="120" w:line="360" w:lineRule="exact"/>
              <w:ind w:rightChars="374" w:right="31680" w:firstLine="0"/>
              <w:jc w:val="right"/>
              <w:rPr>
                <w:rFonts w:hint="eastAsia"/>
                <w:sz w:val="18"/>
              </w:rPr>
            </w:pPr>
            <w:r>
              <w:rPr>
                <w:rFonts w:hint="eastAsia"/>
                <w:sz w:val="18"/>
              </w:rPr>
              <w:t>27.7</w:t>
            </w:r>
          </w:p>
        </w:tc>
        <w:tc>
          <w:tcPr>
            <w:tcW w:w="1011" w:type="pct"/>
          </w:tcPr>
          <w:p w:rsidR="00000000" w:rsidRDefault="004D2F83" w:rsidP="004D2F83">
            <w:pPr>
              <w:pStyle w:val="NormalIndent"/>
              <w:spacing w:after="120" w:line="360" w:lineRule="exact"/>
              <w:ind w:rightChars="374" w:right="31680" w:firstLine="0"/>
              <w:jc w:val="right"/>
              <w:rPr>
                <w:rFonts w:hint="eastAsia"/>
                <w:sz w:val="18"/>
              </w:rPr>
            </w:pPr>
            <w:r>
              <w:rPr>
                <w:rFonts w:hint="eastAsia"/>
                <w:sz w:val="18"/>
              </w:rPr>
              <w:t>27.7</w:t>
            </w:r>
          </w:p>
        </w:tc>
        <w:tc>
          <w:tcPr>
            <w:tcW w:w="1011" w:type="pct"/>
          </w:tcPr>
          <w:p w:rsidR="00000000" w:rsidRDefault="004D2F83" w:rsidP="004D2F83">
            <w:pPr>
              <w:pStyle w:val="NormalIndent"/>
              <w:spacing w:after="120" w:line="360" w:lineRule="exact"/>
              <w:ind w:rightChars="374" w:right="31680" w:firstLine="0"/>
              <w:jc w:val="right"/>
              <w:rPr>
                <w:rFonts w:hint="eastAsia"/>
                <w:sz w:val="18"/>
              </w:rPr>
            </w:pPr>
            <w:r>
              <w:rPr>
                <w:rFonts w:hint="eastAsia"/>
                <w:sz w:val="18"/>
              </w:rPr>
              <w:t>31</w:t>
            </w:r>
            <w:r>
              <w:rPr>
                <w:rFonts w:hint="eastAsia"/>
                <w:sz w:val="18"/>
              </w:rPr>
              <w:t>.9</w:t>
            </w:r>
          </w:p>
        </w:tc>
        <w:tc>
          <w:tcPr>
            <w:tcW w:w="1011" w:type="pct"/>
          </w:tcPr>
          <w:p w:rsidR="00000000" w:rsidRDefault="004D2F83" w:rsidP="004D2F83">
            <w:pPr>
              <w:pStyle w:val="NormalIndent"/>
              <w:spacing w:after="120" w:line="360" w:lineRule="exact"/>
              <w:ind w:rightChars="374" w:right="31680" w:firstLine="0"/>
              <w:jc w:val="right"/>
              <w:rPr>
                <w:rFonts w:hint="eastAsia"/>
                <w:sz w:val="18"/>
              </w:rPr>
            </w:pPr>
            <w:r>
              <w:rPr>
                <w:rFonts w:hint="eastAsia"/>
                <w:sz w:val="18"/>
              </w:rPr>
              <w:t>23.5</w:t>
            </w:r>
          </w:p>
        </w:tc>
      </w:tr>
      <w:tr w:rsidR="00000000">
        <w:tblPrEx>
          <w:tblCellMar>
            <w:top w:w="0" w:type="dxa"/>
            <w:bottom w:w="0" w:type="dxa"/>
          </w:tblCellMar>
        </w:tblPrEx>
        <w:tc>
          <w:tcPr>
            <w:tcW w:w="956" w:type="pct"/>
          </w:tcPr>
          <w:p w:rsidR="00000000" w:rsidRDefault="004D2F83">
            <w:pPr>
              <w:pStyle w:val="NormalIndent"/>
              <w:spacing w:after="120" w:line="360" w:lineRule="exact"/>
              <w:ind w:firstLine="0"/>
              <w:rPr>
                <w:rFonts w:hint="eastAsia"/>
                <w:sz w:val="18"/>
              </w:rPr>
            </w:pPr>
            <w:r>
              <w:rPr>
                <w:rFonts w:hint="eastAsia"/>
                <w:sz w:val="18"/>
              </w:rPr>
              <w:t>7-9</w:t>
            </w:r>
            <w:r>
              <w:rPr>
                <w:rFonts w:hint="eastAsia"/>
                <w:sz w:val="18"/>
              </w:rPr>
              <w:t>岁</w:t>
            </w:r>
          </w:p>
        </w:tc>
        <w:tc>
          <w:tcPr>
            <w:tcW w:w="1011" w:type="pct"/>
          </w:tcPr>
          <w:p w:rsidR="00000000" w:rsidRDefault="004D2F83" w:rsidP="004D2F83">
            <w:pPr>
              <w:pStyle w:val="NormalIndent"/>
              <w:spacing w:after="120" w:line="360" w:lineRule="exact"/>
              <w:ind w:rightChars="374" w:right="31680" w:firstLine="0"/>
              <w:jc w:val="right"/>
              <w:rPr>
                <w:rFonts w:hint="eastAsia"/>
                <w:sz w:val="18"/>
              </w:rPr>
            </w:pPr>
            <w:r>
              <w:rPr>
                <w:rFonts w:hint="eastAsia"/>
                <w:sz w:val="18"/>
              </w:rPr>
              <w:t>91.6</w:t>
            </w:r>
          </w:p>
        </w:tc>
        <w:tc>
          <w:tcPr>
            <w:tcW w:w="1011" w:type="pct"/>
          </w:tcPr>
          <w:p w:rsidR="00000000" w:rsidRDefault="004D2F83" w:rsidP="004D2F83">
            <w:pPr>
              <w:pStyle w:val="NormalIndent"/>
              <w:spacing w:after="120" w:line="360" w:lineRule="exact"/>
              <w:ind w:rightChars="374" w:right="31680" w:firstLine="0"/>
              <w:jc w:val="right"/>
              <w:rPr>
                <w:rFonts w:hint="eastAsia"/>
                <w:sz w:val="18"/>
              </w:rPr>
            </w:pPr>
            <w:r>
              <w:rPr>
                <w:rFonts w:hint="eastAsia"/>
                <w:sz w:val="18"/>
              </w:rPr>
              <w:t>90.7</w:t>
            </w:r>
          </w:p>
        </w:tc>
        <w:tc>
          <w:tcPr>
            <w:tcW w:w="1011" w:type="pct"/>
          </w:tcPr>
          <w:p w:rsidR="00000000" w:rsidRDefault="004D2F83" w:rsidP="004D2F83">
            <w:pPr>
              <w:pStyle w:val="NormalIndent"/>
              <w:spacing w:after="120" w:line="360" w:lineRule="exact"/>
              <w:ind w:rightChars="374" w:right="31680" w:firstLine="0"/>
              <w:jc w:val="right"/>
              <w:rPr>
                <w:rFonts w:hint="eastAsia"/>
                <w:sz w:val="18"/>
              </w:rPr>
            </w:pPr>
            <w:r>
              <w:rPr>
                <w:rFonts w:hint="eastAsia"/>
                <w:sz w:val="18"/>
              </w:rPr>
              <w:t>95.6</w:t>
            </w:r>
          </w:p>
        </w:tc>
        <w:tc>
          <w:tcPr>
            <w:tcW w:w="1011" w:type="pct"/>
          </w:tcPr>
          <w:p w:rsidR="00000000" w:rsidRDefault="004D2F83" w:rsidP="004D2F83">
            <w:pPr>
              <w:pStyle w:val="NormalIndent"/>
              <w:spacing w:after="120" w:line="360" w:lineRule="exact"/>
              <w:ind w:rightChars="374" w:right="31680" w:firstLine="0"/>
              <w:jc w:val="right"/>
              <w:rPr>
                <w:rFonts w:hint="eastAsia"/>
                <w:sz w:val="18"/>
              </w:rPr>
            </w:pPr>
            <w:r>
              <w:rPr>
                <w:rFonts w:hint="eastAsia"/>
                <w:sz w:val="18"/>
              </w:rPr>
              <w:t>86.8</w:t>
            </w:r>
          </w:p>
        </w:tc>
      </w:tr>
      <w:tr w:rsidR="00000000">
        <w:tblPrEx>
          <w:tblCellMar>
            <w:top w:w="0" w:type="dxa"/>
            <w:bottom w:w="0" w:type="dxa"/>
          </w:tblCellMar>
        </w:tblPrEx>
        <w:tc>
          <w:tcPr>
            <w:tcW w:w="956" w:type="pct"/>
          </w:tcPr>
          <w:p w:rsidR="00000000" w:rsidRDefault="004D2F83">
            <w:pPr>
              <w:pStyle w:val="NormalIndent"/>
              <w:spacing w:after="120" w:line="360" w:lineRule="exact"/>
              <w:ind w:firstLine="0"/>
              <w:rPr>
                <w:rFonts w:hint="eastAsia"/>
                <w:sz w:val="18"/>
              </w:rPr>
            </w:pPr>
            <w:r>
              <w:rPr>
                <w:rFonts w:hint="eastAsia"/>
                <w:sz w:val="18"/>
              </w:rPr>
              <w:t>10-14</w:t>
            </w:r>
            <w:r>
              <w:rPr>
                <w:rFonts w:hint="eastAsia"/>
                <w:sz w:val="18"/>
              </w:rPr>
              <w:t>岁</w:t>
            </w:r>
          </w:p>
        </w:tc>
        <w:tc>
          <w:tcPr>
            <w:tcW w:w="1011" w:type="pct"/>
          </w:tcPr>
          <w:p w:rsidR="00000000" w:rsidRDefault="004D2F83" w:rsidP="004D2F83">
            <w:pPr>
              <w:pStyle w:val="NormalIndent"/>
              <w:spacing w:after="120" w:line="360" w:lineRule="exact"/>
              <w:ind w:rightChars="374" w:right="31680" w:firstLine="0"/>
              <w:jc w:val="right"/>
              <w:rPr>
                <w:rFonts w:hint="eastAsia"/>
                <w:sz w:val="18"/>
              </w:rPr>
            </w:pPr>
            <w:r>
              <w:rPr>
                <w:rFonts w:hint="eastAsia"/>
                <w:sz w:val="18"/>
              </w:rPr>
              <w:t>91.8</w:t>
            </w:r>
          </w:p>
        </w:tc>
        <w:tc>
          <w:tcPr>
            <w:tcW w:w="1011" w:type="pct"/>
          </w:tcPr>
          <w:p w:rsidR="00000000" w:rsidRDefault="004D2F83" w:rsidP="004D2F83">
            <w:pPr>
              <w:pStyle w:val="NormalIndent"/>
              <w:spacing w:after="120" w:line="360" w:lineRule="exact"/>
              <w:ind w:rightChars="374" w:right="31680" w:firstLine="0"/>
              <w:jc w:val="right"/>
              <w:rPr>
                <w:rFonts w:hint="eastAsia"/>
                <w:sz w:val="18"/>
              </w:rPr>
            </w:pPr>
            <w:r>
              <w:rPr>
                <w:rFonts w:hint="eastAsia"/>
                <w:sz w:val="18"/>
              </w:rPr>
              <w:t>92.2</w:t>
            </w:r>
          </w:p>
        </w:tc>
        <w:tc>
          <w:tcPr>
            <w:tcW w:w="1011" w:type="pct"/>
          </w:tcPr>
          <w:p w:rsidR="00000000" w:rsidRDefault="004D2F83" w:rsidP="004D2F83">
            <w:pPr>
              <w:pStyle w:val="NormalIndent"/>
              <w:spacing w:after="120" w:line="360" w:lineRule="exact"/>
              <w:ind w:rightChars="374" w:right="31680" w:firstLine="0"/>
              <w:jc w:val="right"/>
              <w:rPr>
                <w:rFonts w:hint="eastAsia"/>
                <w:sz w:val="18"/>
              </w:rPr>
            </w:pPr>
            <w:r>
              <w:rPr>
                <w:rFonts w:hint="eastAsia"/>
                <w:sz w:val="18"/>
              </w:rPr>
              <w:t>95.1</w:t>
            </w:r>
          </w:p>
        </w:tc>
        <w:tc>
          <w:tcPr>
            <w:tcW w:w="1011" w:type="pct"/>
          </w:tcPr>
          <w:p w:rsidR="00000000" w:rsidRDefault="004D2F83" w:rsidP="004D2F83">
            <w:pPr>
              <w:pStyle w:val="NormalIndent"/>
              <w:spacing w:after="120" w:line="360" w:lineRule="exact"/>
              <w:ind w:rightChars="374" w:right="31680" w:firstLine="0"/>
              <w:jc w:val="right"/>
              <w:rPr>
                <w:rFonts w:hint="eastAsia"/>
                <w:sz w:val="18"/>
              </w:rPr>
            </w:pPr>
            <w:r>
              <w:rPr>
                <w:rFonts w:hint="eastAsia"/>
                <w:sz w:val="18"/>
              </w:rPr>
              <w:t>89.0</w:t>
            </w:r>
          </w:p>
        </w:tc>
      </w:tr>
      <w:tr w:rsidR="00000000">
        <w:tblPrEx>
          <w:tblCellMar>
            <w:top w:w="0" w:type="dxa"/>
            <w:bottom w:w="0" w:type="dxa"/>
          </w:tblCellMar>
        </w:tblPrEx>
        <w:tc>
          <w:tcPr>
            <w:tcW w:w="956" w:type="pct"/>
          </w:tcPr>
          <w:p w:rsidR="00000000" w:rsidRDefault="004D2F83">
            <w:pPr>
              <w:pStyle w:val="NormalIndent"/>
              <w:spacing w:after="120" w:line="360" w:lineRule="exact"/>
              <w:ind w:firstLine="0"/>
              <w:rPr>
                <w:rFonts w:hint="eastAsia"/>
                <w:sz w:val="18"/>
              </w:rPr>
            </w:pPr>
            <w:r>
              <w:rPr>
                <w:rFonts w:hint="eastAsia"/>
                <w:sz w:val="18"/>
              </w:rPr>
              <w:t>15-17</w:t>
            </w:r>
            <w:r>
              <w:rPr>
                <w:rFonts w:hint="eastAsia"/>
                <w:sz w:val="18"/>
              </w:rPr>
              <w:t>岁</w:t>
            </w:r>
          </w:p>
        </w:tc>
        <w:tc>
          <w:tcPr>
            <w:tcW w:w="1011" w:type="pct"/>
          </w:tcPr>
          <w:p w:rsidR="00000000" w:rsidRDefault="004D2F83" w:rsidP="004D2F83">
            <w:pPr>
              <w:pStyle w:val="NormalIndent"/>
              <w:spacing w:after="120" w:line="360" w:lineRule="exact"/>
              <w:ind w:rightChars="374" w:right="31680" w:firstLine="0"/>
              <w:jc w:val="right"/>
              <w:rPr>
                <w:rFonts w:hint="eastAsia"/>
                <w:sz w:val="18"/>
              </w:rPr>
            </w:pPr>
            <w:r>
              <w:rPr>
                <w:rFonts w:hint="eastAsia"/>
                <w:sz w:val="18"/>
              </w:rPr>
              <w:t>74.1</w:t>
            </w:r>
          </w:p>
        </w:tc>
        <w:tc>
          <w:tcPr>
            <w:tcW w:w="1011" w:type="pct"/>
          </w:tcPr>
          <w:p w:rsidR="00000000" w:rsidRDefault="004D2F83" w:rsidP="004D2F83">
            <w:pPr>
              <w:pStyle w:val="NormalIndent"/>
              <w:spacing w:after="120" w:line="360" w:lineRule="exact"/>
              <w:ind w:rightChars="374" w:right="31680" w:firstLine="0"/>
              <w:jc w:val="right"/>
              <w:rPr>
                <w:rFonts w:hint="eastAsia"/>
                <w:sz w:val="18"/>
              </w:rPr>
            </w:pPr>
            <w:r>
              <w:rPr>
                <w:rFonts w:hint="eastAsia"/>
                <w:sz w:val="18"/>
              </w:rPr>
              <w:t>75.3</w:t>
            </w:r>
          </w:p>
        </w:tc>
        <w:tc>
          <w:tcPr>
            <w:tcW w:w="1011" w:type="pct"/>
          </w:tcPr>
          <w:p w:rsidR="00000000" w:rsidRDefault="004D2F83" w:rsidP="004D2F83">
            <w:pPr>
              <w:pStyle w:val="NormalIndent"/>
              <w:spacing w:after="120" w:line="360" w:lineRule="exact"/>
              <w:ind w:rightChars="374" w:right="31680" w:firstLine="0"/>
              <w:jc w:val="right"/>
              <w:rPr>
                <w:rFonts w:hint="eastAsia"/>
                <w:sz w:val="18"/>
              </w:rPr>
            </w:pPr>
            <w:r>
              <w:rPr>
                <w:rFonts w:hint="eastAsia"/>
                <w:sz w:val="18"/>
              </w:rPr>
              <w:t>80.1</w:t>
            </w:r>
          </w:p>
        </w:tc>
        <w:tc>
          <w:tcPr>
            <w:tcW w:w="1011" w:type="pct"/>
          </w:tcPr>
          <w:p w:rsidR="00000000" w:rsidRDefault="004D2F83" w:rsidP="004D2F83">
            <w:pPr>
              <w:pStyle w:val="NormalIndent"/>
              <w:spacing w:after="120" w:line="360" w:lineRule="exact"/>
              <w:ind w:rightChars="374" w:right="31680" w:firstLine="0"/>
              <w:jc w:val="right"/>
              <w:rPr>
                <w:rFonts w:hint="eastAsia"/>
                <w:sz w:val="18"/>
              </w:rPr>
            </w:pPr>
            <w:r>
              <w:rPr>
                <w:rFonts w:hint="eastAsia"/>
                <w:sz w:val="18"/>
              </w:rPr>
              <w:t>69.4</w:t>
            </w:r>
          </w:p>
        </w:tc>
      </w:tr>
      <w:tr w:rsidR="00000000">
        <w:tblPrEx>
          <w:tblCellMar>
            <w:top w:w="0" w:type="dxa"/>
            <w:bottom w:w="0" w:type="dxa"/>
          </w:tblCellMar>
        </w:tblPrEx>
        <w:tc>
          <w:tcPr>
            <w:tcW w:w="956" w:type="pct"/>
            <w:tcBorders>
              <w:bottom w:val="single" w:sz="4" w:space="0" w:color="auto"/>
            </w:tcBorders>
          </w:tcPr>
          <w:p w:rsidR="00000000" w:rsidRDefault="004D2F83">
            <w:pPr>
              <w:pStyle w:val="NormalIndent"/>
              <w:spacing w:after="120" w:line="360" w:lineRule="exact"/>
              <w:ind w:firstLine="0"/>
              <w:rPr>
                <w:rFonts w:hint="eastAsia"/>
                <w:sz w:val="18"/>
              </w:rPr>
            </w:pPr>
            <w:r>
              <w:rPr>
                <w:rFonts w:hint="eastAsia"/>
                <w:sz w:val="18"/>
              </w:rPr>
              <w:t>18-24</w:t>
            </w:r>
            <w:r>
              <w:rPr>
                <w:rFonts w:hint="eastAsia"/>
                <w:sz w:val="18"/>
              </w:rPr>
              <w:t>岁</w:t>
            </w:r>
          </w:p>
        </w:tc>
        <w:tc>
          <w:tcPr>
            <w:tcW w:w="1011" w:type="pct"/>
            <w:tcBorders>
              <w:bottom w:val="single" w:sz="4" w:space="0" w:color="auto"/>
            </w:tcBorders>
          </w:tcPr>
          <w:p w:rsidR="00000000" w:rsidRDefault="004D2F83" w:rsidP="004D2F83">
            <w:pPr>
              <w:pStyle w:val="NormalIndent"/>
              <w:spacing w:after="120" w:line="360" w:lineRule="exact"/>
              <w:ind w:rightChars="374" w:right="31680" w:firstLine="0"/>
              <w:jc w:val="right"/>
              <w:rPr>
                <w:rFonts w:hint="eastAsia"/>
                <w:sz w:val="18"/>
              </w:rPr>
            </w:pPr>
            <w:r>
              <w:rPr>
                <w:rFonts w:hint="eastAsia"/>
                <w:sz w:val="18"/>
              </w:rPr>
              <w:t>28.6</w:t>
            </w:r>
          </w:p>
        </w:tc>
        <w:tc>
          <w:tcPr>
            <w:tcW w:w="1011" w:type="pct"/>
            <w:tcBorders>
              <w:bottom w:val="single" w:sz="4" w:space="0" w:color="auto"/>
            </w:tcBorders>
          </w:tcPr>
          <w:p w:rsidR="00000000" w:rsidRDefault="004D2F83" w:rsidP="004D2F83">
            <w:pPr>
              <w:pStyle w:val="NormalIndent"/>
              <w:spacing w:after="120" w:line="360" w:lineRule="exact"/>
              <w:ind w:rightChars="374" w:right="31680" w:firstLine="0"/>
              <w:jc w:val="right"/>
              <w:rPr>
                <w:rFonts w:hint="eastAsia"/>
                <w:sz w:val="18"/>
              </w:rPr>
            </w:pPr>
            <w:r>
              <w:rPr>
                <w:rFonts w:hint="eastAsia"/>
                <w:sz w:val="18"/>
              </w:rPr>
              <w:t>30.3</w:t>
            </w:r>
          </w:p>
        </w:tc>
        <w:tc>
          <w:tcPr>
            <w:tcW w:w="1011" w:type="pct"/>
            <w:tcBorders>
              <w:bottom w:val="single" w:sz="4" w:space="0" w:color="auto"/>
            </w:tcBorders>
          </w:tcPr>
          <w:p w:rsidR="00000000" w:rsidRDefault="004D2F83" w:rsidP="004D2F83">
            <w:pPr>
              <w:pStyle w:val="NormalIndent"/>
              <w:spacing w:after="120" w:line="360" w:lineRule="exact"/>
              <w:ind w:rightChars="374" w:right="31680" w:firstLine="0"/>
              <w:jc w:val="right"/>
              <w:rPr>
                <w:rFonts w:hint="eastAsia"/>
                <w:sz w:val="18"/>
              </w:rPr>
            </w:pPr>
            <w:r>
              <w:rPr>
                <w:rFonts w:hint="eastAsia"/>
                <w:sz w:val="18"/>
              </w:rPr>
              <w:t>31.0</w:t>
            </w:r>
          </w:p>
        </w:tc>
        <w:tc>
          <w:tcPr>
            <w:tcW w:w="1011" w:type="pct"/>
            <w:tcBorders>
              <w:bottom w:val="single" w:sz="4" w:space="0" w:color="auto"/>
            </w:tcBorders>
          </w:tcPr>
          <w:p w:rsidR="00000000" w:rsidRDefault="004D2F83" w:rsidP="004D2F83">
            <w:pPr>
              <w:pStyle w:val="NormalIndent"/>
              <w:spacing w:after="120" w:line="360" w:lineRule="exact"/>
              <w:ind w:rightChars="374" w:right="31680" w:firstLine="0"/>
              <w:jc w:val="right"/>
              <w:rPr>
                <w:rFonts w:hint="eastAsia"/>
                <w:sz w:val="18"/>
              </w:rPr>
            </w:pPr>
            <w:r>
              <w:rPr>
                <w:rFonts w:hint="eastAsia"/>
                <w:sz w:val="18"/>
              </w:rPr>
              <w:t>27.8</w:t>
            </w:r>
          </w:p>
        </w:tc>
      </w:tr>
      <w:tr w:rsidR="00000000">
        <w:tblPrEx>
          <w:tblCellMar>
            <w:top w:w="0" w:type="dxa"/>
            <w:bottom w:w="0" w:type="dxa"/>
          </w:tblCellMar>
        </w:tblPrEx>
        <w:tc>
          <w:tcPr>
            <w:tcW w:w="956" w:type="pct"/>
            <w:tcBorders>
              <w:bottom w:val="single" w:sz="4" w:space="0" w:color="auto"/>
            </w:tcBorders>
          </w:tcPr>
          <w:p w:rsidR="00000000" w:rsidRDefault="004D2F83">
            <w:pPr>
              <w:pStyle w:val="NormalIndent"/>
              <w:spacing w:after="120" w:line="360" w:lineRule="exact"/>
              <w:ind w:firstLine="0"/>
              <w:rPr>
                <w:rFonts w:hint="eastAsia"/>
                <w:sz w:val="18"/>
              </w:rPr>
            </w:pPr>
            <w:r>
              <w:rPr>
                <w:rFonts w:hint="eastAsia"/>
                <w:sz w:val="18"/>
              </w:rPr>
              <w:t>24</w:t>
            </w:r>
            <w:r>
              <w:rPr>
                <w:rFonts w:hint="eastAsia"/>
                <w:sz w:val="18"/>
              </w:rPr>
              <w:t>岁或以上</w:t>
            </w:r>
          </w:p>
        </w:tc>
        <w:tc>
          <w:tcPr>
            <w:tcW w:w="1011" w:type="pct"/>
            <w:tcBorders>
              <w:bottom w:val="single" w:sz="4" w:space="0" w:color="auto"/>
            </w:tcBorders>
          </w:tcPr>
          <w:p w:rsidR="00000000" w:rsidRDefault="004D2F83" w:rsidP="004D2F83">
            <w:pPr>
              <w:pStyle w:val="NormalIndent"/>
              <w:spacing w:after="120" w:line="360" w:lineRule="exact"/>
              <w:ind w:rightChars="374" w:right="31680" w:firstLine="0"/>
              <w:jc w:val="right"/>
              <w:rPr>
                <w:rFonts w:hint="eastAsia"/>
                <w:sz w:val="18"/>
              </w:rPr>
            </w:pPr>
            <w:r>
              <w:rPr>
                <w:rFonts w:hint="eastAsia"/>
                <w:sz w:val="18"/>
              </w:rPr>
              <w:t>1.9</w:t>
            </w:r>
          </w:p>
        </w:tc>
        <w:tc>
          <w:tcPr>
            <w:tcW w:w="1011" w:type="pct"/>
            <w:tcBorders>
              <w:bottom w:val="single" w:sz="4" w:space="0" w:color="auto"/>
            </w:tcBorders>
          </w:tcPr>
          <w:p w:rsidR="00000000" w:rsidRDefault="004D2F83" w:rsidP="004D2F83">
            <w:pPr>
              <w:pStyle w:val="NormalIndent"/>
              <w:spacing w:after="120" w:line="360" w:lineRule="exact"/>
              <w:ind w:rightChars="374" w:right="31680" w:firstLine="0"/>
              <w:jc w:val="right"/>
              <w:rPr>
                <w:rFonts w:hint="eastAsia"/>
                <w:sz w:val="18"/>
              </w:rPr>
            </w:pPr>
            <w:r>
              <w:rPr>
                <w:rFonts w:hint="eastAsia"/>
                <w:sz w:val="18"/>
              </w:rPr>
              <w:t>2.7</w:t>
            </w:r>
          </w:p>
        </w:tc>
        <w:tc>
          <w:tcPr>
            <w:tcW w:w="1011" w:type="pct"/>
            <w:tcBorders>
              <w:bottom w:val="single" w:sz="4" w:space="0" w:color="auto"/>
            </w:tcBorders>
          </w:tcPr>
          <w:p w:rsidR="00000000" w:rsidRDefault="004D2F83" w:rsidP="004D2F83">
            <w:pPr>
              <w:pStyle w:val="NormalIndent"/>
              <w:spacing w:after="120" w:line="360" w:lineRule="exact"/>
              <w:ind w:rightChars="374" w:right="31680" w:firstLine="0"/>
              <w:jc w:val="right"/>
              <w:rPr>
                <w:rFonts w:hint="eastAsia"/>
                <w:sz w:val="18"/>
              </w:rPr>
            </w:pPr>
            <w:r>
              <w:rPr>
                <w:rFonts w:hint="eastAsia"/>
                <w:sz w:val="18"/>
              </w:rPr>
              <w:t>2.7</w:t>
            </w:r>
          </w:p>
        </w:tc>
        <w:tc>
          <w:tcPr>
            <w:tcW w:w="1011" w:type="pct"/>
            <w:tcBorders>
              <w:bottom w:val="single" w:sz="4" w:space="0" w:color="auto"/>
            </w:tcBorders>
          </w:tcPr>
          <w:p w:rsidR="00000000" w:rsidRDefault="004D2F83" w:rsidP="004D2F83">
            <w:pPr>
              <w:pStyle w:val="NormalIndent"/>
              <w:spacing w:after="120" w:line="360" w:lineRule="exact"/>
              <w:ind w:rightChars="374" w:right="31680" w:firstLine="0"/>
              <w:jc w:val="right"/>
              <w:rPr>
                <w:rFonts w:hint="eastAsia"/>
                <w:sz w:val="18"/>
              </w:rPr>
            </w:pPr>
            <w:r>
              <w:rPr>
                <w:rFonts w:hint="eastAsia"/>
                <w:sz w:val="18"/>
              </w:rPr>
              <w:t>1.8</w:t>
            </w:r>
          </w:p>
        </w:tc>
      </w:tr>
    </w:tbl>
    <w:p w:rsidR="00000000" w:rsidRDefault="004D2F83">
      <w:pPr>
        <w:pStyle w:val="NormalIndent"/>
        <w:spacing w:after="240" w:line="360" w:lineRule="exact"/>
        <w:ind w:firstLine="0"/>
        <w:rPr>
          <w:rFonts w:hint="eastAsia"/>
          <w:sz w:val="18"/>
        </w:rPr>
      </w:pPr>
      <w:r>
        <w:rPr>
          <w:rFonts w:eastAsia="SimHei" w:hint="eastAsia"/>
          <w:bCs/>
          <w:sz w:val="18"/>
        </w:rPr>
        <w:t>资料来源：</w:t>
      </w:r>
      <w:r>
        <w:rPr>
          <w:rFonts w:hint="eastAsia"/>
          <w:sz w:val="18"/>
        </w:rPr>
        <w:t>1996-1997</w:t>
      </w:r>
      <w:r>
        <w:rPr>
          <w:rFonts w:hint="eastAsia"/>
          <w:sz w:val="18"/>
        </w:rPr>
        <w:t>年生活标准调查</w:t>
      </w:r>
      <w:r>
        <w:rPr>
          <w:rFonts w:hint="eastAsia"/>
          <w:sz w:val="18"/>
        </w:rPr>
        <w:t>[CD-ROM]</w:t>
      </w:r>
      <w:r>
        <w:rPr>
          <w:rFonts w:hint="eastAsia"/>
          <w:sz w:val="18"/>
        </w:rPr>
        <w:t>。微观数据。巴西地理统计局，</w:t>
      </w:r>
      <w:r>
        <w:rPr>
          <w:rFonts w:hint="eastAsia"/>
          <w:sz w:val="18"/>
        </w:rPr>
        <w:t>1998</w:t>
      </w:r>
      <w:r>
        <w:rPr>
          <w:rFonts w:hint="eastAsia"/>
          <w:sz w:val="18"/>
        </w:rPr>
        <w:t>年。</w:t>
      </w:r>
    </w:p>
    <w:p w:rsidR="00000000" w:rsidRDefault="004D2F83" w:rsidP="004D2F83">
      <w:pPr>
        <w:pStyle w:val="NormalIndent"/>
        <w:spacing w:after="240" w:line="360" w:lineRule="exact"/>
        <w:ind w:firstLineChars="200" w:firstLine="31680"/>
      </w:pPr>
      <w:r>
        <w:rPr>
          <w:rFonts w:hint="eastAsia"/>
        </w:rPr>
        <w:t>一方面，</w:t>
      </w:r>
      <w:r>
        <w:rPr>
          <w:rFonts w:hint="eastAsia"/>
        </w:rPr>
        <w:t>1990</w:t>
      </w:r>
      <w:r>
        <w:rPr>
          <w:rFonts w:hint="eastAsia"/>
        </w:rPr>
        <w:t>年代“平均入学年份”指标有上升的迹象——记录的总体人口的入学年份增加了一年，另一方面，非裔人口的平均受教育年份</w:t>
      </w:r>
      <w:r>
        <w:rPr>
          <w:rFonts w:hint="eastAsia"/>
        </w:rPr>
        <w:t>比白人要少两年的差距仍然存在。巴西黑人妇女的教育状况更加不利，尽管她们的大学入学率在不断上升。</w:t>
      </w:r>
      <w:r>
        <w:rPr>
          <w:rStyle w:val="FootnoteReference"/>
        </w:rPr>
        <w:footnoteReference w:customMarkFollows="1" w:id="23"/>
        <w:t>23</w:t>
      </w:r>
    </w:p>
    <w:p w:rsidR="00000000" w:rsidRDefault="004D2F83">
      <w:pPr>
        <w:pStyle w:val="NormalIndent"/>
        <w:spacing w:after="240" w:line="360" w:lineRule="exact"/>
        <w:ind w:firstLine="0"/>
        <w:jc w:val="center"/>
        <w:rPr>
          <w:rFonts w:ascii="SimHei" w:eastAsia="SimHei" w:hint="eastAsia"/>
          <w:bCs/>
        </w:rPr>
      </w:pPr>
      <w:r>
        <w:rPr>
          <w:rFonts w:ascii="SimHei" w:eastAsia="SimHei" w:hint="eastAsia"/>
          <w:bCs/>
        </w:rPr>
        <w:t>表</w:t>
      </w:r>
      <w:r>
        <w:rPr>
          <w:rFonts w:ascii="SimHei" w:eastAsia="SimHei" w:hint="eastAsia"/>
          <w:bCs/>
        </w:rPr>
        <w:t>10</w:t>
      </w:r>
      <w:r>
        <w:rPr>
          <w:rFonts w:ascii="SimHei" w:eastAsia="SimHei" w:hint="eastAsia"/>
          <w:bCs/>
        </w:rPr>
        <w:t>：巴西</w:t>
      </w:r>
      <w:r>
        <w:rPr>
          <w:rFonts w:ascii="SimHei" w:eastAsia="SimHei" w:hint="eastAsia"/>
          <w:bCs/>
        </w:rPr>
        <w:t>1997</w:t>
      </w:r>
      <w:r>
        <w:rPr>
          <w:rFonts w:ascii="SimHei" w:eastAsia="SimHei" w:hint="eastAsia"/>
          <w:bCs/>
        </w:rPr>
        <w:t>年按经济部门和性别列示的就业人口</w:t>
      </w:r>
    </w:p>
    <w:tbl>
      <w:tblPr>
        <w:tblW w:w="4946" w:type="pct"/>
        <w:tblInd w:w="108" w:type="dxa"/>
        <w:tblBorders>
          <w:top w:val="single" w:sz="4" w:space="0" w:color="auto"/>
          <w:insideH w:val="single" w:sz="4" w:space="0" w:color="auto"/>
          <w:insideV w:val="single" w:sz="4" w:space="0" w:color="auto"/>
        </w:tblBorders>
        <w:tblLook w:val="0000" w:firstRow="0" w:lastRow="0" w:firstColumn="0" w:lastColumn="0" w:noHBand="0" w:noVBand="0"/>
      </w:tblPr>
      <w:tblGrid>
        <w:gridCol w:w="3179"/>
        <w:gridCol w:w="2227"/>
        <w:gridCol w:w="2225"/>
        <w:gridCol w:w="2225"/>
      </w:tblGrid>
      <w:tr w:rsidR="00000000">
        <w:tblPrEx>
          <w:tblCellMar>
            <w:top w:w="0" w:type="dxa"/>
            <w:bottom w:w="0" w:type="dxa"/>
          </w:tblCellMar>
        </w:tblPrEx>
        <w:tc>
          <w:tcPr>
            <w:tcW w:w="1612" w:type="pct"/>
          </w:tcPr>
          <w:p w:rsidR="00000000" w:rsidRDefault="004D2F83">
            <w:pPr>
              <w:pStyle w:val="NormalIndent"/>
              <w:spacing w:after="120" w:line="360" w:lineRule="exact"/>
              <w:ind w:firstLine="0"/>
              <w:rPr>
                <w:rFonts w:ascii="SimHei" w:eastAsia="SimHei" w:hint="eastAsia"/>
                <w:bCs/>
                <w:sz w:val="18"/>
              </w:rPr>
            </w:pPr>
            <w:r>
              <w:rPr>
                <w:rFonts w:ascii="SimHei" w:eastAsia="SimHei" w:hint="eastAsia"/>
                <w:bCs/>
                <w:sz w:val="18"/>
              </w:rPr>
              <w:t>部门</w:t>
            </w:r>
          </w:p>
        </w:tc>
        <w:tc>
          <w:tcPr>
            <w:tcW w:w="1130" w:type="pct"/>
          </w:tcPr>
          <w:p w:rsidR="00000000" w:rsidRDefault="004D2F83">
            <w:pPr>
              <w:pStyle w:val="NormalIndent"/>
              <w:spacing w:after="120" w:line="360" w:lineRule="exact"/>
              <w:ind w:firstLine="0"/>
              <w:jc w:val="center"/>
              <w:rPr>
                <w:rFonts w:ascii="SimHei" w:eastAsia="SimHei" w:hint="eastAsia"/>
                <w:bCs/>
                <w:sz w:val="18"/>
              </w:rPr>
            </w:pPr>
            <w:r>
              <w:rPr>
                <w:rFonts w:ascii="SimHei" w:eastAsia="SimHei" w:hint="eastAsia"/>
                <w:bCs/>
                <w:sz w:val="18"/>
              </w:rPr>
              <w:t>男</w:t>
            </w:r>
            <w:r>
              <w:rPr>
                <w:rFonts w:ascii="SimHei" w:eastAsia="SimHei" w:hint="eastAsia"/>
                <w:bCs/>
                <w:sz w:val="18"/>
              </w:rPr>
              <w:t>%</w:t>
            </w:r>
          </w:p>
        </w:tc>
        <w:tc>
          <w:tcPr>
            <w:tcW w:w="1129" w:type="pct"/>
          </w:tcPr>
          <w:p w:rsidR="00000000" w:rsidRDefault="004D2F83">
            <w:pPr>
              <w:pStyle w:val="NormalIndent"/>
              <w:spacing w:after="120" w:line="360" w:lineRule="exact"/>
              <w:ind w:firstLine="0"/>
              <w:jc w:val="center"/>
              <w:rPr>
                <w:rFonts w:ascii="SimHei" w:eastAsia="SimHei" w:hint="eastAsia"/>
                <w:bCs/>
                <w:sz w:val="18"/>
              </w:rPr>
            </w:pPr>
            <w:r>
              <w:rPr>
                <w:rFonts w:ascii="SimHei" w:eastAsia="SimHei" w:hint="eastAsia"/>
                <w:bCs/>
                <w:sz w:val="18"/>
              </w:rPr>
              <w:t>女</w:t>
            </w:r>
            <w:r>
              <w:rPr>
                <w:rFonts w:ascii="SimHei" w:eastAsia="SimHei" w:hint="eastAsia"/>
                <w:bCs/>
                <w:sz w:val="18"/>
              </w:rPr>
              <w:t>%</w:t>
            </w:r>
          </w:p>
        </w:tc>
        <w:tc>
          <w:tcPr>
            <w:tcW w:w="1129" w:type="pct"/>
          </w:tcPr>
          <w:p w:rsidR="00000000" w:rsidRDefault="004D2F83">
            <w:pPr>
              <w:pStyle w:val="NormalIndent"/>
              <w:spacing w:after="120" w:line="360" w:lineRule="exact"/>
              <w:ind w:firstLine="0"/>
              <w:jc w:val="center"/>
              <w:rPr>
                <w:rFonts w:ascii="SimHei" w:eastAsia="SimHei" w:hint="eastAsia"/>
                <w:bCs/>
                <w:sz w:val="18"/>
              </w:rPr>
            </w:pPr>
            <w:r>
              <w:rPr>
                <w:rFonts w:ascii="SimHei" w:eastAsia="SimHei" w:hint="eastAsia"/>
                <w:bCs/>
                <w:sz w:val="18"/>
              </w:rPr>
              <w:t>共计</w:t>
            </w:r>
          </w:p>
        </w:tc>
      </w:tr>
      <w:tr w:rsidR="00000000">
        <w:tblPrEx>
          <w:tblCellMar>
            <w:top w:w="0" w:type="dxa"/>
            <w:bottom w:w="0" w:type="dxa"/>
          </w:tblCellMar>
        </w:tblPrEx>
        <w:tc>
          <w:tcPr>
            <w:tcW w:w="1612" w:type="pct"/>
          </w:tcPr>
          <w:p w:rsidR="00000000" w:rsidRDefault="004D2F83">
            <w:pPr>
              <w:pStyle w:val="NormalIndent"/>
              <w:spacing w:after="120" w:line="360" w:lineRule="exact"/>
              <w:ind w:firstLine="0"/>
              <w:rPr>
                <w:rFonts w:ascii="SimHei" w:eastAsia="SimHei" w:hint="eastAsia"/>
                <w:bCs/>
                <w:sz w:val="18"/>
              </w:rPr>
            </w:pPr>
            <w:r>
              <w:rPr>
                <w:rFonts w:ascii="SimHei" w:eastAsia="SimHei" w:hint="eastAsia"/>
                <w:bCs/>
                <w:sz w:val="18"/>
              </w:rPr>
              <w:t>农业</w:t>
            </w:r>
          </w:p>
        </w:tc>
        <w:tc>
          <w:tcPr>
            <w:tcW w:w="1130"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26.8</w:t>
            </w:r>
          </w:p>
        </w:tc>
        <w:tc>
          <w:tcPr>
            <w:tcW w:w="1129"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20.2</w:t>
            </w:r>
          </w:p>
        </w:tc>
        <w:tc>
          <w:tcPr>
            <w:tcW w:w="1129"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24.2</w:t>
            </w:r>
          </w:p>
        </w:tc>
      </w:tr>
      <w:tr w:rsidR="00000000">
        <w:tblPrEx>
          <w:tblCellMar>
            <w:top w:w="0" w:type="dxa"/>
            <w:bottom w:w="0" w:type="dxa"/>
          </w:tblCellMar>
        </w:tblPrEx>
        <w:tc>
          <w:tcPr>
            <w:tcW w:w="1612" w:type="pct"/>
          </w:tcPr>
          <w:p w:rsidR="00000000" w:rsidRDefault="004D2F83">
            <w:pPr>
              <w:pStyle w:val="NormalIndent"/>
              <w:spacing w:after="120" w:line="360" w:lineRule="exact"/>
              <w:ind w:firstLine="0"/>
              <w:rPr>
                <w:rFonts w:ascii="SimHei" w:eastAsia="SimHei" w:hint="eastAsia"/>
                <w:bCs/>
                <w:sz w:val="18"/>
              </w:rPr>
            </w:pPr>
            <w:r>
              <w:rPr>
                <w:rFonts w:ascii="SimHei" w:eastAsia="SimHei" w:hint="eastAsia"/>
                <w:bCs/>
                <w:sz w:val="18"/>
              </w:rPr>
              <w:t>转型工业</w:t>
            </w:r>
          </w:p>
        </w:tc>
        <w:tc>
          <w:tcPr>
            <w:tcW w:w="1130"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14.5</w:t>
            </w:r>
          </w:p>
        </w:tc>
        <w:tc>
          <w:tcPr>
            <w:tcW w:w="1129"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8.8</w:t>
            </w:r>
          </w:p>
        </w:tc>
        <w:tc>
          <w:tcPr>
            <w:tcW w:w="1129"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12.3</w:t>
            </w:r>
          </w:p>
        </w:tc>
      </w:tr>
      <w:tr w:rsidR="00000000">
        <w:tblPrEx>
          <w:tblCellMar>
            <w:top w:w="0" w:type="dxa"/>
            <w:bottom w:w="0" w:type="dxa"/>
          </w:tblCellMar>
        </w:tblPrEx>
        <w:tc>
          <w:tcPr>
            <w:tcW w:w="1612" w:type="pct"/>
          </w:tcPr>
          <w:p w:rsidR="00000000" w:rsidRDefault="004D2F83">
            <w:pPr>
              <w:pStyle w:val="NormalIndent"/>
              <w:spacing w:after="120" w:line="360" w:lineRule="exact"/>
              <w:ind w:firstLine="0"/>
              <w:rPr>
                <w:rFonts w:ascii="SimHei" w:eastAsia="SimHei" w:hint="eastAsia"/>
                <w:bCs/>
                <w:sz w:val="18"/>
              </w:rPr>
            </w:pPr>
            <w:r>
              <w:rPr>
                <w:rFonts w:ascii="SimHei" w:eastAsia="SimHei" w:hint="eastAsia"/>
                <w:bCs/>
                <w:sz w:val="18"/>
              </w:rPr>
              <w:t>建筑业</w:t>
            </w:r>
          </w:p>
        </w:tc>
        <w:tc>
          <w:tcPr>
            <w:tcW w:w="1130"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10.7</w:t>
            </w:r>
          </w:p>
        </w:tc>
        <w:tc>
          <w:tcPr>
            <w:tcW w:w="1129"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0.4</w:t>
            </w:r>
          </w:p>
        </w:tc>
        <w:tc>
          <w:tcPr>
            <w:tcW w:w="1129"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6.6</w:t>
            </w:r>
          </w:p>
        </w:tc>
      </w:tr>
      <w:tr w:rsidR="00000000">
        <w:tblPrEx>
          <w:tblCellMar>
            <w:top w:w="0" w:type="dxa"/>
            <w:bottom w:w="0" w:type="dxa"/>
          </w:tblCellMar>
        </w:tblPrEx>
        <w:tc>
          <w:tcPr>
            <w:tcW w:w="1612" w:type="pct"/>
          </w:tcPr>
          <w:p w:rsidR="00000000" w:rsidRDefault="004D2F83">
            <w:pPr>
              <w:pStyle w:val="NormalIndent"/>
              <w:spacing w:after="120" w:line="360" w:lineRule="exact"/>
              <w:ind w:firstLine="0"/>
              <w:rPr>
                <w:rFonts w:ascii="SimHei" w:eastAsia="SimHei" w:hint="eastAsia"/>
                <w:bCs/>
                <w:sz w:val="18"/>
              </w:rPr>
            </w:pPr>
            <w:r>
              <w:rPr>
                <w:rFonts w:ascii="SimHei" w:eastAsia="SimHei" w:hint="eastAsia"/>
                <w:bCs/>
                <w:sz w:val="18"/>
              </w:rPr>
              <w:t>其他工业活动</w:t>
            </w:r>
          </w:p>
        </w:tc>
        <w:tc>
          <w:tcPr>
            <w:tcW w:w="1130"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1.6</w:t>
            </w:r>
          </w:p>
        </w:tc>
        <w:tc>
          <w:tcPr>
            <w:tcW w:w="1129"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0.4</w:t>
            </w:r>
          </w:p>
        </w:tc>
        <w:tc>
          <w:tcPr>
            <w:tcW w:w="1129"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1.1</w:t>
            </w:r>
          </w:p>
        </w:tc>
      </w:tr>
      <w:tr w:rsidR="00000000">
        <w:tblPrEx>
          <w:tblCellMar>
            <w:top w:w="0" w:type="dxa"/>
            <w:bottom w:w="0" w:type="dxa"/>
          </w:tblCellMar>
        </w:tblPrEx>
        <w:tc>
          <w:tcPr>
            <w:tcW w:w="1612" w:type="pct"/>
          </w:tcPr>
          <w:p w:rsidR="00000000" w:rsidRDefault="004D2F83">
            <w:pPr>
              <w:pStyle w:val="NormalIndent"/>
              <w:spacing w:after="120" w:line="360" w:lineRule="exact"/>
              <w:ind w:firstLine="0"/>
              <w:rPr>
                <w:rFonts w:ascii="SimHei" w:eastAsia="SimHei" w:hint="eastAsia"/>
                <w:bCs/>
                <w:sz w:val="18"/>
              </w:rPr>
            </w:pPr>
            <w:r>
              <w:rPr>
                <w:rFonts w:ascii="SimHei" w:eastAsia="SimHei" w:hint="eastAsia"/>
                <w:bCs/>
                <w:sz w:val="18"/>
              </w:rPr>
              <w:t>商品贸易</w:t>
            </w:r>
          </w:p>
        </w:tc>
        <w:tc>
          <w:tcPr>
            <w:tcW w:w="1130"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13.4</w:t>
            </w:r>
          </w:p>
        </w:tc>
        <w:tc>
          <w:tcPr>
            <w:tcW w:w="1129"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13.2</w:t>
            </w:r>
          </w:p>
        </w:tc>
        <w:tc>
          <w:tcPr>
            <w:tcW w:w="1129"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13.3</w:t>
            </w:r>
          </w:p>
        </w:tc>
      </w:tr>
      <w:tr w:rsidR="00000000">
        <w:tblPrEx>
          <w:tblCellMar>
            <w:top w:w="0" w:type="dxa"/>
            <w:bottom w:w="0" w:type="dxa"/>
          </w:tblCellMar>
        </w:tblPrEx>
        <w:tc>
          <w:tcPr>
            <w:tcW w:w="1612" w:type="pct"/>
          </w:tcPr>
          <w:p w:rsidR="00000000" w:rsidRDefault="004D2F83">
            <w:pPr>
              <w:pStyle w:val="NormalIndent"/>
              <w:spacing w:after="120" w:line="360" w:lineRule="exact"/>
              <w:ind w:firstLine="0"/>
              <w:rPr>
                <w:rFonts w:ascii="SimHei" w:eastAsia="SimHei" w:hint="eastAsia"/>
                <w:bCs/>
                <w:sz w:val="18"/>
              </w:rPr>
            </w:pPr>
            <w:r>
              <w:rPr>
                <w:rFonts w:ascii="SimHei" w:eastAsia="SimHei" w:hint="eastAsia"/>
                <w:bCs/>
                <w:sz w:val="18"/>
              </w:rPr>
              <w:t>服务业</w:t>
            </w:r>
          </w:p>
        </w:tc>
        <w:tc>
          <w:tcPr>
            <w:tcW w:w="1130"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12.4</w:t>
            </w:r>
          </w:p>
        </w:tc>
        <w:tc>
          <w:tcPr>
            <w:tcW w:w="1129"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30.2</w:t>
            </w:r>
          </w:p>
        </w:tc>
        <w:tc>
          <w:tcPr>
            <w:tcW w:w="1129"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19.4</w:t>
            </w:r>
          </w:p>
        </w:tc>
      </w:tr>
      <w:tr w:rsidR="00000000">
        <w:tblPrEx>
          <w:tblCellMar>
            <w:top w:w="0" w:type="dxa"/>
            <w:bottom w:w="0" w:type="dxa"/>
          </w:tblCellMar>
        </w:tblPrEx>
        <w:tc>
          <w:tcPr>
            <w:tcW w:w="1612" w:type="pct"/>
          </w:tcPr>
          <w:p w:rsidR="00000000" w:rsidRDefault="004D2F83">
            <w:pPr>
              <w:pStyle w:val="NormalIndent"/>
              <w:spacing w:after="120" w:line="360" w:lineRule="exact"/>
              <w:ind w:firstLine="0"/>
              <w:rPr>
                <w:rFonts w:ascii="SimHei" w:eastAsia="SimHei" w:hint="eastAsia"/>
                <w:bCs/>
                <w:sz w:val="18"/>
              </w:rPr>
            </w:pPr>
            <w:r>
              <w:rPr>
                <w:rFonts w:ascii="SimHei" w:eastAsia="SimHei" w:hint="eastAsia"/>
                <w:bCs/>
                <w:sz w:val="18"/>
              </w:rPr>
              <w:t>经济活动的支持服务</w:t>
            </w:r>
          </w:p>
        </w:tc>
        <w:tc>
          <w:tcPr>
            <w:tcW w:w="1130"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3.8</w:t>
            </w:r>
          </w:p>
        </w:tc>
        <w:tc>
          <w:tcPr>
            <w:tcW w:w="1129"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3.2</w:t>
            </w:r>
          </w:p>
        </w:tc>
        <w:tc>
          <w:tcPr>
            <w:tcW w:w="1129"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3.6</w:t>
            </w:r>
          </w:p>
        </w:tc>
      </w:tr>
      <w:tr w:rsidR="00000000">
        <w:tblPrEx>
          <w:tblCellMar>
            <w:top w:w="0" w:type="dxa"/>
            <w:bottom w:w="0" w:type="dxa"/>
          </w:tblCellMar>
        </w:tblPrEx>
        <w:tc>
          <w:tcPr>
            <w:tcW w:w="1612" w:type="pct"/>
          </w:tcPr>
          <w:p w:rsidR="00000000" w:rsidRDefault="004D2F83">
            <w:pPr>
              <w:pStyle w:val="NormalIndent"/>
              <w:spacing w:after="120" w:line="360" w:lineRule="exact"/>
              <w:ind w:firstLine="0"/>
              <w:rPr>
                <w:rFonts w:ascii="SimHei" w:eastAsia="SimHei" w:hint="eastAsia"/>
                <w:bCs/>
                <w:sz w:val="18"/>
              </w:rPr>
            </w:pPr>
            <w:r>
              <w:rPr>
                <w:rFonts w:ascii="SimHei" w:eastAsia="SimHei" w:hint="eastAsia"/>
                <w:bCs/>
                <w:sz w:val="18"/>
              </w:rPr>
              <w:t>交通和通信</w:t>
            </w:r>
          </w:p>
        </w:tc>
        <w:tc>
          <w:tcPr>
            <w:tcW w:w="1130"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6.0</w:t>
            </w:r>
          </w:p>
        </w:tc>
        <w:tc>
          <w:tcPr>
            <w:tcW w:w="1129"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0.9</w:t>
            </w:r>
          </w:p>
        </w:tc>
        <w:tc>
          <w:tcPr>
            <w:tcW w:w="1129"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4.0</w:t>
            </w:r>
          </w:p>
        </w:tc>
      </w:tr>
      <w:tr w:rsidR="00000000">
        <w:tblPrEx>
          <w:tblCellMar>
            <w:top w:w="0" w:type="dxa"/>
            <w:bottom w:w="0" w:type="dxa"/>
          </w:tblCellMar>
        </w:tblPrEx>
        <w:tc>
          <w:tcPr>
            <w:tcW w:w="1612" w:type="pct"/>
          </w:tcPr>
          <w:p w:rsidR="00000000" w:rsidRDefault="004D2F83">
            <w:pPr>
              <w:pStyle w:val="NormalIndent"/>
              <w:spacing w:after="120" w:line="360" w:lineRule="exact"/>
              <w:ind w:firstLine="0"/>
              <w:rPr>
                <w:rFonts w:ascii="SimHei" w:eastAsia="SimHei" w:hint="eastAsia"/>
                <w:bCs/>
                <w:sz w:val="18"/>
              </w:rPr>
            </w:pPr>
            <w:r>
              <w:rPr>
                <w:rFonts w:ascii="SimHei" w:eastAsia="SimHei" w:hint="eastAsia"/>
                <w:bCs/>
                <w:sz w:val="18"/>
              </w:rPr>
              <w:t>社会活动</w:t>
            </w:r>
          </w:p>
        </w:tc>
        <w:tc>
          <w:tcPr>
            <w:tcW w:w="1130"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3</w:t>
            </w:r>
            <w:r>
              <w:rPr>
                <w:rFonts w:hint="eastAsia"/>
                <w:sz w:val="18"/>
              </w:rPr>
              <w:t>.9</w:t>
            </w:r>
          </w:p>
        </w:tc>
        <w:tc>
          <w:tcPr>
            <w:tcW w:w="1129"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17.2</w:t>
            </w:r>
          </w:p>
        </w:tc>
        <w:tc>
          <w:tcPr>
            <w:tcW w:w="1129"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9.1</w:t>
            </w:r>
          </w:p>
        </w:tc>
      </w:tr>
      <w:tr w:rsidR="00000000">
        <w:tblPrEx>
          <w:tblCellMar>
            <w:top w:w="0" w:type="dxa"/>
            <w:bottom w:w="0" w:type="dxa"/>
          </w:tblCellMar>
        </w:tblPrEx>
        <w:tc>
          <w:tcPr>
            <w:tcW w:w="1612" w:type="pct"/>
          </w:tcPr>
          <w:p w:rsidR="00000000" w:rsidRDefault="004D2F83">
            <w:pPr>
              <w:pStyle w:val="NormalIndent"/>
              <w:spacing w:after="120" w:line="360" w:lineRule="exact"/>
              <w:ind w:firstLine="0"/>
              <w:rPr>
                <w:rFonts w:ascii="SimHei" w:eastAsia="SimHei" w:hint="eastAsia"/>
                <w:bCs/>
                <w:sz w:val="18"/>
              </w:rPr>
            </w:pPr>
            <w:r>
              <w:rPr>
                <w:rFonts w:ascii="SimHei" w:eastAsia="SimHei" w:hint="eastAsia"/>
                <w:bCs/>
                <w:sz w:val="18"/>
              </w:rPr>
              <w:t>公共管理</w:t>
            </w:r>
          </w:p>
        </w:tc>
        <w:tc>
          <w:tcPr>
            <w:tcW w:w="1130"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5.0</w:t>
            </w:r>
          </w:p>
        </w:tc>
        <w:tc>
          <w:tcPr>
            <w:tcW w:w="1129"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3.9</w:t>
            </w:r>
          </w:p>
        </w:tc>
        <w:tc>
          <w:tcPr>
            <w:tcW w:w="1129" w:type="pct"/>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4.5</w:t>
            </w:r>
          </w:p>
        </w:tc>
      </w:tr>
      <w:tr w:rsidR="00000000">
        <w:tblPrEx>
          <w:tblCellMar>
            <w:top w:w="0" w:type="dxa"/>
            <w:bottom w:w="0" w:type="dxa"/>
          </w:tblCellMar>
        </w:tblPrEx>
        <w:tc>
          <w:tcPr>
            <w:tcW w:w="1612" w:type="pct"/>
            <w:tcBorders>
              <w:bottom w:val="single" w:sz="4" w:space="0" w:color="auto"/>
            </w:tcBorders>
          </w:tcPr>
          <w:p w:rsidR="00000000" w:rsidRDefault="004D2F83">
            <w:pPr>
              <w:pStyle w:val="NormalIndent"/>
              <w:spacing w:after="120" w:line="360" w:lineRule="exact"/>
              <w:ind w:firstLine="0"/>
              <w:rPr>
                <w:rFonts w:ascii="SimHei" w:eastAsia="SimHei" w:hint="eastAsia"/>
                <w:bCs/>
                <w:sz w:val="18"/>
              </w:rPr>
            </w:pPr>
            <w:r>
              <w:rPr>
                <w:rFonts w:ascii="SimHei" w:eastAsia="SimHei" w:hint="eastAsia"/>
                <w:bCs/>
                <w:sz w:val="18"/>
              </w:rPr>
              <w:t>其他活动</w:t>
            </w:r>
          </w:p>
        </w:tc>
        <w:tc>
          <w:tcPr>
            <w:tcW w:w="1130" w:type="pct"/>
            <w:tcBorders>
              <w:bottom w:val="single" w:sz="4" w:space="0" w:color="auto"/>
            </w:tcBorders>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1.9</w:t>
            </w:r>
          </w:p>
        </w:tc>
        <w:tc>
          <w:tcPr>
            <w:tcW w:w="1129" w:type="pct"/>
            <w:tcBorders>
              <w:bottom w:val="single" w:sz="4" w:space="0" w:color="auto"/>
            </w:tcBorders>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1.7</w:t>
            </w:r>
          </w:p>
        </w:tc>
        <w:tc>
          <w:tcPr>
            <w:tcW w:w="1129" w:type="pct"/>
            <w:tcBorders>
              <w:bottom w:val="single" w:sz="4" w:space="0" w:color="auto"/>
            </w:tcBorders>
          </w:tcPr>
          <w:p w:rsidR="00000000" w:rsidRDefault="004D2F83" w:rsidP="004D2F83">
            <w:pPr>
              <w:pStyle w:val="NormalIndent"/>
              <w:spacing w:after="120" w:line="360" w:lineRule="exact"/>
              <w:ind w:rightChars="362" w:right="31680" w:firstLine="0"/>
              <w:jc w:val="right"/>
              <w:rPr>
                <w:rFonts w:hint="eastAsia"/>
                <w:sz w:val="18"/>
              </w:rPr>
            </w:pPr>
            <w:r>
              <w:rPr>
                <w:rFonts w:hint="eastAsia"/>
                <w:sz w:val="18"/>
              </w:rPr>
              <w:t>1.8</w:t>
            </w:r>
          </w:p>
        </w:tc>
      </w:tr>
      <w:tr w:rsidR="00000000">
        <w:tblPrEx>
          <w:tblCellMar>
            <w:top w:w="0" w:type="dxa"/>
            <w:bottom w:w="0" w:type="dxa"/>
          </w:tblCellMar>
        </w:tblPrEx>
        <w:tc>
          <w:tcPr>
            <w:tcW w:w="1612" w:type="pct"/>
            <w:tcBorders>
              <w:bottom w:val="single" w:sz="4" w:space="0" w:color="auto"/>
            </w:tcBorders>
          </w:tcPr>
          <w:p w:rsidR="00000000" w:rsidRDefault="004D2F83">
            <w:pPr>
              <w:pStyle w:val="NormalIndent"/>
              <w:spacing w:after="120" w:line="360" w:lineRule="exact"/>
              <w:ind w:firstLine="0"/>
              <w:rPr>
                <w:rFonts w:ascii="SimHei" w:eastAsia="SimHei" w:hint="eastAsia"/>
                <w:bCs/>
                <w:sz w:val="18"/>
              </w:rPr>
            </w:pPr>
            <w:r>
              <w:rPr>
                <w:rFonts w:ascii="SimHei" w:eastAsia="SimHei" w:hint="eastAsia"/>
                <w:bCs/>
                <w:sz w:val="18"/>
              </w:rPr>
              <w:t>共计（</w:t>
            </w:r>
            <w:r>
              <w:rPr>
                <w:rFonts w:ascii="SimHei" w:eastAsia="SimHei" w:hint="eastAsia"/>
                <w:bCs/>
                <w:sz w:val="18"/>
              </w:rPr>
              <w:t>1</w:t>
            </w:r>
            <w:r>
              <w:rPr>
                <w:rFonts w:ascii="SimHei" w:eastAsia="SimHei" w:hint="eastAsia"/>
                <w:bCs/>
                <w:sz w:val="18"/>
              </w:rPr>
              <w:t>）</w:t>
            </w:r>
          </w:p>
        </w:tc>
        <w:tc>
          <w:tcPr>
            <w:tcW w:w="1130" w:type="pct"/>
            <w:tcBorders>
              <w:bottom w:val="single" w:sz="4" w:space="0" w:color="auto"/>
            </w:tcBorders>
          </w:tcPr>
          <w:p w:rsidR="00000000" w:rsidRDefault="004D2F83" w:rsidP="004D2F83">
            <w:pPr>
              <w:pStyle w:val="NormalIndent"/>
              <w:spacing w:after="120" w:line="360" w:lineRule="exact"/>
              <w:ind w:rightChars="362" w:right="31680" w:firstLine="0"/>
              <w:jc w:val="right"/>
              <w:rPr>
                <w:rFonts w:hint="eastAsia"/>
                <w:b/>
                <w:sz w:val="18"/>
              </w:rPr>
            </w:pPr>
            <w:r>
              <w:rPr>
                <w:rFonts w:hint="eastAsia"/>
                <w:b/>
                <w:sz w:val="18"/>
              </w:rPr>
              <w:t>100.0</w:t>
            </w:r>
          </w:p>
        </w:tc>
        <w:tc>
          <w:tcPr>
            <w:tcW w:w="1129" w:type="pct"/>
            <w:tcBorders>
              <w:bottom w:val="single" w:sz="4" w:space="0" w:color="auto"/>
            </w:tcBorders>
          </w:tcPr>
          <w:p w:rsidR="00000000" w:rsidRDefault="004D2F83" w:rsidP="004D2F83">
            <w:pPr>
              <w:pStyle w:val="NormalIndent"/>
              <w:spacing w:after="120" w:line="360" w:lineRule="exact"/>
              <w:ind w:rightChars="362" w:right="31680" w:firstLine="0"/>
              <w:jc w:val="right"/>
              <w:rPr>
                <w:rFonts w:hint="eastAsia"/>
                <w:b/>
                <w:sz w:val="18"/>
              </w:rPr>
            </w:pPr>
            <w:r>
              <w:rPr>
                <w:rFonts w:hint="eastAsia"/>
                <w:b/>
                <w:sz w:val="18"/>
              </w:rPr>
              <w:t>100.0</w:t>
            </w:r>
          </w:p>
        </w:tc>
        <w:tc>
          <w:tcPr>
            <w:tcW w:w="1129" w:type="pct"/>
            <w:tcBorders>
              <w:bottom w:val="single" w:sz="4" w:space="0" w:color="auto"/>
            </w:tcBorders>
          </w:tcPr>
          <w:p w:rsidR="00000000" w:rsidRDefault="004D2F83" w:rsidP="004D2F83">
            <w:pPr>
              <w:pStyle w:val="NormalIndent"/>
              <w:spacing w:after="120" w:line="360" w:lineRule="exact"/>
              <w:ind w:rightChars="362" w:right="31680" w:firstLine="0"/>
              <w:jc w:val="right"/>
              <w:rPr>
                <w:rFonts w:hint="eastAsia"/>
                <w:b/>
                <w:sz w:val="18"/>
              </w:rPr>
            </w:pPr>
            <w:r>
              <w:rPr>
                <w:rFonts w:hint="eastAsia"/>
                <w:b/>
                <w:sz w:val="18"/>
              </w:rPr>
              <w:t>100.0</w:t>
            </w:r>
          </w:p>
        </w:tc>
      </w:tr>
    </w:tbl>
    <w:p w:rsidR="00000000" w:rsidRDefault="004D2F83">
      <w:pPr>
        <w:pStyle w:val="NormalIndent"/>
        <w:spacing w:line="360" w:lineRule="exact"/>
        <w:ind w:firstLine="0"/>
        <w:rPr>
          <w:rFonts w:hint="eastAsia"/>
          <w:sz w:val="18"/>
        </w:rPr>
      </w:pPr>
      <w:r>
        <w:rPr>
          <w:rFonts w:eastAsia="SimHei" w:hint="eastAsia"/>
          <w:bCs/>
          <w:sz w:val="18"/>
        </w:rPr>
        <w:t>资料来源：</w:t>
      </w:r>
      <w:r>
        <w:rPr>
          <w:rFonts w:hint="eastAsia"/>
          <w:sz w:val="18"/>
        </w:rPr>
        <w:t>巴西地理统计局·全国住户抽样调查</w:t>
      </w:r>
      <w:r>
        <w:rPr>
          <w:rFonts w:hint="eastAsia"/>
          <w:sz w:val="18"/>
        </w:rPr>
        <w:t xml:space="preserve"> </w:t>
      </w:r>
      <w:r>
        <w:rPr>
          <w:sz w:val="18"/>
        </w:rPr>
        <w:t>–</w:t>
      </w:r>
      <w:r>
        <w:rPr>
          <w:rFonts w:hint="eastAsia"/>
          <w:sz w:val="18"/>
        </w:rPr>
        <w:t xml:space="preserve"> </w:t>
      </w:r>
      <w:r>
        <w:rPr>
          <w:rFonts w:hint="eastAsia"/>
          <w:sz w:val="18"/>
        </w:rPr>
        <w:t>性别问题概览。</w:t>
      </w:r>
      <w:r>
        <w:rPr>
          <w:rFonts w:hint="eastAsia"/>
          <w:sz w:val="18"/>
        </w:rPr>
        <w:t xml:space="preserve">DIEESE </w:t>
      </w:r>
      <w:r>
        <w:rPr>
          <w:sz w:val="18"/>
        </w:rPr>
        <w:t>–</w:t>
      </w:r>
      <w:r>
        <w:rPr>
          <w:rFonts w:hint="eastAsia"/>
          <w:sz w:val="18"/>
        </w:rPr>
        <w:t>劳动部编制</w:t>
      </w:r>
    </w:p>
    <w:p w:rsidR="00000000" w:rsidRDefault="004D2F83">
      <w:pPr>
        <w:pStyle w:val="NormalIndent"/>
        <w:spacing w:after="240" w:line="360" w:lineRule="exact"/>
        <w:ind w:firstLine="0"/>
        <w:rPr>
          <w:rFonts w:hint="eastAsia"/>
          <w:sz w:val="18"/>
        </w:rPr>
      </w:pPr>
      <w:r>
        <w:rPr>
          <w:rFonts w:eastAsia="SimHei" w:hint="eastAsia"/>
          <w:bCs/>
          <w:sz w:val="18"/>
        </w:rPr>
        <w:t>注：（</w:t>
      </w:r>
      <w:r>
        <w:rPr>
          <w:rFonts w:eastAsia="SimHei" w:hint="eastAsia"/>
          <w:bCs/>
          <w:sz w:val="18"/>
        </w:rPr>
        <w:t>1</w:t>
      </w:r>
      <w:r>
        <w:rPr>
          <w:rFonts w:eastAsia="SimHei" w:hint="eastAsia"/>
          <w:bCs/>
          <w:sz w:val="18"/>
        </w:rPr>
        <w:t>）</w:t>
      </w:r>
      <w:r>
        <w:rPr>
          <w:rFonts w:hint="eastAsia"/>
          <w:bCs/>
          <w:sz w:val="18"/>
        </w:rPr>
        <w:t>不</w:t>
      </w:r>
      <w:r>
        <w:rPr>
          <w:rFonts w:hint="eastAsia"/>
          <w:sz w:val="18"/>
        </w:rPr>
        <w:t>包括北部朗多尼亚、阿克里、亚马孙、罗赖马和阿马帕州的农村人口。</w:t>
      </w:r>
    </w:p>
    <w:p w:rsidR="00000000" w:rsidRDefault="004D2F83" w:rsidP="004D2F83">
      <w:pPr>
        <w:pStyle w:val="NormalIndent"/>
        <w:spacing w:after="240" w:line="360" w:lineRule="exact"/>
        <w:ind w:firstLineChars="200" w:firstLine="31680"/>
        <w:rPr>
          <w:rFonts w:hint="eastAsia"/>
        </w:rPr>
      </w:pPr>
      <w:r>
        <w:rPr>
          <w:rFonts w:hint="eastAsia"/>
        </w:rPr>
        <w:t>据劳动部公布的</w:t>
      </w:r>
      <w:r>
        <w:rPr>
          <w:rFonts w:hint="eastAsia"/>
        </w:rPr>
        <w:t>1997</w:t>
      </w:r>
      <w:r>
        <w:rPr>
          <w:rFonts w:hint="eastAsia"/>
        </w:rPr>
        <w:t>年数据（社会信息年度一览表</w:t>
      </w:r>
      <w:r>
        <w:rPr>
          <w:rFonts w:hint="eastAsia"/>
        </w:rPr>
        <w:t xml:space="preserve"> </w:t>
      </w:r>
      <w:r>
        <w:t>–</w:t>
      </w:r>
      <w:r>
        <w:rPr>
          <w:rFonts w:hint="eastAsia"/>
        </w:rPr>
        <w:t xml:space="preserve"> RAISD</w:t>
      </w:r>
      <w:r>
        <w:rPr>
          <w:rFonts w:hint="eastAsia"/>
        </w:rPr>
        <w:t>）</w:t>
      </w:r>
      <w:r>
        <w:rPr>
          <w:rFonts w:hint="eastAsia"/>
        </w:rPr>
        <w:t>2.41</w:t>
      </w:r>
      <w:r>
        <w:rPr>
          <w:rFonts w:hint="eastAsia"/>
        </w:rPr>
        <w:t>亿就业人员中有</w:t>
      </w:r>
      <w:r>
        <w:rPr>
          <w:rFonts w:hint="eastAsia"/>
        </w:rPr>
        <w:t>62.7%</w:t>
      </w:r>
      <w:r>
        <w:rPr>
          <w:rFonts w:hint="eastAsia"/>
        </w:rPr>
        <w:t>是男子。男子的平均工资为最低工资的</w:t>
      </w:r>
      <w:r>
        <w:rPr>
          <w:rFonts w:hint="eastAsia"/>
        </w:rPr>
        <w:t>5.9</w:t>
      </w:r>
      <w:r>
        <w:rPr>
          <w:rFonts w:hint="eastAsia"/>
        </w:rPr>
        <w:t>倍，妇女则为最低工资的</w:t>
      </w:r>
      <w:r>
        <w:rPr>
          <w:rFonts w:hint="eastAsia"/>
        </w:rPr>
        <w:t>4.6</w:t>
      </w:r>
      <w:r>
        <w:rPr>
          <w:rFonts w:hint="eastAsia"/>
        </w:rPr>
        <w:t>倍。数据还表明，妇女赚取的工资总</w:t>
      </w:r>
      <w:r>
        <w:rPr>
          <w:rFonts w:hint="eastAsia"/>
        </w:rPr>
        <w:t>是低于男子的工资，无论她们的受教育程度如何，也无论她们属于哪个部门。举例来说，</w:t>
      </w:r>
      <w:r>
        <w:rPr>
          <w:rFonts w:hint="eastAsia"/>
        </w:rPr>
        <w:t>1997</w:t>
      </w:r>
      <w:r>
        <w:rPr>
          <w:rFonts w:hint="eastAsia"/>
        </w:rPr>
        <w:t>年，拥有大学本科文凭的男性的平均工资为最低工资的</w:t>
      </w:r>
      <w:r>
        <w:rPr>
          <w:rFonts w:hint="eastAsia"/>
        </w:rPr>
        <w:t>17.3</w:t>
      </w:r>
      <w:r>
        <w:rPr>
          <w:rFonts w:hint="eastAsia"/>
        </w:rPr>
        <w:t>倍。具有同等学历的妇女的平均工资则为最低工资的</w:t>
      </w:r>
      <w:r>
        <w:rPr>
          <w:rFonts w:hint="eastAsia"/>
        </w:rPr>
        <w:t>10.1</w:t>
      </w:r>
      <w:r>
        <w:rPr>
          <w:rFonts w:hint="eastAsia"/>
        </w:rPr>
        <w:t>倍。</w:t>
      </w:r>
    </w:p>
    <w:p w:rsidR="00000000" w:rsidRDefault="004D2F83" w:rsidP="004D2F83">
      <w:pPr>
        <w:pStyle w:val="NormalIndent"/>
        <w:spacing w:after="240" w:line="360" w:lineRule="exact"/>
        <w:ind w:firstLineChars="200" w:firstLine="31680"/>
        <w:rPr>
          <w:rFonts w:hint="eastAsia"/>
          <w:spacing w:val="4"/>
        </w:rPr>
      </w:pPr>
      <w:r>
        <w:rPr>
          <w:rFonts w:hint="eastAsia"/>
          <w:spacing w:val="4"/>
        </w:rPr>
        <w:t>尽管有这些工资差距，巴西所有家庭中</w:t>
      </w:r>
      <w:r>
        <w:rPr>
          <w:rFonts w:hint="eastAsia"/>
          <w:spacing w:val="4"/>
        </w:rPr>
        <w:t>26%</w:t>
      </w:r>
      <w:r>
        <w:rPr>
          <w:rFonts w:hint="eastAsia"/>
          <w:spacing w:val="4"/>
        </w:rPr>
        <w:t>的户主为妇女。北部地区的比例最高，女性户主的家庭占</w:t>
      </w:r>
      <w:r>
        <w:rPr>
          <w:rFonts w:hint="eastAsia"/>
          <w:spacing w:val="4"/>
        </w:rPr>
        <w:t>29.5%</w:t>
      </w:r>
      <w:r>
        <w:rPr>
          <w:rFonts w:hint="eastAsia"/>
          <w:spacing w:val="4"/>
        </w:rPr>
        <w:t>。</w:t>
      </w:r>
    </w:p>
    <w:p w:rsidR="00000000" w:rsidRDefault="004D2F83" w:rsidP="004D2F83">
      <w:pPr>
        <w:pStyle w:val="NormalIndent"/>
        <w:spacing w:after="240" w:line="360" w:lineRule="exact"/>
        <w:ind w:firstLineChars="200" w:firstLine="31680"/>
        <w:rPr>
          <w:rFonts w:hint="eastAsia"/>
        </w:rPr>
      </w:pPr>
      <w:r>
        <w:rPr>
          <w:rFonts w:hint="eastAsia"/>
        </w:rPr>
        <w:t>上述关于巴西妇女状况的统计数据和信息告诉我们，尽管巴西法律系统正式规定男女平等，但实际上仍存在不平等现象，有待解决。</w:t>
      </w:r>
    </w:p>
    <w:p w:rsidR="00000000" w:rsidRDefault="004D2F83">
      <w:pPr>
        <w:pStyle w:val="Heading3"/>
        <w:numPr>
          <w:ilvl w:val="0"/>
          <w:numId w:val="0"/>
        </w:numPr>
        <w:spacing w:before="0"/>
        <w:rPr>
          <w:rFonts w:hint="eastAsia"/>
          <w:u w:val="none"/>
        </w:rPr>
      </w:pPr>
      <w:bookmarkStart w:id="4" w:name="_Toc36367074"/>
      <w:r>
        <w:rPr>
          <w:rFonts w:hint="eastAsia"/>
          <w:u w:val="none"/>
        </w:rPr>
        <w:t>1.3</w:t>
      </w:r>
      <w:r>
        <w:rPr>
          <w:u w:val="none"/>
        </w:rPr>
        <w:t xml:space="preserve"> </w:t>
      </w:r>
      <w:r>
        <w:rPr>
          <w:rFonts w:hint="eastAsia"/>
          <w:u w:val="none"/>
        </w:rPr>
        <w:t>巴西和国际一级的人权保护</w:t>
      </w:r>
      <w:bookmarkEnd w:id="4"/>
    </w:p>
    <w:p w:rsidR="00000000" w:rsidRDefault="004D2F83" w:rsidP="004D2F83">
      <w:pPr>
        <w:pStyle w:val="NormalIndent"/>
        <w:spacing w:after="240" w:line="360" w:lineRule="exact"/>
        <w:ind w:firstLineChars="200" w:firstLine="31680"/>
        <w:rPr>
          <w:rFonts w:hint="eastAsia"/>
        </w:rPr>
      </w:pPr>
      <w:r>
        <w:rPr>
          <w:rFonts w:hint="eastAsia"/>
        </w:rPr>
        <w:t>《国际人权法》是战后近代史上兴起的一场运动，是对纳粹暴</w:t>
      </w:r>
      <w:r>
        <w:rPr>
          <w:rFonts w:hint="eastAsia"/>
        </w:rPr>
        <w:t>行的回应。正是在这种形势下，把人权重新确立为现代国际体系所维护和遵循的道德准则的工作蓬勃发展起来。</w:t>
      </w:r>
    </w:p>
    <w:p w:rsidR="00000000" w:rsidRDefault="004D2F83" w:rsidP="004D2F83">
      <w:pPr>
        <w:pStyle w:val="NormalIndent"/>
        <w:spacing w:after="240" w:line="360" w:lineRule="exact"/>
        <w:ind w:firstLineChars="200" w:firstLine="31680"/>
        <w:rPr>
          <w:rFonts w:hint="eastAsia"/>
        </w:rPr>
      </w:pPr>
      <w:r>
        <w:rPr>
          <w:rFonts w:hint="eastAsia"/>
        </w:rPr>
        <w:t>这场运动主要关注的问题之一是使人权成为国际社会合法关注的一个主题。正如诺伯托·博比奥（</w:t>
      </w:r>
      <w:r>
        <w:rPr>
          <w:rFonts w:hint="eastAsia"/>
        </w:rPr>
        <w:t>Norberto Bobbio</w:t>
      </w:r>
      <w:r>
        <w:rPr>
          <w:rFonts w:hint="eastAsia"/>
        </w:rPr>
        <w:t>）所指出的，人权是与生俱来的普遍权利；人权是作为积极私人权利发展起来的（当每部《宪法》都包含《权利宣言》时），最后作为积极普遍权利实现全面合并。</w:t>
      </w:r>
      <w:r>
        <w:rPr>
          <w:rStyle w:val="FootnoteReference"/>
        </w:rPr>
        <w:footnoteReference w:customMarkFollows="1" w:id="24"/>
        <w:t>24</w:t>
      </w:r>
      <w:r>
        <w:rPr>
          <w:rFonts w:hint="eastAsia"/>
        </w:rPr>
        <w:t xml:space="preserve"> </w:t>
      </w:r>
      <w:r>
        <w:rPr>
          <w:rFonts w:hint="eastAsia"/>
        </w:rPr>
        <w:t>鉴于这一普遍实证主义的日益加强，应当说明的是，关于保护人权的各项国际条约特别呼吁各国采取共同的当代道德意识，以便国际社会在关于人的尊严的主题上达成</w:t>
      </w:r>
      <w:r>
        <w:rPr>
          <w:rFonts w:hint="eastAsia"/>
        </w:rPr>
        <w:t>的共识。</w:t>
      </w:r>
      <w:r>
        <w:rPr>
          <w:rStyle w:val="FootnoteReference"/>
        </w:rPr>
        <w:footnoteReference w:customMarkFollows="1" w:id="25"/>
        <w:t>25</w:t>
      </w:r>
    </w:p>
    <w:p w:rsidR="00000000" w:rsidRDefault="004D2F83" w:rsidP="004D2F83">
      <w:pPr>
        <w:pStyle w:val="NormalIndent"/>
        <w:spacing w:after="240" w:line="360" w:lineRule="exact"/>
        <w:ind w:firstLineChars="200" w:firstLine="31680"/>
        <w:rPr>
          <w:rFonts w:hint="eastAsia"/>
        </w:rPr>
      </w:pPr>
      <w:r>
        <w:rPr>
          <w:rFonts w:hint="eastAsia"/>
        </w:rPr>
        <w:t>普及人权进程促进了在全球和地区一级、在一般和特定范围内国际保护标准化系统的发展。在以人为本的价值观基础上，这些系统彼此互补，与国家保护系统相互作用，从而确保尽可能充分有效地保护和促进各项基本权利。</w:t>
      </w:r>
    </w:p>
    <w:p w:rsidR="00000000" w:rsidRDefault="004D2F83" w:rsidP="004D2F83">
      <w:pPr>
        <w:pStyle w:val="NormalIndent"/>
        <w:spacing w:after="240" w:line="360" w:lineRule="exact"/>
        <w:ind w:firstLineChars="200" w:firstLine="31680"/>
        <w:rPr>
          <w:rFonts w:hint="eastAsia"/>
        </w:rPr>
      </w:pPr>
      <w:r>
        <w:rPr>
          <w:rFonts w:hint="eastAsia"/>
        </w:rPr>
        <w:t>一国除接受国际保护措施及由此产生的国际责任外，还要接受国际社会对其领土上尊重人权的方式进行监督。因此，国际保护人权文书具有双重重要意义：加强国际上最起码的保护人类尊严的工作；和确保在各国机构未能或疏于保护人权的情况下，提供一个保护权利的国际论坛。</w:t>
      </w:r>
    </w:p>
    <w:p w:rsidR="00000000" w:rsidRDefault="004D2F83" w:rsidP="004D2F83">
      <w:pPr>
        <w:pStyle w:val="NormalIndent"/>
        <w:spacing w:after="240" w:line="360" w:lineRule="exact"/>
        <w:ind w:firstLineChars="200" w:firstLine="31680"/>
        <w:rPr>
          <w:rFonts w:hint="eastAsia"/>
        </w:rPr>
      </w:pPr>
      <w:r>
        <w:rPr>
          <w:rFonts w:hint="eastAsia"/>
        </w:rPr>
        <w:t>应当强调指出的是，在国际层面，人权保护的第一阶段主要</w:t>
      </w:r>
      <w:r>
        <w:rPr>
          <w:rFonts w:hint="eastAsia"/>
        </w:rPr>
        <w:t>是以法律规定的平等为基础的一般性的、普遍的、抽象的保护。这种方法表达了对普遍的不平等可能会灭绝一个民族的忧虑，就像在纳粹德国的情况一样。这种以法律规定的平等为基础的例子有</w:t>
      </w:r>
      <w:r>
        <w:rPr>
          <w:rFonts w:hint="eastAsia"/>
        </w:rPr>
        <w:t>1948</w:t>
      </w:r>
      <w:r>
        <w:rPr>
          <w:rFonts w:hint="eastAsia"/>
        </w:rPr>
        <w:t>年宣言，以及同样是</w:t>
      </w:r>
      <w:r>
        <w:rPr>
          <w:rFonts w:hint="eastAsia"/>
        </w:rPr>
        <w:t>1948</w:t>
      </w:r>
      <w:r>
        <w:rPr>
          <w:rFonts w:hint="eastAsia"/>
        </w:rPr>
        <w:t>年的《防止及惩治灭绝种族罪公约》，这项公约抨击了以国籍、民族、种族或宗教为由灭绝“异族”的不容忍理论。</w:t>
      </w:r>
    </w:p>
    <w:p w:rsidR="00000000" w:rsidRDefault="004D2F83" w:rsidP="004D2F83">
      <w:pPr>
        <w:pStyle w:val="NormalIndent"/>
        <w:spacing w:after="240" w:line="360" w:lineRule="exact"/>
        <w:ind w:firstLineChars="200" w:firstLine="31680"/>
        <w:rPr>
          <w:rFonts w:hint="eastAsia"/>
        </w:rPr>
      </w:pPr>
      <w:r>
        <w:rPr>
          <w:rFonts w:hint="eastAsia"/>
        </w:rPr>
        <w:t>然而，普遍、一般和抽象地对待个人是不够的，必须说明权利主体，要从其特性和特征来加以看待。从这个观点来看，某些权利主体或某些违权行为需要一个具体的、不一样的处理办法。在这种情况下，我们把西方人、成人、拥有财</w:t>
      </w:r>
      <w:r>
        <w:rPr>
          <w:rFonts w:hint="eastAsia"/>
        </w:rPr>
        <w:t>产的异性恋者看成新的权利主体。因此，鉴于某些群体的易受伤害性，必须给予他们特殊的、具体的保护。这意味着，差异将不再用来取消权利，而是用来促进权利。</w:t>
      </w:r>
    </w:p>
    <w:p w:rsidR="00000000" w:rsidRDefault="004D2F83" w:rsidP="004D2F83">
      <w:pPr>
        <w:pStyle w:val="NormalIndent"/>
        <w:spacing w:after="240" w:line="360" w:lineRule="exact"/>
        <w:ind w:firstLineChars="200" w:firstLine="31680"/>
        <w:rPr>
          <w:rFonts w:hint="eastAsia"/>
        </w:rPr>
      </w:pPr>
      <w:r>
        <w:rPr>
          <w:rFonts w:hint="eastAsia"/>
        </w:rPr>
        <w:t>我们在全球系统范围内形成的是人权保护的一般系统和特殊系统共存的联合体，二者彼此互补。特殊保护系统注意权利主体的具体化进程，对权利主体从其特有的具体方面（比如，妇女、儿童、少数民族群体、土著居民、难民等等）来对待。另一方面，一般保护系统针对的是每个人，从其抽象概念和一般性来加以认识。</w:t>
      </w:r>
    </w:p>
    <w:p w:rsidR="00000000" w:rsidRDefault="004D2F83" w:rsidP="004D2F83">
      <w:pPr>
        <w:pStyle w:val="NormalIndent"/>
        <w:spacing w:after="240" w:line="360" w:lineRule="exact"/>
        <w:ind w:firstLineChars="200" w:firstLine="31680"/>
        <w:rPr>
          <w:rFonts w:hint="eastAsia"/>
        </w:rPr>
      </w:pPr>
      <w:r>
        <w:rPr>
          <w:rFonts w:hint="eastAsia"/>
        </w:rPr>
        <w:t>正是在这种背景下，</w:t>
      </w:r>
      <w:r>
        <w:rPr>
          <w:rFonts w:hint="eastAsia"/>
        </w:rPr>
        <w:t>1967</w:t>
      </w:r>
      <w:r>
        <w:rPr>
          <w:rFonts w:hint="eastAsia"/>
        </w:rPr>
        <w:t>年，联合国核可了《消除对妇女一切形式歧视公约》，这项公</w:t>
      </w:r>
      <w:r>
        <w:rPr>
          <w:rFonts w:hint="eastAsia"/>
        </w:rPr>
        <w:t>约就作为全世界侵犯人权的起因之一的对妇女的歧视引入了新规范。</w:t>
      </w:r>
      <w:r>
        <w:rPr>
          <w:rFonts w:hint="eastAsia"/>
        </w:rPr>
        <w:t>1972</w:t>
      </w:r>
      <w:r>
        <w:rPr>
          <w:rFonts w:hint="eastAsia"/>
        </w:rPr>
        <w:t>年，联合国大会宣布</w:t>
      </w:r>
      <w:r>
        <w:rPr>
          <w:rFonts w:hint="eastAsia"/>
        </w:rPr>
        <w:t>1975</w:t>
      </w:r>
      <w:r>
        <w:rPr>
          <w:rFonts w:hint="eastAsia"/>
        </w:rPr>
        <w:t>年为国际妇女年，该年召开了第一届世界妇女大会。</w:t>
      </w:r>
      <w:r>
        <w:rPr>
          <w:rFonts w:hint="eastAsia"/>
        </w:rPr>
        <w:t>1974</w:t>
      </w:r>
      <w:r>
        <w:rPr>
          <w:rFonts w:hint="eastAsia"/>
        </w:rPr>
        <w:t>年，开始了制定《消除对妇女一切形式歧视公约》的工作，由于《宣言》没有强制性，必须通过一项具有约束力的国际文书来确定各会员国的法律责任和公民权利。</w:t>
      </w:r>
    </w:p>
    <w:p w:rsidR="00000000" w:rsidRDefault="004D2F83" w:rsidP="004D2F83">
      <w:pPr>
        <w:pStyle w:val="NormalIndent"/>
        <w:spacing w:after="240" w:line="360" w:lineRule="exact"/>
        <w:ind w:firstLineChars="200" w:firstLine="31680"/>
        <w:rPr>
          <w:rFonts w:hint="eastAsia"/>
        </w:rPr>
      </w:pPr>
      <w:r>
        <w:rPr>
          <w:rFonts w:hint="eastAsia"/>
        </w:rPr>
        <w:t>1979</w:t>
      </w:r>
      <w:r>
        <w:rPr>
          <w:rFonts w:hint="eastAsia"/>
        </w:rPr>
        <w:t>年</w:t>
      </w:r>
      <w:r>
        <w:rPr>
          <w:rFonts w:hint="eastAsia"/>
        </w:rPr>
        <w:t>12</w:t>
      </w:r>
      <w:r>
        <w:rPr>
          <w:rFonts w:hint="eastAsia"/>
        </w:rPr>
        <w:t>月</w:t>
      </w:r>
      <w:r>
        <w:rPr>
          <w:rFonts w:hint="eastAsia"/>
        </w:rPr>
        <w:t>18</w:t>
      </w:r>
      <w:r>
        <w:rPr>
          <w:rFonts w:hint="eastAsia"/>
        </w:rPr>
        <w:t>日，经过五年的艰苦工作，在妇女和各民间团体的决定性参与下，联合国大会通过第</w:t>
      </w:r>
      <w:r>
        <w:rPr>
          <w:rFonts w:hint="eastAsia"/>
        </w:rPr>
        <w:t>34/180</w:t>
      </w:r>
      <w:r>
        <w:rPr>
          <w:rFonts w:hint="eastAsia"/>
        </w:rPr>
        <w:t>号决议审议并批准了《公约》案文。</w:t>
      </w:r>
      <w:r>
        <w:rPr>
          <w:rFonts w:hint="eastAsia"/>
        </w:rPr>
        <w:t>1981</w:t>
      </w:r>
      <w:r>
        <w:rPr>
          <w:rFonts w:hint="eastAsia"/>
        </w:rPr>
        <w:t>年</w:t>
      </w:r>
      <w:r>
        <w:rPr>
          <w:rFonts w:hint="eastAsia"/>
        </w:rPr>
        <w:t>9</w:t>
      </w:r>
      <w:r>
        <w:rPr>
          <w:rFonts w:hint="eastAsia"/>
        </w:rPr>
        <w:t>月，收到</w:t>
      </w:r>
      <w:r>
        <w:rPr>
          <w:rFonts w:hint="eastAsia"/>
        </w:rPr>
        <w:t>20</w:t>
      </w:r>
      <w:r>
        <w:rPr>
          <w:rFonts w:hint="eastAsia"/>
        </w:rPr>
        <w:t>份批准文书后，《公约》生效。</w:t>
      </w:r>
    </w:p>
    <w:p w:rsidR="00000000" w:rsidRDefault="004D2F83" w:rsidP="004D2F83">
      <w:pPr>
        <w:pStyle w:val="NormalIndent"/>
        <w:spacing w:after="240" w:line="360" w:lineRule="exact"/>
        <w:ind w:firstLineChars="200" w:firstLine="31680"/>
        <w:rPr>
          <w:rFonts w:hint="eastAsia"/>
        </w:rPr>
      </w:pPr>
      <w:r>
        <w:rPr>
          <w:rFonts w:hint="eastAsia"/>
        </w:rPr>
        <w:t>《公约》现有</w:t>
      </w:r>
      <w:r>
        <w:rPr>
          <w:rFonts w:hint="eastAsia"/>
        </w:rPr>
        <w:t>165</w:t>
      </w:r>
      <w:r>
        <w:rPr>
          <w:rFonts w:hint="eastAsia"/>
        </w:rPr>
        <w:t>个缔约国</w:t>
      </w:r>
      <w:r>
        <w:rPr>
          <w:rFonts w:hint="eastAsia"/>
        </w:rPr>
        <w:t>，其中包括巴西。巴西于</w:t>
      </w:r>
      <w:r>
        <w:rPr>
          <w:rFonts w:hint="eastAsia"/>
        </w:rPr>
        <w:t>1984</w:t>
      </w:r>
      <w:r>
        <w:rPr>
          <w:rFonts w:hint="eastAsia"/>
        </w:rPr>
        <w:t>年批准了《公约》。这份国际人权文书是各国提出保留意见最多的一份文书。</w:t>
      </w:r>
      <w:r>
        <w:rPr>
          <w:rStyle w:val="FootnoteReference"/>
        </w:rPr>
        <w:footnoteReference w:customMarkFollows="1" w:id="26"/>
        <w:t>26</w:t>
      </w:r>
      <w:r>
        <w:rPr>
          <w:rFonts w:hint="eastAsia"/>
        </w:rPr>
        <w:t xml:space="preserve"> </w:t>
      </w:r>
      <w:r>
        <w:rPr>
          <w:rFonts w:hint="eastAsia"/>
        </w:rPr>
        <w:t>值得一提的是，巴西对《公约》第</w:t>
      </w:r>
      <w:r>
        <w:rPr>
          <w:rFonts w:hint="eastAsia"/>
        </w:rPr>
        <w:t>15</w:t>
      </w:r>
      <w:r>
        <w:rPr>
          <w:rFonts w:hint="eastAsia"/>
        </w:rPr>
        <w:t>条第</w:t>
      </w:r>
      <w:r>
        <w:rPr>
          <w:rFonts w:hint="eastAsia"/>
        </w:rPr>
        <w:t>4</w:t>
      </w:r>
      <w:r>
        <w:rPr>
          <w:rFonts w:hint="eastAsia"/>
        </w:rPr>
        <w:t>款和第</w:t>
      </w:r>
      <w:r>
        <w:rPr>
          <w:rFonts w:hint="eastAsia"/>
        </w:rPr>
        <w:t>16</w:t>
      </w:r>
      <w:r>
        <w:rPr>
          <w:rFonts w:hint="eastAsia"/>
        </w:rPr>
        <w:t>条第</w:t>
      </w:r>
      <w:r>
        <w:rPr>
          <w:rFonts w:hint="eastAsia"/>
        </w:rPr>
        <w:t>1</w:t>
      </w:r>
      <w:r>
        <w:rPr>
          <w:rFonts w:hint="eastAsia"/>
        </w:rPr>
        <w:t>款</w:t>
      </w:r>
      <w:r>
        <w:rPr>
          <w:rFonts w:hint="eastAsia"/>
        </w:rPr>
        <w:t>(a)</w:t>
      </w:r>
      <w:r>
        <w:rPr>
          <w:rFonts w:hint="eastAsia"/>
        </w:rPr>
        <w:t>、</w:t>
      </w:r>
      <w:r>
        <w:rPr>
          <w:rFonts w:hint="eastAsia"/>
        </w:rPr>
        <w:t>(c)</w:t>
      </w:r>
      <w:r>
        <w:rPr>
          <w:rFonts w:hint="eastAsia"/>
        </w:rPr>
        <w:t>、</w:t>
      </w:r>
      <w:r>
        <w:rPr>
          <w:rFonts w:hint="eastAsia"/>
        </w:rPr>
        <w:t>(g)</w:t>
      </w:r>
      <w:r>
        <w:rPr>
          <w:rFonts w:hint="eastAsia"/>
        </w:rPr>
        <w:t>和</w:t>
      </w:r>
      <w:r>
        <w:rPr>
          <w:rFonts w:hint="eastAsia"/>
        </w:rPr>
        <w:t>(h)</w:t>
      </w:r>
      <w:r>
        <w:rPr>
          <w:rFonts w:hint="eastAsia"/>
        </w:rPr>
        <w:t>项提出了保留意见。不过，</w:t>
      </w:r>
      <w:r>
        <w:rPr>
          <w:rFonts w:hint="eastAsia"/>
        </w:rPr>
        <w:t>1994</w:t>
      </w:r>
      <w:r>
        <w:rPr>
          <w:rFonts w:hint="eastAsia"/>
        </w:rPr>
        <w:t>年</w:t>
      </w:r>
      <w:r>
        <w:rPr>
          <w:rFonts w:hint="eastAsia"/>
        </w:rPr>
        <w:t>12</w:t>
      </w:r>
      <w:r>
        <w:rPr>
          <w:rFonts w:hint="eastAsia"/>
        </w:rPr>
        <w:t>月</w:t>
      </w:r>
      <w:r>
        <w:rPr>
          <w:rFonts w:hint="eastAsia"/>
        </w:rPr>
        <w:t>20</w:t>
      </w:r>
      <w:r>
        <w:rPr>
          <w:rFonts w:hint="eastAsia"/>
        </w:rPr>
        <w:t>日，巴西收回了对这几条的反对意见。</w:t>
      </w:r>
      <w:r>
        <w:rPr>
          <w:rStyle w:val="FootnoteReference"/>
        </w:rPr>
        <w:footnoteReference w:customMarkFollows="1" w:id="27"/>
        <w:t>27</w:t>
      </w:r>
      <w:r>
        <w:rPr>
          <w:rFonts w:hint="eastAsia"/>
        </w:rPr>
        <w:t xml:space="preserve"> </w:t>
      </w:r>
      <w:r>
        <w:rPr>
          <w:rFonts w:hint="eastAsia"/>
        </w:rPr>
        <w:t>特别要指出的是，</w:t>
      </w:r>
      <w:r>
        <w:rPr>
          <w:rFonts w:hint="eastAsia"/>
        </w:rPr>
        <w:t>1993</w:t>
      </w:r>
      <w:r>
        <w:rPr>
          <w:rFonts w:hint="eastAsia"/>
        </w:rPr>
        <w:t>年在维也纳召开的人权大会重申了普遍承认男女平等权利的重要性，敦促各国普遍批准《消除对妇女一切形式歧视公约》，</w:t>
      </w:r>
      <w:r>
        <w:rPr>
          <w:rStyle w:val="FootnoteReference"/>
        </w:rPr>
        <w:footnoteReference w:customMarkFollows="1" w:id="28"/>
        <w:t>28</w:t>
      </w:r>
      <w:r>
        <w:rPr>
          <w:rFonts w:hint="eastAsia"/>
        </w:rPr>
        <w:t xml:space="preserve"> </w:t>
      </w:r>
      <w:r>
        <w:rPr>
          <w:rFonts w:hint="eastAsia"/>
        </w:rPr>
        <w:t>鼓励各缔约国收回有悖于《公约》目标和宗旨或不符合国际条约法的保留意见。</w:t>
      </w:r>
    </w:p>
    <w:p w:rsidR="00000000" w:rsidRDefault="004D2F83" w:rsidP="004D2F83">
      <w:pPr>
        <w:pStyle w:val="NormalIndent"/>
        <w:spacing w:after="240" w:line="360" w:lineRule="exact"/>
        <w:ind w:firstLineChars="200" w:firstLine="31680"/>
        <w:rPr>
          <w:rFonts w:hint="eastAsia"/>
        </w:rPr>
      </w:pPr>
      <w:r>
        <w:rPr>
          <w:rFonts w:hint="eastAsia"/>
        </w:rPr>
        <w:t>还应当指出的是，《维也纳人</w:t>
      </w:r>
      <w:r>
        <w:rPr>
          <w:rFonts w:hint="eastAsia"/>
        </w:rPr>
        <w:t>权宣言》第</w:t>
      </w:r>
      <w:r>
        <w:rPr>
          <w:rFonts w:hint="eastAsia"/>
        </w:rPr>
        <w:t>18</w:t>
      </w:r>
      <w:r>
        <w:rPr>
          <w:rFonts w:hint="eastAsia"/>
        </w:rPr>
        <w:t>段宣称妇女和少女的人权是普遍人权不可剥夺的、不可分割的组成部分。</w:t>
      </w:r>
      <w:r>
        <w:rPr>
          <w:rFonts w:hint="eastAsia"/>
        </w:rPr>
        <w:t>1995</w:t>
      </w:r>
      <w:r>
        <w:rPr>
          <w:rFonts w:hint="eastAsia"/>
        </w:rPr>
        <w:t>年《北京行动纲领》重申了这一概念。</w:t>
      </w:r>
    </w:p>
    <w:p w:rsidR="00000000" w:rsidRDefault="004D2F83" w:rsidP="004D2F83">
      <w:pPr>
        <w:spacing w:after="240" w:line="360" w:lineRule="exact"/>
        <w:ind w:firstLineChars="200" w:firstLine="31680"/>
        <w:rPr>
          <w:rFonts w:hint="eastAsia"/>
        </w:rPr>
      </w:pPr>
      <w:r>
        <w:rPr>
          <w:rFonts w:hint="eastAsia"/>
        </w:rPr>
        <w:t>《消除对妇女一切形式歧视公约》的前言中指出，“对妇女的歧视违反权利平等和尊重人的尊严的原则，阻碍妇女与男子平等参加本国的政治、社会、经济与文化生活，妨碍社会和家庭的繁荣发展，并使妇女更难充分发挥为国家和人类服务的潜力。”文中还强调迫切需要采取一切必要措施，消除对妇女一切形式的歧视，指出“一国的充分与完全的发展，世界人民的福利及和平事业，需要妇女与男子平等充分参加所有各方面的工作。”</w:t>
      </w:r>
    </w:p>
    <w:p w:rsidR="00000000" w:rsidRDefault="004D2F83" w:rsidP="004D2F83">
      <w:pPr>
        <w:spacing w:after="240" w:line="360" w:lineRule="exact"/>
        <w:ind w:firstLineChars="200" w:firstLine="31680"/>
        <w:rPr>
          <w:rFonts w:hint="eastAsia"/>
        </w:rPr>
      </w:pPr>
      <w:r>
        <w:rPr>
          <w:rFonts w:hint="eastAsia"/>
        </w:rPr>
        <w:t>《公</w:t>
      </w:r>
      <w:r>
        <w:rPr>
          <w:rFonts w:hint="eastAsia"/>
        </w:rPr>
        <w:t>约》赋予各缔约国以双重责任：消除歧视和确保平等。因此，《公约》阐述了两种不同的办法：</w:t>
      </w:r>
      <w:r>
        <w:rPr>
          <w:rFonts w:hint="eastAsia"/>
        </w:rPr>
        <w:t xml:space="preserve">a) </w:t>
      </w:r>
      <w:r>
        <w:rPr>
          <w:rFonts w:hint="eastAsia"/>
        </w:rPr>
        <w:t>制裁</w:t>
      </w:r>
      <w:r>
        <w:rPr>
          <w:rFonts w:hint="eastAsia"/>
        </w:rPr>
        <w:t>-</w:t>
      </w:r>
      <w:r>
        <w:rPr>
          <w:rFonts w:hint="eastAsia"/>
        </w:rPr>
        <w:t>惩罚办法（禁止歧视）；和</w:t>
      </w:r>
      <w:r>
        <w:rPr>
          <w:rFonts w:hint="eastAsia"/>
        </w:rPr>
        <w:t xml:space="preserve">b) </w:t>
      </w:r>
      <w:r>
        <w:rPr>
          <w:rFonts w:hint="eastAsia"/>
        </w:rPr>
        <w:t>积极</w:t>
      </w:r>
      <w:r>
        <w:rPr>
          <w:rFonts w:hint="eastAsia"/>
        </w:rPr>
        <w:t>-</w:t>
      </w:r>
      <w:r>
        <w:rPr>
          <w:rFonts w:hint="eastAsia"/>
        </w:rPr>
        <w:t>促进办法（促进平等）。</w:t>
      </w:r>
    </w:p>
    <w:p w:rsidR="00000000" w:rsidRDefault="004D2F83" w:rsidP="004D2F83">
      <w:pPr>
        <w:spacing w:after="240" w:line="360" w:lineRule="exact"/>
        <w:ind w:firstLineChars="200" w:firstLine="31680"/>
        <w:rPr>
          <w:rFonts w:hint="eastAsia"/>
        </w:rPr>
      </w:pPr>
      <w:r>
        <w:rPr>
          <w:rFonts w:hint="eastAsia"/>
        </w:rPr>
        <w:t>关于监督工作，应当强调的是，《消除对妇女一切形式歧视公约》仅采用了国家报告的体系。根据《公约》第</w:t>
      </w:r>
      <w:r>
        <w:rPr>
          <w:rFonts w:hint="eastAsia"/>
        </w:rPr>
        <w:t>18</w:t>
      </w:r>
      <w:r>
        <w:rPr>
          <w:rFonts w:hint="eastAsia"/>
        </w:rPr>
        <w:t>条，消除对妇女歧视委员会负责审查各缔约国递交的报告，报告应包括为实施《公约》条款已经采取的立法、司法或行政措施，以及说明在这一过程中所面临的困难。</w:t>
      </w:r>
    </w:p>
    <w:p w:rsidR="00000000" w:rsidRDefault="004D2F83" w:rsidP="004D2F83">
      <w:pPr>
        <w:spacing w:after="240" w:line="360" w:lineRule="exact"/>
        <w:ind w:firstLineChars="200" w:firstLine="31680"/>
        <w:rPr>
          <w:rFonts w:hint="eastAsia"/>
        </w:rPr>
      </w:pPr>
      <w:r>
        <w:rPr>
          <w:rFonts w:hint="eastAsia"/>
        </w:rPr>
        <w:t>1999</w:t>
      </w:r>
      <w:r>
        <w:rPr>
          <w:rFonts w:hint="eastAsia"/>
        </w:rPr>
        <w:t>年，在《公约》生效</w:t>
      </w:r>
      <w:r>
        <w:rPr>
          <w:rFonts w:hint="eastAsia"/>
        </w:rPr>
        <w:t>20</w:t>
      </w:r>
      <w:r>
        <w:rPr>
          <w:rFonts w:hint="eastAsia"/>
        </w:rPr>
        <w:t>周年之际通过了《消除对妇女一切形式歧视公约任择议定书》。《议定书》建立了两个后</w:t>
      </w:r>
      <w:r>
        <w:rPr>
          <w:rFonts w:hint="eastAsia"/>
        </w:rPr>
        <w:t>续机制：</w:t>
      </w:r>
      <w:r>
        <w:rPr>
          <w:rFonts w:hint="eastAsia"/>
        </w:rPr>
        <w:t xml:space="preserve">a) </w:t>
      </w:r>
      <w:r>
        <w:rPr>
          <w:rFonts w:hint="eastAsia"/>
        </w:rPr>
        <w:t>就侵犯《公约》规定的任何权利的行为提交委员会审议的权利；和</w:t>
      </w:r>
      <w:r>
        <w:rPr>
          <w:rFonts w:hint="eastAsia"/>
        </w:rPr>
        <w:t xml:space="preserve">b) </w:t>
      </w:r>
      <w:r>
        <w:rPr>
          <w:rFonts w:hint="eastAsia"/>
        </w:rPr>
        <w:t>一项调查程序，委员会有权调查是否存在严重、系统地侵犯妇女人权的情况。巴西于</w:t>
      </w:r>
      <w:r>
        <w:rPr>
          <w:rFonts w:hint="eastAsia"/>
        </w:rPr>
        <w:t>2001</w:t>
      </w:r>
      <w:r>
        <w:rPr>
          <w:rFonts w:hint="eastAsia"/>
        </w:rPr>
        <w:t>年</w:t>
      </w:r>
      <w:r>
        <w:rPr>
          <w:rFonts w:hint="eastAsia"/>
        </w:rPr>
        <w:t>2</w:t>
      </w:r>
      <w:r>
        <w:rPr>
          <w:rFonts w:hint="eastAsia"/>
        </w:rPr>
        <w:t>月</w:t>
      </w:r>
      <w:r>
        <w:rPr>
          <w:rFonts w:hint="eastAsia"/>
        </w:rPr>
        <w:t>1</w:t>
      </w:r>
      <w:r>
        <w:rPr>
          <w:rFonts w:hint="eastAsia"/>
        </w:rPr>
        <w:t>日批准了《消除对妇女一切形式歧视公约》，</w:t>
      </w:r>
      <w:r>
        <w:rPr>
          <w:rFonts w:hint="eastAsia"/>
        </w:rPr>
        <w:t>2001</w:t>
      </w:r>
      <w:r>
        <w:rPr>
          <w:rFonts w:hint="eastAsia"/>
        </w:rPr>
        <w:t>年</w:t>
      </w:r>
      <w:r>
        <w:rPr>
          <w:rFonts w:hint="eastAsia"/>
        </w:rPr>
        <w:t>3</w:t>
      </w:r>
      <w:r>
        <w:rPr>
          <w:rFonts w:hint="eastAsia"/>
        </w:rPr>
        <w:t>月</w:t>
      </w:r>
      <w:r>
        <w:rPr>
          <w:rFonts w:hint="eastAsia"/>
        </w:rPr>
        <w:t>13</w:t>
      </w:r>
      <w:r>
        <w:rPr>
          <w:rFonts w:hint="eastAsia"/>
        </w:rPr>
        <w:t>日签署了《任择议定书》。本报告是巴西根据《公约》第</w:t>
      </w:r>
      <w:r>
        <w:rPr>
          <w:rFonts w:hint="eastAsia"/>
        </w:rPr>
        <w:t>18</w:t>
      </w:r>
      <w:r>
        <w:rPr>
          <w:rFonts w:hint="eastAsia"/>
        </w:rPr>
        <w:t>条递交的第一份供委员会审议的报告。</w:t>
      </w:r>
    </w:p>
    <w:p w:rsidR="00000000" w:rsidRDefault="004D2F83" w:rsidP="004D2F83">
      <w:pPr>
        <w:spacing w:after="240" w:line="360" w:lineRule="exact"/>
        <w:ind w:firstLineChars="200" w:firstLine="31680"/>
        <w:rPr>
          <w:rFonts w:hint="eastAsia"/>
        </w:rPr>
      </w:pPr>
      <w:r>
        <w:rPr>
          <w:rFonts w:hint="eastAsia"/>
        </w:rPr>
        <w:t>巴西还批准了保护人权的有关国际条约，承认确保平等、禁止歧视的责任，从而让人们最大限度地享有人权。</w:t>
      </w:r>
    </w:p>
    <w:p w:rsidR="00000000" w:rsidRDefault="004D2F83" w:rsidP="004D2F83">
      <w:pPr>
        <w:spacing w:after="240" w:line="360" w:lineRule="exact"/>
        <w:ind w:firstLineChars="200" w:firstLine="31680"/>
        <w:rPr>
          <w:rFonts w:hint="eastAsia"/>
        </w:rPr>
      </w:pPr>
      <w:r>
        <w:rPr>
          <w:rFonts w:hint="eastAsia"/>
        </w:rPr>
        <w:t>实际上，自从巴西恢复民主制，特别是</w:t>
      </w:r>
      <w:r>
        <w:rPr>
          <w:rFonts w:hint="eastAsia"/>
        </w:rPr>
        <w:t>1988</w:t>
      </w:r>
      <w:r>
        <w:rPr>
          <w:rFonts w:hint="eastAsia"/>
        </w:rPr>
        <w:t>年《联邦宪法》颁布后，巴西采取了重要措施，争取通过旨在保</w:t>
      </w:r>
      <w:r>
        <w:rPr>
          <w:rFonts w:hint="eastAsia"/>
        </w:rPr>
        <w:t>护人权的各项国际文书。巴西批准的国际人权条约包括：</w:t>
      </w:r>
    </w:p>
    <w:p w:rsidR="00000000" w:rsidRDefault="004D2F83">
      <w:pPr>
        <w:numPr>
          <w:ilvl w:val="0"/>
          <w:numId w:val="693"/>
        </w:numPr>
        <w:tabs>
          <w:tab w:val="clear" w:pos="420"/>
          <w:tab w:val="num" w:pos="840"/>
        </w:tabs>
        <w:spacing w:after="240" w:line="360" w:lineRule="exact"/>
        <w:ind w:left="840" w:hanging="360"/>
        <w:rPr>
          <w:rFonts w:hint="eastAsia"/>
        </w:rPr>
      </w:pPr>
      <w:r>
        <w:rPr>
          <w:rFonts w:hint="eastAsia"/>
        </w:rPr>
        <w:t>《消除对妇女一切形式歧视公约》，</w:t>
      </w:r>
      <w:r>
        <w:rPr>
          <w:rFonts w:hint="eastAsia"/>
        </w:rPr>
        <w:t>1984</w:t>
      </w:r>
      <w:r>
        <w:rPr>
          <w:rFonts w:hint="eastAsia"/>
        </w:rPr>
        <w:t>年</w:t>
      </w:r>
      <w:r>
        <w:rPr>
          <w:rFonts w:hint="eastAsia"/>
        </w:rPr>
        <w:t>2</w:t>
      </w:r>
      <w:r>
        <w:rPr>
          <w:rFonts w:hint="eastAsia"/>
        </w:rPr>
        <w:t>月</w:t>
      </w:r>
      <w:r>
        <w:rPr>
          <w:rFonts w:hint="eastAsia"/>
        </w:rPr>
        <w:t>1</w:t>
      </w:r>
      <w:r>
        <w:rPr>
          <w:rFonts w:hint="eastAsia"/>
        </w:rPr>
        <w:t>日批准；</w:t>
      </w:r>
    </w:p>
    <w:p w:rsidR="00000000" w:rsidRDefault="004D2F83">
      <w:pPr>
        <w:numPr>
          <w:ilvl w:val="0"/>
          <w:numId w:val="693"/>
        </w:numPr>
        <w:tabs>
          <w:tab w:val="clear" w:pos="420"/>
          <w:tab w:val="num" w:pos="840"/>
        </w:tabs>
        <w:spacing w:after="240" w:line="360" w:lineRule="exact"/>
        <w:ind w:left="840" w:hanging="360"/>
        <w:rPr>
          <w:rFonts w:hint="eastAsia"/>
        </w:rPr>
      </w:pPr>
      <w:r>
        <w:rPr>
          <w:rFonts w:hint="eastAsia"/>
        </w:rPr>
        <w:t>《美洲防止和惩处酷刑公约》，</w:t>
      </w:r>
      <w:r>
        <w:rPr>
          <w:rFonts w:hint="eastAsia"/>
        </w:rPr>
        <w:t>1989</w:t>
      </w:r>
      <w:r>
        <w:rPr>
          <w:rFonts w:hint="eastAsia"/>
        </w:rPr>
        <w:t>年</w:t>
      </w:r>
      <w:r>
        <w:rPr>
          <w:rFonts w:hint="eastAsia"/>
        </w:rPr>
        <w:t>7</w:t>
      </w:r>
      <w:r>
        <w:rPr>
          <w:rFonts w:hint="eastAsia"/>
        </w:rPr>
        <w:t>月</w:t>
      </w:r>
      <w:r>
        <w:rPr>
          <w:rFonts w:hint="eastAsia"/>
        </w:rPr>
        <w:t>20</w:t>
      </w:r>
      <w:r>
        <w:rPr>
          <w:rFonts w:hint="eastAsia"/>
        </w:rPr>
        <w:t>日批准；</w:t>
      </w:r>
    </w:p>
    <w:p w:rsidR="00000000" w:rsidRDefault="004D2F83">
      <w:pPr>
        <w:numPr>
          <w:ilvl w:val="0"/>
          <w:numId w:val="693"/>
        </w:numPr>
        <w:tabs>
          <w:tab w:val="clear" w:pos="420"/>
          <w:tab w:val="num" w:pos="840"/>
        </w:tabs>
        <w:spacing w:after="240" w:line="360" w:lineRule="exact"/>
        <w:ind w:left="840" w:hanging="360"/>
        <w:rPr>
          <w:rFonts w:hint="eastAsia"/>
        </w:rPr>
      </w:pPr>
      <w:r>
        <w:rPr>
          <w:rFonts w:hint="eastAsia"/>
        </w:rPr>
        <w:t>《禁止酷刑和其他残忍、不人道或有辱人格的待遇或处罚公约》，</w:t>
      </w:r>
      <w:r>
        <w:rPr>
          <w:rFonts w:hint="eastAsia"/>
        </w:rPr>
        <w:t>1989</w:t>
      </w:r>
      <w:r>
        <w:rPr>
          <w:rFonts w:hint="eastAsia"/>
        </w:rPr>
        <w:t>年</w:t>
      </w:r>
      <w:r>
        <w:rPr>
          <w:rFonts w:hint="eastAsia"/>
        </w:rPr>
        <w:t>9</w:t>
      </w:r>
      <w:r>
        <w:rPr>
          <w:rFonts w:hint="eastAsia"/>
        </w:rPr>
        <w:t>月</w:t>
      </w:r>
      <w:r>
        <w:rPr>
          <w:rFonts w:hint="eastAsia"/>
        </w:rPr>
        <w:t>28</w:t>
      </w:r>
      <w:r>
        <w:rPr>
          <w:rFonts w:hint="eastAsia"/>
        </w:rPr>
        <w:t>日批准；</w:t>
      </w:r>
    </w:p>
    <w:p w:rsidR="00000000" w:rsidRDefault="004D2F83">
      <w:pPr>
        <w:numPr>
          <w:ilvl w:val="0"/>
          <w:numId w:val="693"/>
        </w:numPr>
        <w:tabs>
          <w:tab w:val="clear" w:pos="420"/>
          <w:tab w:val="num" w:pos="840"/>
        </w:tabs>
        <w:spacing w:after="240" w:line="360" w:lineRule="exact"/>
        <w:ind w:left="840" w:hanging="360"/>
        <w:rPr>
          <w:rFonts w:hint="eastAsia"/>
        </w:rPr>
      </w:pPr>
      <w:r>
        <w:rPr>
          <w:rFonts w:hint="eastAsia"/>
        </w:rPr>
        <w:t>《儿童权利公约》，</w:t>
      </w:r>
      <w:r>
        <w:rPr>
          <w:rFonts w:hint="eastAsia"/>
        </w:rPr>
        <w:t>1990</w:t>
      </w:r>
      <w:r>
        <w:rPr>
          <w:rFonts w:hint="eastAsia"/>
        </w:rPr>
        <w:t>年</w:t>
      </w:r>
      <w:r>
        <w:rPr>
          <w:rFonts w:hint="eastAsia"/>
        </w:rPr>
        <w:t>9</w:t>
      </w:r>
      <w:r>
        <w:rPr>
          <w:rFonts w:hint="eastAsia"/>
        </w:rPr>
        <w:t>月</w:t>
      </w:r>
      <w:r>
        <w:rPr>
          <w:rFonts w:hint="eastAsia"/>
        </w:rPr>
        <w:t>24</w:t>
      </w:r>
      <w:r>
        <w:rPr>
          <w:rFonts w:hint="eastAsia"/>
        </w:rPr>
        <w:t>日批准；</w:t>
      </w:r>
    </w:p>
    <w:p w:rsidR="00000000" w:rsidRDefault="004D2F83">
      <w:pPr>
        <w:numPr>
          <w:ilvl w:val="0"/>
          <w:numId w:val="693"/>
        </w:numPr>
        <w:tabs>
          <w:tab w:val="clear" w:pos="420"/>
          <w:tab w:val="num" w:pos="840"/>
        </w:tabs>
        <w:spacing w:after="240" w:line="360" w:lineRule="exact"/>
        <w:ind w:left="840" w:hanging="360"/>
        <w:rPr>
          <w:rFonts w:hint="eastAsia"/>
        </w:rPr>
      </w:pPr>
      <w:r>
        <w:rPr>
          <w:rFonts w:hint="eastAsia"/>
        </w:rPr>
        <w:t>《公民权利和政治权利国际公约》，</w:t>
      </w:r>
      <w:r>
        <w:rPr>
          <w:rFonts w:hint="eastAsia"/>
        </w:rPr>
        <w:t>1992</w:t>
      </w:r>
      <w:r>
        <w:rPr>
          <w:rFonts w:hint="eastAsia"/>
        </w:rPr>
        <w:t>年</w:t>
      </w:r>
      <w:r>
        <w:rPr>
          <w:rFonts w:hint="eastAsia"/>
        </w:rPr>
        <w:t>1</w:t>
      </w:r>
      <w:r>
        <w:rPr>
          <w:rFonts w:hint="eastAsia"/>
        </w:rPr>
        <w:t>月</w:t>
      </w:r>
      <w:r>
        <w:rPr>
          <w:rFonts w:hint="eastAsia"/>
        </w:rPr>
        <w:t>24</w:t>
      </w:r>
      <w:r>
        <w:rPr>
          <w:rFonts w:hint="eastAsia"/>
        </w:rPr>
        <w:t>日批准；</w:t>
      </w:r>
    </w:p>
    <w:p w:rsidR="00000000" w:rsidRDefault="004D2F83">
      <w:pPr>
        <w:numPr>
          <w:ilvl w:val="0"/>
          <w:numId w:val="693"/>
        </w:numPr>
        <w:tabs>
          <w:tab w:val="clear" w:pos="420"/>
          <w:tab w:val="num" w:pos="840"/>
        </w:tabs>
        <w:spacing w:after="240" w:line="360" w:lineRule="exact"/>
        <w:ind w:left="840" w:hanging="360"/>
        <w:rPr>
          <w:rFonts w:hint="eastAsia"/>
        </w:rPr>
      </w:pPr>
      <w:r>
        <w:rPr>
          <w:rFonts w:hint="eastAsia"/>
        </w:rPr>
        <w:t>《经济、社会、文化权利国际公约》，</w:t>
      </w:r>
      <w:r>
        <w:rPr>
          <w:rFonts w:hint="eastAsia"/>
        </w:rPr>
        <w:t>1992</w:t>
      </w:r>
      <w:r>
        <w:rPr>
          <w:rFonts w:hint="eastAsia"/>
        </w:rPr>
        <w:t>年</w:t>
      </w:r>
      <w:r>
        <w:rPr>
          <w:rFonts w:hint="eastAsia"/>
        </w:rPr>
        <w:t>1</w:t>
      </w:r>
      <w:r>
        <w:rPr>
          <w:rFonts w:hint="eastAsia"/>
        </w:rPr>
        <w:t>月</w:t>
      </w:r>
      <w:r>
        <w:rPr>
          <w:rFonts w:hint="eastAsia"/>
        </w:rPr>
        <w:t>24</w:t>
      </w:r>
      <w:r>
        <w:rPr>
          <w:rFonts w:hint="eastAsia"/>
        </w:rPr>
        <w:t>日批准；</w:t>
      </w:r>
    </w:p>
    <w:p w:rsidR="00000000" w:rsidRDefault="004D2F83">
      <w:pPr>
        <w:numPr>
          <w:ilvl w:val="0"/>
          <w:numId w:val="693"/>
        </w:numPr>
        <w:tabs>
          <w:tab w:val="clear" w:pos="420"/>
          <w:tab w:val="num" w:pos="840"/>
        </w:tabs>
        <w:spacing w:after="240" w:line="360" w:lineRule="exact"/>
        <w:ind w:left="840" w:hanging="360"/>
        <w:rPr>
          <w:rFonts w:hint="eastAsia"/>
        </w:rPr>
      </w:pPr>
      <w:r>
        <w:rPr>
          <w:rFonts w:hint="eastAsia"/>
        </w:rPr>
        <w:t>《美洲人权公约》（“圣何塞公约”），</w:t>
      </w:r>
      <w:r>
        <w:rPr>
          <w:rFonts w:hint="eastAsia"/>
        </w:rPr>
        <w:t>1992</w:t>
      </w:r>
      <w:r>
        <w:rPr>
          <w:rFonts w:hint="eastAsia"/>
        </w:rPr>
        <w:t>年</w:t>
      </w:r>
      <w:r>
        <w:rPr>
          <w:rFonts w:hint="eastAsia"/>
        </w:rPr>
        <w:t>9</w:t>
      </w:r>
      <w:r>
        <w:rPr>
          <w:rFonts w:hint="eastAsia"/>
        </w:rPr>
        <w:t>月</w:t>
      </w:r>
      <w:r>
        <w:rPr>
          <w:rFonts w:hint="eastAsia"/>
        </w:rPr>
        <w:t>25</w:t>
      </w:r>
      <w:r>
        <w:rPr>
          <w:rFonts w:hint="eastAsia"/>
        </w:rPr>
        <w:t>日批准；</w:t>
      </w:r>
    </w:p>
    <w:p w:rsidR="00000000" w:rsidRDefault="004D2F83">
      <w:pPr>
        <w:numPr>
          <w:ilvl w:val="0"/>
          <w:numId w:val="693"/>
        </w:numPr>
        <w:tabs>
          <w:tab w:val="clear" w:pos="420"/>
          <w:tab w:val="num" w:pos="840"/>
        </w:tabs>
        <w:spacing w:after="240" w:line="360" w:lineRule="exact"/>
        <w:ind w:left="840" w:hanging="360"/>
        <w:rPr>
          <w:rFonts w:hint="eastAsia"/>
        </w:rPr>
      </w:pPr>
      <w:r>
        <w:rPr>
          <w:rFonts w:hint="eastAsia"/>
        </w:rPr>
        <w:t>《美洲防止、惩罚和根除对妇女</w:t>
      </w:r>
      <w:r>
        <w:rPr>
          <w:rFonts w:hint="eastAsia"/>
        </w:rPr>
        <w:t>暴力行为公约》（“贝伦杜帕拉公约”），</w:t>
      </w:r>
      <w:r>
        <w:rPr>
          <w:rFonts w:hint="eastAsia"/>
        </w:rPr>
        <w:t>1995</w:t>
      </w:r>
      <w:r>
        <w:rPr>
          <w:rFonts w:hint="eastAsia"/>
        </w:rPr>
        <w:t>年</w:t>
      </w:r>
      <w:r>
        <w:rPr>
          <w:rFonts w:hint="eastAsia"/>
        </w:rPr>
        <w:t>11</w:t>
      </w:r>
      <w:r>
        <w:rPr>
          <w:rFonts w:hint="eastAsia"/>
        </w:rPr>
        <w:t>月</w:t>
      </w:r>
      <w:r>
        <w:rPr>
          <w:rFonts w:hint="eastAsia"/>
        </w:rPr>
        <w:t>27</w:t>
      </w:r>
      <w:r>
        <w:rPr>
          <w:rFonts w:hint="eastAsia"/>
        </w:rPr>
        <w:t>日批准；</w:t>
      </w:r>
    </w:p>
    <w:p w:rsidR="00000000" w:rsidRDefault="004D2F83">
      <w:pPr>
        <w:numPr>
          <w:ilvl w:val="0"/>
          <w:numId w:val="693"/>
        </w:numPr>
        <w:tabs>
          <w:tab w:val="clear" w:pos="420"/>
          <w:tab w:val="num" w:pos="840"/>
        </w:tabs>
        <w:spacing w:after="240" w:line="360" w:lineRule="exact"/>
        <w:ind w:left="840" w:hanging="360"/>
      </w:pPr>
      <w:r>
        <w:rPr>
          <w:rFonts w:hint="eastAsia"/>
        </w:rPr>
        <w:t>《美洲废除死刑公约议定书》，</w:t>
      </w:r>
      <w:r>
        <w:rPr>
          <w:rFonts w:hint="eastAsia"/>
        </w:rPr>
        <w:t>1996</w:t>
      </w:r>
      <w:r>
        <w:rPr>
          <w:rFonts w:hint="eastAsia"/>
        </w:rPr>
        <w:t>年</w:t>
      </w:r>
      <w:r>
        <w:rPr>
          <w:rFonts w:hint="eastAsia"/>
        </w:rPr>
        <w:t>8</w:t>
      </w:r>
      <w:r>
        <w:rPr>
          <w:rFonts w:hint="eastAsia"/>
        </w:rPr>
        <w:t>月</w:t>
      </w:r>
      <w:r>
        <w:rPr>
          <w:rFonts w:hint="eastAsia"/>
        </w:rPr>
        <w:t>13</w:t>
      </w:r>
      <w:r>
        <w:rPr>
          <w:rFonts w:hint="eastAsia"/>
        </w:rPr>
        <w:t>日批准；和</w:t>
      </w:r>
    </w:p>
    <w:p w:rsidR="00000000" w:rsidRDefault="004D2F83">
      <w:pPr>
        <w:numPr>
          <w:ilvl w:val="0"/>
          <w:numId w:val="693"/>
        </w:numPr>
        <w:tabs>
          <w:tab w:val="clear" w:pos="420"/>
          <w:tab w:val="num" w:pos="840"/>
        </w:tabs>
        <w:spacing w:after="240" w:line="360" w:lineRule="exact"/>
        <w:ind w:left="840" w:hanging="360"/>
        <w:rPr>
          <w:rFonts w:hint="eastAsia"/>
        </w:rPr>
      </w:pPr>
      <w:r>
        <w:rPr>
          <w:rFonts w:hint="eastAsia"/>
        </w:rPr>
        <w:t>《美洲经济、社会和文化权利公约议定书》（“圣萨尔瓦多议定书”），</w:t>
      </w:r>
      <w:r>
        <w:rPr>
          <w:rFonts w:hint="eastAsia"/>
        </w:rPr>
        <w:t>1996</w:t>
      </w:r>
      <w:r>
        <w:rPr>
          <w:rFonts w:hint="eastAsia"/>
        </w:rPr>
        <w:t>年</w:t>
      </w:r>
      <w:r>
        <w:rPr>
          <w:rFonts w:hint="eastAsia"/>
        </w:rPr>
        <w:t>8</w:t>
      </w:r>
      <w:r>
        <w:rPr>
          <w:rFonts w:hint="eastAsia"/>
        </w:rPr>
        <w:t>月</w:t>
      </w:r>
      <w:r>
        <w:rPr>
          <w:rFonts w:hint="eastAsia"/>
        </w:rPr>
        <w:t>21</w:t>
      </w:r>
      <w:r>
        <w:rPr>
          <w:rFonts w:hint="eastAsia"/>
        </w:rPr>
        <w:t>日批准。</w:t>
      </w:r>
    </w:p>
    <w:p w:rsidR="00000000" w:rsidRDefault="004D2F83">
      <w:pPr>
        <w:pStyle w:val="NormalIndent"/>
        <w:spacing w:after="240" w:line="360" w:lineRule="exact"/>
        <w:rPr>
          <w:rFonts w:hint="eastAsia"/>
        </w:rPr>
      </w:pPr>
      <w:r>
        <w:rPr>
          <w:rFonts w:hint="eastAsia"/>
        </w:rPr>
        <w:t>尽管上述国际条约在人权领域的具体目标不同，但它们有着保障平等价值理念的共同目标，并通过赋予各缔约国确保人们不加任何歧视地享受自由、充分的人权的责任来实现。值得一提的是，根据全国人权方案，行政部门负责推动广泛宣传巴西已经批准的各项国际条约的工作。方法是公共管理局与各民间社团组织合作编制出版物、开</w:t>
      </w:r>
      <w:r>
        <w:rPr>
          <w:rFonts w:hint="eastAsia"/>
        </w:rPr>
        <w:t>展辩论、举办研讨会和培训班等。</w:t>
      </w:r>
    </w:p>
    <w:p w:rsidR="00000000" w:rsidRDefault="004D2F83">
      <w:pPr>
        <w:pStyle w:val="NormalIndent"/>
        <w:spacing w:after="240" w:line="360" w:lineRule="exact"/>
        <w:rPr>
          <w:rFonts w:hint="eastAsia"/>
        </w:rPr>
      </w:pPr>
      <w:r>
        <w:rPr>
          <w:rFonts w:hint="eastAsia"/>
        </w:rPr>
        <w:t>除了批准这些国际条约之外，巴西还通过</w:t>
      </w:r>
      <w:r>
        <w:rPr>
          <w:rFonts w:hint="eastAsia"/>
        </w:rPr>
        <w:t>1998</w:t>
      </w:r>
      <w:r>
        <w:rPr>
          <w:rFonts w:hint="eastAsia"/>
        </w:rPr>
        <w:t>年</w:t>
      </w:r>
      <w:r>
        <w:rPr>
          <w:rFonts w:hint="eastAsia"/>
        </w:rPr>
        <w:t>12</w:t>
      </w:r>
      <w:r>
        <w:rPr>
          <w:rFonts w:hint="eastAsia"/>
        </w:rPr>
        <w:t>月</w:t>
      </w:r>
      <w:r>
        <w:rPr>
          <w:rFonts w:hint="eastAsia"/>
        </w:rPr>
        <w:t>3</w:t>
      </w:r>
      <w:r>
        <w:rPr>
          <w:rFonts w:hint="eastAsia"/>
        </w:rPr>
        <w:t>日的第</w:t>
      </w:r>
      <w:r>
        <w:rPr>
          <w:rFonts w:hint="eastAsia"/>
        </w:rPr>
        <w:t>89</w:t>
      </w:r>
      <w:r>
        <w:rPr>
          <w:rFonts w:hint="eastAsia"/>
        </w:rPr>
        <w:t>号法令认可了美洲人权法院的司法管辖权。</w:t>
      </w:r>
      <w:r>
        <w:rPr>
          <w:rFonts w:hint="eastAsia"/>
        </w:rPr>
        <w:t>2000</w:t>
      </w:r>
      <w:r>
        <w:rPr>
          <w:rFonts w:hint="eastAsia"/>
        </w:rPr>
        <w:t>年</w:t>
      </w:r>
      <w:r>
        <w:rPr>
          <w:rFonts w:hint="eastAsia"/>
        </w:rPr>
        <w:t>2</w:t>
      </w:r>
      <w:r>
        <w:rPr>
          <w:rFonts w:hint="eastAsia"/>
        </w:rPr>
        <w:t>月，巴西还签署了</w:t>
      </w:r>
      <w:r>
        <w:rPr>
          <w:rFonts w:hint="eastAsia"/>
        </w:rPr>
        <w:t>1998</w:t>
      </w:r>
      <w:r>
        <w:rPr>
          <w:rFonts w:hint="eastAsia"/>
        </w:rPr>
        <w:t>年</w:t>
      </w:r>
      <w:r>
        <w:rPr>
          <w:rFonts w:hint="eastAsia"/>
        </w:rPr>
        <w:t>7</w:t>
      </w:r>
      <w:r>
        <w:rPr>
          <w:rFonts w:hint="eastAsia"/>
        </w:rPr>
        <w:t>月在罗马批准的《国际刑事法庭规约》。</w:t>
      </w:r>
    </w:p>
    <w:p w:rsidR="00000000" w:rsidRDefault="004D2F83">
      <w:pPr>
        <w:pStyle w:val="Heading3"/>
        <w:numPr>
          <w:ilvl w:val="0"/>
          <w:numId w:val="0"/>
        </w:numPr>
        <w:spacing w:before="0"/>
        <w:rPr>
          <w:rFonts w:hint="eastAsia"/>
          <w:u w:val="none"/>
        </w:rPr>
      </w:pPr>
      <w:bookmarkStart w:id="5" w:name="_Toc36367075"/>
      <w:r>
        <w:rPr>
          <w:rFonts w:hint="eastAsia"/>
          <w:u w:val="none"/>
        </w:rPr>
        <w:t>1.4</w:t>
      </w:r>
      <w:r>
        <w:rPr>
          <w:u w:val="none"/>
        </w:rPr>
        <w:t xml:space="preserve"> </w:t>
      </w:r>
      <w:r>
        <w:rPr>
          <w:rFonts w:hint="eastAsia"/>
          <w:u w:val="none"/>
        </w:rPr>
        <w:t>国家一级的人权保护</w:t>
      </w:r>
      <w:bookmarkEnd w:id="5"/>
    </w:p>
    <w:p w:rsidR="00000000" w:rsidRDefault="004D2F83">
      <w:pPr>
        <w:pStyle w:val="NormalIndent"/>
        <w:spacing w:after="240" w:line="360" w:lineRule="exact"/>
        <w:rPr>
          <w:rFonts w:hint="eastAsia"/>
        </w:rPr>
      </w:pPr>
      <w:r>
        <w:rPr>
          <w:rFonts w:hint="eastAsia"/>
        </w:rPr>
        <w:t>这是巴西提交消除对妇女歧视委员会审议的第一份报告。</w:t>
      </w:r>
    </w:p>
    <w:p w:rsidR="00000000" w:rsidRDefault="004D2F83" w:rsidP="004D2F83">
      <w:pPr>
        <w:pStyle w:val="NormalIndent"/>
        <w:spacing w:after="240" w:line="360" w:lineRule="exact"/>
        <w:ind w:firstLineChars="200" w:firstLine="31680"/>
        <w:rPr>
          <w:rFonts w:hint="eastAsia"/>
        </w:rPr>
      </w:pPr>
      <w:r>
        <w:rPr>
          <w:rFonts w:hint="eastAsia"/>
        </w:rPr>
        <w:t>在标准范围内，本报告基本上是以</w:t>
      </w:r>
      <w:r>
        <w:rPr>
          <w:rFonts w:hint="eastAsia"/>
        </w:rPr>
        <w:t>1988</w:t>
      </w:r>
      <w:r>
        <w:rPr>
          <w:rFonts w:hint="eastAsia"/>
        </w:rPr>
        <w:t>年《联邦宪法》、各国宪法和为履行</w:t>
      </w:r>
      <w:r>
        <w:rPr>
          <w:rFonts w:hint="eastAsia"/>
        </w:rPr>
        <w:t>1988</w:t>
      </w:r>
      <w:r>
        <w:rPr>
          <w:rFonts w:hint="eastAsia"/>
        </w:rPr>
        <w:t>年《宪章》通过的成文法为依据。下文对这一标准依据作了审查，重点是那些旨在确保平等和打击国家一级的歧视妇女行为的规定。</w:t>
      </w:r>
    </w:p>
    <w:p w:rsidR="00000000" w:rsidRDefault="004D2F83">
      <w:pPr>
        <w:pStyle w:val="NormalIndent"/>
        <w:spacing w:after="240" w:line="360" w:lineRule="exact"/>
        <w:ind w:firstLine="0"/>
        <w:rPr>
          <w:rFonts w:eastAsia="SimHei" w:hint="eastAsia"/>
          <w:bCs/>
          <w:sz w:val="24"/>
        </w:rPr>
      </w:pPr>
      <w:r>
        <w:rPr>
          <w:rFonts w:eastAsia="SimHei" w:hint="eastAsia"/>
          <w:bCs/>
          <w:sz w:val="24"/>
        </w:rPr>
        <w:t>联邦宪法</w:t>
      </w:r>
    </w:p>
    <w:p w:rsidR="00000000" w:rsidRDefault="004D2F83" w:rsidP="004D2F83">
      <w:pPr>
        <w:pStyle w:val="NormalIndent"/>
        <w:spacing w:after="240" w:line="360" w:lineRule="exact"/>
        <w:ind w:firstLineChars="200" w:firstLine="31680"/>
        <w:rPr>
          <w:rFonts w:hint="eastAsia"/>
        </w:rPr>
      </w:pPr>
      <w:r>
        <w:rPr>
          <w:rFonts w:hint="eastAsia"/>
        </w:rPr>
        <w:t>经过了从</w:t>
      </w:r>
      <w:r>
        <w:rPr>
          <w:rFonts w:hint="eastAsia"/>
        </w:rPr>
        <w:t>196</w:t>
      </w:r>
      <w:r>
        <w:rPr>
          <w:rFonts w:hint="eastAsia"/>
        </w:rPr>
        <w:t>4</w:t>
      </w:r>
      <w:r>
        <w:rPr>
          <w:rFonts w:hint="eastAsia"/>
        </w:rPr>
        <w:t>年到</w:t>
      </w:r>
      <w:r>
        <w:rPr>
          <w:rFonts w:hint="eastAsia"/>
        </w:rPr>
        <w:t>1985</w:t>
      </w:r>
      <w:r>
        <w:rPr>
          <w:rFonts w:hint="eastAsia"/>
        </w:rPr>
        <w:t>年</w:t>
      </w:r>
      <w:r>
        <w:rPr>
          <w:rFonts w:hint="eastAsia"/>
        </w:rPr>
        <w:t>21</w:t>
      </w:r>
      <w:r>
        <w:rPr>
          <w:rFonts w:hint="eastAsia"/>
        </w:rPr>
        <w:t>年的军事独裁统治之后，巴西发起了一场民主化运动。独裁政权对最基本的权利和自由予以镇压。军队作为一个机构，直接控制了政府职能，促成了军政合一。</w:t>
      </w:r>
    </w:p>
    <w:p w:rsidR="00000000" w:rsidRDefault="004D2F83" w:rsidP="004D2F83">
      <w:pPr>
        <w:pStyle w:val="NormalIndent"/>
        <w:spacing w:after="240" w:line="360" w:lineRule="exact"/>
        <w:ind w:firstLineChars="200" w:firstLine="31680"/>
        <w:rPr>
          <w:rFonts w:hint="eastAsia"/>
        </w:rPr>
      </w:pPr>
      <w:r>
        <w:rPr>
          <w:rFonts w:hint="eastAsia"/>
        </w:rPr>
        <w:t>1985</w:t>
      </w:r>
      <w:r>
        <w:rPr>
          <w:rFonts w:hint="eastAsia"/>
        </w:rPr>
        <w:t>年开始了缓慢、逐渐向民主过渡的进程。通过采取新的组织形式、动员和对话，民间社会变得强大起来，保障了重大社会和政治成就。新的社会参与者和新的社会运动不断涌现，他们的要求和需要推动了巴西的民主化进程。</w:t>
      </w:r>
    </w:p>
    <w:p w:rsidR="00000000" w:rsidRDefault="004D2F83" w:rsidP="004D2F83">
      <w:pPr>
        <w:pStyle w:val="NormalIndent"/>
        <w:spacing w:after="240" w:line="360" w:lineRule="exact"/>
        <w:ind w:firstLineChars="200" w:firstLine="31680"/>
        <w:rPr>
          <w:rFonts w:hint="eastAsia"/>
        </w:rPr>
      </w:pPr>
      <w:r>
        <w:rPr>
          <w:rFonts w:hint="eastAsia"/>
        </w:rPr>
        <w:t>缓慢、逐渐地向民主过渡，使得由民选政府控制军队成为可能。此外，还需要制定新的准则，重新制定社会政治公约。这一进程导致颁布了新的宪法——</w:t>
      </w:r>
      <w:r>
        <w:rPr>
          <w:rFonts w:hint="eastAsia"/>
        </w:rPr>
        <w:t>1988</w:t>
      </w:r>
      <w:r>
        <w:rPr>
          <w:rFonts w:hint="eastAsia"/>
        </w:rPr>
        <w:t>年</w:t>
      </w:r>
      <w:r>
        <w:rPr>
          <w:rFonts w:hint="eastAsia"/>
        </w:rPr>
        <w:t>10</w:t>
      </w:r>
      <w:r>
        <w:rPr>
          <w:rFonts w:hint="eastAsia"/>
        </w:rPr>
        <w:t>月</w:t>
      </w:r>
      <w:r>
        <w:rPr>
          <w:rFonts w:hint="eastAsia"/>
        </w:rPr>
        <w:t>5</w:t>
      </w:r>
      <w:r>
        <w:rPr>
          <w:rFonts w:hint="eastAsia"/>
        </w:rPr>
        <w:t>日的《巴西宪法》。</w:t>
      </w:r>
    </w:p>
    <w:p w:rsidR="00000000" w:rsidRDefault="004D2F83" w:rsidP="004D2F83">
      <w:pPr>
        <w:pStyle w:val="NormalIndent"/>
        <w:spacing w:after="240" w:line="360" w:lineRule="exact"/>
        <w:ind w:firstLineChars="200" w:firstLine="31680"/>
        <w:rPr>
          <w:rFonts w:hint="eastAsia"/>
        </w:rPr>
      </w:pPr>
      <w:r>
        <w:rPr>
          <w:rFonts w:hint="eastAsia"/>
        </w:rPr>
        <w:t>1988</w:t>
      </w:r>
      <w:r>
        <w:rPr>
          <w:rFonts w:hint="eastAsia"/>
        </w:rPr>
        <w:t>年《宪法》是巴西向民主过渡和人权制度化的法律里程碑。《宪章》宣告</w:t>
      </w:r>
      <w:r>
        <w:rPr>
          <w:rFonts w:hint="eastAsia"/>
        </w:rPr>
        <w:t>1964</w:t>
      </w:r>
      <w:r>
        <w:rPr>
          <w:rFonts w:hint="eastAsia"/>
        </w:rPr>
        <w:t>年建立的独裁军事政权倒台，反映出对“独裁统治后”时期的民主共识。历经</w:t>
      </w:r>
      <w:r>
        <w:rPr>
          <w:rFonts w:hint="eastAsia"/>
        </w:rPr>
        <w:t>21</w:t>
      </w:r>
      <w:r>
        <w:rPr>
          <w:rFonts w:hint="eastAsia"/>
        </w:rPr>
        <w:t>年的独裁统治后，《宪法》旨在恢复法治、政府分权、实行联邦制、民主以及保障在人的尊严原则基础上的各项基本权利。</w:t>
      </w:r>
    </w:p>
    <w:p w:rsidR="00000000" w:rsidRDefault="004D2F83" w:rsidP="004D2F83">
      <w:pPr>
        <w:pStyle w:val="NormalIndent"/>
        <w:spacing w:after="240" w:line="360" w:lineRule="exact"/>
        <w:ind w:firstLineChars="200" w:firstLine="31680"/>
        <w:rPr>
          <w:rFonts w:hint="eastAsia"/>
        </w:rPr>
      </w:pPr>
      <w:r>
        <w:rPr>
          <w:rFonts w:hint="eastAsia"/>
        </w:rPr>
        <w:t>1988</w:t>
      </w:r>
      <w:r>
        <w:rPr>
          <w:rFonts w:hint="eastAsia"/>
        </w:rPr>
        <w:t>年《宪法》的基本原则中包括民主法治的定义，强化了联邦原则和分权原则。《宪法》旨在通过建立社区直接参与机制（例如，公民投票、公民表决和大众倡议，见第</w:t>
      </w:r>
      <w:r>
        <w:rPr>
          <w:rFonts w:hint="eastAsia"/>
        </w:rPr>
        <w:t>1</w:t>
      </w:r>
      <w:r>
        <w:rPr>
          <w:rFonts w:hint="eastAsia"/>
        </w:rPr>
        <w:t>条单立款和第</w:t>
      </w:r>
      <w:r>
        <w:rPr>
          <w:rFonts w:hint="eastAsia"/>
        </w:rPr>
        <w:t>14</w:t>
      </w:r>
      <w:r>
        <w:rPr>
          <w:rFonts w:hint="eastAsia"/>
        </w:rPr>
        <w:t>条）以及组织和社区参与的权利（第</w:t>
      </w:r>
      <w:r>
        <w:rPr>
          <w:rFonts w:hint="eastAsia"/>
        </w:rPr>
        <w:t>10</w:t>
      </w:r>
      <w:r>
        <w:rPr>
          <w:rFonts w:hint="eastAsia"/>
        </w:rPr>
        <w:t>条和</w:t>
      </w:r>
      <w:r>
        <w:rPr>
          <w:rFonts w:hint="eastAsia"/>
        </w:rPr>
        <w:t>11</w:t>
      </w:r>
      <w:r>
        <w:rPr>
          <w:rFonts w:hint="eastAsia"/>
        </w:rPr>
        <w:t>条，第</w:t>
      </w:r>
      <w:r>
        <w:rPr>
          <w:rFonts w:hint="eastAsia"/>
        </w:rPr>
        <w:t>194</w:t>
      </w:r>
      <w:r>
        <w:rPr>
          <w:rFonts w:hint="eastAsia"/>
        </w:rPr>
        <w:t>条第七款和第</w:t>
      </w:r>
      <w:r>
        <w:rPr>
          <w:rFonts w:hint="eastAsia"/>
        </w:rPr>
        <w:t>198</w:t>
      </w:r>
      <w:r>
        <w:rPr>
          <w:rFonts w:hint="eastAsia"/>
        </w:rPr>
        <w:t>条第三款），加强参与性民主制度基础上的民主。</w:t>
      </w:r>
    </w:p>
    <w:p w:rsidR="00000000" w:rsidRDefault="004D2F83" w:rsidP="004D2F83">
      <w:pPr>
        <w:pStyle w:val="NormalIndent"/>
        <w:spacing w:after="240" w:line="360" w:lineRule="exact"/>
        <w:ind w:firstLineChars="200" w:firstLine="31680"/>
        <w:rPr>
          <w:rFonts w:hint="eastAsia"/>
        </w:rPr>
      </w:pPr>
      <w:r>
        <w:rPr>
          <w:rFonts w:hint="eastAsia"/>
        </w:rPr>
        <w:t>关于政府分权原则，《宪章》规定立法、行政和司法权利彼此独立，相互协调，并界定了其各自的权限。除了组织范围内的政治分权之外，通过采取联邦制原则，宪法还核可了空间地理意义上的政治权力下放。它对作为自治联邦实体的中央政府、州、市和联邦区下了定义。</w:t>
      </w:r>
    </w:p>
    <w:p w:rsidR="00000000" w:rsidRDefault="004D2F83" w:rsidP="004D2F83">
      <w:pPr>
        <w:pStyle w:val="NormalIndent"/>
        <w:spacing w:after="240" w:line="360" w:lineRule="exact"/>
        <w:ind w:firstLineChars="200" w:firstLine="31680"/>
        <w:rPr>
          <w:rFonts w:hint="eastAsia"/>
        </w:rPr>
      </w:pPr>
      <w:r>
        <w:rPr>
          <w:rFonts w:hint="eastAsia"/>
        </w:rPr>
        <w:t>值得一提的是</w:t>
      </w:r>
      <w:r>
        <w:rPr>
          <w:rFonts w:hint="eastAsia"/>
        </w:rPr>
        <w:t>1988</w:t>
      </w:r>
      <w:r>
        <w:rPr>
          <w:rFonts w:hint="eastAsia"/>
        </w:rPr>
        <w:t>年《宪法》第</w:t>
      </w:r>
      <w:r>
        <w:rPr>
          <w:rFonts w:hint="eastAsia"/>
        </w:rPr>
        <w:t>60</w:t>
      </w:r>
      <w:r>
        <w:rPr>
          <w:rFonts w:hint="eastAsia"/>
        </w:rPr>
        <w:t>条第</w:t>
      </w:r>
      <w:r>
        <w:rPr>
          <w:rFonts w:hint="eastAsia"/>
        </w:rPr>
        <w:t>4</w:t>
      </w:r>
      <w:r>
        <w:rPr>
          <w:rFonts w:hint="eastAsia"/>
        </w:rPr>
        <w:t>款第一至四项中的一项“不可侵犯的条款”——其无形的实质性核心——规定了国家的联邦形式、政府权力分开、直接、无记名、普遍、定期投票以及各项个人权利和保障。</w:t>
      </w:r>
    </w:p>
    <w:p w:rsidR="00000000" w:rsidRDefault="004D2F83" w:rsidP="004D2F83">
      <w:pPr>
        <w:pStyle w:val="NormalIndent"/>
        <w:spacing w:after="240" w:line="360" w:lineRule="exact"/>
        <w:ind w:firstLineChars="200" w:firstLine="31680"/>
        <w:rPr>
          <w:rFonts w:hint="eastAsia"/>
        </w:rPr>
      </w:pPr>
      <w:r>
        <w:rPr>
          <w:rFonts w:hint="eastAsia"/>
        </w:rPr>
        <w:t>这部</w:t>
      </w:r>
      <w:r>
        <w:rPr>
          <w:rFonts w:hint="eastAsia"/>
        </w:rPr>
        <w:t>宪法代表着在巩固各项基本权利和保障方面取得的特别重大进展，是巴西历史上有关这些问题的一部最全面和详尽的宪法。</w:t>
      </w:r>
    </w:p>
    <w:p w:rsidR="00000000" w:rsidRDefault="004D2F83" w:rsidP="004D2F83">
      <w:pPr>
        <w:pStyle w:val="NormalIndent"/>
        <w:spacing w:after="240" w:line="360" w:lineRule="exact"/>
        <w:ind w:firstLineChars="200" w:firstLine="31680"/>
        <w:rPr>
          <w:rFonts w:hint="eastAsia"/>
        </w:rPr>
      </w:pPr>
      <w:r>
        <w:rPr>
          <w:rFonts w:hint="eastAsia"/>
        </w:rPr>
        <w:t>1998</w:t>
      </w:r>
      <w:r>
        <w:rPr>
          <w:rFonts w:hint="eastAsia"/>
        </w:rPr>
        <w:t>年《宪章》第</w:t>
      </w:r>
      <w:r>
        <w:rPr>
          <w:rFonts w:hint="eastAsia"/>
        </w:rPr>
        <w:t>1</w:t>
      </w:r>
      <w:r>
        <w:rPr>
          <w:rFonts w:hint="eastAsia"/>
        </w:rPr>
        <w:t>条第三项中把人的尊严的价值观定义为巴西法律制度的基本信息核心，并作为指导人们理解</w:t>
      </w:r>
      <w:r>
        <w:rPr>
          <w:rFonts w:hint="eastAsia"/>
        </w:rPr>
        <w:t>1988</w:t>
      </w:r>
      <w:r>
        <w:rPr>
          <w:rFonts w:hint="eastAsia"/>
        </w:rPr>
        <w:t>年推行的宪法体系的标准和参数。整部宪法对人的尊严及基本权利和保障给予了特殊的、更大的重视，它们构成解释巴西国家法律制度的所有规范的标准。</w:t>
      </w:r>
    </w:p>
    <w:p w:rsidR="00000000" w:rsidRDefault="004D2F83" w:rsidP="004D2F83">
      <w:pPr>
        <w:pStyle w:val="NormalIndent"/>
        <w:spacing w:after="240" w:line="360" w:lineRule="exact"/>
        <w:ind w:firstLineChars="200" w:firstLine="31680"/>
        <w:rPr>
          <w:rFonts w:hint="eastAsia"/>
        </w:rPr>
      </w:pPr>
      <w:r>
        <w:rPr>
          <w:rFonts w:hint="eastAsia"/>
        </w:rPr>
        <w:t>在这种情况下，</w:t>
      </w:r>
      <w:r>
        <w:rPr>
          <w:rFonts w:hint="eastAsia"/>
        </w:rPr>
        <w:t>1988</w:t>
      </w:r>
      <w:r>
        <w:rPr>
          <w:rFonts w:hint="eastAsia"/>
        </w:rPr>
        <w:t>年《宪章》在国际关系领域进行了极为重大的创新，见第</w:t>
      </w:r>
      <w:r>
        <w:rPr>
          <w:rFonts w:hint="eastAsia"/>
        </w:rPr>
        <w:t>4</w:t>
      </w:r>
      <w:r>
        <w:rPr>
          <w:rFonts w:hint="eastAsia"/>
        </w:rPr>
        <w:t>条第一至十项规定。如果说这条宪法规定一方面承袭了帝国时代对关于国家独立和不干涉政</w:t>
      </w:r>
      <w:r>
        <w:rPr>
          <w:rFonts w:hint="eastAsia"/>
        </w:rPr>
        <w:t>策的关注以及旨在捍卫和平的共和理想，另一方面通过强调国际主义注入了新的内容，这在巴西宪法史上是前所未有的。这种国际主义观点转化成普及人权、人民自决、批判恐怖主义和种族主义以及各族人民合作推动人类进步的原则（第</w:t>
      </w:r>
      <w:r>
        <w:rPr>
          <w:rFonts w:hint="eastAsia"/>
        </w:rPr>
        <w:t>4</w:t>
      </w:r>
      <w:r>
        <w:rPr>
          <w:rFonts w:hint="eastAsia"/>
        </w:rPr>
        <w:t>条第二、三、八和九项）。</w:t>
      </w:r>
    </w:p>
    <w:p w:rsidR="00000000" w:rsidRDefault="004D2F83" w:rsidP="004D2F83">
      <w:pPr>
        <w:pStyle w:val="NormalIndent"/>
        <w:spacing w:after="240" w:line="360" w:lineRule="exact"/>
        <w:ind w:firstLineChars="200" w:firstLine="31680"/>
        <w:rPr>
          <w:rFonts w:hint="eastAsia"/>
        </w:rPr>
      </w:pPr>
      <w:r>
        <w:rPr>
          <w:rFonts w:hint="eastAsia"/>
        </w:rPr>
        <w:t>1988</w:t>
      </w:r>
      <w:r>
        <w:rPr>
          <w:rFonts w:hint="eastAsia"/>
        </w:rPr>
        <w:t>年《宪法》与原先的宪章不同的是，有史以来第一次把首要尊重人权确立为国际社会提倡的典范。这项原则促使国内法令向国际人权保护系统开放。如果对于巴西而言，普及人权是管理其国际关系应当遵循的原则，后来巴西还接受了这样一个观点，即人权是国际社会合法关注的一个主题。在这个意义上，</w:t>
      </w:r>
      <w:r>
        <w:rPr>
          <w:rFonts w:hint="eastAsia"/>
        </w:rPr>
        <w:t>1988</w:t>
      </w:r>
      <w:r>
        <w:rPr>
          <w:rFonts w:hint="eastAsia"/>
        </w:rPr>
        <w:t>年《宪章》将人权作为一个全球主题加以论述。</w:t>
      </w:r>
    </w:p>
    <w:p w:rsidR="00000000" w:rsidRDefault="004D2F83" w:rsidP="004D2F83">
      <w:pPr>
        <w:pStyle w:val="NormalIndent"/>
        <w:spacing w:after="240" w:line="360" w:lineRule="exact"/>
        <w:ind w:firstLineChars="200" w:firstLine="31680"/>
        <w:rPr>
          <w:rFonts w:hint="eastAsia"/>
        </w:rPr>
      </w:pPr>
      <w:r>
        <w:rPr>
          <w:rFonts w:hint="eastAsia"/>
        </w:rPr>
        <w:t>1988</w:t>
      </w:r>
      <w:r>
        <w:rPr>
          <w:rFonts w:hint="eastAsia"/>
        </w:rPr>
        <w:t>年《宪章》同样以前所未有的方式在第</w:t>
      </w:r>
      <w:r>
        <w:rPr>
          <w:rFonts w:hint="eastAsia"/>
        </w:rPr>
        <w:t>5</w:t>
      </w:r>
      <w:r>
        <w:rPr>
          <w:rFonts w:hint="eastAsia"/>
        </w:rPr>
        <w:t>条第一至七十七项所载的长篇《权利宣言》的末尾宣称，“本宪法所述的权利和保障不排除从该制度和从其采取的原则，或从巴西联邦共和国是其缔约方的国际条约中产生出来的其他权利和保障”（第</w:t>
      </w:r>
      <w:r>
        <w:rPr>
          <w:rFonts w:hint="eastAsia"/>
        </w:rPr>
        <w:t>5</w:t>
      </w:r>
      <w:r>
        <w:rPr>
          <w:rFonts w:hint="eastAsia"/>
        </w:rPr>
        <w:t>条，第</w:t>
      </w:r>
      <w:r>
        <w:rPr>
          <w:rFonts w:hint="eastAsia"/>
        </w:rPr>
        <w:t>2</w:t>
      </w:r>
      <w:r>
        <w:rPr>
          <w:rFonts w:hint="eastAsia"/>
        </w:rPr>
        <w:t>款）。因此，</w:t>
      </w:r>
      <w:r>
        <w:rPr>
          <w:rFonts w:hint="eastAsia"/>
        </w:rPr>
        <w:t>1988</w:t>
      </w:r>
      <w:r>
        <w:rPr>
          <w:rFonts w:hint="eastAsia"/>
        </w:rPr>
        <w:t>年《宪章》的创新方面是，除了宪法保护的权利之外，把巴西是其缔约方的国际条约中所载的权利也包括在内。这样，《宪章》赋予国际权利以一种特殊的、不同的层次，即宪法原则的层次。</w:t>
      </w:r>
      <w:r>
        <w:rPr>
          <w:rStyle w:val="FootnoteReference"/>
        </w:rPr>
        <w:footnoteReference w:customMarkFollows="1" w:id="29"/>
        <w:t>29</w:t>
      </w:r>
    </w:p>
    <w:p w:rsidR="00000000" w:rsidRDefault="004D2F83" w:rsidP="004D2F83">
      <w:pPr>
        <w:pStyle w:val="NormalIndent"/>
        <w:spacing w:after="240" w:line="360" w:lineRule="exact"/>
        <w:ind w:firstLineChars="200" w:firstLine="31680"/>
        <w:rPr>
          <w:rFonts w:hint="eastAsia"/>
        </w:rPr>
      </w:pPr>
      <w:r>
        <w:rPr>
          <w:rFonts w:hint="eastAsia"/>
        </w:rPr>
        <w:t>1988</w:t>
      </w:r>
      <w:r>
        <w:rPr>
          <w:rFonts w:hint="eastAsia"/>
        </w:rPr>
        <w:t>年《宪章》还体现了立即适用根</w:t>
      </w:r>
      <w:r>
        <w:rPr>
          <w:rFonts w:hint="eastAsia"/>
        </w:rPr>
        <w:t>据第</w:t>
      </w:r>
      <w:r>
        <w:rPr>
          <w:rFonts w:hint="eastAsia"/>
        </w:rPr>
        <w:t>5</w:t>
      </w:r>
      <w:r>
        <w:rPr>
          <w:rFonts w:hint="eastAsia"/>
        </w:rPr>
        <w:t>条第</w:t>
      </w:r>
      <w:r>
        <w:rPr>
          <w:rFonts w:hint="eastAsia"/>
        </w:rPr>
        <w:t>1</w:t>
      </w:r>
      <w:r>
        <w:rPr>
          <w:rFonts w:hint="eastAsia"/>
        </w:rPr>
        <w:t>款规定各项基本权利和保障的条款的原则。</w:t>
      </w:r>
    </w:p>
    <w:p w:rsidR="00000000" w:rsidRDefault="004D2F83" w:rsidP="004D2F83">
      <w:pPr>
        <w:pStyle w:val="NormalIndent"/>
        <w:spacing w:after="240" w:line="360" w:lineRule="exact"/>
        <w:ind w:firstLineChars="200" w:firstLine="31680"/>
        <w:rPr>
          <w:rFonts w:hint="eastAsia"/>
        </w:rPr>
      </w:pPr>
      <w:r>
        <w:rPr>
          <w:rFonts w:hint="eastAsia"/>
        </w:rPr>
        <w:t>在评估妇女运动方面，</w:t>
      </w:r>
      <w:r>
        <w:rPr>
          <w:rFonts w:hint="eastAsia"/>
        </w:rPr>
        <w:t>1988</w:t>
      </w:r>
      <w:r>
        <w:rPr>
          <w:rFonts w:hint="eastAsia"/>
        </w:rPr>
        <w:t>年以前为捍卫妇女人权而进行的对话起了重要作用，其目的是促进在宪法范围内取得成就。由此产生了“巴西妇女致制宪大会成员宪章”，其中包括妇女运动在全国范围广泛的讨论和大辩论基础上提出的主要需求。由于在制宪大会活动期间开展充分动员运动，妇女提出的绝大部分要求均被写入</w:t>
      </w:r>
      <w:r>
        <w:rPr>
          <w:rFonts w:hint="eastAsia"/>
        </w:rPr>
        <w:t>1988</w:t>
      </w:r>
      <w:r>
        <w:rPr>
          <w:rFonts w:hint="eastAsia"/>
        </w:rPr>
        <w:t>年的宪法文本。</w:t>
      </w:r>
    </w:p>
    <w:p w:rsidR="00000000" w:rsidRDefault="004D2F83" w:rsidP="004D2F83">
      <w:pPr>
        <w:pStyle w:val="NormalIndent"/>
        <w:spacing w:after="240" w:line="360" w:lineRule="exact"/>
        <w:ind w:firstLineChars="200" w:firstLine="31680"/>
        <w:rPr>
          <w:rFonts w:hint="eastAsia"/>
        </w:rPr>
      </w:pPr>
      <w:r>
        <w:rPr>
          <w:rFonts w:hint="eastAsia"/>
        </w:rPr>
        <w:t>从宪法条款可以清楚地看到妇女运动在宪法方面取得的成功，这些条款尤其保障了她们的以下权利：</w:t>
      </w:r>
    </w:p>
    <w:p w:rsidR="00000000" w:rsidRDefault="004D2F83">
      <w:pPr>
        <w:pStyle w:val="NormalIndent"/>
        <w:numPr>
          <w:ilvl w:val="0"/>
          <w:numId w:val="694"/>
        </w:numPr>
        <w:tabs>
          <w:tab w:val="clear" w:pos="420"/>
          <w:tab w:val="num" w:pos="840"/>
        </w:tabs>
        <w:spacing w:after="240" w:line="360" w:lineRule="exact"/>
        <w:ind w:left="840" w:hanging="360"/>
        <w:rPr>
          <w:rFonts w:hint="eastAsia"/>
        </w:rPr>
      </w:pPr>
      <w:r>
        <w:rPr>
          <w:rFonts w:hint="eastAsia"/>
        </w:rPr>
        <w:t>男女普遍平等的权利（第</w:t>
      </w:r>
      <w:r>
        <w:rPr>
          <w:rFonts w:hint="eastAsia"/>
        </w:rPr>
        <w:t>5</w:t>
      </w:r>
      <w:r>
        <w:rPr>
          <w:rFonts w:hint="eastAsia"/>
        </w:rPr>
        <w:t>条，第一款），特别是在家庭中的平等权</w:t>
      </w:r>
      <w:r>
        <w:rPr>
          <w:rFonts w:hint="eastAsia"/>
        </w:rPr>
        <w:t>利（第</w:t>
      </w:r>
      <w:r>
        <w:rPr>
          <w:rFonts w:hint="eastAsia"/>
        </w:rPr>
        <w:t>226</w:t>
      </w:r>
      <w:r>
        <w:rPr>
          <w:rFonts w:hint="eastAsia"/>
        </w:rPr>
        <w:t>条第</w:t>
      </w:r>
      <w:r>
        <w:rPr>
          <w:rFonts w:hint="eastAsia"/>
        </w:rPr>
        <w:t>5</w:t>
      </w:r>
      <w:r>
        <w:rPr>
          <w:rFonts w:hint="eastAsia"/>
        </w:rPr>
        <w:t>款）；</w:t>
      </w:r>
    </w:p>
    <w:p w:rsidR="00000000" w:rsidRDefault="004D2F83">
      <w:pPr>
        <w:pStyle w:val="NormalIndent"/>
        <w:numPr>
          <w:ilvl w:val="0"/>
          <w:numId w:val="694"/>
        </w:numPr>
        <w:tabs>
          <w:tab w:val="clear" w:pos="420"/>
          <w:tab w:val="num" w:pos="840"/>
        </w:tabs>
        <w:spacing w:after="240" w:line="360" w:lineRule="exact"/>
        <w:ind w:left="840" w:hanging="360"/>
        <w:rPr>
          <w:rFonts w:hint="eastAsia"/>
        </w:rPr>
      </w:pPr>
      <w:r>
        <w:rPr>
          <w:rFonts w:hint="eastAsia"/>
        </w:rPr>
        <w:t>禁止劳动力市场上以性别、年龄、肤色或婚姻状况为由的歧视（第</w:t>
      </w:r>
      <w:r>
        <w:rPr>
          <w:rFonts w:hint="eastAsia"/>
        </w:rPr>
        <w:t>7</w:t>
      </w:r>
      <w:r>
        <w:rPr>
          <w:rFonts w:hint="eastAsia"/>
        </w:rPr>
        <w:t>条，第三十款，</w:t>
      </w:r>
      <w:r>
        <w:rPr>
          <w:rFonts w:hint="eastAsia"/>
        </w:rPr>
        <w:t>1995</w:t>
      </w:r>
      <w:r>
        <w:rPr>
          <w:rFonts w:hint="eastAsia"/>
        </w:rPr>
        <w:t>年</w:t>
      </w:r>
      <w:r>
        <w:rPr>
          <w:rFonts w:hint="eastAsia"/>
        </w:rPr>
        <w:t>4</w:t>
      </w:r>
      <w:r>
        <w:rPr>
          <w:rFonts w:hint="eastAsia"/>
        </w:rPr>
        <w:t>月</w:t>
      </w:r>
      <w:r>
        <w:rPr>
          <w:rFonts w:hint="eastAsia"/>
        </w:rPr>
        <w:t>13</w:t>
      </w:r>
      <w:r>
        <w:rPr>
          <w:rFonts w:hint="eastAsia"/>
        </w:rPr>
        <w:t>日第</w:t>
      </w:r>
      <w:r>
        <w:rPr>
          <w:rFonts w:hint="eastAsia"/>
        </w:rPr>
        <w:t>9029</w:t>
      </w:r>
      <w:r>
        <w:rPr>
          <w:rFonts w:hint="eastAsia"/>
        </w:rPr>
        <w:t>号法律规定，该条禁止为进入劳动力市场或继续合法劳动关系的目的，要求出示孕产和绝育证明，以及其他歧视性做法）；</w:t>
      </w:r>
    </w:p>
    <w:p w:rsidR="00000000" w:rsidRDefault="004D2F83">
      <w:pPr>
        <w:pStyle w:val="NormalIndent"/>
        <w:numPr>
          <w:ilvl w:val="0"/>
          <w:numId w:val="694"/>
        </w:numPr>
        <w:tabs>
          <w:tab w:val="clear" w:pos="420"/>
          <w:tab w:val="num" w:pos="840"/>
        </w:tabs>
        <w:spacing w:after="240" w:line="360" w:lineRule="exact"/>
        <w:ind w:left="840" w:hanging="360"/>
        <w:rPr>
          <w:rFonts w:hint="eastAsia"/>
        </w:rPr>
      </w:pPr>
      <w:r>
        <w:rPr>
          <w:rFonts w:hint="eastAsia"/>
        </w:rPr>
        <w:t>通过具体的激励机制，保障妇女进入劳动力市场（第</w:t>
      </w:r>
      <w:r>
        <w:rPr>
          <w:rFonts w:hint="eastAsia"/>
        </w:rPr>
        <w:t>7</w:t>
      </w:r>
      <w:r>
        <w:rPr>
          <w:rFonts w:hint="eastAsia"/>
        </w:rPr>
        <w:t>条，第二十款，</w:t>
      </w:r>
      <w:r>
        <w:rPr>
          <w:rFonts w:hint="eastAsia"/>
        </w:rPr>
        <w:t>1999</w:t>
      </w:r>
      <w:r>
        <w:rPr>
          <w:rFonts w:hint="eastAsia"/>
        </w:rPr>
        <w:t>年</w:t>
      </w:r>
      <w:r>
        <w:rPr>
          <w:rFonts w:hint="eastAsia"/>
        </w:rPr>
        <w:t>5</w:t>
      </w:r>
      <w:r>
        <w:rPr>
          <w:rFonts w:hint="eastAsia"/>
        </w:rPr>
        <w:t>月</w:t>
      </w:r>
      <w:r>
        <w:rPr>
          <w:rFonts w:hint="eastAsia"/>
        </w:rPr>
        <w:t>26</w:t>
      </w:r>
      <w:r>
        <w:rPr>
          <w:rFonts w:hint="eastAsia"/>
        </w:rPr>
        <w:t>日第</w:t>
      </w:r>
      <w:r>
        <w:rPr>
          <w:rFonts w:hint="eastAsia"/>
        </w:rPr>
        <w:t>9799</w:t>
      </w:r>
      <w:r>
        <w:rPr>
          <w:rFonts w:hint="eastAsia"/>
        </w:rPr>
        <w:t>号法律规定，该条包括妇女进入劳动力市场的劳动法条例）；</w:t>
      </w:r>
    </w:p>
    <w:p w:rsidR="00000000" w:rsidRDefault="004D2F83">
      <w:pPr>
        <w:pStyle w:val="NormalIndent"/>
        <w:numPr>
          <w:ilvl w:val="0"/>
          <w:numId w:val="694"/>
        </w:numPr>
        <w:tabs>
          <w:tab w:val="clear" w:pos="420"/>
          <w:tab w:val="num" w:pos="840"/>
        </w:tabs>
        <w:spacing w:after="240" w:line="360" w:lineRule="exact"/>
        <w:ind w:left="840" w:hanging="360"/>
        <w:rPr>
          <w:rFonts w:hint="eastAsia"/>
        </w:rPr>
      </w:pPr>
      <w:r>
        <w:rPr>
          <w:rFonts w:hint="eastAsia"/>
        </w:rPr>
        <w:t>女囚在哺乳期间与子女在一起的权利（第</w:t>
      </w:r>
      <w:r>
        <w:rPr>
          <w:rFonts w:hint="eastAsia"/>
        </w:rPr>
        <w:t>5</w:t>
      </w:r>
      <w:r>
        <w:rPr>
          <w:rFonts w:hint="eastAsia"/>
        </w:rPr>
        <w:t>条，第五十款）；</w:t>
      </w:r>
    </w:p>
    <w:p w:rsidR="00000000" w:rsidRDefault="004D2F83">
      <w:pPr>
        <w:pStyle w:val="NormalIndent"/>
        <w:numPr>
          <w:ilvl w:val="0"/>
          <w:numId w:val="694"/>
        </w:numPr>
        <w:tabs>
          <w:tab w:val="clear" w:pos="420"/>
          <w:tab w:val="num" w:pos="840"/>
        </w:tabs>
        <w:spacing w:after="240" w:line="360" w:lineRule="exact"/>
        <w:ind w:left="840" w:hanging="360"/>
        <w:rPr>
          <w:rFonts w:hint="eastAsia"/>
        </w:rPr>
      </w:pPr>
      <w:r>
        <w:rPr>
          <w:rFonts w:hint="eastAsia"/>
        </w:rPr>
        <w:t>作为一项保护母亲的社会权利（第</w:t>
      </w:r>
      <w:r>
        <w:rPr>
          <w:rFonts w:hint="eastAsia"/>
        </w:rPr>
        <w:t>6</w:t>
      </w:r>
      <w:r>
        <w:rPr>
          <w:rFonts w:hint="eastAsia"/>
        </w:rPr>
        <w:t>条），实行</w:t>
      </w:r>
      <w:r>
        <w:rPr>
          <w:rFonts w:hint="eastAsia"/>
        </w:rPr>
        <w:t>120</w:t>
      </w:r>
      <w:r>
        <w:rPr>
          <w:rFonts w:hint="eastAsia"/>
        </w:rPr>
        <w:t>天的保留工作和带薪产</w:t>
      </w:r>
      <w:r>
        <w:rPr>
          <w:rFonts w:hint="eastAsia"/>
        </w:rPr>
        <w:t>假（第</w:t>
      </w:r>
      <w:r>
        <w:rPr>
          <w:rFonts w:hint="eastAsia"/>
        </w:rPr>
        <w:t>7</w:t>
      </w:r>
      <w:r>
        <w:rPr>
          <w:rFonts w:hint="eastAsia"/>
        </w:rPr>
        <w:t>条，第四十三款）；</w:t>
      </w:r>
    </w:p>
    <w:p w:rsidR="00000000" w:rsidRDefault="004D2F83">
      <w:pPr>
        <w:pStyle w:val="NormalIndent"/>
        <w:numPr>
          <w:ilvl w:val="0"/>
          <w:numId w:val="694"/>
        </w:numPr>
        <w:tabs>
          <w:tab w:val="clear" w:pos="420"/>
          <w:tab w:val="num" w:pos="840"/>
        </w:tabs>
        <w:spacing w:after="240" w:line="360" w:lineRule="exact"/>
        <w:ind w:left="840" w:hanging="360"/>
        <w:rPr>
          <w:rFonts w:hint="eastAsia"/>
        </w:rPr>
      </w:pPr>
      <w:r>
        <w:rPr>
          <w:rFonts w:hint="eastAsia"/>
        </w:rPr>
        <w:t>实行土地所有制改革，对男子或妇女，或对二者——无论其婚姻状况如何——发放地契或农村土地使用特许证（第</w:t>
      </w:r>
      <w:r>
        <w:rPr>
          <w:rFonts w:hint="eastAsia"/>
        </w:rPr>
        <w:t>189</w:t>
      </w:r>
      <w:r>
        <w:rPr>
          <w:rFonts w:hint="eastAsia"/>
        </w:rPr>
        <w:t>条单立款）；</w:t>
      </w:r>
    </w:p>
    <w:p w:rsidR="00000000" w:rsidRDefault="004D2F83">
      <w:pPr>
        <w:pStyle w:val="NormalIndent"/>
        <w:numPr>
          <w:ilvl w:val="0"/>
          <w:numId w:val="694"/>
        </w:numPr>
        <w:tabs>
          <w:tab w:val="clear" w:pos="420"/>
          <w:tab w:val="num" w:pos="840"/>
        </w:tabs>
        <w:spacing w:after="240" w:line="360" w:lineRule="exact"/>
        <w:ind w:left="840" w:hanging="360"/>
        <w:rPr>
          <w:rFonts w:hint="eastAsia"/>
        </w:rPr>
      </w:pPr>
      <w:r>
        <w:rPr>
          <w:rFonts w:hint="eastAsia"/>
        </w:rPr>
        <w:t>已婚夫妇可自由选择计划生育，为行使这一权利由国家负责提供教育和科学资源（第</w:t>
      </w:r>
      <w:r>
        <w:rPr>
          <w:rFonts w:hint="eastAsia"/>
        </w:rPr>
        <w:t>226</w:t>
      </w:r>
      <w:r>
        <w:rPr>
          <w:rFonts w:hint="eastAsia"/>
        </w:rPr>
        <w:t>条，第</w:t>
      </w:r>
      <w:r>
        <w:rPr>
          <w:rFonts w:hint="eastAsia"/>
        </w:rPr>
        <w:t>7</w:t>
      </w:r>
      <w:r>
        <w:rPr>
          <w:rFonts w:hint="eastAsia"/>
        </w:rPr>
        <w:t>款，</w:t>
      </w:r>
      <w:r>
        <w:rPr>
          <w:rFonts w:hint="eastAsia"/>
        </w:rPr>
        <w:t>1996</w:t>
      </w:r>
      <w:r>
        <w:rPr>
          <w:rFonts w:hint="eastAsia"/>
        </w:rPr>
        <w:t>年</w:t>
      </w:r>
      <w:r>
        <w:rPr>
          <w:rFonts w:hint="eastAsia"/>
        </w:rPr>
        <w:t>1</w:t>
      </w:r>
      <w:r>
        <w:rPr>
          <w:rFonts w:hint="eastAsia"/>
        </w:rPr>
        <w:t>月</w:t>
      </w:r>
      <w:r>
        <w:rPr>
          <w:rFonts w:hint="eastAsia"/>
        </w:rPr>
        <w:t>12</w:t>
      </w:r>
      <w:r>
        <w:rPr>
          <w:rFonts w:hint="eastAsia"/>
        </w:rPr>
        <w:t>日第</w:t>
      </w:r>
      <w:r>
        <w:rPr>
          <w:rFonts w:hint="eastAsia"/>
        </w:rPr>
        <w:t>9263</w:t>
      </w:r>
      <w:r>
        <w:rPr>
          <w:rFonts w:hint="eastAsia"/>
        </w:rPr>
        <w:t>号法律规定，该条规定了在全面而充分的保健范围内的计划生育）；和</w:t>
      </w:r>
    </w:p>
    <w:p w:rsidR="00000000" w:rsidRDefault="004D2F83">
      <w:pPr>
        <w:pStyle w:val="NormalIndent"/>
        <w:numPr>
          <w:ilvl w:val="0"/>
          <w:numId w:val="694"/>
        </w:numPr>
        <w:tabs>
          <w:tab w:val="clear" w:pos="420"/>
          <w:tab w:val="num" w:pos="840"/>
        </w:tabs>
        <w:spacing w:after="240" w:line="360" w:lineRule="exact"/>
        <w:ind w:left="840" w:hanging="360"/>
        <w:rPr>
          <w:rFonts w:hint="eastAsia"/>
        </w:rPr>
      </w:pPr>
      <w:r>
        <w:rPr>
          <w:rFonts w:hint="eastAsia"/>
        </w:rPr>
        <w:t>国家制止家庭暴力的职责（第</w:t>
      </w:r>
      <w:r>
        <w:rPr>
          <w:rFonts w:hint="eastAsia"/>
        </w:rPr>
        <w:t>226</w:t>
      </w:r>
      <w:r>
        <w:rPr>
          <w:rFonts w:hint="eastAsia"/>
        </w:rPr>
        <w:t>条，第</w:t>
      </w:r>
      <w:r>
        <w:rPr>
          <w:rFonts w:hint="eastAsia"/>
        </w:rPr>
        <w:t>8</w:t>
      </w:r>
      <w:r>
        <w:rPr>
          <w:rFonts w:hint="eastAsia"/>
        </w:rPr>
        <w:t>款）。</w:t>
      </w:r>
    </w:p>
    <w:p w:rsidR="00000000" w:rsidRDefault="004D2F83">
      <w:pPr>
        <w:pStyle w:val="NormalIndent"/>
        <w:spacing w:after="240" w:line="360" w:lineRule="exact"/>
        <w:rPr>
          <w:rFonts w:hint="eastAsia"/>
        </w:rPr>
      </w:pPr>
      <w:r>
        <w:rPr>
          <w:rFonts w:hint="eastAsia"/>
        </w:rPr>
        <w:t>因此，《巴西宪法》完全符合巴西批准《消除对妇女一切形式歧视公约》后接受的各项国际要求，即采取惩罚</w:t>
      </w:r>
      <w:r>
        <w:rPr>
          <w:rFonts w:hint="eastAsia"/>
        </w:rPr>
        <w:t>-</w:t>
      </w:r>
      <w:r>
        <w:rPr>
          <w:rFonts w:hint="eastAsia"/>
        </w:rPr>
        <w:t>制裁办法（禁止歧视）也采取促进办</w:t>
      </w:r>
      <w:r>
        <w:rPr>
          <w:rFonts w:hint="eastAsia"/>
        </w:rPr>
        <w:t>法（促进平等）。</w:t>
      </w:r>
    </w:p>
    <w:p w:rsidR="00000000" w:rsidRDefault="004D2F83">
      <w:pPr>
        <w:pStyle w:val="NormalIndent"/>
        <w:spacing w:after="240" w:line="360" w:lineRule="exact"/>
        <w:rPr>
          <w:rFonts w:hint="eastAsia"/>
        </w:rPr>
      </w:pPr>
      <w:r>
        <w:rPr>
          <w:rFonts w:hint="eastAsia"/>
        </w:rPr>
        <w:t>值得一提的是，国际方面取得的进展同时也确保了国内的变革。在这方面，应当特别提及</w:t>
      </w:r>
      <w:r>
        <w:rPr>
          <w:rFonts w:hint="eastAsia"/>
        </w:rPr>
        <w:t>1979</w:t>
      </w:r>
      <w:r>
        <w:rPr>
          <w:rFonts w:hint="eastAsia"/>
        </w:rPr>
        <w:t>年《消除对妇女歧视公约》、</w:t>
      </w:r>
      <w:r>
        <w:rPr>
          <w:rFonts w:hint="eastAsia"/>
        </w:rPr>
        <w:t>1993</w:t>
      </w:r>
      <w:r>
        <w:rPr>
          <w:rFonts w:hint="eastAsia"/>
        </w:rPr>
        <w:t>年《维也纳宣言和人权行动纲领》、</w:t>
      </w:r>
      <w:r>
        <w:rPr>
          <w:rFonts w:hint="eastAsia"/>
        </w:rPr>
        <w:t>1994</w:t>
      </w:r>
      <w:r>
        <w:rPr>
          <w:rFonts w:hint="eastAsia"/>
        </w:rPr>
        <w:t>年开罗人口与发展会议、</w:t>
      </w:r>
      <w:r>
        <w:rPr>
          <w:rFonts w:hint="eastAsia"/>
        </w:rPr>
        <w:t>1994</w:t>
      </w:r>
      <w:r>
        <w:rPr>
          <w:rFonts w:hint="eastAsia"/>
        </w:rPr>
        <w:t>年《美洲防止、惩罚和根除对妇女暴力行为公约》以及</w:t>
      </w:r>
      <w:r>
        <w:rPr>
          <w:rFonts w:hint="eastAsia"/>
        </w:rPr>
        <w:t>1995</w:t>
      </w:r>
      <w:r>
        <w:rPr>
          <w:rFonts w:hint="eastAsia"/>
        </w:rPr>
        <w:t>年《北京行动纲要和宣言》等文书产生的影响。这些国际文书鼓励地方一级的妇女运动要求向国际一级推进。</w:t>
      </w:r>
    </w:p>
    <w:p w:rsidR="00000000" w:rsidRDefault="004D2F83">
      <w:pPr>
        <w:pStyle w:val="NormalIndent"/>
        <w:spacing w:after="240" w:line="360" w:lineRule="exact"/>
        <w:rPr>
          <w:rFonts w:hint="eastAsia"/>
        </w:rPr>
      </w:pPr>
      <w:r>
        <w:rPr>
          <w:rFonts w:hint="eastAsia"/>
        </w:rPr>
        <w:t>尽管在宪法和国际方面已经取得了重大进展——某些宪法下的法律有时也加强了这些进展，但</w:t>
      </w:r>
      <w:r>
        <w:rPr>
          <w:rFonts w:hint="eastAsia"/>
        </w:rPr>
        <w:t>1916</w:t>
      </w:r>
      <w:r>
        <w:rPr>
          <w:rFonts w:hint="eastAsia"/>
        </w:rPr>
        <w:t>年《民法典》</w:t>
      </w:r>
      <w:r>
        <w:rPr>
          <w:rStyle w:val="FootnoteReference"/>
        </w:rPr>
        <w:footnoteReference w:customMarkFollows="1" w:id="30"/>
        <w:t>30</w:t>
      </w:r>
      <w:r>
        <w:rPr>
          <w:rFonts w:hint="eastAsia"/>
        </w:rPr>
        <w:t>和</w:t>
      </w:r>
      <w:r>
        <w:rPr>
          <w:rFonts w:hint="eastAsia"/>
        </w:rPr>
        <w:t>1940</w:t>
      </w:r>
      <w:r>
        <w:rPr>
          <w:rFonts w:hint="eastAsia"/>
        </w:rPr>
        <w:t>年的《刑法典》的一些条款仍反映出对</w:t>
      </w:r>
      <w:r>
        <w:rPr>
          <w:rFonts w:hint="eastAsia"/>
        </w:rPr>
        <w:t>妇女的性别歧视。</w:t>
      </w:r>
      <w:r>
        <w:rPr>
          <w:rStyle w:val="FootnoteReference"/>
        </w:rPr>
        <w:footnoteReference w:customMarkFollows="1" w:id="31"/>
        <w:t>31</w:t>
      </w:r>
      <w:r>
        <w:rPr>
          <w:rFonts w:hint="eastAsia"/>
        </w:rPr>
        <w:t xml:space="preserve"> </w:t>
      </w:r>
      <w:r>
        <w:rPr>
          <w:rFonts w:hint="eastAsia"/>
        </w:rPr>
        <w:t>具有法律背景的女性学者从性别角度进行的社会</w:t>
      </w:r>
      <w:r>
        <w:rPr>
          <w:rFonts w:hint="eastAsia"/>
        </w:rPr>
        <w:t>-</w:t>
      </w:r>
      <w:r>
        <w:rPr>
          <w:rFonts w:hint="eastAsia"/>
        </w:rPr>
        <w:t>司法分析和研究表明，歧视性法理仍然存在，这种理论在双重道德标准的基础上，对男女两性的行为赋予不同的重要性，做出不同的评价。</w:t>
      </w:r>
      <w:r>
        <w:rPr>
          <w:rStyle w:val="FootnoteReference"/>
        </w:rPr>
        <w:footnoteReference w:customMarkFollows="1" w:id="32"/>
        <w:t>32</w:t>
      </w:r>
      <w:r>
        <w:rPr>
          <w:rFonts w:hint="eastAsia"/>
        </w:rPr>
        <w:t xml:space="preserve"> </w:t>
      </w:r>
      <w:r>
        <w:rPr>
          <w:rFonts w:hint="eastAsia"/>
        </w:rPr>
        <w:t>因此，迫切需要制定一项法律原则，这项原则遵循关于保护妇女人权的各项国际和宪法要求，它们规定了有关性别问题上的民主和平等观点。</w:t>
      </w:r>
    </w:p>
    <w:p w:rsidR="00000000" w:rsidRDefault="004D2F83">
      <w:pPr>
        <w:pStyle w:val="NormalIndent"/>
        <w:spacing w:after="240" w:line="360" w:lineRule="exact"/>
        <w:ind w:firstLine="0"/>
        <w:rPr>
          <w:rFonts w:eastAsia="SimHei" w:hint="eastAsia"/>
          <w:bCs/>
          <w:sz w:val="24"/>
        </w:rPr>
      </w:pPr>
      <w:r>
        <w:rPr>
          <w:rFonts w:eastAsia="SimHei" w:hint="eastAsia"/>
          <w:bCs/>
          <w:sz w:val="24"/>
        </w:rPr>
        <w:t>联邦法律</w:t>
      </w:r>
    </w:p>
    <w:p w:rsidR="00000000" w:rsidRDefault="004D2F83">
      <w:pPr>
        <w:pStyle w:val="NormalIndent"/>
        <w:spacing w:after="240" w:line="360" w:lineRule="exact"/>
        <w:ind w:firstLine="0"/>
        <w:rPr>
          <w:rFonts w:hint="eastAsia"/>
        </w:rPr>
      </w:pPr>
      <w:r>
        <w:rPr>
          <w:rFonts w:hint="eastAsia"/>
        </w:rPr>
        <w:tab/>
      </w:r>
      <w:r>
        <w:rPr>
          <w:rFonts w:hint="eastAsia"/>
        </w:rPr>
        <w:t>除了通过</w:t>
      </w:r>
      <w:r>
        <w:rPr>
          <w:rFonts w:hint="eastAsia"/>
        </w:rPr>
        <w:t>1988</w:t>
      </w:r>
      <w:r>
        <w:rPr>
          <w:rFonts w:hint="eastAsia"/>
        </w:rPr>
        <w:t>年《宪法》和巴西通过保护人权的国际准则所带来的重大进展之外，</w:t>
      </w:r>
      <w:r>
        <w:rPr>
          <w:rFonts w:hint="eastAsia"/>
        </w:rPr>
        <w:t>1988</w:t>
      </w:r>
      <w:r>
        <w:rPr>
          <w:rFonts w:hint="eastAsia"/>
        </w:rPr>
        <w:t>年后巴西制定的保护人权法规之多，是其立法史上之最。可以说，大部分人权保护法规——解释为公民、政治</w:t>
      </w:r>
      <w:r>
        <w:rPr>
          <w:rFonts w:hint="eastAsia"/>
        </w:rPr>
        <w:t>、社会、经济和文化权利的行使——是作为后续工作制定出来的，是</w:t>
      </w:r>
      <w:r>
        <w:rPr>
          <w:rFonts w:hint="eastAsia"/>
        </w:rPr>
        <w:t>1988</w:t>
      </w:r>
      <w:r>
        <w:rPr>
          <w:rFonts w:hint="eastAsia"/>
        </w:rPr>
        <w:t>年《宪法》的产物。关于这点，应当特别提到下列规范性法律：</w:t>
      </w:r>
    </w:p>
    <w:p w:rsidR="00000000" w:rsidRDefault="004D2F83">
      <w:pPr>
        <w:pStyle w:val="NormalIndent"/>
        <w:numPr>
          <w:ilvl w:val="0"/>
          <w:numId w:val="695"/>
        </w:numPr>
        <w:tabs>
          <w:tab w:val="clear" w:pos="420"/>
          <w:tab w:val="num" w:pos="840"/>
        </w:tabs>
        <w:spacing w:after="240" w:line="360" w:lineRule="exact"/>
        <w:ind w:left="840" w:hanging="360"/>
        <w:rPr>
          <w:rFonts w:hint="eastAsia"/>
        </w:rPr>
      </w:pPr>
      <w:r>
        <w:rPr>
          <w:rFonts w:hint="eastAsia"/>
        </w:rPr>
        <w:t>1989</w:t>
      </w:r>
      <w:r>
        <w:rPr>
          <w:rFonts w:hint="eastAsia"/>
        </w:rPr>
        <w:t>年</w:t>
      </w:r>
      <w:r>
        <w:rPr>
          <w:rFonts w:hint="eastAsia"/>
        </w:rPr>
        <w:t>1</w:t>
      </w:r>
      <w:r>
        <w:rPr>
          <w:rFonts w:hint="eastAsia"/>
        </w:rPr>
        <w:t>月</w:t>
      </w:r>
      <w:r>
        <w:rPr>
          <w:rFonts w:hint="eastAsia"/>
        </w:rPr>
        <w:t>5</w:t>
      </w:r>
      <w:r>
        <w:rPr>
          <w:rFonts w:hint="eastAsia"/>
        </w:rPr>
        <w:t>日的第</w:t>
      </w:r>
      <w:r>
        <w:rPr>
          <w:rFonts w:hint="eastAsia"/>
        </w:rPr>
        <w:t>7 716</w:t>
      </w:r>
      <w:r>
        <w:rPr>
          <w:rFonts w:hint="eastAsia"/>
        </w:rPr>
        <w:t>号法律——界定了与种族和肤色歧视有关的犯罪，规定种族主义是不可保释、不受时效限制的犯罪（在</w:t>
      </w:r>
      <w:r>
        <w:rPr>
          <w:rFonts w:hint="eastAsia"/>
        </w:rPr>
        <w:t>1988</w:t>
      </w:r>
      <w:r>
        <w:rPr>
          <w:rFonts w:hint="eastAsia"/>
        </w:rPr>
        <w:t>年《宪法》颁布以前，种族主义仅被视为刑事罪）；</w:t>
      </w:r>
    </w:p>
    <w:p w:rsidR="00000000" w:rsidRDefault="004D2F83">
      <w:pPr>
        <w:pStyle w:val="NormalIndent"/>
        <w:numPr>
          <w:ilvl w:val="0"/>
          <w:numId w:val="695"/>
        </w:numPr>
        <w:tabs>
          <w:tab w:val="clear" w:pos="420"/>
          <w:tab w:val="num" w:pos="840"/>
        </w:tabs>
        <w:spacing w:after="240" w:line="360" w:lineRule="exact"/>
        <w:ind w:left="840" w:hanging="360"/>
        <w:rPr>
          <w:rFonts w:hint="eastAsia"/>
        </w:rPr>
      </w:pPr>
      <w:r>
        <w:rPr>
          <w:rFonts w:hint="eastAsia"/>
        </w:rPr>
        <w:t>1990</w:t>
      </w:r>
      <w:r>
        <w:rPr>
          <w:rFonts w:hint="eastAsia"/>
        </w:rPr>
        <w:t>年</w:t>
      </w:r>
      <w:r>
        <w:rPr>
          <w:rFonts w:hint="eastAsia"/>
        </w:rPr>
        <w:t>7</w:t>
      </w:r>
      <w:r>
        <w:rPr>
          <w:rFonts w:hint="eastAsia"/>
        </w:rPr>
        <w:t>月</w:t>
      </w:r>
      <w:r>
        <w:rPr>
          <w:rFonts w:hint="eastAsia"/>
        </w:rPr>
        <w:t>13</w:t>
      </w:r>
      <w:r>
        <w:rPr>
          <w:rFonts w:hint="eastAsia"/>
        </w:rPr>
        <w:t>日的第</w:t>
      </w:r>
      <w:r>
        <w:rPr>
          <w:rFonts w:hint="eastAsia"/>
        </w:rPr>
        <w:t>8 069</w:t>
      </w:r>
      <w:r>
        <w:rPr>
          <w:rFonts w:hint="eastAsia"/>
        </w:rPr>
        <w:t>号法律——制定了《儿童与青少年法》，规定充分保护儿童和青少年，被视为全世界最先进的同类法律之一；</w:t>
      </w:r>
    </w:p>
    <w:p w:rsidR="00000000" w:rsidRDefault="004D2F83">
      <w:pPr>
        <w:pStyle w:val="NormalIndent"/>
        <w:numPr>
          <w:ilvl w:val="0"/>
          <w:numId w:val="695"/>
        </w:numPr>
        <w:tabs>
          <w:tab w:val="clear" w:pos="420"/>
          <w:tab w:val="num" w:pos="840"/>
        </w:tabs>
        <w:spacing w:after="240" w:line="360" w:lineRule="exact"/>
        <w:ind w:left="840" w:hanging="360"/>
        <w:rPr>
          <w:rFonts w:hint="eastAsia"/>
        </w:rPr>
      </w:pPr>
      <w:r>
        <w:rPr>
          <w:rFonts w:hint="eastAsia"/>
        </w:rPr>
        <w:t>1995</w:t>
      </w:r>
      <w:r>
        <w:rPr>
          <w:rFonts w:hint="eastAsia"/>
        </w:rPr>
        <w:t>年</w:t>
      </w:r>
      <w:r>
        <w:rPr>
          <w:rFonts w:hint="eastAsia"/>
        </w:rPr>
        <w:t>12</w:t>
      </w:r>
      <w:r>
        <w:rPr>
          <w:rFonts w:hint="eastAsia"/>
        </w:rPr>
        <w:t>月</w:t>
      </w:r>
      <w:r>
        <w:rPr>
          <w:rFonts w:hint="eastAsia"/>
        </w:rPr>
        <w:t>4</w:t>
      </w:r>
      <w:r>
        <w:rPr>
          <w:rFonts w:hint="eastAsia"/>
        </w:rPr>
        <w:t>日的第</w:t>
      </w:r>
      <w:r>
        <w:rPr>
          <w:rFonts w:hint="eastAsia"/>
        </w:rPr>
        <w:t>9 140</w:t>
      </w:r>
      <w:r>
        <w:rPr>
          <w:rFonts w:hint="eastAsia"/>
        </w:rPr>
        <w:t>号法律——将在</w:t>
      </w:r>
      <w:r>
        <w:rPr>
          <w:rFonts w:hint="eastAsia"/>
        </w:rPr>
        <w:t>1961</w:t>
      </w:r>
      <w:r>
        <w:rPr>
          <w:rFonts w:hint="eastAsia"/>
        </w:rPr>
        <w:t>年</w:t>
      </w:r>
      <w:r>
        <w:rPr>
          <w:rFonts w:hint="eastAsia"/>
        </w:rPr>
        <w:t>9</w:t>
      </w:r>
      <w:r>
        <w:rPr>
          <w:rFonts w:hint="eastAsia"/>
        </w:rPr>
        <w:t>月</w:t>
      </w:r>
      <w:r>
        <w:rPr>
          <w:rFonts w:hint="eastAsia"/>
        </w:rPr>
        <w:t>2</w:t>
      </w:r>
      <w:r>
        <w:rPr>
          <w:rFonts w:hint="eastAsia"/>
        </w:rPr>
        <w:t>日至</w:t>
      </w:r>
      <w:r>
        <w:rPr>
          <w:rFonts w:hint="eastAsia"/>
        </w:rPr>
        <w:t>1979</w:t>
      </w:r>
      <w:r>
        <w:rPr>
          <w:rFonts w:hint="eastAsia"/>
        </w:rPr>
        <w:t>年</w:t>
      </w:r>
      <w:r>
        <w:rPr>
          <w:rFonts w:hint="eastAsia"/>
        </w:rPr>
        <w:t>8</w:t>
      </w:r>
      <w:r>
        <w:rPr>
          <w:rFonts w:hint="eastAsia"/>
        </w:rPr>
        <w:t>月</w:t>
      </w:r>
      <w:r>
        <w:rPr>
          <w:rFonts w:hint="eastAsia"/>
        </w:rPr>
        <w:t>15</w:t>
      </w:r>
      <w:r>
        <w:rPr>
          <w:rFonts w:hint="eastAsia"/>
        </w:rPr>
        <w:t>日期间因参与政治活动而失踪的人认定为“亡故”，界定了国家对这些人的责任，并对受害者家属发放补贴；</w:t>
      </w:r>
    </w:p>
    <w:p w:rsidR="00000000" w:rsidRDefault="004D2F83">
      <w:pPr>
        <w:pStyle w:val="NormalIndent"/>
        <w:numPr>
          <w:ilvl w:val="0"/>
          <w:numId w:val="695"/>
        </w:numPr>
        <w:tabs>
          <w:tab w:val="clear" w:pos="420"/>
          <w:tab w:val="num" w:pos="840"/>
        </w:tabs>
        <w:spacing w:after="240" w:line="360" w:lineRule="exact"/>
        <w:ind w:left="840" w:hanging="360"/>
        <w:rPr>
          <w:rFonts w:hint="eastAsia"/>
        </w:rPr>
      </w:pPr>
      <w:r>
        <w:rPr>
          <w:rFonts w:hint="eastAsia"/>
        </w:rPr>
        <w:t>1996</w:t>
      </w:r>
      <w:r>
        <w:rPr>
          <w:rFonts w:hint="eastAsia"/>
        </w:rPr>
        <w:t>年</w:t>
      </w:r>
      <w:r>
        <w:rPr>
          <w:rFonts w:hint="eastAsia"/>
        </w:rPr>
        <w:t>2</w:t>
      </w:r>
      <w:r>
        <w:rPr>
          <w:rFonts w:hint="eastAsia"/>
        </w:rPr>
        <w:t>月</w:t>
      </w:r>
      <w:r>
        <w:rPr>
          <w:rFonts w:hint="eastAsia"/>
        </w:rPr>
        <w:t>12</w:t>
      </w:r>
      <w:r>
        <w:rPr>
          <w:rFonts w:hint="eastAsia"/>
        </w:rPr>
        <w:t>日的第</w:t>
      </w:r>
      <w:r>
        <w:rPr>
          <w:rFonts w:hint="eastAsia"/>
        </w:rPr>
        <w:t>9 265</w:t>
      </w:r>
      <w:r>
        <w:rPr>
          <w:rFonts w:hint="eastAsia"/>
        </w:rPr>
        <w:t>号法律——通过《联邦宪法》第</w:t>
      </w:r>
      <w:r>
        <w:rPr>
          <w:rFonts w:hint="eastAsia"/>
        </w:rPr>
        <w:t>5</w:t>
      </w:r>
      <w:r>
        <w:rPr>
          <w:rFonts w:hint="eastAsia"/>
        </w:rPr>
        <w:t>条第五十七款规定对行使公民权采取的必要行为予以奖赏；</w:t>
      </w:r>
    </w:p>
    <w:p w:rsidR="00000000" w:rsidRDefault="004D2F83">
      <w:pPr>
        <w:pStyle w:val="NormalIndent"/>
        <w:numPr>
          <w:ilvl w:val="0"/>
          <w:numId w:val="695"/>
        </w:numPr>
        <w:tabs>
          <w:tab w:val="clear" w:pos="420"/>
          <w:tab w:val="num" w:pos="840"/>
        </w:tabs>
        <w:spacing w:after="240" w:line="360" w:lineRule="exact"/>
        <w:ind w:left="840" w:hanging="360"/>
        <w:rPr>
          <w:rFonts w:hint="eastAsia"/>
        </w:rPr>
      </w:pPr>
      <w:r>
        <w:rPr>
          <w:rFonts w:hint="eastAsia"/>
        </w:rPr>
        <w:t>1996</w:t>
      </w:r>
      <w:r>
        <w:rPr>
          <w:rFonts w:hint="eastAsia"/>
        </w:rPr>
        <w:t>年</w:t>
      </w:r>
      <w:r>
        <w:rPr>
          <w:rFonts w:hint="eastAsia"/>
        </w:rPr>
        <w:t>5</w:t>
      </w:r>
      <w:r>
        <w:rPr>
          <w:rFonts w:hint="eastAsia"/>
        </w:rPr>
        <w:t>月</w:t>
      </w:r>
      <w:r>
        <w:rPr>
          <w:rFonts w:hint="eastAsia"/>
        </w:rPr>
        <w:t>13</w:t>
      </w:r>
      <w:r>
        <w:rPr>
          <w:rFonts w:hint="eastAsia"/>
        </w:rPr>
        <w:t>日的第</w:t>
      </w:r>
      <w:r>
        <w:rPr>
          <w:rFonts w:hint="eastAsia"/>
        </w:rPr>
        <w:t>1 904</w:t>
      </w:r>
      <w:r>
        <w:rPr>
          <w:rFonts w:hint="eastAsia"/>
        </w:rPr>
        <w:t>号法令——制定《国家人权方案》，这是一项前所未有的倡议，它把维护人权作为一项政府公共政策，载有旨在保护和促进巴西的公民和政治权利的政府行动提案；</w:t>
      </w:r>
    </w:p>
    <w:p w:rsidR="00000000" w:rsidRDefault="004D2F83">
      <w:pPr>
        <w:pStyle w:val="NormalIndent"/>
        <w:numPr>
          <w:ilvl w:val="0"/>
          <w:numId w:val="695"/>
        </w:numPr>
        <w:tabs>
          <w:tab w:val="clear" w:pos="420"/>
          <w:tab w:val="num" w:pos="840"/>
        </w:tabs>
        <w:spacing w:after="240" w:line="360" w:lineRule="exact"/>
        <w:ind w:left="840" w:hanging="360"/>
        <w:rPr>
          <w:rFonts w:hint="eastAsia"/>
        </w:rPr>
      </w:pPr>
      <w:r>
        <w:rPr>
          <w:rFonts w:hint="eastAsia"/>
        </w:rPr>
        <w:t>1996</w:t>
      </w:r>
      <w:r>
        <w:rPr>
          <w:rFonts w:hint="eastAsia"/>
        </w:rPr>
        <w:t>年</w:t>
      </w:r>
      <w:r>
        <w:rPr>
          <w:rFonts w:hint="eastAsia"/>
        </w:rPr>
        <w:t>8</w:t>
      </w:r>
      <w:r>
        <w:rPr>
          <w:rFonts w:hint="eastAsia"/>
        </w:rPr>
        <w:t>月</w:t>
      </w:r>
      <w:r>
        <w:rPr>
          <w:rFonts w:hint="eastAsia"/>
        </w:rPr>
        <w:t>7</w:t>
      </w:r>
      <w:r>
        <w:rPr>
          <w:rFonts w:hint="eastAsia"/>
        </w:rPr>
        <w:t>日的第</w:t>
      </w:r>
      <w:r>
        <w:rPr>
          <w:rFonts w:hint="eastAsia"/>
        </w:rPr>
        <w:t>9 299</w:t>
      </w:r>
      <w:r>
        <w:rPr>
          <w:rFonts w:hint="eastAsia"/>
        </w:rPr>
        <w:t>号法律——规定对宪兵所犯的人身伤害重罪的审判由军事法庭转移到法院；</w:t>
      </w:r>
    </w:p>
    <w:p w:rsidR="00000000" w:rsidRDefault="004D2F83">
      <w:pPr>
        <w:pStyle w:val="NormalIndent"/>
        <w:numPr>
          <w:ilvl w:val="0"/>
          <w:numId w:val="695"/>
        </w:numPr>
        <w:tabs>
          <w:tab w:val="clear" w:pos="420"/>
          <w:tab w:val="num" w:pos="840"/>
        </w:tabs>
        <w:spacing w:after="240" w:line="360" w:lineRule="exact"/>
        <w:ind w:left="840" w:hanging="360"/>
        <w:rPr>
          <w:rFonts w:hint="eastAsia"/>
        </w:rPr>
      </w:pPr>
      <w:r>
        <w:rPr>
          <w:rFonts w:hint="eastAsia"/>
        </w:rPr>
        <w:t>199</w:t>
      </w:r>
      <w:r>
        <w:rPr>
          <w:rFonts w:hint="eastAsia"/>
        </w:rPr>
        <w:t>7</w:t>
      </w:r>
      <w:r>
        <w:rPr>
          <w:rFonts w:hint="eastAsia"/>
        </w:rPr>
        <w:t>年</w:t>
      </w:r>
      <w:r>
        <w:rPr>
          <w:rFonts w:hint="eastAsia"/>
        </w:rPr>
        <w:t>4</w:t>
      </w:r>
      <w:r>
        <w:rPr>
          <w:rFonts w:hint="eastAsia"/>
        </w:rPr>
        <w:t>月</w:t>
      </w:r>
      <w:r>
        <w:rPr>
          <w:rFonts w:hint="eastAsia"/>
        </w:rPr>
        <w:t>7</w:t>
      </w:r>
      <w:r>
        <w:rPr>
          <w:rFonts w:hint="eastAsia"/>
        </w:rPr>
        <w:t>日的第</w:t>
      </w:r>
      <w:r>
        <w:rPr>
          <w:rFonts w:hint="eastAsia"/>
        </w:rPr>
        <w:t>9 455</w:t>
      </w:r>
      <w:r>
        <w:rPr>
          <w:rFonts w:hint="eastAsia"/>
        </w:rPr>
        <w:t>号法律——规定了对不可保释、不可饶恕或赦免的酷刑罪的惩罚，根据</w:t>
      </w:r>
      <w:r>
        <w:rPr>
          <w:rFonts w:hint="eastAsia"/>
        </w:rPr>
        <w:t>1988</w:t>
      </w:r>
      <w:r>
        <w:rPr>
          <w:rFonts w:hint="eastAsia"/>
        </w:rPr>
        <w:t>年《宪法》第</w:t>
      </w:r>
      <w:r>
        <w:rPr>
          <w:rFonts w:hint="eastAsia"/>
        </w:rPr>
        <w:t>5</w:t>
      </w:r>
      <w:r>
        <w:rPr>
          <w:rFonts w:hint="eastAsia"/>
        </w:rPr>
        <w:t>条第四十三款，教唆者、犯罪行为人和那些因其能力所碍犯罪未遂者应受到惩处；</w:t>
      </w:r>
    </w:p>
    <w:p w:rsidR="00000000" w:rsidRDefault="004D2F83">
      <w:pPr>
        <w:pStyle w:val="NormalIndent"/>
        <w:numPr>
          <w:ilvl w:val="0"/>
          <w:numId w:val="695"/>
        </w:numPr>
        <w:tabs>
          <w:tab w:val="clear" w:pos="420"/>
          <w:tab w:val="num" w:pos="840"/>
        </w:tabs>
        <w:spacing w:after="240" w:line="360" w:lineRule="exact"/>
        <w:ind w:left="840" w:hanging="360"/>
        <w:rPr>
          <w:rFonts w:hint="eastAsia"/>
        </w:rPr>
      </w:pPr>
      <w:r>
        <w:rPr>
          <w:rFonts w:hint="eastAsia"/>
        </w:rPr>
        <w:t>1999</w:t>
      </w:r>
      <w:r>
        <w:rPr>
          <w:rFonts w:hint="eastAsia"/>
        </w:rPr>
        <w:t>年</w:t>
      </w:r>
      <w:r>
        <w:rPr>
          <w:rFonts w:hint="eastAsia"/>
        </w:rPr>
        <w:t>7</w:t>
      </w:r>
      <w:r>
        <w:rPr>
          <w:rFonts w:hint="eastAsia"/>
        </w:rPr>
        <w:t>月</w:t>
      </w:r>
      <w:r>
        <w:rPr>
          <w:rFonts w:hint="eastAsia"/>
        </w:rPr>
        <w:t>13</w:t>
      </w:r>
      <w:r>
        <w:rPr>
          <w:rFonts w:hint="eastAsia"/>
        </w:rPr>
        <w:t>日的第</w:t>
      </w:r>
      <w:r>
        <w:rPr>
          <w:rFonts w:hint="eastAsia"/>
        </w:rPr>
        <w:t>9 807</w:t>
      </w:r>
      <w:r>
        <w:rPr>
          <w:rFonts w:hint="eastAsia"/>
        </w:rPr>
        <w:t>号法律——制定了关于保护受害者和受威胁证人的组织和维护特别方案准则，制定了《援助受害者和受威胁证人的联邦方案》</w:t>
      </w:r>
    </w:p>
    <w:p w:rsidR="00000000" w:rsidRDefault="004D2F83">
      <w:pPr>
        <w:pStyle w:val="NormalIndent"/>
        <w:spacing w:after="240" w:line="360" w:lineRule="exact"/>
        <w:ind w:left="420" w:firstLine="0"/>
        <w:rPr>
          <w:rFonts w:hint="eastAsia"/>
        </w:rPr>
      </w:pPr>
      <w:r>
        <w:rPr>
          <w:rFonts w:hint="eastAsia"/>
        </w:rPr>
        <w:t>关于妇女的人权，据</w:t>
      </w:r>
      <w:r>
        <w:rPr>
          <w:rFonts w:hint="eastAsia"/>
        </w:rPr>
        <w:t>CFEMEA</w:t>
      </w:r>
      <w:r>
        <w:rPr>
          <w:rFonts w:hint="eastAsia"/>
        </w:rPr>
        <w:t>所作的调查，应当特别提及下列法案：</w:t>
      </w:r>
    </w:p>
    <w:p w:rsidR="00000000" w:rsidRDefault="004D2F83">
      <w:pPr>
        <w:pStyle w:val="NormalIndent"/>
        <w:spacing w:after="240" w:line="360" w:lineRule="exact"/>
        <w:ind w:firstLine="0"/>
        <w:jc w:val="center"/>
        <w:rPr>
          <w:rFonts w:ascii="SimHei" w:eastAsia="SimHei" w:hint="eastAsia"/>
          <w:bCs/>
        </w:rPr>
      </w:pPr>
      <w:r>
        <w:rPr>
          <w:rFonts w:ascii="SimHei" w:eastAsia="SimHei" w:hint="eastAsia"/>
          <w:bCs/>
        </w:rPr>
        <w:t>有关保障妇女权利的法规（《宪法》颁布后时期批准）一览表</w:t>
      </w:r>
      <w:r>
        <w:rPr>
          <w:rStyle w:val="FootnoteReference"/>
          <w:rFonts w:ascii="SimHei" w:eastAsia="SimHei" w:hint="eastAsia"/>
          <w:bCs/>
        </w:rPr>
        <w:footnoteReference w:customMarkFollows="1" w:id="33"/>
        <w:t>33</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3"/>
        <w:gridCol w:w="3789"/>
        <w:gridCol w:w="3944"/>
      </w:tblGrid>
      <w:tr w:rsidR="00000000">
        <w:tblPrEx>
          <w:tblCellMar>
            <w:top w:w="0" w:type="dxa"/>
            <w:bottom w:w="0" w:type="dxa"/>
          </w:tblCellMar>
        </w:tblPrEx>
        <w:trPr>
          <w:tblHeader/>
        </w:trPr>
        <w:tc>
          <w:tcPr>
            <w:tcW w:w="1077" w:type="pct"/>
          </w:tcPr>
          <w:p w:rsidR="00000000" w:rsidRDefault="004D2F83">
            <w:pPr>
              <w:pStyle w:val="NormalIndent"/>
              <w:spacing w:after="120" w:line="340" w:lineRule="exact"/>
              <w:ind w:firstLine="0"/>
              <w:rPr>
                <w:rFonts w:ascii="SimHei" w:eastAsia="SimHei" w:hint="eastAsia"/>
                <w:bCs/>
                <w:sz w:val="20"/>
              </w:rPr>
            </w:pPr>
            <w:r>
              <w:rPr>
                <w:rFonts w:ascii="SimHei" w:eastAsia="SimHei" w:hint="eastAsia"/>
                <w:bCs/>
                <w:sz w:val="20"/>
              </w:rPr>
              <w:t>序号</w:t>
            </w:r>
            <w:r>
              <w:rPr>
                <w:rFonts w:ascii="SimHei" w:eastAsia="SimHei" w:hint="eastAsia"/>
                <w:bCs/>
                <w:sz w:val="20"/>
              </w:rPr>
              <w:t>/</w:t>
            </w:r>
            <w:r>
              <w:rPr>
                <w:rFonts w:ascii="SimHei" w:eastAsia="SimHei" w:hint="eastAsia"/>
                <w:bCs/>
                <w:sz w:val="20"/>
              </w:rPr>
              <w:t>日期</w:t>
            </w:r>
          </w:p>
        </w:tc>
        <w:tc>
          <w:tcPr>
            <w:tcW w:w="1922" w:type="pct"/>
          </w:tcPr>
          <w:p w:rsidR="00000000" w:rsidRDefault="004D2F83">
            <w:pPr>
              <w:pStyle w:val="NormalIndent"/>
              <w:spacing w:after="120" w:line="340" w:lineRule="exact"/>
              <w:ind w:firstLine="0"/>
              <w:rPr>
                <w:rFonts w:ascii="SimHei" w:eastAsia="SimHei" w:hint="eastAsia"/>
                <w:bCs/>
                <w:sz w:val="20"/>
              </w:rPr>
            </w:pPr>
            <w:r>
              <w:rPr>
                <w:rFonts w:ascii="SimHei" w:eastAsia="SimHei" w:hint="eastAsia"/>
                <w:bCs/>
                <w:sz w:val="20"/>
              </w:rPr>
              <w:t>摘要</w:t>
            </w:r>
          </w:p>
        </w:tc>
        <w:tc>
          <w:tcPr>
            <w:tcW w:w="2002" w:type="pct"/>
          </w:tcPr>
          <w:p w:rsidR="00000000" w:rsidRDefault="004D2F83">
            <w:pPr>
              <w:pStyle w:val="NormalIndent"/>
              <w:spacing w:after="120" w:line="340" w:lineRule="exact"/>
              <w:ind w:firstLine="0"/>
              <w:rPr>
                <w:rFonts w:ascii="SimHei" w:eastAsia="SimHei" w:hint="eastAsia"/>
                <w:bCs/>
                <w:sz w:val="20"/>
              </w:rPr>
            </w:pPr>
            <w:r>
              <w:rPr>
                <w:rFonts w:ascii="SimHei" w:eastAsia="SimHei" w:hint="eastAsia"/>
                <w:bCs/>
                <w:sz w:val="20"/>
              </w:rPr>
              <w:t>说明</w:t>
            </w: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sz w:val="20"/>
              </w:rPr>
            </w:pPr>
            <w:r>
              <w:rPr>
                <w:rFonts w:ascii="SimHei" w:eastAsia="SimHei" w:hint="eastAsia"/>
                <w:bCs/>
                <w:sz w:val="20"/>
              </w:rPr>
              <w:t>1</w:t>
            </w:r>
            <w:r>
              <w:rPr>
                <w:rFonts w:ascii="SimHei" w:eastAsia="SimHei" w:hint="eastAsia"/>
                <w:bCs/>
                <w:sz w:val="20"/>
              </w:rPr>
              <w:t>．</w:t>
            </w:r>
            <w:r>
              <w:rPr>
                <w:rFonts w:ascii="SimHei" w:eastAsia="SimHei" w:hint="eastAsia"/>
                <w:bCs/>
                <w:sz w:val="20"/>
              </w:rPr>
              <w:t>1990</w:t>
            </w:r>
            <w:r>
              <w:rPr>
                <w:rFonts w:ascii="SimHei" w:eastAsia="SimHei" w:hint="eastAsia"/>
                <w:bCs/>
                <w:sz w:val="20"/>
              </w:rPr>
              <w:t>年</w:t>
            </w:r>
            <w:r>
              <w:rPr>
                <w:rFonts w:ascii="SimHei" w:eastAsia="SimHei" w:hint="eastAsia"/>
                <w:bCs/>
                <w:sz w:val="20"/>
              </w:rPr>
              <w:t>3</w:t>
            </w:r>
            <w:r>
              <w:rPr>
                <w:rFonts w:ascii="SimHei" w:eastAsia="SimHei" w:hint="eastAsia"/>
                <w:bCs/>
                <w:sz w:val="20"/>
              </w:rPr>
              <w:t>月</w:t>
            </w:r>
            <w:r>
              <w:rPr>
                <w:rFonts w:ascii="SimHei" w:eastAsia="SimHei" w:hint="eastAsia"/>
                <w:bCs/>
                <w:sz w:val="20"/>
              </w:rPr>
              <w:t>29</w:t>
            </w:r>
            <w:r>
              <w:rPr>
                <w:rFonts w:ascii="SimHei" w:eastAsia="SimHei" w:hint="eastAsia"/>
                <w:bCs/>
                <w:sz w:val="20"/>
              </w:rPr>
              <w:t>日第</w:t>
            </w:r>
            <w:r>
              <w:rPr>
                <w:rFonts w:ascii="SimHei" w:eastAsia="SimHei" w:hint="eastAsia"/>
                <w:bCs/>
                <w:sz w:val="20"/>
              </w:rPr>
              <w:t>80</w:t>
            </w:r>
            <w:r>
              <w:rPr>
                <w:rFonts w:ascii="SimHei" w:eastAsia="SimHei" w:hint="eastAsia"/>
                <w:bCs/>
                <w:sz w:val="20"/>
              </w:rPr>
              <w:t>09</w:t>
            </w:r>
            <w:r>
              <w:rPr>
                <w:rFonts w:ascii="SimHei" w:eastAsia="SimHei" w:hint="eastAsia"/>
                <w:bCs/>
                <w:sz w:val="20"/>
              </w:rPr>
              <w:t>号法律</w:t>
            </w:r>
          </w:p>
        </w:tc>
        <w:tc>
          <w:tcPr>
            <w:tcW w:w="1922" w:type="pct"/>
          </w:tcPr>
          <w:p w:rsidR="00000000" w:rsidRDefault="004D2F83">
            <w:pPr>
              <w:pStyle w:val="NormalIndent"/>
              <w:spacing w:after="120" w:line="340" w:lineRule="exact"/>
              <w:ind w:firstLine="0"/>
              <w:rPr>
                <w:rFonts w:hint="eastAsia"/>
                <w:sz w:val="20"/>
              </w:rPr>
            </w:pPr>
            <w:r>
              <w:rPr>
                <w:rFonts w:hint="eastAsia"/>
                <w:sz w:val="20"/>
              </w:rPr>
              <w:t>对不查封住宅作了规定。</w:t>
            </w:r>
          </w:p>
        </w:tc>
        <w:tc>
          <w:tcPr>
            <w:tcW w:w="2002" w:type="pct"/>
          </w:tcPr>
          <w:p w:rsidR="00000000" w:rsidRDefault="004D2F83">
            <w:pPr>
              <w:pStyle w:val="NormalIndent"/>
              <w:spacing w:after="120" w:line="340" w:lineRule="exact"/>
              <w:ind w:firstLine="0"/>
              <w:rPr>
                <w:rFonts w:hint="eastAsia"/>
                <w:sz w:val="20"/>
              </w:rPr>
            </w:pP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sz w:val="20"/>
              </w:rPr>
            </w:pPr>
            <w:r>
              <w:rPr>
                <w:rFonts w:ascii="SimHei" w:eastAsia="SimHei" w:hint="eastAsia"/>
                <w:bCs/>
                <w:sz w:val="20"/>
              </w:rPr>
              <w:t>2</w:t>
            </w:r>
            <w:r>
              <w:rPr>
                <w:rFonts w:ascii="SimHei" w:eastAsia="SimHei" w:hint="eastAsia"/>
                <w:bCs/>
                <w:sz w:val="20"/>
              </w:rPr>
              <w:t>．</w:t>
            </w:r>
            <w:r>
              <w:rPr>
                <w:rFonts w:ascii="SimHei" w:eastAsia="SimHei" w:hint="eastAsia"/>
                <w:bCs/>
                <w:sz w:val="20"/>
              </w:rPr>
              <w:t>1991</w:t>
            </w:r>
            <w:r>
              <w:rPr>
                <w:rFonts w:ascii="SimHei" w:eastAsia="SimHei" w:hint="eastAsia"/>
                <w:bCs/>
                <w:sz w:val="20"/>
              </w:rPr>
              <w:t>年</w:t>
            </w:r>
            <w:r>
              <w:rPr>
                <w:rFonts w:ascii="SimHei" w:eastAsia="SimHei" w:hint="eastAsia"/>
                <w:bCs/>
                <w:sz w:val="20"/>
              </w:rPr>
              <w:t>7</w:t>
            </w:r>
            <w:r>
              <w:rPr>
                <w:rFonts w:ascii="SimHei" w:eastAsia="SimHei" w:hint="eastAsia"/>
                <w:bCs/>
                <w:sz w:val="20"/>
              </w:rPr>
              <w:t>月</w:t>
            </w:r>
            <w:r>
              <w:rPr>
                <w:rFonts w:ascii="SimHei" w:eastAsia="SimHei" w:hint="eastAsia"/>
                <w:bCs/>
                <w:sz w:val="20"/>
              </w:rPr>
              <w:t>24</w:t>
            </w:r>
            <w:r>
              <w:rPr>
                <w:rFonts w:ascii="SimHei" w:eastAsia="SimHei" w:hint="eastAsia"/>
                <w:bCs/>
                <w:sz w:val="20"/>
              </w:rPr>
              <w:t>日第</w:t>
            </w:r>
            <w:r>
              <w:rPr>
                <w:rFonts w:ascii="SimHei" w:eastAsia="SimHei" w:hint="eastAsia"/>
                <w:bCs/>
                <w:sz w:val="20"/>
              </w:rPr>
              <w:t>8212</w:t>
            </w:r>
            <w:r>
              <w:rPr>
                <w:rFonts w:ascii="SimHei" w:eastAsia="SimHei" w:hint="eastAsia"/>
                <w:bCs/>
                <w:sz w:val="20"/>
              </w:rPr>
              <w:t>号法律</w:t>
            </w:r>
          </w:p>
        </w:tc>
        <w:tc>
          <w:tcPr>
            <w:tcW w:w="1922" w:type="pct"/>
          </w:tcPr>
          <w:p w:rsidR="00000000" w:rsidRDefault="004D2F83">
            <w:pPr>
              <w:pStyle w:val="NormalIndent"/>
              <w:spacing w:after="120" w:line="340" w:lineRule="exact"/>
              <w:ind w:firstLine="0"/>
              <w:rPr>
                <w:rFonts w:hint="eastAsia"/>
                <w:sz w:val="20"/>
              </w:rPr>
            </w:pPr>
            <w:r>
              <w:rPr>
                <w:rFonts w:hint="eastAsia"/>
                <w:sz w:val="20"/>
              </w:rPr>
              <w:t>对社会保障组织作了规定，特别是</w:t>
            </w:r>
            <w:r>
              <w:rPr>
                <w:rFonts w:eastAsia="SimHei" w:hint="eastAsia"/>
                <w:bCs/>
                <w:sz w:val="20"/>
              </w:rPr>
              <w:t>制定了成本</w:t>
            </w:r>
            <w:r>
              <w:rPr>
                <w:rFonts w:hint="eastAsia"/>
                <w:sz w:val="20"/>
              </w:rPr>
              <w:t>计划。</w:t>
            </w:r>
          </w:p>
        </w:tc>
        <w:tc>
          <w:tcPr>
            <w:tcW w:w="2002" w:type="pct"/>
          </w:tcPr>
          <w:p w:rsidR="00000000" w:rsidRDefault="004D2F83">
            <w:pPr>
              <w:pStyle w:val="NormalIndent"/>
              <w:spacing w:after="120" w:line="340" w:lineRule="exact"/>
              <w:ind w:firstLine="0"/>
              <w:rPr>
                <w:rFonts w:hint="eastAsia"/>
                <w:sz w:val="20"/>
              </w:rPr>
            </w:pPr>
            <w:r>
              <w:rPr>
                <w:rFonts w:hint="eastAsia"/>
                <w:sz w:val="20"/>
              </w:rPr>
              <w:t>确保社会保障女性受益人得到产妇补贴。</w:t>
            </w: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sz w:val="20"/>
              </w:rPr>
            </w:pPr>
            <w:r>
              <w:rPr>
                <w:rFonts w:ascii="SimHei" w:eastAsia="SimHei" w:hint="eastAsia"/>
                <w:bCs/>
                <w:sz w:val="20"/>
              </w:rPr>
              <w:t>3</w:t>
            </w:r>
            <w:r>
              <w:rPr>
                <w:rFonts w:ascii="SimHei" w:eastAsia="SimHei" w:hint="eastAsia"/>
                <w:bCs/>
                <w:sz w:val="20"/>
              </w:rPr>
              <w:t>．</w:t>
            </w:r>
            <w:r>
              <w:rPr>
                <w:rFonts w:ascii="SimHei" w:eastAsia="SimHei" w:hint="eastAsia"/>
                <w:bCs/>
                <w:sz w:val="20"/>
              </w:rPr>
              <w:t>1991</w:t>
            </w:r>
            <w:r>
              <w:rPr>
                <w:rFonts w:ascii="SimHei" w:eastAsia="SimHei" w:hint="eastAsia"/>
                <w:bCs/>
                <w:sz w:val="20"/>
              </w:rPr>
              <w:t>年</w:t>
            </w:r>
            <w:r>
              <w:rPr>
                <w:rFonts w:ascii="SimHei" w:eastAsia="SimHei" w:hint="eastAsia"/>
                <w:bCs/>
                <w:sz w:val="20"/>
              </w:rPr>
              <w:t>7</w:t>
            </w:r>
            <w:r>
              <w:rPr>
                <w:rFonts w:ascii="SimHei" w:eastAsia="SimHei" w:hint="eastAsia"/>
                <w:bCs/>
                <w:sz w:val="20"/>
              </w:rPr>
              <w:t>月</w:t>
            </w:r>
            <w:r>
              <w:rPr>
                <w:rFonts w:ascii="SimHei" w:eastAsia="SimHei" w:hint="eastAsia"/>
                <w:bCs/>
                <w:sz w:val="20"/>
              </w:rPr>
              <w:t>24</w:t>
            </w:r>
            <w:r>
              <w:rPr>
                <w:rFonts w:ascii="SimHei" w:eastAsia="SimHei" w:hint="eastAsia"/>
                <w:bCs/>
                <w:sz w:val="20"/>
              </w:rPr>
              <w:t>日第</w:t>
            </w:r>
            <w:r>
              <w:rPr>
                <w:rFonts w:ascii="SimHei" w:eastAsia="SimHei" w:hint="eastAsia"/>
                <w:bCs/>
                <w:sz w:val="20"/>
              </w:rPr>
              <w:t>8213</w:t>
            </w:r>
            <w:r>
              <w:rPr>
                <w:rFonts w:ascii="SimHei" w:eastAsia="SimHei" w:hint="eastAsia"/>
                <w:bCs/>
                <w:sz w:val="20"/>
              </w:rPr>
              <w:t>号法律</w:t>
            </w:r>
          </w:p>
        </w:tc>
        <w:tc>
          <w:tcPr>
            <w:tcW w:w="1922" w:type="pct"/>
          </w:tcPr>
          <w:p w:rsidR="00000000" w:rsidRDefault="004D2F83">
            <w:pPr>
              <w:pStyle w:val="NormalIndent"/>
              <w:spacing w:after="120" w:line="340" w:lineRule="exact"/>
              <w:ind w:firstLine="0"/>
              <w:rPr>
                <w:rFonts w:hint="eastAsia"/>
                <w:sz w:val="20"/>
              </w:rPr>
            </w:pPr>
            <w:r>
              <w:rPr>
                <w:rFonts w:hint="eastAsia"/>
                <w:sz w:val="20"/>
              </w:rPr>
              <w:t>特别对社会保障福利计划作了规定。</w:t>
            </w:r>
          </w:p>
        </w:tc>
        <w:tc>
          <w:tcPr>
            <w:tcW w:w="2002" w:type="pct"/>
          </w:tcPr>
          <w:p w:rsidR="00000000" w:rsidRDefault="004D2F83">
            <w:pPr>
              <w:pStyle w:val="NormalIndent"/>
              <w:spacing w:after="120" w:line="340" w:lineRule="exact"/>
              <w:ind w:firstLine="0"/>
              <w:rPr>
                <w:rFonts w:hint="eastAsia"/>
                <w:sz w:val="20"/>
              </w:rPr>
            </w:pPr>
            <w:r>
              <w:rPr>
                <w:rFonts w:hint="eastAsia"/>
                <w:sz w:val="20"/>
              </w:rPr>
              <w:t>特别对宪法规定的妇女权利，如不同的退休和产妇补贴作了说明。</w:t>
            </w: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sz w:val="20"/>
              </w:rPr>
            </w:pPr>
            <w:r>
              <w:rPr>
                <w:rFonts w:ascii="SimHei" w:eastAsia="SimHei" w:hint="eastAsia"/>
                <w:bCs/>
                <w:sz w:val="20"/>
              </w:rPr>
              <w:t>4</w:t>
            </w:r>
            <w:r>
              <w:rPr>
                <w:rFonts w:ascii="SimHei" w:eastAsia="SimHei" w:hint="eastAsia"/>
                <w:bCs/>
                <w:sz w:val="20"/>
              </w:rPr>
              <w:t>．</w:t>
            </w:r>
            <w:r>
              <w:rPr>
                <w:rFonts w:ascii="SimHei" w:eastAsia="SimHei" w:hint="eastAsia"/>
                <w:bCs/>
                <w:sz w:val="20"/>
              </w:rPr>
              <w:t>1992</w:t>
            </w:r>
            <w:r>
              <w:rPr>
                <w:rFonts w:ascii="SimHei" w:eastAsia="SimHei" w:hint="eastAsia"/>
                <w:bCs/>
                <w:sz w:val="20"/>
              </w:rPr>
              <w:t>年</w:t>
            </w:r>
            <w:r>
              <w:rPr>
                <w:rFonts w:ascii="SimHei" w:eastAsia="SimHei" w:hint="eastAsia"/>
                <w:bCs/>
                <w:sz w:val="20"/>
              </w:rPr>
              <w:t>2</w:t>
            </w:r>
            <w:r>
              <w:rPr>
                <w:rFonts w:ascii="SimHei" w:eastAsia="SimHei" w:hint="eastAsia"/>
                <w:bCs/>
                <w:sz w:val="20"/>
              </w:rPr>
              <w:t>月</w:t>
            </w:r>
            <w:r>
              <w:rPr>
                <w:rFonts w:ascii="SimHei" w:eastAsia="SimHei" w:hint="eastAsia"/>
                <w:bCs/>
                <w:sz w:val="20"/>
              </w:rPr>
              <w:t>13</w:t>
            </w:r>
            <w:r>
              <w:rPr>
                <w:rFonts w:ascii="SimHei" w:eastAsia="SimHei" w:hint="eastAsia"/>
                <w:bCs/>
                <w:sz w:val="20"/>
              </w:rPr>
              <w:t>日第</w:t>
            </w:r>
            <w:r>
              <w:rPr>
                <w:rFonts w:ascii="SimHei" w:eastAsia="SimHei" w:hint="eastAsia"/>
                <w:bCs/>
                <w:sz w:val="20"/>
              </w:rPr>
              <w:t>8408</w:t>
            </w:r>
            <w:r>
              <w:rPr>
                <w:rFonts w:ascii="SimHei" w:eastAsia="SimHei" w:hint="eastAsia"/>
                <w:bCs/>
                <w:sz w:val="20"/>
              </w:rPr>
              <w:t>号法律</w:t>
            </w:r>
          </w:p>
        </w:tc>
        <w:tc>
          <w:tcPr>
            <w:tcW w:w="1922" w:type="pct"/>
          </w:tcPr>
          <w:p w:rsidR="00000000" w:rsidRDefault="004D2F83">
            <w:pPr>
              <w:pStyle w:val="NormalIndent"/>
              <w:spacing w:after="120" w:line="340" w:lineRule="exact"/>
              <w:ind w:firstLine="0"/>
              <w:rPr>
                <w:rFonts w:hint="eastAsia"/>
                <w:sz w:val="20"/>
              </w:rPr>
            </w:pPr>
            <w:r>
              <w:rPr>
                <w:rFonts w:hint="eastAsia"/>
                <w:sz w:val="20"/>
              </w:rPr>
              <w:t>对</w:t>
            </w:r>
            <w:r>
              <w:rPr>
                <w:rFonts w:hint="eastAsia"/>
                <w:sz w:val="20"/>
              </w:rPr>
              <w:t>1977</w:t>
            </w:r>
            <w:r>
              <w:rPr>
                <w:rFonts w:hint="eastAsia"/>
                <w:sz w:val="20"/>
              </w:rPr>
              <w:t>年</w:t>
            </w:r>
            <w:r>
              <w:rPr>
                <w:rFonts w:hint="eastAsia"/>
                <w:sz w:val="20"/>
              </w:rPr>
              <w:t>12</w:t>
            </w:r>
            <w:r>
              <w:rPr>
                <w:rFonts w:hint="eastAsia"/>
                <w:sz w:val="20"/>
              </w:rPr>
              <w:t>月</w:t>
            </w:r>
            <w:r>
              <w:rPr>
                <w:rFonts w:hint="eastAsia"/>
                <w:sz w:val="20"/>
              </w:rPr>
              <w:t>26</w:t>
            </w:r>
            <w:r>
              <w:rPr>
                <w:rFonts w:hint="eastAsia"/>
                <w:sz w:val="20"/>
              </w:rPr>
              <w:t>日的第</w:t>
            </w:r>
            <w:r>
              <w:rPr>
                <w:rFonts w:hint="eastAsia"/>
                <w:sz w:val="20"/>
              </w:rPr>
              <w:t>6515</w:t>
            </w:r>
            <w:r>
              <w:rPr>
                <w:rFonts w:hint="eastAsia"/>
                <w:sz w:val="20"/>
              </w:rPr>
              <w:t>号法律的规定作了补充。</w:t>
            </w:r>
          </w:p>
        </w:tc>
        <w:tc>
          <w:tcPr>
            <w:tcW w:w="2002" w:type="pct"/>
          </w:tcPr>
          <w:p w:rsidR="00000000" w:rsidRDefault="004D2F83">
            <w:pPr>
              <w:pStyle w:val="NormalIndent"/>
              <w:spacing w:after="120" w:line="340" w:lineRule="exact"/>
              <w:ind w:firstLine="0"/>
              <w:rPr>
                <w:rFonts w:hint="eastAsia"/>
                <w:sz w:val="20"/>
              </w:rPr>
            </w:pPr>
            <w:r>
              <w:rPr>
                <w:rFonts w:hint="eastAsia"/>
                <w:sz w:val="20"/>
              </w:rPr>
              <w:t>规定法定分居的最后期限，一经分居后，妇女应恢复使用其原姓氏，除非这种改动会造成严重损害。</w:t>
            </w: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sz w:val="20"/>
              </w:rPr>
            </w:pPr>
            <w:r>
              <w:rPr>
                <w:rFonts w:ascii="SimHei" w:eastAsia="SimHei" w:hint="eastAsia"/>
                <w:bCs/>
                <w:sz w:val="20"/>
              </w:rPr>
              <w:t>5</w:t>
            </w:r>
            <w:r>
              <w:rPr>
                <w:rFonts w:ascii="SimHei" w:eastAsia="SimHei" w:hint="eastAsia"/>
                <w:bCs/>
                <w:sz w:val="20"/>
              </w:rPr>
              <w:t>．</w:t>
            </w:r>
            <w:r>
              <w:rPr>
                <w:rFonts w:ascii="SimHei" w:eastAsia="SimHei" w:hint="eastAsia"/>
                <w:bCs/>
                <w:sz w:val="20"/>
              </w:rPr>
              <w:t>199</w:t>
            </w:r>
            <w:r>
              <w:rPr>
                <w:rFonts w:ascii="SimHei" w:eastAsia="SimHei" w:hint="eastAsia"/>
                <w:bCs/>
                <w:sz w:val="20"/>
              </w:rPr>
              <w:t>2</w:t>
            </w:r>
            <w:r>
              <w:rPr>
                <w:rFonts w:ascii="SimHei" w:eastAsia="SimHei" w:hint="eastAsia"/>
                <w:bCs/>
                <w:sz w:val="20"/>
              </w:rPr>
              <w:t>年</w:t>
            </w:r>
            <w:r>
              <w:rPr>
                <w:rFonts w:ascii="SimHei" w:eastAsia="SimHei" w:hint="eastAsia"/>
                <w:bCs/>
                <w:sz w:val="20"/>
              </w:rPr>
              <w:t>12</w:t>
            </w:r>
            <w:r>
              <w:rPr>
                <w:rFonts w:ascii="SimHei" w:eastAsia="SimHei" w:hint="eastAsia"/>
                <w:bCs/>
                <w:sz w:val="20"/>
              </w:rPr>
              <w:t>月</w:t>
            </w:r>
            <w:r>
              <w:rPr>
                <w:rFonts w:ascii="SimHei" w:eastAsia="SimHei" w:hint="eastAsia"/>
                <w:bCs/>
                <w:sz w:val="20"/>
              </w:rPr>
              <w:t>29</w:t>
            </w:r>
            <w:r>
              <w:rPr>
                <w:rFonts w:ascii="SimHei" w:eastAsia="SimHei" w:hint="eastAsia"/>
                <w:bCs/>
                <w:sz w:val="20"/>
              </w:rPr>
              <w:t>日第</w:t>
            </w:r>
            <w:r>
              <w:rPr>
                <w:rFonts w:ascii="SimHei" w:eastAsia="SimHei" w:hint="eastAsia"/>
                <w:bCs/>
                <w:sz w:val="20"/>
              </w:rPr>
              <w:t>8560</w:t>
            </w:r>
            <w:r>
              <w:rPr>
                <w:rFonts w:ascii="SimHei" w:eastAsia="SimHei" w:hint="eastAsia"/>
                <w:bCs/>
                <w:sz w:val="20"/>
              </w:rPr>
              <w:t>号法律</w:t>
            </w:r>
          </w:p>
        </w:tc>
        <w:tc>
          <w:tcPr>
            <w:tcW w:w="1922" w:type="pct"/>
          </w:tcPr>
          <w:p w:rsidR="00000000" w:rsidRDefault="004D2F83">
            <w:pPr>
              <w:pStyle w:val="NormalIndent"/>
              <w:spacing w:after="120" w:line="340" w:lineRule="exact"/>
              <w:ind w:firstLine="0"/>
              <w:rPr>
                <w:rFonts w:hint="eastAsia"/>
                <w:sz w:val="20"/>
              </w:rPr>
            </w:pPr>
            <w:r>
              <w:rPr>
                <w:rFonts w:hint="eastAsia"/>
                <w:sz w:val="20"/>
              </w:rPr>
              <w:t>特别对涉及非婚生子女的父亲血缘诉讼作了规定。</w:t>
            </w:r>
          </w:p>
        </w:tc>
        <w:tc>
          <w:tcPr>
            <w:tcW w:w="2002" w:type="pct"/>
          </w:tcPr>
          <w:p w:rsidR="00000000" w:rsidRDefault="004D2F83">
            <w:pPr>
              <w:pStyle w:val="NormalIndent"/>
              <w:spacing w:after="120" w:line="340" w:lineRule="exact"/>
              <w:ind w:firstLine="0"/>
              <w:rPr>
                <w:rFonts w:hint="eastAsia"/>
                <w:sz w:val="20"/>
              </w:rPr>
            </w:pPr>
            <w:r>
              <w:rPr>
                <w:rFonts w:hint="eastAsia"/>
                <w:sz w:val="20"/>
              </w:rPr>
              <w:t>对承认非婚生子女；母亲单方面为子女进行出生登记；以及在这些情况下提出父亲血缘诉讼作了规定。</w:t>
            </w: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sz w:val="20"/>
              </w:rPr>
            </w:pPr>
            <w:r>
              <w:rPr>
                <w:rFonts w:ascii="SimHei" w:eastAsia="SimHei" w:hint="eastAsia"/>
                <w:bCs/>
                <w:sz w:val="20"/>
              </w:rPr>
              <w:t>6</w:t>
            </w:r>
            <w:r>
              <w:rPr>
                <w:rFonts w:ascii="SimHei" w:eastAsia="SimHei" w:hint="eastAsia"/>
                <w:bCs/>
                <w:sz w:val="20"/>
              </w:rPr>
              <w:t>．</w:t>
            </w:r>
            <w:r>
              <w:rPr>
                <w:rFonts w:ascii="SimHei" w:eastAsia="SimHei" w:hint="eastAsia"/>
                <w:bCs/>
                <w:sz w:val="20"/>
              </w:rPr>
              <w:t>1993</w:t>
            </w:r>
            <w:r>
              <w:rPr>
                <w:rFonts w:ascii="SimHei" w:eastAsia="SimHei" w:hint="eastAsia"/>
                <w:bCs/>
                <w:sz w:val="20"/>
              </w:rPr>
              <w:t>年</w:t>
            </w:r>
            <w:r>
              <w:rPr>
                <w:rFonts w:ascii="SimHei" w:eastAsia="SimHei" w:hint="eastAsia"/>
                <w:bCs/>
                <w:sz w:val="20"/>
              </w:rPr>
              <w:t>2</w:t>
            </w:r>
            <w:r>
              <w:rPr>
                <w:rFonts w:ascii="SimHei" w:eastAsia="SimHei" w:hint="eastAsia"/>
                <w:bCs/>
                <w:sz w:val="20"/>
              </w:rPr>
              <w:t>月</w:t>
            </w:r>
            <w:r>
              <w:rPr>
                <w:rFonts w:ascii="SimHei" w:eastAsia="SimHei" w:hint="eastAsia"/>
                <w:bCs/>
                <w:sz w:val="20"/>
              </w:rPr>
              <w:t>25</w:t>
            </w:r>
            <w:r>
              <w:rPr>
                <w:rFonts w:ascii="SimHei" w:eastAsia="SimHei" w:hint="eastAsia"/>
                <w:bCs/>
                <w:sz w:val="20"/>
              </w:rPr>
              <w:t>日第</w:t>
            </w:r>
            <w:r>
              <w:rPr>
                <w:rFonts w:ascii="SimHei" w:eastAsia="SimHei" w:hint="eastAsia"/>
                <w:bCs/>
                <w:sz w:val="20"/>
              </w:rPr>
              <w:t>8629</w:t>
            </w:r>
            <w:r>
              <w:rPr>
                <w:rFonts w:ascii="SimHei" w:eastAsia="SimHei" w:hint="eastAsia"/>
                <w:bCs/>
                <w:sz w:val="20"/>
              </w:rPr>
              <w:t>号法律</w:t>
            </w:r>
          </w:p>
        </w:tc>
        <w:tc>
          <w:tcPr>
            <w:tcW w:w="1922" w:type="pct"/>
          </w:tcPr>
          <w:p w:rsidR="00000000" w:rsidRDefault="004D2F83">
            <w:pPr>
              <w:pStyle w:val="NormalIndent"/>
              <w:spacing w:after="120" w:line="340" w:lineRule="exact"/>
              <w:ind w:firstLine="0"/>
              <w:rPr>
                <w:rFonts w:hint="eastAsia"/>
                <w:sz w:val="20"/>
              </w:rPr>
            </w:pPr>
            <w:r>
              <w:rPr>
                <w:rFonts w:hint="eastAsia"/>
                <w:sz w:val="20"/>
              </w:rPr>
              <w:t>根据《联邦宪法》第三章第七条，对与土地改革有关的宪法条款作了规定。</w:t>
            </w:r>
          </w:p>
        </w:tc>
        <w:tc>
          <w:tcPr>
            <w:tcW w:w="2002" w:type="pct"/>
          </w:tcPr>
          <w:p w:rsidR="00000000" w:rsidRDefault="004D2F83">
            <w:pPr>
              <w:pStyle w:val="NormalIndent"/>
              <w:spacing w:after="120" w:line="340" w:lineRule="exact"/>
              <w:ind w:firstLine="0"/>
              <w:rPr>
                <w:rFonts w:hint="eastAsia"/>
                <w:sz w:val="20"/>
              </w:rPr>
            </w:pPr>
            <w:r>
              <w:rPr>
                <w:rFonts w:hint="eastAsia"/>
                <w:sz w:val="20"/>
              </w:rPr>
              <w:t>第</w:t>
            </w:r>
            <w:r>
              <w:rPr>
                <w:rFonts w:hint="eastAsia"/>
                <w:sz w:val="20"/>
              </w:rPr>
              <w:t>19</w:t>
            </w:r>
            <w:r>
              <w:rPr>
                <w:rFonts w:hint="eastAsia"/>
                <w:sz w:val="20"/>
              </w:rPr>
              <w:t>条保证，不论其婚姻状况如何，给予男子或妇女或二者土地使用所有权和特许权，最好是大住户的户主。</w:t>
            </w: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sz w:val="20"/>
              </w:rPr>
            </w:pPr>
            <w:r>
              <w:rPr>
                <w:rFonts w:ascii="SimHei" w:eastAsia="SimHei" w:hint="eastAsia"/>
                <w:bCs/>
                <w:sz w:val="20"/>
              </w:rPr>
              <w:t>7</w:t>
            </w:r>
            <w:r>
              <w:rPr>
                <w:rFonts w:ascii="SimHei" w:eastAsia="SimHei" w:hint="eastAsia"/>
                <w:bCs/>
                <w:sz w:val="20"/>
              </w:rPr>
              <w:t>．</w:t>
            </w:r>
            <w:r>
              <w:rPr>
                <w:rFonts w:ascii="SimHei" w:eastAsia="SimHei" w:hint="eastAsia"/>
                <w:bCs/>
                <w:sz w:val="20"/>
              </w:rPr>
              <w:t>1994</w:t>
            </w:r>
            <w:r>
              <w:rPr>
                <w:rFonts w:ascii="SimHei" w:eastAsia="SimHei" w:hint="eastAsia"/>
                <w:bCs/>
                <w:sz w:val="20"/>
              </w:rPr>
              <w:t>年</w:t>
            </w:r>
            <w:r>
              <w:rPr>
                <w:rFonts w:ascii="SimHei" w:eastAsia="SimHei" w:hint="eastAsia"/>
                <w:bCs/>
                <w:sz w:val="20"/>
              </w:rPr>
              <w:t>6</w:t>
            </w:r>
            <w:r>
              <w:rPr>
                <w:rFonts w:ascii="SimHei" w:eastAsia="SimHei" w:hint="eastAsia"/>
                <w:bCs/>
                <w:sz w:val="20"/>
              </w:rPr>
              <w:t>月</w:t>
            </w:r>
            <w:r>
              <w:rPr>
                <w:rFonts w:ascii="SimHei" w:eastAsia="SimHei" w:hint="eastAsia"/>
                <w:bCs/>
                <w:sz w:val="20"/>
              </w:rPr>
              <w:t>23</w:t>
            </w:r>
            <w:r>
              <w:rPr>
                <w:rFonts w:ascii="SimHei" w:eastAsia="SimHei" w:hint="eastAsia"/>
                <w:bCs/>
                <w:sz w:val="20"/>
              </w:rPr>
              <w:t>日第</w:t>
            </w:r>
            <w:r>
              <w:rPr>
                <w:rFonts w:ascii="SimHei" w:eastAsia="SimHei" w:hint="eastAsia"/>
                <w:bCs/>
                <w:sz w:val="20"/>
              </w:rPr>
              <w:t>26</w:t>
            </w:r>
            <w:r>
              <w:rPr>
                <w:rFonts w:ascii="SimHei" w:eastAsia="SimHei" w:hint="eastAsia"/>
                <w:bCs/>
                <w:sz w:val="20"/>
              </w:rPr>
              <w:t>号法令</w:t>
            </w:r>
          </w:p>
        </w:tc>
        <w:tc>
          <w:tcPr>
            <w:tcW w:w="1922" w:type="pct"/>
          </w:tcPr>
          <w:p w:rsidR="00000000" w:rsidRDefault="004D2F83">
            <w:pPr>
              <w:pStyle w:val="NormalIndent"/>
              <w:spacing w:after="120" w:line="340" w:lineRule="exact"/>
              <w:ind w:firstLine="0"/>
              <w:rPr>
                <w:rFonts w:hint="eastAsia"/>
                <w:sz w:val="20"/>
              </w:rPr>
            </w:pPr>
            <w:r>
              <w:rPr>
                <w:rFonts w:hint="eastAsia"/>
                <w:sz w:val="20"/>
              </w:rPr>
              <w:t>决定收回巴西政府就签署《消除对妇女一切形式歧视公约》的保留意见。</w:t>
            </w:r>
          </w:p>
        </w:tc>
        <w:tc>
          <w:tcPr>
            <w:tcW w:w="2002" w:type="pct"/>
          </w:tcPr>
          <w:p w:rsidR="00000000" w:rsidRDefault="004D2F83">
            <w:pPr>
              <w:pStyle w:val="NormalIndent"/>
              <w:spacing w:after="120" w:line="340" w:lineRule="exact"/>
              <w:ind w:firstLine="0"/>
              <w:rPr>
                <w:rFonts w:hint="eastAsia"/>
                <w:sz w:val="20"/>
              </w:rPr>
            </w:pP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sz w:val="20"/>
              </w:rPr>
            </w:pPr>
            <w:r>
              <w:rPr>
                <w:rFonts w:ascii="SimHei" w:eastAsia="SimHei" w:hint="eastAsia"/>
                <w:bCs/>
                <w:sz w:val="20"/>
              </w:rPr>
              <w:t>8</w:t>
            </w:r>
            <w:r>
              <w:rPr>
                <w:rFonts w:ascii="SimHei" w:eastAsia="SimHei" w:hint="eastAsia"/>
                <w:bCs/>
                <w:sz w:val="20"/>
              </w:rPr>
              <w:t>．</w:t>
            </w:r>
            <w:r>
              <w:rPr>
                <w:rFonts w:ascii="SimHei" w:eastAsia="SimHei" w:hint="eastAsia"/>
                <w:bCs/>
                <w:sz w:val="20"/>
              </w:rPr>
              <w:t>1994</w:t>
            </w:r>
            <w:r>
              <w:rPr>
                <w:rFonts w:ascii="SimHei" w:eastAsia="SimHei" w:hint="eastAsia"/>
                <w:bCs/>
                <w:sz w:val="20"/>
              </w:rPr>
              <w:t>年</w:t>
            </w:r>
            <w:r>
              <w:rPr>
                <w:rFonts w:ascii="SimHei" w:eastAsia="SimHei" w:hint="eastAsia"/>
                <w:bCs/>
                <w:sz w:val="20"/>
              </w:rPr>
              <w:t>3</w:t>
            </w:r>
            <w:r>
              <w:rPr>
                <w:rFonts w:ascii="SimHei" w:eastAsia="SimHei" w:hint="eastAsia"/>
                <w:bCs/>
                <w:sz w:val="20"/>
              </w:rPr>
              <w:t>月</w:t>
            </w:r>
            <w:r>
              <w:rPr>
                <w:rFonts w:ascii="SimHei" w:eastAsia="SimHei" w:hint="eastAsia"/>
                <w:bCs/>
                <w:sz w:val="20"/>
              </w:rPr>
              <w:t>25</w:t>
            </w:r>
            <w:r>
              <w:rPr>
                <w:rFonts w:ascii="SimHei" w:eastAsia="SimHei" w:hint="eastAsia"/>
                <w:bCs/>
                <w:sz w:val="20"/>
              </w:rPr>
              <w:t>日第</w:t>
            </w:r>
            <w:r>
              <w:rPr>
                <w:rFonts w:ascii="SimHei" w:eastAsia="SimHei" w:hint="eastAsia"/>
                <w:bCs/>
                <w:sz w:val="20"/>
              </w:rPr>
              <w:t>8861</w:t>
            </w:r>
            <w:r>
              <w:rPr>
                <w:rFonts w:ascii="SimHei" w:eastAsia="SimHei" w:hint="eastAsia"/>
                <w:bCs/>
                <w:sz w:val="20"/>
              </w:rPr>
              <w:t>号法律</w:t>
            </w:r>
          </w:p>
        </w:tc>
        <w:tc>
          <w:tcPr>
            <w:tcW w:w="1922" w:type="pct"/>
          </w:tcPr>
          <w:p w:rsidR="00000000" w:rsidRDefault="004D2F83">
            <w:pPr>
              <w:pStyle w:val="NormalIndent"/>
              <w:spacing w:after="120" w:line="340" w:lineRule="exact"/>
              <w:ind w:firstLine="0"/>
              <w:rPr>
                <w:rFonts w:hint="eastAsia"/>
                <w:sz w:val="20"/>
              </w:rPr>
            </w:pPr>
            <w:r>
              <w:rPr>
                <w:rFonts w:hint="eastAsia"/>
                <w:sz w:val="20"/>
              </w:rPr>
              <w:t>对《劳动法》第</w:t>
            </w:r>
            <w:r>
              <w:rPr>
                <w:rFonts w:hint="eastAsia"/>
                <w:sz w:val="20"/>
              </w:rPr>
              <w:t>387</w:t>
            </w:r>
            <w:r>
              <w:rPr>
                <w:rFonts w:hint="eastAsia"/>
                <w:sz w:val="20"/>
              </w:rPr>
              <w:t>条和</w:t>
            </w:r>
            <w:r>
              <w:rPr>
                <w:rFonts w:hint="eastAsia"/>
                <w:sz w:val="20"/>
              </w:rPr>
              <w:t>392</w:t>
            </w:r>
            <w:r>
              <w:rPr>
                <w:rFonts w:hint="eastAsia"/>
                <w:sz w:val="20"/>
              </w:rPr>
              <w:t>条作了补充，对</w:t>
            </w:r>
            <w:r>
              <w:rPr>
                <w:rFonts w:hint="eastAsia"/>
                <w:sz w:val="20"/>
              </w:rPr>
              <w:t>1991</w:t>
            </w:r>
            <w:r>
              <w:rPr>
                <w:rFonts w:hint="eastAsia"/>
                <w:sz w:val="20"/>
              </w:rPr>
              <w:t>年</w:t>
            </w:r>
            <w:r>
              <w:rPr>
                <w:rFonts w:hint="eastAsia"/>
                <w:sz w:val="20"/>
              </w:rPr>
              <w:t>7</w:t>
            </w:r>
            <w:r>
              <w:rPr>
                <w:rFonts w:hint="eastAsia"/>
                <w:sz w:val="20"/>
              </w:rPr>
              <w:t>月</w:t>
            </w:r>
            <w:r>
              <w:rPr>
                <w:rFonts w:hint="eastAsia"/>
                <w:sz w:val="20"/>
              </w:rPr>
              <w:t>24</w:t>
            </w:r>
            <w:r>
              <w:rPr>
                <w:rFonts w:hint="eastAsia"/>
                <w:sz w:val="20"/>
              </w:rPr>
              <w:t>日的第</w:t>
            </w:r>
            <w:r>
              <w:rPr>
                <w:rFonts w:hint="eastAsia"/>
                <w:sz w:val="20"/>
              </w:rPr>
              <w:t>8212</w:t>
            </w:r>
            <w:r>
              <w:rPr>
                <w:rFonts w:hint="eastAsia"/>
                <w:sz w:val="20"/>
              </w:rPr>
              <w:t>号法律第</w:t>
            </w:r>
            <w:r>
              <w:rPr>
                <w:rFonts w:hint="eastAsia"/>
                <w:sz w:val="20"/>
              </w:rPr>
              <w:t>12</w:t>
            </w:r>
            <w:r>
              <w:rPr>
                <w:rFonts w:hint="eastAsia"/>
                <w:sz w:val="20"/>
              </w:rPr>
              <w:t>条和</w:t>
            </w:r>
            <w:r>
              <w:rPr>
                <w:rFonts w:hint="eastAsia"/>
                <w:sz w:val="20"/>
              </w:rPr>
              <w:t>25</w:t>
            </w:r>
            <w:r>
              <w:rPr>
                <w:rFonts w:hint="eastAsia"/>
                <w:sz w:val="20"/>
              </w:rPr>
              <w:t>条及</w:t>
            </w:r>
            <w:r>
              <w:rPr>
                <w:rFonts w:hint="eastAsia"/>
                <w:sz w:val="20"/>
              </w:rPr>
              <w:t>1991</w:t>
            </w:r>
            <w:r>
              <w:rPr>
                <w:rFonts w:hint="eastAsia"/>
                <w:sz w:val="20"/>
              </w:rPr>
              <w:t>年</w:t>
            </w:r>
            <w:r>
              <w:rPr>
                <w:rFonts w:hint="eastAsia"/>
                <w:sz w:val="20"/>
              </w:rPr>
              <w:t>7</w:t>
            </w:r>
            <w:r>
              <w:rPr>
                <w:rFonts w:hint="eastAsia"/>
                <w:sz w:val="20"/>
              </w:rPr>
              <w:t>月</w:t>
            </w:r>
            <w:r>
              <w:rPr>
                <w:rFonts w:hint="eastAsia"/>
                <w:sz w:val="20"/>
              </w:rPr>
              <w:t>24</w:t>
            </w:r>
            <w:r>
              <w:rPr>
                <w:rFonts w:hint="eastAsia"/>
                <w:sz w:val="20"/>
              </w:rPr>
              <w:t>日的第</w:t>
            </w:r>
            <w:r>
              <w:rPr>
                <w:rFonts w:hint="eastAsia"/>
                <w:sz w:val="20"/>
              </w:rPr>
              <w:t>8213</w:t>
            </w:r>
            <w:r>
              <w:rPr>
                <w:rFonts w:hint="eastAsia"/>
                <w:sz w:val="20"/>
              </w:rPr>
              <w:t>号法律的第</w:t>
            </w:r>
            <w:r>
              <w:rPr>
                <w:rFonts w:hint="eastAsia"/>
                <w:sz w:val="20"/>
              </w:rPr>
              <w:t>39</w:t>
            </w:r>
            <w:r>
              <w:rPr>
                <w:rFonts w:hint="eastAsia"/>
                <w:sz w:val="20"/>
              </w:rPr>
              <w:t>、</w:t>
            </w:r>
            <w:r>
              <w:rPr>
                <w:rFonts w:hint="eastAsia"/>
                <w:sz w:val="20"/>
              </w:rPr>
              <w:t>71</w:t>
            </w:r>
            <w:r>
              <w:rPr>
                <w:rFonts w:hint="eastAsia"/>
                <w:sz w:val="20"/>
              </w:rPr>
              <w:t>、</w:t>
            </w:r>
            <w:r>
              <w:rPr>
                <w:rFonts w:hint="eastAsia"/>
                <w:sz w:val="20"/>
              </w:rPr>
              <w:t>73</w:t>
            </w:r>
            <w:r>
              <w:rPr>
                <w:rFonts w:hint="eastAsia"/>
                <w:sz w:val="20"/>
              </w:rPr>
              <w:t>和</w:t>
            </w:r>
            <w:r>
              <w:rPr>
                <w:rFonts w:hint="eastAsia"/>
                <w:sz w:val="20"/>
              </w:rPr>
              <w:t>106</w:t>
            </w:r>
            <w:r>
              <w:rPr>
                <w:rFonts w:hint="eastAsia"/>
                <w:sz w:val="20"/>
              </w:rPr>
              <w:t>条作了修改，这几条均涉及产假的权利。</w:t>
            </w:r>
          </w:p>
        </w:tc>
        <w:tc>
          <w:tcPr>
            <w:tcW w:w="2002" w:type="pct"/>
          </w:tcPr>
          <w:p w:rsidR="00000000" w:rsidRDefault="004D2F83">
            <w:pPr>
              <w:pStyle w:val="NormalIndent"/>
              <w:spacing w:after="120" w:line="340" w:lineRule="exact"/>
              <w:ind w:firstLine="0"/>
              <w:rPr>
                <w:rFonts w:hint="eastAsia"/>
                <w:sz w:val="20"/>
              </w:rPr>
            </w:pPr>
            <w:r>
              <w:rPr>
                <w:rFonts w:hint="eastAsia"/>
                <w:sz w:val="20"/>
              </w:rPr>
              <w:t>保障所有城市和农村妇女以及女性国家公务员享受产假的权利，以及女性小农生产者和女性自由职业者获得产妇补贴的权利。经各阶级广泛动员后，这项法律得以批准。第</w:t>
            </w:r>
            <w:r>
              <w:rPr>
                <w:rFonts w:hint="eastAsia"/>
                <w:sz w:val="20"/>
              </w:rPr>
              <w:t>1</w:t>
            </w:r>
            <w:r>
              <w:rPr>
                <w:rFonts w:hint="eastAsia"/>
                <w:sz w:val="20"/>
              </w:rPr>
              <w:t>条对《劳动法》作了修订，被总统否决。产妇补贴的规定仅限于社会保障。</w:t>
            </w:r>
          </w:p>
        </w:tc>
      </w:tr>
      <w:tr w:rsidR="00000000">
        <w:tblPrEx>
          <w:tblCellMar>
            <w:top w:w="0" w:type="dxa"/>
            <w:bottom w:w="0" w:type="dxa"/>
          </w:tblCellMar>
        </w:tblPrEx>
        <w:tc>
          <w:tcPr>
            <w:tcW w:w="1077" w:type="pct"/>
          </w:tcPr>
          <w:p w:rsidR="00000000" w:rsidRDefault="004D2F83">
            <w:pPr>
              <w:pStyle w:val="NormalIndent"/>
              <w:spacing w:after="120" w:line="360" w:lineRule="exact"/>
              <w:ind w:firstLine="0"/>
              <w:rPr>
                <w:rFonts w:ascii="SimHei" w:eastAsia="SimHei" w:hint="eastAsia"/>
                <w:bCs/>
                <w:sz w:val="20"/>
              </w:rPr>
            </w:pPr>
            <w:r>
              <w:rPr>
                <w:rFonts w:ascii="SimHei" w:eastAsia="SimHei" w:hint="eastAsia"/>
                <w:bCs/>
                <w:sz w:val="20"/>
              </w:rPr>
              <w:t>9</w:t>
            </w:r>
            <w:r>
              <w:rPr>
                <w:rFonts w:ascii="SimHei" w:eastAsia="SimHei" w:hint="eastAsia"/>
                <w:bCs/>
                <w:sz w:val="20"/>
              </w:rPr>
              <w:t>．</w:t>
            </w:r>
            <w:r>
              <w:rPr>
                <w:rFonts w:ascii="SimHei" w:eastAsia="SimHei" w:hint="eastAsia"/>
                <w:bCs/>
                <w:sz w:val="20"/>
              </w:rPr>
              <w:t>1994</w:t>
            </w:r>
            <w:r>
              <w:rPr>
                <w:rFonts w:ascii="SimHei" w:eastAsia="SimHei" w:hint="eastAsia"/>
                <w:bCs/>
                <w:sz w:val="20"/>
              </w:rPr>
              <w:t>年</w:t>
            </w:r>
            <w:r>
              <w:rPr>
                <w:rFonts w:ascii="SimHei" w:eastAsia="SimHei" w:hint="eastAsia"/>
                <w:bCs/>
                <w:sz w:val="20"/>
              </w:rPr>
              <w:t>7</w:t>
            </w:r>
            <w:r>
              <w:rPr>
                <w:rFonts w:ascii="SimHei" w:eastAsia="SimHei" w:hint="eastAsia"/>
                <w:bCs/>
                <w:sz w:val="20"/>
              </w:rPr>
              <w:t>月</w:t>
            </w:r>
            <w:r>
              <w:rPr>
                <w:rFonts w:ascii="SimHei" w:eastAsia="SimHei" w:hint="eastAsia"/>
                <w:bCs/>
                <w:sz w:val="20"/>
              </w:rPr>
              <w:t>25</w:t>
            </w:r>
            <w:r>
              <w:rPr>
                <w:rFonts w:ascii="SimHei" w:eastAsia="SimHei" w:hint="eastAsia"/>
                <w:bCs/>
                <w:sz w:val="20"/>
              </w:rPr>
              <w:t>日第</w:t>
            </w:r>
            <w:r>
              <w:rPr>
                <w:rFonts w:ascii="SimHei" w:eastAsia="SimHei" w:hint="eastAsia"/>
                <w:bCs/>
                <w:sz w:val="20"/>
              </w:rPr>
              <w:t>8921</w:t>
            </w:r>
            <w:r>
              <w:rPr>
                <w:rFonts w:ascii="SimHei" w:eastAsia="SimHei" w:hint="eastAsia"/>
                <w:bCs/>
                <w:sz w:val="20"/>
              </w:rPr>
              <w:t>号法律</w:t>
            </w:r>
          </w:p>
        </w:tc>
        <w:tc>
          <w:tcPr>
            <w:tcW w:w="1922" w:type="pct"/>
          </w:tcPr>
          <w:p w:rsidR="00000000" w:rsidRDefault="004D2F83">
            <w:pPr>
              <w:pStyle w:val="NormalIndent"/>
              <w:spacing w:after="120" w:line="360" w:lineRule="exact"/>
              <w:ind w:firstLine="0"/>
              <w:rPr>
                <w:rFonts w:hint="eastAsia"/>
                <w:sz w:val="20"/>
              </w:rPr>
            </w:pPr>
            <w:r>
              <w:rPr>
                <w:rFonts w:hint="eastAsia"/>
                <w:sz w:val="20"/>
              </w:rPr>
              <w:t>对《劳动法》第</w:t>
            </w:r>
            <w:r>
              <w:rPr>
                <w:rFonts w:hint="eastAsia"/>
                <w:sz w:val="20"/>
              </w:rPr>
              <w:t>131</w:t>
            </w:r>
            <w:r>
              <w:rPr>
                <w:rFonts w:hint="eastAsia"/>
                <w:sz w:val="20"/>
              </w:rPr>
              <w:t>条第二项作了补充。</w:t>
            </w:r>
          </w:p>
        </w:tc>
        <w:tc>
          <w:tcPr>
            <w:tcW w:w="2002" w:type="pct"/>
          </w:tcPr>
          <w:p w:rsidR="00000000" w:rsidRDefault="004D2F83">
            <w:pPr>
              <w:pStyle w:val="NormalIndent"/>
              <w:spacing w:after="120" w:line="360" w:lineRule="exact"/>
              <w:ind w:firstLine="0"/>
              <w:rPr>
                <w:rFonts w:hint="eastAsia"/>
                <w:sz w:val="20"/>
              </w:rPr>
            </w:pPr>
            <w:r>
              <w:rPr>
                <w:rFonts w:hint="eastAsia"/>
                <w:sz w:val="20"/>
              </w:rPr>
              <w:t>用“堕胎”一词取代“非犯罪堕胎”一词，作为不被视为旷工的一个理由。</w:t>
            </w:r>
          </w:p>
        </w:tc>
      </w:tr>
      <w:tr w:rsidR="00000000">
        <w:tblPrEx>
          <w:tblCellMar>
            <w:top w:w="0" w:type="dxa"/>
            <w:bottom w:w="0" w:type="dxa"/>
          </w:tblCellMar>
        </w:tblPrEx>
        <w:tc>
          <w:tcPr>
            <w:tcW w:w="1077" w:type="pct"/>
          </w:tcPr>
          <w:p w:rsidR="00000000" w:rsidRDefault="004D2F83">
            <w:pPr>
              <w:pStyle w:val="NormalIndent"/>
              <w:spacing w:after="120" w:line="360" w:lineRule="exact"/>
              <w:ind w:firstLine="0"/>
              <w:rPr>
                <w:rFonts w:ascii="SimHei" w:eastAsia="SimHei" w:hint="eastAsia"/>
                <w:bCs/>
                <w:sz w:val="20"/>
              </w:rPr>
            </w:pPr>
            <w:r>
              <w:rPr>
                <w:rFonts w:ascii="SimHei" w:eastAsia="SimHei" w:hint="eastAsia"/>
                <w:bCs/>
                <w:sz w:val="20"/>
              </w:rPr>
              <w:t>10</w:t>
            </w:r>
            <w:r>
              <w:rPr>
                <w:rFonts w:ascii="SimHei" w:eastAsia="SimHei" w:hint="eastAsia"/>
                <w:bCs/>
                <w:sz w:val="20"/>
              </w:rPr>
              <w:t>．</w:t>
            </w:r>
            <w:r>
              <w:rPr>
                <w:rFonts w:ascii="SimHei" w:eastAsia="SimHei" w:hint="eastAsia"/>
                <w:bCs/>
                <w:sz w:val="20"/>
              </w:rPr>
              <w:t>1994</w:t>
            </w:r>
            <w:r>
              <w:rPr>
                <w:rFonts w:ascii="SimHei" w:eastAsia="SimHei" w:hint="eastAsia"/>
                <w:bCs/>
                <w:sz w:val="20"/>
              </w:rPr>
              <w:t>年</w:t>
            </w:r>
            <w:r>
              <w:rPr>
                <w:rFonts w:ascii="SimHei" w:eastAsia="SimHei" w:hint="eastAsia"/>
                <w:bCs/>
                <w:sz w:val="20"/>
              </w:rPr>
              <w:t>9</w:t>
            </w:r>
            <w:r>
              <w:rPr>
                <w:rFonts w:ascii="SimHei" w:eastAsia="SimHei" w:hint="eastAsia"/>
                <w:bCs/>
                <w:sz w:val="20"/>
              </w:rPr>
              <w:t>月</w:t>
            </w:r>
            <w:r>
              <w:rPr>
                <w:rFonts w:ascii="SimHei" w:eastAsia="SimHei" w:hint="eastAsia"/>
                <w:bCs/>
                <w:sz w:val="20"/>
              </w:rPr>
              <w:t>6</w:t>
            </w:r>
            <w:r>
              <w:rPr>
                <w:rFonts w:ascii="SimHei" w:eastAsia="SimHei" w:hint="eastAsia"/>
                <w:bCs/>
                <w:sz w:val="20"/>
              </w:rPr>
              <w:t>日第</w:t>
            </w:r>
            <w:r>
              <w:rPr>
                <w:rFonts w:ascii="SimHei" w:eastAsia="SimHei" w:hint="eastAsia"/>
                <w:bCs/>
                <w:sz w:val="20"/>
              </w:rPr>
              <w:t>8930</w:t>
            </w:r>
            <w:r>
              <w:rPr>
                <w:rFonts w:ascii="SimHei" w:eastAsia="SimHei" w:hint="eastAsia"/>
                <w:bCs/>
                <w:sz w:val="20"/>
              </w:rPr>
              <w:t>号法律</w:t>
            </w:r>
          </w:p>
        </w:tc>
        <w:tc>
          <w:tcPr>
            <w:tcW w:w="1922" w:type="pct"/>
          </w:tcPr>
          <w:p w:rsidR="00000000" w:rsidRDefault="004D2F83">
            <w:pPr>
              <w:pStyle w:val="NormalIndent"/>
              <w:spacing w:after="120" w:line="360" w:lineRule="exact"/>
              <w:ind w:firstLine="0"/>
              <w:rPr>
                <w:rFonts w:hint="eastAsia"/>
                <w:sz w:val="20"/>
              </w:rPr>
            </w:pPr>
            <w:r>
              <w:rPr>
                <w:rFonts w:hint="eastAsia"/>
                <w:sz w:val="20"/>
              </w:rPr>
              <w:t>对</w:t>
            </w:r>
            <w:r>
              <w:rPr>
                <w:rFonts w:hint="eastAsia"/>
                <w:sz w:val="20"/>
              </w:rPr>
              <w:t>1990</w:t>
            </w:r>
            <w:r>
              <w:rPr>
                <w:rFonts w:hint="eastAsia"/>
                <w:sz w:val="20"/>
              </w:rPr>
              <w:t>年</w:t>
            </w:r>
            <w:r>
              <w:rPr>
                <w:rFonts w:hint="eastAsia"/>
                <w:sz w:val="20"/>
              </w:rPr>
              <w:t>7</w:t>
            </w:r>
            <w:r>
              <w:rPr>
                <w:rFonts w:hint="eastAsia"/>
                <w:sz w:val="20"/>
              </w:rPr>
              <w:t>月</w:t>
            </w:r>
            <w:r>
              <w:rPr>
                <w:rFonts w:hint="eastAsia"/>
                <w:sz w:val="20"/>
              </w:rPr>
              <w:t>25</w:t>
            </w:r>
            <w:r>
              <w:rPr>
                <w:rFonts w:hint="eastAsia"/>
                <w:sz w:val="20"/>
              </w:rPr>
              <w:t>日的第</w:t>
            </w:r>
            <w:r>
              <w:rPr>
                <w:rFonts w:hint="eastAsia"/>
                <w:sz w:val="20"/>
              </w:rPr>
              <w:t>8072</w:t>
            </w:r>
            <w:r>
              <w:rPr>
                <w:rFonts w:hint="eastAsia"/>
                <w:sz w:val="20"/>
              </w:rPr>
              <w:t>号法律第</w:t>
            </w:r>
            <w:r>
              <w:rPr>
                <w:rFonts w:hint="eastAsia"/>
                <w:sz w:val="20"/>
              </w:rPr>
              <w:t>1</w:t>
            </w:r>
            <w:r>
              <w:rPr>
                <w:rFonts w:hint="eastAsia"/>
                <w:sz w:val="20"/>
              </w:rPr>
              <w:t>条作了补充，特别根据《联邦宪法》第</w:t>
            </w:r>
            <w:r>
              <w:rPr>
                <w:rFonts w:hint="eastAsia"/>
                <w:sz w:val="20"/>
              </w:rPr>
              <w:t>5</w:t>
            </w:r>
            <w:r>
              <w:rPr>
                <w:rFonts w:hint="eastAsia"/>
                <w:sz w:val="20"/>
              </w:rPr>
              <w:t>条第四十三款对各种骇人听闻的犯罪作了规定。</w:t>
            </w:r>
          </w:p>
        </w:tc>
        <w:tc>
          <w:tcPr>
            <w:tcW w:w="2002" w:type="pct"/>
          </w:tcPr>
          <w:p w:rsidR="00000000" w:rsidRDefault="004D2F83">
            <w:pPr>
              <w:pStyle w:val="NormalIndent"/>
              <w:spacing w:after="120" w:line="360" w:lineRule="exact"/>
              <w:ind w:firstLine="0"/>
              <w:rPr>
                <w:rFonts w:hint="eastAsia"/>
                <w:sz w:val="20"/>
              </w:rPr>
            </w:pPr>
            <w:r>
              <w:rPr>
                <w:rFonts w:hint="eastAsia"/>
                <w:sz w:val="20"/>
              </w:rPr>
              <w:t>包括《联邦宪法》第</w:t>
            </w:r>
            <w:r>
              <w:rPr>
                <w:rFonts w:hint="eastAsia"/>
                <w:sz w:val="20"/>
              </w:rPr>
              <w:t>5</w:t>
            </w:r>
            <w:r>
              <w:rPr>
                <w:rFonts w:hint="eastAsia"/>
                <w:sz w:val="20"/>
              </w:rPr>
              <w:t>条第四十三款就不可保释的骇人听闻的犯罪团体进行的强奸所作的规定。</w:t>
            </w:r>
          </w:p>
        </w:tc>
      </w:tr>
      <w:tr w:rsidR="00000000">
        <w:tblPrEx>
          <w:tblCellMar>
            <w:top w:w="0" w:type="dxa"/>
            <w:bottom w:w="0" w:type="dxa"/>
          </w:tblCellMar>
        </w:tblPrEx>
        <w:tc>
          <w:tcPr>
            <w:tcW w:w="1077" w:type="pct"/>
          </w:tcPr>
          <w:p w:rsidR="00000000" w:rsidRDefault="004D2F83">
            <w:pPr>
              <w:pStyle w:val="NormalIndent"/>
              <w:spacing w:after="120" w:line="360" w:lineRule="exact"/>
              <w:ind w:firstLine="0"/>
              <w:rPr>
                <w:rFonts w:ascii="SimHei" w:eastAsia="SimHei" w:hint="eastAsia"/>
                <w:bCs/>
                <w:sz w:val="20"/>
              </w:rPr>
            </w:pPr>
            <w:r>
              <w:rPr>
                <w:rFonts w:ascii="SimHei" w:eastAsia="SimHei" w:hint="eastAsia"/>
                <w:bCs/>
                <w:sz w:val="20"/>
              </w:rPr>
              <w:t>11</w:t>
            </w:r>
            <w:r>
              <w:rPr>
                <w:rFonts w:ascii="SimHei" w:eastAsia="SimHei" w:hint="eastAsia"/>
                <w:bCs/>
                <w:sz w:val="20"/>
              </w:rPr>
              <w:t>．</w:t>
            </w:r>
            <w:r>
              <w:rPr>
                <w:rFonts w:ascii="SimHei" w:eastAsia="SimHei" w:hint="eastAsia"/>
                <w:bCs/>
                <w:sz w:val="20"/>
              </w:rPr>
              <w:t>1994</w:t>
            </w:r>
            <w:r>
              <w:rPr>
                <w:rFonts w:ascii="SimHei" w:eastAsia="SimHei" w:hint="eastAsia"/>
                <w:bCs/>
                <w:sz w:val="20"/>
              </w:rPr>
              <w:t>年</w:t>
            </w:r>
            <w:r>
              <w:rPr>
                <w:rFonts w:ascii="SimHei" w:eastAsia="SimHei" w:hint="eastAsia"/>
                <w:bCs/>
                <w:sz w:val="20"/>
              </w:rPr>
              <w:t>12</w:t>
            </w:r>
            <w:r>
              <w:rPr>
                <w:rFonts w:ascii="SimHei" w:eastAsia="SimHei" w:hint="eastAsia"/>
                <w:bCs/>
                <w:sz w:val="20"/>
              </w:rPr>
              <w:t>月</w:t>
            </w:r>
            <w:r>
              <w:rPr>
                <w:rFonts w:ascii="SimHei" w:eastAsia="SimHei" w:hint="eastAsia"/>
                <w:bCs/>
                <w:sz w:val="20"/>
              </w:rPr>
              <w:t>13</w:t>
            </w:r>
            <w:r>
              <w:rPr>
                <w:rFonts w:ascii="SimHei" w:eastAsia="SimHei" w:hint="eastAsia"/>
                <w:bCs/>
                <w:sz w:val="20"/>
              </w:rPr>
              <w:t>日第</w:t>
            </w:r>
            <w:r>
              <w:rPr>
                <w:rFonts w:ascii="SimHei" w:eastAsia="SimHei" w:hint="eastAsia"/>
                <w:bCs/>
                <w:sz w:val="20"/>
              </w:rPr>
              <w:t>8952</w:t>
            </w:r>
            <w:r>
              <w:rPr>
                <w:rFonts w:ascii="SimHei" w:eastAsia="SimHei" w:hint="eastAsia"/>
                <w:bCs/>
                <w:sz w:val="20"/>
              </w:rPr>
              <w:t>号法律</w:t>
            </w:r>
          </w:p>
        </w:tc>
        <w:tc>
          <w:tcPr>
            <w:tcW w:w="1922" w:type="pct"/>
          </w:tcPr>
          <w:p w:rsidR="00000000" w:rsidRDefault="004D2F83">
            <w:pPr>
              <w:pStyle w:val="NormalIndent"/>
              <w:spacing w:after="120" w:line="360" w:lineRule="exact"/>
              <w:ind w:firstLine="0"/>
              <w:rPr>
                <w:rFonts w:hint="eastAsia"/>
                <w:sz w:val="20"/>
              </w:rPr>
            </w:pPr>
            <w:r>
              <w:rPr>
                <w:rFonts w:hint="eastAsia"/>
                <w:sz w:val="20"/>
              </w:rPr>
              <w:t>就发现过程和预防性禁令对《民事诉讼法》作了修改。</w:t>
            </w:r>
          </w:p>
        </w:tc>
        <w:tc>
          <w:tcPr>
            <w:tcW w:w="2002" w:type="pct"/>
          </w:tcPr>
          <w:p w:rsidR="00000000" w:rsidRDefault="004D2F83">
            <w:pPr>
              <w:pStyle w:val="NormalIndent"/>
              <w:spacing w:after="120" w:line="360" w:lineRule="exact"/>
              <w:ind w:firstLine="0"/>
              <w:rPr>
                <w:rFonts w:hint="eastAsia"/>
                <w:sz w:val="20"/>
              </w:rPr>
            </w:pPr>
            <w:r>
              <w:rPr>
                <w:rFonts w:hint="eastAsia"/>
                <w:sz w:val="20"/>
              </w:rPr>
              <w:t>对配偶参与提出涉及物权的房地产诉讼——参与的必要性或不必要性——作了规定</w:t>
            </w:r>
            <w:r>
              <w:rPr>
                <w:rFonts w:hint="eastAsia"/>
                <w:sz w:val="20"/>
              </w:rPr>
              <w:t>。</w:t>
            </w:r>
          </w:p>
        </w:tc>
      </w:tr>
      <w:tr w:rsidR="00000000">
        <w:tblPrEx>
          <w:tblCellMar>
            <w:top w:w="0" w:type="dxa"/>
            <w:bottom w:w="0" w:type="dxa"/>
          </w:tblCellMar>
        </w:tblPrEx>
        <w:tc>
          <w:tcPr>
            <w:tcW w:w="1077" w:type="pct"/>
          </w:tcPr>
          <w:p w:rsidR="00000000" w:rsidRDefault="004D2F83">
            <w:pPr>
              <w:pStyle w:val="NormalIndent"/>
              <w:spacing w:after="120" w:line="360" w:lineRule="exact"/>
              <w:ind w:firstLine="0"/>
              <w:rPr>
                <w:rFonts w:ascii="SimHei" w:eastAsia="SimHei" w:hint="eastAsia"/>
                <w:bCs/>
                <w:sz w:val="20"/>
              </w:rPr>
            </w:pPr>
            <w:r>
              <w:rPr>
                <w:rFonts w:ascii="SimHei" w:eastAsia="SimHei" w:hint="eastAsia"/>
                <w:bCs/>
                <w:sz w:val="20"/>
              </w:rPr>
              <w:t>12</w:t>
            </w:r>
            <w:r>
              <w:rPr>
                <w:rFonts w:ascii="SimHei" w:eastAsia="SimHei" w:hint="eastAsia"/>
                <w:bCs/>
                <w:sz w:val="20"/>
              </w:rPr>
              <w:t>．</w:t>
            </w:r>
            <w:r>
              <w:rPr>
                <w:rFonts w:ascii="SimHei" w:eastAsia="SimHei" w:hint="eastAsia"/>
                <w:bCs/>
                <w:sz w:val="20"/>
              </w:rPr>
              <w:t>1994</w:t>
            </w:r>
            <w:r>
              <w:rPr>
                <w:rFonts w:ascii="SimHei" w:eastAsia="SimHei" w:hint="eastAsia"/>
                <w:bCs/>
                <w:sz w:val="20"/>
              </w:rPr>
              <w:t>年</w:t>
            </w:r>
            <w:r>
              <w:rPr>
                <w:rFonts w:ascii="SimHei" w:eastAsia="SimHei" w:hint="eastAsia"/>
                <w:bCs/>
                <w:sz w:val="20"/>
              </w:rPr>
              <w:t>12</w:t>
            </w:r>
            <w:r>
              <w:rPr>
                <w:rFonts w:ascii="SimHei" w:eastAsia="SimHei" w:hint="eastAsia"/>
                <w:bCs/>
                <w:sz w:val="20"/>
              </w:rPr>
              <w:t>月</w:t>
            </w:r>
            <w:r>
              <w:rPr>
                <w:rFonts w:ascii="SimHei" w:eastAsia="SimHei" w:hint="eastAsia"/>
                <w:bCs/>
                <w:sz w:val="20"/>
              </w:rPr>
              <w:t>29</w:t>
            </w:r>
            <w:r>
              <w:rPr>
                <w:rFonts w:ascii="SimHei" w:eastAsia="SimHei" w:hint="eastAsia"/>
                <w:bCs/>
                <w:sz w:val="20"/>
              </w:rPr>
              <w:t>日第</w:t>
            </w:r>
            <w:r>
              <w:rPr>
                <w:rFonts w:ascii="SimHei" w:eastAsia="SimHei" w:hint="eastAsia"/>
                <w:bCs/>
                <w:sz w:val="20"/>
              </w:rPr>
              <w:t>8971</w:t>
            </w:r>
            <w:r>
              <w:rPr>
                <w:rFonts w:ascii="SimHei" w:eastAsia="SimHei" w:hint="eastAsia"/>
                <w:bCs/>
                <w:sz w:val="20"/>
              </w:rPr>
              <w:t>号法律</w:t>
            </w:r>
          </w:p>
        </w:tc>
        <w:tc>
          <w:tcPr>
            <w:tcW w:w="1922" w:type="pct"/>
          </w:tcPr>
          <w:p w:rsidR="00000000" w:rsidRDefault="004D2F83">
            <w:pPr>
              <w:pStyle w:val="NormalIndent"/>
              <w:spacing w:after="120" w:line="360" w:lineRule="exact"/>
              <w:ind w:firstLine="0"/>
              <w:rPr>
                <w:rFonts w:hint="eastAsia"/>
                <w:sz w:val="20"/>
              </w:rPr>
            </w:pPr>
            <w:r>
              <w:rPr>
                <w:rFonts w:hint="eastAsia"/>
                <w:sz w:val="20"/>
              </w:rPr>
              <w:t>对作为夫妻双方的男女享受赡养费和遗产的权利作了规定。</w:t>
            </w:r>
          </w:p>
        </w:tc>
        <w:tc>
          <w:tcPr>
            <w:tcW w:w="2002" w:type="pct"/>
          </w:tcPr>
          <w:p w:rsidR="00000000" w:rsidRDefault="004D2F83">
            <w:pPr>
              <w:pStyle w:val="NormalIndent"/>
              <w:spacing w:after="120" w:line="360" w:lineRule="exact"/>
              <w:ind w:firstLine="0"/>
              <w:rPr>
                <w:rFonts w:hint="eastAsia"/>
                <w:sz w:val="20"/>
              </w:rPr>
            </w:pPr>
            <w:r>
              <w:rPr>
                <w:rFonts w:hint="eastAsia"/>
                <w:sz w:val="20"/>
              </w:rPr>
              <w:t>对作为夫妻双方的男女享受赡养费和遗产的权利作了规定，条件是他们共同生活达</w:t>
            </w:r>
            <w:r>
              <w:rPr>
                <w:rFonts w:hint="eastAsia"/>
                <w:sz w:val="20"/>
              </w:rPr>
              <w:t>5</w:t>
            </w:r>
            <w:r>
              <w:rPr>
                <w:rFonts w:hint="eastAsia"/>
                <w:sz w:val="20"/>
              </w:rPr>
              <w:t>年以上或有子女。</w:t>
            </w: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sz w:val="20"/>
              </w:rPr>
            </w:pPr>
            <w:r>
              <w:rPr>
                <w:rFonts w:ascii="SimHei" w:eastAsia="SimHei" w:hint="eastAsia"/>
                <w:bCs/>
                <w:sz w:val="20"/>
              </w:rPr>
              <w:t>13</w:t>
            </w:r>
            <w:r>
              <w:rPr>
                <w:rFonts w:ascii="SimHei" w:eastAsia="SimHei" w:hint="eastAsia"/>
                <w:bCs/>
                <w:sz w:val="20"/>
              </w:rPr>
              <w:t>．</w:t>
            </w:r>
            <w:r>
              <w:rPr>
                <w:rFonts w:ascii="SimHei" w:eastAsia="SimHei" w:hint="eastAsia"/>
                <w:bCs/>
                <w:sz w:val="20"/>
              </w:rPr>
              <w:t>1995</w:t>
            </w:r>
            <w:r>
              <w:rPr>
                <w:rFonts w:ascii="SimHei" w:eastAsia="SimHei" w:hint="eastAsia"/>
                <w:bCs/>
                <w:sz w:val="20"/>
              </w:rPr>
              <w:t>年</w:t>
            </w:r>
            <w:r>
              <w:rPr>
                <w:rFonts w:ascii="SimHei" w:eastAsia="SimHei" w:hint="eastAsia"/>
                <w:bCs/>
                <w:sz w:val="20"/>
              </w:rPr>
              <w:t>4</w:t>
            </w:r>
            <w:r>
              <w:rPr>
                <w:rFonts w:ascii="SimHei" w:eastAsia="SimHei" w:hint="eastAsia"/>
                <w:bCs/>
                <w:sz w:val="20"/>
              </w:rPr>
              <w:t>月</w:t>
            </w:r>
            <w:r>
              <w:rPr>
                <w:rFonts w:ascii="SimHei" w:eastAsia="SimHei" w:hint="eastAsia"/>
                <w:bCs/>
                <w:sz w:val="20"/>
              </w:rPr>
              <w:t>19</w:t>
            </w:r>
            <w:r>
              <w:rPr>
                <w:rFonts w:ascii="SimHei" w:eastAsia="SimHei" w:hint="eastAsia"/>
                <w:bCs/>
                <w:sz w:val="20"/>
              </w:rPr>
              <w:t>日第</w:t>
            </w:r>
            <w:r>
              <w:rPr>
                <w:rFonts w:ascii="SimHei" w:eastAsia="SimHei" w:hint="eastAsia"/>
                <w:bCs/>
                <w:sz w:val="20"/>
              </w:rPr>
              <w:t>63</w:t>
            </w:r>
            <w:r>
              <w:rPr>
                <w:rFonts w:ascii="SimHei" w:eastAsia="SimHei" w:hint="eastAsia"/>
                <w:bCs/>
                <w:sz w:val="20"/>
              </w:rPr>
              <w:t>号法令</w:t>
            </w:r>
          </w:p>
        </w:tc>
        <w:tc>
          <w:tcPr>
            <w:tcW w:w="1922" w:type="pct"/>
          </w:tcPr>
          <w:p w:rsidR="00000000" w:rsidRDefault="004D2F83">
            <w:pPr>
              <w:pStyle w:val="NormalIndent"/>
              <w:spacing w:after="120" w:line="340" w:lineRule="exact"/>
              <w:ind w:firstLine="0"/>
              <w:rPr>
                <w:rFonts w:hint="eastAsia"/>
                <w:sz w:val="20"/>
              </w:rPr>
            </w:pPr>
            <w:r>
              <w:rPr>
                <w:rFonts w:hint="eastAsia"/>
                <w:sz w:val="20"/>
              </w:rPr>
              <w:t>批准了</w:t>
            </w:r>
            <w:r>
              <w:rPr>
                <w:rFonts w:hint="eastAsia"/>
                <w:sz w:val="20"/>
              </w:rPr>
              <w:t>1993</w:t>
            </w:r>
            <w:r>
              <w:rPr>
                <w:rFonts w:hint="eastAsia"/>
                <w:sz w:val="20"/>
              </w:rPr>
              <w:t>年</w:t>
            </w:r>
            <w:r>
              <w:rPr>
                <w:rFonts w:hint="eastAsia"/>
                <w:sz w:val="20"/>
              </w:rPr>
              <w:t>5</w:t>
            </w:r>
            <w:r>
              <w:rPr>
                <w:rFonts w:hint="eastAsia"/>
                <w:sz w:val="20"/>
              </w:rPr>
              <w:t>月</w:t>
            </w:r>
            <w:r>
              <w:rPr>
                <w:rFonts w:hint="eastAsia"/>
                <w:sz w:val="20"/>
              </w:rPr>
              <w:t>29</w:t>
            </w:r>
            <w:r>
              <w:rPr>
                <w:rFonts w:hint="eastAsia"/>
                <w:sz w:val="20"/>
              </w:rPr>
              <w:t>日在海牙缔结的《国际收养公约》文本。</w:t>
            </w:r>
          </w:p>
        </w:tc>
        <w:tc>
          <w:tcPr>
            <w:tcW w:w="2002" w:type="pct"/>
          </w:tcPr>
          <w:p w:rsidR="00000000" w:rsidRDefault="004D2F83">
            <w:pPr>
              <w:pStyle w:val="NormalIndent"/>
              <w:spacing w:after="120" w:line="340" w:lineRule="exact"/>
              <w:ind w:firstLine="0"/>
              <w:rPr>
                <w:rFonts w:hint="eastAsia"/>
                <w:sz w:val="20"/>
              </w:rPr>
            </w:pP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sz w:val="20"/>
              </w:rPr>
            </w:pPr>
            <w:r>
              <w:rPr>
                <w:rFonts w:ascii="SimHei" w:eastAsia="SimHei" w:hint="eastAsia"/>
                <w:bCs/>
                <w:sz w:val="20"/>
              </w:rPr>
              <w:t>14</w:t>
            </w:r>
            <w:r>
              <w:rPr>
                <w:rFonts w:ascii="SimHei" w:eastAsia="SimHei" w:hint="eastAsia"/>
                <w:bCs/>
                <w:sz w:val="20"/>
              </w:rPr>
              <w:t>．</w:t>
            </w:r>
            <w:r>
              <w:rPr>
                <w:rFonts w:ascii="SimHei" w:eastAsia="SimHei" w:hint="eastAsia"/>
                <w:bCs/>
                <w:sz w:val="20"/>
              </w:rPr>
              <w:t>1995</w:t>
            </w:r>
            <w:r>
              <w:rPr>
                <w:rFonts w:ascii="SimHei" w:eastAsia="SimHei" w:hint="eastAsia"/>
                <w:bCs/>
                <w:sz w:val="20"/>
              </w:rPr>
              <w:t>年</w:t>
            </w:r>
            <w:r>
              <w:rPr>
                <w:rFonts w:ascii="SimHei" w:eastAsia="SimHei" w:hint="eastAsia"/>
                <w:bCs/>
                <w:sz w:val="20"/>
              </w:rPr>
              <w:t>9</w:t>
            </w:r>
            <w:r>
              <w:rPr>
                <w:rFonts w:ascii="SimHei" w:eastAsia="SimHei" w:hint="eastAsia"/>
                <w:bCs/>
                <w:sz w:val="20"/>
              </w:rPr>
              <w:t>月</w:t>
            </w:r>
            <w:r>
              <w:rPr>
                <w:rFonts w:ascii="SimHei" w:eastAsia="SimHei" w:hint="eastAsia"/>
                <w:bCs/>
                <w:sz w:val="20"/>
              </w:rPr>
              <w:t>1</w:t>
            </w:r>
            <w:r>
              <w:rPr>
                <w:rFonts w:ascii="SimHei" w:eastAsia="SimHei" w:hint="eastAsia"/>
                <w:bCs/>
                <w:sz w:val="20"/>
              </w:rPr>
              <w:t>日第</w:t>
            </w:r>
            <w:r>
              <w:rPr>
                <w:rFonts w:ascii="SimHei" w:eastAsia="SimHei" w:hint="eastAsia"/>
                <w:bCs/>
                <w:sz w:val="20"/>
              </w:rPr>
              <w:t>107</w:t>
            </w:r>
            <w:r>
              <w:rPr>
                <w:rFonts w:ascii="SimHei" w:eastAsia="SimHei" w:hint="eastAsia"/>
                <w:bCs/>
                <w:sz w:val="20"/>
              </w:rPr>
              <w:t>号法令</w:t>
            </w:r>
          </w:p>
        </w:tc>
        <w:tc>
          <w:tcPr>
            <w:tcW w:w="1922" w:type="pct"/>
          </w:tcPr>
          <w:p w:rsidR="00000000" w:rsidRDefault="004D2F83">
            <w:pPr>
              <w:pStyle w:val="NormalIndent"/>
              <w:spacing w:after="120" w:line="340" w:lineRule="exact"/>
              <w:ind w:firstLine="0"/>
              <w:rPr>
                <w:rFonts w:hint="eastAsia"/>
                <w:sz w:val="20"/>
              </w:rPr>
            </w:pPr>
            <w:r>
              <w:rPr>
                <w:rFonts w:hint="eastAsia"/>
                <w:sz w:val="20"/>
              </w:rPr>
              <w:t>批准了</w:t>
            </w:r>
            <w:r>
              <w:rPr>
                <w:rFonts w:hint="eastAsia"/>
                <w:sz w:val="20"/>
              </w:rPr>
              <w:t>1994</w:t>
            </w:r>
            <w:r>
              <w:rPr>
                <w:rFonts w:hint="eastAsia"/>
                <w:sz w:val="20"/>
              </w:rPr>
              <w:t>年</w:t>
            </w:r>
            <w:r>
              <w:rPr>
                <w:rFonts w:hint="eastAsia"/>
                <w:sz w:val="20"/>
              </w:rPr>
              <w:t>6</w:t>
            </w:r>
            <w:r>
              <w:rPr>
                <w:rFonts w:hint="eastAsia"/>
                <w:sz w:val="20"/>
              </w:rPr>
              <w:t>月</w:t>
            </w:r>
            <w:r>
              <w:rPr>
                <w:rFonts w:hint="eastAsia"/>
                <w:sz w:val="20"/>
              </w:rPr>
              <w:t>9</w:t>
            </w:r>
            <w:r>
              <w:rPr>
                <w:rFonts w:hint="eastAsia"/>
                <w:sz w:val="20"/>
              </w:rPr>
              <w:t>日在贝伦杜帕拉签署的《美洲防止、惩罚和根除对妇女暴力行为公约》文本。</w:t>
            </w:r>
          </w:p>
        </w:tc>
        <w:tc>
          <w:tcPr>
            <w:tcW w:w="2002" w:type="pct"/>
          </w:tcPr>
          <w:p w:rsidR="00000000" w:rsidRDefault="004D2F83">
            <w:pPr>
              <w:pStyle w:val="NormalIndent"/>
              <w:spacing w:after="120" w:line="340" w:lineRule="exact"/>
              <w:ind w:firstLine="0"/>
              <w:rPr>
                <w:rFonts w:hint="eastAsia"/>
                <w:sz w:val="20"/>
              </w:rPr>
            </w:pP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color w:val="000000"/>
                <w:sz w:val="20"/>
              </w:rPr>
            </w:pPr>
            <w:r>
              <w:rPr>
                <w:rFonts w:ascii="SimHei" w:eastAsia="SimHei" w:hint="eastAsia"/>
                <w:bCs/>
                <w:color w:val="000000"/>
                <w:sz w:val="20"/>
              </w:rPr>
              <w:t>15</w:t>
            </w:r>
            <w:r>
              <w:rPr>
                <w:rFonts w:ascii="SimHei" w:eastAsia="SimHei" w:hint="eastAsia"/>
                <w:bCs/>
                <w:color w:val="000000"/>
                <w:sz w:val="20"/>
              </w:rPr>
              <w:t>．</w:t>
            </w:r>
            <w:r>
              <w:rPr>
                <w:rFonts w:ascii="SimHei" w:eastAsia="SimHei" w:hint="eastAsia"/>
                <w:bCs/>
                <w:color w:val="000000"/>
                <w:sz w:val="20"/>
              </w:rPr>
              <w:t>1995</w:t>
            </w:r>
            <w:r>
              <w:rPr>
                <w:rFonts w:ascii="SimHei" w:eastAsia="SimHei" w:hint="eastAsia"/>
                <w:bCs/>
                <w:color w:val="000000"/>
                <w:sz w:val="20"/>
              </w:rPr>
              <w:t>年</w:t>
            </w:r>
            <w:r>
              <w:rPr>
                <w:rFonts w:ascii="SimHei" w:eastAsia="SimHei" w:hint="eastAsia"/>
                <w:bCs/>
                <w:color w:val="000000"/>
                <w:sz w:val="20"/>
              </w:rPr>
              <w:t>1</w:t>
            </w:r>
            <w:r>
              <w:rPr>
                <w:rFonts w:ascii="SimHei" w:eastAsia="SimHei" w:hint="eastAsia"/>
                <w:bCs/>
                <w:color w:val="000000"/>
                <w:sz w:val="20"/>
              </w:rPr>
              <w:t>月</w:t>
            </w:r>
            <w:r>
              <w:rPr>
                <w:rFonts w:ascii="SimHei" w:eastAsia="SimHei" w:hint="eastAsia"/>
                <w:bCs/>
                <w:color w:val="000000"/>
                <w:sz w:val="20"/>
              </w:rPr>
              <w:t>5</w:t>
            </w:r>
            <w:r>
              <w:rPr>
                <w:rFonts w:ascii="SimHei" w:eastAsia="SimHei" w:hint="eastAsia"/>
                <w:bCs/>
                <w:color w:val="000000"/>
                <w:sz w:val="20"/>
              </w:rPr>
              <w:t>日第</w:t>
            </w:r>
            <w:r>
              <w:rPr>
                <w:rFonts w:ascii="SimHei" w:eastAsia="SimHei" w:hint="eastAsia"/>
                <w:bCs/>
                <w:color w:val="000000"/>
                <w:sz w:val="20"/>
              </w:rPr>
              <w:t>8974</w:t>
            </w:r>
            <w:r>
              <w:rPr>
                <w:rFonts w:ascii="SimHei" w:eastAsia="SimHei" w:hint="eastAsia"/>
                <w:bCs/>
                <w:color w:val="000000"/>
                <w:sz w:val="20"/>
              </w:rPr>
              <w:t>号法律</w:t>
            </w:r>
          </w:p>
        </w:tc>
        <w:tc>
          <w:tcPr>
            <w:tcW w:w="1922" w:type="pct"/>
          </w:tcPr>
          <w:p w:rsidR="00000000" w:rsidRDefault="004D2F83">
            <w:pPr>
              <w:pStyle w:val="NormalIndent"/>
              <w:spacing w:after="120" w:line="340" w:lineRule="exact"/>
              <w:ind w:firstLine="0"/>
              <w:rPr>
                <w:rFonts w:hint="eastAsia"/>
                <w:color w:val="000000"/>
                <w:sz w:val="20"/>
              </w:rPr>
            </w:pPr>
            <w:r>
              <w:rPr>
                <w:rFonts w:hint="eastAsia"/>
                <w:color w:val="000000"/>
                <w:sz w:val="20"/>
              </w:rPr>
              <w:t>特别对《联邦宪法》第</w:t>
            </w:r>
            <w:r>
              <w:rPr>
                <w:rFonts w:hint="eastAsia"/>
                <w:color w:val="000000"/>
                <w:sz w:val="20"/>
              </w:rPr>
              <w:t>225</w:t>
            </w:r>
            <w:r>
              <w:rPr>
                <w:rFonts w:hint="eastAsia"/>
                <w:color w:val="000000"/>
                <w:sz w:val="20"/>
              </w:rPr>
              <w:t>条</w:t>
            </w:r>
            <w:r>
              <w:rPr>
                <w:rFonts w:hint="eastAsia"/>
                <w:color w:val="000000"/>
                <w:sz w:val="20"/>
              </w:rPr>
              <w:t>第</w:t>
            </w:r>
            <w:r>
              <w:rPr>
                <w:rFonts w:hint="eastAsia"/>
                <w:color w:val="000000"/>
                <w:sz w:val="20"/>
              </w:rPr>
              <w:t>1</w:t>
            </w:r>
            <w:r>
              <w:rPr>
                <w:rFonts w:hint="eastAsia"/>
                <w:color w:val="000000"/>
                <w:sz w:val="20"/>
              </w:rPr>
              <w:t>款第二和五项作了规定，界定了遗传工程技术的使用准则。</w:t>
            </w:r>
          </w:p>
        </w:tc>
        <w:tc>
          <w:tcPr>
            <w:tcW w:w="2002" w:type="pct"/>
          </w:tcPr>
          <w:p w:rsidR="00000000" w:rsidRDefault="004D2F83">
            <w:pPr>
              <w:pStyle w:val="NormalIndent"/>
              <w:spacing w:after="120" w:line="340" w:lineRule="exact"/>
              <w:ind w:firstLine="0"/>
              <w:rPr>
                <w:rFonts w:hint="eastAsia"/>
                <w:color w:val="000000"/>
                <w:sz w:val="20"/>
              </w:rPr>
            </w:pPr>
            <w:r>
              <w:rPr>
                <w:rFonts w:hint="eastAsia"/>
                <w:color w:val="000000"/>
                <w:sz w:val="20"/>
              </w:rPr>
              <w:t>对遗传工程技术的使用准则（包括人工受孕和“代孕母亲”）和基因改变的生物体环境作了规定；授权在共和国总统办公室、国家生物技术安全委员会下设立执行分支机构。</w:t>
            </w: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color w:val="000000"/>
                <w:sz w:val="20"/>
              </w:rPr>
            </w:pPr>
            <w:r>
              <w:rPr>
                <w:rFonts w:ascii="SimHei" w:eastAsia="SimHei" w:hint="eastAsia"/>
                <w:bCs/>
                <w:color w:val="000000"/>
                <w:sz w:val="20"/>
              </w:rPr>
              <w:t>16</w:t>
            </w:r>
            <w:r>
              <w:rPr>
                <w:rFonts w:ascii="SimHei" w:eastAsia="SimHei" w:hint="eastAsia"/>
                <w:bCs/>
                <w:color w:val="000000"/>
                <w:sz w:val="20"/>
              </w:rPr>
              <w:t>．</w:t>
            </w:r>
            <w:r>
              <w:rPr>
                <w:rFonts w:ascii="SimHei" w:eastAsia="SimHei" w:hint="eastAsia"/>
                <w:bCs/>
                <w:color w:val="000000"/>
                <w:sz w:val="20"/>
              </w:rPr>
              <w:t>1995</w:t>
            </w:r>
            <w:r>
              <w:rPr>
                <w:rFonts w:ascii="SimHei" w:eastAsia="SimHei" w:hint="eastAsia"/>
                <w:bCs/>
                <w:color w:val="000000"/>
                <w:sz w:val="20"/>
              </w:rPr>
              <w:t>年</w:t>
            </w:r>
            <w:r>
              <w:rPr>
                <w:rFonts w:ascii="SimHei" w:eastAsia="SimHei" w:hint="eastAsia"/>
                <w:bCs/>
                <w:color w:val="000000"/>
                <w:sz w:val="20"/>
              </w:rPr>
              <w:t>1</w:t>
            </w:r>
            <w:r>
              <w:rPr>
                <w:rFonts w:ascii="SimHei" w:eastAsia="SimHei" w:hint="eastAsia"/>
                <w:bCs/>
                <w:color w:val="000000"/>
                <w:sz w:val="20"/>
              </w:rPr>
              <w:t>月</w:t>
            </w:r>
            <w:r>
              <w:rPr>
                <w:rFonts w:ascii="SimHei" w:eastAsia="SimHei" w:hint="eastAsia"/>
                <w:bCs/>
                <w:color w:val="000000"/>
                <w:sz w:val="20"/>
              </w:rPr>
              <w:t>9</w:t>
            </w:r>
            <w:r>
              <w:rPr>
                <w:rFonts w:ascii="SimHei" w:eastAsia="SimHei" w:hint="eastAsia"/>
                <w:bCs/>
                <w:color w:val="000000"/>
                <w:sz w:val="20"/>
              </w:rPr>
              <w:t>日第</w:t>
            </w:r>
            <w:r>
              <w:rPr>
                <w:rFonts w:ascii="SimHei" w:eastAsia="SimHei" w:hint="eastAsia"/>
                <w:bCs/>
                <w:color w:val="000000"/>
                <w:sz w:val="20"/>
              </w:rPr>
              <w:t>8978</w:t>
            </w:r>
            <w:r>
              <w:rPr>
                <w:rFonts w:ascii="SimHei" w:eastAsia="SimHei" w:hint="eastAsia"/>
                <w:bCs/>
                <w:color w:val="000000"/>
                <w:sz w:val="20"/>
              </w:rPr>
              <w:t>号法律</w:t>
            </w:r>
          </w:p>
        </w:tc>
        <w:tc>
          <w:tcPr>
            <w:tcW w:w="1922" w:type="pct"/>
          </w:tcPr>
          <w:p w:rsidR="00000000" w:rsidRDefault="004D2F83">
            <w:pPr>
              <w:pStyle w:val="NormalIndent"/>
              <w:spacing w:after="120" w:line="340" w:lineRule="exact"/>
              <w:ind w:firstLine="0"/>
              <w:rPr>
                <w:rFonts w:hint="eastAsia"/>
                <w:color w:val="000000"/>
                <w:sz w:val="20"/>
              </w:rPr>
            </w:pPr>
            <w:r>
              <w:rPr>
                <w:rFonts w:hint="eastAsia"/>
                <w:color w:val="000000"/>
                <w:sz w:val="20"/>
              </w:rPr>
              <w:t>对建立托儿所和学龄前学校作了规定。</w:t>
            </w:r>
          </w:p>
        </w:tc>
        <w:tc>
          <w:tcPr>
            <w:tcW w:w="2002" w:type="pct"/>
          </w:tcPr>
          <w:p w:rsidR="00000000" w:rsidRDefault="004D2F83">
            <w:pPr>
              <w:pStyle w:val="NormalIndent"/>
              <w:spacing w:after="120" w:line="340" w:lineRule="exact"/>
              <w:ind w:firstLine="0"/>
              <w:rPr>
                <w:rFonts w:hint="eastAsia"/>
                <w:color w:val="000000"/>
                <w:sz w:val="20"/>
              </w:rPr>
            </w:pPr>
            <w:r>
              <w:rPr>
                <w:rFonts w:hint="eastAsia"/>
                <w:color w:val="000000"/>
                <w:sz w:val="20"/>
              </w:rPr>
              <w:t>由财政住房系统供资的住房综合区应当优先考虑建设托儿所和学龄前学校。</w:t>
            </w: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color w:val="000000"/>
                <w:sz w:val="20"/>
              </w:rPr>
            </w:pPr>
            <w:r>
              <w:rPr>
                <w:rFonts w:ascii="SimHei" w:eastAsia="SimHei" w:hint="eastAsia"/>
                <w:bCs/>
                <w:color w:val="000000"/>
                <w:sz w:val="20"/>
              </w:rPr>
              <w:t>17</w:t>
            </w:r>
            <w:r>
              <w:rPr>
                <w:rFonts w:ascii="SimHei" w:eastAsia="SimHei" w:hint="eastAsia"/>
                <w:bCs/>
                <w:color w:val="000000"/>
                <w:sz w:val="20"/>
              </w:rPr>
              <w:t>．</w:t>
            </w:r>
            <w:r>
              <w:rPr>
                <w:rFonts w:ascii="SimHei" w:eastAsia="SimHei" w:hint="eastAsia"/>
                <w:bCs/>
                <w:color w:val="000000"/>
                <w:sz w:val="20"/>
              </w:rPr>
              <w:t>1995</w:t>
            </w:r>
            <w:r>
              <w:rPr>
                <w:rFonts w:ascii="SimHei" w:eastAsia="SimHei" w:hint="eastAsia"/>
                <w:bCs/>
                <w:color w:val="000000"/>
                <w:sz w:val="20"/>
              </w:rPr>
              <w:t>年</w:t>
            </w:r>
            <w:r>
              <w:rPr>
                <w:rFonts w:ascii="SimHei" w:eastAsia="SimHei" w:hint="eastAsia"/>
                <w:bCs/>
                <w:color w:val="000000"/>
                <w:sz w:val="20"/>
              </w:rPr>
              <w:t>4</w:t>
            </w:r>
            <w:r>
              <w:rPr>
                <w:rFonts w:ascii="SimHei" w:eastAsia="SimHei" w:hint="eastAsia"/>
                <w:bCs/>
                <w:color w:val="000000"/>
                <w:sz w:val="20"/>
              </w:rPr>
              <w:t>月</w:t>
            </w:r>
            <w:r>
              <w:rPr>
                <w:rFonts w:ascii="SimHei" w:eastAsia="SimHei" w:hint="eastAsia"/>
                <w:bCs/>
                <w:color w:val="000000"/>
                <w:sz w:val="20"/>
              </w:rPr>
              <w:t>13</w:t>
            </w:r>
            <w:r>
              <w:rPr>
                <w:rFonts w:ascii="SimHei" w:eastAsia="SimHei" w:hint="eastAsia"/>
                <w:bCs/>
                <w:color w:val="000000"/>
                <w:sz w:val="20"/>
              </w:rPr>
              <w:t>日第</w:t>
            </w:r>
            <w:r>
              <w:rPr>
                <w:rFonts w:ascii="SimHei" w:eastAsia="SimHei" w:hint="eastAsia"/>
                <w:bCs/>
                <w:color w:val="000000"/>
                <w:sz w:val="20"/>
              </w:rPr>
              <w:t>9029</w:t>
            </w:r>
            <w:r>
              <w:rPr>
                <w:rFonts w:ascii="SimHei" w:eastAsia="SimHei" w:hint="eastAsia"/>
                <w:bCs/>
                <w:color w:val="000000"/>
                <w:sz w:val="20"/>
              </w:rPr>
              <w:t>号法律</w:t>
            </w:r>
          </w:p>
        </w:tc>
        <w:tc>
          <w:tcPr>
            <w:tcW w:w="1922" w:type="pct"/>
          </w:tcPr>
          <w:p w:rsidR="00000000" w:rsidRDefault="004D2F83">
            <w:pPr>
              <w:pStyle w:val="NormalIndent"/>
              <w:spacing w:after="120" w:line="340" w:lineRule="exact"/>
              <w:ind w:firstLine="0"/>
              <w:rPr>
                <w:rFonts w:hint="eastAsia"/>
                <w:color w:val="000000"/>
                <w:sz w:val="20"/>
              </w:rPr>
            </w:pPr>
            <w:r>
              <w:rPr>
                <w:rFonts w:hint="eastAsia"/>
                <w:color w:val="000000"/>
                <w:sz w:val="20"/>
              </w:rPr>
              <w:t>禁止为招工或继续维持合法劳动关系的目的要求提供孕产和绝育证明及其他歧视性做法。</w:t>
            </w:r>
          </w:p>
        </w:tc>
        <w:tc>
          <w:tcPr>
            <w:tcW w:w="2002" w:type="pct"/>
          </w:tcPr>
          <w:p w:rsidR="00000000" w:rsidRDefault="004D2F83">
            <w:pPr>
              <w:pStyle w:val="NormalIndent"/>
              <w:spacing w:after="120" w:line="340" w:lineRule="exact"/>
              <w:ind w:firstLine="0"/>
              <w:rPr>
                <w:rFonts w:hint="eastAsia"/>
                <w:color w:val="000000"/>
                <w:sz w:val="20"/>
              </w:rPr>
            </w:pPr>
            <w:r>
              <w:rPr>
                <w:rFonts w:hint="eastAsia"/>
                <w:color w:val="000000"/>
                <w:sz w:val="20"/>
              </w:rPr>
              <w:t>禁止要求做与绝育或怀孕有关</w:t>
            </w:r>
            <w:r>
              <w:rPr>
                <w:rFonts w:hint="eastAsia"/>
                <w:color w:val="000000"/>
                <w:sz w:val="20"/>
              </w:rPr>
              <w:t>的测试、检查、调查、专家报告、说明或任何其他程序；禁止诱使或唆使他人绝育、控制生育等等，并对刑罚作了规定。</w:t>
            </w: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color w:val="000000"/>
                <w:sz w:val="20"/>
              </w:rPr>
            </w:pPr>
            <w:r>
              <w:rPr>
                <w:rFonts w:ascii="SimHei" w:eastAsia="SimHei" w:hint="eastAsia"/>
                <w:bCs/>
                <w:color w:val="000000"/>
                <w:sz w:val="20"/>
              </w:rPr>
              <w:t>18</w:t>
            </w:r>
            <w:r>
              <w:rPr>
                <w:rFonts w:ascii="SimHei" w:eastAsia="SimHei" w:hint="eastAsia"/>
                <w:bCs/>
                <w:color w:val="000000"/>
                <w:sz w:val="20"/>
              </w:rPr>
              <w:t>．</w:t>
            </w:r>
            <w:r>
              <w:rPr>
                <w:rFonts w:ascii="SimHei" w:eastAsia="SimHei" w:hint="eastAsia"/>
                <w:bCs/>
                <w:color w:val="000000"/>
                <w:sz w:val="20"/>
              </w:rPr>
              <w:t>1995</w:t>
            </w:r>
            <w:r>
              <w:rPr>
                <w:rFonts w:ascii="SimHei" w:eastAsia="SimHei" w:hint="eastAsia"/>
                <w:bCs/>
                <w:color w:val="000000"/>
                <w:sz w:val="20"/>
              </w:rPr>
              <w:t>年</w:t>
            </w:r>
            <w:r>
              <w:rPr>
                <w:rFonts w:ascii="SimHei" w:eastAsia="SimHei" w:hint="eastAsia"/>
                <w:bCs/>
                <w:color w:val="000000"/>
                <w:sz w:val="20"/>
              </w:rPr>
              <w:t>5</w:t>
            </w:r>
            <w:r>
              <w:rPr>
                <w:rFonts w:ascii="SimHei" w:eastAsia="SimHei" w:hint="eastAsia"/>
                <w:bCs/>
                <w:color w:val="000000"/>
                <w:sz w:val="20"/>
              </w:rPr>
              <w:t>月</w:t>
            </w:r>
            <w:r>
              <w:rPr>
                <w:rFonts w:ascii="SimHei" w:eastAsia="SimHei" w:hint="eastAsia"/>
                <w:bCs/>
                <w:color w:val="000000"/>
                <w:sz w:val="20"/>
              </w:rPr>
              <w:t>18</w:t>
            </w:r>
            <w:r>
              <w:rPr>
                <w:rFonts w:ascii="SimHei" w:eastAsia="SimHei" w:hint="eastAsia"/>
                <w:bCs/>
                <w:color w:val="000000"/>
                <w:sz w:val="20"/>
              </w:rPr>
              <w:t>日第</w:t>
            </w:r>
            <w:r>
              <w:rPr>
                <w:rFonts w:ascii="SimHei" w:eastAsia="SimHei" w:hint="eastAsia"/>
                <w:bCs/>
                <w:color w:val="000000"/>
                <w:sz w:val="20"/>
              </w:rPr>
              <w:t>9046</w:t>
            </w:r>
            <w:r>
              <w:rPr>
                <w:rFonts w:ascii="SimHei" w:eastAsia="SimHei" w:hint="eastAsia"/>
                <w:bCs/>
                <w:color w:val="000000"/>
                <w:sz w:val="20"/>
              </w:rPr>
              <w:t>号法律</w:t>
            </w:r>
          </w:p>
        </w:tc>
        <w:tc>
          <w:tcPr>
            <w:tcW w:w="1922" w:type="pct"/>
          </w:tcPr>
          <w:p w:rsidR="00000000" w:rsidRDefault="004D2F83">
            <w:pPr>
              <w:pStyle w:val="NormalIndent"/>
              <w:spacing w:after="120" w:line="340" w:lineRule="exact"/>
              <w:ind w:firstLine="0"/>
              <w:rPr>
                <w:rFonts w:hint="eastAsia"/>
                <w:color w:val="000000"/>
                <w:sz w:val="20"/>
              </w:rPr>
            </w:pPr>
            <w:r>
              <w:rPr>
                <w:rFonts w:hint="eastAsia"/>
                <w:color w:val="000000"/>
                <w:sz w:val="20"/>
              </w:rPr>
              <w:t>对</w:t>
            </w:r>
            <w:r>
              <w:rPr>
                <w:rFonts w:hint="eastAsia"/>
                <w:color w:val="000000"/>
                <w:sz w:val="20"/>
              </w:rPr>
              <w:t>1984</w:t>
            </w:r>
            <w:r>
              <w:rPr>
                <w:rFonts w:hint="eastAsia"/>
                <w:color w:val="000000"/>
                <w:sz w:val="20"/>
              </w:rPr>
              <w:t>年</w:t>
            </w:r>
            <w:r>
              <w:rPr>
                <w:rFonts w:hint="eastAsia"/>
                <w:color w:val="000000"/>
                <w:sz w:val="20"/>
              </w:rPr>
              <w:t>7</w:t>
            </w:r>
            <w:r>
              <w:rPr>
                <w:rFonts w:hint="eastAsia"/>
                <w:color w:val="000000"/>
                <w:sz w:val="20"/>
              </w:rPr>
              <w:t>月</w:t>
            </w:r>
            <w:r>
              <w:rPr>
                <w:rFonts w:hint="eastAsia"/>
                <w:color w:val="000000"/>
                <w:sz w:val="20"/>
              </w:rPr>
              <w:t>11</w:t>
            </w:r>
            <w:r>
              <w:rPr>
                <w:rFonts w:hint="eastAsia"/>
                <w:color w:val="000000"/>
                <w:sz w:val="20"/>
              </w:rPr>
              <w:t>日第</w:t>
            </w:r>
            <w:r>
              <w:rPr>
                <w:rFonts w:hint="eastAsia"/>
                <w:color w:val="000000"/>
                <w:sz w:val="20"/>
              </w:rPr>
              <w:t>7210</w:t>
            </w:r>
            <w:r>
              <w:rPr>
                <w:rFonts w:hint="eastAsia"/>
                <w:color w:val="000000"/>
                <w:sz w:val="20"/>
              </w:rPr>
              <w:t>号法律——《刑罚法》第</w:t>
            </w:r>
            <w:r>
              <w:rPr>
                <w:rFonts w:hint="eastAsia"/>
                <w:color w:val="000000"/>
                <w:sz w:val="20"/>
              </w:rPr>
              <w:t>83</w:t>
            </w:r>
            <w:r>
              <w:rPr>
                <w:rFonts w:hint="eastAsia"/>
                <w:color w:val="000000"/>
                <w:sz w:val="20"/>
              </w:rPr>
              <w:t>条补充了新的内容。</w:t>
            </w:r>
          </w:p>
        </w:tc>
        <w:tc>
          <w:tcPr>
            <w:tcW w:w="2002" w:type="pct"/>
          </w:tcPr>
          <w:p w:rsidR="00000000" w:rsidRDefault="004D2F83">
            <w:pPr>
              <w:pStyle w:val="NormalIndent"/>
              <w:spacing w:after="120" w:line="340" w:lineRule="exact"/>
              <w:ind w:firstLine="0"/>
              <w:rPr>
                <w:rFonts w:hint="eastAsia"/>
                <w:color w:val="000000"/>
                <w:sz w:val="20"/>
              </w:rPr>
            </w:pPr>
            <w:r>
              <w:rPr>
                <w:rFonts w:hint="eastAsia"/>
                <w:color w:val="000000"/>
                <w:sz w:val="20"/>
              </w:rPr>
              <w:t>决定对关押妇女的监狱设立育儿室，女囚可为其子女哺乳。</w:t>
            </w: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color w:val="000000"/>
                <w:sz w:val="20"/>
              </w:rPr>
            </w:pPr>
            <w:r>
              <w:rPr>
                <w:rFonts w:ascii="SimHei" w:eastAsia="SimHei" w:hint="eastAsia"/>
                <w:bCs/>
                <w:color w:val="000000"/>
                <w:sz w:val="20"/>
              </w:rPr>
              <w:t>19</w:t>
            </w:r>
            <w:r>
              <w:rPr>
                <w:rFonts w:ascii="SimHei" w:eastAsia="SimHei" w:hint="eastAsia"/>
                <w:bCs/>
                <w:color w:val="000000"/>
                <w:sz w:val="20"/>
              </w:rPr>
              <w:t>．</w:t>
            </w:r>
            <w:r>
              <w:rPr>
                <w:rFonts w:ascii="SimHei" w:eastAsia="SimHei" w:hint="eastAsia"/>
                <w:bCs/>
                <w:color w:val="000000"/>
                <w:sz w:val="20"/>
              </w:rPr>
              <w:t>1995</w:t>
            </w:r>
            <w:r>
              <w:rPr>
                <w:rFonts w:ascii="SimHei" w:eastAsia="SimHei" w:hint="eastAsia"/>
                <w:bCs/>
                <w:color w:val="000000"/>
                <w:sz w:val="20"/>
              </w:rPr>
              <w:t>年</w:t>
            </w:r>
            <w:r>
              <w:rPr>
                <w:rFonts w:ascii="SimHei" w:eastAsia="SimHei" w:hint="eastAsia"/>
                <w:bCs/>
                <w:color w:val="000000"/>
                <w:sz w:val="20"/>
              </w:rPr>
              <w:t>10</w:t>
            </w:r>
            <w:r>
              <w:rPr>
                <w:rFonts w:ascii="SimHei" w:eastAsia="SimHei" w:hint="eastAsia"/>
                <w:bCs/>
                <w:color w:val="000000"/>
                <w:sz w:val="20"/>
              </w:rPr>
              <w:t>月</w:t>
            </w:r>
            <w:r>
              <w:rPr>
                <w:rFonts w:ascii="SimHei" w:eastAsia="SimHei" w:hint="eastAsia"/>
                <w:bCs/>
                <w:color w:val="000000"/>
                <w:sz w:val="20"/>
              </w:rPr>
              <w:t>2</w:t>
            </w:r>
            <w:r>
              <w:rPr>
                <w:rFonts w:ascii="SimHei" w:eastAsia="SimHei" w:hint="eastAsia"/>
                <w:bCs/>
                <w:color w:val="000000"/>
                <w:sz w:val="20"/>
              </w:rPr>
              <w:t>日第</w:t>
            </w:r>
            <w:r>
              <w:rPr>
                <w:rFonts w:ascii="SimHei" w:eastAsia="SimHei" w:hint="eastAsia"/>
                <w:bCs/>
                <w:color w:val="000000"/>
                <w:sz w:val="20"/>
              </w:rPr>
              <w:t>9100</w:t>
            </w:r>
            <w:r>
              <w:rPr>
                <w:rFonts w:ascii="SimHei" w:eastAsia="SimHei" w:hint="eastAsia"/>
                <w:bCs/>
                <w:color w:val="000000"/>
                <w:sz w:val="20"/>
              </w:rPr>
              <w:t>号法律</w:t>
            </w:r>
          </w:p>
        </w:tc>
        <w:tc>
          <w:tcPr>
            <w:tcW w:w="1922" w:type="pct"/>
          </w:tcPr>
          <w:p w:rsidR="00000000" w:rsidRDefault="004D2F83">
            <w:pPr>
              <w:pStyle w:val="NormalIndent"/>
              <w:spacing w:after="120" w:line="340" w:lineRule="exact"/>
              <w:ind w:firstLine="0"/>
              <w:rPr>
                <w:rFonts w:hint="eastAsia"/>
                <w:color w:val="000000"/>
                <w:sz w:val="20"/>
              </w:rPr>
            </w:pPr>
            <w:r>
              <w:rPr>
                <w:rFonts w:hint="eastAsia"/>
                <w:color w:val="000000"/>
                <w:sz w:val="20"/>
              </w:rPr>
              <w:t>特别制定了</w:t>
            </w:r>
            <w:r>
              <w:rPr>
                <w:rFonts w:hint="eastAsia"/>
                <w:color w:val="000000"/>
                <w:sz w:val="20"/>
              </w:rPr>
              <w:t>1996</w:t>
            </w:r>
            <w:r>
              <w:rPr>
                <w:rFonts w:hint="eastAsia"/>
                <w:color w:val="000000"/>
                <w:sz w:val="20"/>
              </w:rPr>
              <w:t>年</w:t>
            </w:r>
            <w:r>
              <w:rPr>
                <w:rFonts w:hint="eastAsia"/>
                <w:color w:val="000000"/>
                <w:sz w:val="20"/>
              </w:rPr>
              <w:t>10</w:t>
            </w:r>
            <w:r>
              <w:rPr>
                <w:rFonts w:hint="eastAsia"/>
                <w:color w:val="000000"/>
                <w:sz w:val="20"/>
              </w:rPr>
              <w:t>月</w:t>
            </w:r>
            <w:r>
              <w:rPr>
                <w:rFonts w:hint="eastAsia"/>
                <w:color w:val="000000"/>
                <w:sz w:val="20"/>
              </w:rPr>
              <w:t>3</w:t>
            </w:r>
            <w:r>
              <w:rPr>
                <w:rFonts w:hint="eastAsia"/>
                <w:color w:val="000000"/>
                <w:sz w:val="20"/>
              </w:rPr>
              <w:t>日举行的市选举的规则。</w:t>
            </w:r>
          </w:p>
        </w:tc>
        <w:tc>
          <w:tcPr>
            <w:tcW w:w="2002" w:type="pct"/>
          </w:tcPr>
          <w:p w:rsidR="00000000" w:rsidRDefault="004D2F83">
            <w:pPr>
              <w:pStyle w:val="NormalIndent"/>
              <w:spacing w:after="120" w:line="340" w:lineRule="exact"/>
              <w:ind w:firstLine="0"/>
              <w:rPr>
                <w:rFonts w:hint="eastAsia"/>
                <w:color w:val="000000"/>
                <w:sz w:val="20"/>
              </w:rPr>
            </w:pPr>
            <w:r>
              <w:rPr>
                <w:rFonts w:hint="eastAsia"/>
                <w:color w:val="000000"/>
                <w:sz w:val="20"/>
              </w:rPr>
              <w:t>第</w:t>
            </w:r>
            <w:r>
              <w:rPr>
                <w:rFonts w:hint="eastAsia"/>
                <w:color w:val="000000"/>
                <w:sz w:val="20"/>
              </w:rPr>
              <w:t>11</w:t>
            </w:r>
            <w:r>
              <w:rPr>
                <w:rFonts w:hint="eastAsia"/>
                <w:color w:val="000000"/>
                <w:sz w:val="20"/>
              </w:rPr>
              <w:t>条第</w:t>
            </w:r>
            <w:r>
              <w:rPr>
                <w:rFonts w:hint="eastAsia"/>
                <w:color w:val="000000"/>
                <w:sz w:val="20"/>
              </w:rPr>
              <w:t>3</w:t>
            </w:r>
            <w:r>
              <w:rPr>
                <w:rFonts w:hint="eastAsia"/>
                <w:color w:val="000000"/>
                <w:sz w:val="20"/>
              </w:rPr>
              <w:t>款规定，每个政党或联盟的现有空缺中至少有</w:t>
            </w:r>
            <w:r>
              <w:rPr>
                <w:rFonts w:hint="eastAsia"/>
                <w:color w:val="000000"/>
                <w:sz w:val="20"/>
              </w:rPr>
              <w:t>20%</w:t>
            </w:r>
            <w:r>
              <w:rPr>
                <w:rFonts w:hint="eastAsia"/>
                <w:color w:val="000000"/>
                <w:sz w:val="20"/>
              </w:rPr>
              <w:t>应由女性候选人填补。</w:t>
            </w: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color w:val="000000"/>
                <w:sz w:val="20"/>
              </w:rPr>
            </w:pPr>
            <w:r>
              <w:rPr>
                <w:rFonts w:ascii="SimHei" w:eastAsia="SimHei" w:hint="eastAsia"/>
                <w:bCs/>
                <w:color w:val="000000"/>
                <w:sz w:val="20"/>
              </w:rPr>
              <w:t>20</w:t>
            </w:r>
            <w:r>
              <w:rPr>
                <w:rFonts w:ascii="SimHei" w:eastAsia="SimHei" w:hint="eastAsia"/>
                <w:bCs/>
                <w:color w:val="000000"/>
                <w:sz w:val="20"/>
              </w:rPr>
              <w:t>．</w:t>
            </w:r>
            <w:r>
              <w:rPr>
                <w:rFonts w:ascii="SimHei" w:eastAsia="SimHei" w:hint="eastAsia"/>
                <w:bCs/>
                <w:color w:val="000000"/>
                <w:sz w:val="20"/>
              </w:rPr>
              <w:t>1996</w:t>
            </w:r>
            <w:r>
              <w:rPr>
                <w:rFonts w:ascii="SimHei" w:eastAsia="SimHei" w:hint="eastAsia"/>
                <w:bCs/>
                <w:color w:val="000000"/>
                <w:sz w:val="20"/>
              </w:rPr>
              <w:t>年</w:t>
            </w:r>
            <w:r>
              <w:rPr>
                <w:rFonts w:ascii="SimHei" w:eastAsia="SimHei" w:hint="eastAsia"/>
                <w:bCs/>
                <w:color w:val="000000"/>
                <w:sz w:val="20"/>
              </w:rPr>
              <w:t>1</w:t>
            </w:r>
            <w:r>
              <w:rPr>
                <w:rFonts w:ascii="SimHei" w:eastAsia="SimHei" w:hint="eastAsia"/>
                <w:bCs/>
                <w:color w:val="000000"/>
                <w:sz w:val="20"/>
              </w:rPr>
              <w:t>月</w:t>
            </w:r>
            <w:r>
              <w:rPr>
                <w:rFonts w:ascii="SimHei" w:eastAsia="SimHei" w:hint="eastAsia"/>
                <w:bCs/>
                <w:color w:val="000000"/>
                <w:sz w:val="20"/>
              </w:rPr>
              <w:t>2</w:t>
            </w:r>
            <w:r>
              <w:rPr>
                <w:rFonts w:ascii="SimHei" w:eastAsia="SimHei" w:hint="eastAsia"/>
                <w:bCs/>
                <w:color w:val="000000"/>
                <w:sz w:val="20"/>
              </w:rPr>
              <w:t>日第</w:t>
            </w:r>
            <w:r>
              <w:rPr>
                <w:rFonts w:ascii="SimHei" w:eastAsia="SimHei" w:hint="eastAsia"/>
                <w:bCs/>
                <w:color w:val="000000"/>
                <w:sz w:val="20"/>
              </w:rPr>
              <w:t>9263</w:t>
            </w:r>
            <w:r>
              <w:rPr>
                <w:rFonts w:ascii="SimHei" w:eastAsia="SimHei" w:hint="eastAsia"/>
                <w:bCs/>
                <w:color w:val="000000"/>
                <w:sz w:val="20"/>
              </w:rPr>
              <w:t>号法律</w:t>
            </w:r>
          </w:p>
        </w:tc>
        <w:tc>
          <w:tcPr>
            <w:tcW w:w="1922" w:type="pct"/>
          </w:tcPr>
          <w:p w:rsidR="00000000" w:rsidRDefault="004D2F83">
            <w:pPr>
              <w:pStyle w:val="NormalIndent"/>
              <w:spacing w:after="120" w:line="340" w:lineRule="exact"/>
              <w:ind w:firstLine="0"/>
              <w:rPr>
                <w:rFonts w:hint="eastAsia"/>
                <w:color w:val="000000"/>
                <w:sz w:val="20"/>
              </w:rPr>
            </w:pPr>
            <w:r>
              <w:rPr>
                <w:rFonts w:hint="eastAsia"/>
                <w:color w:val="000000"/>
                <w:sz w:val="20"/>
              </w:rPr>
              <w:t>对《</w:t>
            </w:r>
            <w:r>
              <w:rPr>
                <w:rFonts w:hint="eastAsia"/>
                <w:color w:val="000000"/>
                <w:sz w:val="20"/>
              </w:rPr>
              <w:t>联邦宪法》第</w:t>
            </w:r>
            <w:r>
              <w:rPr>
                <w:rFonts w:hint="eastAsia"/>
                <w:color w:val="000000"/>
                <w:sz w:val="20"/>
              </w:rPr>
              <w:t>226</w:t>
            </w:r>
            <w:r>
              <w:rPr>
                <w:rFonts w:hint="eastAsia"/>
                <w:color w:val="000000"/>
                <w:sz w:val="20"/>
              </w:rPr>
              <w:t>条第</w:t>
            </w:r>
            <w:r>
              <w:rPr>
                <w:rFonts w:hint="eastAsia"/>
                <w:color w:val="000000"/>
                <w:sz w:val="20"/>
              </w:rPr>
              <w:t>7</w:t>
            </w:r>
            <w:r>
              <w:rPr>
                <w:rFonts w:hint="eastAsia"/>
                <w:color w:val="000000"/>
                <w:sz w:val="20"/>
              </w:rPr>
              <w:t>款作了规定，该款特别规定了关于计划生育和处罚等。</w:t>
            </w:r>
          </w:p>
        </w:tc>
        <w:tc>
          <w:tcPr>
            <w:tcW w:w="2002" w:type="pct"/>
          </w:tcPr>
          <w:p w:rsidR="00000000" w:rsidRDefault="004D2F83">
            <w:pPr>
              <w:pStyle w:val="NormalIndent"/>
              <w:spacing w:after="120" w:line="340" w:lineRule="exact"/>
              <w:ind w:firstLine="0"/>
              <w:rPr>
                <w:rFonts w:hint="eastAsia"/>
                <w:sz w:val="20"/>
              </w:rPr>
            </w:pPr>
            <w:r>
              <w:rPr>
                <w:rFonts w:hint="eastAsia"/>
                <w:sz w:val="20"/>
              </w:rPr>
              <w:t>第</w:t>
            </w:r>
            <w:r>
              <w:rPr>
                <w:rFonts w:hint="eastAsia"/>
                <w:sz w:val="20"/>
              </w:rPr>
              <w:t>10</w:t>
            </w:r>
            <w:r>
              <w:rPr>
                <w:rFonts w:hint="eastAsia"/>
                <w:sz w:val="20"/>
              </w:rPr>
              <w:t>条、第</w:t>
            </w:r>
            <w:r>
              <w:rPr>
                <w:rFonts w:hint="eastAsia"/>
                <w:sz w:val="20"/>
              </w:rPr>
              <w:t>11</w:t>
            </w:r>
            <w:r>
              <w:rPr>
                <w:rFonts w:hint="eastAsia"/>
                <w:sz w:val="20"/>
              </w:rPr>
              <w:t>条、第</w:t>
            </w:r>
            <w:r>
              <w:rPr>
                <w:rFonts w:hint="eastAsia"/>
                <w:sz w:val="20"/>
              </w:rPr>
              <w:t>14</w:t>
            </w:r>
            <w:r>
              <w:rPr>
                <w:rFonts w:hint="eastAsia"/>
                <w:sz w:val="20"/>
              </w:rPr>
              <w:t>条单立款和第</w:t>
            </w:r>
            <w:r>
              <w:rPr>
                <w:rFonts w:hint="eastAsia"/>
                <w:sz w:val="20"/>
              </w:rPr>
              <w:t>15</w:t>
            </w:r>
            <w:r>
              <w:rPr>
                <w:rFonts w:hint="eastAsia"/>
                <w:sz w:val="20"/>
              </w:rPr>
              <w:t>条对自愿绝育作了规定，但遭到否决。否决案于</w:t>
            </w:r>
            <w:r>
              <w:rPr>
                <w:rFonts w:hint="eastAsia"/>
                <w:sz w:val="20"/>
              </w:rPr>
              <w:t>1997</w:t>
            </w:r>
            <w:r>
              <w:rPr>
                <w:rFonts w:hint="eastAsia"/>
                <w:sz w:val="20"/>
              </w:rPr>
              <w:t>年</w:t>
            </w:r>
            <w:r>
              <w:rPr>
                <w:rFonts w:hint="eastAsia"/>
                <w:sz w:val="20"/>
              </w:rPr>
              <w:t>8</w:t>
            </w:r>
            <w:r>
              <w:rPr>
                <w:rFonts w:hint="eastAsia"/>
                <w:sz w:val="20"/>
              </w:rPr>
              <w:t>月</w:t>
            </w:r>
            <w:r>
              <w:rPr>
                <w:rFonts w:hint="eastAsia"/>
                <w:sz w:val="20"/>
              </w:rPr>
              <w:t>13</w:t>
            </w:r>
            <w:r>
              <w:rPr>
                <w:rFonts w:hint="eastAsia"/>
                <w:sz w:val="20"/>
              </w:rPr>
              <w:t>日被驳回，并刊登在</w:t>
            </w:r>
            <w:r>
              <w:rPr>
                <w:rFonts w:hint="eastAsia"/>
                <w:sz w:val="20"/>
              </w:rPr>
              <w:t>1997</w:t>
            </w:r>
            <w:r>
              <w:rPr>
                <w:rFonts w:hint="eastAsia"/>
                <w:sz w:val="20"/>
              </w:rPr>
              <w:t>年</w:t>
            </w:r>
            <w:r>
              <w:rPr>
                <w:rFonts w:hint="eastAsia"/>
                <w:sz w:val="20"/>
              </w:rPr>
              <w:t>8</w:t>
            </w:r>
            <w:r>
              <w:rPr>
                <w:rFonts w:hint="eastAsia"/>
                <w:sz w:val="20"/>
              </w:rPr>
              <w:t>月</w:t>
            </w:r>
            <w:r>
              <w:rPr>
                <w:rFonts w:hint="eastAsia"/>
                <w:sz w:val="20"/>
              </w:rPr>
              <w:t>20</w:t>
            </w:r>
            <w:r>
              <w:rPr>
                <w:rFonts w:hint="eastAsia"/>
                <w:sz w:val="20"/>
              </w:rPr>
              <w:t>日的《政府公报》上。</w:t>
            </w: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color w:val="000000"/>
                <w:sz w:val="20"/>
              </w:rPr>
            </w:pPr>
            <w:r>
              <w:rPr>
                <w:rFonts w:ascii="SimHei" w:eastAsia="SimHei" w:hint="eastAsia"/>
                <w:bCs/>
                <w:color w:val="000000"/>
                <w:sz w:val="20"/>
              </w:rPr>
              <w:t>21</w:t>
            </w:r>
            <w:r>
              <w:rPr>
                <w:rFonts w:ascii="SimHei" w:eastAsia="SimHei" w:hint="eastAsia"/>
                <w:bCs/>
                <w:color w:val="000000"/>
                <w:sz w:val="20"/>
              </w:rPr>
              <w:t>．</w:t>
            </w:r>
            <w:r>
              <w:rPr>
                <w:rFonts w:ascii="SimHei" w:eastAsia="SimHei" w:hint="eastAsia"/>
                <w:bCs/>
                <w:color w:val="000000"/>
                <w:sz w:val="20"/>
              </w:rPr>
              <w:t>1996</w:t>
            </w:r>
            <w:r>
              <w:rPr>
                <w:rFonts w:ascii="SimHei" w:eastAsia="SimHei" w:hint="eastAsia"/>
                <w:bCs/>
                <w:color w:val="000000"/>
                <w:sz w:val="20"/>
              </w:rPr>
              <w:t>年</w:t>
            </w:r>
            <w:r>
              <w:rPr>
                <w:rFonts w:ascii="SimHei" w:eastAsia="SimHei" w:hint="eastAsia"/>
                <w:bCs/>
                <w:color w:val="000000"/>
                <w:sz w:val="20"/>
              </w:rPr>
              <w:t>5</w:t>
            </w:r>
            <w:r>
              <w:rPr>
                <w:rFonts w:ascii="SimHei" w:eastAsia="SimHei" w:hint="eastAsia"/>
                <w:bCs/>
                <w:color w:val="000000"/>
                <w:sz w:val="20"/>
              </w:rPr>
              <w:t>月</w:t>
            </w:r>
            <w:r>
              <w:rPr>
                <w:rFonts w:ascii="SimHei" w:eastAsia="SimHei" w:hint="eastAsia"/>
                <w:bCs/>
                <w:color w:val="000000"/>
                <w:sz w:val="20"/>
              </w:rPr>
              <w:t>10</w:t>
            </w:r>
            <w:r>
              <w:rPr>
                <w:rFonts w:ascii="SimHei" w:eastAsia="SimHei" w:hint="eastAsia"/>
                <w:bCs/>
                <w:color w:val="000000"/>
                <w:sz w:val="20"/>
              </w:rPr>
              <w:t>日第</w:t>
            </w:r>
            <w:r>
              <w:rPr>
                <w:rFonts w:ascii="SimHei" w:eastAsia="SimHei" w:hint="eastAsia"/>
                <w:bCs/>
                <w:color w:val="000000"/>
                <w:sz w:val="20"/>
              </w:rPr>
              <w:t>9278</w:t>
            </w:r>
            <w:r>
              <w:rPr>
                <w:rFonts w:ascii="SimHei" w:eastAsia="SimHei" w:hint="eastAsia"/>
                <w:bCs/>
                <w:color w:val="000000"/>
                <w:sz w:val="20"/>
              </w:rPr>
              <w:t>号法律</w:t>
            </w:r>
          </w:p>
        </w:tc>
        <w:tc>
          <w:tcPr>
            <w:tcW w:w="1922" w:type="pct"/>
          </w:tcPr>
          <w:p w:rsidR="00000000" w:rsidRDefault="004D2F83">
            <w:pPr>
              <w:pStyle w:val="NormalIndent"/>
              <w:spacing w:after="120" w:line="340" w:lineRule="exact"/>
              <w:ind w:firstLine="0"/>
              <w:rPr>
                <w:rFonts w:hint="eastAsia"/>
                <w:color w:val="000000"/>
                <w:sz w:val="20"/>
              </w:rPr>
            </w:pPr>
            <w:r>
              <w:rPr>
                <w:rFonts w:hint="eastAsia"/>
                <w:color w:val="000000"/>
                <w:sz w:val="20"/>
              </w:rPr>
              <w:t>对《联邦宪法》第</w:t>
            </w:r>
            <w:r>
              <w:rPr>
                <w:rFonts w:hint="eastAsia"/>
                <w:color w:val="000000"/>
                <w:sz w:val="20"/>
              </w:rPr>
              <w:t>226</w:t>
            </w:r>
            <w:r>
              <w:rPr>
                <w:rFonts w:hint="eastAsia"/>
                <w:color w:val="000000"/>
                <w:sz w:val="20"/>
              </w:rPr>
              <w:t>条第</w:t>
            </w:r>
            <w:r>
              <w:rPr>
                <w:rFonts w:hint="eastAsia"/>
                <w:color w:val="000000"/>
                <w:sz w:val="20"/>
              </w:rPr>
              <w:t>3</w:t>
            </w:r>
            <w:r>
              <w:rPr>
                <w:rFonts w:hint="eastAsia"/>
                <w:color w:val="000000"/>
                <w:sz w:val="20"/>
              </w:rPr>
              <w:t>款作了规定。</w:t>
            </w:r>
          </w:p>
        </w:tc>
        <w:tc>
          <w:tcPr>
            <w:tcW w:w="2002" w:type="pct"/>
          </w:tcPr>
          <w:p w:rsidR="00000000" w:rsidRDefault="004D2F83">
            <w:pPr>
              <w:pStyle w:val="NormalIndent"/>
              <w:spacing w:after="120" w:line="340" w:lineRule="exact"/>
              <w:ind w:firstLine="0"/>
              <w:rPr>
                <w:rFonts w:hint="eastAsia"/>
                <w:sz w:val="20"/>
              </w:rPr>
            </w:pPr>
            <w:r>
              <w:rPr>
                <w:rFonts w:hint="eastAsia"/>
                <w:sz w:val="20"/>
              </w:rPr>
              <w:t>《联邦宪法》第</w:t>
            </w:r>
            <w:r>
              <w:rPr>
                <w:rFonts w:hint="eastAsia"/>
                <w:sz w:val="20"/>
              </w:rPr>
              <w:t>226</w:t>
            </w:r>
            <w:r>
              <w:rPr>
                <w:rFonts w:hint="eastAsia"/>
                <w:sz w:val="20"/>
              </w:rPr>
              <w:t>条第</w:t>
            </w:r>
            <w:r>
              <w:rPr>
                <w:rFonts w:hint="eastAsia"/>
                <w:sz w:val="20"/>
              </w:rPr>
              <w:t>3</w:t>
            </w:r>
            <w:r>
              <w:rPr>
                <w:rFonts w:hint="eastAsia"/>
                <w:sz w:val="20"/>
              </w:rPr>
              <w:t>款考虑到家庭实体的稳定结合。第</w:t>
            </w:r>
            <w:r>
              <w:rPr>
                <w:rFonts w:hint="eastAsia"/>
                <w:sz w:val="20"/>
              </w:rPr>
              <w:t>3</w:t>
            </w:r>
            <w:r>
              <w:rPr>
                <w:rFonts w:hint="eastAsia"/>
                <w:sz w:val="20"/>
              </w:rPr>
              <w:t>、</w:t>
            </w:r>
            <w:r>
              <w:rPr>
                <w:rFonts w:hint="eastAsia"/>
                <w:sz w:val="20"/>
              </w:rPr>
              <w:t>4</w:t>
            </w:r>
            <w:r>
              <w:rPr>
                <w:rFonts w:hint="eastAsia"/>
                <w:sz w:val="20"/>
              </w:rPr>
              <w:t>和</w:t>
            </w:r>
            <w:r>
              <w:rPr>
                <w:rFonts w:hint="eastAsia"/>
                <w:sz w:val="20"/>
              </w:rPr>
              <w:t>6</w:t>
            </w:r>
            <w:r>
              <w:rPr>
                <w:rFonts w:hint="eastAsia"/>
                <w:sz w:val="20"/>
              </w:rPr>
              <w:t>条规定配偶可登记一份有关双方权利和义务的契约，但遭到否决。</w:t>
            </w: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color w:val="000000"/>
                <w:sz w:val="20"/>
              </w:rPr>
            </w:pPr>
            <w:r>
              <w:rPr>
                <w:rFonts w:ascii="SimHei" w:eastAsia="SimHei" w:hint="eastAsia"/>
                <w:bCs/>
                <w:color w:val="000000"/>
                <w:sz w:val="20"/>
              </w:rPr>
              <w:t>22</w:t>
            </w:r>
            <w:r>
              <w:rPr>
                <w:rFonts w:ascii="SimHei" w:eastAsia="SimHei" w:hint="eastAsia"/>
                <w:bCs/>
                <w:color w:val="000000"/>
                <w:sz w:val="20"/>
              </w:rPr>
              <w:t>．</w:t>
            </w:r>
            <w:r>
              <w:rPr>
                <w:rFonts w:ascii="SimHei" w:eastAsia="SimHei" w:hint="eastAsia"/>
                <w:bCs/>
                <w:color w:val="000000"/>
                <w:sz w:val="20"/>
              </w:rPr>
              <w:t>1996</w:t>
            </w:r>
            <w:r>
              <w:rPr>
                <w:rFonts w:ascii="SimHei" w:eastAsia="SimHei" w:hint="eastAsia"/>
                <w:bCs/>
                <w:color w:val="000000"/>
                <w:sz w:val="20"/>
              </w:rPr>
              <w:t>年</w:t>
            </w:r>
            <w:r>
              <w:rPr>
                <w:rFonts w:ascii="SimHei" w:eastAsia="SimHei" w:hint="eastAsia"/>
                <w:bCs/>
                <w:color w:val="000000"/>
                <w:sz w:val="20"/>
              </w:rPr>
              <w:t>6</w:t>
            </w:r>
            <w:r>
              <w:rPr>
                <w:rFonts w:ascii="SimHei" w:eastAsia="SimHei" w:hint="eastAsia"/>
                <w:bCs/>
                <w:color w:val="000000"/>
                <w:sz w:val="20"/>
              </w:rPr>
              <w:t>月</w:t>
            </w:r>
            <w:r>
              <w:rPr>
                <w:rFonts w:ascii="SimHei" w:eastAsia="SimHei" w:hint="eastAsia"/>
                <w:bCs/>
                <w:color w:val="000000"/>
                <w:sz w:val="20"/>
              </w:rPr>
              <w:t>5</w:t>
            </w:r>
            <w:r>
              <w:rPr>
                <w:rFonts w:ascii="SimHei" w:eastAsia="SimHei" w:hint="eastAsia"/>
                <w:bCs/>
                <w:color w:val="000000"/>
                <w:sz w:val="20"/>
              </w:rPr>
              <w:t>日第</w:t>
            </w:r>
            <w:r>
              <w:rPr>
                <w:rFonts w:ascii="SimHei" w:eastAsia="SimHei" w:hint="eastAsia"/>
                <w:bCs/>
                <w:color w:val="000000"/>
                <w:sz w:val="20"/>
              </w:rPr>
              <w:t>9281</w:t>
            </w:r>
            <w:r>
              <w:rPr>
                <w:rFonts w:ascii="SimHei" w:eastAsia="SimHei" w:hint="eastAsia"/>
                <w:bCs/>
                <w:color w:val="000000"/>
                <w:sz w:val="20"/>
              </w:rPr>
              <w:t>号法律</w:t>
            </w:r>
          </w:p>
        </w:tc>
        <w:tc>
          <w:tcPr>
            <w:tcW w:w="1922" w:type="pct"/>
          </w:tcPr>
          <w:p w:rsidR="00000000" w:rsidRDefault="004D2F83">
            <w:pPr>
              <w:pStyle w:val="NormalIndent"/>
              <w:spacing w:after="120" w:line="340" w:lineRule="exact"/>
              <w:ind w:firstLine="0"/>
              <w:rPr>
                <w:rFonts w:hint="eastAsia"/>
                <w:color w:val="000000"/>
                <w:sz w:val="20"/>
              </w:rPr>
            </w:pPr>
            <w:r>
              <w:rPr>
                <w:rFonts w:hint="eastAsia"/>
                <w:color w:val="000000"/>
                <w:sz w:val="20"/>
              </w:rPr>
              <w:t>废除了</w:t>
            </w:r>
            <w:r>
              <w:rPr>
                <w:rFonts w:hint="eastAsia"/>
                <w:color w:val="000000"/>
                <w:sz w:val="20"/>
              </w:rPr>
              <w:t>1940</w:t>
            </w:r>
            <w:r>
              <w:rPr>
                <w:rFonts w:hint="eastAsia"/>
                <w:color w:val="000000"/>
                <w:sz w:val="20"/>
              </w:rPr>
              <w:t>年</w:t>
            </w:r>
            <w:r>
              <w:rPr>
                <w:rFonts w:hint="eastAsia"/>
                <w:color w:val="000000"/>
                <w:sz w:val="20"/>
              </w:rPr>
              <w:t>12</w:t>
            </w:r>
            <w:r>
              <w:rPr>
                <w:rFonts w:hint="eastAsia"/>
                <w:color w:val="000000"/>
                <w:sz w:val="20"/>
              </w:rPr>
              <w:t>月第</w:t>
            </w:r>
            <w:r>
              <w:rPr>
                <w:rFonts w:hint="eastAsia"/>
                <w:color w:val="000000"/>
                <w:sz w:val="20"/>
              </w:rPr>
              <w:t>2848</w:t>
            </w:r>
            <w:r>
              <w:rPr>
                <w:rFonts w:hint="eastAsia"/>
                <w:color w:val="000000"/>
                <w:sz w:val="20"/>
              </w:rPr>
              <w:t>号行政法——《刑法典》第</w:t>
            </w:r>
            <w:r>
              <w:rPr>
                <w:rFonts w:hint="eastAsia"/>
                <w:color w:val="000000"/>
                <w:sz w:val="20"/>
              </w:rPr>
              <w:t>213</w:t>
            </w:r>
            <w:r>
              <w:rPr>
                <w:rFonts w:hint="eastAsia"/>
                <w:color w:val="000000"/>
                <w:sz w:val="20"/>
              </w:rPr>
              <w:t>和</w:t>
            </w:r>
            <w:r>
              <w:rPr>
                <w:rFonts w:hint="eastAsia"/>
                <w:color w:val="000000"/>
                <w:sz w:val="20"/>
              </w:rPr>
              <w:t>214</w:t>
            </w:r>
            <w:r>
              <w:rPr>
                <w:rFonts w:hint="eastAsia"/>
                <w:color w:val="000000"/>
                <w:sz w:val="20"/>
              </w:rPr>
              <w:t>条的单立款。</w:t>
            </w:r>
          </w:p>
        </w:tc>
        <w:tc>
          <w:tcPr>
            <w:tcW w:w="2002" w:type="pct"/>
          </w:tcPr>
          <w:p w:rsidR="00000000" w:rsidRDefault="004D2F83">
            <w:pPr>
              <w:pStyle w:val="NormalIndent"/>
              <w:spacing w:after="120" w:line="340" w:lineRule="exact"/>
              <w:ind w:firstLine="0"/>
              <w:rPr>
                <w:rFonts w:hint="eastAsia"/>
                <w:sz w:val="20"/>
              </w:rPr>
            </w:pPr>
            <w:r>
              <w:rPr>
                <w:rFonts w:hint="eastAsia"/>
                <w:sz w:val="20"/>
              </w:rPr>
              <w:t>这项法律废除了</w:t>
            </w:r>
            <w:r>
              <w:rPr>
                <w:rFonts w:hint="eastAsia"/>
                <w:sz w:val="20"/>
              </w:rPr>
              <w:t>1940</w:t>
            </w:r>
            <w:r>
              <w:rPr>
                <w:rFonts w:hint="eastAsia"/>
                <w:sz w:val="20"/>
              </w:rPr>
              <w:t>年</w:t>
            </w:r>
            <w:r>
              <w:rPr>
                <w:rFonts w:hint="eastAsia"/>
                <w:sz w:val="20"/>
              </w:rPr>
              <w:t>12</w:t>
            </w:r>
            <w:r>
              <w:rPr>
                <w:rFonts w:hint="eastAsia"/>
                <w:sz w:val="20"/>
              </w:rPr>
              <w:t>月</w:t>
            </w:r>
            <w:r>
              <w:rPr>
                <w:rFonts w:hint="eastAsia"/>
                <w:sz w:val="20"/>
              </w:rPr>
              <w:t>7</w:t>
            </w:r>
            <w:r>
              <w:rPr>
                <w:rFonts w:hint="eastAsia"/>
                <w:sz w:val="20"/>
              </w:rPr>
              <w:t>日第</w:t>
            </w:r>
            <w:r>
              <w:rPr>
                <w:rFonts w:hint="eastAsia"/>
                <w:sz w:val="20"/>
              </w:rPr>
              <w:t>2848</w:t>
            </w:r>
            <w:r>
              <w:rPr>
                <w:rFonts w:hint="eastAsia"/>
                <w:sz w:val="20"/>
              </w:rPr>
              <w:t>号行政法——《刑法典》第</w:t>
            </w:r>
            <w:r>
              <w:rPr>
                <w:rFonts w:hint="eastAsia"/>
                <w:sz w:val="20"/>
              </w:rPr>
              <w:t>213</w:t>
            </w:r>
            <w:r>
              <w:rPr>
                <w:rFonts w:hint="eastAsia"/>
                <w:sz w:val="20"/>
              </w:rPr>
              <w:t>和</w:t>
            </w:r>
            <w:r>
              <w:rPr>
                <w:rFonts w:hint="eastAsia"/>
                <w:sz w:val="20"/>
              </w:rPr>
              <w:t>214</w:t>
            </w:r>
            <w:r>
              <w:rPr>
                <w:rFonts w:hint="eastAsia"/>
                <w:sz w:val="20"/>
              </w:rPr>
              <w:t>条的单立款，该款把人身伤害罪的刑罚减至</w:t>
            </w:r>
            <w:r>
              <w:rPr>
                <w:rFonts w:hint="eastAsia"/>
                <w:sz w:val="20"/>
              </w:rPr>
              <w:t>14</w:t>
            </w:r>
            <w:r>
              <w:rPr>
                <w:rFonts w:hint="eastAsia"/>
                <w:sz w:val="20"/>
              </w:rPr>
              <w:t>年以下（含）。</w:t>
            </w: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color w:val="000000"/>
                <w:sz w:val="20"/>
              </w:rPr>
            </w:pPr>
            <w:r>
              <w:rPr>
                <w:rFonts w:ascii="SimHei" w:eastAsia="SimHei" w:hint="eastAsia"/>
                <w:bCs/>
                <w:color w:val="000000"/>
                <w:sz w:val="20"/>
              </w:rPr>
              <w:t>23</w:t>
            </w:r>
            <w:r>
              <w:rPr>
                <w:rFonts w:ascii="SimHei" w:eastAsia="SimHei" w:hint="eastAsia"/>
                <w:bCs/>
                <w:color w:val="000000"/>
                <w:sz w:val="20"/>
              </w:rPr>
              <w:t>．</w:t>
            </w:r>
            <w:r>
              <w:rPr>
                <w:rFonts w:ascii="SimHei" w:eastAsia="SimHei" w:hint="eastAsia"/>
                <w:bCs/>
                <w:color w:val="000000"/>
                <w:sz w:val="20"/>
              </w:rPr>
              <w:t>1996</w:t>
            </w:r>
            <w:r>
              <w:rPr>
                <w:rFonts w:ascii="SimHei" w:eastAsia="SimHei" w:hint="eastAsia"/>
                <w:bCs/>
                <w:color w:val="000000"/>
                <w:sz w:val="20"/>
              </w:rPr>
              <w:t>年</w:t>
            </w:r>
            <w:r>
              <w:rPr>
                <w:rFonts w:ascii="SimHei" w:eastAsia="SimHei" w:hint="eastAsia"/>
                <w:bCs/>
                <w:color w:val="000000"/>
                <w:sz w:val="20"/>
              </w:rPr>
              <w:t>12</w:t>
            </w:r>
            <w:r>
              <w:rPr>
                <w:rFonts w:ascii="SimHei" w:eastAsia="SimHei" w:hint="eastAsia"/>
                <w:bCs/>
                <w:color w:val="000000"/>
                <w:sz w:val="20"/>
              </w:rPr>
              <w:t>月</w:t>
            </w:r>
            <w:r>
              <w:rPr>
                <w:rFonts w:ascii="SimHei" w:eastAsia="SimHei" w:hint="eastAsia"/>
                <w:bCs/>
                <w:color w:val="000000"/>
                <w:sz w:val="20"/>
              </w:rPr>
              <w:t>6</w:t>
            </w:r>
            <w:r>
              <w:rPr>
                <w:rFonts w:ascii="SimHei" w:eastAsia="SimHei" w:hint="eastAsia"/>
                <w:bCs/>
                <w:color w:val="000000"/>
                <w:sz w:val="20"/>
              </w:rPr>
              <w:t>日第</w:t>
            </w:r>
            <w:r>
              <w:rPr>
                <w:rFonts w:ascii="SimHei" w:eastAsia="SimHei" w:hint="eastAsia"/>
                <w:bCs/>
                <w:color w:val="000000"/>
                <w:sz w:val="20"/>
              </w:rPr>
              <w:t>9318</w:t>
            </w:r>
            <w:r>
              <w:rPr>
                <w:rFonts w:ascii="SimHei" w:eastAsia="SimHei" w:hint="eastAsia"/>
                <w:bCs/>
                <w:color w:val="000000"/>
                <w:sz w:val="20"/>
              </w:rPr>
              <w:t>号法律</w:t>
            </w:r>
          </w:p>
        </w:tc>
        <w:tc>
          <w:tcPr>
            <w:tcW w:w="1922" w:type="pct"/>
          </w:tcPr>
          <w:p w:rsidR="00000000" w:rsidRDefault="004D2F83">
            <w:pPr>
              <w:pStyle w:val="NormalIndent"/>
              <w:spacing w:after="120" w:line="340" w:lineRule="exact"/>
              <w:ind w:firstLine="0"/>
              <w:rPr>
                <w:rFonts w:hint="eastAsia"/>
                <w:color w:val="000000"/>
                <w:sz w:val="20"/>
              </w:rPr>
            </w:pPr>
            <w:r>
              <w:rPr>
                <w:rFonts w:hint="eastAsia"/>
                <w:color w:val="000000"/>
                <w:sz w:val="20"/>
              </w:rPr>
              <w:t>对《刑法典》第</w:t>
            </w:r>
            <w:r>
              <w:rPr>
                <w:rFonts w:hint="eastAsia"/>
                <w:color w:val="000000"/>
                <w:sz w:val="20"/>
              </w:rPr>
              <w:t>61</w:t>
            </w:r>
            <w:r>
              <w:rPr>
                <w:rFonts w:hint="eastAsia"/>
                <w:color w:val="000000"/>
                <w:sz w:val="20"/>
              </w:rPr>
              <w:t>条第二款‘</w:t>
            </w:r>
            <w:r>
              <w:rPr>
                <w:rFonts w:hint="eastAsia"/>
                <w:color w:val="000000"/>
                <w:sz w:val="20"/>
              </w:rPr>
              <w:t>h</w:t>
            </w:r>
            <w:r>
              <w:rPr>
                <w:rFonts w:hint="eastAsia"/>
                <w:color w:val="000000"/>
                <w:sz w:val="20"/>
              </w:rPr>
              <w:t>’项作了修改。</w:t>
            </w:r>
          </w:p>
        </w:tc>
        <w:tc>
          <w:tcPr>
            <w:tcW w:w="2002" w:type="pct"/>
          </w:tcPr>
          <w:p w:rsidR="00000000" w:rsidRDefault="004D2F83">
            <w:pPr>
              <w:pStyle w:val="NormalIndent"/>
              <w:spacing w:after="120" w:line="340" w:lineRule="exact"/>
              <w:ind w:firstLine="0"/>
              <w:rPr>
                <w:rFonts w:hint="eastAsia"/>
                <w:sz w:val="20"/>
              </w:rPr>
            </w:pPr>
            <w:r>
              <w:rPr>
                <w:rFonts w:hint="eastAsia"/>
                <w:sz w:val="20"/>
              </w:rPr>
              <w:t>这项法律纳入了有关加刑、对孕妇实施的犯罪的有关规定。</w:t>
            </w: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color w:val="000000"/>
                <w:sz w:val="20"/>
              </w:rPr>
            </w:pPr>
            <w:r>
              <w:rPr>
                <w:rFonts w:ascii="SimHei" w:eastAsia="SimHei" w:hint="eastAsia"/>
                <w:bCs/>
                <w:color w:val="000000"/>
                <w:sz w:val="20"/>
              </w:rPr>
              <w:t>24</w:t>
            </w:r>
            <w:r>
              <w:rPr>
                <w:rFonts w:ascii="SimHei" w:eastAsia="SimHei" w:hint="eastAsia"/>
                <w:bCs/>
                <w:color w:val="000000"/>
                <w:sz w:val="20"/>
              </w:rPr>
              <w:t>．</w:t>
            </w:r>
            <w:r>
              <w:rPr>
                <w:rFonts w:ascii="SimHei" w:eastAsia="SimHei" w:hint="eastAsia"/>
                <w:bCs/>
                <w:color w:val="000000"/>
                <w:sz w:val="20"/>
              </w:rPr>
              <w:t>1996</w:t>
            </w:r>
            <w:r>
              <w:rPr>
                <w:rFonts w:ascii="SimHei" w:eastAsia="SimHei" w:hint="eastAsia"/>
                <w:bCs/>
                <w:color w:val="000000"/>
                <w:sz w:val="20"/>
              </w:rPr>
              <w:t>年</w:t>
            </w:r>
            <w:r>
              <w:rPr>
                <w:rFonts w:ascii="SimHei" w:eastAsia="SimHei" w:hint="eastAsia"/>
                <w:bCs/>
                <w:color w:val="000000"/>
                <w:sz w:val="20"/>
              </w:rPr>
              <w:t>12</w:t>
            </w:r>
            <w:r>
              <w:rPr>
                <w:rFonts w:ascii="SimHei" w:eastAsia="SimHei" w:hint="eastAsia"/>
                <w:bCs/>
                <w:color w:val="000000"/>
                <w:sz w:val="20"/>
              </w:rPr>
              <w:t>月</w:t>
            </w:r>
            <w:r>
              <w:rPr>
                <w:rFonts w:ascii="SimHei" w:eastAsia="SimHei" w:hint="eastAsia"/>
                <w:bCs/>
                <w:color w:val="000000"/>
                <w:sz w:val="20"/>
              </w:rPr>
              <w:t>20</w:t>
            </w:r>
            <w:r>
              <w:rPr>
                <w:rFonts w:ascii="SimHei" w:eastAsia="SimHei" w:hint="eastAsia"/>
                <w:bCs/>
                <w:color w:val="000000"/>
                <w:sz w:val="20"/>
              </w:rPr>
              <w:t>日第</w:t>
            </w:r>
            <w:r>
              <w:rPr>
                <w:rFonts w:ascii="SimHei" w:eastAsia="SimHei" w:hint="eastAsia"/>
                <w:bCs/>
                <w:color w:val="000000"/>
                <w:sz w:val="20"/>
              </w:rPr>
              <w:t>9394</w:t>
            </w:r>
            <w:r>
              <w:rPr>
                <w:rFonts w:ascii="SimHei" w:eastAsia="SimHei" w:hint="eastAsia"/>
                <w:bCs/>
                <w:color w:val="000000"/>
                <w:sz w:val="20"/>
              </w:rPr>
              <w:t>号法律</w:t>
            </w:r>
          </w:p>
        </w:tc>
        <w:tc>
          <w:tcPr>
            <w:tcW w:w="1922" w:type="pct"/>
          </w:tcPr>
          <w:p w:rsidR="00000000" w:rsidRDefault="004D2F83">
            <w:pPr>
              <w:pStyle w:val="NormalIndent"/>
              <w:spacing w:after="120" w:line="340" w:lineRule="exact"/>
              <w:ind w:firstLine="0"/>
              <w:rPr>
                <w:rFonts w:hint="eastAsia"/>
                <w:color w:val="000000"/>
                <w:sz w:val="20"/>
              </w:rPr>
            </w:pPr>
            <w:r>
              <w:rPr>
                <w:rFonts w:hint="eastAsia"/>
                <w:color w:val="000000"/>
                <w:sz w:val="20"/>
              </w:rPr>
              <w:t>制定了国民教育指导原则和基本方针。</w:t>
            </w:r>
          </w:p>
        </w:tc>
        <w:tc>
          <w:tcPr>
            <w:tcW w:w="2002" w:type="pct"/>
          </w:tcPr>
          <w:p w:rsidR="00000000" w:rsidRDefault="004D2F83">
            <w:pPr>
              <w:pStyle w:val="NormalIndent"/>
              <w:spacing w:after="120" w:line="340" w:lineRule="exact"/>
              <w:ind w:firstLine="0"/>
              <w:rPr>
                <w:rFonts w:hint="eastAsia"/>
                <w:sz w:val="20"/>
              </w:rPr>
            </w:pPr>
            <w:r>
              <w:rPr>
                <w:rFonts w:hint="eastAsia"/>
                <w:sz w:val="20"/>
              </w:rPr>
              <w:t>规定通过开办托儿所或</w:t>
            </w:r>
            <w:r>
              <w:rPr>
                <w:rFonts w:hint="eastAsia"/>
                <w:sz w:val="20"/>
              </w:rPr>
              <w:t>3</w:t>
            </w:r>
            <w:r>
              <w:rPr>
                <w:rFonts w:hint="eastAsia"/>
                <w:sz w:val="20"/>
              </w:rPr>
              <w:t>岁以下儿童的类似机构及</w:t>
            </w:r>
            <w:r>
              <w:rPr>
                <w:rFonts w:hint="eastAsia"/>
                <w:sz w:val="20"/>
              </w:rPr>
              <w:t>4</w:t>
            </w:r>
            <w:r>
              <w:rPr>
                <w:rFonts w:hint="eastAsia"/>
                <w:sz w:val="20"/>
              </w:rPr>
              <w:t>至</w:t>
            </w:r>
            <w:r>
              <w:rPr>
                <w:rFonts w:hint="eastAsia"/>
                <w:sz w:val="20"/>
              </w:rPr>
              <w:t>6</w:t>
            </w:r>
            <w:r>
              <w:rPr>
                <w:rFonts w:hint="eastAsia"/>
                <w:sz w:val="20"/>
              </w:rPr>
              <w:t>岁儿童的学龄前学校，提供早期</w:t>
            </w:r>
            <w:r>
              <w:rPr>
                <w:rFonts w:hint="eastAsia"/>
                <w:sz w:val="20"/>
              </w:rPr>
              <w:t>儿童教育。</w:t>
            </w: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color w:val="000000"/>
                <w:sz w:val="20"/>
              </w:rPr>
            </w:pPr>
            <w:r>
              <w:rPr>
                <w:rFonts w:ascii="SimHei" w:eastAsia="SimHei" w:hint="eastAsia"/>
                <w:bCs/>
                <w:color w:val="000000"/>
                <w:sz w:val="20"/>
              </w:rPr>
              <w:t>25</w:t>
            </w:r>
            <w:r>
              <w:rPr>
                <w:rFonts w:ascii="SimHei" w:eastAsia="SimHei" w:hint="eastAsia"/>
                <w:bCs/>
                <w:color w:val="000000"/>
                <w:sz w:val="20"/>
              </w:rPr>
              <w:t>．</w:t>
            </w:r>
            <w:r>
              <w:rPr>
                <w:rFonts w:ascii="SimHei" w:eastAsia="SimHei" w:hint="eastAsia"/>
                <w:bCs/>
                <w:color w:val="000000"/>
                <w:sz w:val="20"/>
              </w:rPr>
              <w:t>1997</w:t>
            </w:r>
            <w:r>
              <w:rPr>
                <w:rFonts w:ascii="SimHei" w:eastAsia="SimHei" w:hint="eastAsia"/>
                <w:bCs/>
                <w:color w:val="000000"/>
                <w:sz w:val="20"/>
              </w:rPr>
              <w:t>年</w:t>
            </w:r>
            <w:r>
              <w:rPr>
                <w:rFonts w:ascii="SimHei" w:eastAsia="SimHei" w:hint="eastAsia"/>
                <w:bCs/>
                <w:color w:val="000000"/>
                <w:sz w:val="20"/>
              </w:rPr>
              <w:t>4</w:t>
            </w:r>
            <w:r>
              <w:rPr>
                <w:rFonts w:ascii="SimHei" w:eastAsia="SimHei" w:hint="eastAsia"/>
                <w:bCs/>
                <w:color w:val="000000"/>
                <w:sz w:val="20"/>
              </w:rPr>
              <w:t>月</w:t>
            </w:r>
            <w:r>
              <w:rPr>
                <w:rFonts w:ascii="SimHei" w:eastAsia="SimHei" w:hint="eastAsia"/>
                <w:bCs/>
                <w:color w:val="000000"/>
                <w:sz w:val="20"/>
              </w:rPr>
              <w:t>7</w:t>
            </w:r>
            <w:r>
              <w:rPr>
                <w:rFonts w:ascii="SimHei" w:eastAsia="SimHei" w:hint="eastAsia"/>
                <w:bCs/>
                <w:color w:val="000000"/>
                <w:sz w:val="20"/>
              </w:rPr>
              <w:t>日第</w:t>
            </w:r>
            <w:r>
              <w:rPr>
                <w:rFonts w:ascii="SimHei" w:eastAsia="SimHei" w:hint="eastAsia"/>
                <w:bCs/>
                <w:color w:val="000000"/>
                <w:sz w:val="20"/>
              </w:rPr>
              <w:t>9455</w:t>
            </w:r>
            <w:r>
              <w:rPr>
                <w:rFonts w:ascii="SimHei" w:eastAsia="SimHei" w:hint="eastAsia"/>
                <w:bCs/>
                <w:color w:val="000000"/>
                <w:sz w:val="20"/>
              </w:rPr>
              <w:t>号法律</w:t>
            </w:r>
          </w:p>
        </w:tc>
        <w:tc>
          <w:tcPr>
            <w:tcW w:w="1922" w:type="pct"/>
          </w:tcPr>
          <w:p w:rsidR="00000000" w:rsidRDefault="004D2F83">
            <w:pPr>
              <w:pStyle w:val="NormalIndent"/>
              <w:spacing w:after="120" w:line="340" w:lineRule="exact"/>
              <w:ind w:firstLine="0"/>
              <w:rPr>
                <w:rFonts w:hint="eastAsia"/>
                <w:color w:val="000000"/>
                <w:sz w:val="20"/>
              </w:rPr>
            </w:pPr>
            <w:r>
              <w:rPr>
                <w:rFonts w:hint="eastAsia"/>
                <w:color w:val="000000"/>
                <w:sz w:val="20"/>
              </w:rPr>
              <w:t>特别对酷刑罪作了规定。</w:t>
            </w:r>
          </w:p>
        </w:tc>
        <w:tc>
          <w:tcPr>
            <w:tcW w:w="2002" w:type="pct"/>
          </w:tcPr>
          <w:p w:rsidR="00000000" w:rsidRDefault="004D2F83">
            <w:pPr>
              <w:pStyle w:val="NormalIndent"/>
              <w:spacing w:after="120" w:line="340" w:lineRule="exact"/>
              <w:ind w:firstLine="0"/>
              <w:rPr>
                <w:rFonts w:hint="eastAsia"/>
                <w:sz w:val="20"/>
              </w:rPr>
            </w:pPr>
            <w:r>
              <w:rPr>
                <w:rFonts w:hint="eastAsia"/>
                <w:sz w:val="20"/>
              </w:rPr>
              <w:t>界定了酷刑罪。（通过使用导致身体或精神痛苦的暴力进行约束。为调查、警方或行政问讯、法律诉讼的目的，迫使他人供认或提供信息或施以人身惩罚者，处以</w:t>
            </w:r>
            <w:r>
              <w:rPr>
                <w:rFonts w:hint="eastAsia"/>
                <w:sz w:val="20"/>
              </w:rPr>
              <w:t>2-5</w:t>
            </w:r>
            <w:r>
              <w:rPr>
                <w:rFonts w:hint="eastAsia"/>
                <w:sz w:val="20"/>
              </w:rPr>
              <w:t>年监禁和罚款（如犯罪行为人是公务员或担任公职者，加刑</w:t>
            </w:r>
            <w:r>
              <w:rPr>
                <w:rFonts w:hint="eastAsia"/>
                <w:sz w:val="20"/>
              </w:rPr>
              <w:t>1/3</w:t>
            </w:r>
            <w:r>
              <w:rPr>
                <w:rFonts w:hint="eastAsia"/>
                <w:sz w:val="20"/>
              </w:rPr>
              <w:t>）。</w:t>
            </w: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color w:val="000000"/>
                <w:sz w:val="20"/>
              </w:rPr>
            </w:pPr>
            <w:r>
              <w:rPr>
                <w:rFonts w:ascii="SimHei" w:eastAsia="SimHei" w:hint="eastAsia"/>
                <w:bCs/>
                <w:color w:val="000000"/>
                <w:sz w:val="20"/>
              </w:rPr>
              <w:t>26</w:t>
            </w:r>
            <w:r>
              <w:rPr>
                <w:rFonts w:ascii="SimHei" w:eastAsia="SimHei" w:hint="eastAsia"/>
                <w:bCs/>
                <w:color w:val="000000"/>
                <w:sz w:val="20"/>
              </w:rPr>
              <w:t>．</w:t>
            </w:r>
            <w:r>
              <w:rPr>
                <w:rFonts w:ascii="SimHei" w:eastAsia="SimHei" w:hint="eastAsia"/>
                <w:bCs/>
                <w:color w:val="000000"/>
                <w:sz w:val="20"/>
              </w:rPr>
              <w:t>1997</w:t>
            </w:r>
            <w:r>
              <w:rPr>
                <w:rFonts w:ascii="SimHei" w:eastAsia="SimHei" w:hint="eastAsia"/>
                <w:bCs/>
                <w:color w:val="000000"/>
                <w:sz w:val="20"/>
              </w:rPr>
              <w:t>年</w:t>
            </w:r>
            <w:r>
              <w:rPr>
                <w:rFonts w:ascii="SimHei" w:eastAsia="SimHei" w:hint="eastAsia"/>
                <w:bCs/>
                <w:color w:val="000000"/>
                <w:sz w:val="20"/>
              </w:rPr>
              <w:t>9</w:t>
            </w:r>
            <w:r>
              <w:rPr>
                <w:rFonts w:ascii="SimHei" w:eastAsia="SimHei" w:hint="eastAsia"/>
                <w:bCs/>
                <w:color w:val="000000"/>
                <w:sz w:val="20"/>
              </w:rPr>
              <w:t>月</w:t>
            </w:r>
            <w:r>
              <w:rPr>
                <w:rFonts w:ascii="SimHei" w:eastAsia="SimHei" w:hint="eastAsia"/>
                <w:bCs/>
                <w:color w:val="000000"/>
                <w:sz w:val="20"/>
              </w:rPr>
              <w:t>30</w:t>
            </w:r>
            <w:r>
              <w:rPr>
                <w:rFonts w:ascii="SimHei" w:eastAsia="SimHei" w:hint="eastAsia"/>
                <w:bCs/>
                <w:color w:val="000000"/>
                <w:sz w:val="20"/>
              </w:rPr>
              <w:t>日第</w:t>
            </w:r>
            <w:r>
              <w:rPr>
                <w:rFonts w:ascii="SimHei" w:eastAsia="SimHei" w:hint="eastAsia"/>
                <w:bCs/>
                <w:color w:val="000000"/>
                <w:sz w:val="20"/>
              </w:rPr>
              <w:t>9504</w:t>
            </w:r>
            <w:r>
              <w:rPr>
                <w:rFonts w:ascii="SimHei" w:eastAsia="SimHei" w:hint="eastAsia"/>
                <w:bCs/>
                <w:color w:val="000000"/>
                <w:sz w:val="20"/>
              </w:rPr>
              <w:t>号法律</w:t>
            </w:r>
          </w:p>
        </w:tc>
        <w:tc>
          <w:tcPr>
            <w:tcW w:w="1922" w:type="pct"/>
          </w:tcPr>
          <w:p w:rsidR="00000000" w:rsidRDefault="004D2F83">
            <w:pPr>
              <w:pStyle w:val="NormalIndent"/>
              <w:spacing w:after="120" w:line="340" w:lineRule="exact"/>
              <w:ind w:firstLine="0"/>
              <w:rPr>
                <w:rFonts w:hint="eastAsia"/>
                <w:color w:val="000000"/>
                <w:sz w:val="20"/>
              </w:rPr>
            </w:pPr>
            <w:r>
              <w:rPr>
                <w:rFonts w:hint="eastAsia"/>
                <w:color w:val="000000"/>
                <w:sz w:val="20"/>
              </w:rPr>
              <w:t>对选举规则作了规定。</w:t>
            </w:r>
          </w:p>
        </w:tc>
        <w:tc>
          <w:tcPr>
            <w:tcW w:w="2002" w:type="pct"/>
          </w:tcPr>
          <w:p w:rsidR="00000000" w:rsidRDefault="004D2F83">
            <w:pPr>
              <w:pStyle w:val="NormalIndent"/>
              <w:spacing w:after="120" w:line="340" w:lineRule="exact"/>
              <w:ind w:firstLine="0"/>
              <w:rPr>
                <w:rFonts w:hint="eastAsia"/>
                <w:sz w:val="20"/>
              </w:rPr>
            </w:pPr>
            <w:r>
              <w:rPr>
                <w:rFonts w:hint="eastAsia"/>
                <w:sz w:val="20"/>
              </w:rPr>
              <w:t>一般条款——登记候选人</w:t>
            </w:r>
          </w:p>
          <w:p w:rsidR="00000000" w:rsidRDefault="004D2F83">
            <w:pPr>
              <w:pStyle w:val="NormalIndent"/>
              <w:spacing w:after="120" w:line="340" w:lineRule="exact"/>
              <w:ind w:firstLine="0"/>
              <w:rPr>
                <w:rFonts w:hint="eastAsia"/>
                <w:sz w:val="20"/>
              </w:rPr>
            </w:pPr>
            <w:r>
              <w:rPr>
                <w:rFonts w:hint="eastAsia"/>
                <w:sz w:val="20"/>
              </w:rPr>
              <w:t>第</w:t>
            </w:r>
            <w:r>
              <w:rPr>
                <w:rFonts w:hint="eastAsia"/>
                <w:sz w:val="20"/>
              </w:rPr>
              <w:t>10</w:t>
            </w:r>
            <w:r>
              <w:rPr>
                <w:rFonts w:hint="eastAsia"/>
                <w:sz w:val="20"/>
              </w:rPr>
              <w:t>条</w:t>
            </w:r>
            <w:r>
              <w:rPr>
                <w:rFonts w:hint="eastAsia"/>
                <w:sz w:val="20"/>
              </w:rPr>
              <w:t>-</w:t>
            </w:r>
            <w:r>
              <w:rPr>
                <w:rFonts w:hint="eastAsia"/>
                <w:sz w:val="20"/>
              </w:rPr>
              <w:t>第</w:t>
            </w:r>
            <w:r>
              <w:rPr>
                <w:rFonts w:hint="eastAsia"/>
                <w:sz w:val="20"/>
              </w:rPr>
              <w:t>3</w:t>
            </w:r>
            <w:r>
              <w:rPr>
                <w:rFonts w:hint="eastAsia"/>
                <w:sz w:val="20"/>
              </w:rPr>
              <w:t>款。本条的三条规则规定了空缺职位数。每个政党或联盟中男女两性候选人的比例最少为</w:t>
            </w:r>
            <w:r>
              <w:rPr>
                <w:rFonts w:hint="eastAsia"/>
                <w:sz w:val="20"/>
              </w:rPr>
              <w:t>30%</w:t>
            </w:r>
            <w:r>
              <w:rPr>
                <w:rFonts w:hint="eastAsia"/>
                <w:sz w:val="20"/>
              </w:rPr>
              <w:t>，最多为</w:t>
            </w:r>
            <w:r>
              <w:rPr>
                <w:rFonts w:hint="eastAsia"/>
                <w:sz w:val="20"/>
              </w:rPr>
              <w:t>70%</w:t>
            </w:r>
            <w:r>
              <w:rPr>
                <w:rFonts w:hint="eastAsia"/>
                <w:sz w:val="20"/>
              </w:rPr>
              <w:t>。</w:t>
            </w:r>
          </w:p>
          <w:p w:rsidR="00000000" w:rsidRDefault="004D2F83">
            <w:pPr>
              <w:pStyle w:val="NormalIndent"/>
              <w:spacing w:after="120" w:line="340" w:lineRule="exact"/>
              <w:ind w:firstLine="0"/>
              <w:rPr>
                <w:rFonts w:hint="eastAsia"/>
                <w:spacing w:val="-4"/>
                <w:sz w:val="20"/>
              </w:rPr>
            </w:pPr>
            <w:r>
              <w:rPr>
                <w:rFonts w:hint="eastAsia"/>
                <w:spacing w:val="-4"/>
                <w:sz w:val="20"/>
              </w:rPr>
              <w:t>第</w:t>
            </w:r>
            <w:r>
              <w:rPr>
                <w:rFonts w:hint="eastAsia"/>
                <w:spacing w:val="-4"/>
                <w:sz w:val="20"/>
              </w:rPr>
              <w:t>16</w:t>
            </w:r>
            <w:r>
              <w:rPr>
                <w:rFonts w:hint="eastAsia"/>
                <w:spacing w:val="-4"/>
                <w:sz w:val="20"/>
              </w:rPr>
              <w:t>条。最</w:t>
            </w:r>
            <w:r>
              <w:rPr>
                <w:rFonts w:hint="eastAsia"/>
                <w:spacing w:val="-4"/>
                <w:sz w:val="20"/>
              </w:rPr>
              <w:t>迟在选举日前</w:t>
            </w:r>
            <w:r>
              <w:rPr>
                <w:rFonts w:hint="eastAsia"/>
                <w:spacing w:val="-4"/>
                <w:sz w:val="20"/>
              </w:rPr>
              <w:t>45</w:t>
            </w:r>
            <w:r>
              <w:rPr>
                <w:rFonts w:hint="eastAsia"/>
                <w:spacing w:val="-4"/>
                <w:sz w:val="20"/>
              </w:rPr>
              <w:t>天，地区选举法院应为收集数据和散发的目的，向上一级选举法院送交多数和按比例选举的候选人名单，其中必须列明他们的性别和现任职务。</w:t>
            </w:r>
          </w:p>
          <w:p w:rsidR="00000000" w:rsidRDefault="004D2F83">
            <w:pPr>
              <w:pStyle w:val="NormalIndent"/>
              <w:spacing w:after="120" w:line="340" w:lineRule="exact"/>
              <w:ind w:firstLine="0"/>
              <w:rPr>
                <w:rFonts w:hint="eastAsia"/>
                <w:sz w:val="20"/>
              </w:rPr>
            </w:pPr>
            <w:r>
              <w:rPr>
                <w:rFonts w:hint="eastAsia"/>
                <w:sz w:val="20"/>
              </w:rPr>
              <w:t>过渡条款：</w:t>
            </w:r>
          </w:p>
          <w:p w:rsidR="00000000" w:rsidRDefault="004D2F83">
            <w:pPr>
              <w:pStyle w:val="NormalIndent"/>
              <w:spacing w:after="120" w:line="340" w:lineRule="exact"/>
              <w:ind w:firstLine="0"/>
              <w:rPr>
                <w:rFonts w:hint="eastAsia"/>
                <w:sz w:val="20"/>
              </w:rPr>
            </w:pPr>
            <w:r>
              <w:rPr>
                <w:rFonts w:hint="eastAsia"/>
                <w:sz w:val="20"/>
              </w:rPr>
              <w:t>第</w:t>
            </w:r>
            <w:r>
              <w:rPr>
                <w:rFonts w:hint="eastAsia"/>
                <w:sz w:val="20"/>
              </w:rPr>
              <w:t>80</w:t>
            </w:r>
            <w:r>
              <w:rPr>
                <w:rFonts w:hint="eastAsia"/>
                <w:sz w:val="20"/>
              </w:rPr>
              <w:t>条。</w:t>
            </w:r>
            <w:r>
              <w:rPr>
                <w:rFonts w:hint="eastAsia"/>
                <w:sz w:val="20"/>
              </w:rPr>
              <w:t>1988</w:t>
            </w:r>
            <w:r>
              <w:rPr>
                <w:rFonts w:hint="eastAsia"/>
                <w:sz w:val="20"/>
              </w:rPr>
              <w:t>年的选举中，每个政党或联盟登记的候选人中男女两性的比例最低为</w:t>
            </w:r>
            <w:r>
              <w:rPr>
                <w:rFonts w:hint="eastAsia"/>
                <w:sz w:val="20"/>
              </w:rPr>
              <w:t>25%</w:t>
            </w:r>
            <w:r>
              <w:rPr>
                <w:rFonts w:hint="eastAsia"/>
                <w:sz w:val="20"/>
              </w:rPr>
              <w:t>，最多为</w:t>
            </w:r>
            <w:r>
              <w:rPr>
                <w:rFonts w:hint="eastAsia"/>
                <w:sz w:val="20"/>
              </w:rPr>
              <w:t>75%</w:t>
            </w:r>
            <w:r>
              <w:rPr>
                <w:rFonts w:hint="eastAsia"/>
                <w:sz w:val="20"/>
              </w:rPr>
              <w:t>。</w:t>
            </w: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color w:val="000000"/>
                <w:sz w:val="20"/>
              </w:rPr>
            </w:pPr>
            <w:r>
              <w:rPr>
                <w:rFonts w:ascii="SimHei" w:eastAsia="SimHei" w:hint="eastAsia"/>
                <w:bCs/>
                <w:color w:val="000000"/>
                <w:sz w:val="20"/>
              </w:rPr>
              <w:t>27</w:t>
            </w:r>
            <w:r>
              <w:rPr>
                <w:rFonts w:ascii="SimHei" w:eastAsia="SimHei" w:hint="eastAsia"/>
                <w:bCs/>
                <w:color w:val="000000"/>
                <w:sz w:val="20"/>
              </w:rPr>
              <w:t>．</w:t>
            </w:r>
            <w:r>
              <w:rPr>
                <w:rFonts w:ascii="SimHei" w:eastAsia="SimHei" w:hint="eastAsia"/>
                <w:bCs/>
                <w:color w:val="000000"/>
                <w:sz w:val="20"/>
              </w:rPr>
              <w:t>1997</w:t>
            </w:r>
            <w:r>
              <w:rPr>
                <w:rFonts w:ascii="SimHei" w:eastAsia="SimHei" w:hint="eastAsia"/>
                <w:bCs/>
                <w:color w:val="000000"/>
                <w:sz w:val="20"/>
              </w:rPr>
              <w:t>年</w:t>
            </w:r>
            <w:r>
              <w:rPr>
                <w:rFonts w:ascii="SimHei" w:eastAsia="SimHei" w:hint="eastAsia"/>
                <w:bCs/>
                <w:color w:val="000000"/>
                <w:sz w:val="20"/>
              </w:rPr>
              <w:t>11</w:t>
            </w:r>
            <w:r>
              <w:rPr>
                <w:rFonts w:ascii="SimHei" w:eastAsia="SimHei" w:hint="eastAsia"/>
                <w:bCs/>
                <w:color w:val="000000"/>
                <w:sz w:val="20"/>
              </w:rPr>
              <w:t>月</w:t>
            </w:r>
            <w:r>
              <w:rPr>
                <w:rFonts w:ascii="SimHei" w:eastAsia="SimHei" w:hint="eastAsia"/>
                <w:bCs/>
                <w:color w:val="000000"/>
                <w:sz w:val="20"/>
              </w:rPr>
              <w:t>27</w:t>
            </w:r>
            <w:r>
              <w:rPr>
                <w:rFonts w:ascii="SimHei" w:eastAsia="SimHei" w:hint="eastAsia"/>
                <w:bCs/>
                <w:color w:val="000000"/>
                <w:sz w:val="20"/>
              </w:rPr>
              <w:t>日第</w:t>
            </w:r>
            <w:r>
              <w:rPr>
                <w:rFonts w:ascii="SimHei" w:eastAsia="SimHei" w:hint="eastAsia"/>
                <w:bCs/>
                <w:color w:val="000000"/>
                <w:sz w:val="20"/>
              </w:rPr>
              <w:t>9520</w:t>
            </w:r>
            <w:r>
              <w:rPr>
                <w:rFonts w:ascii="SimHei" w:eastAsia="SimHei" w:hint="eastAsia"/>
                <w:bCs/>
                <w:color w:val="000000"/>
                <w:sz w:val="20"/>
              </w:rPr>
              <w:t>号法律</w:t>
            </w:r>
          </w:p>
        </w:tc>
        <w:tc>
          <w:tcPr>
            <w:tcW w:w="1922" w:type="pct"/>
          </w:tcPr>
          <w:p w:rsidR="00000000" w:rsidRDefault="004D2F83">
            <w:pPr>
              <w:pStyle w:val="NormalIndent"/>
              <w:spacing w:after="120" w:line="340" w:lineRule="exact"/>
              <w:ind w:firstLine="0"/>
              <w:rPr>
                <w:rFonts w:hint="eastAsia"/>
                <w:color w:val="000000"/>
                <w:sz w:val="20"/>
              </w:rPr>
            </w:pPr>
            <w:r>
              <w:rPr>
                <w:rFonts w:hint="eastAsia"/>
                <w:color w:val="000000"/>
                <w:sz w:val="20"/>
              </w:rPr>
              <w:t>废除了</w:t>
            </w:r>
            <w:r>
              <w:rPr>
                <w:rFonts w:hint="eastAsia"/>
                <w:color w:val="000000"/>
                <w:sz w:val="20"/>
              </w:rPr>
              <w:t>1941</w:t>
            </w:r>
            <w:r>
              <w:rPr>
                <w:rFonts w:hint="eastAsia"/>
                <w:color w:val="000000"/>
                <w:sz w:val="20"/>
              </w:rPr>
              <w:t>年</w:t>
            </w:r>
            <w:r>
              <w:rPr>
                <w:rFonts w:hint="eastAsia"/>
                <w:color w:val="000000"/>
                <w:sz w:val="20"/>
              </w:rPr>
              <w:t>10</w:t>
            </w:r>
            <w:r>
              <w:rPr>
                <w:rFonts w:hint="eastAsia"/>
                <w:color w:val="000000"/>
                <w:sz w:val="20"/>
              </w:rPr>
              <w:t>月</w:t>
            </w:r>
            <w:r>
              <w:rPr>
                <w:rFonts w:hint="eastAsia"/>
                <w:color w:val="000000"/>
                <w:sz w:val="20"/>
              </w:rPr>
              <w:t>3</w:t>
            </w:r>
            <w:r>
              <w:rPr>
                <w:rFonts w:hint="eastAsia"/>
                <w:color w:val="000000"/>
                <w:sz w:val="20"/>
              </w:rPr>
              <w:t>日第</w:t>
            </w:r>
            <w:r>
              <w:rPr>
                <w:rFonts w:hint="eastAsia"/>
                <w:color w:val="000000"/>
                <w:sz w:val="20"/>
              </w:rPr>
              <w:t>3689</w:t>
            </w:r>
            <w:r>
              <w:rPr>
                <w:rFonts w:hint="eastAsia"/>
                <w:color w:val="000000"/>
                <w:sz w:val="20"/>
              </w:rPr>
              <w:t>号行政法——《刑事诉讼法》关于妇女投诉或索赔的权利的规定。</w:t>
            </w:r>
          </w:p>
        </w:tc>
        <w:tc>
          <w:tcPr>
            <w:tcW w:w="2002" w:type="pct"/>
          </w:tcPr>
          <w:p w:rsidR="00000000" w:rsidRDefault="004D2F83">
            <w:pPr>
              <w:pStyle w:val="NormalIndent"/>
              <w:spacing w:after="120" w:line="340" w:lineRule="exact"/>
              <w:ind w:firstLine="0"/>
              <w:rPr>
                <w:rFonts w:hint="eastAsia"/>
                <w:sz w:val="20"/>
              </w:rPr>
            </w:pPr>
            <w:r>
              <w:rPr>
                <w:rFonts w:hint="eastAsia"/>
                <w:sz w:val="20"/>
              </w:rPr>
              <w:t>对妇女投诉或索赔的权利作了规定。</w:t>
            </w: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color w:val="000000"/>
                <w:sz w:val="20"/>
              </w:rPr>
            </w:pPr>
            <w:r>
              <w:rPr>
                <w:rFonts w:ascii="SimHei" w:eastAsia="SimHei" w:hint="eastAsia"/>
                <w:bCs/>
                <w:color w:val="000000"/>
                <w:sz w:val="20"/>
              </w:rPr>
              <w:t>28</w:t>
            </w:r>
            <w:r>
              <w:rPr>
                <w:rFonts w:ascii="SimHei" w:eastAsia="SimHei" w:hint="eastAsia"/>
                <w:bCs/>
                <w:color w:val="000000"/>
                <w:sz w:val="20"/>
              </w:rPr>
              <w:t>．</w:t>
            </w:r>
            <w:r>
              <w:rPr>
                <w:rFonts w:ascii="SimHei" w:eastAsia="SimHei" w:hint="eastAsia"/>
                <w:bCs/>
                <w:color w:val="000000"/>
                <w:sz w:val="20"/>
              </w:rPr>
              <w:t>1998</w:t>
            </w:r>
            <w:r>
              <w:rPr>
                <w:rFonts w:ascii="SimHei" w:eastAsia="SimHei" w:hint="eastAsia"/>
                <w:bCs/>
                <w:color w:val="000000"/>
                <w:sz w:val="20"/>
              </w:rPr>
              <w:t>年</w:t>
            </w:r>
            <w:r>
              <w:rPr>
                <w:rFonts w:ascii="SimHei" w:eastAsia="SimHei" w:hint="eastAsia"/>
                <w:bCs/>
                <w:color w:val="000000"/>
                <w:sz w:val="20"/>
              </w:rPr>
              <w:t>1</w:t>
            </w:r>
            <w:r>
              <w:rPr>
                <w:rFonts w:ascii="SimHei" w:eastAsia="SimHei" w:hint="eastAsia"/>
                <w:bCs/>
                <w:color w:val="000000"/>
                <w:sz w:val="20"/>
              </w:rPr>
              <w:t>月</w:t>
            </w:r>
            <w:r>
              <w:rPr>
                <w:rFonts w:ascii="SimHei" w:eastAsia="SimHei" w:hint="eastAsia"/>
                <w:bCs/>
                <w:color w:val="000000"/>
                <w:sz w:val="20"/>
              </w:rPr>
              <w:t>21</w:t>
            </w:r>
            <w:r>
              <w:rPr>
                <w:rFonts w:ascii="SimHei" w:eastAsia="SimHei" w:hint="eastAsia"/>
                <w:bCs/>
                <w:color w:val="000000"/>
                <w:sz w:val="20"/>
              </w:rPr>
              <w:t>日第</w:t>
            </w:r>
            <w:r>
              <w:rPr>
                <w:rFonts w:ascii="SimHei" w:eastAsia="SimHei" w:hint="eastAsia"/>
                <w:bCs/>
                <w:color w:val="000000"/>
                <w:sz w:val="20"/>
              </w:rPr>
              <w:t>9601</w:t>
            </w:r>
            <w:r>
              <w:rPr>
                <w:rFonts w:ascii="SimHei" w:eastAsia="SimHei" w:hint="eastAsia"/>
                <w:bCs/>
                <w:color w:val="000000"/>
                <w:sz w:val="20"/>
              </w:rPr>
              <w:t>号法律</w:t>
            </w:r>
          </w:p>
        </w:tc>
        <w:tc>
          <w:tcPr>
            <w:tcW w:w="1922" w:type="pct"/>
          </w:tcPr>
          <w:p w:rsidR="00000000" w:rsidRDefault="004D2F83">
            <w:pPr>
              <w:pStyle w:val="NormalIndent"/>
              <w:spacing w:after="120" w:line="340" w:lineRule="exact"/>
              <w:ind w:firstLine="0"/>
              <w:rPr>
                <w:rFonts w:hint="eastAsia"/>
                <w:color w:val="000000"/>
                <w:sz w:val="20"/>
              </w:rPr>
            </w:pPr>
            <w:r>
              <w:rPr>
                <w:rFonts w:hint="eastAsia"/>
                <w:color w:val="000000"/>
                <w:sz w:val="20"/>
              </w:rPr>
              <w:t>对不定期劳动合同作了规定。</w:t>
            </w:r>
          </w:p>
        </w:tc>
        <w:tc>
          <w:tcPr>
            <w:tcW w:w="2002" w:type="pct"/>
          </w:tcPr>
          <w:p w:rsidR="00000000" w:rsidRDefault="004D2F83">
            <w:pPr>
              <w:pStyle w:val="NormalIndent"/>
              <w:spacing w:after="120" w:line="340" w:lineRule="exact"/>
              <w:ind w:firstLine="0"/>
              <w:rPr>
                <w:rFonts w:hint="eastAsia"/>
                <w:sz w:val="20"/>
              </w:rPr>
            </w:pPr>
            <w:r>
              <w:rPr>
                <w:rFonts w:hint="eastAsia"/>
                <w:sz w:val="20"/>
              </w:rPr>
              <w:t>规</w:t>
            </w:r>
            <w:r>
              <w:rPr>
                <w:rFonts w:hint="eastAsia"/>
                <w:sz w:val="20"/>
              </w:rPr>
              <w:t>定临时合同最短为三个月，可以延期两年。</w:t>
            </w:r>
            <w:r>
              <w:rPr>
                <w:rStyle w:val="FootnoteReference"/>
                <w:sz w:val="20"/>
              </w:rPr>
              <w:footnoteReference w:customMarkFollows="1" w:id="34"/>
              <w:t>34</w:t>
            </w: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color w:val="000000"/>
                <w:sz w:val="20"/>
              </w:rPr>
            </w:pPr>
            <w:r>
              <w:rPr>
                <w:rFonts w:ascii="SimHei" w:eastAsia="SimHei" w:hint="eastAsia"/>
                <w:bCs/>
                <w:color w:val="000000"/>
                <w:sz w:val="20"/>
              </w:rPr>
              <w:t>29</w:t>
            </w:r>
            <w:r>
              <w:rPr>
                <w:rFonts w:ascii="SimHei" w:eastAsia="SimHei" w:hint="eastAsia"/>
                <w:bCs/>
                <w:color w:val="000000"/>
                <w:sz w:val="20"/>
              </w:rPr>
              <w:t>．</w:t>
            </w:r>
            <w:r>
              <w:rPr>
                <w:rFonts w:ascii="SimHei" w:eastAsia="SimHei" w:hint="eastAsia"/>
                <w:bCs/>
                <w:color w:val="000000"/>
                <w:sz w:val="20"/>
              </w:rPr>
              <w:t>1998</w:t>
            </w:r>
            <w:r>
              <w:rPr>
                <w:rFonts w:ascii="SimHei" w:eastAsia="SimHei" w:hint="eastAsia"/>
                <w:bCs/>
                <w:color w:val="000000"/>
                <w:sz w:val="20"/>
              </w:rPr>
              <w:t>年</w:t>
            </w:r>
            <w:r>
              <w:rPr>
                <w:rFonts w:ascii="SimHei" w:eastAsia="SimHei" w:hint="eastAsia"/>
                <w:bCs/>
                <w:color w:val="000000"/>
                <w:sz w:val="20"/>
              </w:rPr>
              <w:t>11</w:t>
            </w:r>
            <w:r>
              <w:rPr>
                <w:rFonts w:ascii="SimHei" w:eastAsia="SimHei" w:hint="eastAsia"/>
                <w:bCs/>
                <w:color w:val="000000"/>
                <w:sz w:val="20"/>
              </w:rPr>
              <w:t>月第</w:t>
            </w:r>
            <w:r>
              <w:rPr>
                <w:rFonts w:ascii="SimHei" w:eastAsia="SimHei" w:hint="eastAsia"/>
                <w:bCs/>
                <w:color w:val="000000"/>
                <w:sz w:val="20"/>
              </w:rPr>
              <w:t>9713</w:t>
            </w:r>
            <w:r>
              <w:rPr>
                <w:rFonts w:ascii="SimHei" w:eastAsia="SimHei" w:hint="eastAsia"/>
                <w:bCs/>
                <w:color w:val="000000"/>
                <w:sz w:val="20"/>
              </w:rPr>
              <w:t>号法律</w:t>
            </w:r>
          </w:p>
        </w:tc>
        <w:tc>
          <w:tcPr>
            <w:tcW w:w="1922" w:type="pct"/>
          </w:tcPr>
          <w:p w:rsidR="00000000" w:rsidRDefault="004D2F83">
            <w:pPr>
              <w:pStyle w:val="NormalIndent"/>
              <w:spacing w:after="120" w:line="340" w:lineRule="exact"/>
              <w:ind w:firstLine="0"/>
              <w:rPr>
                <w:rFonts w:hint="eastAsia"/>
                <w:color w:val="000000"/>
                <w:sz w:val="20"/>
              </w:rPr>
            </w:pPr>
            <w:r>
              <w:rPr>
                <w:rFonts w:hint="eastAsia"/>
                <w:color w:val="000000"/>
                <w:sz w:val="20"/>
              </w:rPr>
              <w:t>特别对</w:t>
            </w:r>
            <w:r>
              <w:rPr>
                <w:rFonts w:hint="eastAsia"/>
                <w:color w:val="000000"/>
                <w:sz w:val="20"/>
              </w:rPr>
              <w:t>1997</w:t>
            </w:r>
            <w:r>
              <w:rPr>
                <w:rFonts w:hint="eastAsia"/>
                <w:color w:val="000000"/>
                <w:sz w:val="20"/>
              </w:rPr>
              <w:t>年</w:t>
            </w:r>
            <w:r>
              <w:rPr>
                <w:rFonts w:hint="eastAsia"/>
                <w:color w:val="000000"/>
                <w:sz w:val="20"/>
              </w:rPr>
              <w:t>10</w:t>
            </w:r>
            <w:r>
              <w:rPr>
                <w:rFonts w:hint="eastAsia"/>
                <w:color w:val="000000"/>
                <w:sz w:val="20"/>
              </w:rPr>
              <w:t>月</w:t>
            </w:r>
            <w:r>
              <w:rPr>
                <w:rFonts w:hint="eastAsia"/>
                <w:color w:val="000000"/>
                <w:sz w:val="20"/>
              </w:rPr>
              <w:t>14</w:t>
            </w:r>
            <w:r>
              <w:rPr>
                <w:rFonts w:hint="eastAsia"/>
                <w:color w:val="000000"/>
                <w:sz w:val="20"/>
              </w:rPr>
              <w:t>日第</w:t>
            </w:r>
            <w:r>
              <w:rPr>
                <w:rFonts w:hint="eastAsia"/>
                <w:color w:val="000000"/>
                <w:sz w:val="20"/>
              </w:rPr>
              <w:t>6450</w:t>
            </w:r>
            <w:r>
              <w:rPr>
                <w:rFonts w:hint="eastAsia"/>
                <w:color w:val="000000"/>
                <w:sz w:val="20"/>
              </w:rPr>
              <w:t>号法律的规定作了修改。</w:t>
            </w:r>
          </w:p>
        </w:tc>
        <w:tc>
          <w:tcPr>
            <w:tcW w:w="2002" w:type="pct"/>
          </w:tcPr>
          <w:p w:rsidR="00000000" w:rsidRDefault="004D2F83">
            <w:pPr>
              <w:pStyle w:val="NormalIndent"/>
              <w:spacing w:after="120" w:line="340" w:lineRule="exact"/>
              <w:ind w:firstLine="0"/>
              <w:rPr>
                <w:rFonts w:hint="eastAsia"/>
                <w:sz w:val="20"/>
              </w:rPr>
            </w:pPr>
            <w:r>
              <w:rPr>
                <w:rFonts w:hint="eastAsia"/>
                <w:sz w:val="20"/>
              </w:rPr>
              <w:t>规定了联邦区宪兵的基本组织结构（旨在使男女警官统一起来）。</w:t>
            </w: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color w:val="000000"/>
                <w:sz w:val="20"/>
              </w:rPr>
            </w:pPr>
            <w:r>
              <w:rPr>
                <w:rFonts w:ascii="SimHei" w:eastAsia="SimHei" w:hint="eastAsia"/>
                <w:bCs/>
                <w:color w:val="000000"/>
                <w:sz w:val="20"/>
              </w:rPr>
              <w:t>30</w:t>
            </w:r>
            <w:r>
              <w:rPr>
                <w:rFonts w:ascii="SimHei" w:eastAsia="SimHei" w:hint="eastAsia"/>
                <w:bCs/>
                <w:color w:val="000000"/>
                <w:sz w:val="20"/>
              </w:rPr>
              <w:t>．</w:t>
            </w:r>
            <w:r>
              <w:rPr>
                <w:rFonts w:ascii="SimHei" w:eastAsia="SimHei" w:hint="eastAsia"/>
                <w:bCs/>
                <w:color w:val="000000"/>
                <w:sz w:val="20"/>
              </w:rPr>
              <w:t>1998</w:t>
            </w:r>
            <w:r>
              <w:rPr>
                <w:rFonts w:ascii="SimHei" w:eastAsia="SimHei" w:hint="eastAsia"/>
                <w:bCs/>
                <w:color w:val="000000"/>
                <w:sz w:val="20"/>
              </w:rPr>
              <w:t>年</w:t>
            </w:r>
            <w:r>
              <w:rPr>
                <w:rFonts w:ascii="SimHei" w:eastAsia="SimHei" w:hint="eastAsia"/>
                <w:bCs/>
                <w:color w:val="000000"/>
                <w:sz w:val="20"/>
              </w:rPr>
              <w:t>12</w:t>
            </w:r>
            <w:r>
              <w:rPr>
                <w:rFonts w:ascii="SimHei" w:eastAsia="SimHei" w:hint="eastAsia"/>
                <w:bCs/>
                <w:color w:val="000000"/>
                <w:sz w:val="20"/>
              </w:rPr>
              <w:t>月第</w:t>
            </w:r>
            <w:r>
              <w:rPr>
                <w:rFonts w:ascii="SimHei" w:eastAsia="SimHei" w:hint="eastAsia"/>
                <w:bCs/>
                <w:color w:val="000000"/>
                <w:sz w:val="20"/>
              </w:rPr>
              <w:t>20</w:t>
            </w:r>
            <w:r>
              <w:rPr>
                <w:rFonts w:ascii="SimHei" w:eastAsia="SimHei" w:hint="eastAsia"/>
                <w:bCs/>
                <w:color w:val="000000"/>
                <w:sz w:val="20"/>
              </w:rPr>
              <w:t>号宪法修正案</w:t>
            </w:r>
          </w:p>
        </w:tc>
        <w:tc>
          <w:tcPr>
            <w:tcW w:w="1922" w:type="pct"/>
          </w:tcPr>
          <w:p w:rsidR="00000000" w:rsidRDefault="004D2F83">
            <w:pPr>
              <w:pStyle w:val="NormalIndent"/>
              <w:spacing w:after="120" w:line="340" w:lineRule="exact"/>
              <w:ind w:firstLine="0"/>
              <w:rPr>
                <w:rFonts w:hint="eastAsia"/>
                <w:color w:val="000000"/>
                <w:sz w:val="20"/>
              </w:rPr>
            </w:pPr>
            <w:r>
              <w:rPr>
                <w:rFonts w:hint="eastAsia"/>
                <w:color w:val="000000"/>
                <w:sz w:val="20"/>
              </w:rPr>
              <w:t>对一般社会保障系统作了规定。</w:t>
            </w:r>
          </w:p>
        </w:tc>
        <w:tc>
          <w:tcPr>
            <w:tcW w:w="2002" w:type="pct"/>
          </w:tcPr>
          <w:p w:rsidR="00000000" w:rsidRDefault="004D2F83">
            <w:pPr>
              <w:pStyle w:val="NormalIndent"/>
              <w:spacing w:after="120" w:line="340" w:lineRule="exact"/>
              <w:ind w:firstLine="0"/>
              <w:rPr>
                <w:rFonts w:hint="eastAsia"/>
                <w:sz w:val="20"/>
              </w:rPr>
            </w:pPr>
            <w:r>
              <w:rPr>
                <w:rFonts w:hint="eastAsia"/>
                <w:sz w:val="20"/>
              </w:rPr>
              <w:t>特别对妇女退休的权利作了改动，对一般社会保障系统作了规定。</w:t>
            </w:r>
            <w:r>
              <w:rPr>
                <w:rStyle w:val="FootnoteReference"/>
                <w:sz w:val="20"/>
              </w:rPr>
              <w:footnoteReference w:customMarkFollows="1" w:id="35"/>
              <w:t>35</w:t>
            </w: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color w:val="000000"/>
                <w:sz w:val="20"/>
              </w:rPr>
            </w:pPr>
            <w:r>
              <w:rPr>
                <w:rFonts w:ascii="SimHei" w:eastAsia="SimHei" w:hint="eastAsia"/>
                <w:bCs/>
                <w:color w:val="000000"/>
                <w:sz w:val="20"/>
              </w:rPr>
              <w:t>31</w:t>
            </w:r>
            <w:r>
              <w:rPr>
                <w:rFonts w:ascii="SimHei" w:eastAsia="SimHei" w:hint="eastAsia"/>
                <w:bCs/>
                <w:color w:val="000000"/>
                <w:sz w:val="20"/>
              </w:rPr>
              <w:t>．</w:t>
            </w:r>
            <w:r>
              <w:rPr>
                <w:rFonts w:ascii="SimHei" w:eastAsia="SimHei" w:hint="eastAsia"/>
                <w:bCs/>
                <w:color w:val="000000"/>
                <w:sz w:val="20"/>
              </w:rPr>
              <w:t>1999</w:t>
            </w:r>
            <w:r>
              <w:rPr>
                <w:rFonts w:ascii="SimHei" w:eastAsia="SimHei" w:hint="eastAsia"/>
                <w:bCs/>
                <w:color w:val="000000"/>
                <w:sz w:val="20"/>
              </w:rPr>
              <w:t>年</w:t>
            </w:r>
            <w:r>
              <w:rPr>
                <w:rFonts w:ascii="SimHei" w:eastAsia="SimHei" w:hint="eastAsia"/>
                <w:bCs/>
                <w:color w:val="000000"/>
                <w:sz w:val="20"/>
              </w:rPr>
              <w:t>5</w:t>
            </w:r>
            <w:r>
              <w:rPr>
                <w:rFonts w:ascii="SimHei" w:eastAsia="SimHei" w:hint="eastAsia"/>
                <w:bCs/>
                <w:color w:val="000000"/>
                <w:sz w:val="20"/>
              </w:rPr>
              <w:t>月</w:t>
            </w:r>
            <w:r>
              <w:rPr>
                <w:rFonts w:ascii="SimHei" w:eastAsia="SimHei" w:hint="eastAsia"/>
                <w:bCs/>
                <w:color w:val="000000"/>
                <w:sz w:val="20"/>
              </w:rPr>
              <w:t>6</w:t>
            </w:r>
            <w:r>
              <w:rPr>
                <w:rFonts w:ascii="SimHei" w:eastAsia="SimHei" w:hint="eastAsia"/>
                <w:bCs/>
                <w:color w:val="000000"/>
                <w:sz w:val="20"/>
              </w:rPr>
              <w:t>日第</w:t>
            </w:r>
            <w:r>
              <w:rPr>
                <w:rFonts w:ascii="SimHei" w:eastAsia="SimHei" w:hint="eastAsia"/>
                <w:bCs/>
                <w:color w:val="000000"/>
                <w:sz w:val="20"/>
              </w:rPr>
              <w:t>9797</w:t>
            </w:r>
            <w:r>
              <w:rPr>
                <w:rFonts w:ascii="SimHei" w:eastAsia="SimHei" w:hint="eastAsia"/>
                <w:bCs/>
                <w:color w:val="000000"/>
                <w:sz w:val="20"/>
              </w:rPr>
              <w:t>号法律</w:t>
            </w:r>
          </w:p>
        </w:tc>
        <w:tc>
          <w:tcPr>
            <w:tcW w:w="1922" w:type="pct"/>
          </w:tcPr>
          <w:p w:rsidR="00000000" w:rsidRDefault="004D2F83">
            <w:pPr>
              <w:pStyle w:val="NormalIndent"/>
              <w:spacing w:after="120" w:line="340" w:lineRule="exact"/>
              <w:ind w:firstLine="0"/>
              <w:rPr>
                <w:rFonts w:hint="eastAsia"/>
                <w:color w:val="000000"/>
                <w:sz w:val="20"/>
              </w:rPr>
            </w:pPr>
            <w:r>
              <w:rPr>
                <w:rFonts w:hint="eastAsia"/>
                <w:color w:val="000000"/>
                <w:sz w:val="20"/>
              </w:rPr>
              <w:t>对属于单一卫生系统的医院在治疗癌症切除乳房的情况下施行乳房整形手术时的责任作了规定。</w:t>
            </w:r>
          </w:p>
        </w:tc>
        <w:tc>
          <w:tcPr>
            <w:tcW w:w="2002" w:type="pct"/>
          </w:tcPr>
          <w:p w:rsidR="00000000" w:rsidRDefault="004D2F83">
            <w:pPr>
              <w:pStyle w:val="NormalIndent"/>
              <w:spacing w:after="120" w:line="340" w:lineRule="exact"/>
              <w:ind w:firstLine="0"/>
              <w:rPr>
                <w:rFonts w:hint="eastAsia"/>
                <w:sz w:val="20"/>
              </w:rPr>
            </w:pPr>
            <w:r>
              <w:rPr>
                <w:rFonts w:hint="eastAsia"/>
                <w:sz w:val="20"/>
              </w:rPr>
              <w:t>因采用治疗癌症技术而导致乳房被部分或</w:t>
            </w:r>
            <w:r>
              <w:rPr>
                <w:rFonts w:hint="eastAsia"/>
                <w:sz w:val="20"/>
              </w:rPr>
              <w:t>全部切除的妇女有权接受乳房整形手术。</w:t>
            </w:r>
          </w:p>
        </w:tc>
      </w:tr>
      <w:tr w:rsidR="00000000">
        <w:tblPrEx>
          <w:tblCellMar>
            <w:top w:w="0" w:type="dxa"/>
            <w:bottom w:w="0" w:type="dxa"/>
          </w:tblCellMar>
        </w:tblPrEx>
        <w:tc>
          <w:tcPr>
            <w:tcW w:w="1077" w:type="pct"/>
          </w:tcPr>
          <w:p w:rsidR="00000000" w:rsidRDefault="004D2F83">
            <w:pPr>
              <w:pStyle w:val="NormalIndent"/>
              <w:spacing w:after="120" w:line="340" w:lineRule="exact"/>
              <w:ind w:firstLine="0"/>
              <w:rPr>
                <w:rFonts w:ascii="SimHei" w:eastAsia="SimHei" w:hint="eastAsia"/>
                <w:bCs/>
                <w:color w:val="000000"/>
                <w:sz w:val="20"/>
              </w:rPr>
            </w:pPr>
            <w:r>
              <w:rPr>
                <w:rFonts w:ascii="SimHei" w:eastAsia="SimHei" w:hint="eastAsia"/>
                <w:bCs/>
                <w:color w:val="000000"/>
                <w:sz w:val="20"/>
              </w:rPr>
              <w:t>32</w:t>
            </w:r>
            <w:r>
              <w:rPr>
                <w:rFonts w:ascii="SimHei" w:eastAsia="SimHei" w:hint="eastAsia"/>
                <w:bCs/>
                <w:color w:val="000000"/>
                <w:sz w:val="20"/>
              </w:rPr>
              <w:t>．</w:t>
            </w:r>
            <w:r>
              <w:rPr>
                <w:rFonts w:ascii="SimHei" w:eastAsia="SimHei" w:hint="eastAsia"/>
                <w:bCs/>
                <w:color w:val="000000"/>
                <w:sz w:val="20"/>
              </w:rPr>
              <w:t>1999</w:t>
            </w:r>
            <w:r>
              <w:rPr>
                <w:rFonts w:ascii="SimHei" w:eastAsia="SimHei" w:hint="eastAsia"/>
                <w:bCs/>
                <w:color w:val="000000"/>
                <w:sz w:val="20"/>
              </w:rPr>
              <w:t>年</w:t>
            </w:r>
            <w:r>
              <w:rPr>
                <w:rFonts w:ascii="SimHei" w:eastAsia="SimHei" w:hint="eastAsia"/>
                <w:bCs/>
                <w:color w:val="000000"/>
                <w:sz w:val="20"/>
              </w:rPr>
              <w:t>5</w:t>
            </w:r>
            <w:r>
              <w:rPr>
                <w:rFonts w:ascii="SimHei" w:eastAsia="SimHei" w:hint="eastAsia"/>
                <w:bCs/>
                <w:color w:val="000000"/>
                <w:sz w:val="20"/>
              </w:rPr>
              <w:t>月</w:t>
            </w:r>
            <w:r>
              <w:rPr>
                <w:rFonts w:ascii="SimHei" w:eastAsia="SimHei" w:hint="eastAsia"/>
                <w:bCs/>
                <w:color w:val="000000"/>
                <w:sz w:val="20"/>
              </w:rPr>
              <w:t>26</w:t>
            </w:r>
            <w:r>
              <w:rPr>
                <w:rFonts w:ascii="SimHei" w:eastAsia="SimHei" w:hint="eastAsia"/>
                <w:bCs/>
                <w:color w:val="000000"/>
                <w:sz w:val="20"/>
              </w:rPr>
              <w:t>日第</w:t>
            </w:r>
            <w:r>
              <w:rPr>
                <w:rFonts w:ascii="SimHei" w:eastAsia="SimHei" w:hint="eastAsia"/>
                <w:bCs/>
                <w:color w:val="000000"/>
                <w:sz w:val="20"/>
              </w:rPr>
              <w:t>9799</w:t>
            </w:r>
            <w:r>
              <w:rPr>
                <w:rFonts w:ascii="SimHei" w:eastAsia="SimHei" w:hint="eastAsia"/>
                <w:bCs/>
                <w:color w:val="000000"/>
                <w:sz w:val="20"/>
              </w:rPr>
              <w:t>号法律</w:t>
            </w:r>
          </w:p>
        </w:tc>
        <w:tc>
          <w:tcPr>
            <w:tcW w:w="1922" w:type="pct"/>
          </w:tcPr>
          <w:p w:rsidR="00000000" w:rsidRDefault="004D2F83">
            <w:pPr>
              <w:pStyle w:val="NormalIndent"/>
              <w:spacing w:after="120" w:line="340" w:lineRule="exact"/>
              <w:ind w:firstLine="0"/>
              <w:rPr>
                <w:rFonts w:hint="eastAsia"/>
                <w:color w:val="000000"/>
                <w:sz w:val="20"/>
              </w:rPr>
            </w:pPr>
            <w:r>
              <w:rPr>
                <w:rFonts w:hint="eastAsia"/>
                <w:color w:val="000000"/>
                <w:sz w:val="20"/>
              </w:rPr>
              <w:t>在《劳动法》中特别加入有关妇女进入劳动力市场的规定。</w:t>
            </w:r>
          </w:p>
        </w:tc>
        <w:tc>
          <w:tcPr>
            <w:tcW w:w="2002" w:type="pct"/>
          </w:tcPr>
          <w:p w:rsidR="00000000" w:rsidRDefault="004D2F83">
            <w:pPr>
              <w:pStyle w:val="NormalIndent"/>
              <w:spacing w:after="120" w:line="340" w:lineRule="exact"/>
              <w:ind w:firstLine="0"/>
              <w:rPr>
                <w:rFonts w:hint="eastAsia"/>
                <w:sz w:val="20"/>
              </w:rPr>
            </w:pPr>
            <w:r>
              <w:rPr>
                <w:rFonts w:hint="eastAsia"/>
                <w:sz w:val="20"/>
              </w:rPr>
              <w:t>通过</w:t>
            </w:r>
            <w:r>
              <w:rPr>
                <w:rFonts w:hint="eastAsia"/>
                <w:sz w:val="20"/>
              </w:rPr>
              <w:t>1943</w:t>
            </w:r>
            <w:r>
              <w:rPr>
                <w:rFonts w:hint="eastAsia"/>
                <w:sz w:val="20"/>
              </w:rPr>
              <w:t>年</w:t>
            </w:r>
            <w:r>
              <w:rPr>
                <w:rFonts w:hint="eastAsia"/>
                <w:sz w:val="20"/>
              </w:rPr>
              <w:t>5</w:t>
            </w:r>
            <w:r>
              <w:rPr>
                <w:rFonts w:hint="eastAsia"/>
                <w:sz w:val="20"/>
              </w:rPr>
              <w:t>月</w:t>
            </w:r>
            <w:r>
              <w:rPr>
                <w:rFonts w:hint="eastAsia"/>
                <w:sz w:val="20"/>
              </w:rPr>
              <w:t>1</w:t>
            </w:r>
            <w:r>
              <w:rPr>
                <w:rFonts w:hint="eastAsia"/>
                <w:sz w:val="20"/>
              </w:rPr>
              <w:t>日第</w:t>
            </w:r>
            <w:r>
              <w:rPr>
                <w:rFonts w:hint="eastAsia"/>
                <w:sz w:val="20"/>
              </w:rPr>
              <w:t>5452</w:t>
            </w:r>
            <w:r>
              <w:rPr>
                <w:rFonts w:hint="eastAsia"/>
                <w:sz w:val="20"/>
              </w:rPr>
              <w:t>号行政法律批准了《劳动法》，在以下方面作了改动：期限、劳动条件和对妇女的歧视。部分内容被否决。</w:t>
            </w:r>
            <w:r>
              <w:rPr>
                <w:rStyle w:val="FootnoteReference"/>
                <w:sz w:val="20"/>
              </w:rPr>
              <w:footnoteReference w:customMarkFollows="1" w:id="36"/>
              <w:t>36</w:t>
            </w:r>
          </w:p>
        </w:tc>
      </w:tr>
      <w:tr w:rsidR="00000000">
        <w:tblPrEx>
          <w:tblCellMar>
            <w:top w:w="0" w:type="dxa"/>
            <w:bottom w:w="0" w:type="dxa"/>
          </w:tblCellMar>
        </w:tblPrEx>
        <w:tc>
          <w:tcPr>
            <w:tcW w:w="1077" w:type="pct"/>
          </w:tcPr>
          <w:p w:rsidR="00000000" w:rsidRDefault="004D2F83">
            <w:pPr>
              <w:pStyle w:val="NormalIndent"/>
              <w:spacing w:after="120" w:line="360" w:lineRule="exact"/>
              <w:ind w:firstLine="0"/>
              <w:rPr>
                <w:rFonts w:ascii="SimHei" w:eastAsia="SimHei" w:hint="eastAsia"/>
                <w:bCs/>
                <w:color w:val="000000"/>
                <w:sz w:val="20"/>
              </w:rPr>
            </w:pPr>
            <w:r>
              <w:rPr>
                <w:rFonts w:ascii="SimHei" w:eastAsia="SimHei" w:hint="eastAsia"/>
                <w:bCs/>
                <w:color w:val="000000"/>
                <w:sz w:val="20"/>
              </w:rPr>
              <w:t>33</w:t>
            </w:r>
            <w:r>
              <w:rPr>
                <w:rFonts w:ascii="SimHei" w:eastAsia="SimHei" w:hint="eastAsia"/>
                <w:bCs/>
                <w:color w:val="000000"/>
                <w:sz w:val="20"/>
              </w:rPr>
              <w:t>．</w:t>
            </w:r>
            <w:r>
              <w:rPr>
                <w:rFonts w:ascii="SimHei" w:eastAsia="SimHei" w:hint="eastAsia"/>
                <w:bCs/>
                <w:color w:val="000000"/>
                <w:sz w:val="20"/>
              </w:rPr>
              <w:t>1999</w:t>
            </w:r>
            <w:r>
              <w:rPr>
                <w:rFonts w:ascii="SimHei" w:eastAsia="SimHei" w:hint="eastAsia"/>
                <w:bCs/>
                <w:color w:val="000000"/>
                <w:sz w:val="20"/>
              </w:rPr>
              <w:t>年</w:t>
            </w:r>
            <w:r>
              <w:rPr>
                <w:rFonts w:ascii="SimHei" w:eastAsia="SimHei" w:hint="eastAsia"/>
                <w:bCs/>
                <w:color w:val="000000"/>
                <w:sz w:val="20"/>
              </w:rPr>
              <w:t>11</w:t>
            </w:r>
            <w:r>
              <w:rPr>
                <w:rFonts w:ascii="SimHei" w:eastAsia="SimHei" w:hint="eastAsia"/>
                <w:bCs/>
                <w:color w:val="000000"/>
                <w:sz w:val="20"/>
              </w:rPr>
              <w:t>月</w:t>
            </w:r>
            <w:r>
              <w:rPr>
                <w:rFonts w:ascii="SimHei" w:eastAsia="SimHei" w:hint="eastAsia"/>
                <w:bCs/>
                <w:color w:val="000000"/>
                <w:sz w:val="20"/>
              </w:rPr>
              <w:t>26</w:t>
            </w:r>
            <w:r>
              <w:rPr>
                <w:rFonts w:ascii="SimHei" w:eastAsia="SimHei" w:hint="eastAsia"/>
                <w:bCs/>
                <w:color w:val="000000"/>
                <w:sz w:val="20"/>
              </w:rPr>
              <w:t>日第</w:t>
            </w:r>
            <w:r>
              <w:rPr>
                <w:rFonts w:ascii="SimHei" w:eastAsia="SimHei" w:hint="eastAsia"/>
                <w:bCs/>
                <w:color w:val="000000"/>
                <w:sz w:val="20"/>
              </w:rPr>
              <w:t>9876</w:t>
            </w:r>
            <w:r>
              <w:rPr>
                <w:rFonts w:ascii="SimHei" w:eastAsia="SimHei" w:hint="eastAsia"/>
                <w:bCs/>
                <w:color w:val="000000"/>
                <w:sz w:val="20"/>
              </w:rPr>
              <w:t>号法律</w:t>
            </w:r>
          </w:p>
        </w:tc>
        <w:tc>
          <w:tcPr>
            <w:tcW w:w="1922" w:type="pct"/>
          </w:tcPr>
          <w:p w:rsidR="00000000" w:rsidRDefault="004D2F83">
            <w:pPr>
              <w:pStyle w:val="NormalIndent"/>
              <w:spacing w:after="120" w:line="360" w:lineRule="exact"/>
              <w:ind w:firstLine="0"/>
              <w:rPr>
                <w:rFonts w:hint="eastAsia"/>
                <w:color w:val="000000"/>
                <w:sz w:val="20"/>
              </w:rPr>
            </w:pPr>
            <w:r>
              <w:rPr>
                <w:rFonts w:hint="eastAsia"/>
                <w:color w:val="000000"/>
                <w:sz w:val="20"/>
              </w:rPr>
              <w:t>特别对个体纳税人应付的社会保障款和这项福利的计算方法作了规定，并对</w:t>
            </w:r>
            <w:r>
              <w:rPr>
                <w:rFonts w:hint="eastAsia"/>
                <w:color w:val="000000"/>
                <w:sz w:val="20"/>
              </w:rPr>
              <w:t>1991</w:t>
            </w:r>
            <w:r>
              <w:rPr>
                <w:rFonts w:hint="eastAsia"/>
                <w:color w:val="000000"/>
                <w:sz w:val="20"/>
              </w:rPr>
              <w:t>年</w:t>
            </w:r>
            <w:r>
              <w:rPr>
                <w:rFonts w:hint="eastAsia"/>
                <w:color w:val="000000"/>
                <w:sz w:val="20"/>
              </w:rPr>
              <w:t>7</w:t>
            </w:r>
            <w:r>
              <w:rPr>
                <w:rFonts w:hint="eastAsia"/>
                <w:color w:val="000000"/>
                <w:sz w:val="20"/>
              </w:rPr>
              <w:t>月</w:t>
            </w:r>
            <w:r>
              <w:rPr>
                <w:rFonts w:hint="eastAsia"/>
                <w:color w:val="000000"/>
                <w:sz w:val="20"/>
              </w:rPr>
              <w:t>24</w:t>
            </w:r>
            <w:r>
              <w:rPr>
                <w:rFonts w:hint="eastAsia"/>
                <w:color w:val="000000"/>
                <w:sz w:val="20"/>
              </w:rPr>
              <w:t>日的第</w:t>
            </w:r>
            <w:r>
              <w:rPr>
                <w:rFonts w:hint="eastAsia"/>
                <w:color w:val="000000"/>
                <w:sz w:val="20"/>
              </w:rPr>
              <w:t>8212</w:t>
            </w:r>
            <w:r>
              <w:rPr>
                <w:rFonts w:hint="eastAsia"/>
                <w:color w:val="000000"/>
                <w:sz w:val="20"/>
              </w:rPr>
              <w:t>号和</w:t>
            </w:r>
            <w:r>
              <w:rPr>
                <w:rFonts w:hint="eastAsia"/>
                <w:color w:val="000000"/>
                <w:sz w:val="20"/>
              </w:rPr>
              <w:t>8213</w:t>
            </w:r>
            <w:r>
              <w:rPr>
                <w:rFonts w:hint="eastAsia"/>
                <w:color w:val="000000"/>
                <w:sz w:val="20"/>
              </w:rPr>
              <w:t>号法律条款作了修改。</w:t>
            </w:r>
          </w:p>
        </w:tc>
        <w:tc>
          <w:tcPr>
            <w:tcW w:w="2002" w:type="pct"/>
          </w:tcPr>
          <w:p w:rsidR="00000000" w:rsidRDefault="004D2F83">
            <w:pPr>
              <w:pStyle w:val="NormalIndent"/>
              <w:spacing w:after="120" w:line="360" w:lineRule="exact"/>
              <w:ind w:firstLine="0"/>
              <w:rPr>
                <w:rFonts w:hint="eastAsia"/>
                <w:sz w:val="20"/>
              </w:rPr>
            </w:pPr>
          </w:p>
        </w:tc>
      </w:tr>
      <w:tr w:rsidR="00000000">
        <w:tblPrEx>
          <w:tblCellMar>
            <w:top w:w="0" w:type="dxa"/>
            <w:bottom w:w="0" w:type="dxa"/>
          </w:tblCellMar>
        </w:tblPrEx>
        <w:tc>
          <w:tcPr>
            <w:tcW w:w="1077" w:type="pct"/>
          </w:tcPr>
          <w:p w:rsidR="00000000" w:rsidRDefault="004D2F83">
            <w:pPr>
              <w:pStyle w:val="NormalIndent"/>
              <w:spacing w:after="120" w:line="360" w:lineRule="exact"/>
              <w:ind w:firstLine="0"/>
              <w:rPr>
                <w:rFonts w:ascii="SimHei" w:eastAsia="SimHei" w:hint="eastAsia"/>
                <w:bCs/>
                <w:color w:val="000000"/>
                <w:sz w:val="20"/>
              </w:rPr>
            </w:pPr>
            <w:r>
              <w:rPr>
                <w:rFonts w:ascii="SimHei" w:eastAsia="SimHei" w:hint="eastAsia"/>
                <w:bCs/>
                <w:color w:val="000000"/>
                <w:sz w:val="20"/>
              </w:rPr>
              <w:t>34</w:t>
            </w:r>
            <w:r>
              <w:rPr>
                <w:rFonts w:ascii="SimHei" w:eastAsia="SimHei" w:hint="eastAsia"/>
                <w:bCs/>
                <w:color w:val="000000"/>
                <w:sz w:val="20"/>
              </w:rPr>
              <w:t>．</w:t>
            </w:r>
            <w:r>
              <w:rPr>
                <w:rFonts w:ascii="SimHei" w:eastAsia="SimHei" w:hint="eastAsia"/>
                <w:bCs/>
                <w:color w:val="000000"/>
                <w:sz w:val="20"/>
              </w:rPr>
              <w:t>2000</w:t>
            </w:r>
            <w:r>
              <w:rPr>
                <w:rFonts w:ascii="SimHei" w:eastAsia="SimHei" w:hint="eastAsia"/>
                <w:bCs/>
                <w:color w:val="000000"/>
                <w:sz w:val="20"/>
              </w:rPr>
              <w:t>年</w:t>
            </w:r>
            <w:r>
              <w:rPr>
                <w:rFonts w:ascii="SimHei" w:eastAsia="SimHei" w:hint="eastAsia"/>
                <w:bCs/>
                <w:color w:val="000000"/>
                <w:sz w:val="20"/>
              </w:rPr>
              <w:t>6</w:t>
            </w:r>
            <w:r>
              <w:rPr>
                <w:rFonts w:ascii="SimHei" w:eastAsia="SimHei" w:hint="eastAsia"/>
                <w:bCs/>
                <w:color w:val="000000"/>
                <w:sz w:val="20"/>
              </w:rPr>
              <w:t>月</w:t>
            </w:r>
            <w:r>
              <w:rPr>
                <w:rFonts w:ascii="SimHei" w:eastAsia="SimHei" w:hint="eastAsia"/>
                <w:bCs/>
                <w:color w:val="000000"/>
                <w:sz w:val="20"/>
              </w:rPr>
              <w:t>23</w:t>
            </w:r>
            <w:r>
              <w:rPr>
                <w:rFonts w:ascii="SimHei" w:eastAsia="SimHei" w:hint="eastAsia"/>
                <w:bCs/>
                <w:color w:val="000000"/>
                <w:sz w:val="20"/>
              </w:rPr>
              <w:t>日第</w:t>
            </w:r>
            <w:r>
              <w:rPr>
                <w:rFonts w:ascii="SimHei" w:eastAsia="SimHei" w:hint="eastAsia"/>
                <w:bCs/>
                <w:color w:val="000000"/>
                <w:sz w:val="20"/>
              </w:rPr>
              <w:t>9975</w:t>
            </w:r>
            <w:r>
              <w:rPr>
                <w:rFonts w:ascii="SimHei" w:eastAsia="SimHei" w:hint="eastAsia"/>
                <w:bCs/>
                <w:color w:val="000000"/>
                <w:sz w:val="20"/>
              </w:rPr>
              <w:t>号法律</w:t>
            </w:r>
          </w:p>
        </w:tc>
        <w:tc>
          <w:tcPr>
            <w:tcW w:w="1922" w:type="pct"/>
          </w:tcPr>
          <w:p w:rsidR="00000000" w:rsidRDefault="004D2F83">
            <w:pPr>
              <w:pStyle w:val="NormalIndent"/>
              <w:spacing w:after="120" w:line="360" w:lineRule="exact"/>
              <w:ind w:firstLine="0"/>
              <w:rPr>
                <w:rFonts w:hint="eastAsia"/>
                <w:color w:val="000000"/>
                <w:sz w:val="20"/>
              </w:rPr>
            </w:pPr>
            <w:r>
              <w:rPr>
                <w:rFonts w:hint="eastAsia"/>
                <w:color w:val="000000"/>
                <w:sz w:val="20"/>
              </w:rPr>
              <w:t>在</w:t>
            </w:r>
            <w:r>
              <w:rPr>
                <w:rFonts w:hint="eastAsia"/>
                <w:color w:val="000000"/>
                <w:sz w:val="20"/>
              </w:rPr>
              <w:t>1990</w:t>
            </w:r>
            <w:r>
              <w:rPr>
                <w:rFonts w:hint="eastAsia"/>
                <w:color w:val="000000"/>
                <w:sz w:val="20"/>
              </w:rPr>
              <w:t>年</w:t>
            </w:r>
            <w:r>
              <w:rPr>
                <w:rFonts w:hint="eastAsia"/>
                <w:color w:val="000000"/>
                <w:sz w:val="20"/>
              </w:rPr>
              <w:t>7</w:t>
            </w:r>
            <w:r>
              <w:rPr>
                <w:rFonts w:hint="eastAsia"/>
                <w:color w:val="000000"/>
                <w:sz w:val="20"/>
              </w:rPr>
              <w:t>月</w:t>
            </w:r>
            <w:r>
              <w:rPr>
                <w:rFonts w:hint="eastAsia"/>
                <w:color w:val="000000"/>
                <w:sz w:val="20"/>
              </w:rPr>
              <w:t>13</w:t>
            </w:r>
            <w:r>
              <w:rPr>
                <w:rFonts w:hint="eastAsia"/>
                <w:color w:val="000000"/>
                <w:sz w:val="20"/>
              </w:rPr>
              <w:t>日的第</w:t>
            </w:r>
            <w:r>
              <w:rPr>
                <w:rFonts w:hint="eastAsia"/>
                <w:color w:val="000000"/>
                <w:sz w:val="20"/>
              </w:rPr>
              <w:t>8069</w:t>
            </w:r>
            <w:r>
              <w:rPr>
                <w:rFonts w:hint="eastAsia"/>
                <w:color w:val="000000"/>
                <w:sz w:val="20"/>
              </w:rPr>
              <w:t>号法律中加入一条，对《儿童和青少年法》作了规定。</w:t>
            </w:r>
          </w:p>
        </w:tc>
        <w:tc>
          <w:tcPr>
            <w:tcW w:w="2002" w:type="pct"/>
          </w:tcPr>
          <w:p w:rsidR="00000000" w:rsidRDefault="004D2F83">
            <w:pPr>
              <w:pStyle w:val="NormalIndent"/>
              <w:spacing w:after="120" w:line="360" w:lineRule="exact"/>
              <w:ind w:firstLine="0"/>
              <w:rPr>
                <w:rFonts w:hint="eastAsia"/>
                <w:sz w:val="20"/>
              </w:rPr>
            </w:pPr>
          </w:p>
        </w:tc>
      </w:tr>
      <w:tr w:rsidR="00000000">
        <w:tblPrEx>
          <w:tblCellMar>
            <w:top w:w="0" w:type="dxa"/>
            <w:bottom w:w="0" w:type="dxa"/>
          </w:tblCellMar>
        </w:tblPrEx>
        <w:tc>
          <w:tcPr>
            <w:tcW w:w="1077" w:type="pct"/>
          </w:tcPr>
          <w:p w:rsidR="00000000" w:rsidRDefault="004D2F83">
            <w:pPr>
              <w:pStyle w:val="NormalIndent"/>
              <w:spacing w:after="120" w:line="360" w:lineRule="exact"/>
              <w:ind w:firstLine="0"/>
              <w:rPr>
                <w:rFonts w:ascii="SimHei" w:eastAsia="SimHei" w:hint="eastAsia"/>
                <w:bCs/>
                <w:color w:val="000000"/>
                <w:sz w:val="20"/>
              </w:rPr>
            </w:pPr>
            <w:r>
              <w:rPr>
                <w:rFonts w:ascii="SimHei" w:eastAsia="SimHei" w:hint="eastAsia"/>
                <w:bCs/>
                <w:color w:val="000000"/>
                <w:sz w:val="20"/>
              </w:rPr>
              <w:t>35</w:t>
            </w:r>
            <w:r>
              <w:rPr>
                <w:rFonts w:ascii="SimHei" w:eastAsia="SimHei" w:hint="eastAsia"/>
                <w:bCs/>
                <w:color w:val="000000"/>
                <w:sz w:val="20"/>
              </w:rPr>
              <w:t>．</w:t>
            </w:r>
            <w:r>
              <w:rPr>
                <w:rFonts w:ascii="SimHei" w:eastAsia="SimHei" w:hint="eastAsia"/>
                <w:bCs/>
                <w:color w:val="000000"/>
                <w:sz w:val="20"/>
              </w:rPr>
              <w:t>2000</w:t>
            </w:r>
            <w:r>
              <w:rPr>
                <w:rFonts w:ascii="SimHei" w:eastAsia="SimHei" w:hint="eastAsia"/>
                <w:bCs/>
                <w:color w:val="000000"/>
                <w:sz w:val="20"/>
              </w:rPr>
              <w:t>年</w:t>
            </w:r>
            <w:r>
              <w:rPr>
                <w:rFonts w:ascii="SimHei" w:eastAsia="SimHei" w:hint="eastAsia"/>
                <w:bCs/>
                <w:color w:val="000000"/>
                <w:sz w:val="20"/>
              </w:rPr>
              <w:t>9</w:t>
            </w:r>
            <w:r>
              <w:rPr>
                <w:rFonts w:ascii="SimHei" w:eastAsia="SimHei" w:hint="eastAsia"/>
                <w:bCs/>
                <w:color w:val="000000"/>
                <w:sz w:val="20"/>
              </w:rPr>
              <w:t>月第</w:t>
            </w:r>
            <w:r>
              <w:rPr>
                <w:rFonts w:ascii="SimHei" w:eastAsia="SimHei" w:hint="eastAsia"/>
                <w:bCs/>
                <w:color w:val="000000"/>
                <w:sz w:val="20"/>
              </w:rPr>
              <w:t>29</w:t>
            </w:r>
            <w:r>
              <w:rPr>
                <w:rFonts w:ascii="SimHei" w:eastAsia="SimHei" w:hint="eastAsia"/>
                <w:bCs/>
                <w:color w:val="000000"/>
                <w:sz w:val="20"/>
              </w:rPr>
              <w:t>号宪法修正案</w:t>
            </w:r>
          </w:p>
        </w:tc>
        <w:tc>
          <w:tcPr>
            <w:tcW w:w="1922" w:type="pct"/>
          </w:tcPr>
          <w:p w:rsidR="00000000" w:rsidRDefault="004D2F83">
            <w:pPr>
              <w:pStyle w:val="NormalIndent"/>
              <w:spacing w:after="120" w:line="360" w:lineRule="exact"/>
              <w:ind w:firstLine="0"/>
              <w:rPr>
                <w:rFonts w:hint="eastAsia"/>
                <w:color w:val="000000"/>
                <w:sz w:val="20"/>
              </w:rPr>
            </w:pPr>
            <w:r>
              <w:rPr>
                <w:rFonts w:hint="eastAsia"/>
                <w:color w:val="000000"/>
                <w:sz w:val="20"/>
              </w:rPr>
              <w:t>对《联邦宪法》第</w:t>
            </w:r>
            <w:r>
              <w:rPr>
                <w:rFonts w:hint="eastAsia"/>
                <w:color w:val="000000"/>
                <w:sz w:val="20"/>
              </w:rPr>
              <w:t>34</w:t>
            </w:r>
            <w:r>
              <w:rPr>
                <w:rFonts w:hint="eastAsia"/>
                <w:color w:val="000000"/>
                <w:sz w:val="20"/>
              </w:rPr>
              <w:t>、</w:t>
            </w:r>
            <w:r>
              <w:rPr>
                <w:rFonts w:hint="eastAsia"/>
                <w:color w:val="000000"/>
                <w:sz w:val="20"/>
              </w:rPr>
              <w:t>35</w:t>
            </w:r>
            <w:r>
              <w:rPr>
                <w:rFonts w:hint="eastAsia"/>
                <w:color w:val="000000"/>
                <w:sz w:val="20"/>
              </w:rPr>
              <w:t>、</w:t>
            </w:r>
            <w:r>
              <w:rPr>
                <w:rFonts w:hint="eastAsia"/>
                <w:color w:val="000000"/>
                <w:sz w:val="20"/>
              </w:rPr>
              <w:t>156</w:t>
            </w:r>
            <w:r>
              <w:rPr>
                <w:rFonts w:hint="eastAsia"/>
                <w:color w:val="000000"/>
                <w:sz w:val="20"/>
              </w:rPr>
              <w:t>、</w:t>
            </w:r>
            <w:r>
              <w:rPr>
                <w:rFonts w:hint="eastAsia"/>
                <w:color w:val="000000"/>
                <w:sz w:val="20"/>
              </w:rPr>
              <w:t>160</w:t>
            </w:r>
            <w:r>
              <w:rPr>
                <w:rFonts w:hint="eastAsia"/>
                <w:color w:val="000000"/>
                <w:sz w:val="20"/>
              </w:rPr>
              <w:t>、</w:t>
            </w:r>
            <w:r>
              <w:rPr>
                <w:rFonts w:hint="eastAsia"/>
                <w:color w:val="000000"/>
                <w:sz w:val="20"/>
              </w:rPr>
              <w:t>167</w:t>
            </w:r>
            <w:r>
              <w:rPr>
                <w:rFonts w:hint="eastAsia"/>
                <w:color w:val="000000"/>
                <w:sz w:val="20"/>
              </w:rPr>
              <w:t>和</w:t>
            </w:r>
            <w:r>
              <w:rPr>
                <w:rFonts w:hint="eastAsia"/>
                <w:color w:val="000000"/>
                <w:sz w:val="20"/>
              </w:rPr>
              <w:t>168</w:t>
            </w:r>
            <w:r>
              <w:rPr>
                <w:rFonts w:hint="eastAsia"/>
                <w:color w:val="000000"/>
                <w:sz w:val="20"/>
              </w:rPr>
              <w:t>条作了修改，在《暂行条款》法案中加入一条，以确保提供公共保健工作和服务所需的资金。</w:t>
            </w:r>
          </w:p>
        </w:tc>
        <w:tc>
          <w:tcPr>
            <w:tcW w:w="2002" w:type="pct"/>
          </w:tcPr>
          <w:p w:rsidR="00000000" w:rsidRDefault="004D2F83">
            <w:pPr>
              <w:pStyle w:val="NormalIndent"/>
              <w:spacing w:after="120" w:line="360" w:lineRule="exact"/>
              <w:ind w:firstLine="0"/>
              <w:rPr>
                <w:rFonts w:hint="eastAsia"/>
                <w:sz w:val="20"/>
              </w:rPr>
            </w:pPr>
          </w:p>
        </w:tc>
      </w:tr>
      <w:tr w:rsidR="00000000">
        <w:tblPrEx>
          <w:tblCellMar>
            <w:top w:w="0" w:type="dxa"/>
            <w:bottom w:w="0" w:type="dxa"/>
          </w:tblCellMar>
        </w:tblPrEx>
        <w:tc>
          <w:tcPr>
            <w:tcW w:w="1077" w:type="pct"/>
          </w:tcPr>
          <w:p w:rsidR="00000000" w:rsidRDefault="004D2F83">
            <w:pPr>
              <w:pStyle w:val="NormalIndent"/>
              <w:spacing w:after="120" w:line="360" w:lineRule="exact"/>
              <w:ind w:firstLine="0"/>
              <w:rPr>
                <w:rFonts w:ascii="SimHei" w:eastAsia="SimHei" w:hint="eastAsia"/>
                <w:bCs/>
                <w:color w:val="000000"/>
                <w:sz w:val="20"/>
              </w:rPr>
            </w:pPr>
            <w:r>
              <w:rPr>
                <w:rFonts w:ascii="SimHei" w:eastAsia="SimHei" w:hint="eastAsia"/>
                <w:bCs/>
                <w:color w:val="000000"/>
                <w:sz w:val="20"/>
              </w:rPr>
              <w:t>36</w:t>
            </w:r>
            <w:r>
              <w:rPr>
                <w:rFonts w:ascii="SimHei" w:eastAsia="SimHei" w:hint="eastAsia"/>
                <w:bCs/>
                <w:color w:val="000000"/>
                <w:sz w:val="20"/>
              </w:rPr>
              <w:t>．</w:t>
            </w:r>
            <w:r>
              <w:rPr>
                <w:rFonts w:ascii="SimHei" w:eastAsia="SimHei" w:hint="eastAsia"/>
                <w:bCs/>
                <w:color w:val="000000"/>
                <w:sz w:val="20"/>
              </w:rPr>
              <w:t>2000</w:t>
            </w:r>
            <w:r>
              <w:rPr>
                <w:rFonts w:ascii="SimHei" w:eastAsia="SimHei" w:hint="eastAsia"/>
                <w:bCs/>
                <w:color w:val="000000"/>
                <w:sz w:val="20"/>
              </w:rPr>
              <w:t>年</w:t>
            </w:r>
            <w:r>
              <w:rPr>
                <w:rFonts w:ascii="SimHei" w:eastAsia="SimHei" w:hint="eastAsia"/>
                <w:bCs/>
                <w:color w:val="000000"/>
                <w:sz w:val="20"/>
              </w:rPr>
              <w:t>11</w:t>
            </w:r>
            <w:r>
              <w:rPr>
                <w:rFonts w:ascii="SimHei" w:eastAsia="SimHei" w:hint="eastAsia"/>
                <w:bCs/>
                <w:color w:val="000000"/>
                <w:sz w:val="20"/>
              </w:rPr>
              <w:t>月</w:t>
            </w:r>
            <w:r>
              <w:rPr>
                <w:rFonts w:ascii="SimHei" w:eastAsia="SimHei" w:hint="eastAsia"/>
                <w:bCs/>
                <w:color w:val="000000"/>
                <w:sz w:val="20"/>
              </w:rPr>
              <w:t>8</w:t>
            </w:r>
            <w:r>
              <w:rPr>
                <w:rFonts w:ascii="SimHei" w:eastAsia="SimHei" w:hint="eastAsia"/>
                <w:bCs/>
                <w:color w:val="000000"/>
                <w:sz w:val="20"/>
              </w:rPr>
              <w:t>日第</w:t>
            </w:r>
            <w:r>
              <w:rPr>
                <w:rFonts w:ascii="SimHei" w:eastAsia="SimHei" w:hint="eastAsia"/>
                <w:bCs/>
                <w:color w:val="000000"/>
                <w:sz w:val="20"/>
              </w:rPr>
              <w:t>10048</w:t>
            </w:r>
            <w:r>
              <w:rPr>
                <w:rFonts w:ascii="SimHei" w:eastAsia="SimHei" w:hint="eastAsia"/>
                <w:bCs/>
                <w:color w:val="000000"/>
                <w:sz w:val="20"/>
              </w:rPr>
              <w:t>号法律</w:t>
            </w:r>
          </w:p>
        </w:tc>
        <w:tc>
          <w:tcPr>
            <w:tcW w:w="1922" w:type="pct"/>
          </w:tcPr>
          <w:p w:rsidR="00000000" w:rsidRDefault="004D2F83">
            <w:pPr>
              <w:pStyle w:val="NormalIndent"/>
              <w:spacing w:after="120" w:line="360" w:lineRule="exact"/>
              <w:ind w:firstLine="0"/>
              <w:rPr>
                <w:rFonts w:hint="eastAsia"/>
                <w:color w:val="000000"/>
                <w:sz w:val="20"/>
              </w:rPr>
            </w:pPr>
            <w:r>
              <w:rPr>
                <w:rFonts w:hint="eastAsia"/>
                <w:color w:val="000000"/>
                <w:sz w:val="20"/>
              </w:rPr>
              <w:t>特别是优先援助一项具体公共项目（通过新的《联邦宪法》第</w:t>
            </w:r>
            <w:r>
              <w:rPr>
                <w:rFonts w:hint="eastAsia"/>
                <w:color w:val="000000"/>
                <w:sz w:val="20"/>
              </w:rPr>
              <w:t>227</w:t>
            </w:r>
            <w:r>
              <w:rPr>
                <w:rFonts w:hint="eastAsia"/>
                <w:color w:val="000000"/>
                <w:sz w:val="20"/>
              </w:rPr>
              <w:t>条和</w:t>
            </w:r>
            <w:r>
              <w:rPr>
                <w:rFonts w:hint="eastAsia"/>
                <w:color w:val="000000"/>
                <w:sz w:val="20"/>
              </w:rPr>
              <w:t>230</w:t>
            </w:r>
            <w:r>
              <w:rPr>
                <w:rFonts w:hint="eastAsia"/>
                <w:color w:val="000000"/>
                <w:sz w:val="20"/>
              </w:rPr>
              <w:t>条的规定）</w:t>
            </w:r>
          </w:p>
        </w:tc>
        <w:tc>
          <w:tcPr>
            <w:tcW w:w="2002" w:type="pct"/>
          </w:tcPr>
          <w:p w:rsidR="00000000" w:rsidRDefault="004D2F83">
            <w:pPr>
              <w:pStyle w:val="NormalIndent"/>
              <w:spacing w:after="120" w:line="360" w:lineRule="exact"/>
              <w:ind w:firstLine="0"/>
              <w:rPr>
                <w:rFonts w:hint="eastAsia"/>
                <w:color w:val="000000"/>
                <w:sz w:val="20"/>
              </w:rPr>
            </w:pPr>
            <w:r>
              <w:rPr>
                <w:rFonts w:hint="eastAsia"/>
                <w:color w:val="000000"/>
                <w:sz w:val="20"/>
              </w:rPr>
              <w:t>这个以《联邦宪法》为基础的项目旨在确保对政府办公部门和公共服务特许机构、公共场所、公共休息室和交通工具中的身体残疾者、老人、</w:t>
            </w:r>
            <w:r>
              <w:rPr>
                <w:rFonts w:hint="eastAsia"/>
                <w:color w:val="000000"/>
                <w:sz w:val="20"/>
              </w:rPr>
              <w:t>怀孕和哺乳期妇女、携带幼儿者给予特别待遇，并对犯罪行为人的刑罚作了规定。部分被否决。</w:t>
            </w:r>
          </w:p>
        </w:tc>
      </w:tr>
      <w:tr w:rsidR="00000000">
        <w:tblPrEx>
          <w:tblCellMar>
            <w:top w:w="0" w:type="dxa"/>
            <w:bottom w:w="0" w:type="dxa"/>
          </w:tblCellMar>
        </w:tblPrEx>
        <w:tc>
          <w:tcPr>
            <w:tcW w:w="1077" w:type="pct"/>
          </w:tcPr>
          <w:p w:rsidR="00000000" w:rsidRDefault="004D2F83">
            <w:pPr>
              <w:pStyle w:val="NormalIndent"/>
              <w:spacing w:after="120" w:line="360" w:lineRule="exact"/>
              <w:ind w:firstLine="0"/>
              <w:rPr>
                <w:rFonts w:ascii="SimHei" w:eastAsia="SimHei" w:hint="eastAsia"/>
                <w:bCs/>
                <w:color w:val="000000"/>
                <w:sz w:val="20"/>
              </w:rPr>
            </w:pPr>
            <w:r>
              <w:rPr>
                <w:rFonts w:ascii="SimHei" w:eastAsia="SimHei" w:hint="eastAsia"/>
                <w:bCs/>
                <w:color w:val="000000"/>
                <w:sz w:val="20"/>
              </w:rPr>
              <w:t>37</w:t>
            </w:r>
            <w:r>
              <w:rPr>
                <w:rFonts w:ascii="SimHei" w:eastAsia="SimHei" w:hint="eastAsia"/>
                <w:bCs/>
                <w:color w:val="000000"/>
                <w:sz w:val="20"/>
              </w:rPr>
              <w:t>．</w:t>
            </w:r>
            <w:r>
              <w:rPr>
                <w:rFonts w:ascii="SimHei" w:eastAsia="SimHei" w:hint="eastAsia"/>
                <w:bCs/>
                <w:color w:val="000000"/>
                <w:sz w:val="20"/>
              </w:rPr>
              <w:t>2001</w:t>
            </w:r>
            <w:r>
              <w:rPr>
                <w:rFonts w:ascii="SimHei" w:eastAsia="SimHei" w:hint="eastAsia"/>
                <w:bCs/>
                <w:color w:val="000000"/>
                <w:sz w:val="20"/>
              </w:rPr>
              <w:t>年</w:t>
            </w:r>
            <w:r>
              <w:rPr>
                <w:rFonts w:ascii="SimHei" w:eastAsia="SimHei" w:hint="eastAsia"/>
                <w:bCs/>
                <w:color w:val="000000"/>
                <w:sz w:val="20"/>
              </w:rPr>
              <w:t>3</w:t>
            </w:r>
            <w:r>
              <w:rPr>
                <w:rFonts w:ascii="SimHei" w:eastAsia="SimHei" w:hint="eastAsia"/>
                <w:bCs/>
                <w:color w:val="000000"/>
                <w:sz w:val="20"/>
              </w:rPr>
              <w:t>月</w:t>
            </w:r>
            <w:r>
              <w:rPr>
                <w:rFonts w:ascii="SimHei" w:eastAsia="SimHei" w:hint="eastAsia"/>
                <w:bCs/>
                <w:color w:val="000000"/>
                <w:sz w:val="20"/>
              </w:rPr>
              <w:t>23</w:t>
            </w:r>
            <w:r>
              <w:rPr>
                <w:rFonts w:ascii="SimHei" w:eastAsia="SimHei" w:hint="eastAsia"/>
                <w:bCs/>
                <w:color w:val="000000"/>
                <w:sz w:val="20"/>
              </w:rPr>
              <w:t>日第</w:t>
            </w:r>
            <w:r>
              <w:rPr>
                <w:rFonts w:ascii="SimHei" w:eastAsia="SimHei" w:hint="eastAsia"/>
                <w:bCs/>
                <w:color w:val="000000"/>
                <w:sz w:val="20"/>
              </w:rPr>
              <w:t>10208</w:t>
            </w:r>
            <w:r>
              <w:rPr>
                <w:rFonts w:ascii="SimHei" w:eastAsia="SimHei" w:hint="eastAsia"/>
                <w:bCs/>
                <w:color w:val="000000"/>
                <w:sz w:val="20"/>
              </w:rPr>
              <w:t>号法律</w:t>
            </w:r>
          </w:p>
        </w:tc>
        <w:tc>
          <w:tcPr>
            <w:tcW w:w="1922" w:type="pct"/>
          </w:tcPr>
          <w:p w:rsidR="00000000" w:rsidRDefault="004D2F83">
            <w:pPr>
              <w:pStyle w:val="NormalIndent"/>
              <w:spacing w:after="120" w:line="360" w:lineRule="exact"/>
              <w:ind w:firstLine="0"/>
              <w:rPr>
                <w:rFonts w:hint="eastAsia"/>
                <w:color w:val="000000"/>
                <w:sz w:val="20"/>
              </w:rPr>
            </w:pPr>
            <w:r>
              <w:rPr>
                <w:rFonts w:hint="eastAsia"/>
                <w:color w:val="000000"/>
                <w:sz w:val="20"/>
              </w:rPr>
              <w:t>在</w:t>
            </w:r>
            <w:r>
              <w:rPr>
                <w:rFonts w:hint="eastAsia"/>
                <w:color w:val="000000"/>
                <w:sz w:val="20"/>
              </w:rPr>
              <w:t>1972</w:t>
            </w:r>
            <w:r>
              <w:rPr>
                <w:rFonts w:hint="eastAsia"/>
                <w:color w:val="000000"/>
                <w:sz w:val="20"/>
              </w:rPr>
              <w:t>年</w:t>
            </w:r>
            <w:r>
              <w:rPr>
                <w:rFonts w:hint="eastAsia"/>
                <w:color w:val="000000"/>
                <w:sz w:val="20"/>
              </w:rPr>
              <w:t>12</w:t>
            </w:r>
            <w:r>
              <w:rPr>
                <w:rFonts w:hint="eastAsia"/>
                <w:color w:val="000000"/>
                <w:sz w:val="20"/>
              </w:rPr>
              <w:t>月</w:t>
            </w:r>
            <w:r>
              <w:rPr>
                <w:rFonts w:hint="eastAsia"/>
                <w:color w:val="000000"/>
                <w:sz w:val="20"/>
              </w:rPr>
              <w:t>11</w:t>
            </w:r>
            <w:r>
              <w:rPr>
                <w:rFonts w:hint="eastAsia"/>
                <w:color w:val="000000"/>
                <w:sz w:val="20"/>
              </w:rPr>
              <w:t>日的第</w:t>
            </w:r>
            <w:r>
              <w:rPr>
                <w:rFonts w:hint="eastAsia"/>
                <w:color w:val="000000"/>
                <w:sz w:val="20"/>
              </w:rPr>
              <w:t>5859</w:t>
            </w:r>
            <w:r>
              <w:rPr>
                <w:rFonts w:hint="eastAsia"/>
                <w:color w:val="000000"/>
                <w:sz w:val="20"/>
              </w:rPr>
              <w:t>号法律中加入若干条款，该法律对国家公务员的职业作了规定，以便使他们能够享受雇员解雇基金和失业救济金。</w:t>
            </w:r>
          </w:p>
        </w:tc>
        <w:tc>
          <w:tcPr>
            <w:tcW w:w="2002" w:type="pct"/>
          </w:tcPr>
          <w:p w:rsidR="00000000" w:rsidRDefault="004D2F83">
            <w:pPr>
              <w:pStyle w:val="NormalIndent"/>
              <w:spacing w:after="120" w:line="360" w:lineRule="exact"/>
              <w:ind w:firstLine="0"/>
              <w:rPr>
                <w:rFonts w:hint="eastAsia"/>
                <w:color w:val="000000"/>
                <w:sz w:val="20"/>
              </w:rPr>
            </w:pPr>
          </w:p>
        </w:tc>
      </w:tr>
      <w:tr w:rsidR="00000000">
        <w:tblPrEx>
          <w:tblCellMar>
            <w:top w:w="0" w:type="dxa"/>
            <w:bottom w:w="0" w:type="dxa"/>
          </w:tblCellMar>
        </w:tblPrEx>
        <w:tc>
          <w:tcPr>
            <w:tcW w:w="1077" w:type="pct"/>
          </w:tcPr>
          <w:p w:rsidR="00000000" w:rsidRDefault="004D2F83">
            <w:pPr>
              <w:pStyle w:val="NormalIndent"/>
              <w:spacing w:after="120" w:line="360" w:lineRule="exact"/>
              <w:ind w:firstLine="0"/>
              <w:rPr>
                <w:rFonts w:ascii="SimHei" w:eastAsia="SimHei" w:hint="eastAsia"/>
                <w:bCs/>
                <w:color w:val="000000"/>
                <w:sz w:val="20"/>
              </w:rPr>
            </w:pPr>
            <w:r>
              <w:rPr>
                <w:rFonts w:ascii="SimHei" w:eastAsia="SimHei" w:hint="eastAsia"/>
                <w:bCs/>
                <w:color w:val="000000"/>
                <w:sz w:val="20"/>
              </w:rPr>
              <w:t>38</w:t>
            </w:r>
            <w:r>
              <w:rPr>
                <w:rFonts w:ascii="SimHei" w:eastAsia="SimHei" w:hint="eastAsia"/>
                <w:bCs/>
                <w:color w:val="000000"/>
                <w:sz w:val="20"/>
              </w:rPr>
              <w:t>．</w:t>
            </w:r>
            <w:r>
              <w:rPr>
                <w:rFonts w:ascii="SimHei" w:eastAsia="SimHei" w:hint="eastAsia"/>
                <w:bCs/>
                <w:color w:val="000000"/>
                <w:sz w:val="20"/>
              </w:rPr>
              <w:t>2001</w:t>
            </w:r>
            <w:r>
              <w:rPr>
                <w:rFonts w:ascii="SimHei" w:eastAsia="SimHei" w:hint="eastAsia"/>
                <w:bCs/>
                <w:color w:val="000000"/>
                <w:sz w:val="20"/>
              </w:rPr>
              <w:t>年</w:t>
            </w:r>
            <w:r>
              <w:rPr>
                <w:rFonts w:ascii="SimHei" w:eastAsia="SimHei" w:hint="eastAsia"/>
                <w:bCs/>
                <w:color w:val="000000"/>
                <w:sz w:val="20"/>
              </w:rPr>
              <w:t>5</w:t>
            </w:r>
            <w:r>
              <w:rPr>
                <w:rFonts w:ascii="SimHei" w:eastAsia="SimHei" w:hint="eastAsia"/>
                <w:bCs/>
                <w:color w:val="000000"/>
                <w:sz w:val="20"/>
              </w:rPr>
              <w:t>月</w:t>
            </w:r>
            <w:r>
              <w:rPr>
                <w:rFonts w:ascii="SimHei" w:eastAsia="SimHei" w:hint="eastAsia"/>
                <w:bCs/>
                <w:color w:val="000000"/>
                <w:sz w:val="20"/>
              </w:rPr>
              <w:t>15</w:t>
            </w:r>
            <w:r>
              <w:rPr>
                <w:rFonts w:ascii="SimHei" w:eastAsia="SimHei" w:hint="eastAsia"/>
                <w:bCs/>
                <w:color w:val="000000"/>
                <w:sz w:val="20"/>
              </w:rPr>
              <w:t>日第</w:t>
            </w:r>
            <w:r>
              <w:rPr>
                <w:rFonts w:ascii="SimHei" w:eastAsia="SimHei" w:hint="eastAsia"/>
                <w:bCs/>
                <w:color w:val="000000"/>
                <w:sz w:val="20"/>
              </w:rPr>
              <w:t>10223</w:t>
            </w:r>
            <w:r>
              <w:rPr>
                <w:rFonts w:ascii="SimHei" w:eastAsia="SimHei" w:hint="eastAsia"/>
                <w:bCs/>
                <w:color w:val="000000"/>
                <w:sz w:val="20"/>
              </w:rPr>
              <w:t>号法律</w:t>
            </w:r>
          </w:p>
        </w:tc>
        <w:tc>
          <w:tcPr>
            <w:tcW w:w="1922" w:type="pct"/>
          </w:tcPr>
          <w:p w:rsidR="00000000" w:rsidRDefault="004D2F83">
            <w:pPr>
              <w:pStyle w:val="NormalIndent"/>
              <w:spacing w:after="120" w:line="360" w:lineRule="exact"/>
              <w:ind w:firstLine="0"/>
              <w:rPr>
                <w:rFonts w:hint="eastAsia"/>
                <w:color w:val="000000"/>
                <w:sz w:val="20"/>
              </w:rPr>
            </w:pPr>
            <w:r>
              <w:rPr>
                <w:rFonts w:hint="eastAsia"/>
                <w:color w:val="000000"/>
                <w:sz w:val="20"/>
              </w:rPr>
              <w:t>对</w:t>
            </w:r>
            <w:r>
              <w:rPr>
                <w:rFonts w:hint="eastAsia"/>
                <w:color w:val="000000"/>
                <w:sz w:val="20"/>
              </w:rPr>
              <w:t>1998</w:t>
            </w:r>
            <w:r>
              <w:rPr>
                <w:rFonts w:hint="eastAsia"/>
                <w:color w:val="000000"/>
                <w:sz w:val="20"/>
              </w:rPr>
              <w:t>年</w:t>
            </w:r>
            <w:r>
              <w:rPr>
                <w:rFonts w:hint="eastAsia"/>
                <w:color w:val="000000"/>
                <w:sz w:val="20"/>
              </w:rPr>
              <w:t>6</w:t>
            </w:r>
            <w:r>
              <w:rPr>
                <w:rFonts w:hint="eastAsia"/>
                <w:color w:val="000000"/>
                <w:sz w:val="20"/>
              </w:rPr>
              <w:t>月</w:t>
            </w:r>
            <w:r>
              <w:rPr>
                <w:rFonts w:hint="eastAsia"/>
                <w:color w:val="000000"/>
                <w:sz w:val="20"/>
              </w:rPr>
              <w:t>3</w:t>
            </w:r>
            <w:r>
              <w:rPr>
                <w:rFonts w:hint="eastAsia"/>
                <w:color w:val="000000"/>
                <w:sz w:val="20"/>
              </w:rPr>
              <w:t>日的第</w:t>
            </w:r>
            <w:r>
              <w:rPr>
                <w:rFonts w:hint="eastAsia"/>
                <w:color w:val="000000"/>
                <w:sz w:val="20"/>
              </w:rPr>
              <w:t>9656</w:t>
            </w:r>
            <w:r>
              <w:rPr>
                <w:rFonts w:hint="eastAsia"/>
                <w:color w:val="000000"/>
                <w:sz w:val="20"/>
              </w:rPr>
              <w:t>号法律作了修改，对私营健康保险公司在因癌症治疗导致切除乳房的情况下为乳房整形手术提供保险的义务作出规定。</w:t>
            </w:r>
          </w:p>
        </w:tc>
        <w:tc>
          <w:tcPr>
            <w:tcW w:w="2002" w:type="pct"/>
          </w:tcPr>
          <w:p w:rsidR="00000000" w:rsidRDefault="004D2F83">
            <w:pPr>
              <w:pStyle w:val="NormalIndent"/>
              <w:spacing w:after="120" w:line="360" w:lineRule="exact"/>
              <w:ind w:firstLine="0"/>
              <w:rPr>
                <w:rFonts w:hint="eastAsia"/>
                <w:sz w:val="20"/>
              </w:rPr>
            </w:pPr>
          </w:p>
        </w:tc>
      </w:tr>
      <w:tr w:rsidR="00000000">
        <w:tblPrEx>
          <w:tblCellMar>
            <w:top w:w="0" w:type="dxa"/>
            <w:bottom w:w="0" w:type="dxa"/>
          </w:tblCellMar>
        </w:tblPrEx>
        <w:tc>
          <w:tcPr>
            <w:tcW w:w="1077" w:type="pct"/>
          </w:tcPr>
          <w:p w:rsidR="00000000" w:rsidRDefault="004D2F83">
            <w:pPr>
              <w:pStyle w:val="NormalIndent"/>
              <w:spacing w:after="120" w:line="360" w:lineRule="exact"/>
              <w:ind w:firstLine="0"/>
              <w:rPr>
                <w:rFonts w:ascii="SimHei" w:eastAsia="SimHei" w:hint="eastAsia"/>
                <w:bCs/>
                <w:color w:val="000000"/>
                <w:sz w:val="20"/>
              </w:rPr>
            </w:pPr>
            <w:r>
              <w:rPr>
                <w:rFonts w:ascii="SimHei" w:eastAsia="SimHei" w:hint="eastAsia"/>
                <w:bCs/>
                <w:color w:val="000000"/>
                <w:sz w:val="20"/>
              </w:rPr>
              <w:t>39</w:t>
            </w:r>
            <w:r>
              <w:rPr>
                <w:rFonts w:ascii="SimHei" w:eastAsia="SimHei" w:hint="eastAsia"/>
                <w:bCs/>
                <w:color w:val="000000"/>
                <w:sz w:val="20"/>
              </w:rPr>
              <w:t>．</w:t>
            </w:r>
            <w:r>
              <w:rPr>
                <w:rFonts w:ascii="SimHei" w:eastAsia="SimHei" w:hint="eastAsia"/>
                <w:bCs/>
                <w:color w:val="000000"/>
                <w:sz w:val="20"/>
              </w:rPr>
              <w:t>2001</w:t>
            </w:r>
            <w:r>
              <w:rPr>
                <w:rFonts w:ascii="SimHei" w:eastAsia="SimHei" w:hint="eastAsia"/>
                <w:bCs/>
                <w:color w:val="000000"/>
                <w:sz w:val="20"/>
              </w:rPr>
              <w:t>年</w:t>
            </w:r>
            <w:r>
              <w:rPr>
                <w:rFonts w:ascii="SimHei" w:eastAsia="SimHei" w:hint="eastAsia"/>
                <w:bCs/>
                <w:color w:val="000000"/>
                <w:sz w:val="20"/>
              </w:rPr>
              <w:t>5</w:t>
            </w:r>
            <w:r>
              <w:rPr>
                <w:rFonts w:ascii="SimHei" w:eastAsia="SimHei" w:hint="eastAsia"/>
                <w:bCs/>
                <w:color w:val="000000"/>
                <w:sz w:val="20"/>
              </w:rPr>
              <w:t>月</w:t>
            </w:r>
            <w:r>
              <w:rPr>
                <w:rFonts w:ascii="SimHei" w:eastAsia="SimHei" w:hint="eastAsia"/>
                <w:bCs/>
                <w:color w:val="000000"/>
                <w:sz w:val="20"/>
              </w:rPr>
              <w:t>15</w:t>
            </w:r>
            <w:r>
              <w:rPr>
                <w:rFonts w:ascii="SimHei" w:eastAsia="SimHei" w:hint="eastAsia"/>
                <w:bCs/>
                <w:color w:val="000000"/>
                <w:sz w:val="20"/>
              </w:rPr>
              <w:t>日第</w:t>
            </w:r>
            <w:r>
              <w:rPr>
                <w:rFonts w:ascii="SimHei" w:eastAsia="SimHei" w:hint="eastAsia"/>
                <w:bCs/>
                <w:color w:val="000000"/>
                <w:sz w:val="20"/>
              </w:rPr>
              <w:t>10224</w:t>
            </w:r>
            <w:r>
              <w:rPr>
                <w:rFonts w:ascii="SimHei" w:eastAsia="SimHei" w:hint="eastAsia"/>
                <w:bCs/>
                <w:color w:val="000000"/>
                <w:sz w:val="20"/>
              </w:rPr>
              <w:t>号法律</w:t>
            </w:r>
          </w:p>
        </w:tc>
        <w:tc>
          <w:tcPr>
            <w:tcW w:w="1922" w:type="pct"/>
          </w:tcPr>
          <w:p w:rsidR="00000000" w:rsidRDefault="004D2F83">
            <w:pPr>
              <w:pStyle w:val="NormalIndent"/>
              <w:spacing w:after="120" w:line="360" w:lineRule="exact"/>
              <w:ind w:firstLine="0"/>
              <w:rPr>
                <w:rFonts w:hint="eastAsia"/>
                <w:color w:val="000000"/>
                <w:sz w:val="20"/>
              </w:rPr>
            </w:pPr>
            <w:r>
              <w:rPr>
                <w:rFonts w:hint="eastAsia"/>
                <w:color w:val="000000"/>
                <w:sz w:val="20"/>
              </w:rPr>
              <w:t>特</w:t>
            </w:r>
            <w:r>
              <w:rPr>
                <w:rFonts w:hint="eastAsia"/>
                <w:color w:val="000000"/>
                <w:sz w:val="20"/>
              </w:rPr>
              <w:t>别对性骚扰犯罪作了规定。</w:t>
            </w:r>
          </w:p>
        </w:tc>
        <w:tc>
          <w:tcPr>
            <w:tcW w:w="2002" w:type="pct"/>
          </w:tcPr>
          <w:p w:rsidR="00000000" w:rsidRDefault="004D2F83">
            <w:pPr>
              <w:pStyle w:val="NormalIndent"/>
              <w:spacing w:after="120" w:line="360" w:lineRule="exact"/>
              <w:ind w:firstLine="0"/>
              <w:rPr>
                <w:rFonts w:hint="eastAsia"/>
                <w:sz w:val="20"/>
              </w:rPr>
            </w:pPr>
            <w:r>
              <w:rPr>
                <w:rFonts w:hint="eastAsia"/>
                <w:sz w:val="20"/>
              </w:rPr>
              <w:t>第一和第二款的单独段均被部分否决。</w:t>
            </w:r>
            <w:r>
              <w:rPr>
                <w:rStyle w:val="FootnoteReference"/>
                <w:sz w:val="20"/>
              </w:rPr>
              <w:footnoteReference w:customMarkFollows="1" w:id="37"/>
              <w:t>37</w:t>
            </w:r>
          </w:p>
        </w:tc>
      </w:tr>
      <w:tr w:rsidR="00000000">
        <w:tblPrEx>
          <w:tblCellMar>
            <w:top w:w="0" w:type="dxa"/>
            <w:bottom w:w="0" w:type="dxa"/>
          </w:tblCellMar>
        </w:tblPrEx>
        <w:tc>
          <w:tcPr>
            <w:tcW w:w="1077" w:type="pct"/>
          </w:tcPr>
          <w:p w:rsidR="00000000" w:rsidRDefault="004D2F83">
            <w:pPr>
              <w:pStyle w:val="NormalIndent"/>
              <w:spacing w:after="120" w:line="360" w:lineRule="exact"/>
              <w:ind w:firstLine="0"/>
              <w:rPr>
                <w:rFonts w:ascii="SimHei" w:eastAsia="SimHei" w:hint="eastAsia"/>
                <w:bCs/>
                <w:color w:val="000000"/>
                <w:sz w:val="20"/>
              </w:rPr>
            </w:pPr>
            <w:r>
              <w:rPr>
                <w:rFonts w:ascii="SimHei" w:eastAsia="SimHei" w:hint="eastAsia"/>
                <w:bCs/>
                <w:color w:val="000000"/>
                <w:sz w:val="20"/>
              </w:rPr>
              <w:t>40</w:t>
            </w:r>
            <w:r>
              <w:rPr>
                <w:rFonts w:ascii="SimHei" w:eastAsia="SimHei" w:hint="eastAsia"/>
                <w:bCs/>
                <w:color w:val="000000"/>
                <w:sz w:val="20"/>
              </w:rPr>
              <w:t>．</w:t>
            </w:r>
            <w:r>
              <w:rPr>
                <w:rFonts w:ascii="SimHei" w:eastAsia="SimHei" w:hint="eastAsia"/>
                <w:bCs/>
                <w:color w:val="000000"/>
                <w:sz w:val="20"/>
              </w:rPr>
              <w:t>2001</w:t>
            </w:r>
            <w:r>
              <w:rPr>
                <w:rFonts w:ascii="SimHei" w:eastAsia="SimHei" w:hint="eastAsia"/>
                <w:bCs/>
                <w:color w:val="000000"/>
                <w:sz w:val="20"/>
              </w:rPr>
              <w:t>年</w:t>
            </w:r>
            <w:r>
              <w:rPr>
                <w:rFonts w:ascii="SimHei" w:eastAsia="SimHei" w:hint="eastAsia"/>
                <w:bCs/>
                <w:color w:val="000000"/>
                <w:sz w:val="20"/>
              </w:rPr>
              <w:t>6</w:t>
            </w:r>
            <w:r>
              <w:rPr>
                <w:rFonts w:ascii="SimHei" w:eastAsia="SimHei" w:hint="eastAsia"/>
                <w:bCs/>
                <w:color w:val="000000"/>
                <w:sz w:val="20"/>
              </w:rPr>
              <w:t>月</w:t>
            </w:r>
            <w:r>
              <w:rPr>
                <w:rFonts w:ascii="SimHei" w:eastAsia="SimHei" w:hint="eastAsia"/>
                <w:bCs/>
                <w:color w:val="000000"/>
                <w:sz w:val="20"/>
              </w:rPr>
              <w:t>28</w:t>
            </w:r>
            <w:r>
              <w:rPr>
                <w:rFonts w:ascii="SimHei" w:eastAsia="SimHei" w:hint="eastAsia"/>
                <w:bCs/>
                <w:color w:val="000000"/>
                <w:sz w:val="20"/>
              </w:rPr>
              <w:t>日第</w:t>
            </w:r>
            <w:r>
              <w:rPr>
                <w:rFonts w:ascii="SimHei" w:eastAsia="SimHei" w:hint="eastAsia"/>
                <w:bCs/>
                <w:color w:val="000000"/>
                <w:sz w:val="20"/>
              </w:rPr>
              <w:t>10244</w:t>
            </w:r>
            <w:r>
              <w:rPr>
                <w:rFonts w:ascii="SimHei" w:eastAsia="SimHei" w:hint="eastAsia"/>
                <w:bCs/>
                <w:color w:val="000000"/>
                <w:sz w:val="20"/>
              </w:rPr>
              <w:t>号法律</w:t>
            </w:r>
          </w:p>
        </w:tc>
        <w:tc>
          <w:tcPr>
            <w:tcW w:w="1922" w:type="pct"/>
          </w:tcPr>
          <w:p w:rsidR="00000000" w:rsidRDefault="004D2F83">
            <w:pPr>
              <w:pStyle w:val="NormalIndent"/>
              <w:spacing w:after="120" w:line="360" w:lineRule="exact"/>
              <w:ind w:firstLine="0"/>
              <w:rPr>
                <w:rFonts w:hint="eastAsia"/>
                <w:color w:val="000000"/>
                <w:sz w:val="20"/>
              </w:rPr>
            </w:pPr>
            <w:r>
              <w:rPr>
                <w:rFonts w:hint="eastAsia"/>
                <w:color w:val="000000"/>
                <w:sz w:val="20"/>
              </w:rPr>
              <w:t>废除《劳动法》第</w:t>
            </w:r>
            <w:r>
              <w:rPr>
                <w:rFonts w:hint="eastAsia"/>
                <w:color w:val="000000"/>
                <w:sz w:val="20"/>
              </w:rPr>
              <w:t>376</w:t>
            </w:r>
            <w:r>
              <w:rPr>
                <w:rFonts w:hint="eastAsia"/>
                <w:color w:val="000000"/>
                <w:sz w:val="20"/>
              </w:rPr>
              <w:t>条，允许妇女加班。</w:t>
            </w:r>
          </w:p>
        </w:tc>
        <w:tc>
          <w:tcPr>
            <w:tcW w:w="2002" w:type="pct"/>
          </w:tcPr>
          <w:p w:rsidR="00000000" w:rsidRDefault="004D2F83">
            <w:pPr>
              <w:pStyle w:val="NormalIndent"/>
              <w:spacing w:after="120" w:line="360" w:lineRule="exact"/>
              <w:ind w:firstLine="0"/>
              <w:rPr>
                <w:rFonts w:hint="eastAsia"/>
                <w:sz w:val="20"/>
              </w:rPr>
            </w:pPr>
          </w:p>
        </w:tc>
      </w:tr>
      <w:tr w:rsidR="00000000">
        <w:tblPrEx>
          <w:tblCellMar>
            <w:top w:w="0" w:type="dxa"/>
            <w:bottom w:w="0" w:type="dxa"/>
          </w:tblCellMar>
        </w:tblPrEx>
        <w:tc>
          <w:tcPr>
            <w:tcW w:w="1077" w:type="pct"/>
          </w:tcPr>
          <w:p w:rsidR="00000000" w:rsidRDefault="004D2F83">
            <w:pPr>
              <w:pStyle w:val="NormalIndent"/>
              <w:spacing w:after="120" w:line="360" w:lineRule="exact"/>
              <w:ind w:firstLine="0"/>
              <w:rPr>
                <w:rFonts w:ascii="SimHei" w:eastAsia="SimHei" w:hint="eastAsia"/>
                <w:bCs/>
                <w:color w:val="000000"/>
                <w:sz w:val="20"/>
              </w:rPr>
            </w:pPr>
            <w:r>
              <w:rPr>
                <w:rFonts w:ascii="SimHei" w:eastAsia="SimHei" w:hint="eastAsia"/>
                <w:bCs/>
                <w:color w:val="000000"/>
                <w:sz w:val="20"/>
              </w:rPr>
              <w:t xml:space="preserve">41 </w:t>
            </w:r>
            <w:r>
              <w:rPr>
                <w:rFonts w:ascii="SimHei" w:eastAsia="SimHei"/>
                <w:bCs/>
                <w:color w:val="000000"/>
                <w:sz w:val="20"/>
              </w:rPr>
              <w:t>–</w:t>
            </w:r>
            <w:r>
              <w:rPr>
                <w:rFonts w:ascii="SimHei" w:eastAsia="SimHei" w:hint="eastAsia"/>
                <w:bCs/>
                <w:color w:val="000000"/>
                <w:sz w:val="20"/>
              </w:rPr>
              <w:t xml:space="preserve"> 2002</w:t>
            </w:r>
            <w:r>
              <w:rPr>
                <w:rFonts w:ascii="SimHei" w:eastAsia="SimHei" w:hint="eastAsia"/>
                <w:bCs/>
                <w:color w:val="000000"/>
                <w:sz w:val="20"/>
              </w:rPr>
              <w:t>年</w:t>
            </w:r>
            <w:r>
              <w:rPr>
                <w:rFonts w:ascii="SimHei" w:eastAsia="SimHei" w:hint="eastAsia"/>
                <w:bCs/>
                <w:color w:val="000000"/>
                <w:sz w:val="20"/>
              </w:rPr>
              <w:t>4</w:t>
            </w:r>
            <w:r>
              <w:rPr>
                <w:rFonts w:ascii="SimHei" w:eastAsia="SimHei" w:hint="eastAsia"/>
                <w:bCs/>
                <w:color w:val="000000"/>
                <w:sz w:val="20"/>
              </w:rPr>
              <w:t>月</w:t>
            </w:r>
            <w:r>
              <w:rPr>
                <w:rFonts w:ascii="SimHei" w:eastAsia="SimHei" w:hint="eastAsia"/>
                <w:bCs/>
                <w:color w:val="000000"/>
                <w:sz w:val="20"/>
              </w:rPr>
              <w:t>15</w:t>
            </w:r>
            <w:r>
              <w:rPr>
                <w:rFonts w:ascii="SimHei" w:eastAsia="SimHei" w:hint="eastAsia"/>
                <w:bCs/>
                <w:color w:val="000000"/>
                <w:sz w:val="20"/>
              </w:rPr>
              <w:t>日第</w:t>
            </w:r>
            <w:r>
              <w:rPr>
                <w:rFonts w:ascii="SimHei" w:eastAsia="SimHei" w:hint="eastAsia"/>
                <w:bCs/>
                <w:color w:val="000000"/>
                <w:sz w:val="20"/>
              </w:rPr>
              <w:t>10421</w:t>
            </w:r>
            <w:r>
              <w:rPr>
                <w:rFonts w:ascii="SimHei" w:eastAsia="SimHei" w:hint="eastAsia"/>
                <w:bCs/>
                <w:color w:val="000000"/>
                <w:sz w:val="20"/>
              </w:rPr>
              <w:t>号法律</w:t>
            </w:r>
          </w:p>
        </w:tc>
        <w:tc>
          <w:tcPr>
            <w:tcW w:w="1922" w:type="pct"/>
          </w:tcPr>
          <w:p w:rsidR="00000000" w:rsidRDefault="004D2F83">
            <w:pPr>
              <w:pStyle w:val="NormalIndent"/>
              <w:spacing w:after="120" w:line="360" w:lineRule="exact"/>
              <w:ind w:firstLine="0"/>
              <w:rPr>
                <w:rFonts w:hint="eastAsia"/>
                <w:color w:val="000000"/>
                <w:sz w:val="20"/>
              </w:rPr>
            </w:pPr>
            <w:r>
              <w:rPr>
                <w:rFonts w:hint="eastAsia"/>
                <w:color w:val="000000"/>
                <w:sz w:val="20"/>
              </w:rPr>
              <w:t>规定养母有权享受产假和产妇补贴。</w:t>
            </w:r>
          </w:p>
        </w:tc>
        <w:tc>
          <w:tcPr>
            <w:tcW w:w="2002" w:type="pct"/>
          </w:tcPr>
          <w:p w:rsidR="00000000" w:rsidRDefault="004D2F83">
            <w:pPr>
              <w:pStyle w:val="NormalIndent"/>
              <w:spacing w:after="120" w:line="360" w:lineRule="exact"/>
              <w:ind w:firstLine="0"/>
              <w:rPr>
                <w:rFonts w:hint="eastAsia"/>
                <w:color w:val="000000"/>
                <w:sz w:val="20"/>
              </w:rPr>
            </w:pPr>
          </w:p>
        </w:tc>
      </w:tr>
      <w:tr w:rsidR="00000000">
        <w:tblPrEx>
          <w:tblCellMar>
            <w:top w:w="0" w:type="dxa"/>
            <w:bottom w:w="0" w:type="dxa"/>
          </w:tblCellMar>
        </w:tblPrEx>
        <w:tc>
          <w:tcPr>
            <w:tcW w:w="1077" w:type="pct"/>
          </w:tcPr>
          <w:p w:rsidR="00000000" w:rsidRDefault="004D2F83">
            <w:pPr>
              <w:pStyle w:val="NormalIndent"/>
              <w:spacing w:after="120" w:line="360" w:lineRule="exact"/>
              <w:ind w:firstLine="0"/>
              <w:rPr>
                <w:rFonts w:ascii="SimHei" w:eastAsia="SimHei" w:hint="eastAsia"/>
                <w:bCs/>
                <w:color w:val="000000"/>
                <w:sz w:val="20"/>
              </w:rPr>
            </w:pPr>
            <w:r>
              <w:rPr>
                <w:rFonts w:ascii="SimHei" w:eastAsia="SimHei" w:hint="eastAsia"/>
                <w:bCs/>
                <w:color w:val="000000"/>
                <w:sz w:val="20"/>
              </w:rPr>
              <w:t xml:space="preserve">41 </w:t>
            </w:r>
            <w:r>
              <w:rPr>
                <w:rFonts w:ascii="SimHei" w:eastAsia="SimHei"/>
                <w:bCs/>
                <w:color w:val="000000"/>
                <w:sz w:val="20"/>
              </w:rPr>
              <w:t>–</w:t>
            </w:r>
            <w:r>
              <w:rPr>
                <w:rFonts w:ascii="SimHei" w:eastAsia="SimHei" w:hint="eastAsia"/>
                <w:bCs/>
                <w:color w:val="000000"/>
                <w:sz w:val="20"/>
              </w:rPr>
              <w:t xml:space="preserve"> 2002</w:t>
            </w:r>
            <w:r>
              <w:rPr>
                <w:rFonts w:ascii="SimHei" w:eastAsia="SimHei" w:hint="eastAsia"/>
                <w:bCs/>
                <w:color w:val="000000"/>
                <w:sz w:val="20"/>
              </w:rPr>
              <w:t>年</w:t>
            </w:r>
            <w:r>
              <w:rPr>
                <w:rFonts w:ascii="SimHei" w:eastAsia="SimHei" w:hint="eastAsia"/>
                <w:bCs/>
                <w:color w:val="000000"/>
                <w:sz w:val="20"/>
              </w:rPr>
              <w:t>5</w:t>
            </w:r>
            <w:r>
              <w:rPr>
                <w:rFonts w:ascii="SimHei" w:eastAsia="SimHei" w:hint="eastAsia"/>
                <w:bCs/>
                <w:color w:val="000000"/>
                <w:sz w:val="20"/>
              </w:rPr>
              <w:t>月</w:t>
            </w:r>
            <w:r>
              <w:rPr>
                <w:rFonts w:ascii="SimHei" w:eastAsia="SimHei" w:hint="eastAsia"/>
                <w:bCs/>
                <w:color w:val="000000"/>
                <w:sz w:val="20"/>
              </w:rPr>
              <w:t>13</w:t>
            </w:r>
            <w:r>
              <w:rPr>
                <w:rFonts w:ascii="SimHei" w:eastAsia="SimHei" w:hint="eastAsia"/>
                <w:bCs/>
                <w:color w:val="000000"/>
                <w:sz w:val="20"/>
              </w:rPr>
              <w:t>日第</w:t>
            </w:r>
            <w:r>
              <w:rPr>
                <w:rFonts w:ascii="SimHei" w:eastAsia="SimHei" w:hint="eastAsia"/>
                <w:bCs/>
                <w:color w:val="000000"/>
                <w:sz w:val="20"/>
              </w:rPr>
              <w:t>10445</w:t>
            </w:r>
            <w:r>
              <w:rPr>
                <w:rFonts w:ascii="SimHei" w:eastAsia="SimHei" w:hint="eastAsia"/>
                <w:bCs/>
                <w:color w:val="000000"/>
                <w:sz w:val="20"/>
              </w:rPr>
              <w:t>号法律</w:t>
            </w:r>
          </w:p>
        </w:tc>
        <w:tc>
          <w:tcPr>
            <w:tcW w:w="1922" w:type="pct"/>
          </w:tcPr>
          <w:p w:rsidR="00000000" w:rsidRDefault="004D2F83">
            <w:pPr>
              <w:pStyle w:val="NormalIndent"/>
              <w:spacing w:after="120" w:line="360" w:lineRule="exact"/>
              <w:ind w:firstLine="0"/>
              <w:rPr>
                <w:rFonts w:hint="eastAsia"/>
                <w:color w:val="000000"/>
                <w:sz w:val="20"/>
              </w:rPr>
            </w:pPr>
            <w:r>
              <w:rPr>
                <w:rFonts w:hint="eastAsia"/>
                <w:color w:val="000000"/>
                <w:sz w:val="20"/>
              </w:rPr>
              <w:t>对第</w:t>
            </w:r>
            <w:r>
              <w:rPr>
                <w:rFonts w:hint="eastAsia"/>
                <w:color w:val="000000"/>
                <w:sz w:val="20"/>
              </w:rPr>
              <w:t>9099/95</w:t>
            </w:r>
            <w:r>
              <w:rPr>
                <w:rFonts w:hint="eastAsia"/>
                <w:color w:val="000000"/>
                <w:sz w:val="20"/>
              </w:rPr>
              <w:t>号法律第</w:t>
            </w:r>
            <w:r>
              <w:rPr>
                <w:rFonts w:hint="eastAsia"/>
                <w:color w:val="000000"/>
                <w:sz w:val="20"/>
              </w:rPr>
              <w:t>69</w:t>
            </w:r>
            <w:r>
              <w:rPr>
                <w:rFonts w:hint="eastAsia"/>
                <w:color w:val="000000"/>
                <w:sz w:val="20"/>
              </w:rPr>
              <w:t>条的单立款作了修改，确保在出现家庭暴力的情况下有一项遏制法令，作为一项预防措施，将施暴者从家中带离。</w:t>
            </w:r>
            <w:r>
              <w:rPr>
                <w:rFonts w:hint="eastAsia"/>
                <w:color w:val="000000"/>
                <w:sz w:val="20"/>
              </w:rPr>
              <w:t xml:space="preserve"> </w:t>
            </w:r>
          </w:p>
        </w:tc>
        <w:tc>
          <w:tcPr>
            <w:tcW w:w="2002" w:type="pct"/>
          </w:tcPr>
          <w:p w:rsidR="00000000" w:rsidRDefault="004D2F83">
            <w:pPr>
              <w:pStyle w:val="NormalIndent"/>
              <w:spacing w:after="120" w:line="360" w:lineRule="exact"/>
              <w:ind w:firstLine="0"/>
              <w:rPr>
                <w:rFonts w:hint="eastAsia"/>
                <w:color w:val="000000"/>
                <w:sz w:val="20"/>
              </w:rPr>
            </w:pPr>
          </w:p>
        </w:tc>
      </w:tr>
    </w:tbl>
    <w:p w:rsidR="00000000" w:rsidRDefault="004D2F83" w:rsidP="004D2F83">
      <w:pPr>
        <w:pStyle w:val="NormalIndent"/>
        <w:spacing w:after="240" w:line="360" w:lineRule="exact"/>
        <w:ind w:firstLineChars="200" w:firstLine="31680"/>
        <w:rPr>
          <w:rFonts w:hint="eastAsia"/>
        </w:rPr>
      </w:pPr>
    </w:p>
    <w:p w:rsidR="00000000" w:rsidRDefault="004D2F83" w:rsidP="004D2F83">
      <w:pPr>
        <w:pStyle w:val="NormalIndent"/>
        <w:spacing w:after="240" w:line="360" w:lineRule="exact"/>
        <w:ind w:firstLineChars="200" w:firstLine="31680"/>
        <w:rPr>
          <w:rFonts w:hint="eastAsia"/>
        </w:rPr>
      </w:pPr>
      <w:r>
        <w:rPr>
          <w:rFonts w:hint="eastAsia"/>
        </w:rPr>
        <w:t>鉴于这些法律的相关性，本报告将对它们进行详细分析。</w:t>
      </w:r>
    </w:p>
    <w:p w:rsidR="00000000" w:rsidRDefault="004D2F83">
      <w:pPr>
        <w:pStyle w:val="NormalIndent"/>
        <w:spacing w:after="240" w:line="360" w:lineRule="exact"/>
        <w:ind w:firstLine="0"/>
        <w:rPr>
          <w:rFonts w:eastAsia="SimHei" w:hint="eastAsia"/>
          <w:bCs/>
          <w:sz w:val="24"/>
        </w:rPr>
      </w:pPr>
      <w:r>
        <w:rPr>
          <w:rFonts w:eastAsia="SimHei" w:hint="eastAsia"/>
          <w:bCs/>
          <w:sz w:val="24"/>
        </w:rPr>
        <w:t>州宪法</w:t>
      </w:r>
    </w:p>
    <w:p w:rsidR="00000000" w:rsidRDefault="004D2F83" w:rsidP="004D2F83">
      <w:pPr>
        <w:pStyle w:val="NormalIndent"/>
        <w:spacing w:after="240" w:line="360" w:lineRule="exact"/>
        <w:ind w:firstLineChars="200" w:firstLine="31680"/>
        <w:rPr>
          <w:rFonts w:hint="eastAsia"/>
        </w:rPr>
      </w:pPr>
      <w:r>
        <w:rPr>
          <w:rFonts w:hint="eastAsia"/>
        </w:rPr>
        <w:t>1889</w:t>
      </w:r>
      <w:r>
        <w:rPr>
          <w:rFonts w:hint="eastAsia"/>
        </w:rPr>
        <w:t>年，巴</w:t>
      </w:r>
      <w:r>
        <w:rPr>
          <w:rFonts w:hint="eastAsia"/>
        </w:rPr>
        <w:t>西宣布共和国成立，采取联邦政府的形式。</w:t>
      </w:r>
      <w:r>
        <w:rPr>
          <w:rFonts w:hint="eastAsia"/>
        </w:rPr>
        <w:t>1988</w:t>
      </w:r>
      <w:r>
        <w:rPr>
          <w:rFonts w:hint="eastAsia"/>
        </w:rPr>
        <w:t>年《联邦宪法》第</w:t>
      </w:r>
      <w:r>
        <w:rPr>
          <w:rFonts w:hint="eastAsia"/>
        </w:rPr>
        <w:t>1</w:t>
      </w:r>
      <w:r>
        <w:rPr>
          <w:rFonts w:hint="eastAsia"/>
        </w:rPr>
        <w:t>条中声明，巴西联邦共和国是各州、市和联邦区组成的不可分割的联合体。《宪章》第</w:t>
      </w:r>
      <w:r>
        <w:rPr>
          <w:rFonts w:hint="eastAsia"/>
        </w:rPr>
        <w:t>18</w:t>
      </w:r>
      <w:r>
        <w:rPr>
          <w:rFonts w:hint="eastAsia"/>
        </w:rPr>
        <w:t>条规定，巴西联邦共和国的政治</w:t>
      </w:r>
      <w:r>
        <w:rPr>
          <w:rFonts w:hint="eastAsia"/>
        </w:rPr>
        <w:t>-</w:t>
      </w:r>
      <w:r>
        <w:rPr>
          <w:rFonts w:hint="eastAsia"/>
        </w:rPr>
        <w:t>行政机关包括联盟、各州、联邦区和各市，它们在宪法意义上都是自治单位。第</w:t>
      </w:r>
      <w:r>
        <w:rPr>
          <w:rFonts w:hint="eastAsia"/>
        </w:rPr>
        <w:t>60</w:t>
      </w:r>
      <w:r>
        <w:rPr>
          <w:rFonts w:hint="eastAsia"/>
        </w:rPr>
        <w:t>条第</w:t>
      </w:r>
      <w:r>
        <w:rPr>
          <w:rFonts w:hint="eastAsia"/>
        </w:rPr>
        <w:t>4</w:t>
      </w:r>
      <w:r>
        <w:rPr>
          <w:rFonts w:hint="eastAsia"/>
        </w:rPr>
        <w:t>款把州的联邦形式写入不可违反的条款，禁止为取消这一条款而对《宪法》进行修订的任何可能性。</w:t>
      </w:r>
    </w:p>
    <w:p w:rsidR="00000000" w:rsidRDefault="004D2F83" w:rsidP="004D2F83">
      <w:pPr>
        <w:pStyle w:val="NormalIndent"/>
        <w:spacing w:after="240" w:line="360" w:lineRule="exact"/>
        <w:ind w:firstLineChars="200" w:firstLine="31680"/>
        <w:rPr>
          <w:rFonts w:hint="eastAsia"/>
        </w:rPr>
      </w:pPr>
      <w:r>
        <w:rPr>
          <w:rFonts w:hint="eastAsia"/>
        </w:rPr>
        <w:t>巴西联邦的各州均有自治权以及组阁的能力，因此有权制定各州自己的宪法，条件是这些州宪法符合《联邦宪法》的原则。</w:t>
      </w:r>
    </w:p>
    <w:p w:rsidR="00000000" w:rsidRDefault="004D2F83" w:rsidP="004D2F83">
      <w:pPr>
        <w:pStyle w:val="NormalIndent"/>
        <w:spacing w:after="240" w:line="360" w:lineRule="exact"/>
        <w:ind w:firstLineChars="200" w:firstLine="31680"/>
        <w:rPr>
          <w:rFonts w:hint="eastAsia"/>
        </w:rPr>
      </w:pPr>
      <w:r>
        <w:rPr>
          <w:rFonts w:hint="eastAsia"/>
        </w:rPr>
        <w:t>巴西联邦的</w:t>
      </w:r>
      <w:r>
        <w:rPr>
          <w:rFonts w:hint="eastAsia"/>
        </w:rPr>
        <w:t>26</w:t>
      </w:r>
      <w:r>
        <w:rPr>
          <w:rFonts w:hint="eastAsia"/>
        </w:rPr>
        <w:t>个州和联邦区在反对歧视妇女方面发挥了重要作用</w:t>
      </w:r>
      <w:r>
        <w:rPr>
          <w:rFonts w:hint="eastAsia"/>
        </w:rPr>
        <w:t>，有时是通过加强《联邦宪法》的原则，有时是通过扩大各州宪法规定的范围。通过改进反对歧视的法律制度，各州宪法成为保护平等权利和反对歧视妇女的又一大工具。</w:t>
      </w:r>
    </w:p>
    <w:p w:rsidR="00000000" w:rsidRDefault="004D2F83" w:rsidP="004D2F83">
      <w:pPr>
        <w:pStyle w:val="NormalIndent"/>
        <w:spacing w:after="240" w:line="360" w:lineRule="exact"/>
        <w:ind w:firstLineChars="200" w:firstLine="31680"/>
        <w:rPr>
          <w:rFonts w:hint="eastAsia"/>
        </w:rPr>
      </w:pPr>
      <w:r>
        <w:rPr>
          <w:rFonts w:hint="eastAsia"/>
        </w:rPr>
        <w:t>对各州宪法的评估和审查反映出几个州制宪会议成员的敏感性，这无疑归功于反对歧视妇女运动卓有成效的努力。在许多情况下，这些州宪法只是加强了《联邦宪法》的内容，虽然它们有不少创新内容，例如：</w:t>
      </w:r>
    </w:p>
    <w:p w:rsidR="00000000" w:rsidRDefault="004D2F83">
      <w:pPr>
        <w:pStyle w:val="NormalIndent"/>
        <w:numPr>
          <w:ilvl w:val="1"/>
          <w:numId w:val="695"/>
        </w:numPr>
        <w:spacing w:after="240" w:line="360" w:lineRule="exact"/>
        <w:ind w:hanging="360"/>
        <w:rPr>
          <w:rFonts w:hint="eastAsia"/>
        </w:rPr>
      </w:pPr>
      <w:r>
        <w:rPr>
          <w:rFonts w:hint="eastAsia"/>
        </w:rPr>
        <w:t>帕拉州宪法制定了特别涉及妇女问题的法律指导原则；</w:t>
      </w:r>
    </w:p>
    <w:p w:rsidR="00000000" w:rsidRDefault="004D2F83">
      <w:pPr>
        <w:pStyle w:val="NormalIndent"/>
        <w:numPr>
          <w:ilvl w:val="1"/>
          <w:numId w:val="695"/>
        </w:numPr>
        <w:spacing w:after="240" w:line="360" w:lineRule="exact"/>
        <w:ind w:hanging="360"/>
        <w:rPr>
          <w:rFonts w:hint="eastAsia"/>
        </w:rPr>
      </w:pPr>
      <w:r>
        <w:rPr>
          <w:rFonts w:hint="eastAsia"/>
        </w:rPr>
        <w:t>塞阿拉州宪法规定采取各项措施，旨在降低退学率，消除男女之间的知识差距；</w:t>
      </w:r>
    </w:p>
    <w:p w:rsidR="00000000" w:rsidRDefault="004D2F83">
      <w:pPr>
        <w:pStyle w:val="NormalIndent"/>
        <w:numPr>
          <w:ilvl w:val="1"/>
          <w:numId w:val="695"/>
        </w:numPr>
        <w:spacing w:after="240" w:line="360" w:lineRule="exact"/>
        <w:ind w:hanging="360"/>
        <w:rPr>
          <w:rFonts w:hint="eastAsia"/>
        </w:rPr>
      </w:pPr>
      <w:r>
        <w:rPr>
          <w:rFonts w:hint="eastAsia"/>
        </w:rPr>
        <w:t>米纳斯吉拉斯州和帕拉伊巴州宪法把产妇护理规定为优先目</w:t>
      </w:r>
      <w:r>
        <w:rPr>
          <w:rFonts w:hint="eastAsia"/>
        </w:rPr>
        <w:t>标；同样，塞阿拉州、北里约格朗德州和罗拉伊马州宪法也把保护产妇列为社会权利；</w:t>
      </w:r>
    </w:p>
    <w:p w:rsidR="00000000" w:rsidRDefault="004D2F83">
      <w:pPr>
        <w:pStyle w:val="NormalIndent"/>
        <w:numPr>
          <w:ilvl w:val="1"/>
          <w:numId w:val="695"/>
        </w:numPr>
        <w:spacing w:after="240" w:line="360" w:lineRule="exact"/>
        <w:ind w:hanging="360"/>
        <w:rPr>
          <w:rFonts w:hint="eastAsia"/>
        </w:rPr>
      </w:pPr>
      <w:r>
        <w:rPr>
          <w:rFonts w:hint="eastAsia"/>
        </w:rPr>
        <w:t>阿马帕州、圣埃斯皮里图州、马拉尼昂州、北里约格朗德州、南里约格朗德州、朗多尼亚州、塞尔希培州和托坎廷斯州宪法特别规定，划拨专款用于产妇护理；</w:t>
      </w:r>
    </w:p>
    <w:p w:rsidR="00000000" w:rsidRDefault="004D2F83">
      <w:pPr>
        <w:pStyle w:val="NormalIndent"/>
        <w:numPr>
          <w:ilvl w:val="1"/>
          <w:numId w:val="695"/>
        </w:numPr>
        <w:spacing w:after="240" w:line="360" w:lineRule="exact"/>
        <w:ind w:hanging="360"/>
        <w:rPr>
          <w:rFonts w:hint="eastAsia"/>
        </w:rPr>
      </w:pPr>
      <w:r>
        <w:rPr>
          <w:rFonts w:hint="eastAsia"/>
        </w:rPr>
        <w:t>对于哺乳期母亲，戈亚斯州宪法规定，可在不间断工作每</w:t>
      </w:r>
      <w:r>
        <w:rPr>
          <w:rFonts w:hint="eastAsia"/>
        </w:rPr>
        <w:t>3</w:t>
      </w:r>
      <w:r>
        <w:rPr>
          <w:rFonts w:hint="eastAsia"/>
        </w:rPr>
        <w:t>小时后休息</w:t>
      </w:r>
      <w:r>
        <w:rPr>
          <w:rFonts w:hint="eastAsia"/>
        </w:rPr>
        <w:t>30</w:t>
      </w:r>
      <w:r>
        <w:rPr>
          <w:rFonts w:hint="eastAsia"/>
        </w:rPr>
        <w:t>分钟；帕拉伊巴州宪法规定，每日工作时间可以缩短四分之一。</w:t>
      </w:r>
    </w:p>
    <w:p w:rsidR="00000000" w:rsidRDefault="004D2F83">
      <w:pPr>
        <w:pStyle w:val="NormalIndent"/>
        <w:numPr>
          <w:ilvl w:val="1"/>
          <w:numId w:val="695"/>
        </w:numPr>
        <w:spacing w:after="240" w:line="360" w:lineRule="exact"/>
        <w:ind w:hanging="360"/>
        <w:rPr>
          <w:rFonts w:hint="eastAsia"/>
        </w:rPr>
      </w:pPr>
      <w:r>
        <w:rPr>
          <w:rFonts w:hint="eastAsia"/>
        </w:rPr>
        <w:t>巴伊亚州、巴拉州、伯南布哥州、皮奥伊州、里约热内卢州、塞尔希培州和托坎廷斯州宪法保障养母享受与生母同样的权利；</w:t>
      </w:r>
    </w:p>
    <w:p w:rsidR="00000000" w:rsidRDefault="004D2F83">
      <w:pPr>
        <w:pStyle w:val="NormalIndent"/>
        <w:numPr>
          <w:ilvl w:val="1"/>
          <w:numId w:val="695"/>
        </w:numPr>
        <w:spacing w:after="240" w:line="360" w:lineRule="exact"/>
        <w:ind w:hanging="360"/>
        <w:rPr>
          <w:rFonts w:hint="eastAsia"/>
        </w:rPr>
      </w:pPr>
      <w:r>
        <w:rPr>
          <w:rFonts w:hint="eastAsia"/>
        </w:rPr>
        <w:t>巴伊亚州、阿马帕州、圣保罗州宪法以及联邦区组织法保障怀孕</w:t>
      </w:r>
      <w:r>
        <w:rPr>
          <w:rFonts w:hint="eastAsia"/>
        </w:rPr>
        <w:t>的公务员可以享受经医生建议转岗的权利，而不会影响其工资及其他福利；</w:t>
      </w:r>
    </w:p>
    <w:p w:rsidR="00000000" w:rsidRDefault="004D2F83">
      <w:pPr>
        <w:pStyle w:val="NormalIndent"/>
        <w:numPr>
          <w:ilvl w:val="1"/>
          <w:numId w:val="695"/>
        </w:numPr>
        <w:spacing w:after="240" w:line="360" w:lineRule="exact"/>
        <w:ind w:hanging="360"/>
        <w:rPr>
          <w:rFonts w:hint="eastAsia"/>
        </w:rPr>
      </w:pPr>
      <w:r>
        <w:rPr>
          <w:rFonts w:hint="eastAsia"/>
        </w:rPr>
        <w:t>阿马帕州、巴伊亚州、联邦区、戈亚斯州和里约热内卢州宪法规定，取消学校教科书和教材中对妇女的陈规定型描绘。一些州宪法为男女平等的目的，甚至提及修改教学大纲和进行教师培训。值得一提的是，联邦区组织法规定，大学教育应包括学习妇女的历史成就的课程；</w:t>
      </w:r>
    </w:p>
    <w:p w:rsidR="00000000" w:rsidRDefault="004D2F83">
      <w:pPr>
        <w:pStyle w:val="NormalIndent"/>
        <w:numPr>
          <w:ilvl w:val="1"/>
          <w:numId w:val="695"/>
        </w:numPr>
        <w:spacing w:after="240" w:line="360" w:lineRule="exact"/>
        <w:ind w:hanging="360"/>
        <w:rPr>
          <w:rFonts w:hint="eastAsia"/>
        </w:rPr>
      </w:pPr>
      <w:r>
        <w:rPr>
          <w:rFonts w:hint="eastAsia"/>
        </w:rPr>
        <w:t>米纳斯吉拉斯州、南马托格罗索州、帕拉伊巴州、巴拉那州、托坎廷斯州、阿马帕州、巴伊亚州、圣埃斯皮里图州、戈亚斯州、南里约格朗德州宪法以及联邦区组织法规定防止和惩处对妇女的家庭暴力。一些州宪法规定成立警务部</w:t>
      </w:r>
      <w:r>
        <w:rPr>
          <w:rFonts w:hint="eastAsia"/>
        </w:rPr>
        <w:t>门，专门为妇女提供援助（阿马帕州、巴伊亚州、塞阿拉州、联邦区、南马托格罗索州、巴拉那州、里约热内卢州、南里约格朗德州和塞尔希培州）；还有一些州宪法制定了各种方案，旨在为妇女提供跨学科援助；另外，还有一些州宪法决定为面临危险的妇女建立庇护所（巴伊亚州、塞阿拉州、联邦区、马托格罗索州、巴拉那州、皮奥伊州、里约热内卢州和托坎廷斯州）；最后，托坎廷斯州宪法规定为遭强暴的妇女提供专门的医疗和心理治疗；</w:t>
      </w:r>
    </w:p>
    <w:p w:rsidR="00000000" w:rsidRDefault="004D2F83">
      <w:pPr>
        <w:pStyle w:val="NormalIndent"/>
        <w:numPr>
          <w:ilvl w:val="1"/>
          <w:numId w:val="695"/>
        </w:numPr>
        <w:spacing w:after="240" w:line="360" w:lineRule="exact"/>
        <w:ind w:hanging="360"/>
        <w:rPr>
          <w:rFonts w:hint="eastAsia"/>
        </w:rPr>
      </w:pPr>
      <w:r>
        <w:rPr>
          <w:rFonts w:hint="eastAsia"/>
        </w:rPr>
        <w:t>塞阿拉州、马拉尼昂州、巴拉州、巴拉那州、巴伊亚州、里约热内卢州、托坎廷斯州宪法以及联邦区组织法规定妇女要参与政府政策</w:t>
      </w:r>
      <w:r>
        <w:rPr>
          <w:rFonts w:hint="eastAsia"/>
        </w:rPr>
        <w:t>的制定和执行工作，其中托坎廷斯州宪法就是个例子，它对妇女代表实体参与政府对妇女保健全面援助方案的制定、管理和执行工作作了规定。</w:t>
      </w:r>
    </w:p>
    <w:p w:rsidR="00000000" w:rsidRDefault="004D2F83" w:rsidP="004D2F83">
      <w:pPr>
        <w:pStyle w:val="NormalIndent"/>
        <w:spacing w:after="240" w:line="360" w:lineRule="exact"/>
        <w:ind w:firstLineChars="200" w:firstLine="31680"/>
        <w:rPr>
          <w:rFonts w:hint="eastAsia"/>
        </w:rPr>
      </w:pPr>
      <w:r>
        <w:rPr>
          <w:rFonts w:hint="eastAsia"/>
        </w:rPr>
        <w:t>上文我们着重介绍了各州宪法为消除对妇女歧视而做出的重要贡献，下面我们要分章节具体论述巴西为执行《公约》而采取的立法、司法和行政措施，以及根据《消除对妇女一切形式歧视公约》第</w:t>
      </w:r>
      <w:r>
        <w:rPr>
          <w:rFonts w:hint="eastAsia"/>
        </w:rPr>
        <w:t>18</w:t>
      </w:r>
      <w:r>
        <w:rPr>
          <w:rFonts w:hint="eastAsia"/>
        </w:rPr>
        <w:t>条，巴西所面临的一些问题和困难。</w:t>
      </w:r>
    </w:p>
    <w:p w:rsidR="00000000" w:rsidRDefault="004D2F83" w:rsidP="004D2F83">
      <w:pPr>
        <w:tabs>
          <w:tab w:val="right" w:leader="dot" w:pos="9720"/>
        </w:tabs>
        <w:spacing w:after="120" w:line="360" w:lineRule="exact"/>
        <w:ind w:left="31680" w:rightChars="377" w:right="31680" w:hangingChars="228" w:firstLine="31680"/>
      </w:pPr>
    </w:p>
    <w:p w:rsidR="00000000" w:rsidRDefault="004D2F83" w:rsidP="004D2F83">
      <w:pPr>
        <w:tabs>
          <w:tab w:val="right" w:leader="dot" w:pos="9720"/>
        </w:tabs>
        <w:spacing w:after="120" w:line="360" w:lineRule="exact"/>
        <w:ind w:left="31680" w:rightChars="377" w:right="31680" w:hangingChars="228" w:firstLine="31680"/>
      </w:pPr>
    </w:p>
    <w:p w:rsidR="00000000" w:rsidRDefault="004D2F83">
      <w:pPr>
        <w:pStyle w:val="NormalIndent"/>
        <w:spacing w:after="120" w:line="360" w:lineRule="exact"/>
        <w:ind w:firstLine="0"/>
        <w:jc w:val="center"/>
      </w:pPr>
      <w:r>
        <w:br w:type="page"/>
      </w:r>
    </w:p>
    <w:p w:rsidR="00000000" w:rsidRDefault="004D2F83">
      <w:pPr>
        <w:pStyle w:val="Heading2"/>
        <w:spacing w:before="0" w:after="240" w:line="360" w:lineRule="exact"/>
        <w:jc w:val="center"/>
        <w:rPr>
          <w:rFonts w:ascii="SimHei"/>
          <w:b w:val="0"/>
          <w:bCs/>
          <w:sz w:val="28"/>
        </w:rPr>
      </w:pPr>
      <w:bookmarkStart w:id="6" w:name="_Toc36367076"/>
      <w:r>
        <w:rPr>
          <w:rFonts w:ascii="SimHei" w:hint="eastAsia"/>
          <w:b w:val="0"/>
          <w:bCs/>
          <w:sz w:val="28"/>
        </w:rPr>
        <w:t>2</w:t>
      </w:r>
      <w:r>
        <w:rPr>
          <w:rFonts w:ascii="SimHei" w:hint="eastAsia"/>
          <w:b w:val="0"/>
          <w:bCs/>
          <w:sz w:val="28"/>
        </w:rPr>
        <w:t>．具体部分——《公约》条款</w:t>
      </w:r>
      <w:bookmarkEnd w:id="6"/>
    </w:p>
    <w:p w:rsidR="00000000" w:rsidRDefault="004D2F83">
      <w:pPr>
        <w:pStyle w:val="NormalIndent"/>
        <w:spacing w:after="120" w:line="360" w:lineRule="exact"/>
        <w:ind w:firstLine="0"/>
        <w:jc w:val="center"/>
        <w:rPr>
          <w:rFonts w:ascii="SimHei" w:eastAsia="SimHei"/>
          <w:bCs/>
          <w:sz w:val="28"/>
        </w:rPr>
      </w:pPr>
    </w:p>
    <w:p w:rsidR="00000000" w:rsidRDefault="004D2F83">
      <w:pPr>
        <w:pStyle w:val="Heading3"/>
        <w:numPr>
          <w:ilvl w:val="0"/>
          <w:numId w:val="0"/>
        </w:numPr>
        <w:spacing w:before="0"/>
        <w:jc w:val="center"/>
        <w:rPr>
          <w:rFonts w:ascii="KaiTi_GB2312" w:eastAsia="KaiTi_GB2312" w:hint="eastAsia"/>
          <w:b/>
          <w:bCs/>
          <w:u w:val="none"/>
        </w:rPr>
      </w:pPr>
      <w:bookmarkStart w:id="7" w:name="_Toc36367077"/>
      <w:r>
        <w:rPr>
          <w:rFonts w:ascii="KaiTi_GB2312" w:eastAsia="KaiTi_GB2312" w:hint="eastAsia"/>
          <w:b/>
          <w:bCs/>
          <w:u w:val="none"/>
        </w:rPr>
        <w:t>第</w:t>
      </w:r>
      <w:r>
        <w:rPr>
          <w:rFonts w:ascii="KaiTi_GB2312" w:eastAsia="KaiTi_GB2312" w:hint="eastAsia"/>
          <w:b/>
          <w:bCs/>
          <w:u w:val="none"/>
        </w:rPr>
        <w:t>1</w:t>
      </w:r>
      <w:r>
        <w:rPr>
          <w:rFonts w:ascii="KaiTi_GB2312" w:eastAsia="KaiTi_GB2312" w:hint="eastAsia"/>
          <w:b/>
          <w:bCs/>
          <w:u w:val="none"/>
        </w:rPr>
        <w:t>条</w:t>
      </w:r>
      <w:bookmarkEnd w:id="7"/>
    </w:p>
    <w:p w:rsidR="00000000" w:rsidRDefault="004D2F83" w:rsidP="004D2F83">
      <w:pPr>
        <w:pStyle w:val="NormalWeb"/>
        <w:spacing w:before="0" w:beforeAutospacing="0" w:after="240" w:afterAutospacing="0" w:line="360" w:lineRule="exact"/>
        <w:ind w:firstLineChars="200" w:firstLine="31680"/>
        <w:rPr>
          <w:rFonts w:ascii="KaiTi_GB2312" w:eastAsia="KaiTi_GB2312" w:hAnsi=""/>
          <w:b/>
          <w:bCs/>
          <w:sz w:val="21"/>
          <w:szCs w:val="18"/>
        </w:rPr>
      </w:pPr>
      <w:r>
        <w:rPr>
          <w:rFonts w:ascii="KaiTi_GB2312" w:eastAsia="KaiTi_GB2312" w:hAnsi="" w:hint="eastAsia"/>
          <w:b/>
          <w:bCs/>
          <w:sz w:val="21"/>
          <w:szCs w:val="18"/>
        </w:rPr>
        <w:t>在本公约中，“对妇女的歧视”一词指基于性别而作的任何区别、排斥或限制，其影响或其目的均足以妨碍或否认妇女不论已婚未婚在男女平等</w:t>
      </w:r>
      <w:r>
        <w:rPr>
          <w:rFonts w:ascii="KaiTi_GB2312" w:eastAsia="KaiTi_GB2312" w:hAnsi="" w:hint="eastAsia"/>
          <w:b/>
          <w:bCs/>
          <w:sz w:val="21"/>
          <w:szCs w:val="18"/>
        </w:rPr>
        <w:t>的基础上认识、享有或行使在政治、经济、社会、文化、公民或任何其他方面的人权和基本自由。</w:t>
      </w:r>
      <w:r>
        <w:rPr>
          <w:rFonts w:ascii="KaiTi_GB2312" w:eastAsia="KaiTi_GB2312" w:hAnsi="" w:hint="eastAsia"/>
          <w:b/>
          <w:bCs/>
          <w:sz w:val="21"/>
          <w:szCs w:val="18"/>
        </w:rPr>
        <w:t xml:space="preserve"> </w:t>
      </w:r>
    </w:p>
    <w:p w:rsidR="00000000" w:rsidRDefault="004D2F83">
      <w:pPr>
        <w:pStyle w:val="Heading3"/>
        <w:numPr>
          <w:ilvl w:val="0"/>
          <w:numId w:val="0"/>
        </w:numPr>
        <w:spacing w:before="0"/>
        <w:jc w:val="center"/>
        <w:rPr>
          <w:rFonts w:ascii="KaiTi_GB2312" w:eastAsia="KaiTi_GB2312" w:hint="eastAsia"/>
          <w:b/>
          <w:bCs/>
          <w:u w:val="none"/>
        </w:rPr>
      </w:pPr>
      <w:bookmarkStart w:id="8" w:name="_Toc36367078"/>
      <w:r>
        <w:rPr>
          <w:rFonts w:ascii="KaiTi_GB2312" w:eastAsia="KaiTi_GB2312" w:hint="eastAsia"/>
          <w:b/>
          <w:bCs/>
          <w:u w:val="none"/>
        </w:rPr>
        <w:t>第</w:t>
      </w:r>
      <w:r>
        <w:rPr>
          <w:rFonts w:ascii="KaiTi_GB2312" w:eastAsia="KaiTi_GB2312" w:hint="eastAsia"/>
          <w:b/>
          <w:bCs/>
          <w:u w:val="none"/>
        </w:rPr>
        <w:t>2</w:t>
      </w:r>
      <w:r>
        <w:rPr>
          <w:rFonts w:ascii="KaiTi_GB2312" w:eastAsia="KaiTi_GB2312" w:hint="eastAsia"/>
          <w:b/>
          <w:bCs/>
          <w:u w:val="none"/>
        </w:rPr>
        <w:t>条</w:t>
      </w:r>
      <w:bookmarkEnd w:id="8"/>
    </w:p>
    <w:p w:rsidR="00000000" w:rsidRDefault="004D2F83" w:rsidP="004D2F83">
      <w:pPr>
        <w:pStyle w:val="NormalWeb"/>
        <w:spacing w:before="0" w:beforeAutospacing="0" w:after="240" w:afterAutospacing="0" w:line="360" w:lineRule="exact"/>
        <w:ind w:firstLineChars="200" w:firstLine="31680"/>
        <w:rPr>
          <w:rFonts w:ascii="KaiTi_GB2312" w:eastAsia="KaiTi_GB2312" w:hAnsi="" w:hint="eastAsia"/>
          <w:b/>
          <w:bCs/>
          <w:sz w:val="21"/>
          <w:szCs w:val="18"/>
        </w:rPr>
      </w:pPr>
      <w:r>
        <w:rPr>
          <w:rFonts w:ascii="KaiTi_GB2312" w:eastAsia="KaiTi_GB2312" w:hAnsi="" w:hint="eastAsia"/>
          <w:b/>
          <w:bCs/>
          <w:sz w:val="21"/>
          <w:szCs w:val="18"/>
        </w:rPr>
        <w:t>缔约各国谴责对妇女一切形式的歧视，协议立即用一切适当办法，推行消除对妇女歧视的政策。为此目的，承担：</w:t>
      </w:r>
      <w:r>
        <w:rPr>
          <w:rFonts w:ascii="KaiTi_GB2312" w:eastAsia="KaiTi_GB2312" w:hAnsi="" w:hint="eastAsia"/>
          <w:b/>
          <w:bCs/>
          <w:sz w:val="21"/>
          <w:szCs w:val="18"/>
        </w:rPr>
        <w:t xml:space="preserve"> </w:t>
      </w:r>
    </w:p>
    <w:p w:rsidR="00000000" w:rsidRDefault="004D2F83" w:rsidP="004D2F83">
      <w:pPr>
        <w:pStyle w:val="NormalWeb"/>
        <w:spacing w:before="0" w:beforeAutospacing="0" w:after="240" w:afterAutospacing="0" w:line="360" w:lineRule="exact"/>
        <w:ind w:leftChars="200" w:left="31680" w:hangingChars="250" w:firstLine="31680"/>
        <w:rPr>
          <w:rFonts w:ascii="KaiTi_GB2312" w:eastAsia="KaiTi_GB2312" w:hAnsi="" w:hint="eastAsia"/>
          <w:b/>
          <w:bCs/>
          <w:sz w:val="21"/>
          <w:szCs w:val="18"/>
        </w:rPr>
      </w:pPr>
      <w:r>
        <w:rPr>
          <w:rFonts w:ascii="KaiTi_GB2312" w:eastAsia="KaiTi_GB2312" w:hAnsi="" w:hint="eastAsia"/>
          <w:b/>
          <w:bCs/>
          <w:sz w:val="21"/>
          <w:szCs w:val="18"/>
        </w:rPr>
        <w:t>（</w:t>
      </w:r>
      <w:r>
        <w:rPr>
          <w:rFonts w:ascii="KaiTi_GB2312" w:eastAsia="KaiTi_GB2312" w:hAnsi="Times New Roman"/>
          <w:b/>
          <w:bCs/>
          <w:sz w:val="21"/>
          <w:szCs w:val="18"/>
        </w:rPr>
        <w:t>a</w:t>
      </w:r>
      <w:r>
        <w:rPr>
          <w:rFonts w:ascii="KaiTi_GB2312" w:eastAsia="KaiTi_GB2312" w:hAnsi="" w:hint="eastAsia"/>
          <w:b/>
          <w:bCs/>
          <w:sz w:val="21"/>
          <w:szCs w:val="18"/>
        </w:rPr>
        <w:t>）男女平等的原则如尚未列入本国宪法或其他有关法律者，应将其列入，并以法律或其他适当方法，保证实现这项原则；</w:t>
      </w:r>
      <w:r>
        <w:rPr>
          <w:rFonts w:ascii="KaiTi_GB2312" w:eastAsia="KaiTi_GB2312" w:hAnsi="" w:hint="eastAsia"/>
          <w:b/>
          <w:bCs/>
          <w:sz w:val="21"/>
          <w:szCs w:val="18"/>
        </w:rPr>
        <w:t xml:space="preserve"> </w:t>
      </w:r>
    </w:p>
    <w:p w:rsidR="00000000" w:rsidRDefault="004D2F83" w:rsidP="004D2F83">
      <w:pPr>
        <w:pStyle w:val="NormalWeb"/>
        <w:spacing w:before="0" w:beforeAutospacing="0" w:after="240" w:afterAutospacing="0" w:line="360" w:lineRule="exact"/>
        <w:ind w:leftChars="200" w:left="31680" w:hangingChars="250" w:firstLine="31680"/>
        <w:rPr>
          <w:rFonts w:ascii="KaiTi_GB2312" w:eastAsia="KaiTi_GB2312" w:hAnsi="" w:hint="eastAsia"/>
          <w:b/>
          <w:bCs/>
          <w:sz w:val="21"/>
          <w:szCs w:val="18"/>
        </w:rPr>
      </w:pPr>
      <w:r>
        <w:rPr>
          <w:rFonts w:ascii="KaiTi_GB2312" w:eastAsia="KaiTi_GB2312" w:hAnsi="" w:hint="eastAsia"/>
          <w:b/>
          <w:bCs/>
          <w:sz w:val="21"/>
          <w:szCs w:val="18"/>
        </w:rPr>
        <w:t>（</w:t>
      </w:r>
      <w:r>
        <w:rPr>
          <w:rFonts w:ascii="KaiTi_GB2312" w:eastAsia="KaiTi_GB2312" w:hAnsi="" w:hint="eastAsia"/>
          <w:b/>
          <w:bCs/>
          <w:sz w:val="21"/>
          <w:szCs w:val="18"/>
        </w:rPr>
        <w:t>b</w:t>
      </w:r>
      <w:r>
        <w:rPr>
          <w:rFonts w:ascii="KaiTi_GB2312" w:eastAsia="KaiTi_GB2312" w:hAnsi="" w:hint="eastAsia"/>
          <w:b/>
          <w:bCs/>
          <w:sz w:val="21"/>
          <w:szCs w:val="18"/>
        </w:rPr>
        <w:t>）采取适当立法和其他措施，包括在适当情况下实行制裁，以禁止对妇女的一切歧视；</w:t>
      </w:r>
      <w:r>
        <w:rPr>
          <w:rFonts w:ascii="KaiTi_GB2312" w:eastAsia="KaiTi_GB2312" w:hAnsi="" w:hint="eastAsia"/>
          <w:b/>
          <w:bCs/>
          <w:sz w:val="21"/>
          <w:szCs w:val="18"/>
        </w:rPr>
        <w:t xml:space="preserve"> </w:t>
      </w:r>
    </w:p>
    <w:p w:rsidR="00000000" w:rsidRDefault="004D2F83" w:rsidP="004D2F83">
      <w:pPr>
        <w:pStyle w:val="NormalWeb"/>
        <w:spacing w:before="0" w:beforeAutospacing="0" w:after="240" w:afterAutospacing="0" w:line="360" w:lineRule="exact"/>
        <w:ind w:leftChars="200" w:left="31680" w:hangingChars="250" w:firstLine="31680"/>
        <w:rPr>
          <w:rFonts w:ascii="KaiTi_GB2312" w:eastAsia="KaiTi_GB2312" w:hAnsi="" w:hint="eastAsia"/>
          <w:b/>
          <w:bCs/>
          <w:sz w:val="21"/>
          <w:szCs w:val="18"/>
        </w:rPr>
      </w:pPr>
      <w:r>
        <w:rPr>
          <w:rFonts w:ascii="KaiTi_GB2312" w:eastAsia="KaiTi_GB2312" w:hAnsi="" w:hint="eastAsia"/>
          <w:b/>
          <w:bCs/>
          <w:sz w:val="21"/>
          <w:szCs w:val="18"/>
        </w:rPr>
        <w:t>（</w:t>
      </w:r>
      <w:r>
        <w:rPr>
          <w:rFonts w:ascii="KaiTi_GB2312" w:eastAsia="KaiTi_GB2312" w:hAnsi="" w:hint="eastAsia"/>
          <w:b/>
          <w:bCs/>
          <w:sz w:val="21"/>
          <w:szCs w:val="18"/>
        </w:rPr>
        <w:t>c</w:t>
      </w:r>
      <w:r>
        <w:rPr>
          <w:rFonts w:ascii="KaiTi_GB2312" w:eastAsia="KaiTi_GB2312" w:hAnsi="" w:hint="eastAsia"/>
          <w:b/>
          <w:bCs/>
          <w:sz w:val="21"/>
          <w:szCs w:val="18"/>
        </w:rPr>
        <w:t>）为妇女确立与男子平等权利的法律保护，通过各国的主管法庭及其他公共机构，保证切实保护妇女不受任何歧视；</w:t>
      </w:r>
    </w:p>
    <w:p w:rsidR="00000000" w:rsidRDefault="004D2F83" w:rsidP="004D2F83">
      <w:pPr>
        <w:pStyle w:val="NormalWeb"/>
        <w:spacing w:before="0" w:beforeAutospacing="0" w:after="240" w:afterAutospacing="0" w:line="360" w:lineRule="exact"/>
        <w:ind w:leftChars="200" w:left="31680" w:hangingChars="250" w:firstLine="31680"/>
        <w:rPr>
          <w:rFonts w:ascii="KaiTi_GB2312" w:eastAsia="KaiTi_GB2312" w:hAnsi="" w:hint="eastAsia"/>
          <w:b/>
          <w:bCs/>
          <w:sz w:val="21"/>
          <w:szCs w:val="18"/>
        </w:rPr>
      </w:pPr>
      <w:r>
        <w:rPr>
          <w:rFonts w:ascii="KaiTi_GB2312" w:eastAsia="KaiTi_GB2312" w:hAnsi="" w:hint="eastAsia"/>
          <w:b/>
          <w:bCs/>
          <w:sz w:val="21"/>
          <w:szCs w:val="18"/>
        </w:rPr>
        <w:t>（</w:t>
      </w:r>
      <w:r>
        <w:rPr>
          <w:rFonts w:ascii="KaiTi_GB2312" w:eastAsia="KaiTi_GB2312" w:hAnsi=""/>
          <w:b/>
          <w:bCs/>
          <w:sz w:val="21"/>
          <w:szCs w:val="18"/>
        </w:rPr>
        <w:t>d</w:t>
      </w:r>
      <w:r>
        <w:rPr>
          <w:rFonts w:ascii="KaiTi_GB2312" w:eastAsia="KaiTi_GB2312" w:hAnsi="" w:hint="eastAsia"/>
          <w:b/>
          <w:bCs/>
          <w:sz w:val="21"/>
          <w:szCs w:val="18"/>
        </w:rPr>
        <w:t>）不采取任何歧视妇女的行为或做法，并保证政府当局和公共机构的行动都不违背这项义务；</w:t>
      </w:r>
      <w:r>
        <w:rPr>
          <w:rFonts w:ascii="KaiTi_GB2312" w:eastAsia="KaiTi_GB2312" w:hAnsi="" w:hint="eastAsia"/>
          <w:b/>
          <w:bCs/>
          <w:sz w:val="21"/>
          <w:szCs w:val="18"/>
        </w:rPr>
        <w:t xml:space="preserve"> </w:t>
      </w:r>
    </w:p>
    <w:p w:rsidR="00000000" w:rsidRDefault="004D2F83" w:rsidP="004D2F83">
      <w:pPr>
        <w:pStyle w:val="NormalWeb"/>
        <w:spacing w:before="0" w:beforeAutospacing="0" w:after="240" w:afterAutospacing="0" w:line="360" w:lineRule="exact"/>
        <w:ind w:leftChars="200" w:left="31680" w:hangingChars="250" w:firstLine="31680"/>
        <w:rPr>
          <w:rFonts w:ascii="KaiTi_GB2312" w:eastAsia="KaiTi_GB2312" w:hAnsi="" w:hint="eastAsia"/>
          <w:b/>
          <w:bCs/>
          <w:sz w:val="21"/>
          <w:szCs w:val="18"/>
        </w:rPr>
      </w:pPr>
      <w:r>
        <w:rPr>
          <w:rFonts w:ascii="KaiTi_GB2312" w:eastAsia="KaiTi_GB2312" w:hAnsi="" w:hint="eastAsia"/>
          <w:b/>
          <w:bCs/>
          <w:sz w:val="21"/>
          <w:szCs w:val="18"/>
        </w:rPr>
        <w:t>（</w:t>
      </w:r>
      <w:r>
        <w:rPr>
          <w:rFonts w:ascii="KaiTi_GB2312" w:eastAsia="KaiTi_GB2312" w:hAnsi="" w:hint="eastAsia"/>
          <w:b/>
          <w:bCs/>
          <w:sz w:val="21"/>
          <w:szCs w:val="18"/>
        </w:rPr>
        <w:t>e</w:t>
      </w:r>
      <w:r>
        <w:rPr>
          <w:rFonts w:ascii="KaiTi_GB2312" w:eastAsia="KaiTi_GB2312" w:hAnsi="" w:hint="eastAsia"/>
          <w:b/>
          <w:bCs/>
          <w:sz w:val="21"/>
          <w:szCs w:val="18"/>
        </w:rPr>
        <w:t>）采取一切适当措施，消除任何个人、组织或企业对妇女的歧视；</w:t>
      </w:r>
      <w:r>
        <w:rPr>
          <w:rFonts w:ascii="KaiTi_GB2312" w:eastAsia="KaiTi_GB2312" w:hAnsi="" w:hint="eastAsia"/>
          <w:b/>
          <w:bCs/>
          <w:sz w:val="21"/>
          <w:szCs w:val="18"/>
        </w:rPr>
        <w:t xml:space="preserve"> </w:t>
      </w:r>
    </w:p>
    <w:p w:rsidR="00000000" w:rsidRDefault="004D2F83" w:rsidP="004D2F83">
      <w:pPr>
        <w:pStyle w:val="NormalWeb"/>
        <w:spacing w:before="0" w:beforeAutospacing="0" w:after="240" w:afterAutospacing="0" w:line="360" w:lineRule="exact"/>
        <w:ind w:leftChars="200" w:left="31680" w:hangingChars="250" w:firstLine="31680"/>
        <w:rPr>
          <w:rFonts w:ascii="KaiTi_GB2312" w:eastAsia="KaiTi_GB2312" w:hAnsi="" w:hint="eastAsia"/>
          <w:b/>
          <w:bCs/>
          <w:sz w:val="21"/>
          <w:szCs w:val="18"/>
        </w:rPr>
      </w:pPr>
      <w:r>
        <w:rPr>
          <w:rFonts w:ascii="KaiTi_GB2312" w:eastAsia="KaiTi_GB2312" w:hAnsi="" w:hint="eastAsia"/>
          <w:b/>
          <w:bCs/>
          <w:sz w:val="21"/>
          <w:szCs w:val="18"/>
        </w:rPr>
        <w:t>（</w:t>
      </w:r>
      <w:r>
        <w:rPr>
          <w:rFonts w:ascii="KaiTi_GB2312" w:eastAsia="KaiTi_GB2312" w:hAnsi="" w:hint="eastAsia"/>
          <w:b/>
          <w:bCs/>
          <w:sz w:val="21"/>
          <w:szCs w:val="18"/>
        </w:rPr>
        <w:t>f</w:t>
      </w:r>
      <w:r>
        <w:rPr>
          <w:rFonts w:ascii="KaiTi_GB2312" w:eastAsia="KaiTi_GB2312" w:hAnsi="" w:hint="eastAsia"/>
          <w:b/>
          <w:bCs/>
          <w:sz w:val="21"/>
          <w:szCs w:val="18"/>
        </w:rPr>
        <w:t>）采取一切适当措施，包括制定法律，以修改或废除构成对妇女歧视的现行法律、规章、习俗和惯例；</w:t>
      </w:r>
      <w:r>
        <w:rPr>
          <w:rFonts w:ascii="KaiTi_GB2312" w:eastAsia="KaiTi_GB2312" w:hAnsi="" w:hint="eastAsia"/>
          <w:b/>
          <w:bCs/>
          <w:sz w:val="21"/>
          <w:szCs w:val="18"/>
        </w:rPr>
        <w:t xml:space="preserve"> </w:t>
      </w:r>
    </w:p>
    <w:p w:rsidR="00000000" w:rsidRDefault="004D2F83" w:rsidP="004D2F83">
      <w:pPr>
        <w:pStyle w:val="NormalWeb"/>
        <w:spacing w:before="0" w:beforeAutospacing="0" w:after="240" w:afterAutospacing="0" w:line="360" w:lineRule="exact"/>
        <w:ind w:leftChars="200" w:left="31680" w:hangingChars="250" w:firstLine="31680"/>
        <w:rPr>
          <w:rFonts w:ascii="KaiTi_GB2312" w:eastAsia="KaiTi_GB2312" w:hAnsi="" w:hint="eastAsia"/>
          <w:b/>
          <w:bCs/>
          <w:sz w:val="21"/>
          <w:szCs w:val="18"/>
        </w:rPr>
      </w:pPr>
      <w:r>
        <w:rPr>
          <w:rFonts w:ascii="KaiTi_GB2312" w:eastAsia="KaiTi_GB2312" w:hAnsi="" w:hint="eastAsia"/>
          <w:b/>
          <w:bCs/>
          <w:sz w:val="21"/>
          <w:szCs w:val="18"/>
        </w:rPr>
        <w:t>（</w:t>
      </w:r>
      <w:r>
        <w:rPr>
          <w:rFonts w:ascii="KaiTi_GB2312" w:eastAsia="KaiTi_GB2312" w:hAnsi=""/>
          <w:b/>
          <w:bCs/>
          <w:sz w:val="21"/>
          <w:szCs w:val="18"/>
        </w:rPr>
        <w:t>g</w:t>
      </w:r>
      <w:r>
        <w:rPr>
          <w:rFonts w:ascii="KaiTi_GB2312" w:eastAsia="KaiTi_GB2312" w:hAnsi="" w:hint="eastAsia"/>
          <w:b/>
          <w:bCs/>
          <w:sz w:val="21"/>
          <w:szCs w:val="18"/>
        </w:rPr>
        <w:t>）废止本国刑法内构成对妇女歧视的一切规定。</w:t>
      </w:r>
      <w:r>
        <w:rPr>
          <w:rFonts w:ascii="KaiTi_GB2312" w:eastAsia="KaiTi_GB2312" w:hAnsi="" w:hint="eastAsia"/>
          <w:b/>
          <w:bCs/>
          <w:sz w:val="21"/>
          <w:szCs w:val="18"/>
        </w:rPr>
        <w:t xml:space="preserve"> </w:t>
      </w:r>
    </w:p>
    <w:p w:rsidR="00000000" w:rsidRDefault="004D2F83">
      <w:pPr>
        <w:pStyle w:val="Date"/>
        <w:spacing w:after="240" w:line="360" w:lineRule="exact"/>
        <w:rPr>
          <w:rFonts w:eastAsia="SimHei" w:hint="eastAsia"/>
          <w:sz w:val="24"/>
        </w:rPr>
      </w:pPr>
      <w:r>
        <w:rPr>
          <w:rFonts w:eastAsia="SimHei" w:hint="eastAsia"/>
          <w:sz w:val="24"/>
        </w:rPr>
        <w:t>立法措施</w:t>
      </w:r>
    </w:p>
    <w:p w:rsidR="00000000" w:rsidRDefault="004D2F83" w:rsidP="004D2F83">
      <w:pPr>
        <w:spacing w:after="240" w:line="360" w:lineRule="exact"/>
        <w:ind w:firstLineChars="225" w:firstLine="31680"/>
        <w:rPr>
          <w:rFonts w:hint="eastAsia"/>
        </w:rPr>
      </w:pPr>
      <w:r>
        <w:rPr>
          <w:rFonts w:hint="eastAsia"/>
        </w:rPr>
        <w:t>在批准《消除对妇女一切形式歧视公约》（消除对妇女歧视公约）后，巴西政府已将《公约》第一条所载的“对妇女的歧视”的法律定义纳入其司法体系，并已根据该《公约》第二条的规定，采取必要措施，包括立法措施来消除对</w:t>
      </w:r>
      <w:r>
        <w:rPr>
          <w:rFonts w:hint="eastAsia"/>
        </w:rPr>
        <w:t>妇女的歧视。</w:t>
      </w:r>
    </w:p>
    <w:p w:rsidR="00000000" w:rsidRDefault="004D2F83" w:rsidP="004D2F83">
      <w:pPr>
        <w:spacing w:after="240" w:line="360" w:lineRule="exact"/>
        <w:ind w:firstLineChars="225" w:firstLine="31680"/>
        <w:rPr>
          <w:rFonts w:hint="eastAsia"/>
        </w:rPr>
      </w:pPr>
      <w:r>
        <w:rPr>
          <w:rFonts w:hint="eastAsia"/>
        </w:rPr>
        <w:t>1989</w:t>
      </w:r>
      <w:r>
        <w:rPr>
          <w:rFonts w:hint="eastAsia"/>
        </w:rPr>
        <w:t>年，负责监督《公约》执行情况的委员会在其第</w:t>
      </w:r>
      <w:r>
        <w:rPr>
          <w:rFonts w:hint="eastAsia"/>
        </w:rPr>
        <w:t>8</w:t>
      </w:r>
      <w:r>
        <w:rPr>
          <w:rFonts w:hint="eastAsia"/>
        </w:rPr>
        <w:t>届会议通过的第</w:t>
      </w:r>
      <w:r>
        <w:rPr>
          <w:rFonts w:hint="eastAsia"/>
        </w:rPr>
        <w:t>12</w:t>
      </w:r>
      <w:r>
        <w:rPr>
          <w:rFonts w:hint="eastAsia"/>
        </w:rPr>
        <w:t>号一般性建议中建议缔约国在其报告中列入有关对妇女的暴力行为以及所采取的反抗措施的内容。该委员会认为，对妇女的暴力行为是某种形式的歧视，严重损害了妇女在与男子平等的基础上享受权利和自由。</w:t>
      </w:r>
    </w:p>
    <w:p w:rsidR="00000000" w:rsidRDefault="004D2F83" w:rsidP="004D2F83">
      <w:pPr>
        <w:spacing w:after="240" w:line="360" w:lineRule="exact"/>
        <w:ind w:firstLineChars="225" w:firstLine="31680"/>
        <w:rPr>
          <w:rFonts w:hint="eastAsia"/>
        </w:rPr>
      </w:pPr>
      <w:r>
        <w:rPr>
          <w:rFonts w:hint="eastAsia"/>
        </w:rPr>
        <w:t>该委员会认为，缔约国提交的报告有时不能充分反映出对妇女的歧视和暴力行为以及对人权和基本自由的侵犯之间的密切关系。委员会知道，要正确执行《公约》，就需要各成员国采取积极措施，消除对妇女一切形式的暴力行为。</w:t>
      </w:r>
    </w:p>
    <w:p w:rsidR="00000000" w:rsidRDefault="004D2F83" w:rsidP="004D2F83">
      <w:pPr>
        <w:spacing w:after="240" w:line="360" w:lineRule="exact"/>
        <w:ind w:firstLineChars="225" w:firstLine="31680"/>
        <w:rPr>
          <w:rFonts w:hint="eastAsia"/>
        </w:rPr>
      </w:pPr>
      <w:r>
        <w:rPr>
          <w:rFonts w:hint="eastAsia"/>
        </w:rPr>
        <w:t>在这方面，委员会在</w:t>
      </w:r>
      <w:r>
        <w:rPr>
          <w:rFonts w:hint="eastAsia"/>
        </w:rPr>
        <w:t>1992</w:t>
      </w:r>
      <w:r>
        <w:rPr>
          <w:rFonts w:hint="eastAsia"/>
        </w:rPr>
        <w:t>年第</w:t>
      </w:r>
      <w:r>
        <w:rPr>
          <w:rFonts w:hint="eastAsia"/>
        </w:rPr>
        <w:t>11</w:t>
      </w:r>
      <w:r>
        <w:rPr>
          <w:rFonts w:hint="eastAsia"/>
        </w:rPr>
        <w:t>届会</w:t>
      </w:r>
      <w:r>
        <w:rPr>
          <w:rFonts w:hint="eastAsia"/>
        </w:rPr>
        <w:t>议核可的</w:t>
      </w:r>
      <w:r>
        <w:rPr>
          <w:rFonts w:ascii="KaiTi_GB2312" w:eastAsia="KaiTi_GB2312" w:hint="eastAsia"/>
          <w:b/>
          <w:bCs/>
        </w:rPr>
        <w:t>第</w:t>
      </w:r>
      <w:r>
        <w:rPr>
          <w:rFonts w:ascii="KaiTi_GB2312" w:eastAsia="KaiTi_GB2312" w:hint="eastAsia"/>
          <w:b/>
          <w:bCs/>
        </w:rPr>
        <w:t>19</w:t>
      </w:r>
      <w:r>
        <w:rPr>
          <w:rFonts w:ascii="KaiTi_GB2312" w:eastAsia="KaiTi_GB2312" w:hint="eastAsia"/>
          <w:b/>
          <w:bCs/>
        </w:rPr>
        <w:t>号一般性建议</w:t>
      </w:r>
      <w:r>
        <w:rPr>
          <w:rFonts w:ascii="KaiTi_GB2312" w:eastAsia="KaiTi_GB2312" w:hint="eastAsia"/>
          <w:b/>
          <w:bCs/>
        </w:rPr>
        <w:t xml:space="preserve"> </w:t>
      </w:r>
      <w:r>
        <w:rPr>
          <w:rFonts w:ascii="SimHei" w:eastAsia="SimHei" w:hint="eastAsia"/>
        </w:rPr>
        <w:t>——</w:t>
      </w:r>
      <w:r>
        <w:rPr>
          <w:rFonts w:ascii="KaiTi_GB2312" w:eastAsia="KaiTi_GB2312" w:hint="eastAsia"/>
        </w:rPr>
        <w:t>“</w:t>
      </w:r>
      <w:r>
        <w:rPr>
          <w:rFonts w:ascii="KaiTi_GB2312" w:eastAsia="KaiTi_GB2312" w:hint="eastAsia"/>
          <w:b/>
          <w:bCs/>
        </w:rPr>
        <w:t>对妇女的暴力行为</w:t>
      </w:r>
      <w:r>
        <w:rPr>
          <w:rFonts w:hint="eastAsia"/>
        </w:rPr>
        <w:t>”中明确指出，《公约》第</w:t>
      </w:r>
      <w:r>
        <w:rPr>
          <w:rFonts w:hint="eastAsia"/>
        </w:rPr>
        <w:t>1</w:t>
      </w:r>
      <w:r>
        <w:rPr>
          <w:rFonts w:hint="eastAsia"/>
        </w:rPr>
        <w:t>条规定的“对妇女的歧视”定义包括基于性别的暴力行为，即由于她们是妇女而对其实施的暴力行为或者对妇女产生不相称的影响的暴力行为。委员会还指出，《公约》应该适用于公共当局或任何人、组织或公司对妇女实施的暴力行为，并且如果缔约国未能认真执行各种旨在防止侵犯权利、开展调查以及惩罚暴力行为并向受害者提供补偿的措施，它们也有可能对个人行为承担责任。</w:t>
      </w:r>
    </w:p>
    <w:p w:rsidR="00000000" w:rsidRDefault="004D2F83" w:rsidP="004D2F83">
      <w:pPr>
        <w:spacing w:after="240" w:line="360" w:lineRule="exact"/>
        <w:ind w:firstLineChars="225" w:firstLine="31680"/>
        <w:rPr>
          <w:rFonts w:hint="eastAsia"/>
        </w:rPr>
      </w:pPr>
      <w:r>
        <w:rPr>
          <w:rFonts w:hint="eastAsia"/>
        </w:rPr>
        <w:t>1994</w:t>
      </w:r>
      <w:r>
        <w:rPr>
          <w:rFonts w:hint="eastAsia"/>
        </w:rPr>
        <w:t>年，美洲国家组织（美洲组织）在美洲区域系统人权范围内通过了称为“贝伦杜帕拉公约”</w:t>
      </w:r>
      <w:r>
        <w:rPr>
          <w:rFonts w:hint="eastAsia"/>
        </w:rPr>
        <w:t xml:space="preserve"> </w:t>
      </w:r>
      <w:r>
        <w:rPr>
          <w:rFonts w:hint="eastAsia"/>
        </w:rPr>
        <w:t>的《美</w:t>
      </w:r>
      <w:r>
        <w:rPr>
          <w:rFonts w:hint="eastAsia"/>
        </w:rPr>
        <w:t>洲防止、惩罚和根除对妇女暴力行为公约》。</w:t>
      </w:r>
    </w:p>
    <w:p w:rsidR="00000000" w:rsidRDefault="004D2F83" w:rsidP="004D2F83">
      <w:pPr>
        <w:spacing w:after="240" w:line="360" w:lineRule="exact"/>
        <w:ind w:firstLineChars="225" w:firstLine="31680"/>
        <w:rPr>
          <w:rFonts w:hint="eastAsia"/>
        </w:rPr>
      </w:pPr>
      <w:r>
        <w:rPr>
          <w:rFonts w:hint="eastAsia"/>
        </w:rPr>
        <w:t>贝伦杜帕拉公约通过采纳《联合国消除对妇女的暴力行为宣言》（联合国</w:t>
      </w:r>
      <w:r>
        <w:rPr>
          <w:rFonts w:hint="eastAsia"/>
        </w:rPr>
        <w:t>1993</w:t>
      </w:r>
      <w:r>
        <w:rPr>
          <w:rFonts w:hint="eastAsia"/>
        </w:rPr>
        <w:t>年）中规定的对妇女的暴力行为的定义，</w:t>
      </w:r>
      <w:r>
        <w:t>a)</w:t>
      </w:r>
      <w:r>
        <w:rPr>
          <w:rFonts w:hint="eastAsia"/>
        </w:rPr>
        <w:t>重申对妇女的肉体、性和</w:t>
      </w:r>
      <w:r>
        <w:rPr>
          <w:rFonts w:hint="eastAsia"/>
        </w:rPr>
        <w:t>/</w:t>
      </w:r>
      <w:r>
        <w:rPr>
          <w:rFonts w:hint="eastAsia"/>
        </w:rPr>
        <w:t>或精神的暴力行为是对人权的侵犯；</w:t>
      </w:r>
      <w:r>
        <w:t>b)</w:t>
      </w:r>
      <w:r>
        <w:rPr>
          <w:rFonts w:hint="eastAsia"/>
        </w:rPr>
        <w:t>将性别列为对妇女暴力行为的依据之一；</w:t>
      </w:r>
      <w:r>
        <w:t>c)</w:t>
      </w:r>
      <w:r>
        <w:rPr>
          <w:rFonts w:hint="eastAsia"/>
        </w:rPr>
        <w:t>规定一系列的权利，以便确保妇女有权享受无暴力的公共和个人生活；</w:t>
      </w:r>
      <w:r>
        <w:t>d)</w:t>
      </w:r>
      <w:r>
        <w:rPr>
          <w:rFonts w:hint="eastAsia"/>
        </w:rPr>
        <w:t>通过一个家庭和家庭内暴力行为的广义概念；</w:t>
      </w:r>
      <w:r>
        <w:t>e)</w:t>
      </w:r>
      <w:r>
        <w:rPr>
          <w:rFonts w:hint="eastAsia"/>
        </w:rPr>
        <w:t>明确各缔约国应该履行的义务。</w:t>
      </w:r>
    </w:p>
    <w:p w:rsidR="00000000" w:rsidRDefault="004D2F83" w:rsidP="004D2F83">
      <w:pPr>
        <w:spacing w:after="240" w:line="360" w:lineRule="exact"/>
        <w:ind w:firstLineChars="225" w:firstLine="31680"/>
        <w:rPr>
          <w:rFonts w:hint="eastAsia"/>
        </w:rPr>
      </w:pPr>
      <w:r>
        <w:rPr>
          <w:rFonts w:hint="eastAsia"/>
        </w:rPr>
        <w:t>巴西于</w:t>
      </w:r>
      <w:r>
        <w:rPr>
          <w:rFonts w:hint="eastAsia"/>
        </w:rPr>
        <w:t>1995</w:t>
      </w:r>
      <w:r>
        <w:rPr>
          <w:rFonts w:hint="eastAsia"/>
        </w:rPr>
        <w:t>年</w:t>
      </w:r>
      <w:r>
        <w:rPr>
          <w:rFonts w:hint="eastAsia"/>
        </w:rPr>
        <w:t>11</w:t>
      </w:r>
      <w:r>
        <w:rPr>
          <w:rFonts w:hint="eastAsia"/>
        </w:rPr>
        <w:t>月</w:t>
      </w:r>
      <w:r>
        <w:rPr>
          <w:rFonts w:hint="eastAsia"/>
        </w:rPr>
        <w:t>27</w:t>
      </w:r>
      <w:r>
        <w:rPr>
          <w:rFonts w:hint="eastAsia"/>
        </w:rPr>
        <w:t>日批准了贝伦杜帕拉公约（第</w:t>
      </w:r>
      <w:r>
        <w:rPr>
          <w:rFonts w:hint="eastAsia"/>
        </w:rPr>
        <w:t>107/95</w:t>
      </w:r>
      <w:r>
        <w:rPr>
          <w:rFonts w:hint="eastAsia"/>
        </w:rPr>
        <w:t>号法令）并承诺履行该公约规定的法律义务。</w:t>
      </w:r>
    </w:p>
    <w:p w:rsidR="00000000" w:rsidRDefault="004D2F83" w:rsidP="004D2F83">
      <w:pPr>
        <w:spacing w:after="240" w:line="360" w:lineRule="exact"/>
        <w:ind w:firstLineChars="225" w:firstLine="31680"/>
        <w:rPr>
          <w:rFonts w:hint="eastAsia"/>
        </w:rPr>
      </w:pPr>
      <w:r>
        <w:rPr>
          <w:rFonts w:hint="eastAsia"/>
        </w:rPr>
        <w:t>根据巴西法律</w:t>
      </w:r>
      <w:r>
        <w:rPr>
          <w:rFonts w:hint="eastAsia"/>
        </w:rPr>
        <w:t>，妇女的人权因此应该从歧视和暴力的角度来考虑。歧视和暴力是同一二项式的两个部分，就象一个硬币的两面。歧视和暴力相辅相成，对妇女的歧视（排斥做法）是导致侵犯（暴力行为）的原因，反之亦然。这两种做法的根源在于对妇女的偏见和贬低。</w:t>
      </w:r>
    </w:p>
    <w:p w:rsidR="00000000" w:rsidRDefault="004D2F83" w:rsidP="004D2F83">
      <w:pPr>
        <w:spacing w:after="240" w:line="360" w:lineRule="exact"/>
        <w:ind w:firstLineChars="225" w:firstLine="31680"/>
        <w:rPr>
          <w:rFonts w:hint="eastAsia"/>
        </w:rPr>
      </w:pPr>
      <w:r>
        <w:rPr>
          <w:rFonts w:hint="eastAsia"/>
        </w:rPr>
        <w:t>关于如何制止对妇女的暴力行为，在美洲系统内，贝伦杜帕拉公约确保巴西妇女享有这样一个机制：根据《消除对妇女歧视公约》规定的权利，可以在全球系统内报告侵犯人权事件。但只有在巴西政府批准并执行《消除对妇女歧视公约任择议定书》后方可实施这一机制。</w:t>
      </w:r>
    </w:p>
    <w:p w:rsidR="00000000" w:rsidRDefault="004D2F83" w:rsidP="004D2F83">
      <w:pPr>
        <w:spacing w:after="240" w:line="360" w:lineRule="exact"/>
        <w:ind w:firstLineChars="225" w:firstLine="31680"/>
        <w:rPr>
          <w:rFonts w:hint="eastAsia"/>
        </w:rPr>
      </w:pPr>
      <w:r>
        <w:rPr>
          <w:rFonts w:hint="eastAsia"/>
        </w:rPr>
        <w:t>《消除对妇女歧视公约任择议定书》确保妇女在国家</w:t>
      </w:r>
      <w:r>
        <w:rPr>
          <w:rFonts w:hint="eastAsia"/>
        </w:rPr>
        <w:t>制度不能或疏于保护其人权的任何情况下，以最为直接有效的方式取得国际法律制度的保护。</w:t>
      </w:r>
      <w:r>
        <w:rPr>
          <w:rFonts w:hint="eastAsia"/>
        </w:rPr>
        <w:t>2001</w:t>
      </w:r>
      <w:r>
        <w:rPr>
          <w:rFonts w:hint="eastAsia"/>
        </w:rPr>
        <w:t>年</w:t>
      </w:r>
      <w:r>
        <w:rPr>
          <w:rFonts w:hint="eastAsia"/>
        </w:rPr>
        <w:t>3</w:t>
      </w:r>
      <w:r>
        <w:rPr>
          <w:rFonts w:hint="eastAsia"/>
        </w:rPr>
        <w:t>月</w:t>
      </w:r>
      <w:r>
        <w:rPr>
          <w:rFonts w:hint="eastAsia"/>
        </w:rPr>
        <w:t>13</w:t>
      </w:r>
      <w:r>
        <w:rPr>
          <w:rFonts w:hint="eastAsia"/>
        </w:rPr>
        <w:t>日，巴西签署了《任择议定书》，</w:t>
      </w:r>
      <w:r>
        <w:rPr>
          <w:rFonts w:hint="eastAsia"/>
        </w:rPr>
        <w:t>2002</w:t>
      </w:r>
      <w:r>
        <w:rPr>
          <w:rFonts w:hint="eastAsia"/>
        </w:rPr>
        <w:t>年</w:t>
      </w:r>
      <w:r>
        <w:rPr>
          <w:rFonts w:hint="eastAsia"/>
        </w:rPr>
        <w:t>6</w:t>
      </w:r>
      <w:r>
        <w:rPr>
          <w:rFonts w:hint="eastAsia"/>
        </w:rPr>
        <w:t>月</w:t>
      </w:r>
      <w:r>
        <w:rPr>
          <w:rFonts w:hint="eastAsia"/>
        </w:rPr>
        <w:t>6</w:t>
      </w:r>
      <w:r>
        <w:rPr>
          <w:rFonts w:hint="eastAsia"/>
        </w:rPr>
        <w:t>日，获得国民议会批准。批准书于同年</w:t>
      </w:r>
      <w:r>
        <w:rPr>
          <w:rFonts w:hint="eastAsia"/>
        </w:rPr>
        <w:t>6</w:t>
      </w:r>
      <w:r>
        <w:rPr>
          <w:rFonts w:hint="eastAsia"/>
        </w:rPr>
        <w:t>月</w:t>
      </w:r>
      <w:r>
        <w:rPr>
          <w:rFonts w:hint="eastAsia"/>
        </w:rPr>
        <w:t>28</w:t>
      </w:r>
      <w:r>
        <w:rPr>
          <w:rFonts w:hint="eastAsia"/>
        </w:rPr>
        <w:t>日交存联合国秘书长。</w:t>
      </w:r>
    </w:p>
    <w:p w:rsidR="00000000" w:rsidRDefault="004D2F83">
      <w:pPr>
        <w:pStyle w:val="Date"/>
        <w:spacing w:after="240" w:line="360" w:lineRule="exact"/>
        <w:rPr>
          <w:rFonts w:eastAsia="SimHei" w:hint="eastAsia"/>
          <w:sz w:val="24"/>
        </w:rPr>
      </w:pPr>
      <w:r>
        <w:rPr>
          <w:rFonts w:eastAsia="SimHei" w:hint="eastAsia"/>
          <w:sz w:val="24"/>
        </w:rPr>
        <w:t>联邦法律</w:t>
      </w:r>
    </w:p>
    <w:p w:rsidR="00000000" w:rsidRDefault="004D2F83" w:rsidP="004D2F83">
      <w:pPr>
        <w:spacing w:after="240" w:line="360" w:lineRule="exact"/>
        <w:ind w:firstLineChars="225" w:firstLine="31680"/>
        <w:rPr>
          <w:rFonts w:eastAsia="KaiTi_GB2312" w:hint="eastAsia"/>
        </w:rPr>
      </w:pPr>
      <w:r>
        <w:rPr>
          <w:rFonts w:eastAsia="KaiTi_GB2312" w:hint="eastAsia"/>
        </w:rPr>
        <w:t>《联邦宪法》</w:t>
      </w:r>
    </w:p>
    <w:p w:rsidR="00000000" w:rsidRDefault="004D2F83" w:rsidP="004D2F83">
      <w:pPr>
        <w:spacing w:after="240" w:line="360" w:lineRule="exact"/>
        <w:ind w:firstLineChars="225" w:firstLine="31680"/>
        <w:rPr>
          <w:rFonts w:hint="eastAsia"/>
        </w:rPr>
      </w:pPr>
      <w:r>
        <w:rPr>
          <w:rFonts w:hint="eastAsia"/>
        </w:rPr>
        <w:t>巴西联邦共和国的目标之一是“增进所有人的福利，不因出身、种族、性别、肤色、年龄和其他形式的差异而产生偏见”（第</w:t>
      </w:r>
      <w:r>
        <w:rPr>
          <w:rFonts w:hint="eastAsia"/>
        </w:rPr>
        <w:t>3</w:t>
      </w:r>
      <w:r>
        <w:rPr>
          <w:rFonts w:hint="eastAsia"/>
        </w:rPr>
        <w:t>条，第四款）。《宪法》第</w:t>
      </w:r>
      <w:r>
        <w:rPr>
          <w:rFonts w:hint="eastAsia"/>
        </w:rPr>
        <w:t>5</w:t>
      </w:r>
      <w:r>
        <w:rPr>
          <w:rFonts w:hint="eastAsia"/>
        </w:rPr>
        <w:t>条第一款和四十一款分别规定：“</w:t>
      </w:r>
      <w:r>
        <w:rPr>
          <w:rFonts w:eastAsia="SimHei" w:hint="eastAsia"/>
        </w:rPr>
        <w:t>男人和妇女享有和承担本宪法规定的同等权利与义务”</w:t>
      </w:r>
      <w:r>
        <w:rPr>
          <w:rFonts w:hint="eastAsia"/>
        </w:rPr>
        <w:t>以及</w:t>
      </w:r>
      <w:r>
        <w:rPr>
          <w:rFonts w:eastAsia="SimHei" w:hint="eastAsia"/>
        </w:rPr>
        <w:t>“法律将处罚任何侵犯基本权利和自由的歧视行为”</w:t>
      </w:r>
      <w:r>
        <w:rPr>
          <w:rFonts w:hint="eastAsia"/>
        </w:rPr>
        <w:t>。第</w:t>
      </w:r>
      <w:r>
        <w:rPr>
          <w:rFonts w:hint="eastAsia"/>
        </w:rPr>
        <w:t>5</w:t>
      </w:r>
      <w:r>
        <w:rPr>
          <w:rFonts w:hint="eastAsia"/>
        </w:rPr>
        <w:t>条第五</w:t>
      </w:r>
      <w:r>
        <w:rPr>
          <w:rFonts w:hint="eastAsia"/>
        </w:rPr>
        <w:t>十款还规定“应确保女囚犯在哺乳期间有充分的条件与孩子在一起”。</w:t>
      </w:r>
    </w:p>
    <w:p w:rsidR="00000000" w:rsidRDefault="004D2F83" w:rsidP="004D2F83">
      <w:pPr>
        <w:spacing w:after="240" w:line="360" w:lineRule="exact"/>
        <w:ind w:firstLineChars="225" w:firstLine="31680"/>
        <w:rPr>
          <w:rFonts w:hint="eastAsia"/>
        </w:rPr>
      </w:pPr>
      <w:r>
        <w:rPr>
          <w:rFonts w:hint="eastAsia"/>
        </w:rPr>
        <w:t>《宪法》规定男女平等所产生的结果比如：平等获得公共服务、平等获得城市和农村的土地以及平等获得劳动和教育机会。至于保护产妇方面，《联邦宪法》第</w:t>
      </w:r>
      <w:r>
        <w:rPr>
          <w:rFonts w:hint="eastAsia"/>
        </w:rPr>
        <w:t>7</w:t>
      </w:r>
      <w:r>
        <w:rPr>
          <w:rFonts w:hint="eastAsia"/>
        </w:rPr>
        <w:t>条第十七款规定产妇有权享受</w:t>
      </w:r>
      <w:r>
        <w:rPr>
          <w:rFonts w:hint="eastAsia"/>
        </w:rPr>
        <w:t>120</w:t>
      </w:r>
      <w:r>
        <w:rPr>
          <w:rFonts w:hint="eastAsia"/>
        </w:rPr>
        <w:t>天的产假，而不会失去工作和工资。《宪法》第</w:t>
      </w:r>
      <w:r>
        <w:rPr>
          <w:rFonts w:hint="eastAsia"/>
        </w:rPr>
        <w:t>39</w:t>
      </w:r>
      <w:r>
        <w:rPr>
          <w:rFonts w:hint="eastAsia"/>
        </w:rPr>
        <w:t>条第</w:t>
      </w:r>
      <w:r>
        <w:rPr>
          <w:rFonts w:hint="eastAsia"/>
        </w:rPr>
        <w:t>3</w:t>
      </w:r>
      <w:r>
        <w:rPr>
          <w:rFonts w:hint="eastAsia"/>
        </w:rPr>
        <w:t>款将这一权利扩大到政府的女性工作人员。第</w:t>
      </w:r>
      <w:r>
        <w:rPr>
          <w:rFonts w:hint="eastAsia"/>
        </w:rPr>
        <w:t>7</w:t>
      </w:r>
      <w:r>
        <w:rPr>
          <w:rFonts w:hint="eastAsia"/>
        </w:rPr>
        <w:t>条第二十五款确保城市和农村的女性工人的子女和受养人有权从出生到六岁获得免费入托儿所和学龄前学校的援助。关于针对妇女的特别临时措施，《宪法》第</w:t>
      </w:r>
      <w:r>
        <w:rPr>
          <w:rFonts w:hint="eastAsia"/>
        </w:rPr>
        <w:t>7</w:t>
      </w:r>
      <w:r>
        <w:rPr>
          <w:rFonts w:hint="eastAsia"/>
        </w:rPr>
        <w:t>条第二十款规定，通过采取法律规定的具体</w:t>
      </w:r>
      <w:r>
        <w:rPr>
          <w:rFonts w:hint="eastAsia"/>
        </w:rPr>
        <w:t>鼓励措施保障妇女进入劳动力市场。</w:t>
      </w:r>
    </w:p>
    <w:p w:rsidR="00000000" w:rsidRDefault="004D2F83" w:rsidP="004D2F83">
      <w:pPr>
        <w:spacing w:after="240" w:line="360" w:lineRule="exact"/>
        <w:ind w:firstLineChars="225" w:firstLine="31680"/>
        <w:rPr>
          <w:rFonts w:hint="eastAsia"/>
        </w:rPr>
      </w:pPr>
      <w:r>
        <w:rPr>
          <w:rFonts w:hint="eastAsia"/>
        </w:rPr>
        <w:t>《宪法》规定的男女平等原则在家庭和家庭内部关系范围也得到考虑，并对《宪法》下一级的立法，特别是家庭法和刑法领域产生影响。《宪法》第</w:t>
      </w:r>
      <w:r>
        <w:rPr>
          <w:rFonts w:hint="eastAsia"/>
        </w:rPr>
        <w:t>226</w:t>
      </w:r>
      <w:r>
        <w:rPr>
          <w:rFonts w:hint="eastAsia"/>
        </w:rPr>
        <w:t>条第</w:t>
      </w:r>
      <w:r>
        <w:rPr>
          <w:rFonts w:hint="eastAsia"/>
        </w:rPr>
        <w:t>5</w:t>
      </w:r>
      <w:r>
        <w:rPr>
          <w:rFonts w:hint="eastAsia"/>
        </w:rPr>
        <w:t>款指出</w:t>
      </w:r>
      <w:r>
        <w:rPr>
          <w:rFonts w:eastAsia="KaiTi_GB2312" w:hint="eastAsia"/>
        </w:rPr>
        <w:t>“</w:t>
      </w:r>
      <w:r>
        <w:rPr>
          <w:rFonts w:eastAsia="KaiTi_GB2312" w:hint="eastAsia"/>
          <w:b/>
          <w:bCs/>
        </w:rPr>
        <w:t>婚姻配偶的权利和义务应该由男女双方平等行使”</w:t>
      </w:r>
      <w:r>
        <w:rPr>
          <w:rFonts w:hint="eastAsia"/>
        </w:rPr>
        <w:t>。关于暴力行为，巴西妇女取得的重要法律成就载于《宪法》第</w:t>
      </w:r>
      <w:r>
        <w:rPr>
          <w:rFonts w:hint="eastAsia"/>
        </w:rPr>
        <w:t>226</w:t>
      </w:r>
      <w:r>
        <w:rPr>
          <w:rFonts w:hint="eastAsia"/>
        </w:rPr>
        <w:t>条第</w:t>
      </w:r>
      <w:r>
        <w:rPr>
          <w:rFonts w:hint="eastAsia"/>
        </w:rPr>
        <w:t>8</w:t>
      </w:r>
      <w:r>
        <w:rPr>
          <w:rFonts w:hint="eastAsia"/>
        </w:rPr>
        <w:t>款，其中规定：</w:t>
      </w:r>
      <w:r>
        <w:rPr>
          <w:rFonts w:eastAsia="KaiTi_GB2312" w:hint="eastAsia"/>
        </w:rPr>
        <w:t>“</w:t>
      </w:r>
      <w:r>
        <w:rPr>
          <w:rFonts w:eastAsia="KaiTi_GB2312" w:hint="eastAsia"/>
          <w:b/>
          <w:bCs/>
        </w:rPr>
        <w:t>国家应确保向家庭中的每个成员提供援助，建立禁止家庭内部暴力行为的机制</w:t>
      </w:r>
      <w:r>
        <w:rPr>
          <w:rFonts w:eastAsia="KaiTi_GB2312" w:hint="eastAsia"/>
        </w:rPr>
        <w:t>”</w:t>
      </w:r>
      <w:r>
        <w:rPr>
          <w:rFonts w:hint="eastAsia"/>
        </w:rPr>
        <w:t>。</w:t>
      </w:r>
    </w:p>
    <w:p w:rsidR="00000000" w:rsidRDefault="004D2F83" w:rsidP="004D2F83">
      <w:pPr>
        <w:spacing w:after="240" w:line="360" w:lineRule="exact"/>
        <w:ind w:firstLineChars="225" w:firstLine="31680"/>
        <w:rPr>
          <w:rFonts w:hint="eastAsia"/>
        </w:rPr>
      </w:pPr>
      <w:r>
        <w:rPr>
          <w:rFonts w:hint="eastAsia"/>
        </w:rPr>
        <w:t>因此，不难看出，《</w:t>
      </w:r>
      <w:r>
        <w:rPr>
          <w:rFonts w:hint="eastAsia"/>
        </w:rPr>
        <w:t>1988</w:t>
      </w:r>
      <w:r>
        <w:rPr>
          <w:rFonts w:hint="eastAsia"/>
        </w:rPr>
        <w:t>年宪章》与有关此问题的国际法规是完全一致的。不过，尽管有关于保护妇女人权和宪法内容方面的国际公约的规</w:t>
      </w:r>
      <w:r>
        <w:rPr>
          <w:rFonts w:hint="eastAsia"/>
        </w:rPr>
        <w:t>定，巴西仍然缺少有关性别暴力，特别是主要影响妇女和女孩的家庭暴力的具体立法。在过去的三个立法期间，女议员根据妇女运动法律专家提供的材料和已经由几个国家，包括拉丁美洲和加勒比国家通过的关于这一问题的具体规则提出了一些议案。这些议案遵循联合国特别报告员关于暴力问题的准则，但遭到众议院特别委员会的否决，理由是它们涉及几个法律领域，而不仅是刑法。</w:t>
      </w:r>
    </w:p>
    <w:p w:rsidR="00000000" w:rsidRDefault="004D2F83" w:rsidP="004D2F83">
      <w:pPr>
        <w:spacing w:after="240" w:line="360" w:lineRule="exact"/>
        <w:ind w:firstLineChars="225" w:firstLine="31680"/>
        <w:rPr>
          <w:rFonts w:hint="eastAsia"/>
        </w:rPr>
      </w:pPr>
      <w:r>
        <w:rPr>
          <w:rFonts w:hint="eastAsia"/>
        </w:rPr>
        <w:t>因此，《宪法》中规定的平等和不歧视原则需要每个成文法、民法、刑法和劳动法等修改其规则。但是，宪法以下的法律依然含有歧视妇女方面的指令，因为这些法律大多是在上个世纪初制定的</w:t>
      </w:r>
      <w:r>
        <w:rPr>
          <w:rFonts w:hint="eastAsia"/>
        </w:rPr>
        <w:t>，而目前仍在实施。比如——尽管最近做了一些修正——现行的《民法典》可追溯到</w:t>
      </w:r>
      <w:r>
        <w:rPr>
          <w:rFonts w:hint="eastAsia"/>
        </w:rPr>
        <w:t>1916</w:t>
      </w:r>
      <w:r>
        <w:rPr>
          <w:rFonts w:hint="eastAsia"/>
        </w:rPr>
        <w:t>年，《刑法典》</w:t>
      </w:r>
      <w:r>
        <w:rPr>
          <w:rFonts w:hint="eastAsia"/>
        </w:rPr>
        <w:t>1940</w:t>
      </w:r>
      <w:r>
        <w:rPr>
          <w:rFonts w:hint="eastAsia"/>
        </w:rPr>
        <w:t>年，《劳动法》</w:t>
      </w:r>
      <w:r>
        <w:rPr>
          <w:rFonts w:hint="eastAsia"/>
        </w:rPr>
        <w:t>1943</w:t>
      </w:r>
      <w:r>
        <w:rPr>
          <w:rFonts w:hint="eastAsia"/>
        </w:rPr>
        <w:t>年。要强调的重要一点是，新的《民法典》已于</w:t>
      </w:r>
      <w:r>
        <w:rPr>
          <w:rFonts w:hint="eastAsia"/>
        </w:rPr>
        <w:t>2001</w:t>
      </w:r>
      <w:r>
        <w:rPr>
          <w:rFonts w:hint="eastAsia"/>
        </w:rPr>
        <w:t>年通过，但直到</w:t>
      </w:r>
      <w:r>
        <w:rPr>
          <w:rFonts w:hint="eastAsia"/>
        </w:rPr>
        <w:t>2003</w:t>
      </w:r>
      <w:r>
        <w:rPr>
          <w:rFonts w:hint="eastAsia"/>
        </w:rPr>
        <w:t>年</w:t>
      </w:r>
      <w:r>
        <w:rPr>
          <w:rFonts w:hint="eastAsia"/>
        </w:rPr>
        <w:t>1</w:t>
      </w:r>
      <w:r>
        <w:rPr>
          <w:rFonts w:hint="eastAsia"/>
        </w:rPr>
        <w:t>月</w:t>
      </w:r>
      <w:r>
        <w:rPr>
          <w:rFonts w:hint="eastAsia"/>
        </w:rPr>
        <w:t>11</w:t>
      </w:r>
      <w:r>
        <w:rPr>
          <w:rFonts w:hint="eastAsia"/>
        </w:rPr>
        <w:t>日才开始生效。</w:t>
      </w:r>
    </w:p>
    <w:p w:rsidR="00000000" w:rsidRDefault="004D2F83" w:rsidP="004D2F83">
      <w:pPr>
        <w:spacing w:after="240" w:line="360" w:lineRule="exact"/>
        <w:ind w:firstLineChars="225" w:firstLine="31680"/>
        <w:rPr>
          <w:rFonts w:hint="eastAsia"/>
        </w:rPr>
      </w:pPr>
      <w:r>
        <w:rPr>
          <w:rFonts w:hint="eastAsia"/>
        </w:rPr>
        <w:t>巴西的许多法律问题专家认为，上述法典中含有对妇女歧视的条款早就应该根据宪法内容予以废除。但这种观点并非一致共识。由全国一些公认的专家解释的《民法典》和《刑法典》在男女区别对待的条款中没有提到《宪法》。国家法院有时会使用违宪戒律。即使《民法典》和《刑法典》中违背《宪法》目标和宗旨的条款视为</w:t>
      </w:r>
      <w:r>
        <w:rPr>
          <w:rFonts w:hint="eastAsia"/>
        </w:rPr>
        <w:t>已被废除，这种废除也只是默示的，而非明确废除。因此，这类法令的适用性问题就留给了每位法官自行决定。</w:t>
      </w:r>
    </w:p>
    <w:p w:rsidR="00000000" w:rsidRDefault="004D2F83" w:rsidP="004D2F83">
      <w:pPr>
        <w:spacing w:after="240" w:line="360" w:lineRule="exact"/>
        <w:ind w:firstLineChars="225" w:firstLine="31680"/>
        <w:rPr>
          <w:rFonts w:hint="eastAsia"/>
        </w:rPr>
      </w:pPr>
      <w:r>
        <w:rPr>
          <w:rFonts w:hint="eastAsia"/>
        </w:rPr>
        <w:t>由于《联邦宪法》是从</w:t>
      </w:r>
      <w:r>
        <w:rPr>
          <w:rFonts w:hint="eastAsia"/>
        </w:rPr>
        <w:t>1988</w:t>
      </w:r>
      <w:r>
        <w:rPr>
          <w:rFonts w:hint="eastAsia"/>
        </w:rPr>
        <w:t>年开始生效，并加强了不歧视、团结和平等的规定，因此在法律模式、</w:t>
      </w:r>
      <w:r>
        <w:rPr>
          <w:rFonts w:hint="eastAsia"/>
        </w:rPr>
        <w:t>20</w:t>
      </w:r>
      <w:r>
        <w:rPr>
          <w:rFonts w:hint="eastAsia"/>
        </w:rPr>
        <w:t>世纪的社会变革和已经纳入巴西宪法中的国际人权法新的司法范例改革中存在一种暂时性的意识形态欠缺。巴西政府正在根据宪法内容和人权方面的条约努力将国家的法律体系进行全面整理。</w:t>
      </w:r>
    </w:p>
    <w:p w:rsidR="00000000" w:rsidRDefault="004D2F83" w:rsidP="004D2F83">
      <w:pPr>
        <w:spacing w:after="240" w:line="360" w:lineRule="exact"/>
        <w:ind w:firstLineChars="225" w:firstLine="31680"/>
        <w:rPr>
          <w:rFonts w:eastAsia="KaiTi_GB2312" w:hint="eastAsia"/>
        </w:rPr>
      </w:pPr>
      <w:r>
        <w:rPr>
          <w:rFonts w:eastAsia="KaiTi_GB2312" w:hint="eastAsia"/>
        </w:rPr>
        <w:t>《民法典》：</w:t>
      </w:r>
    </w:p>
    <w:p w:rsidR="00000000" w:rsidRDefault="004D2F83" w:rsidP="004D2F83">
      <w:pPr>
        <w:spacing w:after="240" w:line="360" w:lineRule="exact"/>
        <w:ind w:firstLineChars="225" w:firstLine="31680"/>
        <w:rPr>
          <w:rFonts w:hint="eastAsia"/>
        </w:rPr>
      </w:pPr>
      <w:r>
        <w:rPr>
          <w:rFonts w:hint="eastAsia"/>
        </w:rPr>
        <w:t>《民法典》的条款将在对《公约》第</w:t>
      </w:r>
      <w:r>
        <w:rPr>
          <w:rFonts w:hint="eastAsia"/>
        </w:rPr>
        <w:t>15</w:t>
      </w:r>
      <w:r>
        <w:rPr>
          <w:rFonts w:hint="eastAsia"/>
        </w:rPr>
        <w:t>和</w:t>
      </w:r>
      <w:r>
        <w:rPr>
          <w:rFonts w:hint="eastAsia"/>
        </w:rPr>
        <w:t>16</w:t>
      </w:r>
      <w:r>
        <w:rPr>
          <w:rFonts w:hint="eastAsia"/>
        </w:rPr>
        <w:t>条进行评论时加以具体探讨。不过，要着重指出的是，经过</w:t>
      </w:r>
      <w:r>
        <w:rPr>
          <w:rFonts w:hint="eastAsia"/>
        </w:rPr>
        <w:t>26</w:t>
      </w:r>
      <w:r>
        <w:rPr>
          <w:rFonts w:hint="eastAsia"/>
        </w:rPr>
        <w:t>年的讨论，国民议会最终在</w:t>
      </w:r>
      <w:r>
        <w:rPr>
          <w:rFonts w:hint="eastAsia"/>
        </w:rPr>
        <w:t>2001</w:t>
      </w:r>
      <w:r>
        <w:rPr>
          <w:rFonts w:hint="eastAsia"/>
        </w:rPr>
        <w:t>年</w:t>
      </w:r>
      <w:r>
        <w:rPr>
          <w:rFonts w:hint="eastAsia"/>
        </w:rPr>
        <w:t>8</w:t>
      </w:r>
      <w:r>
        <w:rPr>
          <w:rFonts w:hint="eastAsia"/>
        </w:rPr>
        <w:t>月通过了新的《民法典》。该法典已经获得批准，这是修改《民法典》，特别是在男女平等的原则方面，使之符合《宪法》规定方面取得的不可否认的进步。该法典将直到</w:t>
      </w:r>
      <w:r>
        <w:rPr>
          <w:rFonts w:hint="eastAsia"/>
        </w:rPr>
        <w:t>2003</w:t>
      </w:r>
      <w:r>
        <w:rPr>
          <w:rFonts w:hint="eastAsia"/>
        </w:rPr>
        <w:t>年</w:t>
      </w:r>
      <w:r>
        <w:rPr>
          <w:rFonts w:hint="eastAsia"/>
        </w:rPr>
        <w:t>1</w:t>
      </w:r>
      <w:r>
        <w:rPr>
          <w:rFonts w:hint="eastAsia"/>
        </w:rPr>
        <w:t>月</w:t>
      </w:r>
      <w:r>
        <w:rPr>
          <w:rFonts w:hint="eastAsia"/>
        </w:rPr>
        <w:t>11</w:t>
      </w:r>
      <w:r>
        <w:rPr>
          <w:rFonts w:hint="eastAsia"/>
        </w:rPr>
        <w:t>日在法律上的免除期结束时方可生效。</w:t>
      </w:r>
    </w:p>
    <w:p w:rsidR="00000000" w:rsidRDefault="004D2F83" w:rsidP="004D2F83">
      <w:pPr>
        <w:spacing w:after="240" w:line="360" w:lineRule="exact"/>
        <w:ind w:firstLineChars="225" w:firstLine="31680"/>
        <w:rPr>
          <w:rFonts w:eastAsia="KaiTi_GB2312" w:hint="eastAsia"/>
        </w:rPr>
      </w:pPr>
      <w:r>
        <w:rPr>
          <w:rFonts w:eastAsia="KaiTi_GB2312" w:hint="eastAsia"/>
        </w:rPr>
        <w:t>《刑法典》：</w:t>
      </w:r>
    </w:p>
    <w:p w:rsidR="00000000" w:rsidRDefault="004D2F83" w:rsidP="004D2F83">
      <w:pPr>
        <w:spacing w:after="240" w:line="360" w:lineRule="exact"/>
        <w:ind w:firstLineChars="225" w:firstLine="31680"/>
        <w:rPr>
          <w:rFonts w:hint="eastAsia"/>
        </w:rPr>
      </w:pPr>
      <w:r>
        <w:rPr>
          <w:rFonts w:hint="eastAsia"/>
        </w:rPr>
        <w:t>根据第</w:t>
      </w:r>
      <w:r>
        <w:rPr>
          <w:rFonts w:hint="eastAsia"/>
        </w:rPr>
        <w:t>2848</w:t>
      </w:r>
      <w:r>
        <w:rPr>
          <w:rFonts w:hint="eastAsia"/>
        </w:rPr>
        <w:t>号行政法制定的《巴西刑法典》自</w:t>
      </w:r>
      <w:r>
        <w:rPr>
          <w:rFonts w:hint="eastAsia"/>
        </w:rPr>
        <w:t>1940</w:t>
      </w:r>
      <w:r>
        <w:rPr>
          <w:rFonts w:hint="eastAsia"/>
        </w:rPr>
        <w:t>年开始生效，</w:t>
      </w:r>
      <w:r>
        <w:rPr>
          <w:rFonts w:hint="eastAsia"/>
        </w:rPr>
        <w:t>1984</w:t>
      </w:r>
      <w:r>
        <w:rPr>
          <w:rFonts w:hint="eastAsia"/>
        </w:rPr>
        <w:t>年根据第</w:t>
      </w:r>
      <w:r>
        <w:rPr>
          <w:rFonts w:hint="eastAsia"/>
        </w:rPr>
        <w:t>7209</w:t>
      </w:r>
      <w:r>
        <w:rPr>
          <w:rFonts w:hint="eastAsia"/>
        </w:rPr>
        <w:t>号法律进行了一些修正，作为对其一般部分的修订。</w:t>
      </w:r>
    </w:p>
    <w:p w:rsidR="00000000" w:rsidRDefault="004D2F83" w:rsidP="004D2F83">
      <w:pPr>
        <w:spacing w:after="240" w:line="360" w:lineRule="exact"/>
        <w:ind w:firstLineChars="225" w:firstLine="31680"/>
        <w:rPr>
          <w:rFonts w:hint="eastAsia"/>
        </w:rPr>
      </w:pPr>
      <w:r>
        <w:rPr>
          <w:rFonts w:hint="eastAsia"/>
        </w:rPr>
        <w:t>联邦政府通过司法部已经建立了一系列委员会，负责修订</w:t>
      </w:r>
      <w:r>
        <w:rPr>
          <w:rFonts w:hint="eastAsia"/>
        </w:rPr>
        <w:t>1940</w:t>
      </w:r>
      <w:r>
        <w:rPr>
          <w:rFonts w:hint="eastAsia"/>
        </w:rPr>
        <w:t>年《刑法典》的特别部分，并已努力对该部分进行修改，这一部分中的罪行具有代表性。特别值得一提的是：刑法</w:t>
      </w:r>
      <w:r>
        <w:rPr>
          <w:rFonts w:hint="eastAsia"/>
        </w:rPr>
        <w:t>典议案在尊重妇女尊严方面的问题上取得了积极进步：它在“侵犯性尊严罪”的标题下建议，包括诸如强奸和暴力猥亵罪在内的罪行不应继续视为有伤风化罪，而应视为侵犯性自由罪。该议案的另一个积极方面表现在它提出《刑法典》第</w:t>
      </w:r>
      <w:r>
        <w:rPr>
          <w:rFonts w:hint="eastAsia"/>
        </w:rPr>
        <w:t>128</w:t>
      </w:r>
      <w:r>
        <w:rPr>
          <w:rFonts w:hint="eastAsia"/>
        </w:rPr>
        <w:t>条的规定应该加以扩充，这一点与开罗和北京会议关于堕胎的建议相一致。</w:t>
      </w:r>
    </w:p>
    <w:p w:rsidR="00000000" w:rsidRDefault="004D2F83" w:rsidP="004D2F83">
      <w:pPr>
        <w:spacing w:after="240" w:line="360" w:lineRule="exact"/>
        <w:ind w:firstLineChars="225" w:firstLine="31680"/>
        <w:rPr>
          <w:rFonts w:hint="eastAsia"/>
        </w:rPr>
      </w:pPr>
      <w:r>
        <w:rPr>
          <w:rFonts w:hint="eastAsia"/>
        </w:rPr>
        <w:t>不过，该议案目前仍在司法部保留，有待提交国民议会批准。因此，巴西《刑法典》仍然含有重复出现歧视和不尊重妇女尊严提法的规定，这些与宪法内容和巴西加入的人权方面的条约背道而驰。</w:t>
      </w:r>
    </w:p>
    <w:p w:rsidR="00000000" w:rsidRDefault="004D2F83" w:rsidP="004D2F83">
      <w:pPr>
        <w:spacing w:after="240" w:line="360" w:lineRule="exact"/>
        <w:ind w:firstLineChars="225" w:firstLine="31680"/>
        <w:rPr>
          <w:rFonts w:hint="eastAsia"/>
        </w:rPr>
      </w:pPr>
      <w:r>
        <w:rPr>
          <w:rFonts w:hint="eastAsia"/>
        </w:rPr>
        <w:t>在《刑法典》一般部分第</w:t>
      </w:r>
      <w:r>
        <w:rPr>
          <w:rFonts w:hint="eastAsia"/>
        </w:rPr>
        <w:t>107</w:t>
      </w:r>
      <w:r>
        <w:rPr>
          <w:rFonts w:hint="eastAsia"/>
        </w:rPr>
        <w:t>条第七和第八款中规定，对于有</w:t>
      </w:r>
      <w:r>
        <w:rPr>
          <w:rFonts w:hint="eastAsia"/>
        </w:rPr>
        <w:t>伤风化罪（性犯罪），如果行为人与受害人结婚，或者受害人与第三方结婚，则应终止惩罚，只要所犯罪行没有实际暴力或严重威胁，并且受害一方在举行婚礼后六十（</w:t>
      </w:r>
      <w:r>
        <w:rPr>
          <w:rFonts w:hint="eastAsia"/>
        </w:rPr>
        <w:t>60</w:t>
      </w:r>
      <w:r>
        <w:rPr>
          <w:rFonts w:hint="eastAsia"/>
        </w:rPr>
        <w:t>）日内没有要求警方继续调查或继续进行刑事诉讼。这些款项不是以平等和尊重妇女作为自然人的尊严为基础，而是以宗法家庭的名誉为基础的。性犯罪影响了受害人的身心和精神的完整，而且她与第三方或侵犯人结婚也无法弥补对她造成的伤害。虽然对</w:t>
      </w:r>
      <w:r>
        <w:rPr>
          <w:rFonts w:hint="eastAsia"/>
        </w:rPr>
        <w:t>1984</w:t>
      </w:r>
      <w:r>
        <w:rPr>
          <w:rFonts w:hint="eastAsia"/>
        </w:rPr>
        <w:t>年的《刑法典》的一般部分进行了修改，此类使性犯罪者逍遥法外的理由依然生效。这种宽大处理背后的观念就是，通过和被告或在有些情况下和</w:t>
      </w:r>
      <w:r>
        <w:rPr>
          <w:rFonts w:hint="eastAsia"/>
        </w:rPr>
        <w:t>第三方结婚，使“受害人的名誉得到保全</w:t>
      </w:r>
      <w:r>
        <w:rPr>
          <w:rFonts w:hint="eastAsia"/>
        </w:rPr>
        <w:t>/</w:t>
      </w:r>
      <w:r>
        <w:rPr>
          <w:rFonts w:hint="eastAsia"/>
        </w:rPr>
        <w:t>补救”。</w:t>
      </w:r>
    </w:p>
    <w:p w:rsidR="00000000" w:rsidRDefault="004D2F83" w:rsidP="004D2F83">
      <w:pPr>
        <w:spacing w:after="240" w:line="360" w:lineRule="exact"/>
        <w:ind w:firstLineChars="225" w:firstLine="31680"/>
        <w:rPr>
          <w:rFonts w:hint="eastAsia"/>
        </w:rPr>
      </w:pPr>
      <w:r>
        <w:rPr>
          <w:rFonts w:hint="eastAsia"/>
        </w:rPr>
        <w:t>在《刑法典》的特殊部分中，第</w:t>
      </w:r>
      <w:r>
        <w:rPr>
          <w:rFonts w:hint="eastAsia"/>
        </w:rPr>
        <w:t>134</w:t>
      </w:r>
      <w:r>
        <w:rPr>
          <w:rFonts w:hint="eastAsia"/>
        </w:rPr>
        <w:t>条规定“为了掩盖个人耻辱而遗弃或抛弃新生婴儿”属犯罪行为。对此类罪行的处罚从六个月到两年监禁不等。如果构成严重伤害，所受处罚将增至</w:t>
      </w:r>
      <w:r>
        <w:rPr>
          <w:rFonts w:hint="eastAsia"/>
        </w:rPr>
        <w:t>1-3</w:t>
      </w:r>
      <w:r>
        <w:rPr>
          <w:rFonts w:hint="eastAsia"/>
        </w:rPr>
        <w:t>年的监禁，如果致死则处以</w:t>
      </w:r>
      <w:r>
        <w:rPr>
          <w:rFonts w:hint="eastAsia"/>
        </w:rPr>
        <w:t>2-6</w:t>
      </w:r>
      <w:r>
        <w:rPr>
          <w:rFonts w:hint="eastAsia"/>
        </w:rPr>
        <w:t>年监禁。犯下此种罪行的动机——掩盖个人耻辱——是建立在对妇女的性行为和生殖行为进行控制的歧视性的社会观念基础上的。所涉及的主观标准只对妇女有影响，因为只有她们会由于性行为而遭受羞辱。这一规定不再合理，因为它强调的是妇女的名誉与其性行为和生殖行为相关这一理念。</w:t>
      </w:r>
    </w:p>
    <w:p w:rsidR="00000000" w:rsidRDefault="004D2F83" w:rsidP="004D2F83">
      <w:pPr>
        <w:spacing w:after="240" w:line="360" w:lineRule="exact"/>
        <w:ind w:firstLineChars="225" w:firstLine="31680"/>
        <w:rPr>
          <w:rFonts w:hint="eastAsia"/>
        </w:rPr>
      </w:pPr>
      <w:r>
        <w:rPr>
          <w:rFonts w:hint="eastAsia"/>
        </w:rPr>
        <w:t>《刑</w:t>
      </w:r>
      <w:r>
        <w:rPr>
          <w:rFonts w:hint="eastAsia"/>
        </w:rPr>
        <w:t>法典》特别部分中列在“有伤风化罪”标题之下的条款主要探讨妇女的性自由问题。下文详细列出了这些条款，其中每条都含有歧视妇女的规定，她们被视为脆弱、软弱和无知者。这些歧视性规定除了否认她们具有了解行使性行为方面的能力和对自身肉体的控制力之外，还试图反对妇女拥有与男子平等的权利。</w:t>
      </w:r>
      <w:r>
        <w:rPr>
          <w:rStyle w:val="FootnoteReference"/>
        </w:rPr>
        <w:footnoteReference w:customMarkFollows="1" w:id="38"/>
        <w:t>38</w:t>
      </w:r>
    </w:p>
    <w:p w:rsidR="00000000" w:rsidRDefault="004D2F83" w:rsidP="004D2F83">
      <w:pPr>
        <w:spacing w:after="120" w:line="360" w:lineRule="exact"/>
        <w:ind w:firstLineChars="225" w:firstLine="31680"/>
        <w:rPr>
          <w:rFonts w:ascii="KaiTi_GB2312" w:eastAsia="KaiTi_GB2312" w:hint="eastAsia"/>
        </w:rPr>
      </w:pPr>
      <w:r>
        <w:rPr>
          <w:rFonts w:ascii="KaiTi_GB2312" w:eastAsia="KaiTi_GB2312" w:hint="eastAsia"/>
        </w:rPr>
        <w:t>第</w:t>
      </w:r>
      <w:r>
        <w:rPr>
          <w:rFonts w:ascii="KaiTi_GB2312" w:eastAsia="KaiTi_GB2312" w:hint="eastAsia"/>
        </w:rPr>
        <w:t>215</w:t>
      </w:r>
      <w:r>
        <w:rPr>
          <w:rFonts w:ascii="KaiTi_GB2312" w:eastAsia="KaiTi_GB2312" w:hint="eastAsia"/>
        </w:rPr>
        <w:t>条</w:t>
      </w:r>
      <w:r>
        <w:rPr>
          <w:rFonts w:ascii="KaiTi_GB2312" w:eastAsia="KaiTi_GB2312" w:hint="eastAsia"/>
        </w:rPr>
        <w:t xml:space="preserve"> </w:t>
      </w:r>
      <w:r>
        <w:rPr>
          <w:rFonts w:ascii="KaiTi_GB2312" w:eastAsia="KaiTi_GB2312" w:hint="eastAsia"/>
        </w:rPr>
        <w:t>通过欺骗手段与一名诚实妇女发生性关系：</w:t>
      </w:r>
    </w:p>
    <w:p w:rsidR="00000000" w:rsidRDefault="004D2F83" w:rsidP="004D2F83">
      <w:pPr>
        <w:spacing w:after="120" w:line="360" w:lineRule="exact"/>
        <w:ind w:firstLineChars="225" w:firstLine="31680"/>
        <w:rPr>
          <w:rFonts w:ascii="KaiTi_GB2312" w:eastAsia="KaiTi_GB2312" w:hint="eastAsia"/>
        </w:rPr>
      </w:pPr>
      <w:r>
        <w:rPr>
          <w:rFonts w:ascii="KaiTi_GB2312" w:eastAsia="KaiTi_GB2312" w:hint="eastAsia"/>
        </w:rPr>
        <w:t>处罚——</w:t>
      </w:r>
      <w:r>
        <w:rPr>
          <w:rFonts w:ascii="KaiTi_GB2312" w:eastAsia="KaiTi_GB2312" w:hint="eastAsia"/>
        </w:rPr>
        <w:t>1-3</w:t>
      </w:r>
      <w:r>
        <w:rPr>
          <w:rFonts w:ascii="KaiTi_GB2312" w:eastAsia="KaiTi_GB2312" w:hint="eastAsia"/>
        </w:rPr>
        <w:t>年监禁</w:t>
      </w:r>
    </w:p>
    <w:p w:rsidR="00000000" w:rsidRDefault="004D2F83" w:rsidP="004D2F83">
      <w:pPr>
        <w:spacing w:after="120" w:line="360" w:lineRule="exact"/>
        <w:ind w:firstLineChars="225" w:firstLine="31680"/>
        <w:rPr>
          <w:rFonts w:ascii="KaiTi_GB2312" w:eastAsia="KaiTi_GB2312" w:hint="eastAsia"/>
        </w:rPr>
      </w:pPr>
      <w:r>
        <w:rPr>
          <w:rFonts w:ascii="KaiTi_GB2312" w:eastAsia="KaiTi_GB2312" w:hint="eastAsia"/>
        </w:rPr>
        <w:t>单立款。如果犯罪的对象是</w:t>
      </w:r>
      <w:r>
        <w:rPr>
          <w:rFonts w:ascii="KaiTi_GB2312" w:eastAsia="KaiTi_GB2312" w:hint="eastAsia"/>
        </w:rPr>
        <w:t>14</w:t>
      </w:r>
      <w:r>
        <w:rPr>
          <w:rFonts w:ascii="KaiTi_GB2312" w:eastAsia="KaiTi_GB2312" w:hint="eastAsia"/>
        </w:rPr>
        <w:t>岁以上</w:t>
      </w:r>
      <w:r>
        <w:rPr>
          <w:rFonts w:ascii="KaiTi_GB2312" w:eastAsia="KaiTi_GB2312" w:hint="eastAsia"/>
        </w:rPr>
        <w:t>18</w:t>
      </w:r>
      <w:r>
        <w:rPr>
          <w:rFonts w:ascii="KaiTi_GB2312" w:eastAsia="KaiTi_GB2312" w:hint="eastAsia"/>
        </w:rPr>
        <w:t>岁以下的处女：</w:t>
      </w:r>
    </w:p>
    <w:p w:rsidR="00000000" w:rsidRDefault="004D2F83" w:rsidP="004D2F83">
      <w:pPr>
        <w:spacing w:after="240" w:line="360" w:lineRule="exact"/>
        <w:ind w:firstLineChars="225" w:firstLine="31680"/>
        <w:rPr>
          <w:rFonts w:ascii="KaiTi_GB2312" w:eastAsia="KaiTi_GB2312" w:hint="eastAsia"/>
        </w:rPr>
      </w:pPr>
      <w:r>
        <w:rPr>
          <w:rFonts w:ascii="KaiTi_GB2312" w:eastAsia="KaiTi_GB2312" w:hint="eastAsia"/>
        </w:rPr>
        <w:t>处罚——</w:t>
      </w:r>
      <w:r>
        <w:rPr>
          <w:rFonts w:ascii="KaiTi_GB2312" w:eastAsia="KaiTi_GB2312" w:hint="eastAsia"/>
        </w:rPr>
        <w:t>2-6</w:t>
      </w:r>
      <w:r>
        <w:rPr>
          <w:rFonts w:ascii="KaiTi_GB2312" w:eastAsia="KaiTi_GB2312" w:hint="eastAsia"/>
        </w:rPr>
        <w:t>年监禁</w:t>
      </w:r>
    </w:p>
    <w:p w:rsidR="00000000" w:rsidRDefault="004D2F83" w:rsidP="004D2F83">
      <w:pPr>
        <w:spacing w:after="120" w:line="360" w:lineRule="exact"/>
        <w:ind w:firstLineChars="225" w:firstLine="31680"/>
        <w:rPr>
          <w:rFonts w:ascii="KaiTi_GB2312" w:eastAsia="KaiTi_GB2312" w:hint="eastAsia"/>
        </w:rPr>
      </w:pPr>
      <w:r>
        <w:rPr>
          <w:rFonts w:ascii="KaiTi_GB2312" w:eastAsia="KaiTi_GB2312" w:hint="eastAsia"/>
        </w:rPr>
        <w:t>第</w:t>
      </w:r>
      <w:r>
        <w:rPr>
          <w:rFonts w:ascii="KaiTi_GB2312" w:eastAsia="KaiTi_GB2312" w:hint="eastAsia"/>
        </w:rPr>
        <w:t>216</w:t>
      </w:r>
      <w:r>
        <w:rPr>
          <w:rFonts w:ascii="KaiTi_GB2312" w:eastAsia="KaiTi_GB2312" w:hint="eastAsia"/>
        </w:rPr>
        <w:t>条</w:t>
      </w:r>
      <w:r>
        <w:rPr>
          <w:rFonts w:ascii="KaiTi_GB2312" w:eastAsia="KaiTi_GB2312" w:hint="eastAsia"/>
        </w:rPr>
        <w:t xml:space="preserve"> </w:t>
      </w:r>
      <w:r>
        <w:rPr>
          <w:rFonts w:ascii="KaiTi_GB2312" w:eastAsia="KaiTi_GB2312" w:hint="eastAsia"/>
        </w:rPr>
        <w:t>通过欺骗手段诱使一名诚实妇女进行或同意进行性关系以外的色情行为：</w:t>
      </w:r>
    </w:p>
    <w:p w:rsidR="00000000" w:rsidRDefault="004D2F83" w:rsidP="004D2F83">
      <w:pPr>
        <w:spacing w:after="120" w:line="360" w:lineRule="exact"/>
        <w:ind w:firstLineChars="225" w:firstLine="31680"/>
        <w:rPr>
          <w:rFonts w:ascii="KaiTi_GB2312" w:eastAsia="KaiTi_GB2312" w:hint="eastAsia"/>
        </w:rPr>
      </w:pPr>
      <w:r>
        <w:rPr>
          <w:rFonts w:ascii="KaiTi_GB2312" w:eastAsia="KaiTi_GB2312" w:hint="eastAsia"/>
        </w:rPr>
        <w:t>处罚</w:t>
      </w:r>
      <w:r>
        <w:rPr>
          <w:rFonts w:ascii="KaiTi_GB2312" w:eastAsia="KaiTi_GB2312" w:hint="eastAsia"/>
        </w:rPr>
        <w:t>——</w:t>
      </w:r>
      <w:r>
        <w:rPr>
          <w:rFonts w:ascii="KaiTi_GB2312" w:eastAsia="KaiTi_GB2312" w:hint="eastAsia"/>
        </w:rPr>
        <w:t>1-2</w:t>
      </w:r>
      <w:r>
        <w:rPr>
          <w:rFonts w:ascii="KaiTi_GB2312" w:eastAsia="KaiTi_GB2312" w:hint="eastAsia"/>
        </w:rPr>
        <w:t>年监禁</w:t>
      </w:r>
    </w:p>
    <w:p w:rsidR="00000000" w:rsidRDefault="004D2F83" w:rsidP="004D2F83">
      <w:pPr>
        <w:spacing w:after="120" w:line="360" w:lineRule="exact"/>
        <w:ind w:firstLineChars="225" w:firstLine="31680"/>
        <w:rPr>
          <w:rFonts w:ascii="KaiTi_GB2312" w:eastAsia="KaiTi_GB2312" w:hint="eastAsia"/>
        </w:rPr>
      </w:pPr>
      <w:r>
        <w:rPr>
          <w:rFonts w:ascii="KaiTi_GB2312" w:eastAsia="KaiTi_GB2312" w:hint="eastAsia"/>
        </w:rPr>
        <w:t>单立款。如果受害人在</w:t>
      </w:r>
      <w:r>
        <w:rPr>
          <w:rFonts w:ascii="KaiTi_GB2312" w:eastAsia="KaiTi_GB2312" w:hint="eastAsia"/>
        </w:rPr>
        <w:t>14</w:t>
      </w:r>
      <w:r>
        <w:rPr>
          <w:rFonts w:ascii="KaiTi_GB2312" w:eastAsia="KaiTi_GB2312" w:hint="eastAsia"/>
        </w:rPr>
        <w:t>岁以上</w:t>
      </w:r>
      <w:r>
        <w:rPr>
          <w:rFonts w:ascii="KaiTi_GB2312" w:eastAsia="KaiTi_GB2312" w:hint="eastAsia"/>
        </w:rPr>
        <w:t>18</w:t>
      </w:r>
      <w:r>
        <w:rPr>
          <w:rFonts w:ascii="KaiTi_GB2312" w:eastAsia="KaiTi_GB2312" w:hint="eastAsia"/>
        </w:rPr>
        <w:t>岁以下：</w:t>
      </w:r>
    </w:p>
    <w:p w:rsidR="00000000" w:rsidRDefault="004D2F83" w:rsidP="004D2F83">
      <w:pPr>
        <w:spacing w:after="240" w:line="360" w:lineRule="exact"/>
        <w:ind w:firstLineChars="225" w:firstLine="31680"/>
        <w:rPr>
          <w:rFonts w:ascii="KaiTi_GB2312" w:eastAsia="KaiTi_GB2312" w:hint="eastAsia"/>
        </w:rPr>
      </w:pPr>
      <w:r>
        <w:rPr>
          <w:rFonts w:ascii="KaiTi_GB2312" w:eastAsia="KaiTi_GB2312" w:hint="eastAsia"/>
        </w:rPr>
        <w:t>处罚——</w:t>
      </w:r>
      <w:r>
        <w:rPr>
          <w:rFonts w:ascii="KaiTi_GB2312" w:eastAsia="KaiTi_GB2312" w:hint="eastAsia"/>
        </w:rPr>
        <w:t>2-4</w:t>
      </w:r>
      <w:r>
        <w:rPr>
          <w:rFonts w:ascii="KaiTi_GB2312" w:eastAsia="KaiTi_GB2312" w:hint="eastAsia"/>
        </w:rPr>
        <w:t>年监禁</w:t>
      </w:r>
    </w:p>
    <w:p w:rsidR="00000000" w:rsidRDefault="004D2F83" w:rsidP="004D2F83">
      <w:pPr>
        <w:spacing w:after="120" w:line="360" w:lineRule="exact"/>
        <w:ind w:firstLineChars="225" w:firstLine="31680"/>
        <w:rPr>
          <w:rFonts w:ascii="KaiTi_GB2312" w:eastAsia="KaiTi_GB2312" w:hint="eastAsia"/>
        </w:rPr>
      </w:pPr>
      <w:r>
        <w:rPr>
          <w:rFonts w:ascii="KaiTi_GB2312" w:eastAsia="KaiTi_GB2312" w:hint="eastAsia"/>
        </w:rPr>
        <w:t>第</w:t>
      </w:r>
      <w:r>
        <w:rPr>
          <w:rFonts w:ascii="KaiTi_GB2312" w:eastAsia="KaiTi_GB2312" w:hint="eastAsia"/>
        </w:rPr>
        <w:t>219</w:t>
      </w:r>
      <w:r>
        <w:rPr>
          <w:rFonts w:ascii="KaiTi_GB2312" w:eastAsia="KaiTi_GB2312" w:hint="eastAsia"/>
        </w:rPr>
        <w:t>条</w:t>
      </w:r>
      <w:r>
        <w:rPr>
          <w:rFonts w:ascii="KaiTi_GB2312" w:eastAsia="KaiTi_GB2312" w:hint="eastAsia"/>
        </w:rPr>
        <w:t xml:space="preserve"> </w:t>
      </w:r>
      <w:r>
        <w:rPr>
          <w:rFonts w:ascii="KaiTi_GB2312" w:eastAsia="KaiTi_GB2312" w:hint="eastAsia"/>
        </w:rPr>
        <w:t>为了色情目的通过暴力、严重威胁或欺骗诱拐一名诚实妇女：</w:t>
      </w:r>
    </w:p>
    <w:p w:rsidR="00000000" w:rsidRDefault="004D2F83" w:rsidP="004D2F83">
      <w:pPr>
        <w:spacing w:after="240" w:line="360" w:lineRule="exact"/>
        <w:ind w:firstLineChars="225" w:firstLine="31680"/>
        <w:rPr>
          <w:rFonts w:ascii="KaiTi_GB2312" w:eastAsia="KaiTi_GB2312" w:hint="eastAsia"/>
        </w:rPr>
      </w:pPr>
      <w:r>
        <w:rPr>
          <w:rFonts w:ascii="KaiTi_GB2312" w:eastAsia="KaiTi_GB2312" w:hint="eastAsia"/>
        </w:rPr>
        <w:t>处罚——</w:t>
      </w:r>
      <w:r>
        <w:rPr>
          <w:rFonts w:ascii="KaiTi_GB2312" w:eastAsia="KaiTi_GB2312" w:hint="eastAsia"/>
        </w:rPr>
        <w:t>2-4</w:t>
      </w:r>
      <w:r>
        <w:rPr>
          <w:rFonts w:ascii="KaiTi_GB2312" w:eastAsia="KaiTi_GB2312" w:hint="eastAsia"/>
        </w:rPr>
        <w:t>年监禁</w:t>
      </w:r>
    </w:p>
    <w:p w:rsidR="00000000" w:rsidRDefault="004D2F83">
      <w:pPr>
        <w:pStyle w:val="BodyTextIndent"/>
        <w:ind w:firstLine="473"/>
        <w:rPr>
          <w:rFonts w:hint="eastAsia"/>
        </w:rPr>
      </w:pPr>
      <w:r>
        <w:rPr>
          <w:rFonts w:hint="eastAsia"/>
        </w:rPr>
        <w:t>上述条款中的歧视特征表现为提及受害人必须是“一名诚实妇女”这一事实。以前在我们的社会中使用的“诚实妇女”这一概念不再有意义。认为妇女可以被欺骗或诱使参与性行为，从而抑制妇女对此种行为的判断力也是不合理的。这些规定已经不再符合现行的社会价值观念。它们还违反了平等的原则、损害了妇女在其性生活方面的自主和自由并为对“潜在被告”的不公正处罚铺平</w:t>
      </w:r>
      <w:r>
        <w:rPr>
          <w:rFonts w:hint="eastAsia"/>
        </w:rPr>
        <w:t>了道路。值得一提的是，这一概念在法律上不适用于受害人为男子和男孩的案件。</w:t>
      </w:r>
    </w:p>
    <w:p w:rsidR="00000000" w:rsidRDefault="004D2F83">
      <w:pPr>
        <w:pStyle w:val="BodyTextIndent"/>
        <w:ind w:firstLine="473"/>
        <w:rPr>
          <w:rFonts w:hint="eastAsia"/>
        </w:rPr>
      </w:pPr>
      <w:r>
        <w:rPr>
          <w:rFonts w:hint="eastAsia"/>
        </w:rPr>
        <w:t>还是在“有伤风化罪”的标题下，法典关于诱奸问题的第</w:t>
      </w:r>
      <w:r>
        <w:rPr>
          <w:rFonts w:hint="eastAsia"/>
        </w:rPr>
        <w:t>217</w:t>
      </w:r>
      <w:r>
        <w:rPr>
          <w:rFonts w:hint="eastAsia"/>
        </w:rPr>
        <w:t>条认为以下行为属于犯罪，并可判处</w:t>
      </w:r>
      <w:r>
        <w:rPr>
          <w:rFonts w:hint="eastAsia"/>
        </w:rPr>
        <w:t>2-4</w:t>
      </w:r>
      <w:r>
        <w:rPr>
          <w:rFonts w:hint="eastAsia"/>
        </w:rPr>
        <w:t>年的监禁：利用对方缺乏经验或正当的信任，诱惑一名</w:t>
      </w:r>
      <w:r>
        <w:rPr>
          <w:rFonts w:hint="eastAsia"/>
        </w:rPr>
        <w:t>14</w:t>
      </w:r>
      <w:r>
        <w:rPr>
          <w:rFonts w:hint="eastAsia"/>
        </w:rPr>
        <w:t>岁以上、</w:t>
      </w:r>
      <w:r>
        <w:rPr>
          <w:rFonts w:hint="eastAsia"/>
        </w:rPr>
        <w:t>18</w:t>
      </w:r>
      <w:r>
        <w:rPr>
          <w:rFonts w:hint="eastAsia"/>
        </w:rPr>
        <w:t>岁以下处女并与其发生性关系。为了如此定罪，诱奸罪要求受害人应该是一名处女。和其他条款一样，这一规定也是建立在偏见和陈规旧习的基础之上的，认为妇女由于“缺乏经验或正当的信任”而可能受到欺骗，将妇女贬低到需要保护的地位。更不用说受害人是处女这样的条件了。这一规定表明妇女的性自由受到限</w:t>
      </w:r>
      <w:r>
        <w:rPr>
          <w:rFonts w:hint="eastAsia"/>
        </w:rPr>
        <w:t>制。该部分中具有代表性的行为在过去是情有可原的，因为那时侵犯的一方通常会答应与受害人结婚。</w:t>
      </w:r>
    </w:p>
    <w:p w:rsidR="00000000" w:rsidRDefault="004D2F83">
      <w:pPr>
        <w:pStyle w:val="BodyTextIndent"/>
        <w:ind w:firstLine="473"/>
        <w:rPr>
          <w:rFonts w:hint="eastAsia"/>
        </w:rPr>
      </w:pPr>
      <w:r>
        <w:rPr>
          <w:rFonts w:hint="eastAsia"/>
        </w:rPr>
        <w:t>还是在“有伤风化罪”的标题下，关于诱拐一章的第</w:t>
      </w:r>
      <w:r>
        <w:rPr>
          <w:rFonts w:hint="eastAsia"/>
        </w:rPr>
        <w:t>220</w:t>
      </w:r>
      <w:r>
        <w:rPr>
          <w:rFonts w:hint="eastAsia"/>
        </w:rPr>
        <w:t>、</w:t>
      </w:r>
      <w:r>
        <w:rPr>
          <w:rFonts w:hint="eastAsia"/>
        </w:rPr>
        <w:t>221</w:t>
      </w:r>
      <w:r>
        <w:rPr>
          <w:rFonts w:hint="eastAsia"/>
        </w:rPr>
        <w:t>和</w:t>
      </w:r>
      <w:r>
        <w:rPr>
          <w:rFonts w:hint="eastAsia"/>
        </w:rPr>
        <w:t>222</w:t>
      </w:r>
      <w:r>
        <w:rPr>
          <w:rFonts w:hint="eastAsia"/>
        </w:rPr>
        <w:t>条规定：</w:t>
      </w:r>
    </w:p>
    <w:p w:rsidR="00000000" w:rsidRDefault="004D2F83">
      <w:pPr>
        <w:pStyle w:val="BodyTextIndent"/>
        <w:ind w:firstLine="473"/>
        <w:rPr>
          <w:rFonts w:ascii="KaiTi_GB2312" w:eastAsia="KaiTi_GB2312" w:hint="eastAsia"/>
        </w:rPr>
      </w:pPr>
      <w:r>
        <w:rPr>
          <w:rFonts w:ascii="KaiTi_GB2312" w:eastAsia="KaiTi_GB2312" w:hint="eastAsia"/>
        </w:rPr>
        <w:t>第</w:t>
      </w:r>
      <w:r>
        <w:rPr>
          <w:rFonts w:ascii="KaiTi_GB2312" w:eastAsia="KaiTi_GB2312" w:hint="eastAsia"/>
        </w:rPr>
        <w:t>220</w:t>
      </w:r>
      <w:r>
        <w:rPr>
          <w:rFonts w:ascii="KaiTi_GB2312" w:eastAsia="KaiTi_GB2312" w:hint="eastAsia"/>
        </w:rPr>
        <w:t>条．如果诱拐的受害人在</w:t>
      </w:r>
      <w:r>
        <w:rPr>
          <w:rFonts w:ascii="KaiTi_GB2312" w:eastAsia="KaiTi_GB2312" w:hint="eastAsia"/>
        </w:rPr>
        <w:t>14</w:t>
      </w:r>
      <w:r>
        <w:rPr>
          <w:rFonts w:ascii="KaiTi_GB2312" w:eastAsia="KaiTi_GB2312" w:hint="eastAsia"/>
        </w:rPr>
        <w:t>岁以上</w:t>
      </w:r>
      <w:r>
        <w:rPr>
          <w:rFonts w:ascii="KaiTi_GB2312" w:eastAsia="KaiTi_GB2312" w:hint="eastAsia"/>
        </w:rPr>
        <w:t>21</w:t>
      </w:r>
      <w:r>
        <w:rPr>
          <w:rFonts w:ascii="KaiTi_GB2312" w:eastAsia="KaiTi_GB2312" w:hint="eastAsia"/>
        </w:rPr>
        <w:t>岁以下并同意被诱拐：</w:t>
      </w:r>
    </w:p>
    <w:p w:rsidR="00000000" w:rsidRDefault="004D2F83" w:rsidP="004D2F83">
      <w:pPr>
        <w:spacing w:after="240" w:line="360" w:lineRule="exact"/>
        <w:ind w:firstLineChars="225" w:firstLine="31680"/>
        <w:rPr>
          <w:rFonts w:ascii="KaiTi_GB2312" w:eastAsia="KaiTi_GB2312" w:hint="eastAsia"/>
        </w:rPr>
      </w:pPr>
      <w:r>
        <w:rPr>
          <w:rFonts w:ascii="KaiTi_GB2312" w:eastAsia="KaiTi_GB2312" w:hint="eastAsia"/>
        </w:rPr>
        <w:t>处罚</w:t>
      </w:r>
      <w:r>
        <w:rPr>
          <w:rFonts w:ascii="SimHei" w:eastAsia="SimHei" w:hint="eastAsia"/>
        </w:rPr>
        <w:t>——</w:t>
      </w:r>
      <w:r>
        <w:rPr>
          <w:rFonts w:ascii="KaiTi_GB2312" w:eastAsia="KaiTi_GB2312" w:hint="eastAsia"/>
        </w:rPr>
        <w:t>1-3</w:t>
      </w:r>
      <w:r>
        <w:rPr>
          <w:rFonts w:ascii="KaiTi_GB2312" w:eastAsia="KaiTi_GB2312" w:hint="eastAsia"/>
        </w:rPr>
        <w:t>年监禁</w:t>
      </w:r>
    </w:p>
    <w:p w:rsidR="00000000" w:rsidRDefault="004D2F83">
      <w:pPr>
        <w:pStyle w:val="BodyTextIndent"/>
        <w:ind w:firstLine="473"/>
        <w:rPr>
          <w:rFonts w:ascii="KaiTi_GB2312" w:eastAsia="KaiTi_GB2312" w:hint="eastAsia"/>
        </w:rPr>
      </w:pPr>
      <w:r>
        <w:rPr>
          <w:rFonts w:ascii="KaiTi_GB2312" w:eastAsia="KaiTi_GB2312" w:hint="eastAsia"/>
        </w:rPr>
        <w:t>第</w:t>
      </w:r>
      <w:r>
        <w:rPr>
          <w:rFonts w:ascii="KaiTi_GB2312" w:eastAsia="KaiTi_GB2312" w:hint="eastAsia"/>
        </w:rPr>
        <w:t>221</w:t>
      </w:r>
      <w:r>
        <w:rPr>
          <w:rFonts w:ascii="KaiTi_GB2312" w:eastAsia="KaiTi_GB2312" w:hint="eastAsia"/>
        </w:rPr>
        <w:t>条．如果诱拐是为了结婚目的，则减刑三分之一；如果行为人没有与受害人进行任何色情行为，并放她自由或将她留在一个安全地点由其家庭处理，则减刑一半。</w:t>
      </w:r>
    </w:p>
    <w:p w:rsidR="00000000" w:rsidRDefault="004D2F83">
      <w:pPr>
        <w:pStyle w:val="BodyTextIndent"/>
        <w:ind w:firstLine="473"/>
        <w:rPr>
          <w:rFonts w:ascii="KaiTi_GB2312" w:eastAsia="KaiTi_GB2312" w:hint="eastAsia"/>
        </w:rPr>
      </w:pPr>
      <w:r>
        <w:rPr>
          <w:rFonts w:ascii="KaiTi_GB2312" w:eastAsia="KaiTi_GB2312" w:hint="eastAsia"/>
        </w:rPr>
        <w:t>第</w:t>
      </w:r>
      <w:r>
        <w:rPr>
          <w:rFonts w:ascii="KaiTi_GB2312" w:eastAsia="KaiTi_GB2312" w:hint="eastAsia"/>
        </w:rPr>
        <w:t>222</w:t>
      </w:r>
      <w:r>
        <w:rPr>
          <w:rFonts w:ascii="KaiTi_GB2312" w:eastAsia="KaiTi_GB2312" w:hint="eastAsia"/>
        </w:rPr>
        <w:t>条．如果诱拐之时或之后，行为人对受害人犯下其他罪行，则行为人应该按诱拐罪和其他罪行合并处罚。</w:t>
      </w:r>
    </w:p>
    <w:p w:rsidR="00000000" w:rsidRDefault="004D2F83">
      <w:pPr>
        <w:pStyle w:val="BodyTextIndent"/>
        <w:ind w:firstLine="473"/>
        <w:rPr>
          <w:rFonts w:hint="eastAsia"/>
        </w:rPr>
      </w:pPr>
      <w:r>
        <w:rPr>
          <w:rFonts w:hint="eastAsia"/>
        </w:rPr>
        <w:t>自愿诱拐罪行是不合理的。如果是自愿，就不应认为是诱拐，因为该行为取决于双方的意愿和同意。如果认定自愿诱拐属于一种犯罪，法典除了无视妇女的自主权及其同意和意愿的合法性之外，还假设妇女在社会中处于次要地位。将妇女贬低到需要保护的地位，忽视她们的决定，也不考虑男女之间关系的平等，违反了妇女的自由和自主权。</w:t>
      </w:r>
    </w:p>
    <w:p w:rsidR="00000000" w:rsidRDefault="004D2F83">
      <w:pPr>
        <w:pStyle w:val="BodyTextIndent"/>
        <w:ind w:firstLine="473"/>
        <w:rPr>
          <w:rFonts w:hint="eastAsia"/>
        </w:rPr>
      </w:pPr>
      <w:r>
        <w:rPr>
          <w:rFonts w:hint="eastAsia"/>
        </w:rPr>
        <w:t>在法典的特殊部分</w:t>
      </w:r>
      <w:r>
        <w:rPr>
          <w:rFonts w:eastAsia="KaiTi_GB2312" w:hint="eastAsia"/>
        </w:rPr>
        <w:t>危害家庭罪</w:t>
      </w:r>
      <w:r>
        <w:rPr>
          <w:rFonts w:hint="eastAsia"/>
        </w:rPr>
        <w:t>的标题下面，妨害婚姻罪一章第</w:t>
      </w:r>
      <w:r>
        <w:rPr>
          <w:rFonts w:hint="eastAsia"/>
        </w:rPr>
        <w:t>240</w:t>
      </w:r>
      <w:r>
        <w:rPr>
          <w:rFonts w:hint="eastAsia"/>
        </w:rPr>
        <w:t>条规定了通奸罪，被告和共同被告将被判处</w:t>
      </w:r>
      <w:r>
        <w:rPr>
          <w:rFonts w:hint="eastAsia"/>
        </w:rPr>
        <w:t>15</w:t>
      </w:r>
      <w:r>
        <w:rPr>
          <w:rFonts w:hint="eastAsia"/>
        </w:rPr>
        <w:t>天至</w:t>
      </w:r>
      <w:r>
        <w:rPr>
          <w:rFonts w:hint="eastAsia"/>
        </w:rPr>
        <w:t>6</w:t>
      </w:r>
      <w:r>
        <w:rPr>
          <w:rFonts w:hint="eastAsia"/>
        </w:rPr>
        <w:t>个月的监禁。根据巴西现行的法律，按正式的说法，通奸对男女两性的影响是一样的。但实际上却不是这样。在许多</w:t>
      </w:r>
      <w:r>
        <w:rPr>
          <w:rFonts w:hint="eastAsia"/>
        </w:rPr>
        <w:t>情况下，当指控妇女犯了通奸罪，陪审团和法院就认定男子伤害或谋杀妻子（以及同居女友、前同居女友、情妇、前情妇等）的罪名不成立，这种情况现在仍时有发生，其辩论的无礼理由是“名誉自卫”。这是法律专家的解释，有时仍会得到我们法院的支持和采信。根据法典第</w:t>
      </w:r>
      <w:r>
        <w:rPr>
          <w:rFonts w:hint="eastAsia"/>
        </w:rPr>
        <w:t>23</w:t>
      </w:r>
      <w:r>
        <w:rPr>
          <w:rFonts w:hint="eastAsia"/>
        </w:rPr>
        <w:t>条，自卫是法律规定的合法行为之一，自卫是为保护合法财产，包括名誉在内。不过，本论题中声称的婚姻名誉是毫无意义的，因为它一方面歧视并压制妇女的性能力，另一方面根本就没有什么婚姻名誉需要保护，名誉具有个人私有的属性。</w:t>
      </w:r>
    </w:p>
    <w:p w:rsidR="00000000" w:rsidRDefault="004D2F83">
      <w:pPr>
        <w:pStyle w:val="BodyTextIndent"/>
        <w:ind w:firstLine="473"/>
        <w:rPr>
          <w:rFonts w:hint="eastAsia"/>
        </w:rPr>
      </w:pPr>
      <w:r>
        <w:rPr>
          <w:rFonts w:hint="eastAsia"/>
        </w:rPr>
        <w:t>不过，值得强调的是，行政部门提出的《修改刑法典特殊</w:t>
      </w:r>
      <w:r>
        <w:rPr>
          <w:rFonts w:hint="eastAsia"/>
        </w:rPr>
        <w:t>部分的议案》中已经消除了上述几乎所有的规定。</w:t>
      </w:r>
    </w:p>
    <w:p w:rsidR="00000000" w:rsidRDefault="004D2F83">
      <w:pPr>
        <w:pStyle w:val="BodyTextIndent"/>
        <w:ind w:firstLine="473"/>
        <w:rPr>
          <w:rFonts w:hint="eastAsia"/>
        </w:rPr>
      </w:pPr>
      <w:r>
        <w:rPr>
          <w:rFonts w:hint="eastAsia"/>
        </w:rPr>
        <w:t>根据</w:t>
      </w:r>
      <w:r>
        <w:rPr>
          <w:rFonts w:hint="eastAsia"/>
        </w:rPr>
        <w:t>2001</w:t>
      </w:r>
      <w:r>
        <w:rPr>
          <w:rFonts w:hint="eastAsia"/>
        </w:rPr>
        <w:t>年</w:t>
      </w:r>
      <w:r>
        <w:rPr>
          <w:rFonts w:hint="eastAsia"/>
        </w:rPr>
        <w:t>5</w:t>
      </w:r>
      <w:r>
        <w:rPr>
          <w:rFonts w:hint="eastAsia"/>
        </w:rPr>
        <w:t>月</w:t>
      </w:r>
      <w:r>
        <w:rPr>
          <w:rFonts w:hint="eastAsia"/>
        </w:rPr>
        <w:t>16</w:t>
      </w:r>
      <w:r>
        <w:rPr>
          <w:rFonts w:hint="eastAsia"/>
        </w:rPr>
        <w:t>日公布的第</w:t>
      </w:r>
      <w:r>
        <w:rPr>
          <w:rFonts w:hint="eastAsia"/>
        </w:rPr>
        <w:t>10224</w:t>
      </w:r>
      <w:r>
        <w:rPr>
          <w:rFonts w:hint="eastAsia"/>
        </w:rPr>
        <w:t>号法律，性骚扰作为一种犯罪被列入《刑法典》。由于法典中没有明确的性骚扰方面的规定，对于有些人（一般是妇女）为获得一份工作或晋升而被迫发生性关系，或者由于拒受敲诈勒索而受到恐吓的报告，警方不是总能做出适当处理。警察机关有时尽量将这种行为归为其他罪行如非法强迫、威胁、扰乱治安等，还有的时候会试图劝阻原告从公共权力机构寻求任何救济。</w:t>
      </w:r>
    </w:p>
    <w:p w:rsidR="00000000" w:rsidRDefault="004D2F83">
      <w:pPr>
        <w:pStyle w:val="BodyTextIndent"/>
        <w:ind w:firstLine="473"/>
        <w:rPr>
          <w:rFonts w:hint="eastAsia"/>
        </w:rPr>
      </w:pPr>
      <w:r>
        <w:rPr>
          <w:rFonts w:hint="eastAsia"/>
        </w:rPr>
        <w:t>新法律在《刑法典》中增加了一条关于性骚扰的新条款，其中将性骚扰定义为：“行为人利用其职权、职务</w:t>
      </w:r>
      <w:r>
        <w:rPr>
          <w:rFonts w:hint="eastAsia"/>
        </w:rPr>
        <w:t>或职能固有的高级地位，迫使某人与其发生性关系或性行为”</w:t>
      </w:r>
      <w:r>
        <w:rPr>
          <w:rFonts w:hint="eastAsia"/>
        </w:rPr>
        <w:t xml:space="preserve"> </w:t>
      </w:r>
      <w:r>
        <w:rPr>
          <w:rFonts w:hint="eastAsia"/>
        </w:rPr>
        <w:t>。此种罪行可判处</w:t>
      </w:r>
      <w:r>
        <w:rPr>
          <w:rFonts w:hint="eastAsia"/>
        </w:rPr>
        <w:t>1-2</w:t>
      </w:r>
      <w:r>
        <w:rPr>
          <w:rFonts w:hint="eastAsia"/>
        </w:rPr>
        <w:t>年监禁。</w:t>
      </w:r>
    </w:p>
    <w:p w:rsidR="00000000" w:rsidRDefault="004D2F83">
      <w:pPr>
        <w:pStyle w:val="BodyTextIndent"/>
        <w:ind w:firstLine="473"/>
        <w:rPr>
          <w:rFonts w:hint="eastAsia"/>
        </w:rPr>
      </w:pPr>
      <w:r>
        <w:rPr>
          <w:rFonts w:hint="eastAsia"/>
        </w:rPr>
        <w:t>一旦该法律获得通过，那些曾经忽视甚至容忍在工作场所进行性骚扰的公司将有望认真对待这一问题，并通过采取预防措施和与员工讨论行为守则和其他策略，将维护良好的工作环境视为应尽的义务，从而使工作场所变得更为平等、和睦。</w:t>
      </w:r>
    </w:p>
    <w:p w:rsidR="00000000" w:rsidRDefault="004D2F83" w:rsidP="004D2F83">
      <w:pPr>
        <w:spacing w:after="240" w:line="360" w:lineRule="exact"/>
        <w:ind w:firstLineChars="225" w:firstLine="31680"/>
        <w:rPr>
          <w:rFonts w:hint="eastAsia"/>
        </w:rPr>
      </w:pPr>
      <w:r>
        <w:rPr>
          <w:rFonts w:hint="eastAsia"/>
        </w:rPr>
        <w:t>最近的一项调查表明，在巴西，损害赔偿（补偿和赔偿）仍是在工作场所遭受性骚扰的妇女所寻求的一条出路。</w:t>
      </w:r>
      <w:r>
        <w:rPr>
          <w:rStyle w:val="FootnoteReference"/>
        </w:rPr>
        <w:footnoteReference w:customMarkFollows="1" w:id="39"/>
        <w:t>39</w:t>
      </w:r>
    </w:p>
    <w:p w:rsidR="00000000" w:rsidRDefault="004D2F83" w:rsidP="004D2F83">
      <w:pPr>
        <w:spacing w:after="240" w:line="360" w:lineRule="exact"/>
        <w:ind w:firstLineChars="225" w:firstLine="31680"/>
        <w:rPr>
          <w:rFonts w:eastAsia="KaiTi_GB2312" w:hint="eastAsia"/>
        </w:rPr>
      </w:pPr>
      <w:r>
        <w:rPr>
          <w:rFonts w:eastAsia="KaiTi_GB2312" w:hint="eastAsia"/>
        </w:rPr>
        <w:t>《劳动法》</w:t>
      </w:r>
    </w:p>
    <w:p w:rsidR="00000000" w:rsidRDefault="004D2F83" w:rsidP="004D2F83">
      <w:pPr>
        <w:spacing w:after="240" w:line="360" w:lineRule="exact"/>
        <w:ind w:firstLineChars="225" w:firstLine="31680"/>
        <w:rPr>
          <w:rFonts w:hint="eastAsia"/>
        </w:rPr>
      </w:pPr>
      <w:r>
        <w:rPr>
          <w:rFonts w:hint="eastAsia"/>
        </w:rPr>
        <w:t>《劳动法》第</w:t>
      </w:r>
      <w:r>
        <w:rPr>
          <w:rFonts w:hint="eastAsia"/>
        </w:rPr>
        <w:t>373-A</w:t>
      </w:r>
      <w:r>
        <w:rPr>
          <w:rFonts w:hint="eastAsia"/>
        </w:rPr>
        <w:t>条，单立款（经第</w:t>
      </w:r>
      <w:r>
        <w:rPr>
          <w:rFonts w:hint="eastAsia"/>
        </w:rPr>
        <w:t>9799/99</w:t>
      </w:r>
      <w:r>
        <w:rPr>
          <w:rFonts w:hint="eastAsia"/>
        </w:rPr>
        <w:t>号法律补充）规定采取临时措施，以制定男女平等</w:t>
      </w:r>
      <w:r>
        <w:rPr>
          <w:rFonts w:hint="eastAsia"/>
        </w:rPr>
        <w:t>政策，特别是旨在纠正影响妇女职业发展、就业机会和一般工作条件方面的不良现象的措施。</w:t>
      </w:r>
    </w:p>
    <w:p w:rsidR="00000000" w:rsidRDefault="004D2F83" w:rsidP="004D2F83">
      <w:pPr>
        <w:spacing w:after="240" w:line="360" w:lineRule="exact"/>
        <w:ind w:firstLineChars="225" w:firstLine="31680"/>
        <w:rPr>
          <w:rFonts w:hint="eastAsia"/>
        </w:rPr>
      </w:pPr>
      <w:r>
        <w:rPr>
          <w:rFonts w:hint="eastAsia"/>
        </w:rPr>
        <w:t>《劳动法》第</w:t>
      </w:r>
      <w:r>
        <w:rPr>
          <w:rFonts w:hint="eastAsia"/>
        </w:rPr>
        <w:t>391</w:t>
      </w:r>
      <w:r>
        <w:rPr>
          <w:rFonts w:hint="eastAsia"/>
        </w:rPr>
        <w:t>条至</w:t>
      </w:r>
      <w:r>
        <w:rPr>
          <w:rFonts w:hint="eastAsia"/>
        </w:rPr>
        <w:t>400</w:t>
      </w:r>
      <w:r>
        <w:rPr>
          <w:rFonts w:hint="eastAsia"/>
        </w:rPr>
        <w:t>条涉及保护孕产妇女，因此也涉及切实加强男女平等问题。根据这些条款的第一条，结婚和怀孕不应构成解除妇女劳动契约的正当理由。该项规定的单立款还规定，任何性质的规章，不论是集体还是个人的劳动协议，均不应以结婚或怀孕为由限制妇女的工作权利。在这方面，第</w:t>
      </w:r>
      <w:r>
        <w:rPr>
          <w:rFonts w:hint="eastAsia"/>
        </w:rPr>
        <w:t>9029/95</w:t>
      </w:r>
      <w:r>
        <w:rPr>
          <w:rFonts w:hint="eastAsia"/>
        </w:rPr>
        <w:t>号法律禁止雇主为了录用或保持合法工作关系而要求提供怀孕检查或绝育证明。</w:t>
      </w:r>
    </w:p>
    <w:p w:rsidR="00000000" w:rsidRDefault="004D2F83" w:rsidP="004D2F83">
      <w:pPr>
        <w:spacing w:after="240" w:line="360" w:lineRule="exact"/>
        <w:ind w:firstLineChars="225" w:firstLine="31680"/>
        <w:rPr>
          <w:rFonts w:hint="eastAsia"/>
        </w:rPr>
      </w:pPr>
      <w:r>
        <w:rPr>
          <w:rFonts w:hint="eastAsia"/>
        </w:rPr>
        <w:t>《劳动法》第</w:t>
      </w:r>
      <w:r>
        <w:rPr>
          <w:rFonts w:hint="eastAsia"/>
        </w:rPr>
        <w:t>392</w:t>
      </w:r>
      <w:r>
        <w:rPr>
          <w:rFonts w:hint="eastAsia"/>
        </w:rPr>
        <w:t>条第</w:t>
      </w:r>
      <w:r>
        <w:rPr>
          <w:rFonts w:hint="eastAsia"/>
        </w:rPr>
        <w:t>4</w:t>
      </w:r>
      <w:r>
        <w:rPr>
          <w:rFonts w:hint="eastAsia"/>
        </w:rPr>
        <w:t>款（经第</w:t>
      </w:r>
      <w:r>
        <w:rPr>
          <w:rFonts w:hint="eastAsia"/>
        </w:rPr>
        <w:t>9799/99</w:t>
      </w:r>
      <w:r>
        <w:rPr>
          <w:rFonts w:hint="eastAsia"/>
        </w:rPr>
        <w:t>号法律补充）保障女雇员在</w:t>
      </w:r>
      <w:r>
        <w:rPr>
          <w:rFonts w:hint="eastAsia"/>
        </w:rPr>
        <w:t>怀孕期间：有权在其身体条件所需的情况下调到其他工作岗位；有权恢复其原先工作；有权在工作时间请假至少六次看医生和进行补充体检。</w:t>
      </w:r>
    </w:p>
    <w:p w:rsidR="00000000" w:rsidRDefault="004D2F83" w:rsidP="004D2F83">
      <w:pPr>
        <w:spacing w:after="240" w:line="360" w:lineRule="exact"/>
        <w:ind w:firstLineChars="225" w:firstLine="31680"/>
        <w:rPr>
          <w:rFonts w:hint="eastAsia"/>
        </w:rPr>
      </w:pPr>
      <w:r>
        <w:rPr>
          <w:rFonts w:hint="eastAsia"/>
        </w:rPr>
        <w:t>《劳动法》第</w:t>
      </w:r>
      <w:r>
        <w:rPr>
          <w:rFonts w:hint="eastAsia"/>
        </w:rPr>
        <w:t>393</w:t>
      </w:r>
      <w:r>
        <w:rPr>
          <w:rFonts w:hint="eastAsia"/>
        </w:rPr>
        <w:t>条规定，在产假期间，妇女有权获得全额工资，如果工资有变动，应按前六个月工作的平均工资水平计算。</w:t>
      </w:r>
    </w:p>
    <w:p w:rsidR="00000000" w:rsidRDefault="004D2F83" w:rsidP="004D2F83">
      <w:pPr>
        <w:spacing w:after="240" w:line="360" w:lineRule="exact"/>
        <w:ind w:firstLineChars="225" w:firstLine="31680"/>
        <w:rPr>
          <w:rFonts w:hint="eastAsia"/>
        </w:rPr>
      </w:pPr>
      <w:r>
        <w:rPr>
          <w:rFonts w:hint="eastAsia"/>
        </w:rPr>
        <w:t>同一法律文书的第</w:t>
      </w:r>
      <w:r>
        <w:rPr>
          <w:rFonts w:hint="eastAsia"/>
        </w:rPr>
        <w:t>395</w:t>
      </w:r>
      <w:r>
        <w:rPr>
          <w:rFonts w:hint="eastAsia"/>
        </w:rPr>
        <w:t>条规定，即使进行非犯罪堕胎的妇女也有权获得两周的休息时间，而工资不减，并确保她们有权恢复其休假之前的工作。</w:t>
      </w:r>
      <w:r>
        <w:rPr>
          <w:rFonts w:hint="eastAsia"/>
        </w:rPr>
        <w:t>1994</w:t>
      </w:r>
      <w:r>
        <w:rPr>
          <w:rFonts w:hint="eastAsia"/>
        </w:rPr>
        <w:t>年</w:t>
      </w:r>
      <w:r>
        <w:rPr>
          <w:rFonts w:hint="eastAsia"/>
        </w:rPr>
        <w:t>7</w:t>
      </w:r>
      <w:r>
        <w:rPr>
          <w:rFonts w:hint="eastAsia"/>
        </w:rPr>
        <w:t>月</w:t>
      </w:r>
      <w:r>
        <w:rPr>
          <w:rFonts w:hint="eastAsia"/>
        </w:rPr>
        <w:t>15</w:t>
      </w:r>
      <w:r>
        <w:rPr>
          <w:rFonts w:hint="eastAsia"/>
        </w:rPr>
        <w:t>日第</w:t>
      </w:r>
      <w:r>
        <w:rPr>
          <w:rFonts w:hint="eastAsia"/>
        </w:rPr>
        <w:t>8921</w:t>
      </w:r>
      <w:r>
        <w:rPr>
          <w:rFonts w:hint="eastAsia"/>
        </w:rPr>
        <w:t>号法律从《劳动法》第</w:t>
      </w:r>
      <w:r>
        <w:rPr>
          <w:rFonts w:hint="eastAsia"/>
        </w:rPr>
        <w:t>131</w:t>
      </w:r>
      <w:r>
        <w:rPr>
          <w:rFonts w:hint="eastAsia"/>
        </w:rPr>
        <w:t>条中去除了“非犯罪”一词，以便防止将堕胎休假视为旷工。不过，该法律并没有对非法堕胎的休假</w:t>
      </w:r>
      <w:r>
        <w:rPr>
          <w:rFonts w:hint="eastAsia"/>
        </w:rPr>
        <w:t>做出规定。根据《劳动法》第</w:t>
      </w:r>
      <w:r>
        <w:rPr>
          <w:rFonts w:hint="eastAsia"/>
        </w:rPr>
        <w:t>396</w:t>
      </w:r>
      <w:r>
        <w:rPr>
          <w:rFonts w:hint="eastAsia"/>
        </w:rPr>
        <w:t>条，女工回到工作岗位后，应该确保有两个特定的休息时间哺乳。</w:t>
      </w:r>
    </w:p>
    <w:p w:rsidR="00000000" w:rsidRDefault="004D2F83" w:rsidP="004D2F83">
      <w:pPr>
        <w:spacing w:after="240" w:line="360" w:lineRule="exact"/>
        <w:ind w:firstLineChars="225" w:firstLine="31680"/>
        <w:rPr>
          <w:rFonts w:hint="eastAsia"/>
        </w:rPr>
      </w:pPr>
      <w:r>
        <w:rPr>
          <w:rFonts w:hint="eastAsia"/>
        </w:rPr>
        <w:t>产假受益人的工资制度一直是近期改革的目标。如果根据原来的制度，先由雇主负责支付补助金，再由全国社会保障局报销。现在，需要雇员本人进行登记以便亲自领取补助金。有些人认为，由于这一制度对改善妇女生活的帮助不大，需要对其进行审查。</w:t>
      </w:r>
    </w:p>
    <w:p w:rsidR="00000000" w:rsidRDefault="004D2F83" w:rsidP="004D2F83">
      <w:pPr>
        <w:spacing w:after="240" w:line="360" w:lineRule="exact"/>
        <w:ind w:firstLineChars="225" w:firstLine="31680"/>
        <w:rPr>
          <w:rFonts w:hint="eastAsia"/>
        </w:rPr>
      </w:pPr>
      <w:r>
        <w:rPr>
          <w:rFonts w:hint="eastAsia"/>
        </w:rPr>
        <w:t>另一方面，</w:t>
      </w:r>
      <w:r>
        <w:rPr>
          <w:rFonts w:hint="eastAsia"/>
        </w:rPr>
        <w:t>1994</w:t>
      </w:r>
      <w:r>
        <w:rPr>
          <w:rFonts w:hint="eastAsia"/>
        </w:rPr>
        <w:t>年</w:t>
      </w:r>
      <w:r>
        <w:rPr>
          <w:rFonts w:hint="eastAsia"/>
        </w:rPr>
        <w:t>3</w:t>
      </w:r>
      <w:r>
        <w:rPr>
          <w:rFonts w:hint="eastAsia"/>
        </w:rPr>
        <w:t>月</w:t>
      </w:r>
      <w:r>
        <w:rPr>
          <w:rFonts w:hint="eastAsia"/>
        </w:rPr>
        <w:t>25</w:t>
      </w:r>
      <w:r>
        <w:rPr>
          <w:rFonts w:hint="eastAsia"/>
        </w:rPr>
        <w:t>日第</w:t>
      </w:r>
      <w:r>
        <w:rPr>
          <w:rFonts w:hint="eastAsia"/>
        </w:rPr>
        <w:t>8861</w:t>
      </w:r>
      <w:r>
        <w:rPr>
          <w:rFonts w:hint="eastAsia"/>
        </w:rPr>
        <w:t>号法律通过赋予佣仆、农村小工、自由职业者和自主工人这项权利，从而增加了产假受益人的人数。</w:t>
      </w:r>
    </w:p>
    <w:p w:rsidR="00000000" w:rsidRDefault="004D2F83" w:rsidP="004D2F83">
      <w:pPr>
        <w:spacing w:after="240" w:line="360" w:lineRule="exact"/>
        <w:ind w:firstLineChars="225" w:firstLine="31680"/>
        <w:rPr>
          <w:rFonts w:hint="eastAsia"/>
        </w:rPr>
      </w:pPr>
      <w:r>
        <w:rPr>
          <w:rFonts w:hint="eastAsia"/>
        </w:rPr>
        <w:t>还是关于产假问题，</w:t>
      </w:r>
      <w:r>
        <w:rPr>
          <w:rFonts w:hint="eastAsia"/>
        </w:rPr>
        <w:t>1998</w:t>
      </w:r>
      <w:r>
        <w:rPr>
          <w:rFonts w:hint="eastAsia"/>
        </w:rPr>
        <w:t>年</w:t>
      </w:r>
      <w:r>
        <w:rPr>
          <w:rFonts w:hint="eastAsia"/>
        </w:rPr>
        <w:t>12</w:t>
      </w:r>
      <w:r>
        <w:rPr>
          <w:rFonts w:hint="eastAsia"/>
        </w:rPr>
        <w:t>月</w:t>
      </w:r>
      <w:r>
        <w:rPr>
          <w:rFonts w:hint="eastAsia"/>
        </w:rPr>
        <w:t>15</w:t>
      </w:r>
      <w:r>
        <w:rPr>
          <w:rFonts w:hint="eastAsia"/>
        </w:rPr>
        <w:t>日的第</w:t>
      </w:r>
      <w:r>
        <w:rPr>
          <w:rFonts w:hint="eastAsia"/>
        </w:rPr>
        <w:t>20</w:t>
      </w:r>
      <w:r>
        <w:rPr>
          <w:rFonts w:hint="eastAsia"/>
        </w:rPr>
        <w:t>号《宪法修正案》</w:t>
      </w:r>
      <w:r>
        <w:rPr>
          <w:rFonts w:hint="eastAsia"/>
        </w:rPr>
        <w:t>修改了社会保障制度。该修正案第</w:t>
      </w:r>
      <w:r>
        <w:rPr>
          <w:rFonts w:hint="eastAsia"/>
        </w:rPr>
        <w:t>14</w:t>
      </w:r>
      <w:r>
        <w:rPr>
          <w:rFonts w:hint="eastAsia"/>
        </w:rPr>
        <w:t>条规定，该制度中，补助金的最高支付数额为</w:t>
      </w:r>
      <w:r>
        <w:rPr>
          <w:rFonts w:hint="eastAsia"/>
        </w:rPr>
        <w:t>1 200</w:t>
      </w:r>
      <w:r>
        <w:t>.</w:t>
      </w:r>
      <w:r>
        <w:rPr>
          <w:rFonts w:hint="eastAsia"/>
        </w:rPr>
        <w:t>00</w:t>
      </w:r>
      <w:r>
        <w:rPr>
          <w:rFonts w:hint="eastAsia"/>
        </w:rPr>
        <w:t>雷亚尔。经审议有关此问题的《违宪直接诉讼》，最高法院考虑到有废除个人权利和保障倾向的修正建议将不是审议的对象（《联邦宪法》第</w:t>
      </w:r>
      <w:r>
        <w:rPr>
          <w:rFonts w:hint="eastAsia"/>
        </w:rPr>
        <w:t>60</w:t>
      </w:r>
      <w:r>
        <w:rPr>
          <w:rFonts w:hint="eastAsia"/>
        </w:rPr>
        <w:t>条，第</w:t>
      </w:r>
      <w:r>
        <w:rPr>
          <w:rFonts w:hint="eastAsia"/>
        </w:rPr>
        <w:t>4</w:t>
      </w:r>
      <w:r>
        <w:rPr>
          <w:rFonts w:hint="eastAsia"/>
        </w:rPr>
        <w:t>款，第</w:t>
      </w:r>
      <w:r>
        <w:rPr>
          <w:rFonts w:hint="eastAsia"/>
        </w:rPr>
        <w:t>4</w:t>
      </w:r>
      <w:r>
        <w:rPr>
          <w:rFonts w:hint="eastAsia"/>
        </w:rPr>
        <w:t>项），批准了禁止令要求，认为第</w:t>
      </w:r>
      <w:r>
        <w:rPr>
          <w:rFonts w:hint="eastAsia"/>
        </w:rPr>
        <w:t>20/98</w:t>
      </w:r>
      <w:r>
        <w:rPr>
          <w:rFonts w:hint="eastAsia"/>
        </w:rPr>
        <w:t>号《宪法修正案》第</w:t>
      </w:r>
      <w:r>
        <w:rPr>
          <w:rFonts w:hint="eastAsia"/>
        </w:rPr>
        <w:t>14</w:t>
      </w:r>
      <w:r>
        <w:rPr>
          <w:rFonts w:hint="eastAsia"/>
        </w:rPr>
        <w:t>条确定的最高数额不适用于《联邦宪法》第</w:t>
      </w:r>
      <w:r>
        <w:rPr>
          <w:rFonts w:hint="eastAsia"/>
        </w:rPr>
        <w:t>7</w:t>
      </w:r>
      <w:r>
        <w:rPr>
          <w:rFonts w:hint="eastAsia"/>
        </w:rPr>
        <w:t>条第</w:t>
      </w:r>
      <w:r>
        <w:rPr>
          <w:rFonts w:hint="eastAsia"/>
        </w:rPr>
        <w:t>18</w:t>
      </w:r>
      <w:r>
        <w:rPr>
          <w:rFonts w:hint="eastAsia"/>
        </w:rPr>
        <w:t>款规定的产假，产假期间的工资应该由社会保障局全额支付。这只是禁止令的判断，因此属于临时性质。法院还需根据实际情况做出判决。</w:t>
      </w:r>
    </w:p>
    <w:p w:rsidR="00000000" w:rsidRDefault="004D2F83" w:rsidP="004D2F83">
      <w:pPr>
        <w:spacing w:after="240" w:line="360" w:lineRule="exact"/>
        <w:ind w:firstLineChars="225" w:firstLine="31680"/>
        <w:rPr>
          <w:rFonts w:hint="eastAsia"/>
        </w:rPr>
      </w:pPr>
      <w:r>
        <w:rPr>
          <w:rFonts w:hint="eastAsia"/>
        </w:rPr>
        <w:t>最后，根据《劳动法》第</w:t>
      </w:r>
      <w:r>
        <w:rPr>
          <w:rFonts w:hint="eastAsia"/>
        </w:rPr>
        <w:t>399</w:t>
      </w:r>
      <w:r>
        <w:rPr>
          <w:rFonts w:hint="eastAsia"/>
        </w:rPr>
        <w:t>条，对于那些设立</w:t>
      </w:r>
      <w:r>
        <w:rPr>
          <w:rFonts w:hint="eastAsia"/>
        </w:rPr>
        <w:t>和开办托儿所和学校，保护学龄前儿童的雇主，劳动部将向其颁发荣誉证书。</w:t>
      </w:r>
    </w:p>
    <w:p w:rsidR="00000000" w:rsidRDefault="004D2F83" w:rsidP="004D2F83">
      <w:pPr>
        <w:spacing w:after="240" w:line="360" w:lineRule="exact"/>
        <w:ind w:firstLineChars="225" w:firstLine="31680"/>
        <w:rPr>
          <w:rFonts w:eastAsia="KaiTi_GB2312" w:hint="eastAsia"/>
        </w:rPr>
      </w:pPr>
      <w:r>
        <w:rPr>
          <w:rFonts w:eastAsia="KaiTi_GB2312" w:hint="eastAsia"/>
        </w:rPr>
        <w:t>其他法律和汇编</w:t>
      </w:r>
    </w:p>
    <w:p w:rsidR="00000000" w:rsidRDefault="004D2F83" w:rsidP="004D2F83">
      <w:pPr>
        <w:spacing w:after="240" w:line="360" w:lineRule="exact"/>
        <w:ind w:firstLineChars="225" w:firstLine="31680"/>
        <w:rPr>
          <w:rFonts w:hint="eastAsia"/>
        </w:rPr>
      </w:pPr>
      <w:r>
        <w:rPr>
          <w:rFonts w:hint="eastAsia"/>
        </w:rPr>
        <w:t>巴西法律体系中的几个具体法律，如那些制约新闻、通信和保护消费者免受虚假广告欺骗的法律禁止传播歧视性观念。颁布《巴西电信法》的第</w:t>
      </w:r>
      <w:r>
        <w:rPr>
          <w:rFonts w:hint="eastAsia"/>
        </w:rPr>
        <w:t>4117/62</w:t>
      </w:r>
      <w:r>
        <w:rPr>
          <w:rFonts w:hint="eastAsia"/>
        </w:rPr>
        <w:t>号法律对利用通信手段进行歧视性活动进行惩罚。《新闻法》（第</w:t>
      </w:r>
      <w:r>
        <w:rPr>
          <w:rFonts w:hint="eastAsia"/>
        </w:rPr>
        <w:t>5250/65</w:t>
      </w:r>
      <w:r>
        <w:rPr>
          <w:rFonts w:hint="eastAsia"/>
        </w:rPr>
        <w:t>号法律）的第</w:t>
      </w:r>
      <w:r>
        <w:rPr>
          <w:rFonts w:hint="eastAsia"/>
        </w:rPr>
        <w:t>14</w:t>
      </w:r>
      <w:r>
        <w:rPr>
          <w:rFonts w:hint="eastAsia"/>
        </w:rPr>
        <w:t>条也禁止宣传任何形式的偏见，违者将处以</w:t>
      </w:r>
      <w:r>
        <w:rPr>
          <w:rFonts w:hint="eastAsia"/>
        </w:rPr>
        <w:t>1</w:t>
      </w:r>
      <w:r>
        <w:rPr>
          <w:rFonts w:hint="eastAsia"/>
        </w:rPr>
        <w:t>至</w:t>
      </w:r>
      <w:r>
        <w:rPr>
          <w:rFonts w:hint="eastAsia"/>
        </w:rPr>
        <w:t>4</w:t>
      </w:r>
      <w:r>
        <w:rPr>
          <w:rFonts w:hint="eastAsia"/>
        </w:rPr>
        <w:t>年的监禁。第</w:t>
      </w:r>
      <w:r>
        <w:rPr>
          <w:rFonts w:hint="eastAsia"/>
        </w:rPr>
        <w:t>8078/90</w:t>
      </w:r>
      <w:r>
        <w:rPr>
          <w:rFonts w:hint="eastAsia"/>
        </w:rPr>
        <w:t>号法律颁布的《消费者保护法》规定保护消费者，禁止任何种类的欺骗、歧视或引发暴力的广告，违者将处以</w:t>
      </w:r>
      <w:r>
        <w:rPr>
          <w:rFonts w:hint="eastAsia"/>
        </w:rPr>
        <w:t>3</w:t>
      </w:r>
      <w:r>
        <w:rPr>
          <w:rFonts w:hint="eastAsia"/>
        </w:rPr>
        <w:t>个月至</w:t>
      </w:r>
      <w:r>
        <w:rPr>
          <w:rFonts w:hint="eastAsia"/>
        </w:rPr>
        <w:t>2</w:t>
      </w:r>
      <w:r>
        <w:rPr>
          <w:rFonts w:hint="eastAsia"/>
        </w:rPr>
        <w:t>年的监禁加罚金。</w:t>
      </w:r>
    </w:p>
    <w:p w:rsidR="00000000" w:rsidRDefault="004D2F83" w:rsidP="004D2F83">
      <w:pPr>
        <w:spacing w:after="240" w:line="360" w:lineRule="exact"/>
        <w:ind w:firstLineChars="225" w:firstLine="31680"/>
        <w:rPr>
          <w:rFonts w:hint="eastAsia"/>
        </w:rPr>
      </w:pPr>
      <w:r>
        <w:rPr>
          <w:rFonts w:hint="eastAsia"/>
        </w:rPr>
        <w:t>第</w:t>
      </w:r>
      <w:r>
        <w:rPr>
          <w:rFonts w:hint="eastAsia"/>
        </w:rPr>
        <w:t>8</w:t>
      </w:r>
      <w:r>
        <w:rPr>
          <w:rFonts w:hint="eastAsia"/>
        </w:rPr>
        <w:t>069/90</w:t>
      </w:r>
      <w:r>
        <w:rPr>
          <w:rFonts w:hint="eastAsia"/>
        </w:rPr>
        <w:t>号法律颁布的《儿童和青少年法》第</w:t>
      </w:r>
      <w:r>
        <w:rPr>
          <w:rFonts w:hint="eastAsia"/>
        </w:rPr>
        <w:t>5</w:t>
      </w:r>
      <w:r>
        <w:rPr>
          <w:rFonts w:hint="eastAsia"/>
        </w:rPr>
        <w:t>条规定：“任何儿童和青少年不受任何形式的忽视、歧视、剥削、暴力、虐待和压迫，对他们的基本权利的任何侵犯——不论是作为还是不作为造成的——均应依法惩处”。</w:t>
      </w:r>
    </w:p>
    <w:p w:rsidR="00000000" w:rsidRDefault="004D2F83" w:rsidP="004D2F83">
      <w:pPr>
        <w:spacing w:after="240" w:line="360" w:lineRule="exact"/>
        <w:ind w:firstLineChars="225" w:firstLine="31680"/>
        <w:rPr>
          <w:rFonts w:hint="eastAsia"/>
        </w:rPr>
      </w:pPr>
      <w:r>
        <w:rPr>
          <w:rFonts w:hint="eastAsia"/>
        </w:rPr>
        <w:t>在确保妇女参加政党的法律中也规定了男女平等。第</w:t>
      </w:r>
      <w:r>
        <w:rPr>
          <w:rFonts w:hint="eastAsia"/>
        </w:rPr>
        <w:t>9504/97</w:t>
      </w:r>
      <w:r>
        <w:rPr>
          <w:rFonts w:hint="eastAsia"/>
        </w:rPr>
        <w:t>号法律规定，在</w:t>
      </w:r>
      <w:r>
        <w:rPr>
          <w:rFonts w:hint="eastAsia"/>
        </w:rPr>
        <w:t>1998</w:t>
      </w:r>
      <w:r>
        <w:rPr>
          <w:rFonts w:hint="eastAsia"/>
        </w:rPr>
        <w:t>年的选举中，各政党男女候选人所占席位的百分比应该最低为</w:t>
      </w:r>
      <w:r>
        <w:rPr>
          <w:rFonts w:hint="eastAsia"/>
        </w:rPr>
        <w:t>25%</w:t>
      </w:r>
      <w:r>
        <w:rPr>
          <w:rFonts w:hint="eastAsia"/>
        </w:rPr>
        <w:t>，最高为</w:t>
      </w:r>
      <w:r>
        <w:rPr>
          <w:rFonts w:hint="eastAsia"/>
        </w:rPr>
        <w:t>75%</w:t>
      </w:r>
      <w:r>
        <w:rPr>
          <w:rFonts w:hint="eastAsia"/>
        </w:rPr>
        <w:t>。</w:t>
      </w:r>
      <w:r>
        <w:rPr>
          <w:rFonts w:hint="eastAsia"/>
        </w:rPr>
        <w:t>1998</w:t>
      </w:r>
      <w:r>
        <w:rPr>
          <w:rFonts w:hint="eastAsia"/>
        </w:rPr>
        <w:t>年以后，这些数字分别修改为</w:t>
      </w:r>
      <w:r>
        <w:rPr>
          <w:rFonts w:hint="eastAsia"/>
        </w:rPr>
        <w:t>30%</w:t>
      </w:r>
      <w:r>
        <w:rPr>
          <w:rFonts w:hint="eastAsia"/>
        </w:rPr>
        <w:t>和</w:t>
      </w:r>
      <w:r>
        <w:rPr>
          <w:rFonts w:hint="eastAsia"/>
        </w:rPr>
        <w:t>70%</w:t>
      </w:r>
      <w:r>
        <w:rPr>
          <w:rFonts w:hint="eastAsia"/>
        </w:rPr>
        <w:t>。实际上，由于妇女参政人数相当低，妇女占最低的百分比，男子占最高的百分比。即使妇女达不到最低</w:t>
      </w:r>
      <w:r>
        <w:rPr>
          <w:rFonts w:hint="eastAsia"/>
        </w:rPr>
        <w:t>30%</w:t>
      </w:r>
      <w:r>
        <w:rPr>
          <w:rFonts w:hint="eastAsia"/>
        </w:rPr>
        <w:t>的比例，</w:t>
      </w:r>
      <w:r>
        <w:rPr>
          <w:rFonts w:hint="eastAsia"/>
        </w:rPr>
        <w:t>也不允许男子补充这些席位，因为男性或女性的最高百分比均为</w:t>
      </w:r>
      <w:r>
        <w:rPr>
          <w:rFonts w:hint="eastAsia"/>
        </w:rPr>
        <w:t>70%</w:t>
      </w:r>
      <w:r>
        <w:rPr>
          <w:rFonts w:hint="eastAsia"/>
        </w:rPr>
        <w:t>。</w:t>
      </w:r>
    </w:p>
    <w:p w:rsidR="00000000" w:rsidRDefault="004D2F83" w:rsidP="004D2F83">
      <w:pPr>
        <w:spacing w:after="240" w:line="360" w:lineRule="exact"/>
        <w:ind w:firstLineChars="225" w:firstLine="31680"/>
        <w:rPr>
          <w:rFonts w:eastAsia="KaiTi_GB2312" w:hint="eastAsia"/>
        </w:rPr>
      </w:pPr>
      <w:r>
        <w:rPr>
          <w:rFonts w:eastAsia="KaiTi_GB2312" w:hint="eastAsia"/>
        </w:rPr>
        <w:t>北京会议之后巴西通过的关于对妇女的暴力行为的相关法律</w:t>
      </w:r>
    </w:p>
    <w:p w:rsidR="00000000" w:rsidRDefault="004D2F83" w:rsidP="004D2F83">
      <w:pPr>
        <w:spacing w:after="240" w:line="360" w:lineRule="exact"/>
        <w:ind w:firstLineChars="225" w:firstLine="31680"/>
        <w:rPr>
          <w:rFonts w:hint="eastAsia"/>
          <w:spacing w:val="-4"/>
        </w:rPr>
      </w:pPr>
      <w:r>
        <w:rPr>
          <w:rFonts w:hint="eastAsia"/>
          <w:spacing w:val="-4"/>
        </w:rPr>
        <w:t>1995</w:t>
      </w:r>
      <w:r>
        <w:rPr>
          <w:rFonts w:hint="eastAsia"/>
          <w:spacing w:val="-4"/>
        </w:rPr>
        <w:t>年</w:t>
      </w:r>
      <w:r>
        <w:rPr>
          <w:rFonts w:hint="eastAsia"/>
          <w:spacing w:val="-4"/>
        </w:rPr>
        <w:t>9</w:t>
      </w:r>
      <w:r>
        <w:rPr>
          <w:rFonts w:hint="eastAsia"/>
          <w:spacing w:val="-4"/>
        </w:rPr>
        <w:t>月</w:t>
      </w:r>
      <w:r>
        <w:rPr>
          <w:rFonts w:hint="eastAsia"/>
          <w:spacing w:val="-4"/>
        </w:rPr>
        <w:t>26</w:t>
      </w:r>
      <w:r>
        <w:rPr>
          <w:rFonts w:hint="eastAsia"/>
          <w:spacing w:val="-4"/>
        </w:rPr>
        <w:t>日第</w:t>
      </w:r>
      <w:r>
        <w:rPr>
          <w:rFonts w:hint="eastAsia"/>
          <w:spacing w:val="-4"/>
        </w:rPr>
        <w:t>9099</w:t>
      </w:r>
      <w:r>
        <w:rPr>
          <w:rFonts w:hint="eastAsia"/>
          <w:spacing w:val="-4"/>
        </w:rPr>
        <w:t>号法律规定设立特别民事和刑事法院，并对《联邦宪法》第</w:t>
      </w:r>
      <w:r>
        <w:rPr>
          <w:rFonts w:hint="eastAsia"/>
          <w:spacing w:val="-4"/>
        </w:rPr>
        <w:t>98</w:t>
      </w:r>
      <w:r>
        <w:rPr>
          <w:rFonts w:hint="eastAsia"/>
          <w:spacing w:val="-4"/>
        </w:rPr>
        <w:t>条第一款做了调整。该法律修改了最高处罚不超过一年的罪行，其中包括家庭环境内部和家庭内部关系中最为常见的两种犯罪：殴打伤害和威胁。不过，在将该法律实施到家庭暴力案件中时在国内引起争议。女权组织认为，新程序将家庭内暴力行为列为轻罪，忽视了家庭内部所犯罪行的特性和通常复发性，对该罪行的处理仍是老一套。</w:t>
      </w:r>
    </w:p>
    <w:p w:rsidR="00000000" w:rsidRDefault="004D2F83" w:rsidP="004D2F83">
      <w:pPr>
        <w:spacing w:after="240" w:line="360" w:lineRule="exact"/>
        <w:ind w:firstLineChars="225" w:firstLine="31680"/>
        <w:rPr>
          <w:rFonts w:hint="eastAsia"/>
        </w:rPr>
      </w:pPr>
      <w:r>
        <w:rPr>
          <w:rFonts w:hint="eastAsia"/>
        </w:rPr>
        <w:t>1996</w:t>
      </w:r>
      <w:r>
        <w:rPr>
          <w:rFonts w:hint="eastAsia"/>
        </w:rPr>
        <w:t>年</w:t>
      </w:r>
      <w:r>
        <w:rPr>
          <w:rFonts w:hint="eastAsia"/>
        </w:rPr>
        <w:t>12</w:t>
      </w:r>
      <w:r>
        <w:rPr>
          <w:rFonts w:hint="eastAsia"/>
        </w:rPr>
        <w:t>月</w:t>
      </w:r>
      <w:r>
        <w:rPr>
          <w:rFonts w:hint="eastAsia"/>
        </w:rPr>
        <w:t>5</w:t>
      </w:r>
      <w:r>
        <w:rPr>
          <w:rFonts w:hint="eastAsia"/>
        </w:rPr>
        <w:t>日第</w:t>
      </w:r>
      <w:r>
        <w:rPr>
          <w:rFonts w:hint="eastAsia"/>
        </w:rPr>
        <w:t>9318</w:t>
      </w:r>
      <w:r>
        <w:rPr>
          <w:rFonts w:hint="eastAsia"/>
        </w:rPr>
        <w:t>号法律对《刑法典》第</w:t>
      </w:r>
      <w:r>
        <w:rPr>
          <w:rFonts w:hint="eastAsia"/>
        </w:rPr>
        <w:t>61</w:t>
      </w:r>
      <w:r>
        <w:rPr>
          <w:rFonts w:hint="eastAsia"/>
        </w:rPr>
        <w:t>条第</w:t>
      </w:r>
      <w:r>
        <w:rPr>
          <w:rFonts w:hint="eastAsia"/>
        </w:rPr>
        <w:t>2</w:t>
      </w:r>
      <w:r>
        <w:rPr>
          <w:rFonts w:hint="eastAsia"/>
        </w:rPr>
        <w:t>款增加了“</w:t>
      </w:r>
      <w:r>
        <w:t>h</w:t>
      </w:r>
      <w:r>
        <w:rPr>
          <w:rFonts w:hint="eastAsia"/>
        </w:rPr>
        <w:t>”项，规定对“怀孕妇女”实施犯罪属于加重处罚情节。</w:t>
      </w:r>
    </w:p>
    <w:p w:rsidR="00000000" w:rsidRDefault="004D2F83" w:rsidP="004D2F83">
      <w:pPr>
        <w:spacing w:after="240" w:line="360" w:lineRule="exact"/>
        <w:ind w:firstLineChars="225" w:firstLine="31680"/>
        <w:rPr>
          <w:rFonts w:hint="eastAsia"/>
        </w:rPr>
      </w:pPr>
      <w:r>
        <w:rPr>
          <w:rFonts w:hint="eastAsia"/>
        </w:rPr>
        <w:t>特别值得一提的是</w:t>
      </w:r>
      <w:r>
        <w:rPr>
          <w:rFonts w:hint="eastAsia"/>
        </w:rPr>
        <w:t>1997</w:t>
      </w:r>
      <w:r>
        <w:rPr>
          <w:rFonts w:hint="eastAsia"/>
        </w:rPr>
        <w:t>年</w:t>
      </w:r>
      <w:r>
        <w:rPr>
          <w:rFonts w:hint="eastAsia"/>
        </w:rPr>
        <w:t>4</w:t>
      </w:r>
      <w:r>
        <w:rPr>
          <w:rFonts w:hint="eastAsia"/>
        </w:rPr>
        <w:t>月</w:t>
      </w:r>
      <w:r>
        <w:rPr>
          <w:rFonts w:hint="eastAsia"/>
        </w:rPr>
        <w:t>7</w:t>
      </w:r>
      <w:r>
        <w:rPr>
          <w:rFonts w:hint="eastAsia"/>
        </w:rPr>
        <w:t>日第</w:t>
      </w:r>
      <w:r>
        <w:rPr>
          <w:rFonts w:hint="eastAsia"/>
        </w:rPr>
        <w:t>9455</w:t>
      </w:r>
      <w:r>
        <w:rPr>
          <w:rFonts w:hint="eastAsia"/>
        </w:rPr>
        <w:t>号法律，该法律界定了酷刑罪，并在第</w:t>
      </w:r>
      <w:r>
        <w:rPr>
          <w:rFonts w:hint="eastAsia"/>
        </w:rPr>
        <w:t>1</w:t>
      </w:r>
      <w:r>
        <w:rPr>
          <w:rFonts w:hint="eastAsia"/>
        </w:rPr>
        <w:t>条第二款规定，“作为一种实施个人惩罚或预防性措施的办法，通过暴力或严重威胁，使在其监护或掌控下的某人遭受严酷的肉体或精神折磨”属于酷刑罪。如果是对怀孕妇女实施此种犯罪将加重处罚（第</w:t>
      </w:r>
      <w:r>
        <w:rPr>
          <w:rFonts w:hint="eastAsia"/>
        </w:rPr>
        <w:t>1</w:t>
      </w:r>
      <w:r>
        <w:rPr>
          <w:rFonts w:hint="eastAsia"/>
        </w:rPr>
        <w:t>条，第</w:t>
      </w:r>
      <w:r>
        <w:rPr>
          <w:rFonts w:hint="eastAsia"/>
        </w:rPr>
        <w:t>4</w:t>
      </w:r>
      <w:r>
        <w:rPr>
          <w:rFonts w:hint="eastAsia"/>
        </w:rPr>
        <w:t>款，第二项）。还值得一提的是，该法律并不旨在保护遭受家庭暴力的妇女，尽管它可能会在这方面适用。</w:t>
      </w:r>
    </w:p>
    <w:p w:rsidR="00000000" w:rsidRDefault="004D2F83" w:rsidP="004D2F83">
      <w:pPr>
        <w:spacing w:after="240" w:line="360" w:lineRule="exact"/>
        <w:ind w:firstLineChars="225" w:firstLine="31680"/>
        <w:rPr>
          <w:rFonts w:hint="eastAsia"/>
        </w:rPr>
      </w:pPr>
      <w:r>
        <w:rPr>
          <w:rFonts w:hint="eastAsia"/>
        </w:rPr>
        <w:t>1997</w:t>
      </w:r>
      <w:r>
        <w:rPr>
          <w:rFonts w:hint="eastAsia"/>
        </w:rPr>
        <w:t>年</w:t>
      </w:r>
      <w:r>
        <w:rPr>
          <w:rFonts w:hint="eastAsia"/>
        </w:rPr>
        <w:t>11</w:t>
      </w:r>
      <w:r>
        <w:rPr>
          <w:rFonts w:hint="eastAsia"/>
        </w:rPr>
        <w:t>月</w:t>
      </w:r>
      <w:r>
        <w:rPr>
          <w:rFonts w:hint="eastAsia"/>
        </w:rPr>
        <w:t>27</w:t>
      </w:r>
      <w:r>
        <w:rPr>
          <w:rFonts w:hint="eastAsia"/>
        </w:rPr>
        <w:t>日第</w:t>
      </w:r>
      <w:r>
        <w:rPr>
          <w:rFonts w:hint="eastAsia"/>
        </w:rPr>
        <w:t>952</w:t>
      </w:r>
      <w:r>
        <w:rPr>
          <w:rFonts w:hint="eastAsia"/>
        </w:rPr>
        <w:t>0</w:t>
      </w:r>
      <w:r>
        <w:rPr>
          <w:rFonts w:hint="eastAsia"/>
        </w:rPr>
        <w:t>号法废除了第</w:t>
      </w:r>
      <w:r>
        <w:rPr>
          <w:rFonts w:hint="eastAsia"/>
        </w:rPr>
        <w:t>3689/41</w:t>
      </w:r>
      <w:r>
        <w:rPr>
          <w:rFonts w:hint="eastAsia"/>
        </w:rPr>
        <w:t>号《行政法》（《刑事诉讼法》）第</w:t>
      </w:r>
      <w:r>
        <w:rPr>
          <w:rFonts w:hint="eastAsia"/>
        </w:rPr>
        <w:t>35</w:t>
      </w:r>
      <w:r>
        <w:rPr>
          <w:rFonts w:hint="eastAsia"/>
        </w:rPr>
        <w:t>条，单立款，规定妇女有权起诉。而该条规定已婚妇女在未经丈夫同意的情况下不得起诉，除非与他合法分居或是对其提出起诉。</w:t>
      </w:r>
    </w:p>
    <w:p w:rsidR="00000000" w:rsidRDefault="004D2F83" w:rsidP="004D2F83">
      <w:pPr>
        <w:spacing w:after="240" w:line="360" w:lineRule="exact"/>
        <w:ind w:firstLineChars="225" w:firstLine="31680"/>
        <w:rPr>
          <w:rFonts w:hint="eastAsia"/>
        </w:rPr>
      </w:pPr>
      <w:r>
        <w:rPr>
          <w:rFonts w:hint="eastAsia"/>
        </w:rPr>
        <w:t>最后，应该提到的是</w:t>
      </w:r>
      <w:r>
        <w:rPr>
          <w:rFonts w:hint="eastAsia"/>
        </w:rPr>
        <w:t>1999</w:t>
      </w:r>
      <w:r>
        <w:rPr>
          <w:rFonts w:hint="eastAsia"/>
        </w:rPr>
        <w:t>年</w:t>
      </w:r>
      <w:r>
        <w:rPr>
          <w:rFonts w:hint="eastAsia"/>
        </w:rPr>
        <w:t>7</w:t>
      </w:r>
      <w:r>
        <w:rPr>
          <w:rFonts w:hint="eastAsia"/>
        </w:rPr>
        <w:t>月</w:t>
      </w:r>
      <w:r>
        <w:rPr>
          <w:rFonts w:hint="eastAsia"/>
        </w:rPr>
        <w:t>13</w:t>
      </w:r>
      <w:r>
        <w:rPr>
          <w:rFonts w:hint="eastAsia"/>
        </w:rPr>
        <w:t>日第</w:t>
      </w:r>
      <w:r>
        <w:rPr>
          <w:rFonts w:hint="eastAsia"/>
        </w:rPr>
        <w:t>9807</w:t>
      </w:r>
      <w:r>
        <w:rPr>
          <w:rFonts w:hint="eastAsia"/>
        </w:rPr>
        <w:t>号法律，该法律规定向暴力受害者和受到威胁的证人提供保护和援助。不过，有一点值得强调，尽管上述法律看来是一份宝贵的文书，应该更好地研究和分析它对上述问题的适用性，但它并不是特别旨在保护妇女的。</w:t>
      </w:r>
      <w:r>
        <w:rPr>
          <w:rFonts w:hint="eastAsia"/>
        </w:rPr>
        <w:t xml:space="preserve"> </w:t>
      </w:r>
    </w:p>
    <w:p w:rsidR="00000000" w:rsidRDefault="004D2F83">
      <w:pPr>
        <w:pStyle w:val="Date"/>
        <w:spacing w:after="240" w:line="360" w:lineRule="exact"/>
        <w:rPr>
          <w:rFonts w:eastAsia="SimHei" w:hint="eastAsia"/>
          <w:sz w:val="24"/>
        </w:rPr>
      </w:pPr>
      <w:r>
        <w:rPr>
          <w:rFonts w:eastAsia="SimHei" w:hint="eastAsia"/>
          <w:sz w:val="24"/>
        </w:rPr>
        <w:t>州法律</w:t>
      </w:r>
    </w:p>
    <w:p w:rsidR="00000000" w:rsidRDefault="004D2F83" w:rsidP="004D2F83">
      <w:pPr>
        <w:spacing w:after="240" w:line="360" w:lineRule="exact"/>
        <w:ind w:firstLineChars="225" w:firstLine="31680"/>
        <w:rPr>
          <w:rFonts w:eastAsia="KaiTi_GB2312" w:hint="eastAsia"/>
        </w:rPr>
      </w:pPr>
      <w:r>
        <w:rPr>
          <w:rFonts w:eastAsia="KaiTi_GB2312" w:hint="eastAsia"/>
        </w:rPr>
        <w:t>州宪法和法律</w:t>
      </w:r>
    </w:p>
    <w:p w:rsidR="00000000" w:rsidRDefault="004D2F83" w:rsidP="004D2F83">
      <w:pPr>
        <w:spacing w:after="240" w:line="360" w:lineRule="exact"/>
        <w:ind w:firstLineChars="225" w:firstLine="31680"/>
        <w:rPr>
          <w:rFonts w:hint="eastAsia"/>
        </w:rPr>
      </w:pPr>
      <w:r>
        <w:rPr>
          <w:rFonts w:hint="eastAsia"/>
        </w:rPr>
        <w:t>十七个州的宪法以及《联邦区组织法》中都规定了所有人一律平等的权利。其</w:t>
      </w:r>
      <w:r>
        <w:rPr>
          <w:rFonts w:hint="eastAsia"/>
        </w:rPr>
        <w:t>中，巴伊亚、阿马帕、塞阿拉、帕拉州的宪法及《联邦区组织法》明确提到男女之间权利平等，包括通过采取州一级措施来保障这一权利。巴伊亚、马托格罗索、巴拉那、托坎廷斯州的宪法及《联邦区组织法》包含了关于制止和禁止性别歧视的具体规定。圣埃斯皮里图、里约热内卢和圣卡塔琳娜州的宪法规定了对歧视行为的制裁。除了三个州——伯南布哥、罗赖马和阿拉戈斯州的宪法以外，实际上各州在</w:t>
      </w:r>
      <w:r>
        <w:rPr>
          <w:rFonts w:hint="eastAsia"/>
        </w:rPr>
        <w:t>1988</w:t>
      </w:r>
      <w:r>
        <w:rPr>
          <w:rFonts w:hint="eastAsia"/>
        </w:rPr>
        <w:t>年以后颁布的宪法都规定禁止家庭内部和家庭环境暴力。</w:t>
      </w:r>
    </w:p>
    <w:p w:rsidR="00000000" w:rsidRDefault="004D2F83" w:rsidP="004D2F83">
      <w:pPr>
        <w:spacing w:after="240" w:line="340" w:lineRule="exact"/>
        <w:ind w:firstLineChars="225" w:firstLine="31680"/>
        <w:rPr>
          <w:rFonts w:hint="eastAsia"/>
        </w:rPr>
      </w:pPr>
      <w:r>
        <w:rPr>
          <w:rFonts w:hint="eastAsia"/>
        </w:rPr>
        <w:t>关于保护孕产妇女，帕拉州《宪法》第</w:t>
      </w:r>
      <w:r>
        <w:rPr>
          <w:rFonts w:hint="eastAsia"/>
        </w:rPr>
        <w:t>28</w:t>
      </w:r>
      <w:r>
        <w:rPr>
          <w:rFonts w:hint="eastAsia"/>
        </w:rPr>
        <w:t>条第</w:t>
      </w:r>
      <w:r>
        <w:rPr>
          <w:rFonts w:hint="eastAsia"/>
        </w:rPr>
        <w:t>4</w:t>
      </w:r>
      <w:r>
        <w:rPr>
          <w:rFonts w:hint="eastAsia"/>
        </w:rPr>
        <w:t>款规定，任何不尊重妇女的权利，特别是那些保护孕产妇</w:t>
      </w:r>
      <w:r>
        <w:rPr>
          <w:rFonts w:hint="eastAsia"/>
        </w:rPr>
        <w:t>女的权利的自然人和法人都不能与公共权力机构签订合同，也不能享受这些机构赋予的税收、信贷、行政或任何其他福利或奖励，如果罪行被查明，还将撤消现有合同而不予任何赔偿。帕拉州《宪法》第</w:t>
      </w:r>
      <w:r>
        <w:rPr>
          <w:rFonts w:hint="eastAsia"/>
        </w:rPr>
        <w:t>299</w:t>
      </w:r>
      <w:r>
        <w:rPr>
          <w:rFonts w:hint="eastAsia"/>
        </w:rPr>
        <w:t>条第二、三、四款还规定了本州的义务：确保妇女在社会中作为工人、母亲和公民与男子拥有平等的权利和义务的社会形象；设立一个特别委员会来处理与妇女相关的问题，行政部门和民间团体的代表可以平等参与；保证公共保健机构免费提供自然避孕和人工避孕方法的服务并提供每种避孕方法的使用、适应症、不适应症和利弊方面的咨询，以便夫妇，特别是女方可以选</w:t>
      </w:r>
      <w:r>
        <w:rPr>
          <w:rFonts w:hint="eastAsia"/>
        </w:rPr>
        <w:t>择最安全和最适合的方法。该州《宪法》还规定采取特别措施向受到歧视的人提供优待，从某种意义上确保他们参加劳动力市场、享受教育、保健和其他社会权利，从而抵消和克服实际上的不平等（第</w:t>
      </w:r>
      <w:r>
        <w:rPr>
          <w:rFonts w:hint="eastAsia"/>
        </w:rPr>
        <w:t>336</w:t>
      </w:r>
      <w:r>
        <w:rPr>
          <w:rFonts w:hint="eastAsia"/>
        </w:rPr>
        <w:t>条，单立款）。</w:t>
      </w:r>
    </w:p>
    <w:p w:rsidR="00000000" w:rsidRDefault="004D2F83" w:rsidP="004D2F83">
      <w:pPr>
        <w:spacing w:after="240" w:line="340" w:lineRule="exact"/>
        <w:ind w:firstLineChars="225" w:firstLine="31680"/>
        <w:rPr>
          <w:rFonts w:hint="eastAsia"/>
        </w:rPr>
      </w:pPr>
      <w:r>
        <w:rPr>
          <w:rFonts w:hint="eastAsia"/>
        </w:rPr>
        <w:t>巴伊亚州《宪法》第</w:t>
      </w:r>
      <w:r>
        <w:rPr>
          <w:rFonts w:hint="eastAsia"/>
        </w:rPr>
        <w:t>280</w:t>
      </w:r>
      <w:r>
        <w:rPr>
          <w:rFonts w:hint="eastAsia"/>
        </w:rPr>
        <w:t>条，单立款，禁止在任何情况下要求提供绝育证明、怀孕检查或任何可能对有关个人权利、两性平等原则和保护孕产妇女方面的宪法规则造成损害的其他要求。巴伊亚州《宪法》还规定父母的社会作用是平等的。第</w:t>
      </w:r>
      <w:r>
        <w:rPr>
          <w:rFonts w:hint="eastAsia"/>
        </w:rPr>
        <w:t>179</w:t>
      </w:r>
      <w:r>
        <w:rPr>
          <w:rFonts w:hint="eastAsia"/>
        </w:rPr>
        <w:t>条第</w:t>
      </w:r>
      <w:r>
        <w:rPr>
          <w:rFonts w:hint="eastAsia"/>
        </w:rPr>
        <w:t>1</w:t>
      </w:r>
      <w:r>
        <w:rPr>
          <w:rFonts w:hint="eastAsia"/>
        </w:rPr>
        <w:t>款规定，“本州承认父亲和母亲的重要社会作用并确保父母取得必要收入使其子女进入托儿所并获得教</w:t>
      </w:r>
      <w:r>
        <w:rPr>
          <w:rFonts w:hint="eastAsia"/>
        </w:rPr>
        <w:t>育、保健、食品和安全”。在这方面，米纳斯吉拉斯州《宪法》第</w:t>
      </w:r>
      <w:r>
        <w:rPr>
          <w:rFonts w:hint="eastAsia"/>
        </w:rPr>
        <w:t>2</w:t>
      </w:r>
      <w:r>
        <w:rPr>
          <w:rFonts w:hint="eastAsia"/>
        </w:rPr>
        <w:t>条第七款将对孕产妇女提供援助确定为该州优先考虑的目标。</w:t>
      </w:r>
    </w:p>
    <w:p w:rsidR="00000000" w:rsidRDefault="004D2F83" w:rsidP="004D2F83">
      <w:pPr>
        <w:spacing w:after="240" w:line="340" w:lineRule="exact"/>
        <w:ind w:firstLineChars="225" w:firstLine="31680"/>
        <w:rPr>
          <w:rFonts w:hint="eastAsia"/>
        </w:rPr>
      </w:pPr>
      <w:r>
        <w:rPr>
          <w:rFonts w:hint="eastAsia"/>
        </w:rPr>
        <w:t>还应特别提到里约热内卢州《宪法》，其中第</w:t>
      </w:r>
      <w:r>
        <w:rPr>
          <w:rFonts w:hint="eastAsia"/>
        </w:rPr>
        <w:t>335</w:t>
      </w:r>
      <w:r>
        <w:rPr>
          <w:rFonts w:hint="eastAsia"/>
        </w:rPr>
        <w:t>条规定，应该利用国有通讯机构、公务权力机构建立的基金会或任何其他直接或间接受国家经济管理的实体，确保可以表达不同的舆论倾向并进行辩论。它还禁止政府机关传播含有种族、民族、宗教或社会歧视内容的宣传材料。该宪法包括了关于妇女权利的专门一章，规定本州有义务确保妇女在社会中作为母亲、工人和公民与男子拥有平等权利的社会形象。妇女的社会形象将在讨论《公约》第</w:t>
      </w:r>
      <w:r>
        <w:rPr>
          <w:rFonts w:hint="eastAsia"/>
        </w:rPr>
        <w:t>4</w:t>
      </w:r>
      <w:r>
        <w:rPr>
          <w:rFonts w:hint="eastAsia"/>
        </w:rPr>
        <w:t>条和第</w:t>
      </w:r>
      <w:r>
        <w:rPr>
          <w:rFonts w:hint="eastAsia"/>
        </w:rPr>
        <w:t>5</w:t>
      </w:r>
      <w:r>
        <w:rPr>
          <w:rFonts w:hint="eastAsia"/>
        </w:rPr>
        <w:t>条时进一步详述。</w:t>
      </w:r>
    </w:p>
    <w:p w:rsidR="00000000" w:rsidRDefault="004D2F83" w:rsidP="004D2F83">
      <w:pPr>
        <w:spacing w:after="240" w:line="340" w:lineRule="exact"/>
        <w:ind w:firstLineChars="225" w:firstLine="31680"/>
        <w:rPr>
          <w:rFonts w:hint="eastAsia"/>
        </w:rPr>
      </w:pPr>
      <w:r>
        <w:rPr>
          <w:rFonts w:hint="eastAsia"/>
        </w:rPr>
        <w:t>托坎廷斯州《宪法》的规定也值得一提，其中规定：本州通过其各机构保护和平目的的自由结社，特别是有关种族、社会和宗教少数人团体的结社。</w:t>
      </w:r>
    </w:p>
    <w:p w:rsidR="00000000" w:rsidRDefault="004D2F83" w:rsidP="004D2F83">
      <w:pPr>
        <w:spacing w:after="240" w:line="340" w:lineRule="exact"/>
        <w:ind w:firstLineChars="225" w:firstLine="31680"/>
        <w:rPr>
          <w:rFonts w:hint="eastAsia"/>
        </w:rPr>
      </w:pPr>
      <w:r>
        <w:rPr>
          <w:rFonts w:hint="eastAsia"/>
        </w:rPr>
        <w:t>最后，值得强调的是，根据《公约》第二条</w:t>
      </w:r>
      <w:r>
        <w:t>d</w:t>
      </w:r>
      <w:r>
        <w:rPr>
          <w:rFonts w:hint="eastAsia"/>
        </w:rPr>
        <w:t>款，塞阿拉州《宪法》规定在检察署的组织框架中为遭受社会歧视群体增设一个监护理事会。</w:t>
      </w:r>
    </w:p>
    <w:p w:rsidR="00000000" w:rsidRDefault="004D2F83">
      <w:pPr>
        <w:pStyle w:val="Date"/>
        <w:spacing w:after="240" w:line="340" w:lineRule="exact"/>
        <w:rPr>
          <w:rFonts w:eastAsia="SimHei" w:hint="eastAsia"/>
          <w:sz w:val="24"/>
        </w:rPr>
      </w:pPr>
      <w:r>
        <w:rPr>
          <w:rFonts w:eastAsia="SimHei" w:hint="eastAsia"/>
          <w:sz w:val="24"/>
        </w:rPr>
        <w:t>政府行动</w:t>
      </w:r>
    </w:p>
    <w:p w:rsidR="00000000" w:rsidRDefault="004D2F83" w:rsidP="004D2F83">
      <w:pPr>
        <w:spacing w:after="240" w:line="340" w:lineRule="exact"/>
        <w:ind w:firstLineChars="225" w:firstLine="31680"/>
        <w:rPr>
          <w:rFonts w:hint="eastAsia"/>
        </w:rPr>
      </w:pPr>
      <w:r>
        <w:rPr>
          <w:rFonts w:hint="eastAsia"/>
        </w:rPr>
        <w:t>1970</w:t>
      </w:r>
      <w:r>
        <w:rPr>
          <w:rFonts w:hint="eastAsia"/>
        </w:rPr>
        <w:t>年代末和</w:t>
      </w:r>
      <w:r>
        <w:rPr>
          <w:rFonts w:hint="eastAsia"/>
        </w:rPr>
        <w:t>1980</w:t>
      </w:r>
      <w:r>
        <w:rPr>
          <w:rFonts w:hint="eastAsia"/>
        </w:rPr>
        <w:t>年代初，妇女运动提出的公共政策方面的问题与社会运动提出的其他权利主张不谋而合。社会运动除了要求参与并取得公益物和服务之外，开始要求社会和政治公民身份。在这方面，性别问题——妇女运动动员的产物——逐</w:t>
      </w:r>
      <w:r>
        <w:rPr>
          <w:rFonts w:hint="eastAsia"/>
        </w:rPr>
        <w:t>渐被纳入社会运动的整体要求之中。</w:t>
      </w:r>
    </w:p>
    <w:p w:rsidR="00000000" w:rsidRDefault="004D2F83" w:rsidP="004D2F83">
      <w:pPr>
        <w:spacing w:after="240" w:line="360" w:lineRule="exact"/>
        <w:ind w:firstLineChars="225" w:firstLine="31680"/>
        <w:rPr>
          <w:rFonts w:hint="eastAsia"/>
        </w:rPr>
      </w:pPr>
      <w:r>
        <w:rPr>
          <w:rFonts w:hint="eastAsia"/>
        </w:rPr>
        <w:t>1980</w:t>
      </w:r>
      <w:r>
        <w:rPr>
          <w:rFonts w:hint="eastAsia"/>
        </w:rPr>
        <w:t>年代中期，这一运动不断加强并通过建立第一个全国性的圣保罗妇女权利委员会开始对公共政策产生影响，尽管影响力不大。后来，</w:t>
      </w:r>
      <w:r>
        <w:rPr>
          <w:rFonts w:hint="eastAsia"/>
        </w:rPr>
        <w:t>1985</w:t>
      </w:r>
      <w:r>
        <w:rPr>
          <w:rFonts w:hint="eastAsia"/>
        </w:rPr>
        <w:t>年，全国妇女权利委员会</w:t>
      </w:r>
      <w:r>
        <w:rPr>
          <w:rStyle w:val="FootnoteReference"/>
        </w:rPr>
        <w:footnoteReference w:customMarkFollows="1" w:id="40"/>
        <w:t>40</w:t>
      </w:r>
      <w:r>
        <w:rPr>
          <w:rFonts w:hint="eastAsia"/>
        </w:rPr>
        <w:t>和第一个援助妇女特别警察局在圣保罗创建。目前，全国共有</w:t>
      </w:r>
      <w:r>
        <w:rPr>
          <w:rFonts w:hint="eastAsia"/>
        </w:rPr>
        <w:t>97</w:t>
      </w:r>
      <w:r>
        <w:rPr>
          <w:rFonts w:hint="eastAsia"/>
        </w:rPr>
        <w:t>个妇女委员会开展活动，</w:t>
      </w:r>
      <w:r>
        <w:rPr>
          <w:rFonts w:hint="eastAsia"/>
        </w:rPr>
        <w:t>19</w:t>
      </w:r>
      <w:r>
        <w:rPr>
          <w:rFonts w:hint="eastAsia"/>
        </w:rPr>
        <w:t>个为州级组织，</w:t>
      </w:r>
      <w:r>
        <w:rPr>
          <w:rFonts w:hint="eastAsia"/>
        </w:rPr>
        <w:t>78</w:t>
      </w:r>
      <w:r>
        <w:rPr>
          <w:rFonts w:hint="eastAsia"/>
        </w:rPr>
        <w:t>个为市级组织。此外还有</w:t>
      </w:r>
      <w:r>
        <w:rPr>
          <w:rFonts w:hint="eastAsia"/>
        </w:rPr>
        <w:t>307</w:t>
      </w:r>
      <w:r>
        <w:rPr>
          <w:rFonts w:hint="eastAsia"/>
        </w:rPr>
        <w:t>个援助妇女特别警察局。这些年来，全国妇女权利委员会定期召开妇女委员会会议，旨在加强其政治行动并讨论联合战略活动。</w:t>
      </w:r>
    </w:p>
    <w:p w:rsidR="00000000" w:rsidRDefault="004D2F83" w:rsidP="004D2F83">
      <w:pPr>
        <w:spacing w:after="240" w:line="360" w:lineRule="exact"/>
        <w:ind w:firstLineChars="225" w:firstLine="31680"/>
        <w:rPr>
          <w:rFonts w:hint="eastAsia"/>
        </w:rPr>
      </w:pPr>
      <w:r>
        <w:rPr>
          <w:rFonts w:hint="eastAsia"/>
        </w:rPr>
        <w:t>自从成立以来，全国妇女权利委员会一直侧重于通过召开研讨会、会议、编写材料和开</w:t>
      </w:r>
      <w:r>
        <w:rPr>
          <w:rFonts w:hint="eastAsia"/>
        </w:rPr>
        <w:t>展媒体运动，使妇女了解时局并提高她们的权利意识。全国制宪会议的建立开始了国家的重新民主化进程，在这种形势下，全国妇女权利委员会努力确保妇女的权利。</w:t>
      </w:r>
      <w:r>
        <w:rPr>
          <w:rFonts w:hint="eastAsia"/>
        </w:rPr>
        <w:t>1985</w:t>
      </w:r>
      <w:r>
        <w:rPr>
          <w:rFonts w:hint="eastAsia"/>
        </w:rPr>
        <w:t>年</w:t>
      </w:r>
      <w:r>
        <w:rPr>
          <w:rFonts w:hint="eastAsia"/>
        </w:rPr>
        <w:t>11</w:t>
      </w:r>
      <w:r>
        <w:rPr>
          <w:rFonts w:hint="eastAsia"/>
        </w:rPr>
        <w:t>月发起了一场名为“有效的宪法必须有妇女的参与”的全国性运动。这场运动除了提高女性群体对制宪会议中妇女权利的重要性的认识外，还在群众中宣传了委员会机构本身。</w:t>
      </w:r>
    </w:p>
    <w:p w:rsidR="00000000" w:rsidRDefault="004D2F83">
      <w:pPr>
        <w:pStyle w:val="BodyTextIndent"/>
        <w:ind w:firstLine="473"/>
        <w:rPr>
          <w:rFonts w:hint="eastAsia"/>
        </w:rPr>
      </w:pPr>
      <w:r>
        <w:rPr>
          <w:rFonts w:hint="eastAsia"/>
        </w:rPr>
        <w:t>通过开展研究、讨论会和辩论，还编写出一份题为“哪些方面需要变革”的文件。其中包含了修改法律的各种建议，目的在于消除对妇女一切形式的歧视。文件呼吁在行政部门中设立咨询机构并由妇女运动和各级政府联合建</w:t>
      </w:r>
      <w:r>
        <w:rPr>
          <w:rFonts w:hint="eastAsia"/>
        </w:rPr>
        <w:t>立州和市级委员会，旨在消除对妇女一切形式的歧视并提高妇女在巴西社会中的地位。另一方面，在同一时期，那些有关政府妇女政策的建议和项目在性质上则比较温和，因为全国妇女权利委员会在成立第一年的主要政治行动目的在于，通过提交建议并确保在妇女权利领域取得进步，直接介入制宪会议。</w:t>
      </w:r>
    </w:p>
    <w:p w:rsidR="00000000" w:rsidRDefault="004D2F83" w:rsidP="004D2F83">
      <w:pPr>
        <w:spacing w:after="240" w:line="360" w:lineRule="exact"/>
        <w:ind w:firstLineChars="225" w:firstLine="31680"/>
        <w:rPr>
          <w:rFonts w:hint="eastAsia"/>
        </w:rPr>
      </w:pPr>
      <w:r>
        <w:rPr>
          <w:rFonts w:hint="eastAsia"/>
        </w:rPr>
        <w:t>几个政府部门设立了妇女协调委员会和方案，这是将性别观点纳入全面的政府公共政策的重要一步。</w:t>
      </w:r>
      <w:r>
        <w:rPr>
          <w:rFonts w:hint="eastAsia"/>
        </w:rPr>
        <w:t>1985</w:t>
      </w:r>
      <w:r>
        <w:rPr>
          <w:rFonts w:hint="eastAsia"/>
        </w:rPr>
        <w:t>年</w:t>
      </w:r>
      <w:r>
        <w:rPr>
          <w:rFonts w:hint="eastAsia"/>
        </w:rPr>
        <w:t>12</w:t>
      </w:r>
      <w:r>
        <w:rPr>
          <w:rFonts w:hint="eastAsia"/>
        </w:rPr>
        <w:t>月，农业部制定了</w:t>
      </w:r>
      <w:r>
        <w:rPr>
          <w:rFonts w:eastAsia="SimHei" w:hint="eastAsia"/>
        </w:rPr>
        <w:t>支持农村妇女方案</w:t>
      </w:r>
      <w:r>
        <w:rPr>
          <w:rFonts w:hint="eastAsia"/>
        </w:rPr>
        <w:t>。</w:t>
      </w:r>
      <w:r>
        <w:rPr>
          <w:rFonts w:hint="eastAsia"/>
        </w:rPr>
        <w:t>1986</w:t>
      </w:r>
      <w:r>
        <w:rPr>
          <w:rFonts w:hint="eastAsia"/>
        </w:rPr>
        <w:t>年</w:t>
      </w:r>
      <w:r>
        <w:rPr>
          <w:rFonts w:hint="eastAsia"/>
        </w:rPr>
        <w:t>2</w:t>
      </w:r>
      <w:r>
        <w:rPr>
          <w:rFonts w:hint="eastAsia"/>
        </w:rPr>
        <w:t>月，土地改革部设立了</w:t>
      </w:r>
      <w:r>
        <w:rPr>
          <w:rFonts w:eastAsia="SimHei" w:hint="eastAsia"/>
        </w:rPr>
        <w:t>支持农村女工委员会</w:t>
      </w:r>
      <w:r>
        <w:rPr>
          <w:rFonts w:hint="eastAsia"/>
        </w:rPr>
        <w:t>。</w:t>
      </w:r>
      <w:r>
        <w:rPr>
          <w:rFonts w:hint="eastAsia"/>
        </w:rPr>
        <w:t>1985</w:t>
      </w:r>
      <w:r>
        <w:rPr>
          <w:rFonts w:hint="eastAsia"/>
        </w:rPr>
        <w:t>年文化部设立了</w:t>
      </w:r>
      <w:r>
        <w:rPr>
          <w:rFonts w:eastAsia="SimHei" w:hint="eastAsia"/>
        </w:rPr>
        <w:t>妇女文化政策协调委员会</w:t>
      </w:r>
      <w:r>
        <w:rPr>
          <w:rFonts w:hint="eastAsia"/>
        </w:rPr>
        <w:t>。</w:t>
      </w:r>
      <w:r>
        <w:rPr>
          <w:rFonts w:hint="eastAsia"/>
        </w:rPr>
        <w:t>1985</w:t>
      </w:r>
      <w:r>
        <w:rPr>
          <w:rFonts w:hint="eastAsia"/>
        </w:rPr>
        <w:t>年卫生部设立了</w:t>
      </w:r>
      <w:r>
        <w:rPr>
          <w:rFonts w:eastAsia="SimHei" w:hint="eastAsia"/>
        </w:rPr>
        <w:t>生殖权利委员会</w:t>
      </w:r>
      <w:r>
        <w:rPr>
          <w:rFonts w:hint="eastAsia"/>
        </w:rPr>
        <w:t>，后来又于</w:t>
      </w:r>
      <w:r>
        <w:rPr>
          <w:rFonts w:hint="eastAsia"/>
        </w:rPr>
        <w:t>1996</w:t>
      </w:r>
      <w:r>
        <w:rPr>
          <w:rFonts w:hint="eastAsia"/>
        </w:rPr>
        <w:t>年对</w:t>
      </w:r>
      <w:r>
        <w:rPr>
          <w:rFonts w:eastAsia="SimHei" w:hint="eastAsia"/>
        </w:rPr>
        <w:t>妇女保健部门间委员会</w:t>
      </w:r>
      <w:r>
        <w:rPr>
          <w:rFonts w:hint="eastAsia"/>
        </w:rPr>
        <w:t>进行了改组。最后，特别值得一提的是，以前劳动部设立的</w:t>
      </w:r>
      <w:r>
        <w:rPr>
          <w:rFonts w:eastAsia="SimHei" w:hint="eastAsia"/>
        </w:rPr>
        <w:t>妇女儿童协调委员会</w:t>
      </w:r>
      <w:r>
        <w:rPr>
          <w:rFonts w:hint="eastAsia"/>
        </w:rPr>
        <w:t>以及卫生部于</w:t>
      </w:r>
      <w:r>
        <w:rPr>
          <w:rFonts w:hint="eastAsia"/>
        </w:rPr>
        <w:t>1983</w:t>
      </w:r>
      <w:r>
        <w:rPr>
          <w:rFonts w:hint="eastAsia"/>
        </w:rPr>
        <w:t>年制定的</w:t>
      </w:r>
      <w:r>
        <w:rPr>
          <w:rFonts w:eastAsia="SimHei" w:hint="eastAsia"/>
        </w:rPr>
        <w:t>充分援助妇女保健方案</w:t>
      </w:r>
      <w:r>
        <w:rPr>
          <w:rFonts w:hint="eastAsia"/>
        </w:rPr>
        <w:t>。</w:t>
      </w:r>
    </w:p>
    <w:p w:rsidR="00000000" w:rsidRDefault="004D2F83" w:rsidP="004D2F83">
      <w:pPr>
        <w:spacing w:after="240" w:line="360" w:lineRule="exact"/>
        <w:ind w:firstLineChars="225" w:firstLine="31680"/>
        <w:rPr>
          <w:rFonts w:hint="eastAsia"/>
        </w:rPr>
      </w:pPr>
      <w:r>
        <w:rPr>
          <w:rFonts w:hint="eastAsia"/>
        </w:rPr>
        <w:t>不过，除了卫生部内部的</w:t>
      </w:r>
      <w:r>
        <w:rPr>
          <w:rFonts w:hint="eastAsia"/>
          <w:b/>
          <w:bCs/>
        </w:rPr>
        <w:t>充分</w:t>
      </w:r>
      <w:r>
        <w:rPr>
          <w:rFonts w:eastAsia="SimHei" w:hint="eastAsia"/>
        </w:rPr>
        <w:t>援助妇女保健方案和妇女保健部门间委员会</w:t>
      </w:r>
      <w:r>
        <w:rPr>
          <w:rFonts w:hint="eastAsia"/>
        </w:rPr>
        <w:t>外，所有其他的方案、协调委员会和委员会均在科洛尔执政期间实施的行政改革中被撤销，同时还取消了正在开展的项目。</w:t>
      </w:r>
      <w:r>
        <w:rPr>
          <w:rFonts w:hint="eastAsia"/>
        </w:rPr>
        <w:t>1989</w:t>
      </w:r>
      <w:r>
        <w:rPr>
          <w:rFonts w:hint="eastAsia"/>
        </w:rPr>
        <w:t>年，全国妇女权利委员会经历了一次严重的危机，丧失了财政和行政自主权，所有顾问和技术小组全部辞职。这一危机后来得以克服。</w:t>
      </w:r>
    </w:p>
    <w:p w:rsidR="00000000" w:rsidRDefault="004D2F83" w:rsidP="004D2F83">
      <w:pPr>
        <w:spacing w:after="240" w:line="360" w:lineRule="exact"/>
        <w:ind w:firstLineChars="225" w:firstLine="31680"/>
        <w:rPr>
          <w:rFonts w:hint="eastAsia"/>
        </w:rPr>
      </w:pPr>
      <w:r>
        <w:rPr>
          <w:rFonts w:hint="eastAsia"/>
        </w:rPr>
        <w:t>全国妇女权利委员会发</w:t>
      </w:r>
      <w:r>
        <w:rPr>
          <w:rFonts w:hint="eastAsia"/>
        </w:rPr>
        <w:t>生的危机促使州和市议会的女议长设立了州和市议会女议长争取妇女权利全国论坛，努力巩固全国委员会正在讨论的各种政策。</w:t>
      </w:r>
    </w:p>
    <w:p w:rsidR="00000000" w:rsidRDefault="004D2F83" w:rsidP="004D2F83">
      <w:pPr>
        <w:spacing w:after="240" w:line="360" w:lineRule="exact"/>
        <w:ind w:firstLineChars="225" w:firstLine="31680"/>
        <w:rPr>
          <w:rFonts w:hint="eastAsia"/>
        </w:rPr>
      </w:pPr>
      <w:r>
        <w:rPr>
          <w:rFonts w:hint="eastAsia"/>
        </w:rPr>
        <w:t>1995</w:t>
      </w:r>
      <w:r>
        <w:rPr>
          <w:rFonts w:hint="eastAsia"/>
        </w:rPr>
        <w:t>年</w:t>
      </w:r>
      <w:r>
        <w:rPr>
          <w:rFonts w:hint="eastAsia"/>
        </w:rPr>
        <w:t>5</w:t>
      </w:r>
      <w:r>
        <w:rPr>
          <w:rFonts w:hint="eastAsia"/>
        </w:rPr>
        <w:t>月，在第四次妇女问题世界会议筹备期间和妇女运动与议会成员开展了几个政治活动之后，全国委员会进行了改组。这一政治和行政重组在很大程度上是得益于全国论坛的主席，现在的巴西第一夫人鲁斯·卡多佐博士的影响力。她当时是</w:t>
      </w:r>
      <w:r>
        <w:rPr>
          <w:rFonts w:hint="eastAsia"/>
        </w:rPr>
        <w:t>1995</w:t>
      </w:r>
      <w:r>
        <w:rPr>
          <w:rFonts w:hint="eastAsia"/>
        </w:rPr>
        <w:t>年北京会议巴西委员会和巴西代表团的成员。</w:t>
      </w:r>
    </w:p>
    <w:p w:rsidR="00000000" w:rsidRDefault="004D2F83" w:rsidP="004D2F83">
      <w:pPr>
        <w:spacing w:after="240" w:line="360" w:lineRule="exact"/>
        <w:ind w:firstLineChars="225" w:firstLine="31680"/>
        <w:rPr>
          <w:rFonts w:hint="eastAsia"/>
        </w:rPr>
      </w:pPr>
      <w:r>
        <w:rPr>
          <w:rFonts w:hint="eastAsia"/>
        </w:rPr>
        <w:t>1995</w:t>
      </w:r>
      <w:r>
        <w:rPr>
          <w:rFonts w:hint="eastAsia"/>
        </w:rPr>
        <w:t>年在北京召开的第四次妇女问题世界会议对于巴西国民议会、特别是女议员和行政部门的几个妇女运动组织的政治行动来说是一个重要的</w:t>
      </w:r>
      <w:r>
        <w:rPr>
          <w:rFonts w:hint="eastAsia"/>
        </w:rPr>
        <w:t>里程碑。</w:t>
      </w:r>
    </w:p>
    <w:p w:rsidR="00000000" w:rsidRDefault="004D2F83" w:rsidP="004D2F83">
      <w:pPr>
        <w:spacing w:after="240" w:line="360" w:lineRule="exact"/>
        <w:ind w:firstLineChars="225" w:firstLine="31680"/>
        <w:rPr>
          <w:rFonts w:hint="eastAsia"/>
        </w:rPr>
      </w:pPr>
      <w:r>
        <w:rPr>
          <w:rFonts w:hint="eastAsia"/>
        </w:rPr>
        <w:t>在会议筹备期间，政府和各妇女运动召开了几次会议，进行协作，拟订巴西政府的报告，并重申了保护前几次会议所取得的成果的承诺以及动员所需资源执行这些成果的必要性。</w:t>
      </w:r>
    </w:p>
    <w:p w:rsidR="00000000" w:rsidRDefault="004D2F83" w:rsidP="004D2F83">
      <w:pPr>
        <w:spacing w:after="240" w:line="360" w:lineRule="exact"/>
        <w:ind w:firstLineChars="225" w:firstLine="31680"/>
        <w:rPr>
          <w:rFonts w:hint="eastAsia"/>
        </w:rPr>
      </w:pPr>
      <w:r>
        <w:rPr>
          <w:rFonts w:hint="eastAsia"/>
        </w:rPr>
        <w:t>参加第四次妇女问题世界会议的各国作出承诺，五年以后编写一份政府报告提交联合国，其中包括对北京会议核可的行动计划的执行战略进行的评估。为此，巴西政府已经设立了一个负责编写报告的委员会，由行政和立法部门的妇女代表和专家组成，其中还有妇女运动的成员。</w:t>
      </w:r>
    </w:p>
    <w:p w:rsidR="00000000" w:rsidRDefault="004D2F83" w:rsidP="004D2F83">
      <w:pPr>
        <w:spacing w:after="240" w:line="360" w:lineRule="exact"/>
        <w:ind w:firstLineChars="225" w:firstLine="31680"/>
        <w:rPr>
          <w:rFonts w:hint="eastAsia"/>
        </w:rPr>
      </w:pPr>
      <w:r>
        <w:rPr>
          <w:rFonts w:hint="eastAsia"/>
        </w:rPr>
        <w:t>全国妇女权利委员会在行政管理上的薄弱与社会关于立即执行确保两性平等政策的要求形成反差；编写报告过程</w:t>
      </w:r>
      <w:r>
        <w:rPr>
          <w:rFonts w:hint="eastAsia"/>
        </w:rPr>
        <w:t>中对北京会议各项决定的履行日益引人注目。这样，还是在第一夫人鲁斯·卡多佐（她还是北京会议五周年筹备委员会主席和巴西政府代表团团长）以及规划部管理秘书色列斯·普拉茨博士的支持下，全国妇女权利委员会再次改组，设立了一个执行秘书处，这样就可以进行更为适当的体制安排，以便建议、执行和评估旨在促进两性平等的公共政策。</w:t>
      </w:r>
    </w:p>
    <w:p w:rsidR="00000000" w:rsidRDefault="004D2F83" w:rsidP="004D2F83">
      <w:pPr>
        <w:spacing w:after="240" w:line="360" w:lineRule="exact"/>
        <w:ind w:firstLineChars="225" w:firstLine="31680"/>
        <w:rPr>
          <w:rFonts w:hint="eastAsia"/>
        </w:rPr>
      </w:pPr>
      <w:r>
        <w:rPr>
          <w:rFonts w:hint="eastAsia"/>
        </w:rPr>
        <w:t>此外，规划、预算和管理部还根据合作协议向全国妇女权利委员会的几项活动提供人力和财政资源，比如建立一个有关妇女的数据库；开展两项调查——一项关于援助妇女特别警察局的运作，另一项关于对妇女的暴力行为。采取的</w:t>
      </w:r>
      <w:r>
        <w:rPr>
          <w:rFonts w:hint="eastAsia"/>
        </w:rPr>
        <w:t>一项崭新举措是从性别的角度对多年度方案</w:t>
      </w:r>
      <w:r>
        <w:rPr>
          <w:rFonts w:hint="eastAsia"/>
        </w:rPr>
        <w:t>PPA 2000/2003</w:t>
      </w:r>
      <w:r>
        <w:rPr>
          <w:rFonts w:hint="eastAsia"/>
        </w:rPr>
        <w:t>进行分析，目的在于提出行动计划，促进巴西国民的两性平等关系。根据这项分析，全国妇女权利委员会选出了</w:t>
      </w:r>
      <w:r>
        <w:rPr>
          <w:rFonts w:hint="eastAsia"/>
        </w:rPr>
        <w:t>25</w:t>
      </w:r>
      <w:r>
        <w:rPr>
          <w:rFonts w:hint="eastAsia"/>
        </w:rPr>
        <w:t>个战略方案开展后续工作。这</w:t>
      </w:r>
      <w:r>
        <w:rPr>
          <w:rFonts w:hint="eastAsia"/>
        </w:rPr>
        <w:t>25</w:t>
      </w:r>
      <w:r>
        <w:rPr>
          <w:rFonts w:hint="eastAsia"/>
        </w:rPr>
        <w:t>个方案中只有</w:t>
      </w:r>
      <w:r>
        <w:rPr>
          <w:rFonts w:hint="eastAsia"/>
        </w:rPr>
        <w:t>2</w:t>
      </w:r>
      <w:r>
        <w:rPr>
          <w:rFonts w:hint="eastAsia"/>
        </w:rPr>
        <w:t>个直接针对妇女：卫生部的妇女保健方案和司法部的防止对妇女的暴力行为方案。</w:t>
      </w:r>
    </w:p>
    <w:p w:rsidR="00000000" w:rsidRDefault="004D2F83" w:rsidP="004D2F83">
      <w:pPr>
        <w:spacing w:after="240" w:line="360" w:lineRule="exact"/>
        <w:ind w:firstLineChars="225" w:firstLine="31680"/>
        <w:rPr>
          <w:rFonts w:hint="eastAsia"/>
        </w:rPr>
      </w:pPr>
      <w:r>
        <w:rPr>
          <w:rFonts w:hint="eastAsia"/>
        </w:rPr>
        <w:t>除了针对国内政策开展的行动外，全国妇女权利委员会自</w:t>
      </w:r>
      <w:r>
        <w:rPr>
          <w:rFonts w:hint="eastAsia"/>
        </w:rPr>
        <w:t>1998</w:t>
      </w:r>
      <w:r>
        <w:rPr>
          <w:rFonts w:hint="eastAsia"/>
        </w:rPr>
        <w:t>年以来还参加了南方共同市场的妇女特别会议。妇女特别会议的作用是成为南方共同市场框架内提出建议的一个论坛。它由南方共同市场各成员国（阿根廷、巴西、巴拉圭、智利和玻利维亚，后</w:t>
      </w:r>
      <w:r>
        <w:rPr>
          <w:rFonts w:hint="eastAsia"/>
        </w:rPr>
        <w:t>两国为观察员身份）的政府部门、秘书处和妇女委员会组成。妇女特别会议的宗旨是，在执行</w:t>
      </w:r>
      <w:r>
        <w:rPr>
          <w:rFonts w:hint="eastAsia"/>
        </w:rPr>
        <w:t>1991</w:t>
      </w:r>
      <w:r>
        <w:rPr>
          <w:rFonts w:hint="eastAsia"/>
        </w:rPr>
        <w:t>年《亚松森条约》决定的一体化进程中建立平等机会机制，并在缔约国现行的立法基础上采用性别观点，以便为社会、经济和文化发展做出贡献。提议的各种行动包括：（</w:t>
      </w:r>
      <w:r>
        <w:t>a</w:t>
      </w:r>
      <w:r>
        <w:rPr>
          <w:rFonts w:hint="eastAsia"/>
        </w:rPr>
        <w:t>）在工作分组（工业、就业与社会保障、卫生与环境）和科学与技术、政府交流与教育问题专家会议中纳入性别观点；（</w:t>
      </w:r>
      <w:r>
        <w:t>b</w:t>
      </w:r>
      <w:r>
        <w:rPr>
          <w:rFonts w:hint="eastAsia"/>
        </w:rPr>
        <w:t>）防止在工作场所和教育机构进行性骚扰；（</w:t>
      </w:r>
      <w:r>
        <w:t>c</w:t>
      </w:r>
      <w:r>
        <w:rPr>
          <w:rFonts w:hint="eastAsia"/>
        </w:rPr>
        <w:t>）分析宏观经济政策方面的性别观点；并（</w:t>
      </w:r>
      <w:r>
        <w:t>d</w:t>
      </w:r>
      <w:r>
        <w:rPr>
          <w:rFonts w:hint="eastAsia"/>
        </w:rPr>
        <w:t>）将性别观点纳入国家提案中。</w:t>
      </w:r>
    </w:p>
    <w:p w:rsidR="00000000" w:rsidRDefault="004D2F83" w:rsidP="004D2F83">
      <w:pPr>
        <w:spacing w:after="240" w:line="360" w:lineRule="exact"/>
        <w:ind w:firstLineChars="225" w:firstLine="31680"/>
        <w:rPr>
          <w:rFonts w:hint="eastAsia"/>
        </w:rPr>
      </w:pPr>
      <w:r>
        <w:rPr>
          <w:rFonts w:hint="eastAsia"/>
        </w:rPr>
        <w:t>在努力消除对妇女歧视的过程中，已将两个特殊的日子列</w:t>
      </w:r>
      <w:r>
        <w:rPr>
          <w:rFonts w:hint="eastAsia"/>
        </w:rPr>
        <w:t>入国家日历，用以重申必须提高公众的男女权利平等意识以及统治者和管理者对于制定确保妇女权利（作为保障普遍人权的一种表示）的公共政策的必要性的认识。</w:t>
      </w:r>
    </w:p>
    <w:p w:rsidR="00000000" w:rsidRDefault="004D2F83" w:rsidP="004D2F83">
      <w:pPr>
        <w:spacing w:after="240" w:line="360" w:lineRule="exact"/>
        <w:ind w:firstLineChars="225" w:firstLine="31680"/>
        <w:rPr>
          <w:rFonts w:hint="eastAsia"/>
        </w:rPr>
      </w:pPr>
      <w:r>
        <w:rPr>
          <w:rFonts w:eastAsia="SimHei" w:hint="eastAsia"/>
        </w:rPr>
        <w:t>国际妇女节，</w:t>
      </w:r>
      <w:r>
        <w:rPr>
          <w:rFonts w:hint="eastAsia"/>
        </w:rPr>
        <w:t>定于</w:t>
      </w:r>
      <w:r>
        <w:rPr>
          <w:rFonts w:hint="eastAsia"/>
        </w:rPr>
        <w:t>3</w:t>
      </w:r>
      <w:r>
        <w:rPr>
          <w:rFonts w:hint="eastAsia"/>
        </w:rPr>
        <w:t>月</w:t>
      </w:r>
      <w:r>
        <w:rPr>
          <w:rFonts w:hint="eastAsia"/>
        </w:rPr>
        <w:t>8</w:t>
      </w:r>
      <w:r>
        <w:rPr>
          <w:rFonts w:hint="eastAsia"/>
        </w:rPr>
        <w:t>日庆祝，执行部门在消除对妇女一切形式歧视的过程中确定了该节日。</w:t>
      </w:r>
      <w:r>
        <w:rPr>
          <w:rFonts w:hint="eastAsia"/>
        </w:rPr>
        <w:t>1985</w:t>
      </w:r>
      <w:r>
        <w:rPr>
          <w:rFonts w:hint="eastAsia"/>
        </w:rPr>
        <w:t>年，该庆祝活动被列入公立和私立学校的日历中。在立法部门，联邦参议院和众议院每年都联合召开隆重会议向妇女表示敬意。</w:t>
      </w:r>
    </w:p>
    <w:p w:rsidR="00000000" w:rsidRDefault="004D2F83" w:rsidP="004D2F83">
      <w:pPr>
        <w:spacing w:after="240" w:line="360" w:lineRule="exact"/>
        <w:ind w:firstLineChars="225" w:firstLine="31680"/>
        <w:rPr>
          <w:rFonts w:hint="eastAsia"/>
        </w:rPr>
      </w:pPr>
      <w:r>
        <w:rPr>
          <w:rFonts w:hint="eastAsia"/>
        </w:rPr>
        <w:t>对于具体的政治行动，</w:t>
      </w:r>
      <w:r>
        <w:rPr>
          <w:rFonts w:hint="eastAsia"/>
        </w:rPr>
        <w:t>3</w:t>
      </w:r>
      <w:r>
        <w:rPr>
          <w:rFonts w:hint="eastAsia"/>
        </w:rPr>
        <w:t>月</w:t>
      </w:r>
      <w:r>
        <w:rPr>
          <w:rFonts w:hint="eastAsia"/>
        </w:rPr>
        <w:t>8</w:t>
      </w:r>
      <w:r>
        <w:rPr>
          <w:rFonts w:hint="eastAsia"/>
        </w:rPr>
        <w:t>日是一个里程碑式的日期。</w:t>
      </w:r>
      <w:r>
        <w:rPr>
          <w:rFonts w:hint="eastAsia"/>
        </w:rPr>
        <w:t>1996</w:t>
      </w:r>
      <w:r>
        <w:rPr>
          <w:rFonts w:hint="eastAsia"/>
        </w:rPr>
        <w:t>年，全国妇女权利委员会</w:t>
      </w:r>
      <w:r>
        <w:rPr>
          <w:rFonts w:hint="eastAsia"/>
        </w:rPr>
        <w:t>/</w:t>
      </w:r>
      <w:r>
        <w:rPr>
          <w:rFonts w:hint="eastAsia"/>
        </w:rPr>
        <w:t>司法部与劳动部、卫生部和教育部签署了合作议定书。这些议定书于</w:t>
      </w:r>
      <w:r>
        <w:rPr>
          <w:rFonts w:hint="eastAsia"/>
        </w:rPr>
        <w:t>2000</w:t>
      </w:r>
      <w:r>
        <w:rPr>
          <w:rFonts w:hint="eastAsia"/>
        </w:rPr>
        <w:t>年</w:t>
      </w:r>
      <w:r>
        <w:rPr>
          <w:rFonts w:hint="eastAsia"/>
        </w:rPr>
        <w:t>3</w:t>
      </w:r>
      <w:r>
        <w:rPr>
          <w:rFonts w:hint="eastAsia"/>
        </w:rPr>
        <w:t>月</w:t>
      </w:r>
      <w:r>
        <w:rPr>
          <w:rFonts w:hint="eastAsia"/>
        </w:rPr>
        <w:t>8</w:t>
      </w:r>
      <w:r>
        <w:rPr>
          <w:rFonts w:hint="eastAsia"/>
        </w:rPr>
        <w:t>日</w:t>
      </w:r>
      <w:r>
        <w:rPr>
          <w:rFonts w:hint="eastAsia"/>
        </w:rPr>
        <w:t>予以展期。</w:t>
      </w:r>
      <w:r>
        <w:rPr>
          <w:rFonts w:hint="eastAsia"/>
        </w:rPr>
        <w:t>1997</w:t>
      </w:r>
      <w:r>
        <w:rPr>
          <w:rFonts w:hint="eastAsia"/>
        </w:rPr>
        <w:t>年，全国妇女权利委员会编写了一份题为“</w:t>
      </w:r>
      <w:r>
        <w:rPr>
          <w:rFonts w:eastAsia="KaiTi_GB2312" w:hint="eastAsia"/>
          <w:b/>
          <w:bCs/>
        </w:rPr>
        <w:t>公平战略</w:t>
      </w:r>
      <w:r>
        <w:rPr>
          <w:rFonts w:eastAsia="SimHei" w:hint="eastAsia"/>
          <w:b/>
          <w:bCs/>
        </w:rPr>
        <w:t>——</w:t>
      </w:r>
      <w:r>
        <w:rPr>
          <w:rFonts w:eastAsia="KaiTi_GB2312" w:hint="eastAsia"/>
          <w:b/>
          <w:bCs/>
        </w:rPr>
        <w:t>执行巴西在第四次妇女问题世界会议上所做承诺的行动计划</w:t>
      </w:r>
      <w:r>
        <w:rPr>
          <w:rFonts w:hint="eastAsia"/>
        </w:rPr>
        <w:t>”的文件，提交共和国总统。</w:t>
      </w:r>
      <w:r>
        <w:rPr>
          <w:rFonts w:hint="eastAsia"/>
        </w:rPr>
        <w:t>1998</w:t>
      </w:r>
      <w:r>
        <w:rPr>
          <w:rFonts w:hint="eastAsia"/>
        </w:rPr>
        <w:t>年，共和国总统批准了促进公共部门公平的全国方案（</w:t>
      </w:r>
      <w:r>
        <w:rPr>
          <w:rFonts w:hint="eastAsia"/>
        </w:rPr>
        <w:t>1998</w:t>
      </w:r>
      <w:r>
        <w:rPr>
          <w:rFonts w:hint="eastAsia"/>
        </w:rPr>
        <w:t>年</w:t>
      </w:r>
      <w:r>
        <w:rPr>
          <w:rFonts w:hint="eastAsia"/>
        </w:rPr>
        <w:t>3</w:t>
      </w:r>
      <w:r>
        <w:rPr>
          <w:rFonts w:hint="eastAsia"/>
        </w:rPr>
        <w:t>月</w:t>
      </w:r>
      <w:r>
        <w:rPr>
          <w:rFonts w:hint="eastAsia"/>
        </w:rPr>
        <w:t>5</w:t>
      </w:r>
      <w:r>
        <w:rPr>
          <w:rFonts w:hint="eastAsia"/>
        </w:rPr>
        <w:t>日提交总统的第</w:t>
      </w:r>
      <w:r>
        <w:rPr>
          <w:rFonts w:hint="eastAsia"/>
        </w:rPr>
        <w:t>119</w:t>
      </w:r>
      <w:r>
        <w:rPr>
          <w:rFonts w:hint="eastAsia"/>
        </w:rPr>
        <w:t>号报告）。还是在</w:t>
      </w:r>
      <w:r>
        <w:rPr>
          <w:rFonts w:hint="eastAsia"/>
        </w:rPr>
        <w:t>1998</w:t>
      </w:r>
      <w:r>
        <w:rPr>
          <w:rFonts w:hint="eastAsia"/>
        </w:rPr>
        <w:t>年，全国妇女权利委员会和原行政与州改革部建立合作伙伴关系执行该方案。</w:t>
      </w:r>
      <w:r>
        <w:rPr>
          <w:rFonts w:hint="eastAsia"/>
        </w:rPr>
        <w:t>2000</w:t>
      </w:r>
      <w:r>
        <w:rPr>
          <w:rFonts w:hint="eastAsia"/>
        </w:rPr>
        <w:t>年，全国妇女权利委员会</w:t>
      </w:r>
      <w:r>
        <w:rPr>
          <w:rFonts w:hint="eastAsia"/>
        </w:rPr>
        <w:t>/</w:t>
      </w:r>
      <w:r>
        <w:rPr>
          <w:rFonts w:hint="eastAsia"/>
        </w:rPr>
        <w:t>司法部与当时新成立的土地改革部签订了一份意向议定书，其目的在于逐步增加妇女在各级的任职人数。</w:t>
      </w:r>
    </w:p>
    <w:p w:rsidR="00000000" w:rsidRDefault="004D2F83" w:rsidP="004D2F83">
      <w:pPr>
        <w:spacing w:after="240" w:line="360" w:lineRule="exact"/>
        <w:ind w:firstLineChars="225" w:firstLine="31680"/>
        <w:rPr>
          <w:rFonts w:hint="eastAsia"/>
        </w:rPr>
      </w:pPr>
      <w:r>
        <w:rPr>
          <w:rFonts w:hint="eastAsia"/>
        </w:rPr>
        <w:t>除了</w:t>
      </w:r>
      <w:r>
        <w:rPr>
          <w:rFonts w:hint="eastAsia"/>
        </w:rPr>
        <w:t>3</w:t>
      </w:r>
      <w:r>
        <w:rPr>
          <w:rFonts w:hint="eastAsia"/>
        </w:rPr>
        <w:t>月</w:t>
      </w:r>
      <w:r>
        <w:rPr>
          <w:rFonts w:hint="eastAsia"/>
        </w:rPr>
        <w:t>8</w:t>
      </w:r>
      <w:r>
        <w:rPr>
          <w:rFonts w:hint="eastAsia"/>
        </w:rPr>
        <w:t>日，另一个与妇女运动发起的庆祝活动有关的日期是</w:t>
      </w:r>
      <w:r>
        <w:rPr>
          <w:rFonts w:hint="eastAsia"/>
        </w:rPr>
        <w:t>11</w:t>
      </w:r>
      <w:r>
        <w:rPr>
          <w:rFonts w:hint="eastAsia"/>
        </w:rPr>
        <w:t>月</w:t>
      </w:r>
      <w:r>
        <w:rPr>
          <w:rFonts w:hint="eastAsia"/>
        </w:rPr>
        <w:t>25</w:t>
      </w:r>
      <w:r>
        <w:rPr>
          <w:rFonts w:hint="eastAsia"/>
        </w:rPr>
        <w:t>日——</w:t>
      </w:r>
      <w:r>
        <w:rPr>
          <w:rFonts w:eastAsia="SimHei" w:hint="eastAsia"/>
        </w:rPr>
        <w:t>防止对妇女暴力行为国际日。</w:t>
      </w:r>
      <w:r>
        <w:rPr>
          <w:rFonts w:hint="eastAsia"/>
          <w:b/>
          <w:bCs/>
        </w:rPr>
        <w:t>它</w:t>
      </w:r>
      <w:r>
        <w:rPr>
          <w:rFonts w:hint="eastAsia"/>
        </w:rPr>
        <w:t>已通过全国妇女权利委员会被纳入行政和立法部门的行动。这一天，通过举行研讨会、会议、讲习班、户外活动、张贴海报和广告来开展旨在防止对妇女暴力行为的运动。还是在这一天，国民议会、立法议会和市委员会发表各种演说。</w:t>
      </w:r>
    </w:p>
    <w:p w:rsidR="00000000" w:rsidRDefault="004D2F83" w:rsidP="004D2F83">
      <w:pPr>
        <w:spacing w:after="240" w:line="360" w:lineRule="exact"/>
        <w:ind w:firstLineChars="225" w:firstLine="31680"/>
        <w:rPr>
          <w:rFonts w:hint="eastAsia"/>
        </w:rPr>
      </w:pPr>
      <w:r>
        <w:rPr>
          <w:rFonts w:hint="eastAsia"/>
        </w:rPr>
        <w:t>对于许多妇女运动而言，职业问题是主要关注的问题之一，也是一个主要的斗争平台。长期以来，和那些与男子相关的工作相比，所谓的妇女工作一直受到贬低。但过去几年发生了积极的变化。根据全国住户抽样调查（</w:t>
      </w:r>
      <w:r>
        <w:rPr>
          <w:rFonts w:hint="eastAsia"/>
        </w:rPr>
        <w:t>PNAD</w:t>
      </w:r>
      <w:r>
        <w:rPr>
          <w:rFonts w:hint="eastAsia"/>
        </w:rPr>
        <w:t>），</w:t>
      </w:r>
      <w:r>
        <w:rPr>
          <w:rFonts w:hint="eastAsia"/>
        </w:rPr>
        <w:t>1993</w:t>
      </w:r>
      <w:r>
        <w:rPr>
          <w:rFonts w:hint="eastAsia"/>
        </w:rPr>
        <w:t>年，妇女的工资相当于男子工资的</w:t>
      </w:r>
      <w:r>
        <w:rPr>
          <w:rFonts w:hint="eastAsia"/>
        </w:rPr>
        <w:t>49</w:t>
      </w:r>
      <w:r>
        <w:t>.4%</w:t>
      </w:r>
      <w:r>
        <w:rPr>
          <w:rFonts w:hint="eastAsia"/>
        </w:rPr>
        <w:t>；</w:t>
      </w:r>
      <w:r>
        <w:rPr>
          <w:rFonts w:hint="eastAsia"/>
        </w:rPr>
        <w:t>199</w:t>
      </w:r>
      <w:r>
        <w:rPr>
          <w:rFonts w:hint="eastAsia"/>
        </w:rPr>
        <w:t>9</w:t>
      </w:r>
      <w:r>
        <w:rPr>
          <w:rFonts w:hint="eastAsia"/>
        </w:rPr>
        <w:t>年，这一百分比上升到</w:t>
      </w:r>
      <w:r>
        <w:rPr>
          <w:rFonts w:hint="eastAsia"/>
        </w:rPr>
        <w:t>60</w:t>
      </w:r>
      <w:r>
        <w:t>.7%</w:t>
      </w:r>
      <w:r>
        <w:rPr>
          <w:rFonts w:hint="eastAsia"/>
        </w:rPr>
        <w:t>。不过，劳动力市场依然存在歧视。针对这一情况，</w:t>
      </w:r>
      <w:r>
        <w:rPr>
          <w:rFonts w:hint="eastAsia"/>
        </w:rPr>
        <w:t>1996</w:t>
      </w:r>
      <w:r>
        <w:rPr>
          <w:rFonts w:hint="eastAsia"/>
        </w:rPr>
        <w:t>年，劳动部在其内部建立了一个由联邦政府、工会和雇主协会代表组成的三方机构——消除就业歧视工作组（</w:t>
      </w:r>
      <w:r>
        <w:rPr>
          <w:rFonts w:hint="eastAsia"/>
        </w:rPr>
        <w:t>GTEDEO</w:t>
      </w:r>
      <w:r>
        <w:rPr>
          <w:rFonts w:hint="eastAsia"/>
        </w:rPr>
        <w:t>）。</w:t>
      </w:r>
    </w:p>
    <w:p w:rsidR="00000000" w:rsidRDefault="004D2F83" w:rsidP="004D2F83">
      <w:pPr>
        <w:spacing w:after="240" w:line="360" w:lineRule="exact"/>
        <w:ind w:firstLineChars="225" w:firstLine="31680"/>
        <w:rPr>
          <w:rFonts w:hint="eastAsia"/>
        </w:rPr>
      </w:pPr>
      <w:r>
        <w:rPr>
          <w:rFonts w:hint="eastAsia"/>
        </w:rPr>
        <w:t>工作组最初根据国际劳工组织（劳工组织）《第</w:t>
      </w:r>
      <w:r>
        <w:rPr>
          <w:rFonts w:hint="eastAsia"/>
        </w:rPr>
        <w:t>111</w:t>
      </w:r>
      <w:r>
        <w:rPr>
          <w:rFonts w:hint="eastAsia"/>
        </w:rPr>
        <w:t>号公约》的原则制定了反对就业和工作歧视的行动方案，其中涉及种族、性别、年龄和肢体残疾人等主题。后来，经消除就业歧视工作组讨论决定，在劳动和就业部内实施一个项目，设立促进机会均等和反对就业和职业歧视中心。这些中心通过举办和参加研讨会和讲习班，努力干预现行的文化模式。</w:t>
      </w:r>
      <w:r>
        <w:rPr>
          <w:rFonts w:hint="eastAsia"/>
        </w:rPr>
        <w:t>研讨会和讲习班的目的在于提高全社会对工作关系中普遍存在的、并可能对妇女、巴西黑人、残疾人和其他群体产生影响的各种歧视的认识和敏感性，并向受到歧视的人提供援助。</w:t>
      </w:r>
    </w:p>
    <w:p w:rsidR="00000000" w:rsidRDefault="004D2F83" w:rsidP="004D2F83">
      <w:pPr>
        <w:spacing w:after="240" w:line="360" w:lineRule="exact"/>
        <w:ind w:firstLineChars="225" w:firstLine="31680"/>
        <w:rPr>
          <w:rFonts w:hint="eastAsia"/>
        </w:rPr>
      </w:pPr>
      <w:r>
        <w:rPr>
          <w:rFonts w:hint="eastAsia"/>
        </w:rPr>
        <w:t>在所有的政府机构中，土地发展部是对性别问题最为关注的部门之一。在这方面，该部门正在制定一个涉及政治行动、考虑到性别观点的创新性试点项目：</w:t>
      </w:r>
      <w:r>
        <w:rPr>
          <w:rFonts w:eastAsia="SimHei" w:hint="eastAsia"/>
        </w:rPr>
        <w:t>平权行动方案</w:t>
      </w:r>
      <w:r>
        <w:rPr>
          <w:rFonts w:hint="eastAsia"/>
        </w:rPr>
        <w:t>。该方案采纳了性别、种族和民族观点（第</w:t>
      </w:r>
      <w:r>
        <w:rPr>
          <w:rFonts w:hint="eastAsia"/>
        </w:rPr>
        <w:t>33</w:t>
      </w:r>
      <w:r>
        <w:rPr>
          <w:rFonts w:hint="eastAsia"/>
        </w:rPr>
        <w:t>、</w:t>
      </w:r>
      <w:r>
        <w:rPr>
          <w:rFonts w:hint="eastAsia"/>
        </w:rPr>
        <w:t>120</w:t>
      </w:r>
      <w:r>
        <w:rPr>
          <w:rFonts w:hint="eastAsia"/>
        </w:rPr>
        <w:t>、</w:t>
      </w:r>
      <w:r>
        <w:rPr>
          <w:rFonts w:hint="eastAsia"/>
        </w:rPr>
        <w:t>121</w:t>
      </w:r>
      <w:r>
        <w:rPr>
          <w:rFonts w:hint="eastAsia"/>
        </w:rPr>
        <w:t>、</w:t>
      </w:r>
      <w:r>
        <w:rPr>
          <w:rFonts w:hint="eastAsia"/>
        </w:rPr>
        <w:t>201</w:t>
      </w:r>
      <w:r>
        <w:rPr>
          <w:rFonts w:hint="eastAsia"/>
        </w:rPr>
        <w:t>和</w:t>
      </w:r>
      <w:r>
        <w:rPr>
          <w:rFonts w:hint="eastAsia"/>
        </w:rPr>
        <w:t>202</w:t>
      </w:r>
      <w:r>
        <w:rPr>
          <w:rFonts w:hint="eastAsia"/>
        </w:rPr>
        <w:t>号行政裁定以及</w:t>
      </w:r>
      <w:r>
        <w:rPr>
          <w:rFonts w:hint="eastAsia"/>
        </w:rPr>
        <w:t>2001</w:t>
      </w:r>
      <w:r>
        <w:rPr>
          <w:rFonts w:hint="eastAsia"/>
        </w:rPr>
        <w:t>年第</w:t>
      </w:r>
      <w:r>
        <w:rPr>
          <w:rFonts w:hint="eastAsia"/>
        </w:rPr>
        <w:t>8</w:t>
      </w:r>
      <w:r>
        <w:rPr>
          <w:rFonts w:hint="eastAsia"/>
        </w:rPr>
        <w:t>号决议）。为了执行关于这一问题的现行立法，</w:t>
      </w:r>
      <w:r>
        <w:rPr>
          <w:rFonts w:hint="eastAsia"/>
        </w:rPr>
        <w:t>2002</w:t>
      </w:r>
      <w:r>
        <w:rPr>
          <w:rFonts w:hint="eastAsia"/>
        </w:rPr>
        <w:t>年</w:t>
      </w:r>
      <w:r>
        <w:rPr>
          <w:rFonts w:hint="eastAsia"/>
        </w:rPr>
        <w:t>3</w:t>
      </w:r>
      <w:r>
        <w:rPr>
          <w:rFonts w:hint="eastAsia"/>
        </w:rPr>
        <w:t>月</w:t>
      </w:r>
      <w:r>
        <w:rPr>
          <w:rFonts w:hint="eastAsia"/>
        </w:rPr>
        <w:t>8</w:t>
      </w:r>
      <w:r>
        <w:rPr>
          <w:rFonts w:hint="eastAsia"/>
        </w:rPr>
        <w:t>日，土地改革部长</w:t>
      </w:r>
      <w:r>
        <w:t>Raul Jungmann</w:t>
      </w:r>
      <w:r>
        <w:rPr>
          <w:rFonts w:hint="eastAsia"/>
        </w:rPr>
        <w:t>签</w:t>
      </w:r>
      <w:r>
        <w:rPr>
          <w:rFonts w:hint="eastAsia"/>
        </w:rPr>
        <w:t>署了一份行政裁定，规定农村土地的地契应以妇女的名义签发。从这一天起，妇女甚至可以申请银行贷款。</w:t>
      </w:r>
    </w:p>
    <w:p w:rsidR="00000000" w:rsidRDefault="004D2F83">
      <w:pPr>
        <w:pStyle w:val="BodyTextIndent"/>
        <w:ind w:firstLine="473"/>
        <w:rPr>
          <w:rFonts w:hint="eastAsia"/>
        </w:rPr>
      </w:pPr>
      <w:r>
        <w:rPr>
          <w:rFonts w:hint="eastAsia"/>
        </w:rPr>
        <w:t>土地开发部的平权行动方案主要由以下行动组成，意在促进男女雇员和土地改革的男女受益人之间的机会平等：</w:t>
      </w:r>
    </w:p>
    <w:p w:rsidR="00000000" w:rsidRDefault="004D2F83">
      <w:pPr>
        <w:numPr>
          <w:ilvl w:val="0"/>
          <w:numId w:val="700"/>
        </w:numPr>
        <w:spacing w:after="240" w:line="360" w:lineRule="exact"/>
        <w:rPr>
          <w:rFonts w:hint="eastAsia"/>
        </w:rPr>
      </w:pPr>
      <w:r>
        <w:rPr>
          <w:rFonts w:hint="eastAsia"/>
        </w:rPr>
        <w:t>规定员额，确保到</w:t>
      </w:r>
      <w:r>
        <w:rPr>
          <w:rFonts w:hint="eastAsia"/>
        </w:rPr>
        <w:t>2003</w:t>
      </w:r>
      <w:r>
        <w:rPr>
          <w:rFonts w:hint="eastAsia"/>
        </w:rPr>
        <w:t>年有</w:t>
      </w:r>
      <w:r>
        <w:rPr>
          <w:rFonts w:hint="eastAsia"/>
        </w:rPr>
        <w:t>30%</w:t>
      </w:r>
      <w:r>
        <w:rPr>
          <w:rFonts w:hint="eastAsia"/>
        </w:rPr>
        <w:t>的管理职位由妇女担任；</w:t>
      </w:r>
    </w:p>
    <w:p w:rsidR="00000000" w:rsidRDefault="004D2F83">
      <w:pPr>
        <w:numPr>
          <w:ilvl w:val="0"/>
          <w:numId w:val="700"/>
        </w:numPr>
        <w:spacing w:after="240" w:line="360" w:lineRule="exact"/>
        <w:rPr>
          <w:rFonts w:hint="eastAsia"/>
        </w:rPr>
      </w:pPr>
      <w:r>
        <w:rPr>
          <w:rFonts w:hint="eastAsia"/>
        </w:rPr>
        <w:t>规定员额，确保到</w:t>
      </w:r>
      <w:r>
        <w:rPr>
          <w:rFonts w:hint="eastAsia"/>
        </w:rPr>
        <w:t>2003</w:t>
      </w:r>
      <w:r>
        <w:rPr>
          <w:rFonts w:hint="eastAsia"/>
        </w:rPr>
        <w:t>年有</w:t>
      </w:r>
      <w:r>
        <w:rPr>
          <w:rFonts w:hint="eastAsia"/>
        </w:rPr>
        <w:t>30%</w:t>
      </w:r>
      <w:r>
        <w:rPr>
          <w:rFonts w:hint="eastAsia"/>
        </w:rPr>
        <w:t>的管理职位由巴西黑人男子</w:t>
      </w:r>
      <w:r>
        <w:rPr>
          <w:rFonts w:hint="eastAsia"/>
        </w:rPr>
        <w:t>/</w:t>
      </w:r>
      <w:r>
        <w:rPr>
          <w:rFonts w:hint="eastAsia"/>
        </w:rPr>
        <w:t>妇女担任；</w:t>
      </w:r>
    </w:p>
    <w:p w:rsidR="00000000" w:rsidRDefault="004D2F83">
      <w:pPr>
        <w:numPr>
          <w:ilvl w:val="0"/>
          <w:numId w:val="700"/>
        </w:numPr>
        <w:spacing w:after="240" w:line="360" w:lineRule="exact"/>
        <w:rPr>
          <w:rFonts w:hint="eastAsia"/>
        </w:rPr>
      </w:pPr>
      <w:r>
        <w:rPr>
          <w:rFonts w:hint="eastAsia"/>
        </w:rPr>
        <w:t>向</w:t>
      </w:r>
      <w:r>
        <w:rPr>
          <w:rFonts w:hint="eastAsia"/>
        </w:rPr>
        <w:t>30%</w:t>
      </w:r>
      <w:r>
        <w:rPr>
          <w:rFonts w:hint="eastAsia"/>
        </w:rPr>
        <w:t>的男女雇员提供社会和性别管理方面的特殊培训，从而在工作场所确立一种消除偏见的文化观念；</w:t>
      </w:r>
    </w:p>
    <w:p w:rsidR="00000000" w:rsidRDefault="004D2F83">
      <w:pPr>
        <w:numPr>
          <w:ilvl w:val="0"/>
          <w:numId w:val="700"/>
        </w:numPr>
        <w:spacing w:after="240" w:line="360" w:lineRule="exact"/>
        <w:rPr>
          <w:rFonts w:hint="eastAsia"/>
        </w:rPr>
      </w:pPr>
      <w:r>
        <w:rPr>
          <w:rFonts w:hint="eastAsia"/>
        </w:rPr>
        <w:t>在全国农村可持续发展委员会（</w:t>
      </w:r>
      <w:r>
        <w:rPr>
          <w:rFonts w:hint="eastAsia"/>
        </w:rPr>
        <w:t>CNDRS</w:t>
      </w:r>
      <w:r>
        <w:rPr>
          <w:rFonts w:hint="eastAsia"/>
        </w:rPr>
        <w:t>）内建立社会政策技术办公室和性别问题分办公室；</w:t>
      </w:r>
    </w:p>
    <w:p w:rsidR="00000000" w:rsidRDefault="004D2F83">
      <w:pPr>
        <w:numPr>
          <w:ilvl w:val="0"/>
          <w:numId w:val="700"/>
        </w:numPr>
        <w:spacing w:after="240" w:line="360" w:lineRule="exact"/>
        <w:rPr>
          <w:rFonts w:hint="eastAsia"/>
        </w:rPr>
      </w:pPr>
      <w:r>
        <w:rPr>
          <w:rFonts w:hint="eastAsia"/>
        </w:rPr>
        <w:t>支持</w:t>
      </w:r>
      <w:r>
        <w:rPr>
          <w:rFonts w:hint="eastAsia"/>
        </w:rPr>
        <w:t>对按性别和种族划分的数据进行调查分析，土地开发部将据此规划各种行动；</w:t>
      </w:r>
    </w:p>
    <w:p w:rsidR="00000000" w:rsidRDefault="004D2F83">
      <w:pPr>
        <w:numPr>
          <w:ilvl w:val="0"/>
          <w:numId w:val="700"/>
        </w:numPr>
        <w:spacing w:after="240" w:line="360" w:lineRule="exact"/>
        <w:rPr>
          <w:rFonts w:hint="eastAsia"/>
        </w:rPr>
      </w:pPr>
      <w:r>
        <w:rPr>
          <w:rFonts w:hint="eastAsia"/>
        </w:rPr>
        <w:t>在联邦各州设立全国定居和土地改革研究所（</w:t>
      </w:r>
      <w:r>
        <w:rPr>
          <w:rFonts w:hint="eastAsia"/>
        </w:rPr>
        <w:t>INCRA</w:t>
      </w:r>
      <w:r>
        <w:rPr>
          <w:rFonts w:hint="eastAsia"/>
        </w:rPr>
        <w:t>）妇女论坛，以期在当地执行农村女工就业和创收方面的项目政策，其中包括取得全国加强家庭农业方案（</w:t>
      </w:r>
      <w:r>
        <w:rPr>
          <w:rFonts w:hint="eastAsia"/>
        </w:rPr>
        <w:t>PRONAF</w:t>
      </w:r>
      <w:r>
        <w:rPr>
          <w:rFonts w:hint="eastAsia"/>
        </w:rPr>
        <w:t>）的信贷额度；</w:t>
      </w:r>
    </w:p>
    <w:p w:rsidR="00000000" w:rsidRDefault="004D2F83">
      <w:pPr>
        <w:numPr>
          <w:ilvl w:val="0"/>
          <w:numId w:val="700"/>
        </w:numPr>
        <w:spacing w:after="240" w:line="360" w:lineRule="exact"/>
        <w:rPr>
          <w:rFonts w:hint="eastAsia"/>
        </w:rPr>
      </w:pPr>
      <w:r>
        <w:rPr>
          <w:rFonts w:hint="eastAsia"/>
        </w:rPr>
        <w:t>广泛宣传方案的主题，加强管理者和当局对这些问题的敏感性并提高对男女雇员的了解评价；</w:t>
      </w:r>
    </w:p>
    <w:p w:rsidR="00000000" w:rsidRDefault="004D2F83">
      <w:pPr>
        <w:numPr>
          <w:ilvl w:val="0"/>
          <w:numId w:val="700"/>
        </w:numPr>
        <w:spacing w:after="240" w:line="360" w:lineRule="exact"/>
        <w:rPr>
          <w:rFonts w:hint="eastAsia"/>
        </w:rPr>
      </w:pPr>
      <w:r>
        <w:rPr>
          <w:rFonts w:hint="eastAsia"/>
        </w:rPr>
        <w:t>建立性别、种族和民族问题农村研究中心，旨在促进土地改革定居点、家庭农业和机构中的性别、种族和民族关系的多学科研究；</w:t>
      </w:r>
    </w:p>
    <w:p w:rsidR="00000000" w:rsidRDefault="004D2F83">
      <w:pPr>
        <w:numPr>
          <w:ilvl w:val="0"/>
          <w:numId w:val="700"/>
        </w:numPr>
        <w:spacing w:after="240" w:line="360" w:lineRule="exact"/>
        <w:rPr>
          <w:rFonts w:hint="eastAsia"/>
        </w:rPr>
      </w:pPr>
      <w:r>
        <w:rPr>
          <w:rFonts w:hint="eastAsia"/>
        </w:rPr>
        <w:t>确保全国农村可持续发展委员会批准关于修改甄选受益人程序的决议，以便促进</w:t>
      </w:r>
      <w:r>
        <w:rPr>
          <w:rFonts w:hint="eastAsia"/>
        </w:rPr>
        <w:t>妇女取得土地和贷款，并在提及妇女时不再使用“家庭主妇”一词，以保障她们的社会保障权利。</w:t>
      </w:r>
    </w:p>
    <w:p w:rsidR="00000000" w:rsidRDefault="004D2F83" w:rsidP="004D2F83">
      <w:pPr>
        <w:spacing w:after="240" w:line="360" w:lineRule="exact"/>
        <w:ind w:firstLineChars="225" w:firstLine="31680"/>
        <w:rPr>
          <w:rFonts w:hint="eastAsia"/>
        </w:rPr>
      </w:pPr>
      <w:r>
        <w:rPr>
          <w:rFonts w:hint="eastAsia"/>
        </w:rPr>
        <w:t>还值得一提的类似行动是，根据</w:t>
      </w:r>
      <w:r>
        <w:rPr>
          <w:rFonts w:hint="eastAsia"/>
        </w:rPr>
        <w:t>2001</w:t>
      </w:r>
      <w:r>
        <w:rPr>
          <w:rFonts w:hint="eastAsia"/>
        </w:rPr>
        <w:t>年</w:t>
      </w:r>
      <w:r>
        <w:rPr>
          <w:rFonts w:hint="eastAsia"/>
        </w:rPr>
        <w:t>12</w:t>
      </w:r>
      <w:r>
        <w:rPr>
          <w:rFonts w:hint="eastAsia"/>
        </w:rPr>
        <w:t>月</w:t>
      </w:r>
      <w:r>
        <w:rPr>
          <w:rFonts w:hint="eastAsia"/>
        </w:rPr>
        <w:t>20</w:t>
      </w:r>
      <w:r>
        <w:rPr>
          <w:rFonts w:hint="eastAsia"/>
        </w:rPr>
        <w:t>日第</w:t>
      </w:r>
      <w:r>
        <w:rPr>
          <w:rFonts w:hint="eastAsia"/>
        </w:rPr>
        <w:t>1156</w:t>
      </w:r>
      <w:r>
        <w:rPr>
          <w:rFonts w:hint="eastAsia"/>
        </w:rPr>
        <w:t>号行政裁定，联邦最高法院和一些大学最近采纳了司法部内的名额政策。</w:t>
      </w:r>
      <w:r>
        <w:rPr>
          <w:rStyle w:val="FootnoteReference"/>
        </w:rPr>
        <w:footnoteReference w:customMarkFollows="1" w:id="41"/>
        <w:t>41</w:t>
      </w:r>
    </w:p>
    <w:p w:rsidR="00000000" w:rsidRDefault="004D2F83">
      <w:pPr>
        <w:pStyle w:val="Date"/>
        <w:spacing w:after="240" w:line="360" w:lineRule="exact"/>
        <w:rPr>
          <w:rFonts w:eastAsia="SimHei" w:hint="eastAsia"/>
          <w:sz w:val="24"/>
        </w:rPr>
      </w:pPr>
      <w:r>
        <w:rPr>
          <w:rFonts w:eastAsia="SimHei" w:hint="eastAsia"/>
          <w:sz w:val="24"/>
        </w:rPr>
        <w:t>关于性别暴力的公共政策</w:t>
      </w:r>
    </w:p>
    <w:p w:rsidR="00000000" w:rsidRDefault="004D2F83" w:rsidP="004D2F83">
      <w:pPr>
        <w:spacing w:after="240" w:line="360" w:lineRule="exact"/>
        <w:ind w:firstLineChars="225" w:firstLine="31680"/>
        <w:rPr>
          <w:rFonts w:hint="eastAsia"/>
        </w:rPr>
      </w:pPr>
      <w:r>
        <w:rPr>
          <w:rFonts w:hint="eastAsia"/>
        </w:rPr>
        <w:t>1996</w:t>
      </w:r>
      <w:r>
        <w:rPr>
          <w:rFonts w:hint="eastAsia"/>
        </w:rPr>
        <w:t>年</w:t>
      </w:r>
      <w:r>
        <w:rPr>
          <w:rFonts w:hint="eastAsia"/>
        </w:rPr>
        <w:t>5</w:t>
      </w:r>
      <w:r>
        <w:rPr>
          <w:rFonts w:hint="eastAsia"/>
        </w:rPr>
        <w:t>月</w:t>
      </w:r>
      <w:r>
        <w:rPr>
          <w:rFonts w:hint="eastAsia"/>
        </w:rPr>
        <w:t>13</w:t>
      </w:r>
      <w:r>
        <w:rPr>
          <w:rFonts w:hint="eastAsia"/>
        </w:rPr>
        <w:t>日，共和国总统通过发布第</w:t>
      </w:r>
      <w:r>
        <w:rPr>
          <w:rFonts w:hint="eastAsia"/>
        </w:rPr>
        <w:t>1904</w:t>
      </w:r>
      <w:r>
        <w:rPr>
          <w:rFonts w:hint="eastAsia"/>
        </w:rPr>
        <w:t>号法令实施的</w:t>
      </w:r>
      <w:r>
        <w:rPr>
          <w:rFonts w:eastAsia="SimHei" w:hint="eastAsia"/>
        </w:rPr>
        <w:t>全国人权方案</w:t>
      </w:r>
      <w:r>
        <w:rPr>
          <w:rFonts w:hint="eastAsia"/>
          <w:b/>
          <w:bCs/>
        </w:rPr>
        <w:t>（</w:t>
      </w:r>
      <w:r>
        <w:rPr>
          <w:rFonts w:hint="eastAsia"/>
          <w:b/>
          <w:bCs/>
        </w:rPr>
        <w:t>PNDH</w:t>
      </w:r>
      <w:r>
        <w:rPr>
          <w:rFonts w:hint="eastAsia"/>
          <w:b/>
          <w:bCs/>
        </w:rPr>
        <w:t>）</w:t>
      </w:r>
      <w:r>
        <w:rPr>
          <w:rFonts w:hint="eastAsia"/>
        </w:rPr>
        <w:t>，决定采取措施保护并促进这些权利，包括寻求公平和反对歧视。由司法部和几个民间团体合作制定的全国人权方案显示出联邦政府对保障国民最基本的公民身份的关注，并反映了巴西政府在国际一级做出的承</w:t>
      </w:r>
      <w:r>
        <w:rPr>
          <w:rFonts w:hint="eastAsia"/>
        </w:rPr>
        <w:t>诺。全国人权方案主要根据《公民权利和政治权利国际公约》确定的原则设计要开展的行动，并包括了公民权利领域的若干措施，对切实保护社会、经济和文化权利有着决定性的影响。在这方面，执行有关妇女权利的国际公约为建议的保护妇女权利行动提供了依据。</w:t>
      </w:r>
    </w:p>
    <w:p w:rsidR="00000000" w:rsidRDefault="004D2F83" w:rsidP="004D2F83">
      <w:pPr>
        <w:spacing w:after="240" w:line="360" w:lineRule="exact"/>
        <w:ind w:firstLineChars="225" w:firstLine="31680"/>
        <w:rPr>
          <w:rFonts w:hint="eastAsia"/>
        </w:rPr>
      </w:pPr>
      <w:r>
        <w:rPr>
          <w:rFonts w:hint="eastAsia"/>
        </w:rPr>
        <w:t>在人权问题国务秘书处协调下制定的</w:t>
      </w:r>
      <w:r>
        <w:rPr>
          <w:rFonts w:eastAsia="SimHei" w:hint="eastAsia"/>
        </w:rPr>
        <w:t>全国妇女权利方案</w:t>
      </w:r>
      <w:r>
        <w:rPr>
          <w:rFonts w:hint="eastAsia"/>
        </w:rPr>
        <w:t>，在专门论述妇女问题的一章中强调，巴西政府应该努力实现以下目标：</w:t>
      </w:r>
    </w:p>
    <w:p w:rsidR="00000000" w:rsidRDefault="004D2F83" w:rsidP="004D2F83">
      <w:pPr>
        <w:spacing w:after="240" w:line="360" w:lineRule="exact"/>
        <w:ind w:leftChars="200" w:left="31680" w:hangingChars="200" w:firstLine="31680"/>
        <w:rPr>
          <w:rFonts w:hint="eastAsia"/>
        </w:rPr>
      </w:pPr>
      <w:r>
        <w:t>a)</w:t>
      </w:r>
      <w:r>
        <w:rPr>
          <w:rFonts w:hint="eastAsia"/>
        </w:rPr>
        <w:t xml:space="preserve"> </w:t>
      </w:r>
      <w:r>
        <w:rPr>
          <w:rFonts w:hint="eastAsia"/>
        </w:rPr>
        <w:tab/>
      </w:r>
      <w:r>
        <w:rPr>
          <w:rFonts w:hint="eastAsia"/>
        </w:rPr>
        <w:t>支持联邦政府的打击对妇女的暴力行为全国方案；</w:t>
      </w:r>
    </w:p>
    <w:p w:rsidR="00000000" w:rsidRDefault="004D2F83" w:rsidP="004D2F83">
      <w:pPr>
        <w:spacing w:after="240" w:line="360" w:lineRule="exact"/>
        <w:ind w:leftChars="200" w:left="31680" w:hangingChars="200" w:firstLine="31680"/>
        <w:rPr>
          <w:rFonts w:hint="eastAsia"/>
        </w:rPr>
      </w:pPr>
      <w:r>
        <w:t>b)</w:t>
      </w:r>
      <w:r>
        <w:rPr>
          <w:rFonts w:hint="eastAsia"/>
        </w:rPr>
        <w:t xml:space="preserve"> </w:t>
      </w:r>
      <w:r>
        <w:rPr>
          <w:rFonts w:hint="eastAsia"/>
        </w:rPr>
        <w:tab/>
      </w:r>
      <w:r>
        <w:rPr>
          <w:rFonts w:hint="eastAsia"/>
        </w:rPr>
        <w:t>鼓励建立综合援助中心，对遭受家庭暴力和性暴力的妇女提供援助；</w:t>
      </w:r>
    </w:p>
    <w:p w:rsidR="00000000" w:rsidRDefault="004D2F83" w:rsidP="004D2F83">
      <w:pPr>
        <w:spacing w:after="240" w:line="360" w:lineRule="exact"/>
        <w:ind w:leftChars="200" w:left="31680" w:hangingChars="200" w:firstLine="31680"/>
        <w:rPr>
          <w:rFonts w:hint="eastAsia"/>
        </w:rPr>
      </w:pPr>
      <w:r>
        <w:t>c)</w:t>
      </w:r>
      <w:r>
        <w:rPr>
          <w:rFonts w:hint="eastAsia"/>
        </w:rPr>
        <w:t xml:space="preserve"> </w:t>
      </w:r>
      <w:r>
        <w:rPr>
          <w:rFonts w:hint="eastAsia"/>
        </w:rPr>
        <w:tab/>
      </w:r>
      <w:r>
        <w:rPr>
          <w:rFonts w:hint="eastAsia"/>
        </w:rPr>
        <w:t>支持各州和市政府旨在防止对妇女</w:t>
      </w:r>
      <w:r>
        <w:rPr>
          <w:rFonts w:hint="eastAsia"/>
        </w:rPr>
        <w:t>的家庭暴力和性暴力的政策；</w:t>
      </w:r>
    </w:p>
    <w:p w:rsidR="00000000" w:rsidRDefault="004D2F83" w:rsidP="004D2F83">
      <w:pPr>
        <w:spacing w:after="240" w:line="360" w:lineRule="exact"/>
        <w:ind w:leftChars="200" w:left="31680" w:hangingChars="200" w:firstLine="31680"/>
        <w:rPr>
          <w:rFonts w:hint="eastAsia"/>
        </w:rPr>
      </w:pPr>
      <w:r>
        <w:t>d)</w:t>
      </w:r>
      <w:r>
        <w:rPr>
          <w:rFonts w:hint="eastAsia"/>
        </w:rPr>
        <w:t xml:space="preserve"> </w:t>
      </w:r>
      <w:r>
        <w:rPr>
          <w:rFonts w:hint="eastAsia"/>
        </w:rPr>
        <w:tab/>
      </w:r>
      <w:r>
        <w:rPr>
          <w:rFonts w:hint="eastAsia"/>
        </w:rPr>
        <w:t>鼓励调查和传播有关对妇女的暴力行为的资料并鼓励采取一切形式保护和促进妇女的权利；及</w:t>
      </w:r>
    </w:p>
    <w:p w:rsidR="00000000" w:rsidRDefault="004D2F83" w:rsidP="004D2F83">
      <w:pPr>
        <w:spacing w:after="240" w:line="360" w:lineRule="exact"/>
        <w:ind w:leftChars="200" w:left="31680" w:hangingChars="200" w:firstLine="31680"/>
        <w:rPr>
          <w:rFonts w:hint="eastAsia"/>
        </w:rPr>
      </w:pPr>
      <w:r>
        <w:t>e)</w:t>
      </w:r>
      <w:r>
        <w:rPr>
          <w:rFonts w:hint="eastAsia"/>
        </w:rPr>
        <w:t xml:space="preserve"> </w:t>
      </w:r>
      <w:r>
        <w:rPr>
          <w:rFonts w:hint="eastAsia"/>
        </w:rPr>
        <w:tab/>
      </w:r>
      <w:r>
        <w:rPr>
          <w:rFonts w:hint="eastAsia"/>
        </w:rPr>
        <w:t>修改各种程序以防止对妇女的暴力和歧视，并特别支持政府将强奸定为侵犯人身罪而不再是有伤风化罪的项目。</w:t>
      </w:r>
    </w:p>
    <w:p w:rsidR="00000000" w:rsidRDefault="004D2F83">
      <w:pPr>
        <w:pStyle w:val="BodyTextIndent"/>
        <w:ind w:firstLine="473"/>
        <w:rPr>
          <w:rFonts w:hint="eastAsia"/>
        </w:rPr>
      </w:pPr>
      <w:r>
        <w:rPr>
          <w:rFonts w:hint="eastAsia"/>
        </w:rPr>
        <w:t>全国妇女权利委员会与司法部联合，同各州和市政府以及非政府组织和私营公司积极签订协议，以便实施全国人权方案，强调预防性别暴力的重要性。在这方面，以下一些举措值得一提：</w:t>
      </w:r>
    </w:p>
    <w:p w:rsidR="00000000" w:rsidRDefault="004D2F83">
      <w:pPr>
        <w:numPr>
          <w:ilvl w:val="0"/>
          <w:numId w:val="700"/>
        </w:numPr>
        <w:spacing w:after="240" w:line="360" w:lineRule="exact"/>
        <w:rPr>
          <w:rFonts w:hint="eastAsia"/>
        </w:rPr>
      </w:pPr>
      <w:r>
        <w:rPr>
          <w:rFonts w:eastAsia="SimHei" w:hint="eastAsia"/>
        </w:rPr>
        <w:t>全国防止和打击家庭暴力和性暴力方案</w:t>
      </w:r>
      <w:r>
        <w:rPr>
          <w:rFonts w:hint="eastAsia"/>
        </w:rPr>
        <w:t>，</w:t>
      </w:r>
      <w:r>
        <w:rPr>
          <w:rFonts w:hint="eastAsia"/>
        </w:rPr>
        <w:t>1996</w:t>
      </w:r>
      <w:r>
        <w:rPr>
          <w:rFonts w:hint="eastAsia"/>
        </w:rPr>
        <w:t>年由全国妇女权利委员会制定，作为全国人权方案和公平战略文件的组成部分。其主</w:t>
      </w:r>
      <w:r>
        <w:rPr>
          <w:rFonts w:hint="eastAsia"/>
        </w:rPr>
        <w:t>要目标是动员开展部门间行动，旨在防止家庭暴力和性暴力行为，同时考虑到联邦、州和市的职权范围，并在必要情况下确定合作和协议的条件。为此，该方案建议协调部门间行动、修改《刑法典》的规定，加强法警设备并促进舆论意识活动；</w:t>
      </w:r>
    </w:p>
    <w:p w:rsidR="00000000" w:rsidRDefault="004D2F83">
      <w:pPr>
        <w:numPr>
          <w:ilvl w:val="0"/>
          <w:numId w:val="700"/>
        </w:numPr>
        <w:spacing w:after="240" w:line="360" w:lineRule="exact"/>
        <w:rPr>
          <w:rFonts w:hint="eastAsia"/>
        </w:rPr>
      </w:pPr>
      <w:r>
        <w:rPr>
          <w:rFonts w:eastAsia="SimHei" w:hint="eastAsia"/>
        </w:rPr>
        <w:t>拨打电话报案</w:t>
      </w:r>
      <w:r>
        <w:rPr>
          <w:rFonts w:hint="eastAsia"/>
        </w:rPr>
        <w:t>，司法部在全国人权方案范围内开设了电话服务，记录有关儿童卖淫和色情旅游案件。由于此项服务，已使一些进行此类色情剥削活动的夜总会关门停业；</w:t>
      </w:r>
    </w:p>
    <w:p w:rsidR="00000000" w:rsidRDefault="004D2F83">
      <w:pPr>
        <w:numPr>
          <w:ilvl w:val="0"/>
          <w:numId w:val="700"/>
        </w:numPr>
        <w:spacing w:after="240" w:line="360" w:lineRule="exact"/>
        <w:rPr>
          <w:rFonts w:hint="eastAsia"/>
        </w:rPr>
      </w:pPr>
      <w:r>
        <w:rPr>
          <w:rFonts w:eastAsia="SimHei" w:hint="eastAsia"/>
        </w:rPr>
        <w:t>电视学校</w:t>
      </w:r>
      <w:r>
        <w:rPr>
          <w:rFonts w:hint="eastAsia"/>
        </w:rPr>
        <w:t>：由教育部创办，宣传防止家庭暴力和性暴力行为的方法；</w:t>
      </w:r>
    </w:p>
    <w:p w:rsidR="00000000" w:rsidRDefault="004D2F83">
      <w:pPr>
        <w:numPr>
          <w:ilvl w:val="0"/>
          <w:numId w:val="700"/>
        </w:numPr>
        <w:spacing w:after="240" w:line="360" w:lineRule="exact"/>
        <w:rPr>
          <w:rFonts w:hint="eastAsia"/>
        </w:rPr>
      </w:pPr>
      <w:r>
        <w:rPr>
          <w:rFonts w:hint="eastAsia"/>
        </w:rPr>
        <w:t>题为</w:t>
      </w:r>
      <w:r>
        <w:rPr>
          <w:rFonts w:eastAsia="SimHei" w:hint="eastAsia"/>
        </w:rPr>
        <w:t>“没有妇女，权利就是没有人性的权利”</w:t>
      </w:r>
      <w:r>
        <w:rPr>
          <w:rFonts w:hint="eastAsia"/>
        </w:rPr>
        <w:t>运动，由全国妇女权利委员会在</w:t>
      </w:r>
      <w:r>
        <w:rPr>
          <w:rFonts w:hint="eastAsia"/>
        </w:rPr>
        <w:t>1998</w:t>
      </w:r>
      <w:r>
        <w:rPr>
          <w:rFonts w:hint="eastAsia"/>
        </w:rPr>
        <w:t>年庆祝《</w:t>
      </w:r>
      <w:r>
        <w:rPr>
          <w:rFonts w:hint="eastAsia"/>
        </w:rPr>
        <w:t>世界人权宣言》</w:t>
      </w:r>
      <w:r>
        <w:rPr>
          <w:rFonts w:hint="eastAsia"/>
        </w:rPr>
        <w:t>50</w:t>
      </w:r>
      <w:r>
        <w:rPr>
          <w:rFonts w:hint="eastAsia"/>
        </w:rPr>
        <w:t>周年之际与拉丁美洲和加勒比保卫妇女权利委员会（拉加妇权会）及其他实体合作发起；</w:t>
      </w:r>
    </w:p>
    <w:p w:rsidR="00000000" w:rsidRDefault="004D2F83">
      <w:pPr>
        <w:numPr>
          <w:ilvl w:val="0"/>
          <w:numId w:val="700"/>
        </w:numPr>
        <w:spacing w:after="240" w:line="360" w:lineRule="exact"/>
        <w:rPr>
          <w:rFonts w:hint="eastAsia"/>
        </w:rPr>
      </w:pPr>
      <w:r>
        <w:rPr>
          <w:rFonts w:hint="eastAsia"/>
        </w:rPr>
        <w:t>题为</w:t>
      </w:r>
      <w:r>
        <w:rPr>
          <w:rFonts w:eastAsia="SimHei" w:hint="eastAsia"/>
        </w:rPr>
        <w:t>“我们有权过一种没有暴力的生活”</w:t>
      </w:r>
      <w:r>
        <w:rPr>
          <w:rFonts w:hint="eastAsia"/>
        </w:rPr>
        <w:t>运动，</w:t>
      </w:r>
      <w:r>
        <w:rPr>
          <w:rFonts w:hint="eastAsia"/>
        </w:rPr>
        <w:t>1998</w:t>
      </w:r>
      <w:r>
        <w:rPr>
          <w:rFonts w:hint="eastAsia"/>
        </w:rPr>
        <w:t>年由司法部的一个机构——人权问题国务秘书处与联合国机构和妇女组织及实体联合发起，目的在于预防尤其影响到妇女和儿童的家庭内暴力行为。这一运动促使政府和民间社会组织签署了《反对家庭内暴力行为公约》；</w:t>
      </w:r>
    </w:p>
    <w:p w:rsidR="00000000" w:rsidRDefault="004D2F83">
      <w:pPr>
        <w:numPr>
          <w:ilvl w:val="0"/>
          <w:numId w:val="700"/>
        </w:numPr>
        <w:spacing w:after="240" w:line="360" w:lineRule="exact"/>
        <w:rPr>
          <w:rFonts w:hint="eastAsia"/>
        </w:rPr>
      </w:pPr>
      <w:r>
        <w:rPr>
          <w:rFonts w:hint="eastAsia"/>
        </w:rPr>
        <w:t>关于</w:t>
      </w:r>
      <w:r>
        <w:rPr>
          <w:rFonts w:eastAsia="SimHei" w:hint="eastAsia"/>
        </w:rPr>
        <w:t>“预防和治疗由于对妇女和青少年的性暴力行为造成的伤害”</w:t>
      </w:r>
      <w:r>
        <w:rPr>
          <w:rFonts w:hint="eastAsia"/>
        </w:rPr>
        <w:t>技术规则，</w:t>
      </w:r>
      <w:r>
        <w:rPr>
          <w:rFonts w:hint="eastAsia"/>
        </w:rPr>
        <w:t>1998</w:t>
      </w:r>
      <w:r>
        <w:rPr>
          <w:rFonts w:hint="eastAsia"/>
        </w:rPr>
        <w:t>年由卫生部制订，对《巴西刑法典》第</w:t>
      </w:r>
      <w:r>
        <w:rPr>
          <w:rFonts w:hint="eastAsia"/>
        </w:rPr>
        <w:t>128</w:t>
      </w:r>
      <w:r>
        <w:rPr>
          <w:rFonts w:hint="eastAsia"/>
        </w:rPr>
        <w:t>条，更具体地说，是对有关强奸堕胎规定的第二款进行了修</w:t>
      </w:r>
      <w:r>
        <w:rPr>
          <w:rFonts w:hint="eastAsia"/>
        </w:rPr>
        <w:t>订；</w:t>
      </w:r>
    </w:p>
    <w:p w:rsidR="00000000" w:rsidRDefault="004D2F83">
      <w:pPr>
        <w:numPr>
          <w:ilvl w:val="0"/>
          <w:numId w:val="700"/>
        </w:numPr>
        <w:spacing w:after="240" w:line="360" w:lineRule="exact"/>
        <w:rPr>
          <w:rFonts w:hint="eastAsia"/>
        </w:rPr>
      </w:pPr>
      <w:r>
        <w:rPr>
          <w:rFonts w:hint="eastAsia"/>
        </w:rPr>
        <w:t>要求</w:t>
      </w:r>
      <w:r>
        <w:rPr>
          <w:rFonts w:eastAsia="SimHei" w:hint="eastAsia"/>
        </w:rPr>
        <w:t>在</w:t>
      </w:r>
      <w:r>
        <w:rPr>
          <w:rFonts w:eastAsia="SimHei" w:hint="eastAsia"/>
        </w:rPr>
        <w:t>1999</w:t>
      </w:r>
      <w:r>
        <w:rPr>
          <w:rFonts w:eastAsia="SimHei" w:hint="eastAsia"/>
        </w:rPr>
        <w:t>年总预算中列入大约</w:t>
      </w:r>
      <w:r>
        <w:rPr>
          <w:rFonts w:eastAsia="SimHei" w:hint="eastAsia"/>
        </w:rPr>
        <w:t xml:space="preserve">10 </w:t>
      </w:r>
      <w:r>
        <w:rPr>
          <w:rFonts w:eastAsia="SimHei"/>
        </w:rPr>
        <w:t>500</w:t>
      </w:r>
      <w:r>
        <w:rPr>
          <w:rFonts w:eastAsia="SimHei" w:hint="eastAsia"/>
        </w:rPr>
        <w:t xml:space="preserve"> </w:t>
      </w:r>
      <w:r>
        <w:rPr>
          <w:rFonts w:eastAsia="SimHei"/>
        </w:rPr>
        <w:t>000</w:t>
      </w:r>
      <w:r>
        <w:rPr>
          <w:rFonts w:eastAsia="SimHei" w:hint="eastAsia"/>
        </w:rPr>
        <w:t xml:space="preserve"> </w:t>
      </w:r>
      <w:r>
        <w:rPr>
          <w:rFonts w:eastAsia="SimHei"/>
        </w:rPr>
        <w:t>00</w:t>
      </w:r>
      <w:r>
        <w:rPr>
          <w:rFonts w:eastAsia="SimHei" w:hint="eastAsia"/>
        </w:rPr>
        <w:t>美元，用于修建和维持</w:t>
      </w:r>
      <w:r>
        <w:rPr>
          <w:rFonts w:eastAsia="SimHei" w:hint="eastAsia"/>
        </w:rPr>
        <w:t>15</w:t>
      </w:r>
      <w:r>
        <w:rPr>
          <w:rFonts w:eastAsia="SimHei" w:hint="eastAsia"/>
        </w:rPr>
        <w:t>个暴力受害妇女收容所</w:t>
      </w:r>
      <w:r>
        <w:rPr>
          <w:rFonts w:hint="eastAsia"/>
        </w:rPr>
        <w:t>。该请求是人权事务委员会根据全国妇女权利委员会和一个非政府组织——妇女研究与咨询中心（</w:t>
      </w:r>
      <w:r>
        <w:rPr>
          <w:rFonts w:hint="eastAsia"/>
        </w:rPr>
        <w:t>CFEMEA</w:t>
      </w:r>
      <w:r>
        <w:rPr>
          <w:rFonts w:hint="eastAsia"/>
        </w:rPr>
        <w:t>）的一项建议提出的倡议。</w:t>
      </w:r>
      <w:r>
        <w:rPr>
          <w:rFonts w:hint="eastAsia"/>
        </w:rPr>
        <w:t>2001</w:t>
      </w:r>
      <w:r>
        <w:rPr>
          <w:rFonts w:hint="eastAsia"/>
        </w:rPr>
        <w:t>年专门用于修建和维持这些收容所的金额为</w:t>
      </w:r>
      <w:r>
        <w:rPr>
          <w:rFonts w:hint="eastAsia"/>
        </w:rPr>
        <w:t xml:space="preserve">780 </w:t>
      </w:r>
      <w:r>
        <w:t>448 .29</w:t>
      </w:r>
      <w:r>
        <w:rPr>
          <w:rFonts w:hint="eastAsia"/>
        </w:rPr>
        <w:t>雷亚尔。</w:t>
      </w:r>
      <w:r>
        <w:rPr>
          <w:rFonts w:hint="eastAsia"/>
        </w:rPr>
        <w:t>2001</w:t>
      </w:r>
      <w:r>
        <w:rPr>
          <w:rFonts w:hint="eastAsia"/>
        </w:rPr>
        <w:t>年，全国妇女权利委员会确定了</w:t>
      </w:r>
      <w:r>
        <w:rPr>
          <w:rFonts w:hint="eastAsia"/>
        </w:rPr>
        <w:t>47</w:t>
      </w:r>
      <w:r>
        <w:rPr>
          <w:rFonts w:hint="eastAsia"/>
        </w:rPr>
        <w:t>个收容所，它们的修建和维持主要依靠联邦政府的财政支助收容所；</w:t>
      </w:r>
      <w:r>
        <w:rPr>
          <w:rFonts w:hint="eastAsia"/>
        </w:rPr>
        <w:t xml:space="preserve"> </w:t>
      </w:r>
    </w:p>
    <w:p w:rsidR="00000000" w:rsidRDefault="004D2F83">
      <w:pPr>
        <w:numPr>
          <w:ilvl w:val="0"/>
          <w:numId w:val="700"/>
        </w:numPr>
        <w:spacing w:after="240" w:line="360" w:lineRule="exact"/>
        <w:rPr>
          <w:rFonts w:hint="eastAsia"/>
        </w:rPr>
      </w:pPr>
      <w:r>
        <w:rPr>
          <w:rFonts w:hint="eastAsia"/>
        </w:rPr>
        <w:t>州和市政当局打击性别暴力行为的各种行动，如建立妇女权利委员会，向家庭暴力和性暴力行为的受害者提供法律指</w:t>
      </w:r>
      <w:r>
        <w:rPr>
          <w:rFonts w:hint="eastAsia"/>
        </w:rPr>
        <w:t>导和专门的社会心理援助；以及</w:t>
      </w:r>
    </w:p>
    <w:p w:rsidR="00000000" w:rsidRDefault="004D2F83">
      <w:pPr>
        <w:numPr>
          <w:ilvl w:val="0"/>
          <w:numId w:val="700"/>
        </w:numPr>
        <w:spacing w:after="240" w:line="360" w:lineRule="exact"/>
        <w:rPr>
          <w:rFonts w:hint="eastAsia"/>
        </w:rPr>
      </w:pPr>
      <w:r>
        <w:rPr>
          <w:rFonts w:hint="eastAsia"/>
        </w:rPr>
        <w:t>1985</w:t>
      </w:r>
      <w:r>
        <w:rPr>
          <w:rFonts w:hint="eastAsia"/>
        </w:rPr>
        <w:t>年以来由州行政部门设立的</w:t>
      </w:r>
      <w:r>
        <w:rPr>
          <w:rFonts w:eastAsia="SimHei" w:hint="eastAsia"/>
        </w:rPr>
        <w:t>保护妇女警察局</w:t>
      </w:r>
      <w:r>
        <w:rPr>
          <w:rFonts w:hint="eastAsia"/>
        </w:rPr>
        <w:t>。这是自那时以来针对对妇女的暴力行为制订的最重要的公共政策。这些特殊的警察局通过向暴力受害妇女和女孩提供专门具体的援助，鼓励妇女报告遭受的暴力行为，并使人们更加了解性别暴力，特别是家庭和家庭内部暴力这一现象。</w:t>
      </w:r>
    </w:p>
    <w:p w:rsidR="00000000" w:rsidRDefault="004D2F83">
      <w:pPr>
        <w:pStyle w:val="Date"/>
        <w:spacing w:after="240" w:line="360" w:lineRule="exact"/>
        <w:rPr>
          <w:rFonts w:eastAsia="SimHei" w:hint="eastAsia"/>
          <w:sz w:val="24"/>
        </w:rPr>
      </w:pPr>
      <w:r>
        <w:rPr>
          <w:rFonts w:eastAsia="SimHei" w:hint="eastAsia"/>
          <w:sz w:val="24"/>
        </w:rPr>
        <w:t>司法措施</w:t>
      </w:r>
    </w:p>
    <w:p w:rsidR="00000000" w:rsidRDefault="004D2F83" w:rsidP="004D2F83">
      <w:pPr>
        <w:spacing w:after="240" w:line="360" w:lineRule="exact"/>
        <w:ind w:firstLineChars="225" w:firstLine="31680"/>
        <w:rPr>
          <w:rFonts w:hint="eastAsia"/>
        </w:rPr>
      </w:pPr>
      <w:r>
        <w:rPr>
          <w:rFonts w:hint="eastAsia"/>
        </w:rPr>
        <w:t>尽管政府努力采取了立法措施和行动来消除歧视和促进男女平等，但宪法下有关妇女的歧视性法律仍普遍存在，因此这一问题在很大程度上取决于采取司法措施。</w:t>
      </w:r>
    </w:p>
    <w:p w:rsidR="00000000" w:rsidRDefault="004D2F83" w:rsidP="004D2F83">
      <w:pPr>
        <w:spacing w:after="240" w:line="360" w:lineRule="exact"/>
        <w:ind w:firstLineChars="228" w:firstLine="31680"/>
        <w:rPr>
          <w:rFonts w:hint="eastAsia"/>
        </w:rPr>
      </w:pPr>
      <w:r>
        <w:rPr>
          <w:rFonts w:hint="eastAsia"/>
        </w:rPr>
        <w:t>值得一提的是，第</w:t>
      </w:r>
      <w:r>
        <w:rPr>
          <w:rFonts w:hint="eastAsia"/>
        </w:rPr>
        <w:t>9099/95</w:t>
      </w:r>
      <w:r>
        <w:rPr>
          <w:rFonts w:hint="eastAsia"/>
        </w:rPr>
        <w:t>号法律规定设立特别刑事法院，在轻罪方面，对</w:t>
      </w:r>
      <w:r>
        <w:rPr>
          <w:rFonts w:hint="eastAsia"/>
        </w:rPr>
        <w:t>于当事人难以获得司法公正以及法院办案拖延等问题可以在一定程度上得以解决。还有一点值得强调，就是该法涵盖了大多数在家庭内部和家庭环境中所犯的罪行。不过，在执行该法时发生了严重的曲解，认为这种暴力行为已经微不足道、不足为奇了。本部分结尾处的评论意见对此进行了解释。</w:t>
      </w:r>
    </w:p>
    <w:p w:rsidR="00000000" w:rsidRDefault="004D2F83" w:rsidP="004D2F83">
      <w:pPr>
        <w:spacing w:after="240" w:line="360" w:lineRule="exact"/>
        <w:ind w:firstLineChars="228" w:firstLine="31680"/>
        <w:rPr>
          <w:rFonts w:hint="eastAsia"/>
        </w:rPr>
      </w:pPr>
      <w:r>
        <w:rPr>
          <w:rFonts w:hint="eastAsia"/>
        </w:rPr>
        <w:t>有些国家法院所做的裁定并不总是确保有效保护妇女免受歧视行为。司法部门，特别是在有伤风化罪、家庭暴力和家庭问题方面经常会重演对妇女的成见、偏见和歧视。</w:t>
      </w:r>
    </w:p>
    <w:p w:rsidR="00000000" w:rsidRDefault="004D2F83" w:rsidP="004D2F83">
      <w:pPr>
        <w:spacing w:after="240" w:line="360" w:lineRule="exact"/>
        <w:ind w:firstLineChars="228" w:firstLine="31680"/>
        <w:rPr>
          <w:rFonts w:hint="eastAsia"/>
        </w:rPr>
      </w:pPr>
      <w:r>
        <w:rPr>
          <w:rFonts w:hint="eastAsia"/>
        </w:rPr>
        <w:t>需要强调的是，有些时候判决的内容未能充分考虑到宪法规定的公平和不歧视原则。不过，也有一些示范判决努力</w:t>
      </w:r>
      <w:r>
        <w:rPr>
          <w:rFonts w:hint="eastAsia"/>
        </w:rPr>
        <w:t>吸取国际人权条约中有关对妇女的暴力行为、特别是家庭和家庭内暴力行为方面的公正因素，比如以下关于家庭内部的强奸行为的判决：</w:t>
      </w:r>
    </w:p>
    <w:p w:rsidR="00000000" w:rsidRDefault="004D2F83">
      <w:pPr>
        <w:pStyle w:val="Date"/>
        <w:spacing w:after="240" w:line="360" w:lineRule="exact"/>
        <w:rPr>
          <w:rFonts w:eastAsia="SimHei" w:hint="eastAsia"/>
          <w:sz w:val="24"/>
        </w:rPr>
      </w:pPr>
      <w:r>
        <w:rPr>
          <w:rFonts w:eastAsia="SimHei" w:hint="eastAsia"/>
          <w:sz w:val="24"/>
        </w:rPr>
        <w:t>根据第</w:t>
      </w:r>
      <w:r>
        <w:rPr>
          <w:rFonts w:eastAsia="SimHei" w:hint="eastAsia"/>
          <w:sz w:val="24"/>
        </w:rPr>
        <w:t>3156/99</w:t>
      </w:r>
      <w:r>
        <w:rPr>
          <w:rFonts w:eastAsia="SimHei" w:hint="eastAsia"/>
          <w:sz w:val="24"/>
        </w:rPr>
        <w:t>号案件案情提出刑事上诉——阿拉瓜里河畔圣费利斯</w:t>
      </w:r>
    </w:p>
    <w:p w:rsidR="00000000" w:rsidRDefault="004D2F83" w:rsidP="004D2F83">
      <w:pPr>
        <w:spacing w:after="240" w:line="360" w:lineRule="exact"/>
        <w:ind w:firstLineChars="225" w:firstLine="31680"/>
        <w:rPr>
          <w:rFonts w:hint="eastAsia"/>
          <w:b/>
          <w:bCs/>
        </w:rPr>
      </w:pPr>
      <w:r>
        <w:rPr>
          <w:rFonts w:eastAsia="SimHei" w:hint="eastAsia"/>
        </w:rPr>
        <w:t>报告</w:t>
      </w:r>
      <w:r>
        <w:rPr>
          <w:rFonts w:hint="eastAsia"/>
        </w:rPr>
        <w:t>。</w:t>
      </w:r>
      <w:r>
        <w:rPr>
          <w:rFonts w:hint="eastAsia"/>
        </w:rPr>
        <w:t>J</w:t>
      </w:r>
      <w:r>
        <w:t>.A.P.</w:t>
      </w:r>
      <w:r>
        <w:rPr>
          <w:rFonts w:hint="eastAsia"/>
        </w:rPr>
        <w:t>被指控触犯了《刑法典》第</w:t>
      </w:r>
      <w:r>
        <w:rPr>
          <w:rFonts w:hint="eastAsia"/>
        </w:rPr>
        <w:t>213</w:t>
      </w:r>
      <w:r>
        <w:rPr>
          <w:rFonts w:hint="eastAsia"/>
        </w:rPr>
        <w:t>条、</w:t>
      </w:r>
      <w:r>
        <w:rPr>
          <w:rFonts w:hint="eastAsia"/>
        </w:rPr>
        <w:t>224</w:t>
      </w:r>
      <w:r>
        <w:rPr>
          <w:rFonts w:hint="eastAsia"/>
        </w:rPr>
        <w:t>条“</w:t>
      </w:r>
      <w:r>
        <w:t>a</w:t>
      </w:r>
      <w:r>
        <w:rPr>
          <w:rFonts w:hint="eastAsia"/>
        </w:rPr>
        <w:t>”款和第</w:t>
      </w:r>
      <w:r>
        <w:rPr>
          <w:rFonts w:hint="eastAsia"/>
        </w:rPr>
        <w:t>71</w:t>
      </w:r>
      <w:r>
        <w:rPr>
          <w:rFonts w:hint="eastAsia"/>
        </w:rPr>
        <w:t>条的规定，据称被告通过严重恐吓和推定暴力强迫</w:t>
      </w:r>
      <w:r>
        <w:rPr>
          <w:rFonts w:hint="eastAsia"/>
        </w:rPr>
        <w:t>M</w:t>
      </w:r>
      <w:r>
        <w:t>.</w:t>
      </w:r>
      <w:r>
        <w:rPr>
          <w:rFonts w:hint="eastAsia"/>
        </w:rPr>
        <w:t>D</w:t>
      </w:r>
      <w:r>
        <w:t>.</w:t>
      </w:r>
      <w:r>
        <w:rPr>
          <w:rFonts w:hint="eastAsia"/>
        </w:rPr>
        <w:t>F</w:t>
      </w:r>
      <w:r>
        <w:t>.</w:t>
      </w:r>
      <w:r>
        <w:rPr>
          <w:rFonts w:hint="eastAsia"/>
        </w:rPr>
        <w:t>（</w:t>
      </w:r>
      <w:r>
        <w:rPr>
          <w:rFonts w:hint="eastAsia"/>
        </w:rPr>
        <w:t>1</w:t>
      </w:r>
      <w:r>
        <w:rPr>
          <w:rFonts w:hint="eastAsia"/>
        </w:rPr>
        <w:t>）和</w:t>
      </w:r>
      <w:r>
        <w:rPr>
          <w:rFonts w:hint="eastAsia"/>
        </w:rPr>
        <w:t>M</w:t>
      </w:r>
      <w:r>
        <w:t>.</w:t>
      </w:r>
      <w:r>
        <w:rPr>
          <w:rFonts w:hint="eastAsia"/>
        </w:rPr>
        <w:t>D</w:t>
      </w:r>
      <w:r>
        <w:t>.</w:t>
      </w:r>
      <w:r>
        <w:rPr>
          <w:rFonts w:hint="eastAsia"/>
        </w:rPr>
        <w:t>F</w:t>
      </w:r>
      <w:r>
        <w:t>.</w:t>
      </w:r>
      <w:r>
        <w:rPr>
          <w:rFonts w:hint="eastAsia"/>
        </w:rPr>
        <w:t>（</w:t>
      </w:r>
      <w:r>
        <w:t>2</w:t>
      </w:r>
      <w:r>
        <w:rPr>
          <w:rFonts w:hint="eastAsia"/>
        </w:rPr>
        <w:t>）与其发生性关系。当时，受害人不满</w:t>
      </w:r>
      <w:r>
        <w:rPr>
          <w:rFonts w:hint="eastAsia"/>
        </w:rPr>
        <w:t>14</w:t>
      </w:r>
      <w:r>
        <w:rPr>
          <w:rFonts w:hint="eastAsia"/>
        </w:rPr>
        <w:t>岁，是他的继女。这些后来受到警方调查和公诉机关指控的犯罪事实据称发生在</w:t>
      </w:r>
      <w:r>
        <w:rPr>
          <w:rFonts w:hint="eastAsia"/>
        </w:rPr>
        <w:t>1993</w:t>
      </w:r>
      <w:r>
        <w:rPr>
          <w:rFonts w:hint="eastAsia"/>
        </w:rPr>
        <w:t>年底或</w:t>
      </w:r>
      <w:r>
        <w:rPr>
          <w:rFonts w:hint="eastAsia"/>
        </w:rPr>
        <w:t>1994</w:t>
      </w:r>
      <w:r>
        <w:rPr>
          <w:rFonts w:hint="eastAsia"/>
        </w:rPr>
        <w:t>年初；但是，直到四年前，</w:t>
      </w:r>
      <w:r>
        <w:rPr>
          <w:rFonts w:hint="eastAsia"/>
        </w:rPr>
        <w:t>1998</w:t>
      </w:r>
      <w:r>
        <w:rPr>
          <w:rFonts w:hint="eastAsia"/>
        </w:rPr>
        <w:t>年</w:t>
      </w:r>
      <w:r>
        <w:rPr>
          <w:rFonts w:hint="eastAsia"/>
        </w:rPr>
        <w:t>6</w:t>
      </w:r>
      <w:r>
        <w:rPr>
          <w:rFonts w:hint="eastAsia"/>
        </w:rPr>
        <w:t>月</w:t>
      </w:r>
      <w:r>
        <w:rPr>
          <w:rFonts w:hint="eastAsia"/>
        </w:rPr>
        <w:t>22</w:t>
      </w:r>
      <w:r>
        <w:rPr>
          <w:rFonts w:hint="eastAsia"/>
        </w:rPr>
        <w:t>日，阿拉瓜里河畔圣费利斯区的上博阿维斯塔市的儿童和青少年权利监护委员会才在正式文件中汇报了此事。在这些文件中，委员会报告了受害人的证词，并且鉴于指控被告对两姐妹所犯的典型罪行，要求起诉。（……）</w:t>
      </w:r>
      <w:r>
        <w:rPr>
          <w:rFonts w:eastAsia="SimHei" w:hint="eastAsia"/>
        </w:rPr>
        <w:t>表决</w:t>
      </w:r>
      <w:r>
        <w:rPr>
          <w:rFonts w:hint="eastAsia"/>
        </w:rPr>
        <w:t>。文件叙述了一桩被告</w:t>
      </w:r>
      <w:r>
        <w:rPr>
          <w:rFonts w:hint="eastAsia"/>
        </w:rPr>
        <w:t>/</w:t>
      </w:r>
      <w:r>
        <w:rPr>
          <w:rFonts w:hint="eastAsia"/>
        </w:rPr>
        <w:t>上诉人对当时未满</w:t>
      </w:r>
      <w:r>
        <w:rPr>
          <w:rFonts w:hint="eastAsia"/>
        </w:rPr>
        <w:t>14</w:t>
      </w:r>
      <w:r>
        <w:rPr>
          <w:rFonts w:hint="eastAsia"/>
        </w:rPr>
        <w:t>岁的</w:t>
      </w:r>
      <w:r>
        <w:rPr>
          <w:rFonts w:hint="eastAsia"/>
        </w:rPr>
        <w:t>M</w:t>
      </w:r>
      <w:r>
        <w:t>.</w:t>
      </w:r>
      <w:r>
        <w:rPr>
          <w:rFonts w:hint="eastAsia"/>
        </w:rPr>
        <w:t>D</w:t>
      </w:r>
      <w:r>
        <w:t>.</w:t>
      </w:r>
      <w:r>
        <w:rPr>
          <w:rFonts w:hint="eastAsia"/>
        </w:rPr>
        <w:t>F</w:t>
      </w:r>
      <w:r>
        <w:t>.</w:t>
      </w:r>
      <w:r>
        <w:rPr>
          <w:rFonts w:hint="eastAsia"/>
        </w:rPr>
        <w:t>（</w:t>
      </w:r>
      <w:r>
        <w:rPr>
          <w:rFonts w:hint="eastAsia"/>
        </w:rPr>
        <w:t>1</w:t>
      </w:r>
      <w:r>
        <w:rPr>
          <w:rFonts w:hint="eastAsia"/>
        </w:rPr>
        <w:t>）实施强奸的案件，该案的典型事实直到发生性强迫四年以后才被公布于众；这时受害人已经与</w:t>
      </w:r>
      <w:r>
        <w:rPr>
          <w:rFonts w:hint="eastAsia"/>
        </w:rPr>
        <w:t>J</w:t>
      </w:r>
      <w:r>
        <w:t>.</w:t>
      </w:r>
      <w:r>
        <w:rPr>
          <w:rFonts w:hint="eastAsia"/>
        </w:rPr>
        <w:t>R</w:t>
      </w:r>
      <w:r>
        <w:t>.</w:t>
      </w:r>
      <w:r>
        <w:rPr>
          <w:rFonts w:hint="eastAsia"/>
        </w:rPr>
        <w:t>S</w:t>
      </w:r>
      <w:r>
        <w:t>.</w:t>
      </w:r>
      <w:r>
        <w:rPr>
          <w:rFonts w:hint="eastAsia"/>
        </w:rPr>
        <w:t>保持了至少三年稳定的性关系，并与其生有两个孩子。调查阶段取得的证词表明，受害人的亲生父母早已知情，却没有向主管当局报案。我还想申明的一点是，直到另外一</w:t>
      </w:r>
      <w:r>
        <w:rPr>
          <w:rFonts w:hint="eastAsia"/>
        </w:rPr>
        <w:t>个受害人</w:t>
      </w:r>
      <w:r>
        <w:rPr>
          <w:rFonts w:hint="eastAsia"/>
        </w:rPr>
        <w:t>M</w:t>
      </w:r>
      <w:r>
        <w:t>.</w:t>
      </w:r>
      <w:r>
        <w:rPr>
          <w:rFonts w:hint="eastAsia"/>
        </w:rPr>
        <w:t>D</w:t>
      </w:r>
      <w:r>
        <w:t>.</w:t>
      </w:r>
      <w:r>
        <w:rPr>
          <w:rFonts w:hint="eastAsia"/>
        </w:rPr>
        <w:t>F</w:t>
      </w:r>
      <w:r>
        <w:t>.</w:t>
      </w:r>
      <w:r>
        <w:rPr>
          <w:rFonts w:hint="eastAsia"/>
        </w:rPr>
        <w:t>（</w:t>
      </w:r>
      <w:r>
        <w:t>2</w:t>
      </w:r>
      <w:r>
        <w:rPr>
          <w:rFonts w:hint="eastAsia"/>
        </w:rPr>
        <w:t>）的健康状况不断恶化，最终导致死亡，才使报告公开，并促使提出目前这个刑事诉讼。她的死据称是其前继父（现在的上诉人）同样连续不断的性强迫所造成，尽管法庭记录中没有包含这方面的间接证据。（……）在警察局进行审理时，被告没有否认他与受害人——他的继女发生性行为。他只是坚持认为这不是强奸，因为据说已经取得受害人的同意。他说“对他的指控实际上确有其事，他从</w:t>
      </w:r>
      <w:r>
        <w:rPr>
          <w:rFonts w:hint="eastAsia"/>
        </w:rPr>
        <w:t>1994</w:t>
      </w:r>
      <w:r>
        <w:rPr>
          <w:rFonts w:hint="eastAsia"/>
        </w:rPr>
        <w:t>年就开始与他的两个继女发生性关系……”“他与未成年人多次发生性行为……他也不能具体说出到底发生了多少次……他只打过</w:t>
      </w:r>
      <w:r>
        <w:rPr>
          <w:rFonts w:hint="eastAsia"/>
        </w:rPr>
        <w:t>M</w:t>
      </w:r>
      <w:r>
        <w:t>.</w:t>
      </w:r>
      <w:r>
        <w:rPr>
          <w:rFonts w:hint="eastAsia"/>
        </w:rPr>
        <w:t>一次……”（第</w:t>
      </w:r>
      <w:r>
        <w:rPr>
          <w:rFonts w:hint="eastAsia"/>
        </w:rPr>
        <w:t>18</w:t>
      </w:r>
      <w:r>
        <w:rPr>
          <w:rFonts w:hint="eastAsia"/>
        </w:rPr>
        <w:t>页和第</w:t>
      </w:r>
      <w:r>
        <w:rPr>
          <w:rFonts w:hint="eastAsia"/>
        </w:rPr>
        <w:t>18</w:t>
      </w:r>
      <w:r>
        <w:rPr>
          <w:rFonts w:hint="eastAsia"/>
        </w:rPr>
        <w:t>页背面）。（……）因此，我在警方搜集到的有关被告的证据中没有发现任何同意缺陷，我认为这些证据确实、有效，可以用于一切法律目的，法律理由如下：</w:t>
      </w:r>
      <w:r>
        <w:rPr>
          <w:rFonts w:hint="eastAsia"/>
        </w:rPr>
        <w:t xml:space="preserve"> </w:t>
      </w:r>
      <w:r>
        <w:rPr>
          <w:rFonts w:hint="eastAsia"/>
        </w:rPr>
        <w:t>“显而易见，正如有伤风化罪中常见的那样，受害人的证词被作为极有价值的证据。特别是它们与审判记录中所含的定罪要素完全一致并与被告的法院外供述（也是由其余的证据证明）相吻合。虽然被告在法庭上收回以前所做的自愿供述，但我们却不能不加以考虑。必须强调的是，口供的价值不在于它是在什么地方供认的，而在于它所包含的可信度”（</w:t>
      </w:r>
      <w:r>
        <w:rPr>
          <w:rFonts w:hint="eastAsia"/>
        </w:rPr>
        <w:t>TJSP-RT625/275</w:t>
      </w:r>
      <w:r>
        <w:rPr>
          <w:rFonts w:hint="eastAsia"/>
        </w:rPr>
        <w:t>）。（……）因此</w:t>
      </w:r>
      <w:r>
        <w:rPr>
          <w:rFonts w:hint="eastAsia"/>
        </w:rPr>
        <w:t>对被告的有罪判决是正确的也是罪有应得的，但在审查有关适用惩罚的一等判决之前，我还应该再次强调一下，巴西亟需通过一项国家政策，以避免发生类似于目前正在审理的罪行。国家必须认真研究导致犯罪的原因，而不仅仅是对后果进行预防处理。植根于大多数公民思想意识中的无知和专制的大男子行为必须根除。同样，独断的法官和合议机构应该在宪法的约束下应用那些我国批准的国际条约，特别是那些保护人权方面的条约。这种举措的一个例子就是</w:t>
      </w:r>
      <w:r>
        <w:rPr>
          <w:rFonts w:hint="eastAsia"/>
        </w:rPr>
        <w:t>1994</w:t>
      </w:r>
      <w:r>
        <w:rPr>
          <w:rFonts w:hint="eastAsia"/>
        </w:rPr>
        <w:t>年</w:t>
      </w:r>
      <w:r>
        <w:rPr>
          <w:rFonts w:hint="eastAsia"/>
        </w:rPr>
        <w:t>6</w:t>
      </w:r>
      <w:r>
        <w:rPr>
          <w:rFonts w:hint="eastAsia"/>
        </w:rPr>
        <w:t>月由美洲国家组织（美洲组织）通过的《贝伦杜帕拉公约》，根据该公约还制定了一个法律文书，旨在防止</w:t>
      </w:r>
      <w:r>
        <w:rPr>
          <w:rFonts w:hint="eastAsia"/>
        </w:rPr>
        <w:t>、惩治和根除对妇女的暴力行为。</w:t>
      </w:r>
      <w:r>
        <w:t xml:space="preserve">Silvia Pimentel, Ana Lucia Schritzmeyer </w:t>
      </w:r>
      <w:r>
        <w:rPr>
          <w:rFonts w:hint="eastAsia"/>
        </w:rPr>
        <w:t>和</w:t>
      </w:r>
      <w:r>
        <w:t>Valeria Pandjiarjian</w:t>
      </w:r>
      <w:r>
        <w:rPr>
          <w:rFonts w:hint="eastAsia"/>
        </w:rPr>
        <w:t>教授在其所著《</w:t>
      </w:r>
      <w:r>
        <w:t>Estupro: Crime ou Cortesia</w:t>
      </w:r>
      <w:r>
        <w:rPr>
          <w:rFonts w:hint="eastAsia"/>
        </w:rPr>
        <w:t>》（强奸：犯罪还是礼遇）（</w:t>
      </w:r>
      <w:r>
        <w:t>Sergio Antonio Fabris</w:t>
      </w:r>
      <w:r>
        <w:rPr>
          <w:rFonts w:hint="eastAsia"/>
        </w:rPr>
        <w:t>出版社，</w:t>
      </w:r>
      <w:r>
        <w:rPr>
          <w:rFonts w:hint="eastAsia"/>
        </w:rPr>
        <w:t>1998</w:t>
      </w:r>
      <w:r>
        <w:rPr>
          <w:rFonts w:hint="eastAsia"/>
        </w:rPr>
        <w:t>年，第</w:t>
      </w:r>
      <w:r>
        <w:rPr>
          <w:rFonts w:hint="eastAsia"/>
        </w:rPr>
        <w:t>49</w:t>
      </w:r>
      <w:r>
        <w:rPr>
          <w:rFonts w:hint="eastAsia"/>
        </w:rPr>
        <w:t>页）一书（该书得到了本法院发言人，首席法官</w:t>
      </w:r>
      <w:r>
        <w:t>Shelma Lombardi de Kato</w:t>
      </w:r>
      <w:r>
        <w:rPr>
          <w:rFonts w:hint="eastAsia"/>
        </w:rPr>
        <w:t>的大力合作）中回忆，该文书于</w:t>
      </w:r>
      <w:r>
        <w:rPr>
          <w:rFonts w:hint="eastAsia"/>
        </w:rPr>
        <w:t>1995</w:t>
      </w:r>
      <w:r>
        <w:rPr>
          <w:rFonts w:hint="eastAsia"/>
        </w:rPr>
        <w:t>年</w:t>
      </w:r>
      <w:r>
        <w:rPr>
          <w:rFonts w:hint="eastAsia"/>
        </w:rPr>
        <w:t>11</w:t>
      </w:r>
      <w:r>
        <w:rPr>
          <w:rFonts w:hint="eastAsia"/>
        </w:rPr>
        <w:t>月</w:t>
      </w:r>
      <w:r>
        <w:rPr>
          <w:rFonts w:hint="eastAsia"/>
        </w:rPr>
        <w:t>27</w:t>
      </w:r>
      <w:r>
        <w:rPr>
          <w:rFonts w:hint="eastAsia"/>
        </w:rPr>
        <w:t>日由巴西批准，具有约束性的法律效力。根据上述案情以及所做的判决，</w:t>
      </w:r>
      <w:r>
        <w:rPr>
          <w:rFonts w:hint="eastAsia"/>
        </w:rPr>
        <w:t>我投票赞成驳回就本案提出的上诉。</w:t>
      </w:r>
      <w:r>
        <w:rPr>
          <w:rFonts w:ascii="SimHei" w:eastAsia="SimHei" w:hint="eastAsia"/>
        </w:rPr>
        <w:t>首席法官</w:t>
      </w:r>
      <w:r>
        <w:rPr>
          <w:rFonts w:ascii="SimHei" w:eastAsia="SimHei"/>
        </w:rPr>
        <w:t>Rubens de Oliveira Santos Filho</w:t>
      </w:r>
      <w:r>
        <w:rPr>
          <w:rFonts w:ascii="SimHei" w:eastAsia="SimHei" w:hint="eastAsia"/>
        </w:rPr>
        <w:t>。</w:t>
      </w:r>
    </w:p>
    <w:p w:rsidR="00000000" w:rsidRDefault="004D2F83" w:rsidP="004D2F83">
      <w:pPr>
        <w:spacing w:after="240" w:line="360" w:lineRule="exact"/>
        <w:ind w:firstLineChars="225" w:firstLine="31680"/>
        <w:rPr>
          <w:rFonts w:hint="eastAsia"/>
        </w:rPr>
      </w:pPr>
      <w:r>
        <w:rPr>
          <w:rFonts w:hint="eastAsia"/>
        </w:rPr>
        <w:t>对于被指控殴打或谋杀妇女的男子，有时还会利用名誉自卫的论点来为其进行无罪辩护，尽管我们的法院已在很大程度上废除了这一观点。对全国主要的法学期刊进行的一次简要调查显示，</w:t>
      </w:r>
      <w:r>
        <w:rPr>
          <w:rFonts w:hint="eastAsia"/>
        </w:rPr>
        <w:t>1999</w:t>
      </w:r>
      <w:r>
        <w:rPr>
          <w:rFonts w:hint="eastAsia"/>
        </w:rPr>
        <w:t>年</w:t>
      </w:r>
      <w:r>
        <w:rPr>
          <w:rFonts w:hint="eastAsia"/>
        </w:rPr>
        <w:t>6</w:t>
      </w:r>
      <w:r>
        <w:rPr>
          <w:rFonts w:hint="eastAsia"/>
        </w:rPr>
        <w:t>月，这些刊物只刊登了</w:t>
      </w:r>
      <w:r>
        <w:rPr>
          <w:rFonts w:hint="eastAsia"/>
        </w:rPr>
        <w:t>15</w:t>
      </w:r>
      <w:r>
        <w:rPr>
          <w:rFonts w:hint="eastAsia"/>
        </w:rPr>
        <w:t>例高等法院关于此类罪行的判决。在这</w:t>
      </w:r>
      <w:r>
        <w:rPr>
          <w:rFonts w:hint="eastAsia"/>
        </w:rPr>
        <w:t>15</w:t>
      </w:r>
      <w:r>
        <w:rPr>
          <w:rFonts w:hint="eastAsia"/>
        </w:rPr>
        <w:t>例判决中，有</w:t>
      </w:r>
      <w:r>
        <w:rPr>
          <w:rFonts w:hint="eastAsia"/>
        </w:rPr>
        <w:t>11</w:t>
      </w:r>
      <w:r>
        <w:rPr>
          <w:rFonts w:hint="eastAsia"/>
        </w:rPr>
        <w:t>例没有接受名誉自卫的论点，两例在理论上接受但实际上不接受，还有两例完全接受。以下是这些判决中的一部分：</w:t>
      </w:r>
    </w:p>
    <w:p w:rsidR="00000000" w:rsidRDefault="004D2F83">
      <w:pPr>
        <w:numPr>
          <w:ilvl w:val="0"/>
          <w:numId w:val="702"/>
        </w:numPr>
        <w:tabs>
          <w:tab w:val="clear" w:pos="840"/>
          <w:tab w:val="num" w:pos="480"/>
        </w:tabs>
        <w:spacing w:after="240" w:line="360" w:lineRule="exact"/>
        <w:ind w:left="480" w:hanging="480"/>
        <w:rPr>
          <w:rFonts w:eastAsia="KaiTi_GB2312" w:hint="eastAsia"/>
          <w:b/>
          <w:bCs/>
        </w:rPr>
      </w:pPr>
      <w:r>
        <w:rPr>
          <w:rFonts w:eastAsia="KaiTi_GB2312" w:hint="eastAsia"/>
          <w:b/>
          <w:bCs/>
        </w:rPr>
        <w:t>接受名誉自卫的论点</w:t>
      </w:r>
    </w:p>
    <w:p w:rsidR="00000000" w:rsidRDefault="004D2F83">
      <w:pPr>
        <w:spacing w:after="240" w:line="360" w:lineRule="exact"/>
        <w:rPr>
          <w:rFonts w:ascii="SimHei" w:eastAsia="SimHei" w:hint="eastAsia"/>
        </w:rPr>
      </w:pPr>
      <w:r>
        <w:rPr>
          <w:rFonts w:ascii="SimHei" w:eastAsia="SimHei" w:hint="eastAsia"/>
        </w:rPr>
        <w:t>案例</w:t>
      </w:r>
      <w:r>
        <w:rPr>
          <w:rFonts w:ascii="SimHei" w:eastAsia="SimHei" w:hint="eastAsia"/>
        </w:rPr>
        <w:t>1</w:t>
      </w:r>
      <w:r>
        <w:rPr>
          <w:rFonts w:ascii="SimHei" w:eastAsia="SimHei" w:hint="eastAsia"/>
        </w:rPr>
        <w:t>（上诉编号：</w:t>
      </w:r>
      <w:r>
        <w:rPr>
          <w:rFonts w:ascii="SimHei" w:eastAsia="SimHei" w:hint="eastAsia"/>
        </w:rPr>
        <w:t>633</w:t>
      </w:r>
      <w:r>
        <w:rPr>
          <w:rFonts w:ascii="SimHei" w:eastAsia="SimHei"/>
        </w:rPr>
        <w:t>0</w:t>
      </w:r>
      <w:r>
        <w:rPr>
          <w:rFonts w:ascii="SimHei" w:eastAsia="SimHei"/>
        </w:rPr>
        <w:t>61-7</w:t>
      </w:r>
      <w:r>
        <w:rPr>
          <w:rFonts w:ascii="SimHei" w:eastAsia="SimHei" w:hint="eastAsia"/>
        </w:rPr>
        <w:t>，</w:t>
      </w:r>
      <w:r>
        <w:rPr>
          <w:rFonts w:ascii="SimHei" w:eastAsia="SimHei" w:hint="eastAsia"/>
        </w:rPr>
        <w:t>1990</w:t>
      </w:r>
      <w:r>
        <w:rPr>
          <w:rFonts w:ascii="SimHei" w:eastAsia="SimHei" w:hint="eastAsia"/>
        </w:rPr>
        <w:t>年</w:t>
      </w:r>
      <w:r>
        <w:rPr>
          <w:rFonts w:ascii="SimHei" w:eastAsia="SimHei" w:hint="eastAsia"/>
        </w:rPr>
        <w:t>12</w:t>
      </w:r>
      <w:r>
        <w:rPr>
          <w:rFonts w:ascii="SimHei" w:eastAsia="SimHei" w:hint="eastAsia"/>
        </w:rPr>
        <w:t>月</w:t>
      </w:r>
      <w:r>
        <w:rPr>
          <w:rFonts w:ascii="SimHei" w:eastAsia="SimHei" w:hint="eastAsia"/>
        </w:rPr>
        <w:t>6</w:t>
      </w:r>
      <w:r>
        <w:rPr>
          <w:rFonts w:ascii="SimHei" w:eastAsia="SimHei" w:hint="eastAsia"/>
        </w:rPr>
        <w:t>日，圣保罗刑事法院）</w:t>
      </w:r>
    </w:p>
    <w:p w:rsidR="00000000" w:rsidRDefault="004D2F83" w:rsidP="004D2F83">
      <w:pPr>
        <w:spacing w:after="240" w:line="360" w:lineRule="exact"/>
        <w:ind w:firstLineChars="228" w:firstLine="31680"/>
        <w:rPr>
          <w:rFonts w:hint="eastAsia"/>
        </w:rPr>
      </w:pPr>
      <w:r>
        <w:rPr>
          <w:rFonts w:eastAsia="KaiTi_GB2312" w:hint="eastAsia"/>
          <w:b/>
          <w:bCs/>
        </w:rPr>
        <w:t>摘要：</w:t>
      </w:r>
      <w:r>
        <w:rPr>
          <w:rFonts w:hint="eastAsia"/>
        </w:rPr>
        <w:t>姘妇向其性伴侣承认对其不忠时遭到攻击与殴打。圣保罗刑事法院维持初级法院法官的判决。初级法院法官接受被告提出的名誉自卫的论点。被告是带着强烈的冲动和适度的反击并根据其实际情况攻击与殴打其姘妇的。</w:t>
      </w:r>
    </w:p>
    <w:p w:rsidR="00000000" w:rsidRDefault="004D2F83" w:rsidP="004D2F83">
      <w:pPr>
        <w:spacing w:after="240" w:line="360" w:lineRule="exact"/>
        <w:ind w:firstLineChars="228" w:firstLine="31680"/>
        <w:rPr>
          <w:rFonts w:hint="eastAsia"/>
        </w:rPr>
      </w:pPr>
      <w:r>
        <w:rPr>
          <w:rFonts w:eastAsia="KaiTi_GB2312" w:hint="eastAsia"/>
          <w:b/>
          <w:bCs/>
        </w:rPr>
        <w:t>重要论据：</w:t>
      </w:r>
      <w:r>
        <w:rPr>
          <w:rFonts w:ascii="KaiTi_GB2312" w:eastAsia="KaiTi_GB2312" w:hint="eastAsia"/>
        </w:rPr>
        <w:t>“鉴于该妇女承认通奸这一事实，没有理由认定初级法院法官在判决中接受名誉自卫的论点存在任何偏见。目前对上诉的判决符合社会现实，不容撤消判决。证实</w:t>
      </w:r>
      <w:r>
        <w:rPr>
          <w:rFonts w:ascii="KaiTi_GB2312" w:eastAsia="KaiTi_GB2312" w:hint="eastAsia"/>
        </w:rPr>
        <w:t>N</w:t>
      </w:r>
      <w:r>
        <w:rPr>
          <w:rFonts w:ascii="KaiTi_GB2312" w:eastAsia="KaiTi_GB2312"/>
        </w:rPr>
        <w:t>.</w:t>
      </w:r>
      <w:r>
        <w:rPr>
          <w:rFonts w:ascii="KaiTi_GB2312" w:eastAsia="KaiTi_GB2312" w:hint="eastAsia"/>
        </w:rPr>
        <w:t>通奸这一点证据确凿。虽然是非法同居，但并不排除相互忠诚的义务。（</w:t>
      </w:r>
      <w:r>
        <w:rPr>
          <w:rFonts w:hint="eastAsia"/>
        </w:rPr>
        <w:t>……</w:t>
      </w:r>
      <w:r>
        <w:rPr>
          <w:rFonts w:ascii="KaiTi_GB2312" w:eastAsia="KaiTi_GB2312" w:hint="eastAsia"/>
        </w:rPr>
        <w:t>）尽管目前认为以不忠为由伤害或杀死妻子</w:t>
      </w:r>
      <w:r>
        <w:rPr>
          <w:rFonts w:ascii="KaiTi_GB2312" w:eastAsia="KaiTi_GB2312" w:hint="eastAsia"/>
        </w:rPr>
        <w:t>或姘妇是一种陈腐的偏见，在本案中，长期姘居的情妇承认她与另一个男人有染，背叛了上诉人，使上诉人的名誉受到玷污。此外，还有一个事实不容忽视：双方尽管是非法同居，但已育有四名子女”</w:t>
      </w:r>
      <w:r>
        <w:rPr>
          <w:rFonts w:ascii="KaiTi_GB2312" w:eastAsia="KaiTi_GB2312" w:hint="eastAsia"/>
        </w:rPr>
        <w:t xml:space="preserve"> </w:t>
      </w:r>
      <w:r>
        <w:rPr>
          <w:rFonts w:hint="eastAsia"/>
        </w:rPr>
        <w:t>。</w:t>
      </w:r>
    </w:p>
    <w:p w:rsidR="00000000" w:rsidRDefault="004D2F83">
      <w:pPr>
        <w:spacing w:after="240" w:line="360" w:lineRule="exact"/>
        <w:rPr>
          <w:rFonts w:ascii="SimHei" w:eastAsia="SimHei" w:hint="eastAsia"/>
        </w:rPr>
      </w:pPr>
      <w:r>
        <w:rPr>
          <w:rFonts w:ascii="SimHei" w:eastAsia="SimHei" w:hint="eastAsia"/>
        </w:rPr>
        <w:t>案例</w:t>
      </w:r>
      <w:r>
        <w:rPr>
          <w:rFonts w:ascii="SimHei" w:eastAsia="SimHei" w:hint="eastAsia"/>
        </w:rPr>
        <w:t>2</w:t>
      </w:r>
      <w:r>
        <w:rPr>
          <w:rFonts w:ascii="SimHei" w:eastAsia="SimHei" w:hint="eastAsia"/>
        </w:rPr>
        <w:t>（上诉编号：</w:t>
      </w:r>
      <w:r>
        <w:rPr>
          <w:rFonts w:ascii="SimHei" w:eastAsia="SimHei" w:hint="eastAsia"/>
        </w:rPr>
        <w:t>137</w:t>
      </w:r>
      <w:r>
        <w:rPr>
          <w:rFonts w:ascii="SimHei" w:eastAsia="SimHei"/>
        </w:rPr>
        <w:t>1</w:t>
      </w:r>
      <w:r>
        <w:rPr>
          <w:rFonts w:ascii="SimHei" w:eastAsia="SimHei" w:hint="eastAsia"/>
        </w:rPr>
        <w:t>57</w:t>
      </w:r>
      <w:r>
        <w:rPr>
          <w:rFonts w:ascii="SimHei" w:eastAsia="SimHei"/>
        </w:rPr>
        <w:t>-</w:t>
      </w:r>
      <w:r>
        <w:rPr>
          <w:rFonts w:ascii="SimHei" w:eastAsia="SimHei" w:hint="eastAsia"/>
        </w:rPr>
        <w:t>3/1</w:t>
      </w:r>
      <w:r>
        <w:rPr>
          <w:rFonts w:ascii="SimHei" w:eastAsia="SimHei" w:hint="eastAsia"/>
        </w:rPr>
        <w:t>，</w:t>
      </w:r>
      <w:r>
        <w:rPr>
          <w:rFonts w:ascii="SimHei" w:eastAsia="SimHei" w:hint="eastAsia"/>
        </w:rPr>
        <w:t>1995</w:t>
      </w:r>
      <w:r>
        <w:rPr>
          <w:rFonts w:ascii="SimHei" w:eastAsia="SimHei" w:hint="eastAsia"/>
        </w:rPr>
        <w:t>年</w:t>
      </w:r>
      <w:r>
        <w:rPr>
          <w:rFonts w:ascii="SimHei" w:eastAsia="SimHei" w:hint="eastAsia"/>
        </w:rPr>
        <w:t>2</w:t>
      </w:r>
      <w:r>
        <w:rPr>
          <w:rFonts w:ascii="SimHei" w:eastAsia="SimHei" w:hint="eastAsia"/>
        </w:rPr>
        <w:t>月</w:t>
      </w:r>
      <w:r>
        <w:rPr>
          <w:rFonts w:ascii="SimHei" w:eastAsia="SimHei" w:hint="eastAsia"/>
        </w:rPr>
        <w:t>23</w:t>
      </w:r>
      <w:r>
        <w:rPr>
          <w:rFonts w:ascii="SimHei" w:eastAsia="SimHei" w:hint="eastAsia"/>
        </w:rPr>
        <w:t>日，圣保罗州上诉法庭）</w:t>
      </w:r>
    </w:p>
    <w:p w:rsidR="00000000" w:rsidRDefault="004D2F83" w:rsidP="004D2F83">
      <w:pPr>
        <w:spacing w:after="240" w:line="360" w:lineRule="exact"/>
        <w:ind w:firstLineChars="228" w:firstLine="31680"/>
        <w:rPr>
          <w:rFonts w:hint="eastAsia"/>
        </w:rPr>
      </w:pPr>
      <w:r>
        <w:rPr>
          <w:rFonts w:eastAsia="KaiTi_GB2312" w:hint="eastAsia"/>
          <w:b/>
          <w:bCs/>
        </w:rPr>
        <w:t>摘要：</w:t>
      </w:r>
      <w:r>
        <w:rPr>
          <w:rFonts w:hint="eastAsia"/>
        </w:rPr>
        <w:t>被告捉到妻子与人通奸后，当即将其连同情夫一起杀死。名誉自卫的论点为陪审团绝大多数成员所接受，并得到圣保罗法院的确认。法院同时驳回检察机关的上诉并维持陪审团的决定。</w:t>
      </w:r>
    </w:p>
    <w:p w:rsidR="00000000" w:rsidRDefault="004D2F83" w:rsidP="004D2F83">
      <w:pPr>
        <w:spacing w:after="240" w:line="360" w:lineRule="exact"/>
        <w:ind w:firstLineChars="228" w:firstLine="31680"/>
        <w:rPr>
          <w:rFonts w:ascii="KaiTi_GB2312" w:eastAsia="KaiTi_GB2312" w:hint="eastAsia"/>
        </w:rPr>
      </w:pPr>
      <w:r>
        <w:rPr>
          <w:rFonts w:ascii="KaiTi_GB2312" w:eastAsia="KaiTi_GB2312" w:hint="eastAsia"/>
        </w:rPr>
        <w:t>重要论据：“在此之前安东尼奥的名誉就受到伤害，一直被人取笑，现在周围的人又说他</w:t>
      </w:r>
      <w:r>
        <w:rPr>
          <w:rFonts w:ascii="KaiTi_GB2312" w:eastAsia="KaiTi_GB2312" w:hint="eastAsia"/>
        </w:rPr>
        <w:t>戴了绿帽子……他无法想象将来会怎样。当他走进家门时，看见妻子和</w:t>
      </w:r>
      <w:r>
        <w:rPr>
          <w:rFonts w:ascii="KaiTi_GB2312" w:eastAsia="KaiTi_GB2312" w:hint="eastAsia"/>
        </w:rPr>
        <w:t>J</w:t>
      </w:r>
      <w:r>
        <w:rPr>
          <w:rFonts w:ascii="KaiTi_GB2312" w:eastAsia="KaiTi_GB2312"/>
        </w:rPr>
        <w:t>.</w:t>
      </w:r>
      <w:r>
        <w:rPr>
          <w:rFonts w:ascii="KaiTi_GB2312" w:eastAsia="KaiTi_GB2312" w:hint="eastAsia"/>
        </w:rPr>
        <w:t>J</w:t>
      </w:r>
      <w:r>
        <w:rPr>
          <w:rFonts w:ascii="KaiTi_GB2312" w:eastAsia="KaiTi_GB2312"/>
        </w:rPr>
        <w:t>.</w:t>
      </w:r>
      <w:r>
        <w:rPr>
          <w:rFonts w:ascii="KaiTi_GB2312" w:eastAsia="KaiTi_GB2312" w:hint="eastAsia"/>
        </w:rPr>
        <w:t>半裸着身体睡在自己的床上，而他儿子的摇篮就在同一张床上</w:t>
      </w:r>
      <w:r>
        <w:rPr>
          <w:rFonts w:hint="eastAsia"/>
        </w:rPr>
        <w:t>……</w:t>
      </w:r>
      <w:r>
        <w:rPr>
          <w:rFonts w:ascii="KaiTi_GB2312" w:eastAsia="KaiTi_GB2312" w:hint="eastAsia"/>
        </w:rPr>
        <w:t>如果他选择了无动于衷地离开家，毫无疑问，他的名誉将受到损害。我们不能忽视这样一个事实：被告是在一个不同的时代，即</w:t>
      </w:r>
      <w:r>
        <w:rPr>
          <w:rFonts w:ascii="KaiTi_GB2312" w:eastAsia="KaiTi_GB2312" w:hint="eastAsia"/>
        </w:rPr>
        <w:t>1920</w:t>
      </w:r>
      <w:r>
        <w:rPr>
          <w:rFonts w:ascii="KaiTi_GB2312" w:eastAsia="KaiTi_GB2312" w:hint="eastAsia"/>
        </w:rPr>
        <w:t>年代和</w:t>
      </w:r>
      <w:r>
        <w:rPr>
          <w:rFonts w:ascii="KaiTi_GB2312" w:eastAsia="KaiTi_GB2312" w:hint="eastAsia"/>
        </w:rPr>
        <w:t>30</w:t>
      </w:r>
      <w:r>
        <w:rPr>
          <w:rFonts w:ascii="KaiTi_GB2312" w:eastAsia="KaiTi_GB2312" w:hint="eastAsia"/>
        </w:rPr>
        <w:t>年代成长起来的，那时的伦理观念与现在不同，可能会更为严格，但这种伦理观念无疑已经深深地植根在他的性格当中，塑造了他的个性并常常会反映在以后的生活中。这些证据可能已经由陪审员或在他们面前分析过，除此之外，还有一个事实：那些来自民间社会的非专业法官在陪审团的</w:t>
      </w:r>
      <w:r>
        <w:rPr>
          <w:rFonts w:ascii="KaiTi_GB2312" w:eastAsia="KaiTi_GB2312" w:hint="eastAsia"/>
        </w:rPr>
        <w:t>审理中代表这个社会普遍的道德标准</w:t>
      </w:r>
      <w:r>
        <w:rPr>
          <w:rFonts w:ascii="SimSun" w:hint="eastAsia"/>
        </w:rPr>
        <w:t>……</w:t>
      </w:r>
      <w:r>
        <w:rPr>
          <w:rFonts w:ascii="KaiTi_GB2312" w:eastAsia="KaiTi_GB2312" w:hint="eastAsia"/>
        </w:rPr>
        <w:t>当然，众所周知，名誉自卫已经不是什么新问题了。不过，迄今为止它仍是个很被看重的问题。无论从理论上还是判例上讲，这都不是个温和的主题。（</w:t>
      </w:r>
      <w:r>
        <w:rPr>
          <w:rFonts w:hint="eastAsia"/>
        </w:rPr>
        <w:t>……</w:t>
      </w:r>
      <w:r>
        <w:rPr>
          <w:rFonts w:ascii="KaiTi_GB2312" w:eastAsia="KaiTi_GB2312" w:hint="eastAsia"/>
        </w:rPr>
        <w:t>）总的来说，通奸在任何时候，依据从最原始到最现代的任何法律，一直都被视为一种犯罪，一种不道德和反社会的行为。（</w:t>
      </w:r>
      <w:r>
        <w:rPr>
          <w:rFonts w:ascii="SimSun" w:hint="eastAsia"/>
        </w:rPr>
        <w:t>……</w:t>
      </w:r>
      <w:r>
        <w:rPr>
          <w:rFonts w:ascii="KaiTi_GB2312" w:eastAsia="KaiTi_GB2312" w:hint="eastAsia"/>
        </w:rPr>
        <w:t>）通奸罪不只涉及个人，还涉及到社会群体的规范和操守。个人的反应是受明确的社会压力驱动的。个人反应是出于对其尊严的考虑，也是出于对社会价值观念的一般感受。他</w:t>
      </w:r>
      <w:r>
        <w:rPr>
          <w:rFonts w:ascii="KaiTi_GB2312" w:eastAsia="KaiTi_GB2312" w:hint="eastAsia"/>
        </w:rPr>
        <w:t>/</w:t>
      </w:r>
      <w:r>
        <w:rPr>
          <w:rFonts w:ascii="KaiTi_GB2312" w:eastAsia="KaiTi_GB2312" w:hint="eastAsia"/>
        </w:rPr>
        <w:t>她做出反应是因为只有从既是自己的责任也是社会的义务的双重角度出发，才</w:t>
      </w:r>
      <w:r>
        <w:rPr>
          <w:rFonts w:ascii="KaiTi_GB2312" w:eastAsia="KaiTi_GB2312" w:hint="eastAsia"/>
        </w:rPr>
        <w:t>能保全名誉并被人理解。在争取个人权利时，作为一个人和一个特定的有组织的社会群体中的一员，他</w:t>
      </w:r>
      <w:r>
        <w:rPr>
          <w:rFonts w:ascii="KaiTi_GB2312" w:eastAsia="KaiTi_GB2312" w:hint="eastAsia"/>
        </w:rPr>
        <w:t>/</w:t>
      </w:r>
      <w:r>
        <w:rPr>
          <w:rFonts w:ascii="KaiTi_GB2312" w:eastAsia="KaiTi_GB2312" w:hint="eastAsia"/>
        </w:rPr>
        <w:t>她不可能作出其他举动。一个社会实体是受价值观念约束的，这些价值概念源于文化的规范及其行为准则并与其基本原则相关</w:t>
      </w:r>
      <w:r>
        <w:rPr>
          <w:rFonts w:ascii="SimSun" w:hint="eastAsia"/>
        </w:rPr>
        <w:t>……</w:t>
      </w:r>
      <w:r>
        <w:rPr>
          <w:rFonts w:ascii="KaiTi_GB2312" w:eastAsia="KaiTi_GB2312" w:hint="eastAsia"/>
        </w:rPr>
        <w:t>（</w:t>
      </w:r>
      <w:r>
        <w:rPr>
          <w:rFonts w:ascii="SimSun" w:hint="eastAsia"/>
        </w:rPr>
        <w:t>……</w:t>
      </w:r>
      <w:r>
        <w:rPr>
          <w:rFonts w:ascii="KaiTi_GB2312" w:eastAsia="KaiTi_GB2312" w:hint="eastAsia"/>
        </w:rPr>
        <w:t>）那些为保护道德人格而采取行动的人从任何角度上讲，都是以实际行动与重罪、暴力和不公平进行斗争，充当了保护社会本身的真正工具。（</w:t>
      </w:r>
      <w:r>
        <w:rPr>
          <w:rFonts w:ascii="SimSun" w:hint="eastAsia"/>
        </w:rPr>
        <w:t>……</w:t>
      </w:r>
      <w:r>
        <w:rPr>
          <w:rFonts w:ascii="KaiTi_GB2312" w:eastAsia="KaiTi_GB2312" w:hint="eastAsia"/>
        </w:rPr>
        <w:t>）”。</w:t>
      </w:r>
    </w:p>
    <w:p w:rsidR="00000000" w:rsidRDefault="004D2F83" w:rsidP="004D2F83">
      <w:pPr>
        <w:spacing w:after="240" w:line="360" w:lineRule="exact"/>
        <w:ind w:firstLineChars="228" w:firstLine="31680"/>
        <w:rPr>
          <w:rFonts w:ascii="KaiTi_GB2312" w:eastAsia="KaiTi_GB2312" w:hint="eastAsia"/>
        </w:rPr>
      </w:pPr>
      <w:r>
        <w:rPr>
          <w:rFonts w:ascii="KaiTi_GB2312" w:eastAsia="KaiTi_GB2312" w:hint="eastAsia"/>
        </w:rPr>
        <w:t>反对意见：“</w:t>
      </w:r>
      <w:r>
        <w:rPr>
          <w:rFonts w:ascii="SimSun" w:hint="eastAsia"/>
        </w:rPr>
        <w:t>……</w:t>
      </w:r>
      <w:r>
        <w:rPr>
          <w:rFonts w:ascii="KaiTi_GB2312" w:eastAsia="KaiTi_GB2312" w:hint="eastAsia"/>
        </w:rPr>
        <w:t>在声称的名誉自卫案中，仅仅由于某些社会阶层中普遍存在的偏见，牺牲的却是人的最宝贵财产</w:t>
      </w:r>
      <w:r>
        <w:rPr>
          <w:rFonts w:ascii="SimHei" w:eastAsia="SimHei" w:hint="eastAsia"/>
        </w:rPr>
        <w:t>——</w:t>
      </w:r>
      <w:r>
        <w:rPr>
          <w:rFonts w:ascii="KaiTi_GB2312" w:eastAsia="KaiTi_GB2312" w:hint="eastAsia"/>
        </w:rPr>
        <w:t>生命</w:t>
      </w:r>
      <w:r>
        <w:rPr>
          <w:rFonts w:ascii="SimSun" w:hint="eastAsia"/>
        </w:rPr>
        <w:t>……</w:t>
      </w:r>
      <w:r>
        <w:rPr>
          <w:rFonts w:ascii="KaiTi_GB2312" w:eastAsia="KaiTi_GB2312"/>
        </w:rPr>
        <w:t>‘</w:t>
      </w:r>
      <w:r>
        <w:rPr>
          <w:rFonts w:ascii="KaiTi_GB2312" w:eastAsia="KaiTi_GB2312" w:hint="eastAsia"/>
        </w:rPr>
        <w:t>名誉是一个个人的属性，与第三方的行为无关，因此，</w:t>
      </w:r>
      <w:r>
        <w:rPr>
          <w:rFonts w:ascii="KaiTi_GB2312" w:eastAsia="KaiTi_GB2312" w:hint="eastAsia"/>
        </w:rPr>
        <w:t>男人因妻子的不忠而名誉受损是不能让人接受的</w:t>
      </w:r>
      <w:r>
        <w:rPr>
          <w:rFonts w:ascii="KaiTi_GB2312" w:eastAsia="KaiTi_GB2312"/>
        </w:rPr>
        <w:t>’</w:t>
      </w:r>
      <w:r>
        <w:rPr>
          <w:rFonts w:ascii="SimSun" w:hint="eastAsia"/>
        </w:rPr>
        <w:t>……</w:t>
      </w:r>
      <w:r>
        <w:rPr>
          <w:rFonts w:ascii="KaiTi_GB2312" w:eastAsia="KaiTi_GB2312"/>
        </w:rPr>
        <w:t>‘</w:t>
      </w:r>
      <w:r>
        <w:rPr>
          <w:rFonts w:ascii="KaiTi_GB2312" w:eastAsia="KaiTi_GB2312" w:hint="eastAsia"/>
        </w:rPr>
        <w:t>法律和道德不容许妇女违反她们的义务，但否认其生存的权利则是最大的残忍。</w:t>
      </w:r>
      <w:r>
        <w:rPr>
          <w:rFonts w:ascii="KaiTi_GB2312" w:eastAsia="KaiTi_GB2312"/>
        </w:rPr>
        <w:t>’</w:t>
      </w:r>
      <w:r>
        <w:rPr>
          <w:rFonts w:ascii="KaiTi_GB2312" w:eastAsia="KaiTi_GB2312" w:hint="eastAsia"/>
        </w:rPr>
        <w:t>”。</w:t>
      </w:r>
    </w:p>
    <w:p w:rsidR="00000000" w:rsidRDefault="004D2F83">
      <w:pPr>
        <w:numPr>
          <w:ilvl w:val="0"/>
          <w:numId w:val="702"/>
        </w:numPr>
        <w:tabs>
          <w:tab w:val="clear" w:pos="840"/>
          <w:tab w:val="num" w:pos="480"/>
        </w:tabs>
        <w:spacing w:after="240" w:line="360" w:lineRule="exact"/>
        <w:ind w:left="480" w:hanging="480"/>
        <w:rPr>
          <w:rFonts w:eastAsia="KaiTi_GB2312" w:hint="eastAsia"/>
          <w:b/>
          <w:bCs/>
        </w:rPr>
      </w:pPr>
      <w:r>
        <w:rPr>
          <w:rFonts w:eastAsia="KaiTi_GB2312" w:hint="eastAsia"/>
          <w:b/>
          <w:bCs/>
        </w:rPr>
        <w:t>理论上接受但实际上不接受名誉自卫</w:t>
      </w:r>
    </w:p>
    <w:p w:rsidR="00000000" w:rsidRDefault="004D2F83">
      <w:pPr>
        <w:spacing w:after="240" w:line="360" w:lineRule="exact"/>
        <w:rPr>
          <w:rFonts w:ascii="SimHei" w:eastAsia="SimHei" w:hint="eastAsia"/>
        </w:rPr>
      </w:pPr>
      <w:r>
        <w:rPr>
          <w:rFonts w:ascii="SimHei" w:eastAsia="SimHei" w:hint="eastAsia"/>
        </w:rPr>
        <w:t>案例</w:t>
      </w:r>
      <w:r>
        <w:rPr>
          <w:rFonts w:ascii="SimHei" w:eastAsia="SimHei" w:hint="eastAsia"/>
        </w:rPr>
        <w:t>3</w:t>
      </w:r>
      <w:r>
        <w:rPr>
          <w:rFonts w:ascii="SimHei" w:eastAsia="SimHei" w:hint="eastAsia"/>
        </w:rPr>
        <w:t>（上诉编号：</w:t>
      </w:r>
      <w:r>
        <w:rPr>
          <w:rFonts w:ascii="SimHei" w:eastAsia="SimHei" w:hint="eastAsia"/>
        </w:rPr>
        <w:t>75026</w:t>
      </w:r>
      <w:r>
        <w:rPr>
          <w:rFonts w:ascii="SimHei" w:eastAsia="SimHei"/>
        </w:rPr>
        <w:t>-</w:t>
      </w:r>
      <w:r>
        <w:rPr>
          <w:rFonts w:ascii="SimHei" w:eastAsia="SimHei" w:hint="eastAsia"/>
        </w:rPr>
        <w:t>3</w:t>
      </w:r>
      <w:r>
        <w:rPr>
          <w:rFonts w:ascii="SimHei" w:eastAsia="SimHei" w:hint="eastAsia"/>
        </w:rPr>
        <w:t>，</w:t>
      </w:r>
      <w:r>
        <w:rPr>
          <w:rFonts w:ascii="SimHei" w:eastAsia="SimHei" w:hint="eastAsia"/>
        </w:rPr>
        <w:t>1990</w:t>
      </w:r>
      <w:r>
        <w:rPr>
          <w:rFonts w:ascii="SimHei" w:eastAsia="SimHei" w:hint="eastAsia"/>
        </w:rPr>
        <w:t>年</w:t>
      </w:r>
      <w:r>
        <w:rPr>
          <w:rFonts w:ascii="SimHei" w:eastAsia="SimHei" w:hint="eastAsia"/>
        </w:rPr>
        <w:t>5</w:t>
      </w:r>
      <w:r>
        <w:rPr>
          <w:rFonts w:ascii="SimHei" w:eastAsia="SimHei" w:hint="eastAsia"/>
        </w:rPr>
        <w:t>月</w:t>
      </w:r>
      <w:r>
        <w:rPr>
          <w:rFonts w:ascii="SimHei" w:eastAsia="SimHei" w:hint="eastAsia"/>
        </w:rPr>
        <w:t>2</w:t>
      </w:r>
      <w:r>
        <w:rPr>
          <w:rFonts w:ascii="SimHei" w:eastAsia="SimHei" w:hint="eastAsia"/>
        </w:rPr>
        <w:t>日，圣保罗州上诉法庭）</w:t>
      </w:r>
    </w:p>
    <w:p w:rsidR="00000000" w:rsidRDefault="004D2F83" w:rsidP="004D2F83">
      <w:pPr>
        <w:spacing w:after="240" w:line="360" w:lineRule="exact"/>
        <w:ind w:firstLineChars="228" w:firstLine="31680"/>
        <w:rPr>
          <w:rFonts w:hint="eastAsia"/>
        </w:rPr>
      </w:pPr>
      <w:r>
        <w:rPr>
          <w:rFonts w:eastAsia="KaiTi_GB2312" w:hint="eastAsia"/>
          <w:b/>
          <w:bCs/>
        </w:rPr>
        <w:t>摘要：</w:t>
      </w:r>
      <w:r>
        <w:rPr>
          <w:rFonts w:hint="eastAsia"/>
        </w:rPr>
        <w:t>被告杀死了他的姘妇。陪审团接受了名誉自卫的抗辩并宣布被告无罪。不过，圣保罗州上诉法庭虽然承认这种罪责开脱在理论上可以接受，但由于现行犯杀死其姘妇不是在当场捉奸的情况下，决定名誉自卫不适用于本案。</w:t>
      </w:r>
    </w:p>
    <w:p w:rsidR="00000000" w:rsidRDefault="004D2F83" w:rsidP="004D2F83">
      <w:pPr>
        <w:spacing w:after="240" w:line="360" w:lineRule="exact"/>
        <w:ind w:firstLineChars="228" w:firstLine="31680"/>
        <w:rPr>
          <w:rFonts w:ascii="KaiTi_GB2312" w:eastAsia="KaiTi_GB2312" w:hint="eastAsia"/>
        </w:rPr>
      </w:pPr>
      <w:r>
        <w:rPr>
          <w:rFonts w:eastAsia="KaiTi_GB2312" w:hint="eastAsia"/>
          <w:b/>
          <w:bCs/>
        </w:rPr>
        <w:t>重要论据</w:t>
      </w:r>
      <w:r>
        <w:rPr>
          <w:rFonts w:eastAsia="KaiTi_GB2312" w:hint="eastAsia"/>
        </w:rPr>
        <w:t>：</w:t>
      </w:r>
      <w:r>
        <w:rPr>
          <w:rFonts w:ascii="KaiTi_GB2312" w:eastAsia="KaiTi_GB2312" w:hint="eastAsia"/>
        </w:rPr>
        <w:t>“在诸如本案的案件中，不能基于偏见而驳回名誉自卫的可能性。在有关</w:t>
      </w:r>
      <w:r>
        <w:rPr>
          <w:rFonts w:ascii="KaiTi_GB2312" w:eastAsia="KaiTi_GB2312" w:hint="eastAsia"/>
        </w:rPr>
        <w:t>此问题的判例中提出了反对意见</w:t>
      </w:r>
      <w:r>
        <w:rPr>
          <w:rFonts w:ascii="SimSun" w:hint="eastAsia"/>
        </w:rPr>
        <w:t>……</w:t>
      </w:r>
      <w:r>
        <w:rPr>
          <w:rFonts w:ascii="KaiTi_GB2312" w:eastAsia="KaiTi_GB2312" w:hint="eastAsia"/>
        </w:rPr>
        <w:t>”</w:t>
      </w:r>
      <w:r>
        <w:rPr>
          <w:rFonts w:ascii="KaiTi_GB2312" w:eastAsia="KaiTi_GB2312"/>
        </w:rPr>
        <w:t xml:space="preserve"> </w:t>
      </w:r>
      <w:r>
        <w:rPr>
          <w:rFonts w:ascii="KaiTi_GB2312" w:eastAsia="KaiTi_GB2312"/>
        </w:rPr>
        <w:t>“</w:t>
      </w:r>
      <w:r>
        <w:rPr>
          <w:rFonts w:ascii="KaiTi_GB2312" w:eastAsia="KaiTi_GB2312" w:hint="eastAsia"/>
        </w:rPr>
        <w:t>不可否认，法院的判决已经接受了受到侮辱的配偶杀死另一方配偶或其性伙伴是出于名誉自卫的论点。但是，通常这些判决针对的是：明目张胆地通奸</w:t>
      </w:r>
      <w:r>
        <w:rPr>
          <w:rFonts w:ascii="KaiTi_GB2312" w:eastAsia="KaiTi_GB2312"/>
        </w:rPr>
        <w:t>”</w:t>
      </w:r>
      <w:r>
        <w:rPr>
          <w:rFonts w:ascii="SimSun" w:hint="eastAsia"/>
        </w:rPr>
        <w:t>……</w:t>
      </w:r>
      <w:r>
        <w:rPr>
          <w:rFonts w:ascii="KaiTi_GB2312" w:eastAsia="KaiTi_GB2312" w:hint="eastAsia"/>
        </w:rPr>
        <w:t>在本案当中，这种憎恶不是直接导致的</w:t>
      </w:r>
      <w:r>
        <w:rPr>
          <w:rFonts w:ascii="SimSun" w:hint="eastAsia"/>
        </w:rPr>
        <w:t>……</w:t>
      </w:r>
      <w:r>
        <w:rPr>
          <w:rFonts w:ascii="SimSun" w:hAnsi="SimSun" w:hint="eastAsia"/>
        </w:rPr>
        <w:t>。</w:t>
      </w:r>
    </w:p>
    <w:p w:rsidR="00000000" w:rsidRDefault="004D2F83">
      <w:pPr>
        <w:spacing w:after="240" w:line="360" w:lineRule="exact"/>
        <w:rPr>
          <w:rFonts w:ascii="SimHei" w:eastAsia="SimHei" w:hint="eastAsia"/>
        </w:rPr>
      </w:pPr>
      <w:r>
        <w:rPr>
          <w:rFonts w:ascii="SimHei" w:eastAsia="SimHei" w:hint="eastAsia"/>
        </w:rPr>
        <w:t>案例</w:t>
      </w:r>
      <w:r>
        <w:rPr>
          <w:rFonts w:ascii="SimHei" w:eastAsia="SimHei" w:hint="eastAsia"/>
        </w:rPr>
        <w:t>4</w:t>
      </w:r>
      <w:r>
        <w:rPr>
          <w:rFonts w:ascii="SimHei" w:eastAsia="SimHei" w:hint="eastAsia"/>
        </w:rPr>
        <w:t>（上诉编号：</w:t>
      </w:r>
      <w:r>
        <w:rPr>
          <w:rFonts w:ascii="SimHei" w:eastAsia="SimHei" w:hint="eastAsia"/>
        </w:rPr>
        <w:t>11266</w:t>
      </w:r>
      <w:r>
        <w:rPr>
          <w:rFonts w:ascii="SimHei" w:eastAsia="SimHei" w:hint="eastAsia"/>
        </w:rPr>
        <w:t>，</w:t>
      </w:r>
      <w:r>
        <w:rPr>
          <w:rFonts w:ascii="SimHei" w:eastAsia="SimHei" w:hint="eastAsia"/>
        </w:rPr>
        <w:t>1988</w:t>
      </w:r>
      <w:r>
        <w:rPr>
          <w:rFonts w:ascii="SimHei" w:eastAsia="SimHei" w:hint="eastAsia"/>
        </w:rPr>
        <w:t>年</w:t>
      </w:r>
      <w:r>
        <w:rPr>
          <w:rFonts w:ascii="SimHei" w:eastAsia="SimHei" w:hint="eastAsia"/>
        </w:rPr>
        <w:t>3</w:t>
      </w:r>
      <w:r>
        <w:rPr>
          <w:rFonts w:ascii="SimHei" w:eastAsia="SimHei" w:hint="eastAsia"/>
        </w:rPr>
        <w:t>月</w:t>
      </w:r>
      <w:r>
        <w:rPr>
          <w:rFonts w:ascii="SimHei" w:eastAsia="SimHei" w:hint="eastAsia"/>
        </w:rPr>
        <w:t>2</w:t>
      </w:r>
      <w:r>
        <w:rPr>
          <w:rFonts w:ascii="SimHei" w:eastAsia="SimHei" w:hint="eastAsia"/>
        </w:rPr>
        <w:t>日，圣埃斯皮里图州上诉法庭）</w:t>
      </w:r>
    </w:p>
    <w:p w:rsidR="00000000" w:rsidRDefault="004D2F83" w:rsidP="004D2F83">
      <w:pPr>
        <w:spacing w:after="240" w:line="360" w:lineRule="exact"/>
        <w:ind w:firstLineChars="228" w:firstLine="31680"/>
        <w:rPr>
          <w:rFonts w:hint="eastAsia"/>
          <w:b/>
          <w:bCs/>
        </w:rPr>
      </w:pPr>
      <w:r>
        <w:rPr>
          <w:rFonts w:eastAsia="KaiTi_GB2312" w:hint="eastAsia"/>
          <w:b/>
          <w:bCs/>
        </w:rPr>
        <w:t>摘要：</w:t>
      </w:r>
      <w:r>
        <w:rPr>
          <w:rFonts w:hint="eastAsia"/>
        </w:rPr>
        <w:t>前情夫杀死了受害人，辩称其情妇不断说她要和其他人发生性关系，使他失去理智。陪审团接受了名誉自卫的抗辩。圣埃斯皮里图州上诉法庭不承认本案中的这种罪责开脱，决定复审。</w:t>
      </w:r>
    </w:p>
    <w:p w:rsidR="00000000" w:rsidRDefault="004D2F83" w:rsidP="004D2F83">
      <w:pPr>
        <w:spacing w:after="240" w:line="360" w:lineRule="exact"/>
        <w:ind w:firstLineChars="228" w:firstLine="31680"/>
        <w:rPr>
          <w:rFonts w:eastAsia="KaiTi_GB2312" w:hint="eastAsia"/>
        </w:rPr>
      </w:pPr>
      <w:r>
        <w:rPr>
          <w:rFonts w:eastAsia="KaiTi_GB2312" w:hint="eastAsia"/>
          <w:b/>
          <w:bCs/>
        </w:rPr>
        <w:t>重要论据</w:t>
      </w:r>
      <w:r>
        <w:rPr>
          <w:rFonts w:eastAsia="KaiTi_GB2312" w:hint="eastAsia"/>
        </w:rPr>
        <w:t>：“</w:t>
      </w:r>
      <w:r>
        <w:rPr>
          <w:rFonts w:ascii="SimSun" w:hint="eastAsia"/>
        </w:rPr>
        <w:t>……</w:t>
      </w:r>
      <w:r>
        <w:rPr>
          <w:rFonts w:eastAsia="KaiTi_GB2312" w:hint="eastAsia"/>
        </w:rPr>
        <w:t>鉴于被告不再与受害人</w:t>
      </w:r>
      <w:r>
        <w:rPr>
          <w:rFonts w:eastAsia="KaiTi_GB2312" w:hint="eastAsia"/>
          <w:b/>
          <w:bCs/>
        </w:rPr>
        <w:t>姘居</w:t>
      </w:r>
      <w:r>
        <w:rPr>
          <w:rFonts w:eastAsia="KaiTi_GB2312" w:hint="eastAsia"/>
        </w:rPr>
        <w:t>，而辩称</w:t>
      </w:r>
      <w:r>
        <w:rPr>
          <w:rFonts w:eastAsia="KaiTi_GB2312" w:hint="eastAsia"/>
        </w:rPr>
        <w:t>在失去理智的情况下将受害人残忍地刺死，因此，陪审团接受关于名誉自卫的抗辩的裁定显然与审判记录中包含的证据相互矛盾，所以抗辩不成立</w:t>
      </w:r>
      <w:r>
        <w:rPr>
          <w:rFonts w:ascii="SimSun" w:hint="eastAsia"/>
        </w:rPr>
        <w:t>……</w:t>
      </w:r>
      <w:r>
        <w:rPr>
          <w:rFonts w:eastAsia="KaiTi_GB2312" w:hint="eastAsia"/>
        </w:rPr>
        <w:t>”</w:t>
      </w:r>
    </w:p>
    <w:p w:rsidR="00000000" w:rsidRDefault="004D2F83">
      <w:pPr>
        <w:numPr>
          <w:ilvl w:val="0"/>
          <w:numId w:val="702"/>
        </w:numPr>
        <w:tabs>
          <w:tab w:val="clear" w:pos="840"/>
          <w:tab w:val="num" w:pos="480"/>
        </w:tabs>
        <w:spacing w:after="240" w:line="360" w:lineRule="exact"/>
        <w:ind w:left="480" w:hanging="480"/>
        <w:rPr>
          <w:rFonts w:eastAsia="KaiTi_GB2312" w:hint="eastAsia"/>
          <w:b/>
          <w:bCs/>
        </w:rPr>
      </w:pPr>
      <w:r>
        <w:rPr>
          <w:rFonts w:eastAsia="KaiTi_GB2312" w:hint="eastAsia"/>
          <w:b/>
          <w:bCs/>
        </w:rPr>
        <w:t>拒绝名誉自卫</w:t>
      </w:r>
    </w:p>
    <w:p w:rsidR="00000000" w:rsidRDefault="004D2F83">
      <w:pPr>
        <w:spacing w:after="240" w:line="360" w:lineRule="exact"/>
        <w:rPr>
          <w:rFonts w:ascii="SimHei" w:eastAsia="SimHei" w:hint="eastAsia"/>
        </w:rPr>
      </w:pPr>
      <w:r>
        <w:rPr>
          <w:rFonts w:ascii="SimHei" w:eastAsia="SimHei" w:hint="eastAsia"/>
        </w:rPr>
        <w:t>案例</w:t>
      </w:r>
      <w:r>
        <w:rPr>
          <w:rFonts w:ascii="SimHei" w:eastAsia="SimHei" w:hint="eastAsia"/>
        </w:rPr>
        <w:t>5</w:t>
      </w:r>
      <w:r>
        <w:rPr>
          <w:rFonts w:ascii="SimHei" w:eastAsia="SimHei" w:hint="eastAsia"/>
        </w:rPr>
        <w:t>（上诉编号：</w:t>
      </w:r>
      <w:r>
        <w:rPr>
          <w:rFonts w:ascii="SimHei" w:eastAsia="SimHei" w:hint="eastAsia"/>
        </w:rPr>
        <w:t>279/81</w:t>
      </w:r>
      <w:r>
        <w:rPr>
          <w:rFonts w:ascii="SimHei" w:eastAsia="SimHei" w:hint="eastAsia"/>
        </w:rPr>
        <w:t>，</w:t>
      </w:r>
      <w:r>
        <w:rPr>
          <w:rFonts w:ascii="SimHei" w:eastAsia="SimHei" w:hint="eastAsia"/>
        </w:rPr>
        <w:t>1989</w:t>
      </w:r>
      <w:r>
        <w:rPr>
          <w:rFonts w:ascii="SimHei" w:eastAsia="SimHei" w:hint="eastAsia"/>
        </w:rPr>
        <w:t>年</w:t>
      </w:r>
      <w:r>
        <w:rPr>
          <w:rFonts w:ascii="SimHei" w:eastAsia="SimHei" w:hint="eastAsia"/>
        </w:rPr>
        <w:t>10</w:t>
      </w:r>
      <w:r>
        <w:rPr>
          <w:rFonts w:ascii="SimHei" w:eastAsia="SimHei" w:hint="eastAsia"/>
        </w:rPr>
        <w:t>月</w:t>
      </w:r>
      <w:r>
        <w:rPr>
          <w:rFonts w:ascii="SimHei" w:eastAsia="SimHei" w:hint="eastAsia"/>
        </w:rPr>
        <w:t>11</w:t>
      </w:r>
      <w:r>
        <w:rPr>
          <w:rFonts w:ascii="SimHei" w:eastAsia="SimHei" w:hint="eastAsia"/>
        </w:rPr>
        <w:t>日，巴拉那州上诉法庭）</w:t>
      </w:r>
    </w:p>
    <w:p w:rsidR="00000000" w:rsidRDefault="004D2F83" w:rsidP="004D2F83">
      <w:pPr>
        <w:spacing w:after="240" w:line="360" w:lineRule="exact"/>
        <w:ind w:firstLineChars="228" w:firstLine="31680"/>
        <w:rPr>
          <w:rFonts w:hint="eastAsia"/>
          <w:b/>
          <w:bCs/>
        </w:rPr>
      </w:pPr>
      <w:r>
        <w:rPr>
          <w:rFonts w:eastAsia="KaiTi_GB2312" w:hint="eastAsia"/>
          <w:b/>
          <w:bCs/>
        </w:rPr>
        <w:t>摘要：</w:t>
      </w:r>
      <w:r>
        <w:rPr>
          <w:rFonts w:hint="eastAsia"/>
        </w:rPr>
        <w:t>被告由于怀疑其配偶不忠，开枪后又将其刺死。陪审团接受了被告方提出的名誉自卫的抗辩。由于缺乏具体、实际和危急的事件，巴拉那州上诉法庭认为无法接受本案中的抗辩，决定对上诉人进行复审。</w:t>
      </w:r>
    </w:p>
    <w:p w:rsidR="00000000" w:rsidRDefault="004D2F83" w:rsidP="004D2F83">
      <w:pPr>
        <w:spacing w:after="240" w:line="360" w:lineRule="exact"/>
        <w:ind w:firstLineChars="228" w:firstLine="31680"/>
        <w:rPr>
          <w:rFonts w:ascii="KaiTi_GB2312" w:eastAsia="KaiTi_GB2312" w:hint="eastAsia"/>
        </w:rPr>
      </w:pPr>
      <w:r>
        <w:rPr>
          <w:rFonts w:ascii="KaiTi_GB2312" w:eastAsia="KaiTi_GB2312" w:hint="eastAsia"/>
          <w:b/>
          <w:bCs/>
        </w:rPr>
        <w:t>重要论据</w:t>
      </w:r>
      <w:r>
        <w:rPr>
          <w:rFonts w:ascii="KaiTi_GB2312" w:eastAsia="KaiTi_GB2312" w:hint="eastAsia"/>
        </w:rPr>
        <w:t>：“为维护忠诚的义务，遭到背叛的配偶可以采取法律规定的方式，如在民事法庭提出离婚诉讼，在刑事</w:t>
      </w:r>
      <w:r>
        <w:rPr>
          <w:rFonts w:ascii="KaiTi_GB2312" w:eastAsia="KaiTi_GB2312" w:hint="eastAsia"/>
        </w:rPr>
        <w:t>法庭提出通奸罪诉讼。我们所面对的现实是，以暴力死亡来解决通奸，这种反应是《刑法》原则所不能接受的</w:t>
      </w:r>
      <w:r>
        <w:rPr>
          <w:rFonts w:ascii="SimSun" w:hint="eastAsia"/>
        </w:rPr>
        <w:t>……</w:t>
      </w:r>
      <w:r>
        <w:rPr>
          <w:rFonts w:ascii="KaiTi_GB2312" w:eastAsia="KaiTi_GB2312" w:hint="eastAsia"/>
        </w:rPr>
        <w:t>这个冲动的妻子、杀人犯如果愿意的话，可以根据《刑法典》第</w:t>
      </w:r>
      <w:r>
        <w:rPr>
          <w:rFonts w:ascii="KaiTi_GB2312" w:eastAsia="KaiTi_GB2312" w:hint="eastAsia"/>
        </w:rPr>
        <w:t>121</w:t>
      </w:r>
      <w:r>
        <w:rPr>
          <w:rFonts w:ascii="KaiTi_GB2312" w:eastAsia="KaiTi_GB2312" w:hint="eastAsia"/>
        </w:rPr>
        <w:t>条第</w:t>
      </w:r>
      <w:r>
        <w:rPr>
          <w:rFonts w:ascii="KaiTi_GB2312" w:eastAsia="KaiTi_GB2312" w:hint="eastAsia"/>
        </w:rPr>
        <w:t>1</w:t>
      </w:r>
      <w:r>
        <w:rPr>
          <w:rFonts w:ascii="KaiTi_GB2312" w:eastAsia="KaiTi_GB2312" w:hint="eastAsia"/>
        </w:rPr>
        <w:t>款的规定，而不是以自卫为由获得减刑。（</w:t>
      </w:r>
      <w:r>
        <w:rPr>
          <w:rFonts w:ascii="SimSun" w:hint="eastAsia"/>
        </w:rPr>
        <w:t>……</w:t>
      </w:r>
      <w:r>
        <w:rPr>
          <w:rFonts w:ascii="KaiTi_GB2312" w:eastAsia="KaiTi_GB2312" w:hint="eastAsia"/>
        </w:rPr>
        <w:t>）”</w:t>
      </w:r>
    </w:p>
    <w:p w:rsidR="00000000" w:rsidRDefault="004D2F83">
      <w:pPr>
        <w:spacing w:after="240" w:line="360" w:lineRule="exact"/>
        <w:rPr>
          <w:rFonts w:ascii="SimHei" w:eastAsia="SimHei" w:hint="eastAsia"/>
        </w:rPr>
      </w:pPr>
      <w:r>
        <w:rPr>
          <w:rFonts w:ascii="SimHei" w:eastAsia="SimHei" w:hint="eastAsia"/>
        </w:rPr>
        <w:t>案例</w:t>
      </w:r>
      <w:r>
        <w:rPr>
          <w:rFonts w:ascii="SimHei" w:eastAsia="SimHei" w:hint="eastAsia"/>
        </w:rPr>
        <w:t>6</w:t>
      </w:r>
      <w:r>
        <w:rPr>
          <w:rFonts w:ascii="SimHei" w:eastAsia="SimHei" w:hint="eastAsia"/>
        </w:rPr>
        <w:t>（上诉编号：</w:t>
      </w:r>
      <w:r>
        <w:rPr>
          <w:rFonts w:ascii="SimHei" w:eastAsia="SimHei" w:hint="eastAsia"/>
        </w:rPr>
        <w:t>73</w:t>
      </w:r>
      <w:r>
        <w:rPr>
          <w:rFonts w:ascii="SimHei" w:eastAsia="SimHei"/>
        </w:rPr>
        <w:t>966-3</w:t>
      </w:r>
      <w:r>
        <w:rPr>
          <w:rFonts w:ascii="SimHei" w:eastAsia="SimHei" w:hint="eastAsia"/>
        </w:rPr>
        <w:t>，</w:t>
      </w:r>
      <w:r>
        <w:rPr>
          <w:rFonts w:ascii="SimHei" w:eastAsia="SimHei" w:hint="eastAsia"/>
        </w:rPr>
        <w:t>199</w:t>
      </w:r>
      <w:r>
        <w:rPr>
          <w:rFonts w:ascii="SimHei" w:eastAsia="SimHei"/>
        </w:rPr>
        <w:t>0</w:t>
      </w:r>
      <w:r>
        <w:rPr>
          <w:rFonts w:ascii="SimHei" w:eastAsia="SimHei" w:hint="eastAsia"/>
        </w:rPr>
        <w:t>年</w:t>
      </w:r>
      <w:r>
        <w:rPr>
          <w:rFonts w:ascii="SimHei" w:eastAsia="SimHei"/>
        </w:rPr>
        <w:t>3</w:t>
      </w:r>
      <w:r>
        <w:rPr>
          <w:rFonts w:ascii="SimHei" w:eastAsia="SimHei" w:hint="eastAsia"/>
        </w:rPr>
        <w:t>月</w:t>
      </w:r>
      <w:r>
        <w:rPr>
          <w:rFonts w:ascii="SimHei" w:eastAsia="SimHei"/>
        </w:rPr>
        <w:t>28</w:t>
      </w:r>
      <w:r>
        <w:rPr>
          <w:rFonts w:ascii="SimHei" w:eastAsia="SimHei" w:hint="eastAsia"/>
        </w:rPr>
        <w:t>日，圣保罗州上诉法庭）</w:t>
      </w:r>
    </w:p>
    <w:p w:rsidR="00000000" w:rsidRDefault="004D2F83" w:rsidP="004D2F83">
      <w:pPr>
        <w:spacing w:after="240" w:line="360" w:lineRule="exact"/>
        <w:ind w:firstLineChars="228" w:firstLine="31680"/>
        <w:rPr>
          <w:rFonts w:hint="eastAsia"/>
        </w:rPr>
      </w:pPr>
      <w:r>
        <w:rPr>
          <w:rFonts w:eastAsia="KaiTi_GB2312" w:hint="eastAsia"/>
          <w:b/>
          <w:bCs/>
        </w:rPr>
        <w:t>摘要：</w:t>
      </w:r>
      <w:r>
        <w:rPr>
          <w:rFonts w:hint="eastAsia"/>
        </w:rPr>
        <w:t>被告杀死了曾经和他短暂同居的情妇。被告从被害人的姐姐那里得知，她将和另外一个男人见面，被告失去理智，找到被害人所在的酒吧开枪将其打死。陪审团以名誉自卫为由宣布被告无罪。上诉法庭了解到这一判决与审判记录中包含的证据明</w:t>
      </w:r>
      <w:r>
        <w:rPr>
          <w:rFonts w:hint="eastAsia"/>
        </w:rPr>
        <w:t>显抵触，决定复审。</w:t>
      </w:r>
    </w:p>
    <w:p w:rsidR="00000000" w:rsidRDefault="004D2F83" w:rsidP="004D2F83">
      <w:pPr>
        <w:spacing w:after="240" w:line="360" w:lineRule="exact"/>
        <w:ind w:firstLineChars="228" w:firstLine="31680"/>
        <w:rPr>
          <w:rFonts w:ascii="KaiTi_GB2312" w:eastAsia="KaiTi_GB2312"/>
        </w:rPr>
      </w:pPr>
      <w:r>
        <w:rPr>
          <w:rFonts w:ascii="KaiTi_GB2312" w:eastAsia="KaiTi_GB2312" w:hint="eastAsia"/>
          <w:b/>
          <w:bCs/>
        </w:rPr>
        <w:t>重要论据</w:t>
      </w:r>
      <w:r>
        <w:rPr>
          <w:rFonts w:ascii="KaiTi_GB2312" w:eastAsia="KaiTi_GB2312" w:hint="eastAsia"/>
        </w:rPr>
        <w:t>：“理论和判例早已认定名誉具有一种极为私人的属性，不能从一个拥有这一属性的人身上转移到任何与他</w:t>
      </w:r>
      <w:r>
        <w:rPr>
          <w:rFonts w:ascii="KaiTi_GB2312" w:eastAsia="KaiTi_GB2312" w:hint="eastAsia"/>
        </w:rPr>
        <w:t>/</w:t>
      </w:r>
      <w:r>
        <w:rPr>
          <w:rFonts w:ascii="KaiTi_GB2312" w:eastAsia="KaiTi_GB2312" w:hint="eastAsia"/>
        </w:rPr>
        <w:t>她同居（不论是长期还是暂时）的人身上。这种观点在过去就已被承认，并在</w:t>
      </w:r>
      <w:r>
        <w:rPr>
          <w:rFonts w:ascii="KaiTi_GB2312" w:eastAsia="KaiTi_GB2312" w:hint="eastAsia"/>
        </w:rPr>
        <w:t>1988</w:t>
      </w:r>
      <w:r>
        <w:rPr>
          <w:rFonts w:ascii="KaiTi_GB2312" w:eastAsia="KaiTi_GB2312" w:hint="eastAsia"/>
        </w:rPr>
        <w:t>年《联邦宪法》实施以后更为人所接受。根据这一观点，在配偶之间的关系中，不容置疑，男子与妇女的权利和义务是平等的”。</w:t>
      </w:r>
    </w:p>
    <w:p w:rsidR="00000000" w:rsidRDefault="004D2F83">
      <w:pPr>
        <w:spacing w:after="240" w:line="360" w:lineRule="exact"/>
        <w:rPr>
          <w:rFonts w:ascii="SimHei" w:eastAsia="SimHei" w:hint="eastAsia"/>
        </w:rPr>
      </w:pPr>
      <w:r>
        <w:rPr>
          <w:rFonts w:ascii="SimHei" w:eastAsia="SimHei" w:hint="eastAsia"/>
        </w:rPr>
        <w:t>案例</w:t>
      </w:r>
      <w:r>
        <w:rPr>
          <w:rFonts w:ascii="SimHei" w:eastAsia="SimHei"/>
        </w:rPr>
        <w:t>7</w:t>
      </w:r>
      <w:r>
        <w:rPr>
          <w:rFonts w:ascii="SimHei" w:eastAsia="SimHei" w:hint="eastAsia"/>
        </w:rPr>
        <w:t>（上诉编号：</w:t>
      </w:r>
      <w:r>
        <w:rPr>
          <w:rFonts w:ascii="SimHei" w:eastAsia="SimHei"/>
        </w:rPr>
        <w:t>46.069-1</w:t>
      </w:r>
      <w:r>
        <w:rPr>
          <w:rFonts w:ascii="SimHei" w:eastAsia="SimHei" w:hint="eastAsia"/>
        </w:rPr>
        <w:t>，</w:t>
      </w:r>
      <w:r>
        <w:rPr>
          <w:rFonts w:ascii="SimHei" w:eastAsia="SimHei" w:hint="eastAsia"/>
        </w:rPr>
        <w:t>199</w:t>
      </w:r>
      <w:r>
        <w:rPr>
          <w:rFonts w:ascii="SimHei" w:eastAsia="SimHei"/>
        </w:rPr>
        <w:t>0</w:t>
      </w:r>
      <w:r>
        <w:rPr>
          <w:rFonts w:ascii="SimHei" w:eastAsia="SimHei" w:hint="eastAsia"/>
        </w:rPr>
        <w:t>年</w:t>
      </w:r>
      <w:r>
        <w:rPr>
          <w:rFonts w:ascii="SimHei" w:eastAsia="SimHei"/>
        </w:rPr>
        <w:t>11</w:t>
      </w:r>
      <w:r>
        <w:rPr>
          <w:rFonts w:ascii="SimHei" w:eastAsia="SimHei" w:hint="eastAsia"/>
        </w:rPr>
        <w:t>月</w:t>
      </w:r>
      <w:r>
        <w:rPr>
          <w:rFonts w:ascii="SimHei" w:eastAsia="SimHei"/>
        </w:rPr>
        <w:t>22</w:t>
      </w:r>
      <w:r>
        <w:rPr>
          <w:rFonts w:ascii="SimHei" w:eastAsia="SimHei" w:hint="eastAsia"/>
        </w:rPr>
        <w:t>日，联邦区高等军事法庭）</w:t>
      </w:r>
    </w:p>
    <w:p w:rsidR="00000000" w:rsidRDefault="004D2F83" w:rsidP="004D2F83">
      <w:pPr>
        <w:spacing w:after="240" w:line="360" w:lineRule="exact"/>
        <w:ind w:firstLineChars="228" w:firstLine="31680"/>
        <w:rPr>
          <w:rFonts w:hint="eastAsia"/>
          <w:b/>
          <w:bCs/>
        </w:rPr>
      </w:pPr>
      <w:r>
        <w:rPr>
          <w:rFonts w:eastAsia="KaiTi_GB2312" w:hint="eastAsia"/>
          <w:b/>
          <w:bCs/>
        </w:rPr>
        <w:t>摘要：</w:t>
      </w:r>
      <w:r>
        <w:rPr>
          <w:rFonts w:hint="eastAsia"/>
        </w:rPr>
        <w:t>一名士兵用武器杀死了他的妻子和一名同事，认为他们是情人。军事陪审团以杀人罪和使用武器为由判处被告</w:t>
      </w:r>
      <w:r>
        <w:rPr>
          <w:rFonts w:hint="eastAsia"/>
        </w:rPr>
        <w:t>15</w:t>
      </w:r>
      <w:r>
        <w:rPr>
          <w:rFonts w:hint="eastAsia"/>
        </w:rPr>
        <w:t>年徒刑。</w:t>
      </w:r>
      <w:r>
        <w:rPr>
          <w:rFonts w:hint="eastAsia"/>
        </w:rPr>
        <w:t>被告方和原告方均不服这一判决。联邦区高等军事法庭驳回被告方的上诉，接受了军事检察机关的上诉，判处被告</w:t>
      </w:r>
      <w:r>
        <w:rPr>
          <w:rFonts w:hint="eastAsia"/>
        </w:rPr>
        <w:t>25</w:t>
      </w:r>
      <w:r>
        <w:rPr>
          <w:rFonts w:hint="eastAsia"/>
        </w:rPr>
        <w:t>年的徒刑并驳回被告方提出的名誉自卫论点。</w:t>
      </w:r>
    </w:p>
    <w:p w:rsidR="00000000" w:rsidRDefault="004D2F83" w:rsidP="004D2F83">
      <w:pPr>
        <w:spacing w:after="240" w:line="360" w:lineRule="exact"/>
        <w:ind w:firstLineChars="228" w:firstLine="31680"/>
        <w:rPr>
          <w:rFonts w:eastAsia="KaiTi_GB2312" w:hint="eastAsia"/>
        </w:rPr>
      </w:pPr>
      <w:r>
        <w:rPr>
          <w:rFonts w:eastAsia="KaiTi_GB2312" w:hint="eastAsia"/>
          <w:b/>
          <w:bCs/>
        </w:rPr>
        <w:t>重要论据</w:t>
      </w:r>
      <w:r>
        <w:rPr>
          <w:rFonts w:eastAsia="KaiTi_GB2312" w:hint="eastAsia"/>
        </w:rPr>
        <w:t>：“</w:t>
      </w:r>
      <w:r>
        <w:rPr>
          <w:rFonts w:ascii="SimSun" w:hint="eastAsia"/>
        </w:rPr>
        <w:t>……</w:t>
      </w:r>
      <w:r>
        <w:rPr>
          <w:rFonts w:eastAsia="KaiTi_GB2312" w:hint="eastAsia"/>
        </w:rPr>
        <w:t>被告对于其妻死亡一事所作的抗辩称采取行动是为了名誉自卫，被告在与妻子争论时被称为‘乌龟’，一时感情冲动，将其杀死。被告遭受着极为严重的道德和社会创伤</w:t>
      </w:r>
      <w:r>
        <w:rPr>
          <w:rFonts w:ascii="SimSun" w:hint="eastAsia"/>
        </w:rPr>
        <w:t>……</w:t>
      </w:r>
      <w:r>
        <w:rPr>
          <w:rFonts w:eastAsia="KaiTi_GB2312" w:hint="eastAsia"/>
        </w:rPr>
        <w:t>（</w:t>
      </w:r>
      <w:r>
        <w:rPr>
          <w:rFonts w:ascii="SimSun" w:hint="eastAsia"/>
        </w:rPr>
        <w:t>……</w:t>
      </w:r>
      <w:r>
        <w:rPr>
          <w:rFonts w:eastAsia="KaiTi_GB2312" w:hint="eastAsia"/>
        </w:rPr>
        <w:t>）。原告方和被告方的见证人都没有对受害人的行为进行不利举证，甚至证明这对夫妻关系融洽</w:t>
      </w:r>
      <w:r>
        <w:rPr>
          <w:rFonts w:ascii="SimSun" w:hint="eastAsia"/>
        </w:rPr>
        <w:t>……</w:t>
      </w:r>
      <w:r>
        <w:rPr>
          <w:rFonts w:eastAsia="KaiTi_GB2312" w:hint="eastAsia"/>
        </w:rPr>
        <w:t>（</w:t>
      </w:r>
      <w:r>
        <w:rPr>
          <w:rFonts w:ascii="SimSun" w:hint="eastAsia"/>
        </w:rPr>
        <w:t>……</w:t>
      </w:r>
      <w:r>
        <w:rPr>
          <w:rFonts w:eastAsia="KaiTi_GB2312" w:hint="eastAsia"/>
        </w:rPr>
        <w:t>）这位著名的辩护律师辩称的名誉自卫论点没有包含在这些审判记录中，即使有，也不能排除该行为的非法性</w:t>
      </w:r>
      <w:r>
        <w:rPr>
          <w:rFonts w:ascii="SimSun" w:hint="eastAsia"/>
        </w:rPr>
        <w:t>…</w:t>
      </w:r>
      <w:r>
        <w:rPr>
          <w:rFonts w:ascii="SimSun" w:hint="eastAsia"/>
        </w:rPr>
        <w:t>…</w:t>
      </w:r>
      <w:r>
        <w:rPr>
          <w:rFonts w:eastAsia="KaiTi_GB2312" w:hint="eastAsia"/>
        </w:rPr>
        <w:t>”</w:t>
      </w:r>
    </w:p>
    <w:p w:rsidR="00000000" w:rsidRDefault="004D2F83">
      <w:pPr>
        <w:spacing w:after="240" w:line="360" w:lineRule="exact"/>
        <w:rPr>
          <w:rFonts w:ascii="SimHei" w:eastAsia="SimHei" w:hint="eastAsia"/>
        </w:rPr>
      </w:pPr>
      <w:r>
        <w:rPr>
          <w:rFonts w:ascii="SimHei" w:eastAsia="SimHei" w:hint="eastAsia"/>
        </w:rPr>
        <w:t>案例</w:t>
      </w:r>
      <w:r>
        <w:rPr>
          <w:rFonts w:ascii="SimHei" w:eastAsia="SimHei" w:hint="eastAsia"/>
        </w:rPr>
        <w:t>8</w:t>
      </w:r>
      <w:r>
        <w:rPr>
          <w:rFonts w:ascii="SimHei" w:eastAsia="SimHei" w:hint="eastAsia"/>
        </w:rPr>
        <w:t>（特别上诉编号：</w:t>
      </w:r>
      <w:r>
        <w:rPr>
          <w:rFonts w:ascii="SimHei" w:eastAsia="SimHei"/>
        </w:rPr>
        <w:t>1 517</w:t>
      </w:r>
      <w:r>
        <w:rPr>
          <w:rFonts w:ascii="SimHei" w:eastAsia="SimHei" w:hint="eastAsia"/>
        </w:rPr>
        <w:t>，</w:t>
      </w:r>
      <w:r>
        <w:rPr>
          <w:rFonts w:ascii="SimHei" w:eastAsia="SimHei" w:hint="eastAsia"/>
        </w:rPr>
        <w:t>1991</w:t>
      </w:r>
      <w:r>
        <w:rPr>
          <w:rFonts w:ascii="SimHei" w:eastAsia="SimHei" w:hint="eastAsia"/>
        </w:rPr>
        <w:t>年</w:t>
      </w:r>
      <w:r>
        <w:rPr>
          <w:rFonts w:ascii="SimHei" w:eastAsia="SimHei" w:hint="eastAsia"/>
        </w:rPr>
        <w:t>3</w:t>
      </w:r>
      <w:r>
        <w:rPr>
          <w:rFonts w:ascii="SimHei" w:eastAsia="SimHei" w:hint="eastAsia"/>
        </w:rPr>
        <w:t>月</w:t>
      </w:r>
      <w:r>
        <w:rPr>
          <w:rFonts w:ascii="SimHei" w:eastAsia="SimHei" w:hint="eastAsia"/>
        </w:rPr>
        <w:t>11</w:t>
      </w:r>
      <w:r>
        <w:rPr>
          <w:rFonts w:ascii="SimHei" w:eastAsia="SimHei" w:hint="eastAsia"/>
        </w:rPr>
        <w:t>日，高等法院）</w:t>
      </w:r>
    </w:p>
    <w:p w:rsidR="00000000" w:rsidRDefault="004D2F83" w:rsidP="004D2F83">
      <w:pPr>
        <w:spacing w:after="240" w:line="360" w:lineRule="exact"/>
        <w:ind w:firstLineChars="228" w:firstLine="31680"/>
        <w:rPr>
          <w:rFonts w:hint="eastAsia"/>
          <w:b/>
          <w:bCs/>
        </w:rPr>
      </w:pPr>
      <w:r>
        <w:rPr>
          <w:rFonts w:eastAsia="KaiTi_GB2312" w:hint="eastAsia"/>
          <w:b/>
          <w:bCs/>
        </w:rPr>
        <w:t>摘要：</w:t>
      </w:r>
      <w:r>
        <w:rPr>
          <w:rFonts w:hint="eastAsia"/>
        </w:rPr>
        <w:t>丈夫在当场捉到妻子通奸后将两人杀死。陪审团接受名誉自卫的抗辩，宣判被告无罪。巴拉那州上诉法庭确认了阿普卡拉纳镇陪审团的判决；但是，总检察长办公室提出特别上诉，高等法院驳回与审判记录中包含的证据明显抵触的名誉自卫的论点，并决定复审。（本案件的结果：陪审团再次以名誉自卫为由，宣判被告无罪。）</w:t>
      </w:r>
    </w:p>
    <w:p w:rsidR="00000000" w:rsidRDefault="004D2F83" w:rsidP="004D2F83">
      <w:pPr>
        <w:spacing w:after="240" w:line="360" w:lineRule="exact"/>
        <w:ind w:firstLineChars="228" w:firstLine="31680"/>
        <w:rPr>
          <w:rFonts w:ascii="KaiTi_GB2312" w:eastAsia="KaiTi_GB2312"/>
        </w:rPr>
      </w:pPr>
      <w:r>
        <w:rPr>
          <w:rFonts w:ascii="KaiTi_GB2312" w:eastAsia="KaiTi_GB2312" w:hint="eastAsia"/>
          <w:b/>
          <w:bCs/>
        </w:rPr>
        <w:t>重要论据</w:t>
      </w:r>
      <w:r>
        <w:rPr>
          <w:rFonts w:ascii="KaiTi_GB2312" w:eastAsia="KaiTi_GB2312" w:hint="eastAsia"/>
        </w:rPr>
        <w:t>：“</w:t>
      </w:r>
      <w:r>
        <w:rPr>
          <w:rFonts w:ascii="SimSun" w:hint="eastAsia"/>
        </w:rPr>
        <w:t>……</w:t>
      </w:r>
      <w:r>
        <w:rPr>
          <w:rFonts w:ascii="KaiTi_GB2312" w:eastAsia="KaiTi_GB2312" w:hint="eastAsia"/>
        </w:rPr>
        <w:t>正如《刑法典》第</w:t>
      </w:r>
      <w:r>
        <w:rPr>
          <w:rFonts w:ascii="KaiTi_GB2312" w:eastAsia="KaiTi_GB2312" w:hint="eastAsia"/>
        </w:rPr>
        <w:t>25</w:t>
      </w:r>
      <w:r>
        <w:rPr>
          <w:rFonts w:ascii="KaiTi_GB2312" w:eastAsia="KaiTi_GB2312" w:hint="eastAsia"/>
        </w:rPr>
        <w:t>条具体规定的那样，关于名誉自卫有不可变更的规则，只有当行为人</w:t>
      </w:r>
      <w:r>
        <w:rPr>
          <w:rFonts w:ascii="KaiTi_GB2312" w:eastAsia="KaiTi_GB2312"/>
        </w:rPr>
        <w:t>‘</w:t>
      </w:r>
      <w:r>
        <w:rPr>
          <w:rFonts w:ascii="KaiTi_GB2312" w:eastAsia="KaiTi_GB2312" w:hint="eastAsia"/>
        </w:rPr>
        <w:t>适当使用必要手段反抗对其本人或对第三方不公平</w:t>
      </w:r>
      <w:r>
        <w:rPr>
          <w:rFonts w:ascii="KaiTi_GB2312" w:eastAsia="KaiTi_GB2312" w:hint="eastAsia"/>
        </w:rPr>
        <w:t>的、实际或逼近的伤害时</w:t>
      </w:r>
      <w:r>
        <w:rPr>
          <w:rFonts w:ascii="KaiTi_GB2312" w:eastAsia="KaiTi_GB2312"/>
        </w:rPr>
        <w:t>’</w:t>
      </w:r>
      <w:r>
        <w:rPr>
          <w:rFonts w:ascii="KaiTi_GB2312" w:eastAsia="KaiTi_GB2312" w:hint="eastAsia"/>
        </w:rPr>
        <w:t>才被接受。审判记录中包含的假定永远也不会认可这种反应：当某人认为他的名誉受到伤害时，不是采取分居或离婚等民事行为，而是选择以完全应该受到谴责的行为方式将妻子或其性伙伴或者两人全部杀死，因为正是这个女人的通奸行为没有能够保全她自己的名誉（</w:t>
      </w:r>
      <w:r>
        <w:rPr>
          <w:rFonts w:ascii="SimSun" w:hint="eastAsia"/>
        </w:rPr>
        <w:t>……</w:t>
      </w:r>
      <w:r>
        <w:rPr>
          <w:rFonts w:ascii="KaiTi_GB2312" w:eastAsia="KaiTi_GB2312" w:hint="eastAsia"/>
        </w:rPr>
        <w:t>）。在巴西，如果我们想根据审判记录中包含的假定为丈夫的行为开释，我们不会求助于习惯法，原因就是身为普通群众的陪审员已经做出这样的判决。在规定自卫时，实在法就限制了它的使用，因为它不是灵活到涉及任何罪行的。（</w:t>
      </w:r>
      <w:r>
        <w:rPr>
          <w:rFonts w:ascii="SimSun" w:hint="eastAsia"/>
        </w:rPr>
        <w:t>……</w:t>
      </w:r>
      <w:r>
        <w:rPr>
          <w:rFonts w:ascii="KaiTi_GB2312" w:eastAsia="KaiTi_GB2312" w:hint="eastAsia"/>
        </w:rPr>
        <w:t>）</w:t>
      </w:r>
      <w:r>
        <w:rPr>
          <w:rFonts w:ascii="SimSun" w:hint="eastAsia"/>
        </w:rPr>
        <w:t>……</w:t>
      </w:r>
      <w:r>
        <w:rPr>
          <w:rFonts w:ascii="KaiTi_GB2312" w:eastAsia="KaiTi_GB2312"/>
        </w:rPr>
        <w:t>Magalhaes Noronh</w:t>
      </w:r>
      <w:r>
        <w:rPr>
          <w:rFonts w:ascii="KaiTi_GB2312" w:eastAsia="KaiTi_GB2312"/>
        </w:rPr>
        <w:t xml:space="preserve">a, </w:t>
      </w:r>
      <w:r>
        <w:rPr>
          <w:rFonts w:ascii="KaiTi_GB2312" w:eastAsia="KaiTi_GB2312" w:hint="eastAsia"/>
        </w:rPr>
        <w:t>引用</w:t>
      </w:r>
      <w:r>
        <w:rPr>
          <w:rFonts w:ascii="KaiTi_GB2312" w:eastAsia="KaiTi_GB2312"/>
        </w:rPr>
        <w:t>Leon Rabinovicz</w:t>
      </w:r>
      <w:r>
        <w:rPr>
          <w:rFonts w:ascii="KaiTi_GB2312" w:eastAsia="KaiTi_GB2312" w:hint="eastAsia"/>
        </w:rPr>
        <w:t>的话说：‘受到伤害的是男人的自尊’</w:t>
      </w:r>
      <w:r>
        <w:rPr>
          <w:rFonts w:ascii="SimSun" w:hint="eastAsia"/>
        </w:rPr>
        <w:t xml:space="preserve"> </w:t>
      </w:r>
      <w:r>
        <w:rPr>
          <w:rFonts w:ascii="SimSun" w:hint="eastAsia"/>
        </w:rPr>
        <w:t>……</w:t>
      </w:r>
      <w:r>
        <w:rPr>
          <w:rFonts w:ascii="KaiTi_GB2312" w:eastAsia="KaiTi_GB2312" w:hint="eastAsia"/>
        </w:rPr>
        <w:t>（</w:t>
      </w:r>
      <w:r>
        <w:rPr>
          <w:rFonts w:ascii="SimSun" w:hint="eastAsia"/>
        </w:rPr>
        <w:t>……</w:t>
      </w:r>
      <w:r>
        <w:rPr>
          <w:rFonts w:ascii="KaiTi_GB2312" w:eastAsia="KaiTi_GB2312" w:hint="eastAsia"/>
        </w:rPr>
        <w:t>）在一些外国作者中，特别值得一提的是</w:t>
      </w:r>
      <w:r>
        <w:rPr>
          <w:rFonts w:ascii="KaiTi_GB2312" w:eastAsia="KaiTi_GB2312"/>
        </w:rPr>
        <w:t>Jimenez de As</w:t>
      </w:r>
      <w:r>
        <w:rPr>
          <w:rFonts w:ascii="KaiTi_GB2312" w:eastAsia="KaiTi_GB2312"/>
        </w:rPr>
        <w:t>ú</w:t>
      </w:r>
      <w:r>
        <w:rPr>
          <w:rFonts w:ascii="KaiTi_GB2312" w:eastAsia="KaiTi_GB2312"/>
        </w:rPr>
        <w:t>a</w:t>
      </w:r>
      <w:r>
        <w:rPr>
          <w:rFonts w:ascii="SimSun" w:hint="eastAsia"/>
        </w:rPr>
        <w:t>……</w:t>
      </w:r>
      <w:r>
        <w:rPr>
          <w:rFonts w:ascii="KaiTi_GB2312" w:eastAsia="KaiTi_GB2312" w:hint="eastAsia"/>
        </w:rPr>
        <w:t>他说：</w:t>
      </w:r>
      <w:r>
        <w:rPr>
          <w:rFonts w:ascii="KaiTi_GB2312" w:eastAsia="KaiTi_GB2312"/>
        </w:rPr>
        <w:t>‘</w:t>
      </w:r>
      <w:r>
        <w:rPr>
          <w:rFonts w:ascii="KaiTi_GB2312" w:eastAsia="KaiTi_GB2312" w:hint="eastAsia"/>
        </w:rPr>
        <w:t>夫妻间不存在这种名誉。名誉是个人性的，是固有的。男子作出这种反应是一般规律</w:t>
      </w:r>
      <w:r>
        <w:rPr>
          <w:rFonts w:ascii="SimHei" w:eastAsia="SimHei" w:hint="eastAsia"/>
        </w:rPr>
        <w:t>——</w:t>
      </w:r>
      <w:r>
        <w:rPr>
          <w:rFonts w:ascii="KaiTi_GB2312" w:eastAsia="KaiTi_GB2312" w:hint="eastAsia"/>
        </w:rPr>
        <w:t>许多男子在精神暂时失常时往往把他的女人杀死。因为没有别的办法能维持一种虚假的信任</w:t>
      </w:r>
      <w:r>
        <w:rPr>
          <w:rFonts w:ascii="SimHei" w:eastAsia="SimHei" w:hint="eastAsia"/>
        </w:rPr>
        <w:t>——</w:t>
      </w:r>
      <w:r>
        <w:rPr>
          <w:rFonts w:ascii="KaiTi_GB2312" w:eastAsia="KaiTi_GB2312" w:hint="eastAsia"/>
        </w:rPr>
        <w:t>由于极度的妒忌，许多男子会干出这种事来，但决不能讲他们是出于自卫。</w:t>
      </w:r>
      <w:r>
        <w:rPr>
          <w:rFonts w:ascii="KaiTi_GB2312" w:eastAsia="KaiTi_GB2312"/>
        </w:rPr>
        <w:t>’</w:t>
      </w:r>
      <w:r>
        <w:rPr>
          <w:rFonts w:ascii="KaiTi_GB2312" w:eastAsia="KaiTi_GB2312" w:hint="eastAsia"/>
        </w:rPr>
        <w:t>”</w:t>
      </w:r>
    </w:p>
    <w:p w:rsidR="00000000" w:rsidRDefault="004D2F83" w:rsidP="004D2F83">
      <w:pPr>
        <w:spacing w:after="240" w:line="360" w:lineRule="exact"/>
        <w:ind w:firstLineChars="228" w:firstLine="31680"/>
        <w:rPr>
          <w:rFonts w:ascii="KaiTi_GB2312" w:eastAsia="KaiTi_GB2312" w:hint="eastAsia"/>
        </w:rPr>
      </w:pPr>
      <w:r>
        <w:rPr>
          <w:rFonts w:ascii="SimSun" w:hint="eastAsia"/>
        </w:rPr>
        <w:t>……</w:t>
      </w:r>
      <w:r>
        <w:rPr>
          <w:rFonts w:ascii="KaiTi_GB2312" w:eastAsia="KaiTi_GB2312" w:hint="eastAsia"/>
        </w:rPr>
        <w:t>这里我们所说的是一种特权形式</w:t>
      </w:r>
      <w:r>
        <w:rPr>
          <w:rFonts w:ascii="SimSun" w:hint="eastAsia"/>
        </w:rPr>
        <w:t>……</w:t>
      </w:r>
    </w:p>
    <w:p w:rsidR="00000000" w:rsidRDefault="004D2F83" w:rsidP="004D2F83">
      <w:pPr>
        <w:spacing w:after="240" w:line="360" w:lineRule="exact"/>
        <w:ind w:firstLineChars="228" w:firstLine="31680"/>
        <w:rPr>
          <w:rFonts w:ascii="KaiTi_GB2312" w:eastAsia="KaiTi_GB2312" w:hint="eastAsia"/>
        </w:rPr>
      </w:pPr>
      <w:r>
        <w:rPr>
          <w:rFonts w:ascii="KaiTi_GB2312" w:eastAsia="KaiTi_GB2312" w:hint="eastAsia"/>
        </w:rPr>
        <w:t>反对票：“法治需要在一个文化基础上进行解释。从教条的角度讲，确实需要遵守一贯</w:t>
      </w:r>
      <w:r>
        <w:rPr>
          <w:rFonts w:ascii="KaiTi_GB2312" w:eastAsia="KaiTi_GB2312" w:hint="eastAsia"/>
        </w:rPr>
        <w:t>性的原则。不过，犯罪所涉及的价值观念问题也不能忽视</w:t>
      </w:r>
      <w:r>
        <w:rPr>
          <w:rFonts w:ascii="SimSun" w:hint="eastAsia"/>
        </w:rPr>
        <w:t>……</w:t>
      </w:r>
      <w:r>
        <w:rPr>
          <w:rFonts w:ascii="KaiTi_GB2312" w:eastAsia="KaiTi_GB2312" w:hint="eastAsia"/>
        </w:rPr>
        <w:t>有些作者、甚至有些司法判决也认为，如果一个拥有名誉的人在危急时刻为了终止对名誉的侵犯而进行反击，是可以接受名誉自卫的论点的。婚姻意味着双方的义务。从夫妻的角度讲，他们中的一个人是忠诚的</w:t>
      </w:r>
      <w:r>
        <w:rPr>
          <w:rFonts w:ascii="SimSun" w:hint="eastAsia"/>
        </w:rPr>
        <w:t>……</w:t>
      </w:r>
      <w:r>
        <w:rPr>
          <w:rFonts w:ascii="KaiTi_GB2312" w:eastAsia="KaiTi_GB2312" w:hint="eastAsia"/>
        </w:rPr>
        <w:t>（</w:t>
      </w:r>
      <w:r>
        <w:rPr>
          <w:rFonts w:ascii="SimSun" w:hint="eastAsia"/>
        </w:rPr>
        <w:t>……</w:t>
      </w:r>
      <w:r>
        <w:rPr>
          <w:rFonts w:ascii="KaiTi_GB2312" w:eastAsia="KaiTi_GB2312" w:hint="eastAsia"/>
        </w:rPr>
        <w:t>）法官更多遵循的是律所规定的、教条的内容，而陪审员因为是非专业人员，不一定是法律专家，他们做出判决根据的则是生活惯例、文化准则和特定历史时期的要求。法官是使人适应法律，而陪审员则是使法律适应人。（</w:t>
      </w:r>
      <w:r>
        <w:rPr>
          <w:rFonts w:ascii="SimSun" w:hint="eastAsia"/>
        </w:rPr>
        <w:t>……</w:t>
      </w:r>
      <w:r>
        <w:rPr>
          <w:rFonts w:ascii="KaiTi_GB2312" w:eastAsia="KaiTi_GB2312" w:hint="eastAsia"/>
        </w:rPr>
        <w:t>）</w:t>
      </w:r>
      <w:r>
        <w:rPr>
          <w:rFonts w:ascii="SimSun" w:hint="eastAsia"/>
        </w:rPr>
        <w:t>……</w:t>
      </w:r>
      <w:r>
        <w:rPr>
          <w:rFonts w:ascii="KaiTi_GB2312" w:eastAsia="KaiTi_GB2312" w:hint="eastAsia"/>
        </w:rPr>
        <w:t>文化方面的内容应该根据情况发生的地点来解释。如果这个地方的</w:t>
      </w:r>
      <w:r>
        <w:rPr>
          <w:rFonts w:ascii="KaiTi_GB2312" w:eastAsia="KaiTi_GB2312" w:hint="eastAsia"/>
        </w:rPr>
        <w:t>人们认为名誉受到如此玷污的丈夫可以或有权做出暴力、极端的反应</w:t>
      </w:r>
      <w:r>
        <w:rPr>
          <w:rFonts w:ascii="SimHei" w:eastAsia="SimHei" w:hint="eastAsia"/>
        </w:rPr>
        <w:t>——</w:t>
      </w:r>
      <w:r>
        <w:rPr>
          <w:rFonts w:ascii="KaiTi_GB2312" w:eastAsia="KaiTi_GB2312" w:hint="eastAsia"/>
        </w:rPr>
        <w:t>我本人反对这种观点</w:t>
      </w:r>
      <w:r>
        <w:rPr>
          <w:rFonts w:ascii="SimHei" w:eastAsia="SimHei" w:hint="eastAsia"/>
        </w:rPr>
        <w:t>——</w:t>
      </w:r>
      <w:r>
        <w:rPr>
          <w:rFonts w:ascii="KaiTi_GB2312" w:eastAsia="KaiTi_GB2312" w:hint="eastAsia"/>
        </w:rPr>
        <w:t>这也就是陪审团的理解。（</w:t>
      </w:r>
      <w:r>
        <w:rPr>
          <w:rFonts w:ascii="SimSun" w:hint="eastAsia"/>
        </w:rPr>
        <w:t>……</w:t>
      </w:r>
      <w:r>
        <w:rPr>
          <w:rFonts w:ascii="KaiTi_GB2312" w:eastAsia="KaiTi_GB2312" w:hint="eastAsia"/>
        </w:rPr>
        <w:t>）我们不能说是陪审团的错误，只能说是审错了案件。这表现了巴西文化的一种特征。（</w:t>
      </w:r>
      <w:r>
        <w:rPr>
          <w:rFonts w:ascii="SimSun" w:hint="eastAsia"/>
        </w:rPr>
        <w:t>……</w:t>
      </w:r>
      <w:r>
        <w:rPr>
          <w:rFonts w:ascii="KaiTi_GB2312" w:eastAsia="KaiTi_GB2312" w:hint="eastAsia"/>
        </w:rPr>
        <w:t>）对法律的解释在巴西是有争议的。虽然阁下（报告员）和许多其他人都认为只能根据条文进行正式解释，但还有其他人</w:t>
      </w:r>
      <w:r>
        <w:rPr>
          <w:rFonts w:ascii="SimHei" w:eastAsia="SimHei" w:hint="eastAsia"/>
        </w:rPr>
        <w:t>——</w:t>
      </w:r>
      <w:r>
        <w:rPr>
          <w:rFonts w:ascii="KaiTi_GB2312" w:eastAsia="KaiTi_GB2312" w:hint="eastAsia"/>
        </w:rPr>
        <w:t>陪审员，他们试图从</w:t>
      </w:r>
      <w:r>
        <w:rPr>
          <w:rFonts w:ascii="KaiTi_GB2312" w:eastAsia="KaiTi_GB2312"/>
        </w:rPr>
        <w:t>实质正义</w:t>
      </w:r>
      <w:r>
        <w:rPr>
          <w:rFonts w:ascii="KaiTi_GB2312" w:eastAsia="KaiTi_GB2312" w:hint="eastAsia"/>
        </w:rPr>
        <w:t>的角度来解释这一案件。根据第</w:t>
      </w:r>
      <w:r>
        <w:rPr>
          <w:rFonts w:ascii="KaiTi_GB2312" w:eastAsia="KaiTi_GB2312" w:hint="eastAsia"/>
        </w:rPr>
        <w:t>25</w:t>
      </w:r>
      <w:r>
        <w:rPr>
          <w:rFonts w:ascii="KaiTi_GB2312" w:eastAsia="KaiTi_GB2312" w:hint="eastAsia"/>
        </w:rPr>
        <w:t>条，这一适度的反应甚至包含在</w:t>
      </w:r>
      <w:r>
        <w:rPr>
          <w:rFonts w:ascii="KaiTi_GB2312" w:eastAsia="KaiTi_GB2312" w:hint="eastAsia"/>
        </w:rPr>
        <w:t>1940</w:t>
      </w:r>
      <w:r>
        <w:rPr>
          <w:rFonts w:ascii="KaiTi_GB2312" w:eastAsia="KaiTi_GB2312" w:hint="eastAsia"/>
        </w:rPr>
        <w:t>年的序言中。它没有经过精确的衡量，而是根据行动与反应的原则做出分析”。</w:t>
      </w:r>
    </w:p>
    <w:p w:rsidR="00000000" w:rsidRDefault="004D2F83" w:rsidP="004D2F83">
      <w:pPr>
        <w:spacing w:after="240" w:line="360" w:lineRule="exact"/>
        <w:ind w:firstLineChars="228" w:firstLine="31680"/>
        <w:rPr>
          <w:rFonts w:hint="eastAsia"/>
        </w:rPr>
      </w:pPr>
      <w:r>
        <w:rPr>
          <w:rFonts w:hint="eastAsia"/>
        </w:rPr>
        <w:t>（……）</w:t>
      </w:r>
    </w:p>
    <w:p w:rsidR="00000000" w:rsidRDefault="004D2F83">
      <w:pPr>
        <w:spacing w:after="240" w:line="360" w:lineRule="exact"/>
        <w:rPr>
          <w:rFonts w:ascii="SimHei" w:eastAsia="SimHei" w:hint="eastAsia"/>
        </w:rPr>
      </w:pPr>
      <w:r>
        <w:rPr>
          <w:rFonts w:ascii="SimHei" w:eastAsia="SimHei" w:hint="eastAsia"/>
        </w:rPr>
        <w:t>案例</w:t>
      </w:r>
      <w:r>
        <w:rPr>
          <w:rFonts w:ascii="SimHei" w:eastAsia="SimHei" w:hint="eastAsia"/>
        </w:rPr>
        <w:t>12</w:t>
      </w:r>
      <w:r>
        <w:rPr>
          <w:rFonts w:ascii="SimHei" w:eastAsia="SimHei" w:hint="eastAsia"/>
        </w:rPr>
        <w:t>（上诉编号：</w:t>
      </w:r>
      <w:r>
        <w:rPr>
          <w:rFonts w:ascii="SimHei" w:eastAsia="SimHei" w:hint="eastAsia"/>
        </w:rPr>
        <w:t>9</w:t>
      </w:r>
      <w:r>
        <w:rPr>
          <w:rFonts w:ascii="SimHei" w:eastAsia="SimHei"/>
        </w:rPr>
        <w:t>.</w:t>
      </w:r>
      <w:r>
        <w:rPr>
          <w:rFonts w:ascii="SimHei" w:eastAsia="SimHei" w:hint="eastAsia"/>
        </w:rPr>
        <w:t>029</w:t>
      </w:r>
      <w:r>
        <w:rPr>
          <w:rFonts w:ascii="SimHei" w:eastAsia="SimHei" w:hint="eastAsia"/>
        </w:rPr>
        <w:t>-1</w:t>
      </w:r>
      <w:r>
        <w:rPr>
          <w:rFonts w:ascii="SimHei" w:eastAsia="SimHei" w:hint="eastAsia"/>
        </w:rPr>
        <w:t>，</w:t>
      </w:r>
      <w:r>
        <w:rPr>
          <w:rFonts w:ascii="SimHei" w:eastAsia="SimHei" w:hint="eastAsia"/>
        </w:rPr>
        <w:t>1994</w:t>
      </w:r>
      <w:r>
        <w:rPr>
          <w:rFonts w:ascii="SimHei" w:eastAsia="SimHei" w:hint="eastAsia"/>
        </w:rPr>
        <w:t>年</w:t>
      </w:r>
      <w:r>
        <w:rPr>
          <w:rFonts w:ascii="SimHei" w:eastAsia="SimHei" w:hint="eastAsia"/>
        </w:rPr>
        <w:t>3</w:t>
      </w:r>
      <w:r>
        <w:rPr>
          <w:rFonts w:ascii="SimHei" w:eastAsia="SimHei" w:hint="eastAsia"/>
        </w:rPr>
        <w:t>月</w:t>
      </w:r>
      <w:r>
        <w:rPr>
          <w:rFonts w:ascii="SimHei" w:eastAsia="SimHei" w:hint="eastAsia"/>
        </w:rPr>
        <w:t>3</w:t>
      </w:r>
      <w:r>
        <w:rPr>
          <w:rFonts w:ascii="SimHei" w:eastAsia="SimHei" w:hint="eastAsia"/>
        </w:rPr>
        <w:t>日，巴拉那州上诉法庭）</w:t>
      </w:r>
    </w:p>
    <w:p w:rsidR="00000000" w:rsidRDefault="004D2F83" w:rsidP="004D2F83">
      <w:pPr>
        <w:spacing w:after="240" w:line="360" w:lineRule="exact"/>
        <w:ind w:firstLineChars="228" w:firstLine="31680"/>
        <w:rPr>
          <w:rFonts w:hint="eastAsia"/>
          <w:b/>
          <w:bCs/>
        </w:rPr>
      </w:pPr>
      <w:r>
        <w:rPr>
          <w:rFonts w:eastAsia="KaiTi_GB2312" w:hint="eastAsia"/>
          <w:b/>
          <w:bCs/>
        </w:rPr>
        <w:t>摘要：</w:t>
      </w:r>
      <w:r>
        <w:rPr>
          <w:rFonts w:hint="eastAsia"/>
        </w:rPr>
        <w:t>被告在发现与他生活了近</w:t>
      </w:r>
      <w:r>
        <w:rPr>
          <w:rFonts w:hint="eastAsia"/>
        </w:rPr>
        <w:t>20</w:t>
      </w:r>
      <w:r>
        <w:rPr>
          <w:rFonts w:hint="eastAsia"/>
        </w:rPr>
        <w:t>年，如同妻子一般的女人跟一个与她有染的男子走出舞厅后，将这个女人杀死。陪审团判处被告六年徒刑加八个月的半监禁。被告不服陪审团的判决，提出上诉，辩称陪审员的观点与审判记录中包含的证据不符，要求复审。巴拉那州上诉法庭维持陪审团通过的判决。</w:t>
      </w:r>
    </w:p>
    <w:p w:rsidR="00000000" w:rsidRDefault="004D2F83" w:rsidP="004D2F83">
      <w:pPr>
        <w:spacing w:after="240" w:line="360" w:lineRule="exact"/>
        <w:ind w:firstLineChars="228" w:firstLine="31680"/>
        <w:rPr>
          <w:rFonts w:eastAsia="KaiTi_GB2312" w:hint="eastAsia"/>
        </w:rPr>
      </w:pPr>
      <w:r>
        <w:rPr>
          <w:rFonts w:eastAsia="KaiTi_GB2312" w:hint="eastAsia"/>
          <w:b/>
          <w:bCs/>
        </w:rPr>
        <w:t>重要论据</w:t>
      </w:r>
      <w:r>
        <w:rPr>
          <w:rFonts w:eastAsia="KaiTi_GB2312" w:hint="eastAsia"/>
        </w:rPr>
        <w:t>：“陪审团根据被告供诉作出的判决承认杀人情有可原的原因，驳回自卫的抗辩实际上无可指责，并符合这样的观点：名誉是一个非常私人的概念，与这个妇女的不忠行为无关，也没有赋予男人剥夺其生命的权利，即</w:t>
      </w:r>
      <w:r>
        <w:rPr>
          <w:rFonts w:eastAsia="KaiTi_GB2312" w:hint="eastAsia"/>
        </w:rPr>
        <w:t>使由于感情失控怒不可遏可能会减轻人们对这种行为的厌恶程度”。</w:t>
      </w:r>
    </w:p>
    <w:p w:rsidR="00000000" w:rsidRDefault="004D2F83">
      <w:pPr>
        <w:spacing w:after="240" w:line="360" w:lineRule="exact"/>
        <w:rPr>
          <w:rFonts w:ascii="SimHei" w:eastAsia="SimHei" w:hint="eastAsia"/>
        </w:rPr>
      </w:pPr>
    </w:p>
    <w:p w:rsidR="00000000" w:rsidRDefault="004D2F83">
      <w:pPr>
        <w:spacing w:after="240" w:line="360" w:lineRule="exact"/>
        <w:rPr>
          <w:rFonts w:ascii="SimHei" w:eastAsia="SimHei" w:hint="eastAsia"/>
        </w:rPr>
      </w:pPr>
      <w:r>
        <w:rPr>
          <w:rFonts w:ascii="SimHei" w:eastAsia="SimHei" w:hint="eastAsia"/>
        </w:rPr>
        <w:t>案例</w:t>
      </w:r>
      <w:r>
        <w:rPr>
          <w:rFonts w:ascii="SimHei" w:eastAsia="SimHei" w:hint="eastAsia"/>
        </w:rPr>
        <w:t>13</w:t>
      </w:r>
      <w:r>
        <w:rPr>
          <w:rFonts w:ascii="SimHei" w:eastAsia="SimHei" w:hint="eastAsia"/>
        </w:rPr>
        <w:t>（书面上诉编号：</w:t>
      </w:r>
      <w:r>
        <w:rPr>
          <w:rFonts w:ascii="SimHei" w:eastAsia="SimHei" w:hint="eastAsia"/>
        </w:rPr>
        <w:t>97</w:t>
      </w:r>
      <w:r>
        <w:rPr>
          <w:rFonts w:ascii="SimHei" w:eastAsia="SimHei"/>
        </w:rPr>
        <w:t>.</w:t>
      </w:r>
      <w:r>
        <w:rPr>
          <w:rFonts w:ascii="SimHei" w:eastAsia="SimHei" w:hint="eastAsia"/>
        </w:rPr>
        <w:t>006669-4</w:t>
      </w:r>
      <w:r>
        <w:rPr>
          <w:rFonts w:ascii="SimHei" w:eastAsia="SimHei" w:hint="eastAsia"/>
        </w:rPr>
        <w:t>，</w:t>
      </w:r>
      <w:r>
        <w:rPr>
          <w:rFonts w:ascii="SimHei" w:eastAsia="SimHei" w:hint="eastAsia"/>
        </w:rPr>
        <w:t>1997</w:t>
      </w:r>
      <w:r>
        <w:rPr>
          <w:rFonts w:ascii="SimHei" w:eastAsia="SimHei" w:hint="eastAsia"/>
        </w:rPr>
        <w:t>年</w:t>
      </w:r>
      <w:r>
        <w:rPr>
          <w:rFonts w:ascii="SimHei" w:eastAsia="SimHei" w:hint="eastAsia"/>
        </w:rPr>
        <w:t>9</w:t>
      </w:r>
      <w:r>
        <w:rPr>
          <w:rFonts w:ascii="SimHei" w:eastAsia="SimHei" w:hint="eastAsia"/>
        </w:rPr>
        <w:t>月</w:t>
      </w:r>
      <w:r>
        <w:rPr>
          <w:rFonts w:ascii="SimHei" w:eastAsia="SimHei" w:hint="eastAsia"/>
        </w:rPr>
        <w:t>23</w:t>
      </w:r>
      <w:r>
        <w:rPr>
          <w:rFonts w:ascii="SimHei" w:eastAsia="SimHei" w:hint="eastAsia"/>
        </w:rPr>
        <w:t>日，圣卡塔琳娜州上诉法庭）</w:t>
      </w:r>
    </w:p>
    <w:p w:rsidR="00000000" w:rsidRDefault="004D2F83" w:rsidP="004D2F83">
      <w:pPr>
        <w:spacing w:after="240" w:line="360" w:lineRule="exact"/>
        <w:ind w:firstLineChars="228" w:firstLine="31680"/>
        <w:rPr>
          <w:rFonts w:hint="eastAsia"/>
          <w:b/>
          <w:bCs/>
        </w:rPr>
      </w:pPr>
      <w:r>
        <w:rPr>
          <w:rFonts w:eastAsia="KaiTi_GB2312" w:hint="eastAsia"/>
          <w:b/>
          <w:bCs/>
        </w:rPr>
        <w:t>摘要：</w:t>
      </w:r>
      <w:r>
        <w:rPr>
          <w:rFonts w:hint="eastAsia"/>
        </w:rPr>
        <w:t>丈夫因为怀疑妻子不忠，从其背后将其枪杀。被告对谋杀的指控提出上诉，理由是为了名誉自卫。一再声称他是在暴怒之下采取的行动，要求做出无罪宣判或者判定过失杀人罪不成立并最终依法律宣告无罪。法院驳回被告提出的论点并确定对被告的指控和陪审团对此进行的审理。</w:t>
      </w:r>
    </w:p>
    <w:p w:rsidR="00000000" w:rsidRDefault="004D2F83" w:rsidP="004D2F83">
      <w:pPr>
        <w:spacing w:after="240" w:line="360" w:lineRule="exact"/>
        <w:ind w:firstLineChars="228" w:firstLine="31680"/>
        <w:rPr>
          <w:rFonts w:ascii="KaiTi_GB2312" w:eastAsia="KaiTi_GB2312" w:hint="eastAsia"/>
        </w:rPr>
      </w:pPr>
      <w:r>
        <w:rPr>
          <w:rFonts w:ascii="KaiTi_GB2312" w:eastAsia="KaiTi_GB2312" w:hint="eastAsia"/>
          <w:b/>
          <w:bCs/>
        </w:rPr>
        <w:t>重要论据</w:t>
      </w:r>
      <w:r>
        <w:rPr>
          <w:rFonts w:ascii="KaiTi_GB2312" w:eastAsia="KaiTi_GB2312" w:hint="eastAsia"/>
        </w:rPr>
        <w:t>：“对名誉自卫的可能性有争议。个人的尊严、良好的声誉和名誉是可以维护的权利，但受伤害一方进行</w:t>
      </w:r>
      <w:r>
        <w:rPr>
          <w:rFonts w:ascii="KaiTi_GB2312" w:eastAsia="KaiTi_GB2312" w:hint="eastAsia"/>
        </w:rPr>
        <w:t>的反击应始终遵守第</w:t>
      </w:r>
      <w:r>
        <w:rPr>
          <w:rFonts w:ascii="KaiTi_GB2312" w:eastAsia="KaiTi_GB2312" w:hint="eastAsia"/>
        </w:rPr>
        <w:t>25</w:t>
      </w:r>
      <w:r>
        <w:rPr>
          <w:rFonts w:ascii="KaiTi_GB2312" w:eastAsia="KaiTi_GB2312" w:hint="eastAsia"/>
        </w:rPr>
        <w:t>条规定的限制”。</w:t>
      </w:r>
    </w:p>
    <w:p w:rsidR="00000000" w:rsidRDefault="004D2F83" w:rsidP="004D2F83">
      <w:pPr>
        <w:spacing w:after="240" w:line="360" w:lineRule="exact"/>
        <w:ind w:firstLineChars="228" w:firstLine="31680"/>
        <w:rPr>
          <w:rFonts w:hint="eastAsia"/>
        </w:rPr>
      </w:pPr>
      <w:r>
        <w:rPr>
          <w:rFonts w:hint="eastAsia"/>
        </w:rPr>
        <w:t>（……）</w:t>
      </w:r>
    </w:p>
    <w:p w:rsidR="00000000" w:rsidRDefault="004D2F83">
      <w:pPr>
        <w:spacing w:after="240" w:line="360" w:lineRule="exact"/>
        <w:rPr>
          <w:rFonts w:ascii="SimHei" w:eastAsia="SimHei" w:hint="eastAsia"/>
        </w:rPr>
      </w:pPr>
      <w:r>
        <w:rPr>
          <w:rFonts w:ascii="SimHei" w:eastAsia="SimHei" w:hint="eastAsia"/>
        </w:rPr>
        <w:t>案例</w:t>
      </w:r>
      <w:r>
        <w:rPr>
          <w:rFonts w:ascii="SimHei" w:eastAsia="SimHei" w:hint="eastAsia"/>
        </w:rPr>
        <w:t>15</w:t>
      </w:r>
      <w:r>
        <w:rPr>
          <w:rFonts w:ascii="SimHei" w:eastAsia="SimHei" w:hint="eastAsia"/>
        </w:rPr>
        <w:t>（上诉编号：</w:t>
      </w:r>
      <w:r>
        <w:rPr>
          <w:rFonts w:ascii="SimHei" w:eastAsia="SimHei" w:hint="eastAsia"/>
        </w:rPr>
        <w:t>98</w:t>
      </w:r>
      <w:r>
        <w:rPr>
          <w:rFonts w:ascii="SimHei" w:eastAsia="SimHei"/>
        </w:rPr>
        <w:t>.</w:t>
      </w:r>
      <w:r>
        <w:rPr>
          <w:rFonts w:ascii="SimHei" w:eastAsia="SimHei" w:hint="eastAsia"/>
        </w:rPr>
        <w:t>000047-5</w:t>
      </w:r>
      <w:r>
        <w:rPr>
          <w:rFonts w:ascii="SimHei" w:eastAsia="SimHei" w:hint="eastAsia"/>
        </w:rPr>
        <w:t>，</w:t>
      </w:r>
      <w:r>
        <w:rPr>
          <w:rFonts w:ascii="SimHei" w:eastAsia="SimHei" w:hint="eastAsia"/>
        </w:rPr>
        <w:t>1998</w:t>
      </w:r>
      <w:r>
        <w:rPr>
          <w:rFonts w:ascii="SimHei" w:eastAsia="SimHei" w:hint="eastAsia"/>
        </w:rPr>
        <w:t>年</w:t>
      </w:r>
      <w:r>
        <w:rPr>
          <w:rFonts w:ascii="SimHei" w:eastAsia="SimHei" w:hint="eastAsia"/>
        </w:rPr>
        <w:t>6</w:t>
      </w:r>
      <w:r>
        <w:rPr>
          <w:rFonts w:ascii="SimHei" w:eastAsia="SimHei" w:hint="eastAsia"/>
        </w:rPr>
        <w:t>月</w:t>
      </w:r>
      <w:r>
        <w:rPr>
          <w:rFonts w:ascii="SimHei" w:eastAsia="SimHei" w:hint="eastAsia"/>
        </w:rPr>
        <w:t>18</w:t>
      </w:r>
      <w:r>
        <w:rPr>
          <w:rFonts w:ascii="SimHei" w:eastAsia="SimHei" w:hint="eastAsia"/>
        </w:rPr>
        <w:t>日，阿拉戈斯州上诉法庭）</w:t>
      </w:r>
    </w:p>
    <w:p w:rsidR="00000000" w:rsidRDefault="004D2F83" w:rsidP="004D2F83">
      <w:pPr>
        <w:spacing w:after="240" w:line="360" w:lineRule="exact"/>
        <w:ind w:firstLineChars="228" w:firstLine="31680"/>
        <w:rPr>
          <w:rFonts w:hint="eastAsia"/>
          <w:b/>
          <w:bCs/>
        </w:rPr>
      </w:pPr>
      <w:r>
        <w:rPr>
          <w:rFonts w:eastAsia="KaiTi_GB2312" w:hint="eastAsia"/>
          <w:b/>
          <w:bCs/>
        </w:rPr>
        <w:t>摘要：</w:t>
      </w:r>
      <w:r>
        <w:rPr>
          <w:rFonts w:hint="eastAsia"/>
        </w:rPr>
        <w:t>丈夫开了五枪杀死了他与人通奸的妻子。陪审团驳回关于名誉自卫的论点，宣告被告有罪。尽管被告提出上诉，但阿拉戈斯州上诉法庭维持陪审团的判决。</w:t>
      </w:r>
    </w:p>
    <w:p w:rsidR="00000000" w:rsidRDefault="004D2F83" w:rsidP="004D2F83">
      <w:pPr>
        <w:spacing w:after="240" w:line="360" w:lineRule="exact"/>
        <w:ind w:firstLineChars="228" w:firstLine="31680"/>
        <w:rPr>
          <w:rFonts w:eastAsia="KaiTi_GB2312" w:hint="eastAsia"/>
        </w:rPr>
      </w:pPr>
      <w:r>
        <w:rPr>
          <w:rFonts w:eastAsia="KaiTi_GB2312" w:hint="eastAsia"/>
          <w:b/>
          <w:bCs/>
        </w:rPr>
        <w:t>重要论据</w:t>
      </w:r>
      <w:r>
        <w:rPr>
          <w:rFonts w:eastAsia="KaiTi_GB2312" w:hint="eastAsia"/>
        </w:rPr>
        <w:t>：“丧失名誉的是配偶中通奸的一方，因此，丈夫开枪杀死不忠的妻子不属于名誉自卫行动，因为是通奸的配偶丧失了名誉，而非无辜一方”。</w:t>
      </w:r>
    </w:p>
    <w:p w:rsidR="00000000" w:rsidRDefault="004D2F83">
      <w:pPr>
        <w:numPr>
          <w:ilvl w:val="0"/>
          <w:numId w:val="702"/>
        </w:numPr>
        <w:tabs>
          <w:tab w:val="clear" w:pos="840"/>
          <w:tab w:val="num" w:pos="480"/>
        </w:tabs>
        <w:spacing w:after="240" w:line="360" w:lineRule="exact"/>
        <w:ind w:left="480" w:hanging="480"/>
        <w:rPr>
          <w:rFonts w:eastAsia="KaiTi_GB2312" w:hint="eastAsia"/>
          <w:b/>
          <w:bCs/>
        </w:rPr>
      </w:pPr>
      <w:r>
        <w:rPr>
          <w:rFonts w:eastAsia="KaiTi_GB2312" w:hint="eastAsia"/>
          <w:b/>
          <w:bCs/>
        </w:rPr>
        <w:t>提交美洲人权委员会的报告</w:t>
      </w:r>
    </w:p>
    <w:p w:rsidR="00000000" w:rsidRDefault="004D2F83" w:rsidP="004D2F83">
      <w:pPr>
        <w:spacing w:after="240" w:line="360" w:lineRule="exact"/>
        <w:ind w:firstLineChars="228" w:firstLine="31680"/>
        <w:rPr>
          <w:rFonts w:hint="eastAsia"/>
        </w:rPr>
      </w:pPr>
      <w:r>
        <w:rPr>
          <w:rFonts w:hint="eastAsia"/>
        </w:rPr>
        <w:t>我们有责任在论及对妇女的暴力行为这一主题时告知，司法与国际法中心（</w:t>
      </w:r>
      <w:r>
        <w:rPr>
          <w:rFonts w:hint="eastAsia"/>
        </w:rPr>
        <w:t>C</w:t>
      </w:r>
      <w:r>
        <w:rPr>
          <w:rFonts w:hint="eastAsia"/>
        </w:rPr>
        <w:t>EJIL-</w:t>
      </w:r>
      <w:r>
        <w:rPr>
          <w:rFonts w:hint="eastAsia"/>
        </w:rPr>
        <w:t>巴西）与拉丁美洲和加勒比保卫妇女权利委员会巴西科（拉加妇权会</w:t>
      </w:r>
      <w:r>
        <w:rPr>
          <w:rFonts w:hint="eastAsia"/>
        </w:rPr>
        <w:t>-</w:t>
      </w:r>
      <w:r>
        <w:rPr>
          <w:rFonts w:hint="eastAsia"/>
        </w:rPr>
        <w:t>巴西）共同就</w:t>
      </w:r>
      <w:r>
        <w:t>Maria da Penha</w:t>
      </w:r>
      <w:r>
        <w:rPr>
          <w:rFonts w:hint="eastAsia"/>
        </w:rPr>
        <w:t>一案向美洲人权委员会提出针对巴西的诉状。</w:t>
      </w:r>
    </w:p>
    <w:p w:rsidR="00000000" w:rsidRDefault="004D2F83" w:rsidP="004D2F83">
      <w:pPr>
        <w:spacing w:after="240" w:line="360" w:lineRule="exact"/>
        <w:ind w:firstLineChars="228" w:firstLine="31680"/>
        <w:rPr>
          <w:rFonts w:hint="eastAsia"/>
        </w:rPr>
      </w:pPr>
      <w:r>
        <w:rPr>
          <w:rFonts w:hint="eastAsia"/>
        </w:rPr>
        <w:t>1983</w:t>
      </w:r>
      <w:r>
        <w:rPr>
          <w:rFonts w:hint="eastAsia"/>
        </w:rPr>
        <w:t>年，</w:t>
      </w:r>
      <w:r>
        <w:t>Maria da Penha</w:t>
      </w:r>
      <w:r>
        <w:rPr>
          <w:rFonts w:hint="eastAsia"/>
        </w:rPr>
        <w:t>的丈夫企图将其杀死。他开枪击中其背部，使她造成截瘫。虽然巴西法院宣判此人有罪，但由于他连续不断地对陪审团的判决提出上诉，因此从未被捕，此案也仍在分析之中。</w:t>
      </w:r>
    </w:p>
    <w:p w:rsidR="00000000" w:rsidRDefault="004D2F83" w:rsidP="004D2F83">
      <w:pPr>
        <w:spacing w:after="240" w:line="360" w:lineRule="exact"/>
        <w:ind w:firstLineChars="228" w:firstLine="31680"/>
        <w:rPr>
          <w:rFonts w:eastAsia="KaiTi_GB2312" w:hint="eastAsia"/>
        </w:rPr>
      </w:pPr>
      <w:r>
        <w:rPr>
          <w:rFonts w:hint="eastAsia"/>
        </w:rPr>
        <w:t>此案已经过去了十八年，</w:t>
      </w:r>
      <w:r>
        <w:rPr>
          <w:rFonts w:eastAsia="KaiTi_GB2312" w:hint="eastAsia"/>
          <w:b/>
          <w:bCs/>
        </w:rPr>
        <w:t>美洲人权委员会谴责巴西在打击家庭暴力方面的疏忽和不作为并建议巴西向受害人支付赔偿</w:t>
      </w:r>
      <w:r>
        <w:rPr>
          <w:rFonts w:eastAsia="KaiTi_GB2312" w:hint="eastAsia"/>
        </w:rPr>
        <w:t>。</w:t>
      </w:r>
    </w:p>
    <w:p w:rsidR="00000000" w:rsidRDefault="004D2F83">
      <w:pPr>
        <w:pStyle w:val="Date"/>
        <w:spacing w:after="240" w:line="360" w:lineRule="exact"/>
        <w:rPr>
          <w:rFonts w:eastAsia="SimHei" w:hint="eastAsia"/>
          <w:sz w:val="24"/>
        </w:rPr>
      </w:pPr>
      <w:r>
        <w:rPr>
          <w:rFonts w:eastAsia="SimHei" w:hint="eastAsia"/>
          <w:sz w:val="24"/>
        </w:rPr>
        <w:t>因素和障碍</w:t>
      </w:r>
    </w:p>
    <w:p w:rsidR="00000000" w:rsidRDefault="004D2F83" w:rsidP="004D2F83">
      <w:pPr>
        <w:spacing w:after="240" w:line="360" w:lineRule="exact"/>
        <w:ind w:firstLineChars="228" w:firstLine="31680"/>
        <w:rPr>
          <w:rFonts w:hint="eastAsia"/>
        </w:rPr>
      </w:pPr>
      <w:r>
        <w:rPr>
          <w:rFonts w:hint="eastAsia"/>
        </w:rPr>
        <w:t>《公约》和其他旨在保护妇女和女孩权利的国际人</w:t>
      </w:r>
      <w:r>
        <w:rPr>
          <w:rFonts w:hint="eastAsia"/>
        </w:rPr>
        <w:t>权文书的有效执行受到几个复杂因素的制约。</w:t>
      </w:r>
    </w:p>
    <w:p w:rsidR="00000000" w:rsidRDefault="004D2F83" w:rsidP="004D2F83">
      <w:pPr>
        <w:spacing w:after="240" w:line="360" w:lineRule="exact"/>
        <w:ind w:firstLineChars="228" w:firstLine="31680"/>
        <w:rPr>
          <w:rFonts w:hint="eastAsia"/>
        </w:rPr>
      </w:pPr>
      <w:r>
        <w:rPr>
          <w:rFonts w:hint="eastAsia"/>
        </w:rPr>
        <w:t>不完善、保守和带有歧视性的性别方面的法律在司法领域依然普遍存在。大多数就妇女权利作出规定、具有歧视性的宪法下的法律可追溯到</w:t>
      </w:r>
      <w:r>
        <w:rPr>
          <w:rFonts w:hint="eastAsia"/>
        </w:rPr>
        <w:t>20</w:t>
      </w:r>
      <w:r>
        <w:rPr>
          <w:rFonts w:hint="eastAsia"/>
        </w:rPr>
        <w:t>世纪初期，目的更多是为“控制”人的性欲和生殖权利，而不是顺应现代社会多元民主的价值观念来规范和鼓励自由、负责地行使这些权利。值得一提的是，大多数歧视性规定都出现在我们的《民法典》（</w:t>
      </w:r>
      <w:r>
        <w:rPr>
          <w:rFonts w:hint="eastAsia"/>
        </w:rPr>
        <w:t>1916</w:t>
      </w:r>
      <w:r>
        <w:rPr>
          <w:rFonts w:hint="eastAsia"/>
        </w:rPr>
        <w:t>年）和《刑法典》（</w:t>
      </w:r>
      <w:r>
        <w:rPr>
          <w:rFonts w:hint="eastAsia"/>
        </w:rPr>
        <w:t>1940</w:t>
      </w:r>
      <w:r>
        <w:rPr>
          <w:rFonts w:hint="eastAsia"/>
        </w:rPr>
        <w:t>年）中，它们都受到西欧法律，特别是《拿破仑法典》、《意大利法典》、《德国法典》以及和其他法律的启发，而这些其他法律都是在不符合巴西</w:t>
      </w:r>
      <w:r>
        <w:rPr>
          <w:rFonts w:hint="eastAsia"/>
        </w:rPr>
        <w:t>当今现状的社会和历史时期制定的。</w:t>
      </w:r>
    </w:p>
    <w:p w:rsidR="00000000" w:rsidRDefault="004D2F83" w:rsidP="004D2F83">
      <w:pPr>
        <w:spacing w:after="240" w:line="360" w:lineRule="exact"/>
        <w:ind w:firstLineChars="228" w:firstLine="31680"/>
        <w:rPr>
          <w:rFonts w:hint="eastAsia"/>
          <w:color w:val="FF0000"/>
        </w:rPr>
      </w:pPr>
      <w:r>
        <w:rPr>
          <w:rFonts w:hint="eastAsia"/>
        </w:rPr>
        <w:t>我们的国内法中是否有此类歧视性规定取决于担任几种社会角色的政治力量的相互作用。有必要对我们国家的社会</w:t>
      </w:r>
      <w:r>
        <w:rPr>
          <w:rFonts w:hint="eastAsia"/>
        </w:rPr>
        <w:t>-</w:t>
      </w:r>
      <w:r>
        <w:rPr>
          <w:rFonts w:hint="eastAsia"/>
        </w:rPr>
        <w:t>司法</w:t>
      </w:r>
      <w:r>
        <w:rPr>
          <w:rFonts w:hint="eastAsia"/>
        </w:rPr>
        <w:t>-</w:t>
      </w:r>
      <w:r>
        <w:rPr>
          <w:rFonts w:hint="eastAsia"/>
        </w:rPr>
        <w:t>政治和思想文化进行改革。这种文化上的改革已经逐步展开。它要求根除社会成见、偏见和各种形式的歧视，特别是影响机构行动的性别、种族</w:t>
      </w:r>
      <w:r>
        <w:rPr>
          <w:rFonts w:hint="eastAsia"/>
        </w:rPr>
        <w:t>/</w:t>
      </w:r>
      <w:r>
        <w:rPr>
          <w:rFonts w:hint="eastAsia"/>
        </w:rPr>
        <w:t>民族和社会</w:t>
      </w:r>
      <w:r>
        <w:rPr>
          <w:rFonts w:hint="eastAsia"/>
        </w:rPr>
        <w:t>-</w:t>
      </w:r>
      <w:r>
        <w:rPr>
          <w:rFonts w:hint="eastAsia"/>
        </w:rPr>
        <w:t>经济方面的不平等。因此，它还要求社会尊重符合公平价值观的多样化的立法和行政行动并尊重差异。最终，它还有赖于司法部门根据法律在具体案件、特别是与社区和</w:t>
      </w:r>
      <w:r>
        <w:rPr>
          <w:rFonts w:hint="eastAsia"/>
        </w:rPr>
        <w:t>/</w:t>
      </w:r>
      <w:r>
        <w:rPr>
          <w:rFonts w:hint="eastAsia"/>
        </w:rPr>
        <w:t>或分散权利相关的法律行为中采取可能产生普遍影响的立场。</w:t>
      </w:r>
    </w:p>
    <w:p w:rsidR="00000000" w:rsidRDefault="004D2F83" w:rsidP="004D2F83">
      <w:pPr>
        <w:spacing w:after="240" w:line="360" w:lineRule="exact"/>
        <w:ind w:firstLineChars="228" w:firstLine="31680"/>
        <w:rPr>
          <w:rFonts w:hint="eastAsia"/>
        </w:rPr>
      </w:pPr>
      <w:r>
        <w:rPr>
          <w:rFonts w:hint="eastAsia"/>
        </w:rPr>
        <w:t>在这方面，联邦最高法院的</w:t>
      </w:r>
      <w:r>
        <w:rPr>
          <w:rFonts w:hint="eastAsia"/>
        </w:rPr>
        <w:t>政治</w:t>
      </w:r>
      <w:r>
        <w:rPr>
          <w:rFonts w:hint="eastAsia"/>
        </w:rPr>
        <w:t>-</w:t>
      </w:r>
      <w:r>
        <w:rPr>
          <w:rFonts w:hint="eastAsia"/>
        </w:rPr>
        <w:t>司法工作极为重要，不仅因为它是确定宪法问题的最高司法机构，还因为它拥有审理有关宪法问题案件的具体管辖权，包括对法律的合宪性和违宪性采取直接行动，影响国家的立法结果。</w:t>
      </w:r>
    </w:p>
    <w:p w:rsidR="00000000" w:rsidRDefault="004D2F83" w:rsidP="004D2F83">
      <w:pPr>
        <w:spacing w:after="240" w:line="360" w:lineRule="exact"/>
        <w:ind w:firstLineChars="228" w:firstLine="31680"/>
        <w:rPr>
          <w:rFonts w:hint="eastAsia"/>
        </w:rPr>
      </w:pPr>
      <w:r>
        <w:rPr>
          <w:rFonts w:hint="eastAsia"/>
        </w:rPr>
        <w:t>对妇女的歧视，特别是在将</w:t>
      </w:r>
      <w:r>
        <w:rPr>
          <w:rFonts w:eastAsia="KaiTi_GB2312" w:hint="eastAsia"/>
          <w:b/>
          <w:bCs/>
        </w:rPr>
        <w:t>性欲与生殖联系在一起</w:t>
      </w:r>
      <w:r>
        <w:rPr>
          <w:rFonts w:hint="eastAsia"/>
        </w:rPr>
        <w:t>之后，加强了以控制妇女的生活和肉体为目的的意识形态结构。这是宗法社会的产物，依然承认公共与私人事务之间的二分法，而后者不应理解为个人，而是指家庭事务，它以家庭男性户主的权利为基础。这种情况目前在宪法下的许多法律规定中依然存在，尽管</w:t>
      </w:r>
      <w:r>
        <w:rPr>
          <w:rFonts w:hint="eastAsia"/>
        </w:rPr>
        <w:t>1988</w:t>
      </w:r>
      <w:r>
        <w:rPr>
          <w:rFonts w:hint="eastAsia"/>
        </w:rPr>
        <w:t>年《联邦宪法》在保护男女之间的公平方面取得的进步。</w:t>
      </w:r>
    </w:p>
    <w:p w:rsidR="00000000" w:rsidRDefault="004D2F83" w:rsidP="004D2F83">
      <w:pPr>
        <w:spacing w:after="240" w:line="360" w:lineRule="exact"/>
        <w:ind w:firstLineChars="228" w:firstLine="31680"/>
        <w:rPr>
          <w:rFonts w:hint="eastAsia"/>
        </w:rPr>
      </w:pPr>
      <w:r>
        <w:rPr>
          <w:rFonts w:hint="eastAsia"/>
        </w:rPr>
        <w:t>具体提</w:t>
      </w:r>
      <w:r>
        <w:rPr>
          <w:rFonts w:hint="eastAsia"/>
        </w:rPr>
        <w:t>到对妇女的暴力行为的问题，在巴西，人们认为大多数妇女对性暴力行为不报案，或者是难为情或者是因为害怕，特别是这种暴力行为发生在家庭内部或家庭内环境中的，更是如此。</w:t>
      </w:r>
    </w:p>
    <w:p w:rsidR="00000000" w:rsidRDefault="004D2F83" w:rsidP="004D2F83">
      <w:pPr>
        <w:spacing w:after="240" w:line="360" w:lineRule="exact"/>
        <w:ind w:firstLineChars="228" w:firstLine="31680"/>
        <w:rPr>
          <w:rFonts w:hint="eastAsia"/>
        </w:rPr>
      </w:pPr>
      <w:r>
        <w:rPr>
          <w:rFonts w:hint="eastAsia"/>
        </w:rPr>
        <w:t>对妇女的身心和性暴力即目前所指的“</w:t>
      </w:r>
      <w:r>
        <w:rPr>
          <w:rFonts w:eastAsia="KaiTi_GB2312" w:hint="eastAsia"/>
          <w:b/>
          <w:bCs/>
        </w:rPr>
        <w:t>性别暴力</w:t>
      </w:r>
      <w:r>
        <w:rPr>
          <w:rFonts w:hint="eastAsia"/>
        </w:rPr>
        <w:t>”，是历史上男女之间不平等的权力关系的一种表现。因此，导致其长期存在的主要因素在于文化领域。</w:t>
      </w:r>
    </w:p>
    <w:p w:rsidR="00000000" w:rsidRDefault="004D2F83" w:rsidP="004D2F83">
      <w:pPr>
        <w:spacing w:after="240" w:line="360" w:lineRule="exact"/>
        <w:ind w:firstLineChars="228" w:firstLine="31680"/>
        <w:rPr>
          <w:rFonts w:hint="eastAsia"/>
        </w:rPr>
      </w:pPr>
      <w:r>
        <w:rPr>
          <w:rFonts w:hint="eastAsia"/>
        </w:rPr>
        <w:t>在巴西，由于</w:t>
      </w:r>
      <w:r>
        <w:rPr>
          <w:rFonts w:hint="eastAsia"/>
        </w:rPr>
        <w:t>1980</w:t>
      </w:r>
      <w:r>
        <w:rPr>
          <w:rFonts w:hint="eastAsia"/>
        </w:rPr>
        <w:t>年代妇女运动的各种行动，社会开始关注对妇女的暴力行为问题，对妇女的暴力行为开始为人们所认识并作为一个公共政策问题，特别是安全和公正领域的问题来处理。从那时起，通过建立保护妇女的警察局，开展提高认</w:t>
      </w:r>
      <w:r>
        <w:rPr>
          <w:rFonts w:hint="eastAsia"/>
        </w:rPr>
        <w:t>识运动和建立庇护所帮助遭受危险的妇女，有关这一问题的辩论逐渐增多。这些举措还使人们认识到对妇女的暴力行为也是对人权的一种侵犯。</w:t>
      </w:r>
    </w:p>
    <w:p w:rsidR="00000000" w:rsidRDefault="004D2F83" w:rsidP="004D2F83">
      <w:pPr>
        <w:spacing w:after="240" w:line="360" w:lineRule="exact"/>
        <w:ind w:firstLineChars="228" w:firstLine="31680"/>
        <w:rPr>
          <w:rFonts w:hint="eastAsia"/>
        </w:rPr>
      </w:pPr>
      <w:r>
        <w:rPr>
          <w:rFonts w:hint="eastAsia"/>
        </w:rPr>
        <w:t>对妇女的暴力行为不受年龄、社会地位、民族或宗教的限制。它表现为各种不同的形式，其中许多都有着牢固的文化渊源（人权监察站，</w:t>
      </w:r>
      <w:r>
        <w:rPr>
          <w:rFonts w:hint="eastAsia"/>
        </w:rPr>
        <w:t>1995</w:t>
      </w:r>
      <w:r>
        <w:rPr>
          <w:rFonts w:hint="eastAsia"/>
        </w:rPr>
        <w:t>年）。对妇女的暴力行为最常见的形式包括：伤害（殴打和杀人）；性攻击（强奸、猥亵、乱伦、性骚扰）以及那些精神上的暴力（威胁、剥夺、虐待和歧视）。巴西社会还存在着影响妇女和女孩的其他形式的暴力，比如儿童卖淫。</w:t>
      </w:r>
    </w:p>
    <w:p w:rsidR="00000000" w:rsidRDefault="004D2F83" w:rsidP="004D2F83">
      <w:pPr>
        <w:spacing w:after="240" w:line="360" w:lineRule="exact"/>
        <w:ind w:firstLineChars="228" w:firstLine="31680"/>
        <w:rPr>
          <w:rFonts w:hint="eastAsia"/>
        </w:rPr>
      </w:pPr>
      <w:r>
        <w:rPr>
          <w:rFonts w:hint="eastAsia"/>
        </w:rPr>
        <w:t>虽然对妇女的暴力行为发生在社会生活的方方面面——不</w:t>
      </w:r>
      <w:r>
        <w:rPr>
          <w:rFonts w:hint="eastAsia"/>
        </w:rPr>
        <w:t>管是公共场所（工作场所、学校、休闲场所）还是私人场所（家庭），引起人们更多关注的还是那些发生在家庭环境中的暴力行为。</w:t>
      </w:r>
    </w:p>
    <w:p w:rsidR="00000000" w:rsidRDefault="004D2F83" w:rsidP="004D2F83">
      <w:pPr>
        <w:spacing w:after="240" w:line="360" w:lineRule="exact"/>
        <w:ind w:firstLineChars="228" w:firstLine="31680"/>
        <w:rPr>
          <w:rFonts w:hint="eastAsia"/>
        </w:rPr>
      </w:pPr>
      <w:r>
        <w:rPr>
          <w:rFonts w:hint="eastAsia"/>
        </w:rPr>
        <w:t>家庭暴力可以定义为一种有悖情理而且普遍存在的现象，不仅影响到妇女，还蔓延到社会生活的各个领域，是许多社会问题的真正基础。越来越多的研究显示，打击对妇女的暴力行为，特别是婚姻关系中的暴力行为，应该考虑到它对家庭关系的动态产生的影响，比如儿童和青少年的社会化。</w:t>
      </w:r>
    </w:p>
    <w:p w:rsidR="00000000" w:rsidRDefault="004D2F83" w:rsidP="004D2F83">
      <w:pPr>
        <w:spacing w:after="240" w:line="360" w:lineRule="exact"/>
        <w:ind w:firstLineChars="228" w:firstLine="31680"/>
        <w:rPr>
          <w:rFonts w:hint="eastAsia"/>
        </w:rPr>
      </w:pPr>
      <w:r>
        <w:rPr>
          <w:rFonts w:hint="eastAsia"/>
        </w:rPr>
        <w:t>在其他领域，对妇女的暴力行为与种族、种族裔、政治、思想或宗教信仰、社会</w:t>
      </w:r>
      <w:r>
        <w:rPr>
          <w:rFonts w:hint="eastAsia"/>
        </w:rPr>
        <w:t>-</w:t>
      </w:r>
      <w:r>
        <w:rPr>
          <w:rFonts w:hint="eastAsia"/>
        </w:rPr>
        <w:t>经济状况等条件没有关系。实际情况是，在社会最贫困阶层，这种现象是</w:t>
      </w:r>
      <w:r>
        <w:rPr>
          <w:rFonts w:hint="eastAsia"/>
        </w:rPr>
        <w:t>公开的，原因在于邻里之间的接近，而在社会和经济方面处于有利地位的群体可以利用不同的办法，比如通过私人服务来解决这些问题。低收入家庭在出现家庭暴力的情况下一般只能依靠警察局和公共保健服务寻求帮助。</w:t>
      </w:r>
    </w:p>
    <w:p w:rsidR="00000000" w:rsidRDefault="004D2F83" w:rsidP="004D2F83">
      <w:pPr>
        <w:spacing w:after="240" w:line="360" w:lineRule="exact"/>
        <w:ind w:firstLineChars="228" w:firstLine="31680"/>
        <w:rPr>
          <w:rFonts w:hint="eastAsia"/>
        </w:rPr>
      </w:pPr>
      <w:r>
        <w:rPr>
          <w:rFonts w:hint="eastAsia"/>
        </w:rPr>
        <w:t>对妇女的暴力行为现象，特别是发生在家庭和家庭内部环境的暴力现象不仅对家庭的全面发展，还对国家社会</w:t>
      </w:r>
      <w:r>
        <w:rPr>
          <w:rFonts w:hint="eastAsia"/>
        </w:rPr>
        <w:t>-</w:t>
      </w:r>
      <w:r>
        <w:rPr>
          <w:rFonts w:hint="eastAsia"/>
        </w:rPr>
        <w:t>经济的发展造成深刻、严重的后果。这种形式的暴力的社会成本可以用具体的数据来表示。在全世界，五分之一的妇女旷工与家庭暴力有关；在拉丁美洲和加勒比，家庭暴力影响到</w:t>
      </w:r>
      <w:r>
        <w:rPr>
          <w:rFonts w:hint="eastAsia"/>
        </w:rPr>
        <w:t>25%</w:t>
      </w:r>
      <w:r>
        <w:rPr>
          <w:rFonts w:hint="eastAsia"/>
        </w:rPr>
        <w:t>到</w:t>
      </w:r>
      <w:r>
        <w:rPr>
          <w:rFonts w:hint="eastAsia"/>
        </w:rPr>
        <w:t>50%</w:t>
      </w:r>
      <w:r>
        <w:rPr>
          <w:rFonts w:hint="eastAsia"/>
        </w:rPr>
        <w:t>的妇女并造成国内生产总值损失</w:t>
      </w:r>
      <w:r>
        <w:rPr>
          <w:rFonts w:hint="eastAsia"/>
        </w:rPr>
        <w:t>14</w:t>
      </w:r>
      <w:r>
        <w:t>.6%</w:t>
      </w:r>
      <w:r>
        <w:rPr>
          <w:rFonts w:hint="eastAsia"/>
        </w:rPr>
        <w:t>；在巴西</w:t>
      </w:r>
      <w:r>
        <w:rPr>
          <w:rFonts w:hint="eastAsia"/>
        </w:rPr>
        <w:t>，每四分钟就有一名妇女在自己家中受到某个亲人的攻击。现有的统计资料和警察局有关对妇女的暴力行为的专门记录显示，这种事件有</w:t>
      </w:r>
      <w:r>
        <w:rPr>
          <w:rFonts w:hint="eastAsia"/>
        </w:rPr>
        <w:t>70%</w:t>
      </w:r>
      <w:r>
        <w:rPr>
          <w:rFonts w:hint="eastAsia"/>
        </w:rPr>
        <w:t>发生在家庭环境中，攻击者是丈夫或同居的情夫；在所有暴力案件中，有</w:t>
      </w:r>
      <w:r>
        <w:rPr>
          <w:rFonts w:hint="eastAsia"/>
        </w:rPr>
        <w:t>40%</w:t>
      </w:r>
      <w:r>
        <w:rPr>
          <w:rFonts w:hint="eastAsia"/>
        </w:rPr>
        <w:t>以上牵涉到拳打、掴耳光、用铁链子锁、火烧和拍打等情节恶劣的殴打。这些暴力形式使国家的国内生产总值损失了</w:t>
      </w:r>
      <w:r>
        <w:rPr>
          <w:rFonts w:hint="eastAsia"/>
        </w:rPr>
        <w:t>10</w:t>
      </w:r>
      <w:r>
        <w:t>.5%</w:t>
      </w:r>
      <w:r>
        <w:rPr>
          <w:rFonts w:hint="eastAsia"/>
        </w:rPr>
        <w:t>。</w:t>
      </w:r>
    </w:p>
    <w:p w:rsidR="00000000" w:rsidRDefault="004D2F83" w:rsidP="004D2F83">
      <w:pPr>
        <w:spacing w:after="240" w:line="360" w:lineRule="exact"/>
        <w:ind w:firstLineChars="228" w:firstLine="31680"/>
        <w:rPr>
          <w:rFonts w:hint="eastAsia"/>
        </w:rPr>
      </w:pPr>
      <w:r>
        <w:rPr>
          <w:rFonts w:hint="eastAsia"/>
        </w:rPr>
        <w:t>在巴西开展性别问题学术研究的</w:t>
      </w:r>
      <w:r>
        <w:t>Mireya Suarez</w:t>
      </w:r>
      <w:r>
        <w:rPr>
          <w:rFonts w:hint="eastAsia"/>
        </w:rPr>
        <w:t>指出，“在全球化的情况下，随着各经济体的扩张和竞争不断加强，不平等现象日益加剧，工资收入降低，社会状况和劳动法变得更加不稳定。这些经济变化造成的影</w:t>
      </w:r>
      <w:r>
        <w:rPr>
          <w:rFonts w:hint="eastAsia"/>
        </w:rPr>
        <w:t>响被立法者普遍忽视，并没有以性别观点加以处理，因而对妇女和其他争取平等的群体产生了一种不利影响”。</w:t>
      </w:r>
    </w:p>
    <w:p w:rsidR="00000000" w:rsidRDefault="004D2F83" w:rsidP="004D2F83">
      <w:pPr>
        <w:spacing w:after="240" w:line="360" w:lineRule="exact"/>
        <w:ind w:firstLineChars="228" w:firstLine="31680"/>
        <w:rPr>
          <w:rFonts w:hint="eastAsia"/>
        </w:rPr>
      </w:pPr>
      <w:r>
        <w:rPr>
          <w:rFonts w:hint="eastAsia"/>
        </w:rPr>
        <w:t>在当今的生产体系中，妇女的作用日益重要。随着参与劳动力市场的妇女不断增加，按性别细分职业（工程技术始终与男子联系在一起，而社会工作则与妇女联系在一起）和男女工资之间的不平衡依然继续存在。妇女的失业率也有所增加。农村和黑人妇女的情况甚至更为严重。</w:t>
      </w:r>
    </w:p>
    <w:p w:rsidR="00000000" w:rsidRDefault="004D2F83" w:rsidP="004D2F83">
      <w:pPr>
        <w:spacing w:after="240" w:line="360" w:lineRule="exact"/>
        <w:ind w:firstLineChars="228" w:firstLine="31680"/>
        <w:rPr>
          <w:rFonts w:hint="eastAsia"/>
        </w:rPr>
      </w:pPr>
      <w:r>
        <w:rPr>
          <w:rFonts w:hint="eastAsia"/>
        </w:rPr>
        <w:t>比如，在劳资关系领域，虽然《联邦宪法》第</w:t>
      </w:r>
      <w:r>
        <w:rPr>
          <w:rFonts w:hint="eastAsia"/>
        </w:rPr>
        <w:t>7</w:t>
      </w:r>
      <w:r>
        <w:rPr>
          <w:rFonts w:hint="eastAsia"/>
        </w:rPr>
        <w:t>条第二十款规定“通过采取法律规定的具体鼓励措施保障妇女进入劳动力市场”，但一项对男女工人工资的评估资料显示，性别</w:t>
      </w:r>
      <w:r>
        <w:rPr>
          <w:rFonts w:hint="eastAsia"/>
        </w:rPr>
        <w:t>/</w:t>
      </w:r>
      <w:r>
        <w:rPr>
          <w:rFonts w:hint="eastAsia"/>
        </w:rPr>
        <w:t>肤色差异严</w:t>
      </w:r>
      <w:r>
        <w:rPr>
          <w:rFonts w:hint="eastAsia"/>
        </w:rPr>
        <w:t>重影响支付给妇女，特别是《公约》第</w:t>
      </w:r>
      <w:r>
        <w:rPr>
          <w:rFonts w:hint="eastAsia"/>
        </w:rPr>
        <w:t>11</w:t>
      </w:r>
      <w:r>
        <w:rPr>
          <w:rFonts w:hint="eastAsia"/>
        </w:rPr>
        <w:t>条提到的非白人妇女的报酬。</w:t>
      </w:r>
    </w:p>
    <w:p w:rsidR="00000000" w:rsidRDefault="004D2F83" w:rsidP="004D2F83">
      <w:pPr>
        <w:spacing w:after="240" w:line="360" w:lineRule="exact"/>
        <w:ind w:firstLineChars="228" w:firstLine="31680"/>
        <w:rPr>
          <w:rFonts w:hint="eastAsia"/>
        </w:rPr>
      </w:pPr>
      <w:r>
        <w:rPr>
          <w:rFonts w:hint="eastAsia"/>
        </w:rPr>
        <w:t>尽管《联邦宪法》规定男女平等，并规定国家有义务确保对向家庭中的每个成员提供帮助（第</w:t>
      </w:r>
      <w:r>
        <w:rPr>
          <w:rFonts w:hint="eastAsia"/>
        </w:rPr>
        <w:t>226</w:t>
      </w:r>
      <w:r>
        <w:rPr>
          <w:rFonts w:hint="eastAsia"/>
        </w:rPr>
        <w:t>条，第</w:t>
      </w:r>
      <w:r>
        <w:rPr>
          <w:rFonts w:hint="eastAsia"/>
        </w:rPr>
        <w:t>5</w:t>
      </w:r>
      <w:r>
        <w:rPr>
          <w:rFonts w:hint="eastAsia"/>
        </w:rPr>
        <w:t>款和第</w:t>
      </w:r>
      <w:r>
        <w:rPr>
          <w:rFonts w:hint="eastAsia"/>
        </w:rPr>
        <w:t>8</w:t>
      </w:r>
      <w:r>
        <w:rPr>
          <w:rFonts w:hint="eastAsia"/>
        </w:rPr>
        <w:t>款），尽管巴西政府已经批准了最重要的人权文书，但迄今为止仍然没有关于预防、惩治和根除国内家庭暴力的具体的适当国家法律。联邦立法（民法、刑法和刑事诉讼法）和现有的公共政策尚不充分和完善，无法处理复杂的家庭暴力问题，因此阻碍了妇女在巴西社会中的充分参与和发挥才干。</w:t>
      </w:r>
    </w:p>
    <w:p w:rsidR="00000000" w:rsidRDefault="004D2F83" w:rsidP="004D2F83">
      <w:pPr>
        <w:spacing w:after="240" w:line="360" w:lineRule="exact"/>
        <w:ind w:firstLineChars="228" w:firstLine="31680"/>
        <w:rPr>
          <w:rFonts w:hint="eastAsia"/>
        </w:rPr>
      </w:pPr>
      <w:r>
        <w:rPr>
          <w:rFonts w:hint="eastAsia"/>
        </w:rPr>
        <w:t>在过去的两届立法议会中，与妇女运动相关的女议员根据拉加妇权会</w:t>
      </w:r>
      <w:r>
        <w:rPr>
          <w:rFonts w:hint="eastAsia"/>
        </w:rPr>
        <w:t>/</w:t>
      </w:r>
      <w:r>
        <w:rPr>
          <w:rFonts w:hint="eastAsia"/>
        </w:rPr>
        <w:t>巴西的建议提交了有</w:t>
      </w:r>
      <w:r>
        <w:rPr>
          <w:rFonts w:hint="eastAsia"/>
        </w:rPr>
        <w:t>关家庭暴力的议案。但在形成具体法律方面却遇到阻力，声称现行的刑法是足够的，因为它已规定当家庭成员犯罪时应给予更为严重的处置。此外，上述议案中包含的创新观念还被认为是不可行的，因为所制定的规则涉及民事、行政和劳动领域，并具有预防性和援助目的，超出了惩罚性的刑事范畴。</w:t>
      </w:r>
    </w:p>
    <w:p w:rsidR="00000000" w:rsidRDefault="004D2F83" w:rsidP="004D2F83">
      <w:pPr>
        <w:spacing w:after="240" w:line="360" w:lineRule="exact"/>
        <w:ind w:firstLineChars="228" w:firstLine="31680"/>
        <w:rPr>
          <w:rFonts w:hint="eastAsia"/>
          <w:spacing w:val="4"/>
        </w:rPr>
      </w:pPr>
      <w:r>
        <w:rPr>
          <w:rFonts w:hint="eastAsia"/>
          <w:spacing w:val="4"/>
        </w:rPr>
        <w:t>不过，巴西政府在所有三个级别——联邦、州和市都规定了一些旨在根除对妇女的暴力行为的</w:t>
      </w:r>
      <w:r>
        <w:rPr>
          <w:rFonts w:eastAsia="KaiTi_GB2312" w:hint="eastAsia"/>
          <w:b/>
          <w:bCs/>
          <w:spacing w:val="4"/>
        </w:rPr>
        <w:t>公共政策</w:t>
      </w:r>
      <w:r>
        <w:rPr>
          <w:rFonts w:hint="eastAsia"/>
          <w:spacing w:val="4"/>
        </w:rPr>
        <w:t>。</w:t>
      </w:r>
    </w:p>
    <w:p w:rsidR="00000000" w:rsidRDefault="004D2F83" w:rsidP="004D2F83">
      <w:pPr>
        <w:spacing w:after="240" w:line="360" w:lineRule="exact"/>
        <w:ind w:firstLineChars="228" w:firstLine="31680"/>
        <w:rPr>
          <w:rFonts w:hint="eastAsia"/>
        </w:rPr>
      </w:pPr>
      <w:r>
        <w:rPr>
          <w:rFonts w:hint="eastAsia"/>
        </w:rPr>
        <w:t>这些政策的执行主要是靠民间团体，特别是妇女团体和组织以及国际实体日益多地开展动员活动。国际实体除了敦促和要求开展各种活动外，还在很大程度上向这些妇女团体</w:t>
      </w:r>
      <w:r>
        <w:rPr>
          <w:rFonts w:hint="eastAsia"/>
        </w:rPr>
        <w:t>和组织捐助资金。不过，我们认为，现有行动计划无法保证实施的原因在于为此目的划拨的资金和资源非常之少。</w:t>
      </w:r>
    </w:p>
    <w:p w:rsidR="00000000" w:rsidRDefault="004D2F83" w:rsidP="004D2F83">
      <w:pPr>
        <w:spacing w:after="240" w:line="360" w:lineRule="exact"/>
        <w:ind w:firstLineChars="228" w:firstLine="31680"/>
        <w:rPr>
          <w:rFonts w:hint="eastAsia"/>
        </w:rPr>
      </w:pPr>
      <w:r>
        <w:rPr>
          <w:rFonts w:hint="eastAsia"/>
        </w:rPr>
        <w:t>巴西依然缺少关于对妇女和女孩的暴力行为的国家数据。这不意味着不存在这种暴力行为，也不意味着没有必要制定有效的公共政策来防止以不同形式出现在我们社会中的这种暴力。然而，这确实意味着，由于缺少适当的后续行动和可以提供国家数据的评价手段，不可能在北京会议后这一阶段对巴西的实际情况进行准确评估。最后，缺乏对妇女的暴力行为现状的官方信息阻碍了确保妇女权利的国家政策的建议和执行。</w:t>
      </w:r>
    </w:p>
    <w:p w:rsidR="00000000" w:rsidRDefault="004D2F83" w:rsidP="004D2F83">
      <w:pPr>
        <w:spacing w:after="240" w:line="360" w:lineRule="exact"/>
        <w:ind w:firstLineChars="228" w:firstLine="31680"/>
        <w:rPr>
          <w:rFonts w:hint="eastAsia"/>
        </w:rPr>
      </w:pPr>
      <w:r>
        <w:rPr>
          <w:rFonts w:hint="eastAsia"/>
        </w:rPr>
        <w:t>这方面主要的障碍是缺少对此问题的关注。</w:t>
      </w:r>
      <w:r>
        <w:rPr>
          <w:rFonts w:hint="eastAsia"/>
        </w:rPr>
        <w:t>这是伴随国家历史形成的女性从属观念的一个特征，在黑人妇女身上表现得更为明显，她们被官方的社会指标描述为社会最受歧视和最弱势群体之一。</w:t>
      </w:r>
    </w:p>
    <w:p w:rsidR="00000000" w:rsidRDefault="004D2F83" w:rsidP="004D2F83">
      <w:pPr>
        <w:spacing w:after="240" w:line="360" w:lineRule="exact"/>
        <w:ind w:firstLineChars="228" w:firstLine="31680"/>
        <w:rPr>
          <w:rFonts w:hint="eastAsia"/>
        </w:rPr>
      </w:pPr>
      <w:r>
        <w:rPr>
          <w:rFonts w:hint="eastAsia"/>
        </w:rPr>
        <w:t>总而言之，可以这样说，即使考虑到法律方面取得的进步，在巴西过去几十年中，妇女依然遭受歧视和各种暴力，除了其他因素外，这些可以从现行立法中找出根源。</w:t>
      </w:r>
    </w:p>
    <w:p w:rsidR="00000000" w:rsidRDefault="004D2F83" w:rsidP="004D2F83">
      <w:pPr>
        <w:spacing w:after="240" w:line="360" w:lineRule="exact"/>
        <w:ind w:firstLineChars="228" w:firstLine="31680"/>
        <w:rPr>
          <w:rFonts w:hint="eastAsia"/>
        </w:rPr>
      </w:pPr>
      <w:r>
        <w:rPr>
          <w:rFonts w:hint="eastAsia"/>
        </w:rPr>
        <w:t>比如，值得一提的是，适用于轻罪和中等重罪的第</w:t>
      </w:r>
      <w:r>
        <w:rPr>
          <w:rFonts w:hint="eastAsia"/>
        </w:rPr>
        <w:t>9099/95</w:t>
      </w:r>
      <w:r>
        <w:rPr>
          <w:rFonts w:hint="eastAsia"/>
        </w:rPr>
        <w:t>号法律规定最高处罚为不超过一年的监禁，涵盖了家庭暴力方面的大多数罪行。由于该法授予法庭调解的特权，并经常停止诉讼程序，这种在刑事法庭形式的暴力已变得司空见惯。因此，为了防止</w:t>
      </w:r>
      <w:r>
        <w:rPr>
          <w:rFonts w:hint="eastAsia"/>
        </w:rPr>
        <w:t>巴西司法体系办案上的拖沓，该法作了有利于家庭暴力犯罪行为人的规定，使得在大多数情况下，这些人支付了最低的罚金作为对其罪行的惩罚后被无罪释放。</w:t>
      </w:r>
    </w:p>
    <w:p w:rsidR="00000000" w:rsidRDefault="004D2F83" w:rsidP="004D2F83">
      <w:pPr>
        <w:spacing w:after="240" w:line="360" w:lineRule="exact"/>
        <w:ind w:firstLineChars="228" w:firstLine="31680"/>
        <w:rPr>
          <w:rFonts w:hint="eastAsia"/>
        </w:rPr>
      </w:pPr>
      <w:r>
        <w:rPr>
          <w:rFonts w:hint="eastAsia"/>
        </w:rPr>
        <w:t>要注意的重要一点是，国家的所有法律均没有提到《美洲防止、惩罚和根除对妇女暴力行为公约》（贝伦杜帕拉公约</w:t>
      </w:r>
      <w:r>
        <w:rPr>
          <w:rFonts w:hint="eastAsia"/>
        </w:rPr>
        <w:t>-1994</w:t>
      </w:r>
      <w:r>
        <w:rPr>
          <w:rFonts w:hint="eastAsia"/>
        </w:rPr>
        <w:t>年）规定的</w:t>
      </w:r>
      <w:r>
        <w:rPr>
          <w:rFonts w:eastAsia="KaiTi_GB2312" w:hint="eastAsia"/>
          <w:b/>
          <w:bCs/>
        </w:rPr>
        <w:t>精神暴力行为</w:t>
      </w:r>
      <w:r>
        <w:rPr>
          <w:rFonts w:hint="eastAsia"/>
        </w:rPr>
        <w:t>。这种暴力形式相当常见，但很微妙和难以证明，有时甚至比对肉体的暴力行为更加有害。这一事实使得更有必要制定一个针对主要在家庭环境内部发生的对妇女的暴力行为的具体法律。</w:t>
      </w:r>
    </w:p>
    <w:p w:rsidR="00000000" w:rsidRDefault="004D2F83" w:rsidP="004D2F83">
      <w:pPr>
        <w:spacing w:after="240" w:line="360" w:lineRule="exact"/>
        <w:ind w:firstLineChars="228" w:firstLine="31680"/>
        <w:rPr>
          <w:rFonts w:hint="eastAsia"/>
        </w:rPr>
      </w:pPr>
      <w:r>
        <w:rPr>
          <w:rFonts w:hint="eastAsia"/>
        </w:rPr>
        <w:t>巴西的《刑法典》（</w:t>
      </w:r>
      <w:r>
        <w:rPr>
          <w:rFonts w:hint="eastAsia"/>
        </w:rPr>
        <w:t>1940</w:t>
      </w:r>
      <w:r>
        <w:rPr>
          <w:rFonts w:hint="eastAsia"/>
        </w:rPr>
        <w:t>年）和《民法典》（</w:t>
      </w:r>
      <w:r>
        <w:rPr>
          <w:rFonts w:hint="eastAsia"/>
        </w:rPr>
        <w:t>1916</w:t>
      </w:r>
      <w:r>
        <w:rPr>
          <w:rFonts w:hint="eastAsia"/>
        </w:rPr>
        <w:t>年）中包含了陈旧过</w:t>
      </w:r>
      <w:r>
        <w:rPr>
          <w:rFonts w:hint="eastAsia"/>
        </w:rPr>
        <w:t>时和歧视性的原则，甚至采用了妇女的“忠实”和“童贞”这样的术语。已经制定了一个修改《刑法典》的议案但尚未提交国民议会。《新民法典》已经获得共和国总统的核可和批准，但仍要等待“法律上的免除”期结束后才能生效。</w:t>
      </w:r>
    </w:p>
    <w:p w:rsidR="00000000" w:rsidRDefault="004D2F83" w:rsidP="004D2F83">
      <w:pPr>
        <w:spacing w:after="240" w:line="360" w:lineRule="exact"/>
        <w:ind w:firstLineChars="228" w:firstLine="31680"/>
        <w:rPr>
          <w:rFonts w:hint="eastAsia"/>
        </w:rPr>
      </w:pPr>
      <w:r>
        <w:rPr>
          <w:rFonts w:hint="eastAsia"/>
        </w:rPr>
        <w:t>巴西行政部门内采取的政府措施虽然恰当中肯，仍然只是向切实执行在北京会议所做承诺迈出的第一步。这些措施大多数只是正式表达了意图和目的，与在巴西各地实际执行还相去甚远，而这些地区在社会、经济、政治和文化方面的生活条件明显存在着不平等。巴西的内地，特别是农村地区对于这些政策的执行仍然一无所知。一项涉及对土著妇</w:t>
      </w:r>
      <w:r>
        <w:rPr>
          <w:rFonts w:hint="eastAsia"/>
        </w:rPr>
        <w:t>女的暴力行为问题的具体连贯的公共政策目前仍在制定过程中。</w:t>
      </w:r>
    </w:p>
    <w:p w:rsidR="00000000" w:rsidRDefault="004D2F83" w:rsidP="004D2F83">
      <w:pPr>
        <w:spacing w:after="240" w:line="360" w:lineRule="exact"/>
        <w:ind w:firstLineChars="228" w:firstLine="31680"/>
        <w:rPr>
          <w:rFonts w:hint="eastAsia"/>
        </w:rPr>
      </w:pPr>
      <w:r>
        <w:rPr>
          <w:rFonts w:hint="eastAsia"/>
        </w:rPr>
        <w:t>国家依然缺乏有关对妇女和女孩暴力行为的信息。同样，在按性别分列的系统数据方面存在的差距也妨碍了对这一现象的具体认识。这一事实不仅导致此类事件的不断发生，还反映出我们这个社会普遍认可的女性从属的观念，这种观念是产生暴力行为的直接原因。</w:t>
      </w:r>
    </w:p>
    <w:p w:rsidR="00000000" w:rsidRDefault="004D2F83" w:rsidP="004D2F83">
      <w:pPr>
        <w:spacing w:after="240" w:line="360" w:lineRule="exact"/>
        <w:ind w:firstLineChars="228" w:firstLine="31680"/>
        <w:rPr>
          <w:rFonts w:hint="eastAsia"/>
        </w:rPr>
      </w:pPr>
      <w:r>
        <w:rPr>
          <w:rFonts w:hint="eastAsia"/>
        </w:rPr>
        <w:t>然而，教育和文化领域的某些旨在消除那些在轻视妇女的定型观念基础上的普遍偏见和歧视性做法的政策依然只是初步的。</w:t>
      </w:r>
    </w:p>
    <w:p w:rsidR="00000000" w:rsidRDefault="004D2F83" w:rsidP="004D2F83">
      <w:pPr>
        <w:spacing w:after="240" w:line="360" w:lineRule="exact"/>
        <w:ind w:firstLineChars="228" w:firstLine="31680"/>
        <w:rPr>
          <w:rFonts w:hint="eastAsia"/>
        </w:rPr>
      </w:pPr>
      <w:r>
        <w:rPr>
          <w:rFonts w:hint="eastAsia"/>
        </w:rPr>
        <w:t>大多数保健中心尚未做好准备向受到暴力侵害的妇女，特别是被强奸的妇女提供援助。结果，提供法律规定的终止怀孕服务的</w:t>
      </w:r>
      <w:r>
        <w:rPr>
          <w:rFonts w:hint="eastAsia"/>
        </w:rPr>
        <w:t>公共医院的数量仍然很少。</w:t>
      </w:r>
    </w:p>
    <w:p w:rsidR="00000000" w:rsidRDefault="004D2F83" w:rsidP="004D2F83">
      <w:pPr>
        <w:spacing w:after="240" w:line="360" w:lineRule="exact"/>
        <w:ind w:firstLineChars="228" w:firstLine="31680"/>
        <w:rPr>
          <w:rFonts w:hint="eastAsia"/>
        </w:rPr>
      </w:pPr>
      <w:r>
        <w:rPr>
          <w:rFonts w:hint="eastAsia"/>
        </w:rPr>
        <w:t>尽管资金的分配对于修建庇护所意义重大，但对于全国的需求而言，分配的资金依然不足。此外，还有必要更加连贯地执行旨在根除贩卖妇女和女孩的公共政策，加大执行力度并向卖淫和贩卖人口活动等暴力行为的受害者提供援助。</w:t>
      </w:r>
    </w:p>
    <w:p w:rsidR="00000000" w:rsidRDefault="004D2F83" w:rsidP="004D2F83">
      <w:pPr>
        <w:spacing w:after="240" w:line="360" w:lineRule="exact"/>
        <w:ind w:firstLineChars="228" w:firstLine="31680"/>
        <w:rPr>
          <w:rFonts w:hint="eastAsia"/>
        </w:rPr>
      </w:pPr>
      <w:r>
        <w:rPr>
          <w:rFonts w:hint="eastAsia"/>
        </w:rPr>
        <w:t>关于儿童卖淫，最近的研究显示，这种活动以各种方式在全国各地均有发生。在北部和中西部地区的在矿区，贩卖女奴的发生率极高；东北部的性旅游大量存在；东南部讨论的问题集中在妓女和儿童卖淫；南部剥削的手段是利用欺骗性信息和父母的无知从内心诱惑儿童和青少年。</w:t>
      </w:r>
    </w:p>
    <w:p w:rsidR="00000000" w:rsidRDefault="004D2F83" w:rsidP="004D2F83">
      <w:pPr>
        <w:spacing w:after="240" w:line="360" w:lineRule="exact"/>
        <w:ind w:firstLineChars="228" w:firstLine="31680"/>
        <w:rPr>
          <w:rFonts w:hint="eastAsia"/>
        </w:rPr>
      </w:pPr>
      <w:r>
        <w:rPr>
          <w:rFonts w:hint="eastAsia"/>
        </w:rPr>
        <w:t>在各州建立保护妇女警察局是一项意</w:t>
      </w:r>
      <w:r>
        <w:rPr>
          <w:rFonts w:hint="eastAsia"/>
        </w:rPr>
        <w:t>在保护妇女免受暴力的主要公共政策，是一个具有象征意义的重要里程碑。此类警察局发挥的文化和社会心理作用是不可估量的。不过，它们在数量上还不足以向大多数巴西妇女提供援助，因为目前在巴西全国共有</w:t>
      </w:r>
      <w:r>
        <w:rPr>
          <w:rFonts w:hint="eastAsia"/>
        </w:rPr>
        <w:t>307</w:t>
      </w:r>
      <w:r>
        <w:rPr>
          <w:rFonts w:hint="eastAsia"/>
        </w:rPr>
        <w:t>个警察局，大多集中在东南部地区。此外，这些现有的为数不多警察局在提供服务方面存在的一些差距表明执行这一政策的不稳定性以及缺乏对其雇员进行性别问题的培训。在许多情况下，他们在向受害者提供服务时显示出偏见和歧视。</w:t>
      </w:r>
    </w:p>
    <w:p w:rsidR="00000000" w:rsidRDefault="004D2F83" w:rsidP="004D2F83">
      <w:pPr>
        <w:spacing w:after="240" w:line="360" w:lineRule="exact"/>
        <w:ind w:firstLineChars="228" w:firstLine="31680"/>
        <w:rPr>
          <w:rFonts w:hint="eastAsia"/>
        </w:rPr>
      </w:pPr>
      <w:r>
        <w:rPr>
          <w:rFonts w:eastAsia="KaiTi_GB2312" w:hint="eastAsia"/>
          <w:b/>
          <w:bCs/>
        </w:rPr>
        <w:t>行政部门</w:t>
      </w:r>
      <w:r>
        <w:rPr>
          <w:rFonts w:hint="eastAsia"/>
        </w:rPr>
        <w:t>在制定和执行公共政策、加强妇女的作用并促进她们在与男子平等的条件下发挥能力方面所做的努力依然不足。在</w:t>
      </w:r>
      <w:r>
        <w:rPr>
          <w:rFonts w:hint="eastAsia"/>
        </w:rPr>
        <w:t>这方面，值得注意的是，执行各种反对社会多数领域对妇女的歧视的政策与重男轻女的性别偏见是相互冲突的。由于这些偏见深深植根于当地文化中，它们还以各种方式出现在政府的反应中（司法和行政），如政府人员使用方言来解释和实施政策、规则、法律、行政程序以及其他司法和行政规定。</w:t>
      </w:r>
    </w:p>
    <w:p w:rsidR="00000000" w:rsidRDefault="004D2F83">
      <w:pPr>
        <w:pStyle w:val="BodyTextIndent2"/>
        <w:spacing w:after="240" w:line="360" w:lineRule="exact"/>
        <w:ind w:firstLine="479"/>
        <w:rPr>
          <w:rFonts w:hint="eastAsia"/>
          <w:i w:val="0"/>
          <w:iCs/>
        </w:rPr>
      </w:pPr>
      <w:r>
        <w:rPr>
          <w:rFonts w:hint="eastAsia"/>
          <w:i w:val="0"/>
          <w:iCs/>
        </w:rPr>
        <w:t>因此，有必要在概念上将偏见和歧视区分开来，因为它们是不同的现象，根除它们需要采取不同的行动和策略。偏见是无法被抑制的，因为它是以抽象的形式出现的。因此，着力提高政府对这一问题的敏感性看来是克服偏见最有效的方法。歧视是一种排外行为，为了反对歧视，人们</w:t>
      </w:r>
      <w:r>
        <w:rPr>
          <w:rFonts w:hint="eastAsia"/>
          <w:i w:val="0"/>
          <w:iCs/>
        </w:rPr>
        <w:t>在社会关系中需要求助于立法、行政和司法措施进行干预。</w:t>
      </w:r>
    </w:p>
    <w:p w:rsidR="00000000" w:rsidRDefault="004D2F83" w:rsidP="004D2F83">
      <w:pPr>
        <w:spacing w:after="240" w:line="360" w:lineRule="exact"/>
        <w:ind w:firstLineChars="228" w:firstLine="31680"/>
        <w:rPr>
          <w:rFonts w:hint="eastAsia"/>
        </w:rPr>
      </w:pPr>
      <w:r>
        <w:rPr>
          <w:rFonts w:hint="eastAsia"/>
        </w:rPr>
        <w:t>巴西的</w:t>
      </w:r>
      <w:r>
        <w:rPr>
          <w:rFonts w:eastAsia="KaiTi_GB2312" w:hint="eastAsia"/>
          <w:b/>
          <w:bCs/>
        </w:rPr>
        <w:t>司法部门</w:t>
      </w:r>
      <w:r>
        <w:rPr>
          <w:rFonts w:hint="eastAsia"/>
        </w:rPr>
        <w:t>结构尚不完善，无法满足大多数巴西人的需求。对于社会下层的人而言，得到公正审判的机会尤其困难。司法部门是建立在男性至上主义的文化氛围中的，目前在履行其职能方面正在经历困境。巴西司法体制的办事拖沓也加大了司法部门与人们需求之间的差距。</w:t>
      </w:r>
    </w:p>
    <w:p w:rsidR="00000000" w:rsidRDefault="004D2F83" w:rsidP="004D2F83">
      <w:pPr>
        <w:spacing w:after="240" w:line="360" w:lineRule="exact"/>
        <w:ind w:firstLineChars="228" w:firstLine="31680"/>
        <w:rPr>
          <w:rFonts w:hint="eastAsia"/>
        </w:rPr>
      </w:pPr>
      <w:r>
        <w:rPr>
          <w:rFonts w:hint="eastAsia"/>
        </w:rPr>
        <w:t>比如，</w:t>
      </w:r>
      <w:r>
        <w:rPr>
          <w:rFonts w:hint="eastAsia"/>
        </w:rPr>
        <w:t xml:space="preserve"> </w:t>
      </w:r>
      <w:r>
        <w:rPr>
          <w:rFonts w:hint="eastAsia"/>
        </w:rPr>
        <w:t>在</w:t>
      </w:r>
      <w:r>
        <w:rPr>
          <w:rFonts w:hint="eastAsia"/>
        </w:rPr>
        <w:t>1998</w:t>
      </w:r>
      <w:r>
        <w:rPr>
          <w:rFonts w:hint="eastAsia"/>
        </w:rPr>
        <w:t>年开展的一项调查中分析的某些强奸案件从最初的警察调查到移交法庭做出最后判决已经超过了八年时间。不过，值得一提的是大多数被调查案件都没有超过三年时间。</w:t>
      </w:r>
    </w:p>
    <w:p w:rsidR="00000000" w:rsidRDefault="004D2F83" w:rsidP="004D2F83">
      <w:pPr>
        <w:spacing w:after="240" w:line="360" w:lineRule="exact"/>
        <w:ind w:firstLineChars="228" w:firstLine="31680"/>
        <w:rPr>
          <w:rFonts w:hint="eastAsia"/>
        </w:rPr>
      </w:pPr>
      <w:r>
        <w:rPr>
          <w:rFonts w:hint="eastAsia"/>
        </w:rPr>
        <w:t>在与性暴力有关的犯罪中，特别是成年妇女案件中</w:t>
      </w:r>
      <w:r>
        <w:rPr>
          <w:rFonts w:hint="eastAsia"/>
        </w:rPr>
        <w:t>，有时会发生位置“颠倒”，即在被告方和原告方陈述之后，受害者成为被告，被告成为受害者。这些行为人所传达的信息在许多情况下强调了这种观点：强奸这种罪行的受害者应该证明她是无辜的，因而不是导致犯罪的因素。</w:t>
      </w:r>
    </w:p>
    <w:p w:rsidR="00000000" w:rsidRDefault="004D2F83" w:rsidP="004D2F83">
      <w:pPr>
        <w:spacing w:after="240" w:line="360" w:lineRule="exact"/>
        <w:ind w:firstLineChars="228" w:firstLine="31680"/>
        <w:rPr>
          <w:rFonts w:hint="eastAsia"/>
        </w:rPr>
      </w:pPr>
      <w:r>
        <w:rPr>
          <w:rFonts w:hint="eastAsia"/>
        </w:rPr>
        <w:t>1993</w:t>
      </w:r>
      <w:r>
        <w:rPr>
          <w:rFonts w:hint="eastAsia"/>
        </w:rPr>
        <w:t>年圣保罗开展的一项调查对家庭领域的司法程序进行了分析，结果显示，保守的宗法观念占据优势，支持着当时正在研究的判决。根据这一观念，男子作为婚姻关系的户主地位依然保持不变，妇女只是一个合作者。这体现了妇女的脆弱和从属的观点，她们的行为受到监督、控制并被分成不同种类（如“不规矩的行为”，“古怪的行为”）。这</w:t>
      </w:r>
      <w:r>
        <w:rPr>
          <w:rFonts w:hint="eastAsia"/>
        </w:rPr>
        <w:t>一点因而使得权利的不平等成为一种制度，并使男女不同的司法待遇变得合法。</w:t>
      </w:r>
    </w:p>
    <w:p w:rsidR="00000000" w:rsidRDefault="004D2F83" w:rsidP="004D2F83">
      <w:pPr>
        <w:spacing w:after="240" w:line="360" w:lineRule="exact"/>
        <w:ind w:firstLineChars="228" w:firstLine="31680"/>
        <w:rPr>
          <w:rFonts w:hint="eastAsia"/>
        </w:rPr>
      </w:pPr>
      <w:r>
        <w:rPr>
          <w:rFonts w:hint="eastAsia"/>
        </w:rPr>
        <w:t>司法部门的作为，继续沿袭着社会的成见和偏见，包括那些与性别有关的成见和偏见，而没有任何标准，这种情况阻碍了在团结原则基础上公平权利的有效行使。</w:t>
      </w:r>
    </w:p>
    <w:p w:rsidR="00000000" w:rsidRDefault="004D2F83">
      <w:pPr>
        <w:numPr>
          <w:ilvl w:val="0"/>
          <w:numId w:val="702"/>
        </w:numPr>
        <w:tabs>
          <w:tab w:val="clear" w:pos="840"/>
          <w:tab w:val="num" w:pos="480"/>
        </w:tabs>
        <w:spacing w:after="240" w:line="360" w:lineRule="exact"/>
        <w:ind w:left="480" w:hanging="480"/>
        <w:rPr>
          <w:rFonts w:eastAsia="KaiTi_GB2312" w:hint="eastAsia"/>
          <w:b/>
          <w:bCs/>
        </w:rPr>
      </w:pPr>
      <w:r>
        <w:rPr>
          <w:rFonts w:eastAsia="KaiTi_GB2312" w:hint="eastAsia"/>
          <w:b/>
          <w:bCs/>
        </w:rPr>
        <w:t>女囚犯</w:t>
      </w:r>
    </w:p>
    <w:p w:rsidR="00000000" w:rsidRDefault="004D2F83" w:rsidP="004D2F83">
      <w:pPr>
        <w:spacing w:after="240" w:line="360" w:lineRule="exact"/>
        <w:ind w:firstLineChars="228" w:firstLine="31680"/>
        <w:rPr>
          <w:rFonts w:hint="eastAsia"/>
        </w:rPr>
      </w:pPr>
      <w:r>
        <w:rPr>
          <w:rFonts w:hint="eastAsia"/>
        </w:rPr>
        <w:t>目前可以获得有关巴西监狱现状，特别是行使性权利方面的具体研究报告。媒体普遍对这一问题非常关注，报道了保证男女囚犯基本权利方面的不稳定状况。比较而言，女囚犯受到的关注更少，因为根据</w:t>
      </w:r>
      <w:r>
        <w:rPr>
          <w:rFonts w:hint="eastAsia"/>
        </w:rPr>
        <w:t>1999</w:t>
      </w:r>
      <w:r>
        <w:rPr>
          <w:rFonts w:hint="eastAsia"/>
        </w:rPr>
        <w:t>年开展的一项监狱调查，她们只占所有囚犯的</w:t>
      </w:r>
      <w:r>
        <w:rPr>
          <w:rFonts w:hint="eastAsia"/>
        </w:rPr>
        <w:t>5%</w:t>
      </w:r>
      <w:r>
        <w:rPr>
          <w:rFonts w:hint="eastAsia"/>
        </w:rPr>
        <w:t>。</w:t>
      </w:r>
    </w:p>
    <w:p w:rsidR="00000000" w:rsidRDefault="004D2F83" w:rsidP="004D2F83">
      <w:pPr>
        <w:spacing w:after="240" w:line="360" w:lineRule="exact"/>
        <w:ind w:firstLineChars="228" w:firstLine="31680"/>
        <w:rPr>
          <w:rFonts w:hint="eastAsia"/>
        </w:rPr>
      </w:pPr>
      <w:r>
        <w:rPr>
          <w:rFonts w:hint="eastAsia"/>
        </w:rPr>
        <w:t>根据巴西大</w:t>
      </w:r>
      <w:r>
        <w:t>赦国际</w:t>
      </w:r>
      <w:r>
        <w:rPr>
          <w:rFonts w:hint="eastAsia"/>
        </w:rPr>
        <w:t>的一份题为“这里无人安睡”的报告（</w:t>
      </w:r>
      <w:r>
        <w:rPr>
          <w:rFonts w:hint="eastAsia"/>
        </w:rPr>
        <w:t>19</w:t>
      </w:r>
      <w:r>
        <w:rPr>
          <w:rFonts w:hint="eastAsia"/>
        </w:rPr>
        <w:t>99</w:t>
      </w:r>
      <w:r>
        <w:rPr>
          <w:rFonts w:hint="eastAsia"/>
        </w:rPr>
        <w:t>年，第</w:t>
      </w:r>
      <w:r>
        <w:rPr>
          <w:rFonts w:hint="eastAsia"/>
        </w:rPr>
        <w:t>45</w:t>
      </w:r>
      <w:r>
        <w:rPr>
          <w:rFonts w:hint="eastAsia"/>
        </w:rPr>
        <w:t>页），</w:t>
      </w:r>
      <w:r>
        <w:rPr>
          <w:rFonts w:ascii="KaiTi_GB2312" w:eastAsia="KaiTi_GB2312" w:hint="eastAsia"/>
        </w:rPr>
        <w:t>“对妇女的监禁带来了特殊后果，然而在巴西既没有政策也没有刑法措施协调处理此类问题。”还是在这方面，该领域的一名专家指出，</w:t>
      </w:r>
      <w:r>
        <w:rPr>
          <w:rStyle w:val="FootnoteReference"/>
          <w:rFonts w:ascii="KaiTi_GB2312" w:eastAsia="KaiTi_GB2312"/>
        </w:rPr>
        <w:footnoteReference w:customMarkFollows="1" w:id="42"/>
        <w:t>42</w:t>
      </w:r>
      <w:r>
        <w:rPr>
          <w:rFonts w:ascii="KaiTi_GB2312" w:eastAsia="KaiTi_GB2312" w:hint="eastAsia"/>
        </w:rPr>
        <w:t>“这一问题很少为人所知并且几乎没有被探讨过，可能是因为，在我们这个社会流行的文化中，这个问题和任何其他与性别相关的主题一样没有得到应有的重视。但是，这是一个急迫的问题，不仅是因为它所引起的紧张状态，还因为它所包含的情感负担及其体现的高度侵权”</w:t>
      </w:r>
      <w:r>
        <w:rPr>
          <w:rFonts w:hint="eastAsia"/>
        </w:rPr>
        <w:t>。</w:t>
      </w:r>
    </w:p>
    <w:p w:rsidR="00000000" w:rsidRDefault="004D2F83" w:rsidP="004D2F83">
      <w:pPr>
        <w:spacing w:after="240" w:line="360" w:lineRule="exact"/>
        <w:ind w:firstLineChars="228" w:firstLine="31680"/>
        <w:rPr>
          <w:rFonts w:hint="eastAsia"/>
        </w:rPr>
      </w:pPr>
      <w:r>
        <w:rPr>
          <w:rFonts w:hint="eastAsia"/>
        </w:rPr>
        <w:t>缺乏社会关注只能使女囚犯的境况更加恶化，根据上述大</w:t>
      </w:r>
      <w:r>
        <w:t>赦国际</w:t>
      </w:r>
      <w:r>
        <w:rPr>
          <w:rFonts w:hint="eastAsia"/>
        </w:rPr>
        <w:t>的报告，她们的配偶探视和适当的保健等权利正在被侵犯（第</w:t>
      </w:r>
      <w:r>
        <w:rPr>
          <w:rFonts w:hint="eastAsia"/>
        </w:rPr>
        <w:t>45/49</w:t>
      </w:r>
      <w:r>
        <w:rPr>
          <w:rFonts w:hint="eastAsia"/>
        </w:rPr>
        <w:t>页</w:t>
      </w:r>
      <w:r>
        <w:rPr>
          <w:rFonts w:hint="eastAsia"/>
        </w:rPr>
        <w:t>）。</w:t>
      </w:r>
    </w:p>
    <w:p w:rsidR="00000000" w:rsidRDefault="004D2F83" w:rsidP="004D2F83">
      <w:pPr>
        <w:spacing w:after="240" w:line="360" w:lineRule="exact"/>
        <w:ind w:firstLineChars="228" w:firstLine="31680"/>
        <w:rPr>
          <w:rFonts w:ascii="KaiTi_GB2312" w:eastAsia="KaiTi_GB2312" w:hint="eastAsia"/>
        </w:rPr>
      </w:pPr>
      <w:r>
        <w:rPr>
          <w:rFonts w:hint="eastAsia"/>
        </w:rPr>
        <w:t>另一位专家指出，</w:t>
      </w:r>
      <w:r>
        <w:rPr>
          <w:rStyle w:val="FootnoteReference"/>
        </w:rPr>
        <w:footnoteReference w:customMarkFollows="1" w:id="43"/>
        <w:t>43</w:t>
      </w:r>
      <w:r>
        <w:rPr>
          <w:rFonts w:hint="eastAsia"/>
        </w:rPr>
        <w:t xml:space="preserve"> </w:t>
      </w:r>
      <w:r>
        <w:rPr>
          <w:rFonts w:ascii="KaiTi_GB2312" w:eastAsia="KaiTi_GB2312" w:hint="eastAsia"/>
        </w:rPr>
        <w:t>“妇女权利问题目前存在两个主要矛盾：</w:t>
      </w:r>
      <w:r>
        <w:rPr>
          <w:rFonts w:ascii="KaiTi_GB2312" w:eastAsia="KaiTi_GB2312"/>
        </w:rPr>
        <w:t>a</w:t>
      </w:r>
      <w:r>
        <w:rPr>
          <w:rFonts w:ascii="KaiTi_GB2312" w:eastAsia="KaiTi_GB2312" w:hint="eastAsia"/>
        </w:rPr>
        <w:t>）国际和宪法规则绝对肯定男女之间权利的平等，而成文法和社会行为又受到重男轻女的旧偏见的影响，这两个事实共存；</w:t>
      </w:r>
      <w:r>
        <w:rPr>
          <w:rFonts w:ascii="KaiTi_GB2312" w:eastAsia="KaiTi_GB2312"/>
        </w:rPr>
        <w:t>b</w:t>
      </w:r>
      <w:r>
        <w:rPr>
          <w:rFonts w:ascii="KaiTi_GB2312" w:eastAsia="KaiTi_GB2312" w:hint="eastAsia"/>
        </w:rPr>
        <w:t>）保障妇女权利的成文法虽然存在，但却依然不起作用，因为它们与其所处的宗法社会的陈规定型观念相互抵触。”</w:t>
      </w:r>
    </w:p>
    <w:p w:rsidR="00000000" w:rsidRDefault="004D2F83" w:rsidP="004D2F83">
      <w:pPr>
        <w:spacing w:after="240" w:line="360" w:lineRule="exact"/>
        <w:ind w:firstLineChars="228" w:firstLine="31680"/>
        <w:rPr>
          <w:rFonts w:hint="eastAsia"/>
        </w:rPr>
      </w:pPr>
      <w:r>
        <w:rPr>
          <w:rFonts w:hint="eastAsia"/>
        </w:rPr>
        <w:t>虽然配偶探视是一个实际权利，但据巴西律师协会的一份题为“女囚犯情况简介”的报告（巴西律师协会出版社，</w:t>
      </w:r>
      <w:r>
        <w:rPr>
          <w:rFonts w:hint="eastAsia"/>
        </w:rPr>
        <w:t>1998</w:t>
      </w:r>
      <w:r>
        <w:rPr>
          <w:rFonts w:hint="eastAsia"/>
        </w:rPr>
        <w:t>年）称，圣保罗的妇女监狱却不允许行使这一权利。据了解“在圣保罗州的刑罚机构中，妇女无权获得配偶探视。剥夺女囚犯行使性权利已经</w:t>
      </w:r>
      <w:r>
        <w:rPr>
          <w:rFonts w:hint="eastAsia"/>
        </w:rPr>
        <w:t>导致她们改变了行为方式和性取向。许多人成为双性恋者，其他人则选择了禁欲，这些做法并非出于自愿，而是由于环境所迫。”</w:t>
      </w:r>
    </w:p>
    <w:p w:rsidR="00000000" w:rsidRDefault="004D2F83" w:rsidP="004D2F83">
      <w:pPr>
        <w:spacing w:after="240" w:line="360" w:lineRule="exact"/>
        <w:ind w:firstLineChars="228" w:firstLine="31680"/>
        <w:rPr>
          <w:rFonts w:hint="eastAsia"/>
        </w:rPr>
      </w:pPr>
      <w:r>
        <w:rPr>
          <w:rFonts w:hint="eastAsia"/>
        </w:rPr>
        <w:t>女囚犯在保健方面的权利也受到侵犯。在《联合国囚犯待遇最低限度标准规则》和相关建议（第</w:t>
      </w:r>
      <w:r>
        <w:rPr>
          <w:rFonts w:hint="eastAsia"/>
        </w:rPr>
        <w:t>2858/71</w:t>
      </w:r>
      <w:r>
        <w:rPr>
          <w:rFonts w:hint="eastAsia"/>
        </w:rPr>
        <w:t>号决议通过，并在第</w:t>
      </w:r>
      <w:r>
        <w:rPr>
          <w:rFonts w:hint="eastAsia"/>
        </w:rPr>
        <w:t>3218/74</w:t>
      </w:r>
      <w:r>
        <w:rPr>
          <w:rFonts w:hint="eastAsia"/>
        </w:rPr>
        <w:t>号决议中重申）关于医疗服务的一章中，论述了女囚犯的以下具体问题：</w:t>
      </w:r>
    </w:p>
    <w:p w:rsidR="00000000" w:rsidRDefault="004D2F83">
      <w:pPr>
        <w:pStyle w:val="BodyTextIndent2"/>
        <w:spacing w:after="240" w:line="360" w:lineRule="exact"/>
        <w:ind w:firstLine="479"/>
        <w:rPr>
          <w:rFonts w:eastAsia="KaiTi_GB2312" w:hint="eastAsia"/>
          <w:i w:val="0"/>
          <w:iCs/>
        </w:rPr>
      </w:pPr>
      <w:r>
        <w:rPr>
          <w:rFonts w:eastAsia="KaiTi_GB2312" w:hint="eastAsia"/>
          <w:i w:val="0"/>
          <w:iCs/>
        </w:rPr>
        <w:t>“关押女囚犯的刑罚机构应特别提供各种必须的产前和产后照顾和治疗。应尽可能做出安排，使婴儿在医院出生。如果婴儿在监狱出生，此点不应列入出生证内</w:t>
      </w:r>
      <w:r>
        <w:rPr>
          <w:rFonts w:hint="eastAsia"/>
          <w:i w:val="0"/>
          <w:iCs/>
        </w:rPr>
        <w:t>。</w:t>
      </w:r>
      <w:r>
        <w:rPr>
          <w:rFonts w:eastAsia="KaiTi_GB2312" w:hint="eastAsia"/>
          <w:i w:val="0"/>
          <w:iCs/>
        </w:rPr>
        <w:t>”</w:t>
      </w:r>
    </w:p>
    <w:p w:rsidR="00000000" w:rsidRDefault="004D2F83">
      <w:pPr>
        <w:pStyle w:val="BodyTextIndent2"/>
        <w:spacing w:after="240" w:line="360" w:lineRule="exact"/>
        <w:ind w:firstLine="479"/>
        <w:rPr>
          <w:rFonts w:eastAsia="KaiTi_GB2312" w:hint="eastAsia"/>
          <w:i w:val="0"/>
          <w:iCs/>
        </w:rPr>
      </w:pPr>
      <w:r>
        <w:rPr>
          <w:rFonts w:eastAsia="KaiTi_GB2312" w:hint="eastAsia"/>
          <w:i w:val="0"/>
          <w:iCs/>
        </w:rPr>
        <w:t>“如随母亲获准将婴儿留在身边，应当设置雇有合格工作人员</w:t>
      </w:r>
      <w:r>
        <w:rPr>
          <w:rFonts w:eastAsia="KaiTi_GB2312" w:hint="eastAsia"/>
          <w:i w:val="0"/>
          <w:iCs/>
        </w:rPr>
        <w:t>的育婴所（托儿所），除由母亲照顾的时间外，婴儿应放在育婴所。”</w:t>
      </w:r>
    </w:p>
    <w:p w:rsidR="00000000" w:rsidRDefault="004D2F83" w:rsidP="004D2F83">
      <w:pPr>
        <w:spacing w:after="240" w:line="360" w:lineRule="exact"/>
        <w:ind w:firstLineChars="228" w:firstLine="31680"/>
        <w:rPr>
          <w:rFonts w:hint="eastAsia"/>
        </w:rPr>
      </w:pPr>
      <w:r>
        <w:rPr>
          <w:rFonts w:hint="eastAsia"/>
        </w:rPr>
        <w:t>不过，尽管这样规定，只有圣保罗市的首都监狱和</w:t>
      </w:r>
      <w:r>
        <w:t>Butanta</w:t>
      </w:r>
      <w:r>
        <w:rPr>
          <w:rFonts w:hint="eastAsia"/>
        </w:rPr>
        <w:t>监狱真正采纳了这些规则。</w:t>
      </w:r>
    </w:p>
    <w:p w:rsidR="00000000" w:rsidRDefault="004D2F83">
      <w:pPr>
        <w:numPr>
          <w:ilvl w:val="0"/>
          <w:numId w:val="702"/>
        </w:numPr>
        <w:tabs>
          <w:tab w:val="clear" w:pos="840"/>
          <w:tab w:val="num" w:pos="480"/>
        </w:tabs>
        <w:spacing w:after="240" w:line="360" w:lineRule="exact"/>
        <w:ind w:left="480" w:hanging="480"/>
        <w:rPr>
          <w:rFonts w:eastAsia="KaiTi_GB2312" w:hint="eastAsia"/>
          <w:b/>
          <w:bCs/>
        </w:rPr>
      </w:pPr>
      <w:r>
        <w:rPr>
          <w:rFonts w:eastAsia="KaiTi_GB2312" w:hint="eastAsia"/>
          <w:b/>
          <w:bCs/>
        </w:rPr>
        <w:t>女囚犯的情况简介</w:t>
      </w:r>
    </w:p>
    <w:p w:rsidR="00000000" w:rsidRDefault="004D2F83" w:rsidP="004D2F83">
      <w:pPr>
        <w:spacing w:after="240" w:line="360" w:lineRule="exact"/>
        <w:ind w:firstLineChars="228" w:firstLine="31680"/>
        <w:rPr>
          <w:rFonts w:hint="eastAsia"/>
        </w:rPr>
      </w:pPr>
      <w:r>
        <w:rPr>
          <w:rFonts w:hint="eastAsia"/>
        </w:rPr>
        <w:t>上文提到女囚犯受到的关注微乎其微，因此有关被国家羁押的妇女情况的现有资料少而又少。</w:t>
      </w:r>
    </w:p>
    <w:p w:rsidR="00000000" w:rsidRDefault="004D2F83" w:rsidP="004D2F83">
      <w:pPr>
        <w:spacing w:after="240" w:line="360" w:lineRule="exact"/>
        <w:ind w:firstLineChars="228" w:firstLine="31680"/>
        <w:rPr>
          <w:rFonts w:hint="eastAsia"/>
        </w:rPr>
      </w:pPr>
      <w:r>
        <w:rPr>
          <w:rFonts w:hint="eastAsia"/>
        </w:rPr>
        <w:t>大</w:t>
      </w:r>
      <w:r>
        <w:t>赦</w:t>
      </w:r>
      <w:r>
        <w:rPr>
          <w:rFonts w:hint="eastAsia"/>
        </w:rPr>
        <w:t>国际编写的报告指出：“在巴西，女囚犯一般出身贫寒，教育水平很低。阿雷格里港一半以上，圣保罗</w:t>
      </w:r>
      <w:r>
        <w:rPr>
          <w:rFonts w:hint="eastAsia"/>
        </w:rPr>
        <w:t>77%</w:t>
      </w:r>
      <w:r>
        <w:rPr>
          <w:rFonts w:hint="eastAsia"/>
        </w:rPr>
        <w:t>的女囚犯没有完成小学教育。其中大多数是家庭户主，</w:t>
      </w:r>
      <w:r>
        <w:rPr>
          <w:rFonts w:hint="eastAsia"/>
        </w:rPr>
        <w:t>65%</w:t>
      </w:r>
      <w:r>
        <w:rPr>
          <w:rFonts w:hint="eastAsia"/>
        </w:rPr>
        <w:t>是单身——大多数有子女——而且一半以上要养家糊口（……）。据这些妇女称，与子女分开是她们焦虑的主要原因，而在</w:t>
      </w:r>
      <w:r>
        <w:rPr>
          <w:rFonts w:hint="eastAsia"/>
        </w:rPr>
        <w:t>监狱中，探视她们的人也不如探视那些男囚犯的人频繁”。</w:t>
      </w:r>
    </w:p>
    <w:p w:rsidR="00000000" w:rsidRDefault="004D2F83" w:rsidP="004D2F83">
      <w:pPr>
        <w:spacing w:after="240" w:line="360" w:lineRule="exact"/>
        <w:ind w:firstLineChars="228" w:firstLine="31680"/>
        <w:rPr>
          <w:rFonts w:hint="eastAsia"/>
        </w:rPr>
      </w:pPr>
      <w:r>
        <w:rPr>
          <w:rFonts w:hint="eastAsia"/>
        </w:rPr>
        <w:t>根据巴西律师协会</w:t>
      </w:r>
      <w:r>
        <w:rPr>
          <w:rFonts w:hint="eastAsia"/>
        </w:rPr>
        <w:t>1998</w:t>
      </w:r>
      <w:r>
        <w:rPr>
          <w:rFonts w:hint="eastAsia"/>
        </w:rPr>
        <w:t>年题为“女囚犯情况简介”的报告，据了解“在被捕之前，</w:t>
      </w:r>
      <w:r>
        <w:rPr>
          <w:rFonts w:hint="eastAsia"/>
        </w:rPr>
        <w:t>75</w:t>
      </w:r>
      <w:r>
        <w:t>.61</w:t>
      </w:r>
      <w:r>
        <w:rPr>
          <w:rFonts w:hint="eastAsia"/>
        </w:rPr>
        <w:t>%</w:t>
      </w:r>
      <w:r>
        <w:rPr>
          <w:rFonts w:hint="eastAsia"/>
        </w:rPr>
        <w:t>的女囚犯有工作，而其中只有</w:t>
      </w:r>
      <w:r>
        <w:rPr>
          <w:rFonts w:hint="eastAsia"/>
        </w:rPr>
        <w:t>17%</w:t>
      </w:r>
      <w:r>
        <w:rPr>
          <w:rFonts w:hint="eastAsia"/>
        </w:rPr>
        <w:t>有权获得失业津贴。这是因为这些妇女过去大多在非正规的市场工作，因此在被捕后无权享受法律规定的权利。”</w:t>
      </w:r>
    </w:p>
    <w:p w:rsidR="00000000" w:rsidRDefault="004D2F83" w:rsidP="004D2F83">
      <w:pPr>
        <w:spacing w:after="240" w:line="360" w:lineRule="exact"/>
        <w:ind w:firstLineChars="228" w:firstLine="31680"/>
        <w:rPr>
          <w:rFonts w:hint="eastAsia"/>
        </w:rPr>
      </w:pPr>
      <w:r>
        <w:rPr>
          <w:rFonts w:hint="eastAsia"/>
        </w:rPr>
        <w:t>仍然根据上文提到的报告，“</w:t>
      </w:r>
      <w:r>
        <w:rPr>
          <w:rFonts w:hint="eastAsia"/>
        </w:rPr>
        <w:t>54</w:t>
      </w:r>
      <w:r>
        <w:t>.88</w:t>
      </w:r>
      <w:r>
        <w:rPr>
          <w:rFonts w:hint="eastAsia"/>
        </w:rPr>
        <w:t>%</w:t>
      </w:r>
      <w:r>
        <w:rPr>
          <w:rFonts w:hint="eastAsia"/>
        </w:rPr>
        <w:t>的女囚犯家庭收入不超过四种最低工资，也就是说，她们的收入无疑太低，不足以负担一个家庭。这一事实可以表明，犯罪是她们解决家庭生存的基本问题的一条出路。（……）”。</w:t>
      </w:r>
    </w:p>
    <w:p w:rsidR="00000000" w:rsidRDefault="004D2F83" w:rsidP="004D2F83">
      <w:pPr>
        <w:spacing w:after="240" w:line="360" w:lineRule="exact"/>
        <w:ind w:firstLineChars="228" w:firstLine="31680"/>
        <w:rPr>
          <w:rFonts w:hint="eastAsia"/>
        </w:rPr>
      </w:pPr>
      <w:r>
        <w:rPr>
          <w:rFonts w:hint="eastAsia"/>
        </w:rPr>
        <w:t>女囚犯的另一个重要特征就是年龄。她们</w:t>
      </w:r>
      <w:r>
        <w:rPr>
          <w:rFonts w:hint="eastAsia"/>
        </w:rPr>
        <w:t>大多都很年轻：根据巴西律师协会的报告，据了解“</w:t>
      </w:r>
      <w:r>
        <w:rPr>
          <w:rFonts w:hint="eastAsia"/>
        </w:rPr>
        <w:t>18</w:t>
      </w:r>
      <w:r>
        <w:rPr>
          <w:rFonts w:hint="eastAsia"/>
        </w:rPr>
        <w:t>至</w:t>
      </w:r>
      <w:r>
        <w:rPr>
          <w:rFonts w:hint="eastAsia"/>
        </w:rPr>
        <w:t>30</w:t>
      </w:r>
      <w:r>
        <w:rPr>
          <w:rFonts w:hint="eastAsia"/>
        </w:rPr>
        <w:t>岁的占</w:t>
      </w:r>
      <w:r>
        <w:rPr>
          <w:rFonts w:hint="eastAsia"/>
        </w:rPr>
        <w:t>56</w:t>
      </w:r>
      <w:r>
        <w:t>.9%</w:t>
      </w:r>
      <w:r>
        <w:rPr>
          <w:rFonts w:hint="eastAsia"/>
        </w:rPr>
        <w:t>，而三、四十岁的占</w:t>
      </w:r>
      <w:r>
        <w:rPr>
          <w:rFonts w:hint="eastAsia"/>
        </w:rPr>
        <w:t>30</w:t>
      </w:r>
      <w:r>
        <w:t>.08%</w:t>
      </w:r>
      <w:r>
        <w:rPr>
          <w:rFonts w:hint="eastAsia"/>
        </w:rPr>
        <w:t>”</w:t>
      </w:r>
      <w:r>
        <w:rPr>
          <w:rFonts w:hint="eastAsia"/>
        </w:rPr>
        <w:t xml:space="preserve"> </w:t>
      </w:r>
      <w:r>
        <w:rPr>
          <w:rFonts w:hint="eastAsia"/>
        </w:rPr>
        <w:t>。</w:t>
      </w:r>
    </w:p>
    <w:p w:rsidR="00000000" w:rsidRDefault="004D2F83" w:rsidP="004D2F83">
      <w:pPr>
        <w:spacing w:after="240" w:line="360" w:lineRule="exact"/>
        <w:ind w:firstLineChars="228" w:firstLine="31680"/>
        <w:rPr>
          <w:rFonts w:hint="eastAsia"/>
        </w:rPr>
      </w:pPr>
      <w:r>
        <w:rPr>
          <w:rFonts w:hint="eastAsia"/>
        </w:rPr>
        <w:t>因此，可以说巴西的女囚犯问题需要当局和社会更多的关注和援助。这些妇女的权利受到轻视甚至侵犯，导致她们最终被社会排除在外。女囚犯的权利需要得到尊重，并保证满足她们法律规定的基本需求，以确保她们最大限度地重返社会。</w:t>
      </w:r>
    </w:p>
    <w:p w:rsidR="00000000" w:rsidRDefault="004D2F83">
      <w:pPr>
        <w:numPr>
          <w:ilvl w:val="0"/>
          <w:numId w:val="702"/>
        </w:numPr>
        <w:tabs>
          <w:tab w:val="clear" w:pos="840"/>
          <w:tab w:val="num" w:pos="480"/>
        </w:tabs>
        <w:spacing w:after="240" w:line="360" w:lineRule="exact"/>
        <w:ind w:left="480" w:hanging="480"/>
        <w:rPr>
          <w:rFonts w:eastAsia="KaiTi_GB2312" w:hint="eastAsia"/>
          <w:b/>
          <w:bCs/>
        </w:rPr>
      </w:pPr>
      <w:r>
        <w:rPr>
          <w:rFonts w:eastAsia="KaiTi_GB2312" w:hint="eastAsia"/>
          <w:b/>
          <w:bCs/>
        </w:rPr>
        <w:t>土著妇女</w:t>
      </w:r>
    </w:p>
    <w:p w:rsidR="00000000" w:rsidRDefault="004D2F83" w:rsidP="004D2F83">
      <w:pPr>
        <w:spacing w:after="240" w:line="360" w:lineRule="exact"/>
        <w:ind w:firstLineChars="228" w:firstLine="31680"/>
        <w:rPr>
          <w:rFonts w:hint="eastAsia"/>
        </w:rPr>
      </w:pPr>
      <w:r>
        <w:rPr>
          <w:rFonts w:ascii="" w:hAnsi="" w:hint="eastAsia"/>
          <w:szCs w:val="18"/>
        </w:rPr>
        <w:t>应该特别提及</w:t>
      </w:r>
      <w:r>
        <w:rPr>
          <w:rFonts w:hint="eastAsia"/>
        </w:rPr>
        <w:t>土著人，特别是土著妇女的现状。</w:t>
      </w:r>
    </w:p>
    <w:p w:rsidR="00000000" w:rsidRDefault="004D2F83" w:rsidP="004D2F83">
      <w:pPr>
        <w:spacing w:after="240" w:line="360" w:lineRule="exact"/>
        <w:ind w:firstLineChars="228" w:firstLine="31680"/>
        <w:rPr>
          <w:rFonts w:hint="eastAsia"/>
        </w:rPr>
      </w:pPr>
      <w:r>
        <w:rPr>
          <w:rFonts w:hint="eastAsia"/>
        </w:rPr>
        <w:t>巴西土著人的权利基本包含在三个法律文书中。首先一个就是</w:t>
      </w:r>
      <w:r>
        <w:rPr>
          <w:rFonts w:hint="eastAsia"/>
        </w:rPr>
        <w:t>1916</w:t>
      </w:r>
      <w:r>
        <w:rPr>
          <w:rFonts w:hint="eastAsia"/>
        </w:rPr>
        <w:t>年的《民法典》，其中认为土著男子和妇女的能力相对不足，因此需要由国家通过全</w:t>
      </w:r>
      <w:r>
        <w:rPr>
          <w:rFonts w:hint="eastAsia"/>
        </w:rPr>
        <w:t>国土著人基金会（</w:t>
      </w:r>
      <w:r>
        <w:rPr>
          <w:rFonts w:hint="eastAsia"/>
        </w:rPr>
        <w:t>FUNAI</w:t>
      </w:r>
      <w:r>
        <w:rPr>
          <w:rFonts w:hint="eastAsia"/>
        </w:rPr>
        <w:t>）来保护他们的权利。</w:t>
      </w:r>
    </w:p>
    <w:p w:rsidR="00000000" w:rsidRDefault="004D2F83" w:rsidP="004D2F83">
      <w:pPr>
        <w:spacing w:after="240" w:line="360" w:lineRule="exact"/>
        <w:ind w:firstLineChars="228" w:firstLine="31680"/>
        <w:rPr>
          <w:rFonts w:hint="eastAsia"/>
        </w:rPr>
      </w:pPr>
      <w:r>
        <w:rPr>
          <w:rFonts w:hint="eastAsia"/>
        </w:rPr>
        <w:t>再一个就是</w:t>
      </w:r>
      <w:r>
        <w:rPr>
          <w:rFonts w:hint="eastAsia"/>
        </w:rPr>
        <w:t>1973</w:t>
      </w:r>
      <w:r>
        <w:rPr>
          <w:rFonts w:hint="eastAsia"/>
        </w:rPr>
        <w:t>年第</w:t>
      </w:r>
      <w:r>
        <w:rPr>
          <w:rFonts w:hint="eastAsia"/>
        </w:rPr>
        <w:t>6001</w:t>
      </w:r>
      <w:r>
        <w:rPr>
          <w:rFonts w:hint="eastAsia"/>
        </w:rPr>
        <w:t>号法律——《土著人法》，其中确定了土著人与周围社会的关系，重点强调由全国土著人基金会行使监护权。该法律的依据是土著人在文化上处于劣势，只有与周围社会同化，不再是土著人之后才能得到发展。因此，他们的一切权利都被视为过渡性的，也就是说，它们只在被同化之前存在。</w:t>
      </w:r>
    </w:p>
    <w:p w:rsidR="00000000" w:rsidRDefault="004D2F83" w:rsidP="004D2F83">
      <w:pPr>
        <w:spacing w:after="240" w:line="360" w:lineRule="exact"/>
        <w:ind w:firstLineChars="228" w:firstLine="31680"/>
        <w:rPr>
          <w:rFonts w:hint="eastAsia"/>
        </w:rPr>
      </w:pPr>
      <w:r>
        <w:rPr>
          <w:rFonts w:hint="eastAsia"/>
        </w:rPr>
        <w:t>第三个管理此事的法律文书——</w:t>
      </w:r>
      <w:r>
        <w:rPr>
          <w:rFonts w:hint="eastAsia"/>
        </w:rPr>
        <w:t>1988</w:t>
      </w:r>
      <w:r>
        <w:rPr>
          <w:rFonts w:hint="eastAsia"/>
        </w:rPr>
        <w:t>年《宪法》从根本上改变了土著人与巴西社会之间关系的法律基础。新《宪章》尊重土著人的社会组织、风俗习惯、语言和传统，取消了以同化为目的的观念，</w:t>
      </w:r>
      <w:r>
        <w:rPr>
          <w:rFonts w:hint="eastAsia"/>
        </w:rPr>
        <w:t>支持存在差异的权利。因此，修改《民法典》和《土著人法》就成为势在必行、不能再拖延的事情。</w:t>
      </w:r>
    </w:p>
    <w:p w:rsidR="00000000" w:rsidRDefault="004D2F83" w:rsidP="004D2F83">
      <w:pPr>
        <w:spacing w:after="240" w:line="360" w:lineRule="exact"/>
        <w:ind w:firstLineChars="228" w:firstLine="31680"/>
        <w:rPr>
          <w:rFonts w:hint="eastAsia"/>
        </w:rPr>
      </w:pPr>
      <w:r>
        <w:rPr>
          <w:rFonts w:hint="eastAsia"/>
        </w:rPr>
        <w:t>议会最近通过了一个文书，其目的就是对《民法典》进行修改。该文书取消了土著人无法律行为能力的说法，并将制定有关土著人法律行为的适当标准留给具体的法律来确定。</w:t>
      </w:r>
    </w:p>
    <w:p w:rsidR="00000000" w:rsidRDefault="004D2F83" w:rsidP="004D2F83">
      <w:pPr>
        <w:spacing w:after="240" w:line="360" w:lineRule="exact"/>
        <w:ind w:firstLineChars="228" w:firstLine="31680"/>
        <w:rPr>
          <w:rFonts w:hint="eastAsia"/>
        </w:rPr>
      </w:pPr>
      <w:r>
        <w:rPr>
          <w:rFonts w:hint="eastAsia"/>
        </w:rPr>
        <w:t>在这方面，土著妇女的性权利和生殖权利问题尚未得到充分关注。不过，去年通过开展提高土著妇女能力运动和提出许多有关侵犯她们权利问题的报告，这一问题开始在公共政策拟订论坛上进行探讨。比如，德班（南非）反对种族主义世界会议就是一例。巴西代表团向该会议提交了一份正式文件，明确</w:t>
      </w:r>
      <w:r>
        <w:rPr>
          <w:rFonts w:hint="eastAsia"/>
        </w:rPr>
        <w:t>提出有必要保护土著妇女的权利，特别是有军队驻扎的土著土地上的妇女的权利。值得强调的是，正是一名巴西土著妇女</w:t>
      </w:r>
      <w:r>
        <w:t>Azelene Kaingang</w:t>
      </w:r>
      <w:r>
        <w:rPr>
          <w:rFonts w:hint="eastAsia"/>
        </w:rPr>
        <w:t>，在巴西参加德班会议筹备委员会中作为土著运动的代表。</w:t>
      </w:r>
    </w:p>
    <w:p w:rsidR="00000000" w:rsidRDefault="004D2F83" w:rsidP="004D2F83">
      <w:pPr>
        <w:spacing w:after="240" w:line="360" w:lineRule="exact"/>
        <w:ind w:firstLineChars="228" w:firstLine="31680"/>
        <w:rPr>
          <w:rFonts w:hint="eastAsia"/>
        </w:rPr>
      </w:pPr>
      <w:r>
        <w:rPr>
          <w:rFonts w:hint="eastAsia"/>
        </w:rPr>
        <w:t>对于土著人，巴西《宪法》确保他们有权接受母语教育。教育部支助了几个土著教师资格培训活动，并为此为土著学校制定了具体的课程范围以便进行双语教育。</w:t>
      </w:r>
      <w:r>
        <w:rPr>
          <w:rFonts w:hint="eastAsia"/>
        </w:rPr>
        <w:t>2001</w:t>
      </w:r>
      <w:r>
        <w:rPr>
          <w:rFonts w:hint="eastAsia"/>
        </w:rPr>
        <w:t>年，马托格罗索州推行了培训土著教师的第一个大学课程，称为第一个土著大学项目。亚马孙州正在拟订一个类似的活动。</w:t>
      </w:r>
    </w:p>
    <w:p w:rsidR="00000000" w:rsidRDefault="004D2F83">
      <w:pPr>
        <w:pStyle w:val="Date"/>
        <w:spacing w:after="240" w:line="360" w:lineRule="exact"/>
        <w:rPr>
          <w:rFonts w:eastAsia="SimHei" w:hint="eastAsia"/>
          <w:sz w:val="24"/>
        </w:rPr>
      </w:pPr>
      <w:r>
        <w:rPr>
          <w:rFonts w:eastAsia="SimHei" w:hint="eastAsia"/>
          <w:sz w:val="24"/>
        </w:rPr>
        <w:t>政府行动</w:t>
      </w:r>
    </w:p>
    <w:p w:rsidR="00000000" w:rsidRDefault="004D2F83">
      <w:pPr>
        <w:numPr>
          <w:ilvl w:val="0"/>
          <w:numId w:val="702"/>
        </w:numPr>
        <w:tabs>
          <w:tab w:val="clear" w:pos="840"/>
          <w:tab w:val="num" w:pos="480"/>
        </w:tabs>
        <w:spacing w:after="240" w:line="360" w:lineRule="exact"/>
        <w:ind w:left="480" w:hanging="480"/>
        <w:rPr>
          <w:rFonts w:eastAsia="KaiTi_GB2312" w:hint="eastAsia"/>
          <w:b/>
          <w:bCs/>
        </w:rPr>
      </w:pPr>
      <w:r>
        <w:rPr>
          <w:rFonts w:eastAsia="KaiTi_GB2312" w:hint="eastAsia"/>
          <w:b/>
          <w:bCs/>
        </w:rPr>
        <w:t>土著特别卫生地区（</w:t>
      </w:r>
      <w:r>
        <w:rPr>
          <w:rFonts w:eastAsia="KaiTi_GB2312" w:hint="eastAsia"/>
          <w:b/>
          <w:bCs/>
        </w:rPr>
        <w:t>DSEIS</w:t>
      </w:r>
      <w:r>
        <w:rPr>
          <w:rFonts w:eastAsia="KaiTi_GB2312" w:hint="eastAsia"/>
          <w:b/>
          <w:bCs/>
        </w:rPr>
        <w:t>）</w:t>
      </w:r>
    </w:p>
    <w:p w:rsidR="00000000" w:rsidRDefault="004D2F83">
      <w:pPr>
        <w:pStyle w:val="BodyTextIndent2"/>
        <w:spacing w:after="240" w:line="360" w:lineRule="exact"/>
        <w:ind w:firstLine="479"/>
        <w:rPr>
          <w:rFonts w:hint="eastAsia"/>
          <w:i w:val="0"/>
          <w:iCs/>
        </w:rPr>
      </w:pPr>
      <w:r>
        <w:rPr>
          <w:rFonts w:hint="eastAsia"/>
          <w:i w:val="0"/>
          <w:iCs/>
        </w:rPr>
        <w:t>土著特别土著卫生地</w:t>
      </w:r>
      <w:r>
        <w:rPr>
          <w:rFonts w:hint="eastAsia"/>
          <w:i w:val="0"/>
          <w:iCs/>
        </w:rPr>
        <w:t>区负责确保卫生部向全国的土著人提供保健服务。这项服务的行政协调工作由国家卫生基金会行动委员会（</w:t>
      </w:r>
      <w:r>
        <w:rPr>
          <w:rFonts w:hint="eastAsia"/>
          <w:i w:val="0"/>
          <w:iCs/>
        </w:rPr>
        <w:t>FUNASA</w:t>
      </w:r>
      <w:r>
        <w:rPr>
          <w:rFonts w:hint="eastAsia"/>
          <w:i w:val="0"/>
          <w:iCs/>
        </w:rPr>
        <w:t>）开展，反过来，该委员会又通过与州和市级公共机构民间社会组织，并在很多时候就是与土著组织本身签订协议开展工作。不过，在这些地区范围内，目前还没有一个适当的机制确保统一处理土著妇女的性权利和生殖权利问题。部分原因可能在于地区体制刚刚建立这一事实。此外，国家的文化多样性也给这一问题的解决造成困难。</w:t>
      </w:r>
    </w:p>
    <w:p w:rsidR="00000000" w:rsidRDefault="004D2F83" w:rsidP="004D2F83">
      <w:pPr>
        <w:spacing w:after="240" w:line="360" w:lineRule="exact"/>
        <w:ind w:firstLineChars="228" w:firstLine="31680"/>
        <w:rPr>
          <w:rFonts w:hint="eastAsia"/>
        </w:rPr>
      </w:pPr>
      <w:r>
        <w:rPr>
          <w:rFonts w:ascii="" w:hAnsi="" w:hint="eastAsia"/>
          <w:szCs w:val="18"/>
        </w:rPr>
        <w:t>直到</w:t>
      </w:r>
      <w:r>
        <w:rPr>
          <w:rFonts w:ascii="" w:hAnsi="" w:hint="eastAsia"/>
          <w:szCs w:val="18"/>
        </w:rPr>
        <w:t>90</w:t>
      </w:r>
      <w:r>
        <w:rPr>
          <w:rFonts w:ascii="" w:hAnsi="" w:hint="eastAsia"/>
          <w:szCs w:val="18"/>
        </w:rPr>
        <w:t>年代中期，</w:t>
      </w:r>
      <w:r>
        <w:rPr>
          <w:rFonts w:hint="eastAsia"/>
        </w:rPr>
        <w:t>土著妇女才开始组织起来维护她们的权利和利益。那时创建了几个土著妇女组织，主要是在巴西的亚马孙</w:t>
      </w:r>
      <w:r>
        <w:rPr>
          <w:rFonts w:hint="eastAsia"/>
        </w:rPr>
        <w:t>地区。</w:t>
      </w:r>
      <w:r>
        <w:rPr>
          <w:rFonts w:hint="eastAsia"/>
        </w:rPr>
        <w:t>2001</w:t>
      </w:r>
      <w:r>
        <w:rPr>
          <w:rFonts w:hint="eastAsia"/>
        </w:rPr>
        <w:t>年，土著妇女会议在北部的阿克里州召开，使这一进程达到高潮。土著妇女会议除了其他举措外，确定了妇女运动提出的一个议程，其中一个焦点就是性权利和生殖权利问题。</w:t>
      </w:r>
    </w:p>
    <w:p w:rsidR="00000000" w:rsidRDefault="004D2F83" w:rsidP="004D2F83">
      <w:pPr>
        <w:spacing w:after="240" w:line="360" w:lineRule="exact"/>
        <w:ind w:firstLineChars="228" w:firstLine="31680"/>
        <w:rPr>
          <w:rFonts w:hint="eastAsia"/>
        </w:rPr>
      </w:pPr>
      <w:r>
        <w:rPr>
          <w:rFonts w:hint="eastAsia"/>
        </w:rPr>
        <w:t>过去几个月中，人们一直在广泛讨论有关土著妇女受到驻扎在土著人领地的军人性虐待的报告。这些报告主要涉及驻扎在罗赖马州的</w:t>
      </w:r>
      <w:r>
        <w:rPr>
          <w:rFonts w:hint="eastAsia"/>
        </w:rPr>
        <w:t>Ianomami</w:t>
      </w:r>
      <w:r>
        <w:rPr>
          <w:rFonts w:hint="eastAsia"/>
        </w:rPr>
        <w:t>人和亚马孙州上、下内格罗河地区的</w:t>
      </w:r>
      <w:r>
        <w:rPr>
          <w:rFonts w:hint="eastAsia"/>
        </w:rPr>
        <w:t>Tukano</w:t>
      </w:r>
      <w:r>
        <w:rPr>
          <w:rFonts w:hint="eastAsia"/>
        </w:rPr>
        <w:t>人领地。</w:t>
      </w:r>
    </w:p>
    <w:p w:rsidR="00000000" w:rsidRDefault="004D2F83" w:rsidP="004D2F83">
      <w:pPr>
        <w:spacing w:after="240" w:line="360" w:lineRule="exact"/>
        <w:ind w:firstLineChars="228" w:firstLine="31680"/>
        <w:rPr>
          <w:rFonts w:hint="eastAsia"/>
        </w:rPr>
      </w:pPr>
      <w:r>
        <w:rPr>
          <w:rFonts w:hint="eastAsia"/>
        </w:rPr>
        <w:t>除了司法部门对这些报告进行调查之外，巴西政府也在考虑制定一个“行为守则”，规范武装部队在土著人领地的表现，特别是对待土著妇女的性权利和生殖权利方面的表现。实</w:t>
      </w:r>
      <w:r>
        <w:rPr>
          <w:rFonts w:hint="eastAsia"/>
        </w:rPr>
        <w:t>际上，这一举措就是巴西政府在反对种族主义世界会议期间所做的承诺之一。</w:t>
      </w:r>
    </w:p>
    <w:p w:rsidR="00000000" w:rsidRDefault="004D2F83" w:rsidP="004D2F83">
      <w:pPr>
        <w:spacing w:after="240" w:line="360" w:lineRule="exact"/>
        <w:ind w:firstLineChars="228" w:firstLine="31680"/>
      </w:pPr>
      <w:r>
        <w:rPr>
          <w:rFonts w:hint="eastAsia"/>
        </w:rPr>
        <w:t>不幸的是，已有关于这些社区出现艾滋病病例的报告。比如，最近在</w:t>
      </w:r>
      <w:r>
        <w:rPr>
          <w:rFonts w:hint="eastAsia"/>
        </w:rPr>
        <w:t>Xikrin</w:t>
      </w:r>
      <w:r>
        <w:rPr>
          <w:rFonts w:hint="eastAsia"/>
        </w:rPr>
        <w:t>人中就查出首例患者，这些人的领地一直位于北部的帕拉州。由于这些报告，政府已经加紧开展各种运动，预防疾病并传播有关疾病的信息，比如在亚马孙州的</w:t>
      </w:r>
      <w:r>
        <w:rPr>
          <w:rFonts w:hint="eastAsia"/>
        </w:rPr>
        <w:t>Icuna</w:t>
      </w:r>
      <w:r>
        <w:rPr>
          <w:rFonts w:hint="eastAsia"/>
        </w:rPr>
        <w:t>印第安人中开展的运动。</w:t>
      </w:r>
    </w:p>
    <w:p w:rsidR="00000000" w:rsidRDefault="004D2F83">
      <w:pPr>
        <w:spacing w:line="360" w:lineRule="exact"/>
        <w:jc w:val="center"/>
        <w:rPr>
          <w:rFonts w:hint="eastAsia"/>
        </w:rPr>
      </w:pPr>
      <w:r>
        <w:br w:type="page"/>
      </w:r>
    </w:p>
    <w:p w:rsidR="00000000" w:rsidRDefault="004D2F83">
      <w:pPr>
        <w:pStyle w:val="Heading3"/>
        <w:numPr>
          <w:ilvl w:val="0"/>
          <w:numId w:val="0"/>
        </w:numPr>
        <w:spacing w:before="0"/>
        <w:jc w:val="center"/>
        <w:rPr>
          <w:rFonts w:ascii="KaiTi_GB2312" w:eastAsia="KaiTi_GB2312" w:hint="eastAsia"/>
          <w:b/>
          <w:bCs/>
          <w:u w:val="none"/>
        </w:rPr>
      </w:pPr>
      <w:bookmarkStart w:id="9" w:name="_Toc36367079"/>
      <w:r>
        <w:rPr>
          <w:rFonts w:ascii="KaiTi_GB2312" w:eastAsia="KaiTi_GB2312" w:hint="eastAsia"/>
          <w:b/>
          <w:bCs/>
          <w:u w:val="none"/>
        </w:rPr>
        <w:t>第</w:t>
      </w:r>
      <w:r>
        <w:rPr>
          <w:rFonts w:ascii="KaiTi_GB2312" w:eastAsia="KaiTi_GB2312"/>
          <w:b/>
          <w:bCs/>
          <w:u w:val="none"/>
        </w:rPr>
        <w:t>3</w:t>
      </w:r>
      <w:r>
        <w:rPr>
          <w:rFonts w:ascii="KaiTi_GB2312" w:eastAsia="KaiTi_GB2312" w:hint="eastAsia"/>
          <w:b/>
          <w:bCs/>
          <w:u w:val="none"/>
        </w:rPr>
        <w:t>条</w:t>
      </w:r>
      <w:bookmarkEnd w:id="9"/>
    </w:p>
    <w:p w:rsidR="00000000" w:rsidRDefault="004D2F83" w:rsidP="004D2F83">
      <w:pPr>
        <w:pStyle w:val="NormalWeb"/>
        <w:spacing w:before="0" w:beforeAutospacing="0" w:after="240" w:afterAutospacing="0" w:line="360" w:lineRule="exact"/>
        <w:ind w:firstLineChars="200" w:firstLine="31680"/>
        <w:rPr>
          <w:rFonts w:ascii="" w:eastAsia="KaiTi_GB2312" w:hAnsi="" w:hint="eastAsia"/>
          <w:sz w:val="21"/>
          <w:szCs w:val="18"/>
        </w:rPr>
      </w:pPr>
      <w:r>
        <w:rPr>
          <w:rFonts w:ascii="" w:eastAsia="KaiTi_GB2312" w:hAnsi="" w:hint="eastAsia"/>
          <w:b/>
          <w:bCs/>
          <w:sz w:val="21"/>
          <w:szCs w:val="18"/>
        </w:rPr>
        <w:t>缔约各国应承担在所有领域，特别是在政治、社会、经济、文化领域，采取一切适当措施，包括制定法律，保证妇女得到充分发展和进步，其目的是为确保她们在与男子平等的基础上，行使和享有人权和基本自</w:t>
      </w:r>
      <w:r>
        <w:rPr>
          <w:rFonts w:ascii="" w:eastAsia="KaiTi_GB2312" w:hAnsi="" w:hint="eastAsia"/>
          <w:b/>
          <w:bCs/>
          <w:sz w:val="21"/>
          <w:szCs w:val="18"/>
        </w:rPr>
        <w:t>由。</w:t>
      </w:r>
      <w:r>
        <w:rPr>
          <w:rFonts w:ascii="" w:eastAsia="KaiTi_GB2312" w:hAnsi="" w:hint="eastAsia"/>
          <w:b/>
          <w:bCs/>
          <w:sz w:val="21"/>
          <w:szCs w:val="18"/>
        </w:rPr>
        <w:t xml:space="preserve"> </w:t>
      </w:r>
    </w:p>
    <w:p w:rsidR="00000000" w:rsidRDefault="004D2F83">
      <w:pPr>
        <w:pStyle w:val="Date"/>
        <w:spacing w:after="240" w:line="360" w:lineRule="exact"/>
        <w:rPr>
          <w:rFonts w:eastAsia="SimHei" w:hint="eastAsia"/>
          <w:sz w:val="24"/>
        </w:rPr>
      </w:pPr>
      <w:r>
        <w:rPr>
          <w:rFonts w:eastAsia="SimHei" w:hint="eastAsia"/>
          <w:sz w:val="24"/>
        </w:rPr>
        <w:t>立法措施</w:t>
      </w:r>
    </w:p>
    <w:p w:rsidR="00000000" w:rsidRDefault="004D2F83" w:rsidP="004D2F83">
      <w:pPr>
        <w:spacing w:after="240" w:line="360" w:lineRule="exact"/>
        <w:ind w:firstLineChars="225" w:firstLine="31680"/>
        <w:rPr>
          <w:rFonts w:hint="eastAsia"/>
        </w:rPr>
      </w:pPr>
      <w:r>
        <w:rPr>
          <w:rFonts w:hint="eastAsia"/>
        </w:rPr>
        <w:t>关于男女平等，巴西从</w:t>
      </w:r>
      <w:r>
        <w:rPr>
          <w:rFonts w:hint="eastAsia"/>
        </w:rPr>
        <w:t>1930</w:t>
      </w:r>
      <w:r>
        <w:rPr>
          <w:rFonts w:hint="eastAsia"/>
        </w:rPr>
        <w:t>年代起就已开始对其立法进行重大修改，从</w:t>
      </w:r>
      <w:r>
        <w:rPr>
          <w:rFonts w:hint="eastAsia"/>
        </w:rPr>
        <w:t>1934</w:t>
      </w:r>
      <w:r>
        <w:rPr>
          <w:rFonts w:hint="eastAsia"/>
        </w:rPr>
        <w:t>年的实行普选制到</w:t>
      </w:r>
      <w:r>
        <w:rPr>
          <w:rFonts w:hint="eastAsia"/>
        </w:rPr>
        <w:t>1960</w:t>
      </w:r>
      <w:r>
        <w:rPr>
          <w:rFonts w:hint="eastAsia"/>
        </w:rPr>
        <w:t>年代承认妇女充分的法律行为能力。</w:t>
      </w:r>
    </w:p>
    <w:p w:rsidR="00000000" w:rsidRDefault="004D2F83" w:rsidP="004D2F83">
      <w:pPr>
        <w:spacing w:after="240" w:line="360" w:lineRule="exact"/>
        <w:ind w:firstLineChars="225" w:firstLine="31680"/>
        <w:rPr>
          <w:rFonts w:hint="eastAsia"/>
        </w:rPr>
      </w:pPr>
      <w:r>
        <w:rPr>
          <w:rFonts w:hint="eastAsia"/>
        </w:rPr>
        <w:t>1970</w:t>
      </w:r>
      <w:r>
        <w:rPr>
          <w:rFonts w:hint="eastAsia"/>
        </w:rPr>
        <w:t>年代初期，第一批女权主义团体开始组建。</w:t>
      </w:r>
      <w:r>
        <w:rPr>
          <w:rFonts w:hint="eastAsia"/>
        </w:rPr>
        <w:t>1975</w:t>
      </w:r>
      <w:r>
        <w:rPr>
          <w:rFonts w:hint="eastAsia"/>
        </w:rPr>
        <w:t>年被联合国宣布为国际妇女年，强调了新女权主义者对登上政治舞台的要求。</w:t>
      </w:r>
    </w:p>
    <w:p w:rsidR="00000000" w:rsidRDefault="004D2F83" w:rsidP="004D2F83">
      <w:pPr>
        <w:spacing w:after="240" w:line="360" w:lineRule="exact"/>
        <w:ind w:firstLineChars="225" w:firstLine="31680"/>
        <w:rPr>
          <w:rFonts w:hint="eastAsia"/>
        </w:rPr>
      </w:pPr>
      <w:r>
        <w:rPr>
          <w:rFonts w:hint="eastAsia"/>
        </w:rPr>
        <w:t>但直到</w:t>
      </w:r>
      <w:r>
        <w:rPr>
          <w:rFonts w:hint="eastAsia"/>
        </w:rPr>
        <w:t>1980</w:t>
      </w:r>
      <w:r>
        <w:rPr>
          <w:rFonts w:hint="eastAsia"/>
        </w:rPr>
        <w:t>年才开始根据妇女运动的建议，特别是通过妇女权利委员会提出的建议，讨论支持和促进妇女融入社会和政治生活的政府政策。不过，关于平等的正式提法只在</w:t>
      </w:r>
      <w:r>
        <w:rPr>
          <w:rFonts w:hint="eastAsia"/>
        </w:rPr>
        <w:t>1988</w:t>
      </w:r>
      <w:r>
        <w:rPr>
          <w:rFonts w:hint="eastAsia"/>
        </w:rPr>
        <w:t>年《宪法》第</w:t>
      </w:r>
      <w:r>
        <w:rPr>
          <w:rFonts w:hint="eastAsia"/>
        </w:rPr>
        <w:t>5</w:t>
      </w:r>
      <w:r>
        <w:rPr>
          <w:rFonts w:hint="eastAsia"/>
        </w:rPr>
        <w:t>条第一款中出现，“男人和女人享有和承担本宪法规定的同等权利与义</w:t>
      </w:r>
      <w:r>
        <w:rPr>
          <w:rFonts w:hint="eastAsia"/>
        </w:rPr>
        <w:t>务”。在此之前，法律只是一般性地论述平等原则：“根据法律人人平等”。</w:t>
      </w:r>
    </w:p>
    <w:p w:rsidR="00000000" w:rsidRDefault="004D2F83" w:rsidP="004D2F83">
      <w:pPr>
        <w:spacing w:after="240" w:line="360" w:lineRule="exact"/>
        <w:ind w:firstLineChars="225" w:firstLine="31680"/>
        <w:rPr>
          <w:rFonts w:hint="eastAsia"/>
        </w:rPr>
      </w:pPr>
      <w:r>
        <w:rPr>
          <w:rFonts w:hint="eastAsia"/>
        </w:rPr>
        <w:t>1988</w:t>
      </w:r>
      <w:r>
        <w:rPr>
          <w:rFonts w:hint="eastAsia"/>
        </w:rPr>
        <w:t>年《宪法》还规定“增进所有人的福利，不因出身、种族、性别、肤色、年龄而产生偏见，也不存在任何其他歧视形式”（第</w:t>
      </w:r>
      <w:r>
        <w:rPr>
          <w:rFonts w:hint="eastAsia"/>
        </w:rPr>
        <w:t>3</w:t>
      </w:r>
      <w:r>
        <w:rPr>
          <w:rFonts w:hint="eastAsia"/>
        </w:rPr>
        <w:t>条，第四款），在此基础上将多样性确定为一个重要的价值准则和巴西联邦共和国的基本目标，为巴西这个法治与民主国家引入了一个新的范例。除了将多样性确定为一个价值准则外，新《宪法》还确保实质性平等，即在情况所需时提供区别对待的平等以及除了报复性正义外的分配观点。第</w:t>
      </w:r>
      <w:r>
        <w:rPr>
          <w:rFonts w:hint="eastAsia"/>
        </w:rPr>
        <w:t>3</w:t>
      </w:r>
      <w:r>
        <w:rPr>
          <w:rFonts w:hint="eastAsia"/>
        </w:rPr>
        <w:t>条第一款和第三款明确规定了各项基本目标“一、</w:t>
      </w:r>
      <w:r>
        <w:rPr>
          <w:rFonts w:hint="eastAsia"/>
          <w:color w:val="FF0000"/>
        </w:rPr>
        <w:t xml:space="preserve"> </w:t>
      </w:r>
      <w:r>
        <w:rPr>
          <w:rFonts w:hint="eastAsia"/>
        </w:rPr>
        <w:t>建立一个自由、公平</w:t>
      </w:r>
      <w:r>
        <w:rPr>
          <w:rFonts w:hint="eastAsia"/>
        </w:rPr>
        <w:t>和团结的社会”和“三、消除贫困和低于标准的生活条件，减少社会和地区不平等现象”。巴西法治与民主国家的其他基本原则包括</w:t>
      </w:r>
      <w:r>
        <w:rPr>
          <w:rFonts w:hint="eastAsia"/>
        </w:rPr>
        <w:t>1988</w:t>
      </w:r>
      <w:r>
        <w:rPr>
          <w:rFonts w:hint="eastAsia"/>
        </w:rPr>
        <w:t>年《联邦宪法》第</w:t>
      </w:r>
      <w:r>
        <w:rPr>
          <w:rFonts w:hint="eastAsia"/>
        </w:rPr>
        <w:t>1</w:t>
      </w:r>
      <w:r>
        <w:rPr>
          <w:rFonts w:hint="eastAsia"/>
        </w:rPr>
        <w:t>条第二款和第三款规定的公民权和人的尊严。</w:t>
      </w:r>
    </w:p>
    <w:p w:rsidR="00000000" w:rsidRDefault="004D2F83" w:rsidP="004D2F83">
      <w:pPr>
        <w:spacing w:after="240" w:line="360" w:lineRule="exact"/>
        <w:ind w:firstLineChars="225" w:firstLine="31680"/>
        <w:rPr>
          <w:rFonts w:hint="eastAsia"/>
        </w:rPr>
      </w:pPr>
      <w:r>
        <w:rPr>
          <w:rFonts w:hint="eastAsia"/>
        </w:rPr>
        <w:t>1990</w:t>
      </w:r>
      <w:r>
        <w:rPr>
          <w:rFonts w:hint="eastAsia"/>
        </w:rPr>
        <w:t>年代，促进实际平等要求的直接结果是第</w:t>
      </w:r>
      <w:r>
        <w:rPr>
          <w:rFonts w:hint="eastAsia"/>
        </w:rPr>
        <w:t>9100/95</w:t>
      </w:r>
      <w:r>
        <w:rPr>
          <w:rFonts w:hint="eastAsia"/>
        </w:rPr>
        <w:t>号法律颁布了一项政策，根据该政策，各政党应该拥有最低人数的女性候选人。</w:t>
      </w:r>
    </w:p>
    <w:p w:rsidR="00000000" w:rsidRDefault="004D2F83" w:rsidP="004D2F83">
      <w:pPr>
        <w:spacing w:after="240" w:line="360" w:lineRule="exact"/>
        <w:ind w:firstLineChars="225" w:firstLine="31680"/>
        <w:rPr>
          <w:rFonts w:hint="eastAsia"/>
        </w:rPr>
      </w:pPr>
      <w:r>
        <w:rPr>
          <w:rFonts w:hint="eastAsia"/>
        </w:rPr>
        <w:t>1995</w:t>
      </w:r>
      <w:r>
        <w:rPr>
          <w:rFonts w:hint="eastAsia"/>
        </w:rPr>
        <w:t>年，第</w:t>
      </w:r>
      <w:r>
        <w:rPr>
          <w:rFonts w:hint="eastAsia"/>
        </w:rPr>
        <w:t>9099/95</w:t>
      </w:r>
      <w:r>
        <w:rPr>
          <w:rFonts w:hint="eastAsia"/>
        </w:rPr>
        <w:t>号法律规定设立特别刑事法院，目的在于促进对最多处以一年监禁的“较轻”的犯罪案件的司法审判。该法律的目的是通过简化程序加速办案程序。不过，在对妇女的暴力行为案件中，妇女运动</w:t>
      </w:r>
      <w:r>
        <w:rPr>
          <w:rFonts w:hint="eastAsia"/>
        </w:rPr>
        <w:t>认为，虽然它避免了在警察局存档的大量诉讼没有提交司法部门的缺点，但该法律造成了在处理对妇女暴力行为问题上的草率，因为它在概念上降低了这种行为的重要性和严重性并以一种简化的方式予以处理。</w:t>
      </w:r>
    </w:p>
    <w:p w:rsidR="00000000" w:rsidRDefault="004D2F83" w:rsidP="004D2F83">
      <w:pPr>
        <w:spacing w:after="240" w:line="360" w:lineRule="exact"/>
        <w:ind w:firstLineChars="225" w:firstLine="31680"/>
        <w:rPr>
          <w:rFonts w:hint="eastAsia"/>
        </w:rPr>
      </w:pPr>
      <w:r>
        <w:rPr>
          <w:rFonts w:hint="eastAsia"/>
        </w:rPr>
        <w:t>第</w:t>
      </w:r>
      <w:r>
        <w:rPr>
          <w:rFonts w:hint="eastAsia"/>
        </w:rPr>
        <w:t>9263/96</w:t>
      </w:r>
      <w:r>
        <w:rPr>
          <w:rFonts w:hint="eastAsia"/>
        </w:rPr>
        <w:t>号法律于</w:t>
      </w:r>
      <w:r>
        <w:rPr>
          <w:rFonts w:hint="eastAsia"/>
        </w:rPr>
        <w:t>1996</w:t>
      </w:r>
      <w:r>
        <w:rPr>
          <w:rFonts w:hint="eastAsia"/>
        </w:rPr>
        <w:t>年获得部分批准；它调整了</w:t>
      </w:r>
      <w:r>
        <w:rPr>
          <w:rFonts w:hint="eastAsia"/>
        </w:rPr>
        <w:t>1988</w:t>
      </w:r>
      <w:r>
        <w:rPr>
          <w:rFonts w:hint="eastAsia"/>
        </w:rPr>
        <w:t>年《宪法》第</w:t>
      </w:r>
      <w:r>
        <w:rPr>
          <w:rFonts w:hint="eastAsia"/>
        </w:rPr>
        <w:t>226</w:t>
      </w:r>
      <w:r>
        <w:rPr>
          <w:rFonts w:hint="eastAsia"/>
        </w:rPr>
        <w:t>条第</w:t>
      </w:r>
      <w:r>
        <w:rPr>
          <w:rFonts w:hint="eastAsia"/>
        </w:rPr>
        <w:t>7</w:t>
      </w:r>
      <w:r>
        <w:rPr>
          <w:rFonts w:hint="eastAsia"/>
        </w:rPr>
        <w:t>款，确定计划生育为一项权利。</w:t>
      </w:r>
    </w:p>
    <w:p w:rsidR="00000000" w:rsidRDefault="004D2F83" w:rsidP="004D2F83">
      <w:pPr>
        <w:spacing w:after="240" w:line="360" w:lineRule="exact"/>
        <w:ind w:firstLineChars="225" w:firstLine="31680"/>
        <w:rPr>
          <w:rFonts w:hint="eastAsia"/>
        </w:rPr>
      </w:pPr>
      <w:r>
        <w:rPr>
          <w:rFonts w:hint="eastAsia"/>
        </w:rPr>
        <w:t>还是在</w:t>
      </w:r>
      <w:r>
        <w:rPr>
          <w:rFonts w:hint="eastAsia"/>
        </w:rPr>
        <w:t>1996</w:t>
      </w:r>
      <w:r>
        <w:rPr>
          <w:rFonts w:hint="eastAsia"/>
        </w:rPr>
        <w:t>年，参议院经济事务委员会批准了参议员</w:t>
      </w:r>
      <w:r>
        <w:t>Benedita da Silva</w:t>
      </w:r>
      <w:r>
        <w:rPr>
          <w:rFonts w:hint="eastAsia"/>
        </w:rPr>
        <w:t>提交的对第</w:t>
      </w:r>
      <w:r>
        <w:rPr>
          <w:rFonts w:hint="eastAsia"/>
        </w:rPr>
        <w:t>41/91</w:t>
      </w:r>
      <w:r>
        <w:rPr>
          <w:rFonts w:hint="eastAsia"/>
        </w:rPr>
        <w:t>号补充法律的全面修正案，该法对国内就业做出规定。确保这一阶层的新权利包括失业津贴、雇员解雇基金和免费交通</w:t>
      </w:r>
      <w:r>
        <w:rPr>
          <w:rFonts w:hint="eastAsia"/>
        </w:rPr>
        <w:t>。</w:t>
      </w:r>
    </w:p>
    <w:p w:rsidR="00000000" w:rsidRDefault="004D2F83" w:rsidP="004D2F83">
      <w:pPr>
        <w:spacing w:after="240" w:line="360" w:lineRule="exact"/>
        <w:ind w:firstLineChars="225" w:firstLine="31680"/>
        <w:rPr>
          <w:rFonts w:hint="eastAsia"/>
        </w:rPr>
      </w:pPr>
      <w:r>
        <w:rPr>
          <w:rFonts w:hint="eastAsia"/>
        </w:rPr>
        <w:t>1997</w:t>
      </w:r>
      <w:r>
        <w:rPr>
          <w:rFonts w:hint="eastAsia"/>
        </w:rPr>
        <w:t>年批准了两个打击对妇女暴力行为的重要法律。其一是第</w:t>
      </w:r>
      <w:r>
        <w:rPr>
          <w:rFonts w:hint="eastAsia"/>
        </w:rPr>
        <w:t>9455/97</w:t>
      </w:r>
      <w:r>
        <w:rPr>
          <w:rFonts w:hint="eastAsia"/>
        </w:rPr>
        <w:t>号法律，确定了酷刑罪并加重了对向怀孕妇女实施酷刑的惩罚。其二是第</w:t>
      </w:r>
      <w:r>
        <w:rPr>
          <w:rFonts w:hint="eastAsia"/>
        </w:rPr>
        <w:t>9520/97</w:t>
      </w:r>
      <w:r>
        <w:rPr>
          <w:rFonts w:hint="eastAsia"/>
        </w:rPr>
        <w:t>号法律，规定妇女有权起诉并废除了《刑事诉讼法》中限制已婚妇女权利的规定：她们在起诉时必须得到丈夫的批准，除非这一起诉是针对丈夫本人，或者该妇女已与丈夫分居。</w:t>
      </w:r>
    </w:p>
    <w:p w:rsidR="00000000" w:rsidRDefault="004D2F83" w:rsidP="004D2F83">
      <w:pPr>
        <w:spacing w:after="240" w:line="360" w:lineRule="exact"/>
        <w:ind w:firstLineChars="225" w:firstLine="31680"/>
        <w:rPr>
          <w:rFonts w:hint="eastAsia"/>
        </w:rPr>
      </w:pPr>
      <w:r>
        <w:rPr>
          <w:rFonts w:hint="eastAsia"/>
        </w:rPr>
        <w:t>2002</w:t>
      </w:r>
      <w:r>
        <w:rPr>
          <w:rFonts w:hint="eastAsia"/>
        </w:rPr>
        <w:t>年</w:t>
      </w:r>
      <w:r>
        <w:rPr>
          <w:rFonts w:hint="eastAsia"/>
        </w:rPr>
        <w:t>5</w:t>
      </w:r>
      <w:r>
        <w:rPr>
          <w:rFonts w:hint="eastAsia"/>
        </w:rPr>
        <w:t>月</w:t>
      </w:r>
      <w:r>
        <w:rPr>
          <w:rFonts w:hint="eastAsia"/>
        </w:rPr>
        <w:t>13</w:t>
      </w:r>
      <w:r>
        <w:rPr>
          <w:rFonts w:hint="eastAsia"/>
        </w:rPr>
        <w:t>日的第</w:t>
      </w:r>
      <w:r>
        <w:rPr>
          <w:rFonts w:hint="eastAsia"/>
        </w:rPr>
        <w:t>10445</w:t>
      </w:r>
      <w:r>
        <w:rPr>
          <w:rFonts w:hint="eastAsia"/>
        </w:rPr>
        <w:t>号法律修改了第</w:t>
      </w:r>
      <w:r>
        <w:rPr>
          <w:rFonts w:hint="eastAsia"/>
        </w:rPr>
        <w:t>9099/95</w:t>
      </w:r>
      <w:r>
        <w:rPr>
          <w:rFonts w:hint="eastAsia"/>
        </w:rPr>
        <w:t>号法律第</w:t>
      </w:r>
      <w:r>
        <w:rPr>
          <w:rFonts w:hint="eastAsia"/>
        </w:rPr>
        <w:t>69</w:t>
      </w:r>
      <w:r>
        <w:rPr>
          <w:rFonts w:hint="eastAsia"/>
        </w:rPr>
        <w:t>条的单立款，规定在家庭暴力案件中，作为一种预防性措施可以命令实施暴力的人离开家。</w:t>
      </w:r>
    </w:p>
    <w:p w:rsidR="00000000" w:rsidRDefault="004D2F83" w:rsidP="004D2F83">
      <w:pPr>
        <w:spacing w:after="240" w:line="360" w:lineRule="exact"/>
        <w:ind w:firstLineChars="225" w:firstLine="31680"/>
        <w:rPr>
          <w:rFonts w:hint="eastAsia"/>
        </w:rPr>
      </w:pPr>
      <w:r>
        <w:rPr>
          <w:rFonts w:hint="eastAsia"/>
        </w:rPr>
        <w:t>最后，在民事法律方面，妇女运动认为宪法在促进</w:t>
      </w:r>
      <w:r>
        <w:rPr>
          <w:rFonts w:hint="eastAsia"/>
        </w:rPr>
        <w:t>性别平等方面已经取得巨大的进步，随着《新民法典》的颁布，在宪法下法律方面也取得了进步。这一新法典将于</w:t>
      </w:r>
      <w:r>
        <w:rPr>
          <w:rFonts w:hint="eastAsia"/>
        </w:rPr>
        <w:t>2003</w:t>
      </w:r>
      <w:r>
        <w:rPr>
          <w:rFonts w:hint="eastAsia"/>
        </w:rPr>
        <w:t>年</w:t>
      </w:r>
      <w:r>
        <w:rPr>
          <w:rFonts w:hint="eastAsia"/>
        </w:rPr>
        <w:t>1</w:t>
      </w:r>
      <w:r>
        <w:rPr>
          <w:rFonts w:hint="eastAsia"/>
        </w:rPr>
        <w:t>月</w:t>
      </w:r>
      <w:r>
        <w:rPr>
          <w:rFonts w:hint="eastAsia"/>
        </w:rPr>
        <w:t>11</w:t>
      </w:r>
      <w:r>
        <w:rPr>
          <w:rFonts w:hint="eastAsia"/>
        </w:rPr>
        <w:t>日生效，并做了大量改动，比如，将“父权”替换为“家庭权”，用“人”代替通用的“男人”，从而确定了配偶之间的绝对公平。因此，从上述日期开始，《民法典》中包含的仍在生效的所有歧视性规定均将明确废除。</w:t>
      </w:r>
    </w:p>
    <w:p w:rsidR="00000000" w:rsidRDefault="004D2F83">
      <w:pPr>
        <w:pStyle w:val="Date"/>
        <w:spacing w:after="240" w:line="360" w:lineRule="exact"/>
        <w:rPr>
          <w:rFonts w:eastAsia="SimHei" w:hint="eastAsia"/>
          <w:sz w:val="24"/>
        </w:rPr>
      </w:pPr>
      <w:r>
        <w:rPr>
          <w:rFonts w:eastAsia="SimHei" w:hint="eastAsia"/>
          <w:sz w:val="24"/>
        </w:rPr>
        <w:t>司法措施</w:t>
      </w:r>
    </w:p>
    <w:p w:rsidR="00000000" w:rsidRDefault="004D2F83" w:rsidP="004D2F83">
      <w:pPr>
        <w:spacing w:after="240" w:line="360" w:lineRule="exact"/>
        <w:ind w:firstLineChars="225" w:firstLine="31680"/>
        <w:rPr>
          <w:rFonts w:hint="eastAsia"/>
        </w:rPr>
      </w:pPr>
      <w:r>
        <w:rPr>
          <w:rFonts w:hint="eastAsia"/>
        </w:rPr>
        <w:t>目前普遍的司法观点认为，现有的国家和国际人权规则不足以确保加强男女之间的平等。司法部门是现代民主政府的基础机构，了解它们如何理解平等问题十分重要。</w:t>
      </w:r>
    </w:p>
    <w:p w:rsidR="00000000" w:rsidRDefault="004D2F83" w:rsidP="004D2F83">
      <w:pPr>
        <w:spacing w:after="240" w:line="360" w:lineRule="exact"/>
        <w:ind w:firstLineChars="225" w:firstLine="31680"/>
        <w:rPr>
          <w:rFonts w:hint="eastAsia"/>
        </w:rPr>
      </w:pPr>
      <w:r>
        <w:rPr>
          <w:rFonts w:hint="eastAsia"/>
        </w:rPr>
        <w:t>最终判决的适切性在于它两方面的合法程度：</w:t>
      </w:r>
      <w:r>
        <w:rPr>
          <w:rFonts w:hint="eastAsia"/>
        </w:rPr>
        <w:t>一是与它将适用的规定有关，二是与所分析的事实范围内的法律有关。因此，司法部门通过“解释”法律建立各种社会关系。</w:t>
      </w:r>
    </w:p>
    <w:p w:rsidR="00000000" w:rsidRDefault="004D2F83" w:rsidP="004D2F83">
      <w:pPr>
        <w:spacing w:after="240" w:line="360" w:lineRule="exact"/>
        <w:ind w:firstLineChars="225" w:firstLine="31680"/>
      </w:pPr>
      <w:r>
        <w:rPr>
          <w:rFonts w:hint="eastAsia"/>
        </w:rPr>
        <w:t>南里奥格兰德州上诉法院和高等法院开展了一项判例调查</w:t>
      </w:r>
      <w:r>
        <w:rPr>
          <w:rStyle w:val="FootnoteReference"/>
        </w:rPr>
        <w:footnoteReference w:customMarkFollows="1" w:id="44"/>
        <w:t>44</w:t>
      </w:r>
      <w:r>
        <w:rPr>
          <w:rFonts w:hint="eastAsia"/>
        </w:rPr>
        <w:t>，以确定公平原则的实施情况。调查结果显示，这些诉讼只涉及形式上的平等问题。这可能意味着：</w:t>
      </w:r>
      <w:r>
        <w:t>a</w:t>
      </w:r>
      <w:r>
        <w:rPr>
          <w:rFonts w:hint="eastAsia"/>
        </w:rPr>
        <w:t>）一方面，司法部门还没有将实际公平纳入到其判决当中，和</w:t>
      </w:r>
      <w:r>
        <w:rPr>
          <w:rFonts w:hint="eastAsia"/>
        </w:rPr>
        <w:t>/</w:t>
      </w:r>
      <w:r>
        <w:rPr>
          <w:rFonts w:hint="eastAsia"/>
        </w:rPr>
        <w:t>或</w:t>
      </w:r>
      <w:r>
        <w:t>b</w:t>
      </w:r>
      <w:r>
        <w:rPr>
          <w:rFonts w:hint="eastAsia"/>
        </w:rPr>
        <w:t>）另一方面，这种实际平等还是一个尚待认识的价值观（司法资产），无论是社区还是州的代理人都未认识到诉讼的目的是旨在保障和保护这种平等。</w:t>
      </w:r>
      <w:r>
        <w:rPr>
          <w:rStyle w:val="FootnoteReference"/>
        </w:rPr>
        <w:footnoteReference w:customMarkFollows="1" w:id="45"/>
        <w:t>45</w:t>
      </w:r>
    </w:p>
    <w:p w:rsidR="00000000" w:rsidRDefault="004D2F83" w:rsidP="004D2F83">
      <w:pPr>
        <w:spacing w:after="240" w:line="360" w:lineRule="exact"/>
        <w:ind w:firstLineChars="225" w:firstLine="31680"/>
        <w:rPr>
          <w:rFonts w:hint="eastAsia"/>
        </w:rPr>
      </w:pPr>
      <w:r>
        <w:rPr>
          <w:rFonts w:hint="eastAsia"/>
        </w:rPr>
        <w:t>此外，司法部门因循守旧的做法，使得认为对妇女的暴力行为是一</w:t>
      </w:r>
      <w:r>
        <w:rPr>
          <w:rFonts w:hint="eastAsia"/>
        </w:rPr>
        <w:t>种司空见惯的行为的观念根深蒂固，因而阻碍了反对这种行为的法律的正确执行。</w:t>
      </w:r>
    </w:p>
    <w:p w:rsidR="00000000" w:rsidRDefault="004D2F83" w:rsidP="004D2F83">
      <w:pPr>
        <w:spacing w:after="240" w:line="360" w:lineRule="exact"/>
        <w:ind w:firstLineChars="225" w:firstLine="31680"/>
        <w:rPr>
          <w:rFonts w:hint="eastAsia"/>
        </w:rPr>
      </w:pPr>
      <w:r>
        <w:rPr>
          <w:rFonts w:hint="eastAsia"/>
        </w:rPr>
        <w:t>1999</w:t>
      </w:r>
      <w:r>
        <w:rPr>
          <w:rFonts w:hint="eastAsia"/>
        </w:rPr>
        <w:t>年</w:t>
      </w:r>
      <w:r>
        <w:rPr>
          <w:rFonts w:hint="eastAsia"/>
        </w:rPr>
        <w:t>6</w:t>
      </w:r>
      <w:r>
        <w:rPr>
          <w:rFonts w:hint="eastAsia"/>
        </w:rPr>
        <w:t>月，联邦最高法院（</w:t>
      </w:r>
      <w:r>
        <w:rPr>
          <w:rFonts w:hint="eastAsia"/>
        </w:rPr>
        <w:t>STF</w:t>
      </w:r>
      <w:r>
        <w:rPr>
          <w:rFonts w:hint="eastAsia"/>
        </w:rPr>
        <w:t>）决定，由于强奸被视为一种罪大恶极的罪行，应该不可避免地造成情节严重的殴打或死亡。这一决定得到一些人的拥护，他们赞成实施更为有益的判判。目前，在南里奥格兰德州和其他州的上诉法院，牵涉到暴力猥亵和强奸的性犯罪被划分为情节严重的罪行（导致死亡或强暴）和单纯罪行（“只”涉及性暴力行为）。对于证明犯有此种罪行的人，如果他们的罪行“只”涉及性暴力行为而没有造成情节严重的殴打或死亡，对他们的惩罚可以根据这一解释</w:t>
      </w:r>
      <w:r>
        <w:rPr>
          <w:rFonts w:hint="eastAsia"/>
        </w:rPr>
        <w:t>灵活掌握。</w:t>
      </w:r>
    </w:p>
    <w:p w:rsidR="00000000" w:rsidRDefault="004D2F83">
      <w:pPr>
        <w:pStyle w:val="BodyTextIndent"/>
        <w:ind w:firstLine="473"/>
        <w:rPr>
          <w:rFonts w:hint="eastAsia"/>
          <w:color w:val="FF0000"/>
        </w:rPr>
      </w:pPr>
      <w:r>
        <w:rPr>
          <w:rFonts w:hint="eastAsia"/>
        </w:rPr>
        <w:t>联邦最高法院只将情节严重的强奸划归为一种罪大恶极的罪行，这样就从一些与强奸有关的罪行（包括性暴力行为）中排除了罪大恶极的性质，并只在殴打或死亡的情况下适用。问题在于，联邦最高法院并没有对论述罪大恶极罪行的法律列出的所有罪行处以监禁的违宪性，而是只对性暴力案件处以监禁的违宪性质提出质疑，而在这些案件中，受害者必然绝大多数都是妇女。</w:t>
      </w:r>
    </w:p>
    <w:p w:rsidR="00000000" w:rsidRDefault="004D2F83" w:rsidP="004D2F83">
      <w:pPr>
        <w:spacing w:after="240" w:line="360" w:lineRule="exact"/>
        <w:ind w:firstLineChars="225" w:firstLine="31680"/>
        <w:rPr>
          <w:rFonts w:hint="eastAsia"/>
        </w:rPr>
      </w:pPr>
      <w:r>
        <w:rPr>
          <w:rFonts w:hint="eastAsia"/>
        </w:rPr>
        <w:t>不过，在第</w:t>
      </w:r>
      <w:r>
        <w:rPr>
          <w:rFonts w:hint="eastAsia"/>
        </w:rPr>
        <w:t>81288</w:t>
      </w:r>
      <w:r>
        <w:rPr>
          <w:rFonts w:hint="eastAsia"/>
        </w:rPr>
        <w:t>号人身保护令状的判决期间，联邦最高法院的这种立场被多数票所改变。在这一案件中，单纯的强奸也变成了罪大恶极的罪行。</w:t>
      </w:r>
    </w:p>
    <w:p w:rsidR="00000000" w:rsidRDefault="004D2F83" w:rsidP="004D2F83">
      <w:pPr>
        <w:spacing w:after="240" w:line="360" w:lineRule="exact"/>
        <w:ind w:firstLineChars="225" w:firstLine="31680"/>
        <w:rPr>
          <w:rFonts w:hint="eastAsia"/>
        </w:rPr>
      </w:pPr>
      <w:r>
        <w:rPr>
          <w:rFonts w:hint="eastAsia"/>
        </w:rPr>
        <w:t>在审理一个人身保护令状案件（关于一</w:t>
      </w:r>
      <w:r>
        <w:rPr>
          <w:rFonts w:hint="eastAsia"/>
        </w:rPr>
        <w:t>个父亲被认定与其未成年女儿发生性关系）期间做出了新判决。最高法院驳回被告关于减轻惩罚的要求。陪审法官</w:t>
      </w:r>
      <w:r>
        <w:t>Ellen Gracie Northfleet</w:t>
      </w:r>
      <w:r>
        <w:rPr>
          <w:rFonts w:hint="eastAsia"/>
        </w:rPr>
        <w:t>在对其投票进行长篇解释时，出示了几份研究报告，证明“强奸造成的心理伤害比身体伤害更为严重和持久”。她还说，法院应该对罪大恶极罪行的法律进行“系统解释”并将强奸与法律中列出的其他罪行进行比较：偷窃、造成死亡的严重敲诈勒索、绑架勒索赎金、造成死亡的传染病、饮用水或食品或药品投毒造成死亡以及灭绝种族。</w:t>
      </w:r>
    </w:p>
    <w:p w:rsidR="00000000" w:rsidRDefault="004D2F83" w:rsidP="004D2F83">
      <w:pPr>
        <w:spacing w:after="240" w:line="360" w:lineRule="exact"/>
        <w:ind w:firstLineChars="225" w:firstLine="31680"/>
        <w:rPr>
          <w:rFonts w:hint="eastAsia"/>
        </w:rPr>
      </w:pPr>
      <w:r>
        <w:rPr>
          <w:rFonts w:hint="eastAsia"/>
        </w:rPr>
        <w:t>最后，值得一提的是，陪审法官</w:t>
      </w:r>
      <w:r>
        <w:t>Nelson Jobim</w:t>
      </w:r>
      <w:r>
        <w:rPr>
          <w:rFonts w:hint="eastAsia"/>
        </w:rPr>
        <w:t>（第</w:t>
      </w:r>
      <w:r>
        <w:rPr>
          <w:rFonts w:hint="eastAsia"/>
        </w:rPr>
        <w:t>80479</w:t>
      </w:r>
      <w:r>
        <w:rPr>
          <w:rFonts w:hint="eastAsia"/>
        </w:rPr>
        <w:t>号</w:t>
      </w:r>
      <w:r>
        <w:rPr>
          <w:rFonts w:hint="eastAsia"/>
        </w:rPr>
        <w:t>人身保护令状判决报告员，采用的是联邦最高法院以前就此问题的解释）改变了他的立场。他说他孤立地理解了法律，没有能够正确理解连词“和”的意思。</w:t>
      </w:r>
    </w:p>
    <w:p w:rsidR="00000000" w:rsidRDefault="004D2F83">
      <w:pPr>
        <w:pStyle w:val="Date"/>
        <w:spacing w:after="240" w:line="360" w:lineRule="exact"/>
        <w:rPr>
          <w:rFonts w:eastAsia="SimHei" w:hint="eastAsia"/>
          <w:sz w:val="24"/>
        </w:rPr>
      </w:pPr>
      <w:r>
        <w:rPr>
          <w:rFonts w:eastAsia="SimHei" w:hint="eastAsia"/>
          <w:sz w:val="24"/>
        </w:rPr>
        <w:t>政府行动</w:t>
      </w:r>
    </w:p>
    <w:p w:rsidR="00000000" w:rsidRDefault="004D2F83" w:rsidP="004D2F83">
      <w:pPr>
        <w:spacing w:after="240" w:line="360" w:lineRule="exact"/>
        <w:ind w:firstLineChars="225" w:firstLine="31680"/>
        <w:rPr>
          <w:rFonts w:hint="eastAsia"/>
        </w:rPr>
      </w:pPr>
      <w:r>
        <w:rPr>
          <w:rFonts w:hint="eastAsia"/>
        </w:rPr>
        <w:t>在妇女运动的动员下，市、州和联邦各级都建立了妇女权利委员会。这些委员会依靠妇女团体和运动的代表，负责提出建议和检查针对妇女的公共政策。第一批州一级委员会是在</w:t>
      </w:r>
      <w:r>
        <w:rPr>
          <w:rFonts w:hint="eastAsia"/>
        </w:rPr>
        <w:t>1982</w:t>
      </w:r>
      <w:r>
        <w:rPr>
          <w:rFonts w:hint="eastAsia"/>
        </w:rPr>
        <w:t>年圣保罗和米纳斯吉拉斯州的州长选举之后建立的。迄今为止，实际上联邦的所有州都已设有一个妇女权利委员会。</w:t>
      </w:r>
    </w:p>
    <w:p w:rsidR="00000000" w:rsidRDefault="004D2F83" w:rsidP="004D2F83">
      <w:pPr>
        <w:spacing w:after="240" w:line="360" w:lineRule="exact"/>
        <w:ind w:firstLineChars="225" w:firstLine="31680"/>
        <w:rPr>
          <w:rFonts w:hint="eastAsia"/>
        </w:rPr>
      </w:pPr>
      <w:r>
        <w:rPr>
          <w:rFonts w:hint="eastAsia"/>
        </w:rPr>
        <w:t>在</w:t>
      </w:r>
      <w:r>
        <w:rPr>
          <w:rFonts w:hint="eastAsia"/>
        </w:rPr>
        <w:t>1985</w:t>
      </w:r>
      <w:r>
        <w:rPr>
          <w:rFonts w:hint="eastAsia"/>
        </w:rPr>
        <w:t>年的总统选举期间，妇女运动提出了一个关于建立全国妇女权利委员会的建议。随后，</w:t>
      </w:r>
      <w:r>
        <w:rPr>
          <w:rFonts w:hint="eastAsia"/>
        </w:rPr>
        <w:t>1985</w:t>
      </w:r>
      <w:r>
        <w:rPr>
          <w:rFonts w:hint="eastAsia"/>
        </w:rPr>
        <w:t>年通过第</w:t>
      </w:r>
      <w:r>
        <w:rPr>
          <w:rFonts w:hint="eastAsia"/>
        </w:rPr>
        <w:t>7353</w:t>
      </w:r>
      <w:r>
        <w:rPr>
          <w:rFonts w:hint="eastAsia"/>
        </w:rPr>
        <w:t>号法律建立了该委员会，目的在于在全国范围内促进各种政策的实施，消除对妇女的歧视，确保她们自由和权利平等的条件并保障她们全面参与国家的政治、经济和文化活动。</w:t>
      </w:r>
    </w:p>
    <w:p w:rsidR="00000000" w:rsidRDefault="004D2F83" w:rsidP="004D2F83">
      <w:pPr>
        <w:spacing w:after="240" w:line="360" w:lineRule="exact"/>
        <w:ind w:firstLineChars="225" w:firstLine="31680"/>
        <w:rPr>
          <w:rFonts w:hint="eastAsia"/>
        </w:rPr>
      </w:pPr>
      <w:r>
        <w:rPr>
          <w:rFonts w:hint="eastAsia"/>
        </w:rPr>
        <w:t>1985-1989</w:t>
      </w:r>
      <w:r>
        <w:rPr>
          <w:rFonts w:hint="eastAsia"/>
        </w:rPr>
        <w:t>年期间，全国妇女权利委员会第一届行政班子参与了制宪过程。在</w:t>
      </w:r>
      <w:r>
        <w:rPr>
          <w:rFonts w:hint="eastAsia"/>
        </w:rPr>
        <w:t>1986</w:t>
      </w:r>
      <w:r>
        <w:rPr>
          <w:rFonts w:hint="eastAsia"/>
        </w:rPr>
        <w:t>年全面议会选举之后，启动了制定一部新的国家宪法过程。在全国妇女权利委员会的支持下，妇女运动在全国组织起来并在州全体会议上向制宪会议的成员发出一封巴西妇女的来信，其中包含了一套防止对妇女歧视的法律建议。</w:t>
      </w:r>
    </w:p>
    <w:p w:rsidR="00000000" w:rsidRDefault="004D2F83" w:rsidP="004D2F83">
      <w:pPr>
        <w:spacing w:after="240" w:line="360" w:lineRule="exact"/>
        <w:ind w:firstLineChars="225" w:firstLine="31680"/>
        <w:rPr>
          <w:rFonts w:hint="eastAsia"/>
        </w:rPr>
      </w:pPr>
      <w:r>
        <w:rPr>
          <w:rFonts w:hint="eastAsia"/>
        </w:rPr>
        <w:t>1988</w:t>
      </w:r>
      <w:r>
        <w:rPr>
          <w:rFonts w:hint="eastAsia"/>
        </w:rPr>
        <w:t>年</w:t>
      </w:r>
      <w:r>
        <w:rPr>
          <w:rFonts w:hint="eastAsia"/>
        </w:rPr>
        <w:t>10</w:t>
      </w:r>
      <w:r>
        <w:rPr>
          <w:rFonts w:hint="eastAsia"/>
        </w:rPr>
        <w:t>月</w:t>
      </w:r>
      <w:r>
        <w:rPr>
          <w:rFonts w:hint="eastAsia"/>
        </w:rPr>
        <w:t>5</w:t>
      </w:r>
      <w:r>
        <w:rPr>
          <w:rFonts w:hint="eastAsia"/>
        </w:rPr>
        <w:t>日《联邦宪法》的颁布将制宪过程推向高</w:t>
      </w:r>
      <w:r>
        <w:rPr>
          <w:rFonts w:hint="eastAsia"/>
        </w:rPr>
        <w:t>潮。在这期间，全国妇女权利委员会通过举行听证会、抗议等活动，协调妇女运动与议会成员间的对话。据认为，由妇女提出的建议大约有</w:t>
      </w:r>
      <w:r>
        <w:rPr>
          <w:rFonts w:hint="eastAsia"/>
        </w:rPr>
        <w:t>80%</w:t>
      </w:r>
      <w:r>
        <w:rPr>
          <w:rFonts w:hint="eastAsia"/>
        </w:rPr>
        <w:t>已被纳入《宪法》之中。</w:t>
      </w:r>
    </w:p>
    <w:p w:rsidR="00000000" w:rsidRDefault="004D2F83" w:rsidP="004D2F83">
      <w:pPr>
        <w:spacing w:after="240" w:line="360" w:lineRule="exact"/>
        <w:ind w:firstLineChars="225" w:firstLine="31680"/>
        <w:rPr>
          <w:rFonts w:hint="eastAsia"/>
        </w:rPr>
      </w:pPr>
      <w:r>
        <w:rPr>
          <w:rFonts w:hint="eastAsia"/>
        </w:rPr>
        <w:t>在这一时期，全国妇女权利委员会还参加了各种运动，通过报纸、广播和电视台阐明妇女权利方面的问题并反对歧视。除此之外，还出版了各种有关巴西妇女现状的调查和研究报告，比如一本题为“</w:t>
      </w:r>
      <w:r>
        <w:t>Quando a Vitima e Mulher</w:t>
      </w:r>
      <w:r>
        <w:rPr>
          <w:rFonts w:hint="eastAsia"/>
        </w:rPr>
        <w:t>”（“如果受害人是妇女”）的书，其中分析了有关对妇女的暴力行为的法律措施。</w:t>
      </w:r>
    </w:p>
    <w:p w:rsidR="00000000" w:rsidRDefault="004D2F83" w:rsidP="004D2F83">
      <w:pPr>
        <w:spacing w:after="240" w:line="360" w:lineRule="exact"/>
        <w:ind w:firstLineChars="225" w:firstLine="31680"/>
        <w:rPr>
          <w:rFonts w:hint="eastAsia"/>
        </w:rPr>
      </w:pPr>
      <w:r>
        <w:rPr>
          <w:rFonts w:hint="eastAsia"/>
        </w:rPr>
        <w:t>在</w:t>
      </w:r>
      <w:r>
        <w:rPr>
          <w:rFonts w:hint="eastAsia"/>
        </w:rPr>
        <w:t>1995</w:t>
      </w:r>
      <w:r>
        <w:rPr>
          <w:rFonts w:hint="eastAsia"/>
        </w:rPr>
        <w:t>年</w:t>
      </w:r>
      <w:r>
        <w:rPr>
          <w:rFonts w:hint="eastAsia"/>
        </w:rPr>
        <w:t>2</w:t>
      </w:r>
      <w:r>
        <w:rPr>
          <w:rFonts w:hint="eastAsia"/>
        </w:rPr>
        <w:t>月开始的任职期间，全国妇女权利委员会密切关注了第</w:t>
      </w:r>
      <w:r>
        <w:rPr>
          <w:rFonts w:hint="eastAsia"/>
        </w:rPr>
        <w:t>四次妇女问题世界会议的全部组织过程以及</w:t>
      </w:r>
      <w:r>
        <w:rPr>
          <w:rFonts w:hint="eastAsia"/>
        </w:rPr>
        <w:t>1993</w:t>
      </w:r>
      <w:r>
        <w:rPr>
          <w:rFonts w:hint="eastAsia"/>
        </w:rPr>
        <w:t>年人权会议和</w:t>
      </w:r>
      <w:r>
        <w:rPr>
          <w:rFonts w:hint="eastAsia"/>
        </w:rPr>
        <w:t>1994</w:t>
      </w:r>
      <w:r>
        <w:rPr>
          <w:rFonts w:hint="eastAsia"/>
        </w:rPr>
        <w:t>年人口与发展会议规定的行动的执行和连续性情况。由此制定了一份题为“平等战略”的文件并于</w:t>
      </w:r>
      <w:r>
        <w:rPr>
          <w:rFonts w:hint="eastAsia"/>
        </w:rPr>
        <w:t>1997</w:t>
      </w:r>
      <w:r>
        <w:rPr>
          <w:rFonts w:hint="eastAsia"/>
        </w:rPr>
        <w:t>年</w:t>
      </w:r>
      <w:r>
        <w:rPr>
          <w:rFonts w:hint="eastAsia"/>
        </w:rPr>
        <w:t>3</w:t>
      </w:r>
      <w:r>
        <w:rPr>
          <w:rFonts w:hint="eastAsia"/>
        </w:rPr>
        <w:t>月提交共和国总统，使巴西向国际社会所做的那些承诺纳入国家政策和方案范围。所实施的行动包括全国妇女权利委员会和司法部与劳动部签订合作议定书，旨在特别通过职业资格方案，促进工作场所的男女平等；与教育部签订合作议定书，反对在获得教育机会和教科书内容方面的歧视；与卫生部签订的合作议定书，执行计划生育方面的行动并预防、诊断和及时治疗子宫癌和乳腺癌；以及与行</w:t>
      </w:r>
      <w:r>
        <w:rPr>
          <w:rFonts w:hint="eastAsia"/>
        </w:rPr>
        <w:t>政和国家改革部签订合作议定书，鼓励在联邦一级建立体制办法，促进公平。</w:t>
      </w:r>
    </w:p>
    <w:p w:rsidR="00000000" w:rsidRDefault="004D2F83" w:rsidP="004D2F83">
      <w:pPr>
        <w:spacing w:after="240" w:line="360" w:lineRule="exact"/>
        <w:ind w:firstLineChars="225" w:firstLine="31680"/>
        <w:rPr>
          <w:rFonts w:hint="eastAsia"/>
        </w:rPr>
      </w:pPr>
      <w:r>
        <w:rPr>
          <w:rFonts w:hint="eastAsia"/>
        </w:rPr>
        <w:t>从</w:t>
      </w:r>
      <w:r>
        <w:rPr>
          <w:rFonts w:hint="eastAsia"/>
        </w:rPr>
        <w:t>2000</w:t>
      </w:r>
      <w:r>
        <w:rPr>
          <w:rFonts w:hint="eastAsia"/>
        </w:rPr>
        <w:t>年</w:t>
      </w:r>
      <w:r>
        <w:rPr>
          <w:rFonts w:hint="eastAsia"/>
        </w:rPr>
        <w:t>7</w:t>
      </w:r>
      <w:r>
        <w:rPr>
          <w:rFonts w:hint="eastAsia"/>
        </w:rPr>
        <w:t>月起，全国妇女权利委员会开始以最小的基础结构——执行秘书处开展活动。该秘书处直接与司法部的人权问题国务秘书处联系。不过，为了宣传和开展工作以使法律赋予妇女的权利落实到她们的日常生活中，并为履行巴西政府做出的国际承诺，</w:t>
      </w:r>
      <w:r>
        <w:rPr>
          <w:rFonts w:hint="eastAsia"/>
        </w:rPr>
        <w:t>2002</w:t>
      </w:r>
      <w:r>
        <w:rPr>
          <w:rFonts w:hint="eastAsia"/>
        </w:rPr>
        <w:t>年</w:t>
      </w:r>
      <w:r>
        <w:rPr>
          <w:rFonts w:hint="eastAsia"/>
        </w:rPr>
        <w:t>5</w:t>
      </w:r>
      <w:r>
        <w:rPr>
          <w:rFonts w:hint="eastAsia"/>
        </w:rPr>
        <w:t>月</w:t>
      </w:r>
      <w:r>
        <w:rPr>
          <w:rFonts w:hint="eastAsia"/>
        </w:rPr>
        <w:t>8</w:t>
      </w:r>
      <w:r>
        <w:rPr>
          <w:rFonts w:hint="eastAsia"/>
        </w:rPr>
        <w:t>日第</w:t>
      </w:r>
      <w:r>
        <w:rPr>
          <w:rFonts w:hint="eastAsia"/>
        </w:rPr>
        <w:t>37</w:t>
      </w:r>
      <w:r>
        <w:rPr>
          <w:rFonts w:hint="eastAsia"/>
        </w:rPr>
        <w:t>号临时措施规定，在司法部建立一个妇女权利国务秘书处，通过提出关于促进性别平等的公共政策和政府政策的建议并监督政策的执行情况，在其他联邦政府机构内更有效地开展活动。</w:t>
      </w:r>
    </w:p>
    <w:p w:rsidR="00000000" w:rsidRDefault="004D2F83" w:rsidP="004D2F83">
      <w:pPr>
        <w:spacing w:after="240" w:line="360" w:lineRule="exact"/>
        <w:ind w:firstLineChars="225" w:firstLine="31680"/>
        <w:rPr>
          <w:rFonts w:hint="eastAsia"/>
        </w:rPr>
      </w:pPr>
      <w:r>
        <w:rPr>
          <w:rFonts w:hint="eastAsia"/>
        </w:rPr>
        <w:t>值得一提还有两个州一级委</w:t>
      </w:r>
      <w:r>
        <w:rPr>
          <w:rFonts w:hint="eastAsia"/>
        </w:rPr>
        <w:t>员会——里约热内卢和圣保罗州委员会的活动。它们制定了一个“州一级反对歧视公约”，效仿联合国的体系，建议市政府在反对歧视方面加入到州一级公约。虽然针对的是巴西的某些州，但这些活动是旨在促进妇女的权利。</w:t>
      </w:r>
    </w:p>
    <w:p w:rsidR="00000000" w:rsidRDefault="004D2F83" w:rsidP="004D2F83">
      <w:pPr>
        <w:spacing w:after="240" w:line="360" w:lineRule="exact"/>
        <w:ind w:firstLineChars="225" w:firstLine="31680"/>
        <w:rPr>
          <w:rFonts w:hint="eastAsia"/>
        </w:rPr>
      </w:pPr>
      <w:r>
        <w:rPr>
          <w:rFonts w:hint="eastAsia"/>
        </w:rPr>
        <w:t>1988</w:t>
      </w:r>
      <w:r>
        <w:rPr>
          <w:rFonts w:hint="eastAsia"/>
        </w:rPr>
        <w:t>年，行政部门提交了两个重要建议，对促进妇女权利产生影响：</w:t>
      </w:r>
    </w:p>
    <w:p w:rsidR="00000000" w:rsidRDefault="004D2F83" w:rsidP="004D2F83">
      <w:pPr>
        <w:snapToGrid w:val="0"/>
        <w:spacing w:after="240" w:line="360" w:lineRule="exact"/>
        <w:ind w:leftChars="200" w:left="31680" w:hangingChars="200" w:firstLine="31680"/>
        <w:rPr>
          <w:rFonts w:hint="eastAsia"/>
        </w:rPr>
      </w:pPr>
      <w:r>
        <w:rPr>
          <w:rFonts w:hint="eastAsia"/>
        </w:rPr>
        <w:t>1</w:t>
      </w:r>
      <w:r>
        <w:rPr>
          <w:rFonts w:hint="eastAsia"/>
        </w:rPr>
        <w:t>．</w:t>
      </w:r>
      <w:r>
        <w:rPr>
          <w:rFonts w:hint="eastAsia"/>
        </w:rPr>
        <w:tab/>
      </w:r>
      <w:r>
        <w:rPr>
          <w:rFonts w:hint="eastAsia"/>
        </w:rPr>
        <w:t>第</w:t>
      </w:r>
      <w:r>
        <w:rPr>
          <w:rFonts w:hint="eastAsia"/>
        </w:rPr>
        <w:t>20/98</w:t>
      </w:r>
      <w:r>
        <w:rPr>
          <w:rFonts w:hint="eastAsia"/>
        </w:rPr>
        <w:t>号《宪法修正案》，其中规定了一般社会保障体系以及其他权利，此外还修改了退休的条件。该《修正案》规定，退休的条件是男子必须已向社会保障体系缴款</w:t>
      </w:r>
      <w:r>
        <w:rPr>
          <w:rFonts w:hint="eastAsia"/>
        </w:rPr>
        <w:t>35</w:t>
      </w:r>
      <w:r>
        <w:rPr>
          <w:rFonts w:hint="eastAsia"/>
        </w:rPr>
        <w:t>年，妇女必须缴款</w:t>
      </w:r>
      <w:r>
        <w:rPr>
          <w:rFonts w:hint="eastAsia"/>
        </w:rPr>
        <w:t>30</w:t>
      </w:r>
      <w:r>
        <w:rPr>
          <w:rFonts w:hint="eastAsia"/>
        </w:rPr>
        <w:t>年，并至少分别年满</w:t>
      </w:r>
      <w:r>
        <w:rPr>
          <w:rFonts w:hint="eastAsia"/>
        </w:rPr>
        <w:t>60</w:t>
      </w:r>
      <w:r>
        <w:rPr>
          <w:rFonts w:hint="eastAsia"/>
        </w:rPr>
        <w:t>岁和</w:t>
      </w:r>
      <w:r>
        <w:rPr>
          <w:rFonts w:hint="eastAsia"/>
        </w:rPr>
        <w:t>55</w:t>
      </w:r>
      <w:r>
        <w:rPr>
          <w:rFonts w:hint="eastAsia"/>
        </w:rPr>
        <w:t>岁。这样就逐步消除了服务年限的标准</w:t>
      </w:r>
      <w:r>
        <w:rPr>
          <w:rFonts w:hint="eastAsia"/>
        </w:rPr>
        <w:t>。这些改动会对农村妇女产生影响：在《修正案》以前，只要她们证明已经为社会保障体系做出最低期限（从</w:t>
      </w:r>
      <w:r>
        <w:rPr>
          <w:rFonts w:hint="eastAsia"/>
        </w:rPr>
        <w:t>12</w:t>
      </w:r>
      <w:r>
        <w:rPr>
          <w:rFonts w:hint="eastAsia"/>
        </w:rPr>
        <w:t>个月到</w:t>
      </w:r>
      <w:r>
        <w:rPr>
          <w:rFonts w:hint="eastAsia"/>
        </w:rPr>
        <w:t>180</w:t>
      </w:r>
      <w:r>
        <w:rPr>
          <w:rFonts w:hint="eastAsia"/>
        </w:rPr>
        <w:t>个月不等）的贡献，她们即可在</w:t>
      </w:r>
      <w:r>
        <w:rPr>
          <w:rFonts w:hint="eastAsia"/>
        </w:rPr>
        <w:t>55</w:t>
      </w:r>
      <w:r>
        <w:rPr>
          <w:rFonts w:hint="eastAsia"/>
        </w:rPr>
        <w:t>岁退休。</w:t>
      </w:r>
    </w:p>
    <w:p w:rsidR="00000000" w:rsidRDefault="004D2F83" w:rsidP="004D2F83">
      <w:pPr>
        <w:snapToGrid w:val="0"/>
        <w:spacing w:after="240" w:line="360" w:lineRule="exact"/>
        <w:ind w:leftChars="200" w:left="31680" w:hangingChars="200" w:firstLine="31680"/>
        <w:rPr>
          <w:rFonts w:hint="eastAsia"/>
        </w:rPr>
      </w:pPr>
      <w:r>
        <w:rPr>
          <w:rFonts w:hint="eastAsia"/>
        </w:rPr>
        <w:t>2</w:t>
      </w:r>
      <w:r>
        <w:rPr>
          <w:rFonts w:hint="eastAsia"/>
        </w:rPr>
        <w:t>．</w:t>
      </w:r>
      <w:r>
        <w:rPr>
          <w:rFonts w:hint="eastAsia"/>
        </w:rPr>
        <w:tab/>
      </w:r>
      <w:r>
        <w:rPr>
          <w:rFonts w:hint="eastAsia"/>
        </w:rPr>
        <w:t>另外一个重要的积极措施是颁布了第</w:t>
      </w:r>
      <w:r>
        <w:rPr>
          <w:rFonts w:hint="eastAsia"/>
        </w:rPr>
        <w:t>9713/98</w:t>
      </w:r>
      <w:r>
        <w:rPr>
          <w:rFonts w:hint="eastAsia"/>
        </w:rPr>
        <w:t>号法律。该法对全国宪兵部队的男女工作人员作出统一规定，因而消除了晋升机会的差别。</w:t>
      </w:r>
    </w:p>
    <w:p w:rsidR="00000000" w:rsidRDefault="004D2F83" w:rsidP="004D2F83">
      <w:pPr>
        <w:spacing w:after="240" w:line="360" w:lineRule="exact"/>
        <w:ind w:firstLineChars="225" w:firstLine="31680"/>
        <w:rPr>
          <w:rFonts w:hint="eastAsia"/>
          <w:color w:val="FF0000"/>
        </w:rPr>
      </w:pPr>
      <w:r>
        <w:rPr>
          <w:rFonts w:hint="eastAsia"/>
        </w:rPr>
        <w:t>司法部</w:t>
      </w:r>
      <w:r>
        <w:rPr>
          <w:rFonts w:hint="eastAsia"/>
        </w:rPr>
        <w:t>/</w:t>
      </w:r>
      <w:r>
        <w:rPr>
          <w:rFonts w:hint="eastAsia"/>
        </w:rPr>
        <w:t>人权问题国务秘书处和全国妇女权利委员会与一些政府机关签订的议定书带来以下显著结果：</w:t>
      </w:r>
    </w:p>
    <w:p w:rsidR="00000000" w:rsidRDefault="004D2F83">
      <w:pPr>
        <w:numPr>
          <w:ilvl w:val="0"/>
          <w:numId w:val="702"/>
        </w:numPr>
        <w:spacing w:after="240" w:line="360" w:lineRule="exact"/>
        <w:rPr>
          <w:rFonts w:hint="eastAsia"/>
        </w:rPr>
      </w:pPr>
      <w:r>
        <w:rPr>
          <w:rFonts w:hint="eastAsia"/>
        </w:rPr>
        <w:t>支助教育部给予优先考虑的各市的小学和学龄前教育，通过分发基本食品和校餐提供食品补助；</w:t>
      </w:r>
    </w:p>
    <w:p w:rsidR="00000000" w:rsidRDefault="004D2F83">
      <w:pPr>
        <w:numPr>
          <w:ilvl w:val="0"/>
          <w:numId w:val="702"/>
        </w:numPr>
        <w:spacing w:after="240" w:line="360" w:lineRule="exact"/>
        <w:rPr>
          <w:rFonts w:hint="eastAsia"/>
        </w:rPr>
      </w:pPr>
      <w:r>
        <w:rPr>
          <w:rFonts w:hint="eastAsia"/>
        </w:rPr>
        <w:t>在选择的特别企业和住房筹资优先项目中，通过适当</w:t>
      </w:r>
      <w:r>
        <w:rPr>
          <w:rFonts w:hint="eastAsia"/>
        </w:rPr>
        <w:t>的代理人对作为户主的妇女提供援助；</w:t>
      </w:r>
    </w:p>
    <w:p w:rsidR="00000000" w:rsidRDefault="004D2F83">
      <w:pPr>
        <w:numPr>
          <w:ilvl w:val="0"/>
          <w:numId w:val="702"/>
        </w:numPr>
        <w:spacing w:after="240" w:line="360" w:lineRule="exact"/>
        <w:rPr>
          <w:rFonts w:hint="eastAsia"/>
        </w:rPr>
      </w:pPr>
      <w:r>
        <w:rPr>
          <w:rFonts w:hint="eastAsia"/>
        </w:rPr>
        <w:t>1996</w:t>
      </w:r>
      <w:r>
        <w:rPr>
          <w:rFonts w:hint="eastAsia"/>
        </w:rPr>
        <w:t>年</w:t>
      </w:r>
      <w:r>
        <w:rPr>
          <w:rFonts w:hint="eastAsia"/>
        </w:rPr>
        <w:t>1</w:t>
      </w:r>
      <w:r>
        <w:rPr>
          <w:rFonts w:hint="eastAsia"/>
        </w:rPr>
        <w:t>月至</w:t>
      </w:r>
      <w:r>
        <w:rPr>
          <w:rFonts w:hint="eastAsia"/>
        </w:rPr>
        <w:t>1998</w:t>
      </w:r>
      <w:r>
        <w:rPr>
          <w:rFonts w:hint="eastAsia"/>
        </w:rPr>
        <w:t>年</w:t>
      </w:r>
      <w:r>
        <w:rPr>
          <w:rFonts w:hint="eastAsia"/>
        </w:rPr>
        <w:t>2</w:t>
      </w:r>
      <w:r>
        <w:rPr>
          <w:rFonts w:hint="eastAsia"/>
        </w:rPr>
        <w:t>月期间，在劳动部的信用证方案批准的</w:t>
      </w:r>
      <w:r>
        <w:rPr>
          <w:rFonts w:hint="eastAsia"/>
        </w:rPr>
        <w:t xml:space="preserve">190 </w:t>
      </w:r>
      <w:r>
        <w:t>000</w:t>
      </w:r>
      <w:r>
        <w:rPr>
          <w:rFonts w:hint="eastAsia"/>
        </w:rPr>
        <w:t>项贷款中，约有</w:t>
      </w:r>
      <w:r>
        <w:rPr>
          <w:rFonts w:hint="eastAsia"/>
        </w:rPr>
        <w:t xml:space="preserve">65 </w:t>
      </w:r>
      <w:r>
        <w:t>000</w:t>
      </w:r>
      <w:r>
        <w:rPr>
          <w:rFonts w:hint="eastAsia"/>
        </w:rPr>
        <w:t>项——即总数的三分之一——特别拨给妇女；</w:t>
      </w:r>
    </w:p>
    <w:p w:rsidR="00000000" w:rsidRDefault="004D2F83">
      <w:pPr>
        <w:numPr>
          <w:ilvl w:val="0"/>
          <w:numId w:val="702"/>
        </w:numPr>
        <w:spacing w:after="240" w:line="360" w:lineRule="exact"/>
        <w:rPr>
          <w:rFonts w:hint="eastAsia"/>
        </w:rPr>
      </w:pPr>
      <w:r>
        <w:rPr>
          <w:rFonts w:hint="eastAsia"/>
        </w:rPr>
        <w:t>劳动部根据性别观点制定了创造就业机会和创收方案（</w:t>
      </w:r>
      <w:r>
        <w:rPr>
          <w:rFonts w:hint="eastAsia"/>
        </w:rPr>
        <w:t>PROGER</w:t>
      </w:r>
      <w:r>
        <w:rPr>
          <w:rFonts w:hint="eastAsia"/>
        </w:rPr>
        <w:t>）。在非正式的和新设立的部门中，</w:t>
      </w:r>
      <w:r>
        <w:rPr>
          <w:rFonts w:hint="eastAsia"/>
        </w:rPr>
        <w:t>1999</w:t>
      </w:r>
      <w:r>
        <w:rPr>
          <w:rFonts w:hint="eastAsia"/>
        </w:rPr>
        <w:t>年与巴西银行、东北银行和联邦政府储蓄银行签订的财务经营活动合同中，有</w:t>
      </w:r>
      <w:r>
        <w:rPr>
          <w:rFonts w:hint="eastAsia"/>
        </w:rPr>
        <w:t>46</w:t>
      </w:r>
      <w:r>
        <w:t>.4%</w:t>
      </w:r>
      <w:r>
        <w:rPr>
          <w:rFonts w:hint="eastAsia"/>
        </w:rPr>
        <w:t>是由妇女提交的，结果创造了</w:t>
      </w:r>
      <w:r>
        <w:rPr>
          <w:rFonts w:hint="eastAsia"/>
        </w:rPr>
        <w:t>48%</w:t>
      </w:r>
      <w:r>
        <w:rPr>
          <w:rFonts w:hint="eastAsia"/>
        </w:rPr>
        <w:t>的新就业机会（创造就业机会和创收方案</w:t>
      </w:r>
      <w:r>
        <w:rPr>
          <w:rFonts w:hint="eastAsia"/>
        </w:rPr>
        <w:t>/</w:t>
      </w:r>
      <w:r>
        <w:rPr>
          <w:rFonts w:hint="eastAsia"/>
        </w:rPr>
        <w:t>劳动和就业部数据）；</w:t>
      </w:r>
    </w:p>
    <w:p w:rsidR="00000000" w:rsidRDefault="004D2F83">
      <w:pPr>
        <w:numPr>
          <w:ilvl w:val="0"/>
          <w:numId w:val="702"/>
        </w:numPr>
        <w:spacing w:after="240" w:line="360" w:lineRule="exact"/>
        <w:rPr>
          <w:rFonts w:hint="eastAsia"/>
        </w:rPr>
      </w:pPr>
      <w:r>
        <w:rPr>
          <w:rFonts w:hint="eastAsia"/>
        </w:rPr>
        <w:t>全国劳动者资格培训计划（资格计划）的一个指导方针是优先实施社会</w:t>
      </w:r>
      <w:r>
        <w:rPr>
          <w:rFonts w:hint="eastAsia"/>
        </w:rPr>
        <w:t>处境不利的妇女和处境危险的年轻人的职业培训和取得就业资格与收入的公共政策。</w:t>
      </w:r>
      <w:r>
        <w:rPr>
          <w:rFonts w:hint="eastAsia"/>
        </w:rPr>
        <w:t>1996</w:t>
      </w:r>
      <w:r>
        <w:rPr>
          <w:rFonts w:hint="eastAsia"/>
        </w:rPr>
        <w:t>年</w:t>
      </w:r>
      <w:r>
        <w:rPr>
          <w:rFonts w:hint="eastAsia"/>
        </w:rPr>
        <w:t>3</w:t>
      </w:r>
      <w:r>
        <w:rPr>
          <w:rFonts w:hint="eastAsia"/>
        </w:rPr>
        <w:t>月，资培计划与劳动秘书处和各级妇女委员会共同发起行动，制定项目，扩大和调整向职业妇女提供的教育培训。参加资培计划的妇女人数有所增加——从</w:t>
      </w:r>
      <w:r>
        <w:rPr>
          <w:rFonts w:hint="eastAsia"/>
        </w:rPr>
        <w:t>1996</w:t>
      </w:r>
      <w:r>
        <w:rPr>
          <w:rFonts w:hint="eastAsia"/>
        </w:rPr>
        <w:t>年的</w:t>
      </w:r>
      <w:r>
        <w:rPr>
          <w:rFonts w:hint="eastAsia"/>
        </w:rPr>
        <w:t>41%</w:t>
      </w:r>
      <w:r>
        <w:rPr>
          <w:rFonts w:hint="eastAsia"/>
        </w:rPr>
        <w:t>增至</w:t>
      </w:r>
      <w:r>
        <w:rPr>
          <w:rFonts w:hint="eastAsia"/>
        </w:rPr>
        <w:t>1999</w:t>
      </w:r>
      <w:r>
        <w:rPr>
          <w:rFonts w:hint="eastAsia"/>
        </w:rPr>
        <w:t>年的</w:t>
      </w:r>
      <w:r>
        <w:rPr>
          <w:rFonts w:hint="eastAsia"/>
        </w:rPr>
        <w:t>49%</w:t>
      </w:r>
      <w:r>
        <w:rPr>
          <w:rFonts w:hint="eastAsia"/>
        </w:rPr>
        <w:t>，也就是说，在</w:t>
      </w:r>
      <w:r>
        <w:rPr>
          <w:rFonts w:hint="eastAsia"/>
        </w:rPr>
        <w:t>1995</w:t>
      </w:r>
      <w:r>
        <w:rPr>
          <w:rFonts w:hint="eastAsia"/>
        </w:rPr>
        <w:t>年至</w:t>
      </w:r>
      <w:r>
        <w:rPr>
          <w:rFonts w:hint="eastAsia"/>
        </w:rPr>
        <w:t>1999</w:t>
      </w:r>
      <w:r>
        <w:rPr>
          <w:rFonts w:hint="eastAsia"/>
        </w:rPr>
        <w:t>年期间获得培训的</w:t>
      </w:r>
      <w:r>
        <w:rPr>
          <w:rFonts w:hint="eastAsia"/>
        </w:rPr>
        <w:t>830</w:t>
      </w:r>
      <w:r>
        <w:rPr>
          <w:rFonts w:hint="eastAsia"/>
        </w:rPr>
        <w:t>万人中，有</w:t>
      </w:r>
      <w:r>
        <w:rPr>
          <w:rFonts w:hint="eastAsia"/>
        </w:rPr>
        <w:t>48%</w:t>
      </w:r>
      <w:r>
        <w:rPr>
          <w:rFonts w:hint="eastAsia"/>
        </w:rPr>
        <w:t>为妇女，相当于大约</w:t>
      </w:r>
      <w:r>
        <w:rPr>
          <w:rFonts w:hint="eastAsia"/>
        </w:rPr>
        <w:t>400</w:t>
      </w:r>
      <w:r>
        <w:rPr>
          <w:rFonts w:hint="eastAsia"/>
        </w:rPr>
        <w:t>万人。这一数字超过了妇女参加</w:t>
      </w:r>
      <w:r>
        <w:rPr>
          <w:rFonts w:hint="eastAsia"/>
        </w:rPr>
        <w:t>PEA</w:t>
      </w:r>
      <w:r>
        <w:rPr>
          <w:rFonts w:hint="eastAsia"/>
        </w:rPr>
        <w:t>的人数；</w:t>
      </w:r>
    </w:p>
    <w:p w:rsidR="00000000" w:rsidRDefault="004D2F83">
      <w:pPr>
        <w:numPr>
          <w:ilvl w:val="0"/>
          <w:numId w:val="702"/>
        </w:numPr>
        <w:spacing w:after="240" w:line="360" w:lineRule="exact"/>
        <w:rPr>
          <w:rFonts w:hint="eastAsia"/>
        </w:rPr>
      </w:pPr>
      <w:r>
        <w:rPr>
          <w:rFonts w:hint="eastAsia"/>
        </w:rPr>
        <w:t>劳动和就业部与司法部合作制定了在就业和工作场所消除歧视的方案，旨在执行巴西政府已批准的劳工组织第</w:t>
      </w:r>
      <w:r>
        <w:rPr>
          <w:rFonts w:hint="eastAsia"/>
        </w:rPr>
        <w:t>100</w:t>
      </w:r>
      <w:r>
        <w:rPr>
          <w:rFonts w:hint="eastAsia"/>
        </w:rPr>
        <w:t>、</w:t>
      </w:r>
      <w:r>
        <w:rPr>
          <w:rFonts w:hint="eastAsia"/>
        </w:rPr>
        <w:t>111</w:t>
      </w:r>
      <w:r>
        <w:rPr>
          <w:rFonts w:hint="eastAsia"/>
        </w:rPr>
        <w:t>和</w:t>
      </w:r>
      <w:r>
        <w:rPr>
          <w:rFonts w:hint="eastAsia"/>
        </w:rPr>
        <w:t>159</w:t>
      </w:r>
      <w:r>
        <w:rPr>
          <w:rFonts w:hint="eastAsia"/>
        </w:rPr>
        <w:t>号公约规定的促进劳动力市场的平等机会和待遇的政策；</w:t>
      </w:r>
    </w:p>
    <w:p w:rsidR="00000000" w:rsidRDefault="004D2F83">
      <w:pPr>
        <w:numPr>
          <w:ilvl w:val="0"/>
          <w:numId w:val="702"/>
        </w:numPr>
        <w:spacing w:after="240" w:line="360" w:lineRule="exact"/>
        <w:rPr>
          <w:rFonts w:hint="eastAsia"/>
        </w:rPr>
      </w:pPr>
      <w:r>
        <w:rPr>
          <w:rFonts w:hint="eastAsia"/>
        </w:rPr>
        <w:t>与社会保障和福利部的社会福利秘书处合作开展了各种活动，以确保实施各种针对妇女和家庭的社会福利方案，如城市和农村地区的消除童工方案和家庭扶助中心方案。奖学金、最低收入、社会</w:t>
      </w:r>
      <w:r>
        <w:rPr>
          <w:rFonts w:hint="eastAsia"/>
        </w:rPr>
        <w:sym w:font="Symbol" w:char="F02D"/>
      </w:r>
      <w:r>
        <w:rPr>
          <w:rFonts w:hint="eastAsia"/>
        </w:rPr>
        <w:t>教育劳动和创收等补助的对象主要是担任户主的妇女；</w:t>
      </w:r>
    </w:p>
    <w:p w:rsidR="00000000" w:rsidRDefault="004D2F83">
      <w:pPr>
        <w:numPr>
          <w:ilvl w:val="0"/>
          <w:numId w:val="702"/>
        </w:numPr>
        <w:spacing w:after="240" w:line="360" w:lineRule="exact"/>
        <w:rPr>
          <w:rFonts w:hint="eastAsia"/>
        </w:rPr>
      </w:pPr>
      <w:r>
        <w:rPr>
          <w:rFonts w:hint="eastAsia"/>
        </w:rPr>
        <w:t>劳动和就业部和</w:t>
      </w:r>
      <w:r>
        <w:t>Roberto Marinho</w:t>
      </w:r>
      <w:r>
        <w:rPr>
          <w:rFonts w:hint="eastAsia"/>
        </w:rPr>
        <w:t>基金会</w:t>
      </w:r>
      <w:r>
        <w:rPr>
          <w:rFonts w:hint="eastAsia"/>
        </w:rPr>
        <w:t>/</w:t>
      </w:r>
      <w:r>
        <w:t>Futura</w:t>
      </w:r>
      <w:r>
        <w:rPr>
          <w:rFonts w:hint="eastAsia"/>
        </w:rPr>
        <w:t>电视频道正在实施针对妇女的教育方案，意在特别使那些处境危险或处于社会不利地位的妇女以及青少年和年轻人取得职业资格和进入劳动力市场的机会；</w:t>
      </w:r>
    </w:p>
    <w:p w:rsidR="00000000" w:rsidRDefault="004D2F83">
      <w:pPr>
        <w:numPr>
          <w:ilvl w:val="0"/>
          <w:numId w:val="702"/>
        </w:numPr>
        <w:spacing w:after="240" w:line="360" w:lineRule="exact"/>
        <w:rPr>
          <w:rFonts w:hint="eastAsia"/>
        </w:rPr>
      </w:pPr>
      <w:r>
        <w:rPr>
          <w:rFonts w:hint="eastAsia"/>
        </w:rPr>
        <w:t>与土地发展部</w:t>
      </w:r>
      <w:r>
        <w:rPr>
          <w:rFonts w:hint="eastAsia"/>
        </w:rPr>
        <w:t>/</w:t>
      </w:r>
      <w:r>
        <w:rPr>
          <w:rFonts w:hint="eastAsia"/>
        </w:rPr>
        <w:t>全国定居和土地</w:t>
      </w:r>
      <w:r>
        <w:rPr>
          <w:rFonts w:hint="eastAsia"/>
        </w:rPr>
        <w:t>改革研究所（</w:t>
      </w:r>
      <w:r>
        <w:rPr>
          <w:rFonts w:hint="eastAsia"/>
        </w:rPr>
        <w:t>MDA/INCRA</w:t>
      </w:r>
      <w:r>
        <w:rPr>
          <w:rFonts w:hint="eastAsia"/>
        </w:rPr>
        <w:t>）合作，向来自这一政府机构的专家提供性别方面的培训课程，并在对社会企业家的培训方案中提供家庭农业方面的课程。</w:t>
      </w:r>
    </w:p>
    <w:p w:rsidR="00000000" w:rsidRDefault="004D2F83" w:rsidP="004D2F83">
      <w:pPr>
        <w:spacing w:after="240" w:line="360" w:lineRule="exact"/>
        <w:ind w:firstLineChars="225" w:firstLine="31680"/>
        <w:rPr>
          <w:rFonts w:hint="eastAsia"/>
        </w:rPr>
      </w:pPr>
      <w:r>
        <w:rPr>
          <w:rFonts w:hint="eastAsia"/>
        </w:rPr>
        <w:t>由妇女运动促成行政部门采取的另一个举措是</w:t>
      </w:r>
      <w:r>
        <w:rPr>
          <w:rFonts w:hint="eastAsia"/>
        </w:rPr>
        <w:t>1985</w:t>
      </w:r>
      <w:r>
        <w:rPr>
          <w:rFonts w:hint="eastAsia"/>
        </w:rPr>
        <w:t>年设立了专门处理妇女问题的警察局（援助妇女特别警察局）。这些警察局的目的就是确保对遭受家庭暴力的妇女提供特殊的待遇和更为关注、友好的环境。不过，这一公共政策所取得的成果不论在数量方面，还是在提供援助的质量方面都很不足。事实证明，在援助妇女特别警察局工作的女警官的性别并不能保证她们关心受害者并且有能力处理受害者问题。</w:t>
      </w:r>
      <w:r>
        <w:rPr>
          <w:rFonts w:hint="eastAsia"/>
        </w:rPr>
        <w:t>1997</w:t>
      </w:r>
      <w:r>
        <w:rPr>
          <w:rFonts w:hint="eastAsia"/>
        </w:rPr>
        <w:t>年</w:t>
      </w:r>
      <w:r>
        <w:rPr>
          <w:rFonts w:hint="eastAsia"/>
        </w:rPr>
        <w:t>7</w:t>
      </w:r>
      <w:r>
        <w:rPr>
          <w:rFonts w:hint="eastAsia"/>
        </w:rPr>
        <w:t>月</w:t>
      </w:r>
      <w:r>
        <w:rPr>
          <w:rFonts w:hint="eastAsia"/>
        </w:rPr>
        <w:t>1</w:t>
      </w:r>
      <w:r>
        <w:rPr>
          <w:rFonts w:hint="eastAsia"/>
        </w:rPr>
        <w:t>日经济及社会理事会（经社理事会）提交联合国人权事务委员会的联合国关于巴西对妇女的暴力行为问题特别报告员的报告证实了这些论点。</w:t>
      </w:r>
    </w:p>
    <w:p w:rsidR="00000000" w:rsidRDefault="004D2F83">
      <w:pPr>
        <w:pStyle w:val="Date"/>
        <w:spacing w:after="240" w:line="360" w:lineRule="exact"/>
        <w:rPr>
          <w:rFonts w:eastAsia="SimHei" w:hint="eastAsia"/>
          <w:sz w:val="24"/>
        </w:rPr>
      </w:pPr>
      <w:r>
        <w:rPr>
          <w:rFonts w:eastAsia="SimHei" w:hint="eastAsia"/>
          <w:sz w:val="24"/>
        </w:rPr>
        <w:t>因素和困难</w:t>
      </w:r>
    </w:p>
    <w:p w:rsidR="00000000" w:rsidRDefault="004D2F83" w:rsidP="004D2F83">
      <w:pPr>
        <w:spacing w:after="240" w:line="360" w:lineRule="exact"/>
        <w:ind w:firstLineChars="225" w:firstLine="31680"/>
        <w:rPr>
          <w:rFonts w:hint="eastAsia"/>
        </w:rPr>
      </w:pPr>
      <w:r>
        <w:rPr>
          <w:rFonts w:hint="eastAsia"/>
        </w:rPr>
        <w:t>尽管有关社会参与和国家政策方面有许多积极的经验需要报道，但在发展和促进巴西妇女权利方面，仍有很长一段路要走。</w:t>
      </w:r>
    </w:p>
    <w:p w:rsidR="00000000" w:rsidRDefault="004D2F83" w:rsidP="004D2F83">
      <w:pPr>
        <w:spacing w:after="240" w:line="360" w:lineRule="exact"/>
        <w:ind w:firstLineChars="225" w:firstLine="31680"/>
        <w:rPr>
          <w:rFonts w:hint="eastAsia"/>
        </w:rPr>
      </w:pPr>
      <w:r>
        <w:rPr>
          <w:rFonts w:hint="eastAsia"/>
        </w:rPr>
        <w:t>根据</w:t>
      </w:r>
      <w:r>
        <w:rPr>
          <w:rFonts w:hint="eastAsia"/>
        </w:rPr>
        <w:t>1999</w:t>
      </w:r>
      <w:r>
        <w:rPr>
          <w:rFonts w:hint="eastAsia"/>
        </w:rPr>
        <w:t>年《联合国人类发展报告》，人权和个人自由的加强受到社会条件的影响和制约。根据巴西地理与统计局的初步数据，妇女占巴西人口的</w:t>
      </w:r>
      <w:r>
        <w:rPr>
          <w:rFonts w:hint="eastAsia"/>
        </w:rPr>
        <w:t>50%</w:t>
      </w:r>
      <w:r>
        <w:rPr>
          <w:rFonts w:hint="eastAsia"/>
        </w:rPr>
        <w:t>以上。</w:t>
      </w:r>
      <w:r>
        <w:rPr>
          <w:rStyle w:val="FootnoteReference"/>
        </w:rPr>
        <w:footnoteReference w:customMarkFollows="1" w:id="46"/>
        <w:t>46</w:t>
      </w:r>
      <w:r>
        <w:rPr>
          <w:rFonts w:hint="eastAsia"/>
        </w:rPr>
        <w:t>这意味着贫困对妇女的压迫更重。此外，考虑到社会阶层</w:t>
      </w:r>
      <w:r>
        <w:rPr>
          <w:rFonts w:hint="eastAsia"/>
        </w:rPr>
        <w:t>/</w:t>
      </w:r>
      <w:r>
        <w:rPr>
          <w:rFonts w:hint="eastAsia"/>
        </w:rPr>
        <w:t>种族比率，有一点值得注意：贫困集中在黑人妇女或非洲裔妇女</w:t>
      </w:r>
      <w:r>
        <w:rPr>
          <w:rFonts w:hint="eastAsia"/>
        </w:rPr>
        <w:t>中。</w:t>
      </w:r>
    </w:p>
    <w:p w:rsidR="00000000" w:rsidRDefault="004D2F83" w:rsidP="004D2F83">
      <w:pPr>
        <w:spacing w:after="240" w:line="360" w:lineRule="exact"/>
        <w:ind w:firstLineChars="225" w:firstLine="31680"/>
        <w:rPr>
          <w:rFonts w:hint="eastAsia"/>
        </w:rPr>
      </w:pPr>
      <w:r>
        <w:rPr>
          <w:rFonts w:hint="eastAsia"/>
        </w:rPr>
        <w:t>联合国的报告显示，有</w:t>
      </w:r>
      <w:r>
        <w:rPr>
          <w:rFonts w:hint="eastAsia"/>
        </w:rPr>
        <w:t>2 600</w:t>
      </w:r>
      <w:r>
        <w:rPr>
          <w:rFonts w:hint="eastAsia"/>
        </w:rPr>
        <w:t>万巴西人生活在人类发展的边缘，没有最低标准的保健、教育和基本的卫生设施或服务。此外，巴西还显示出财富高度集中的特点（</w:t>
      </w:r>
      <w:r>
        <w:rPr>
          <w:rFonts w:hint="eastAsia"/>
        </w:rPr>
        <w:t>20%</w:t>
      </w:r>
      <w:r>
        <w:rPr>
          <w:rFonts w:hint="eastAsia"/>
        </w:rPr>
        <w:t>最富有的人积累大量货物和资本，</w:t>
      </w:r>
      <w:r>
        <w:rPr>
          <w:rFonts w:hint="eastAsia"/>
        </w:rPr>
        <w:t>18%</w:t>
      </w:r>
      <w:r>
        <w:rPr>
          <w:rFonts w:hint="eastAsia"/>
        </w:rPr>
        <w:t>的人口生活在赤贫状态——这两个极端阶层之间的差别达</w:t>
      </w:r>
      <w:r>
        <w:rPr>
          <w:rFonts w:hint="eastAsia"/>
        </w:rPr>
        <w:t>32</w:t>
      </w:r>
      <w:r>
        <w:rPr>
          <w:rFonts w:hint="eastAsia"/>
        </w:rPr>
        <w:t>倍）。</w:t>
      </w:r>
    </w:p>
    <w:p w:rsidR="00000000" w:rsidRDefault="004D2F83" w:rsidP="004D2F83">
      <w:pPr>
        <w:spacing w:after="240" w:line="360" w:lineRule="exact"/>
        <w:ind w:firstLineChars="225" w:firstLine="31680"/>
        <w:rPr>
          <w:rFonts w:hint="eastAsia"/>
        </w:rPr>
      </w:pPr>
      <w:r>
        <w:rPr>
          <w:rFonts w:hint="eastAsia"/>
        </w:rPr>
        <w:t>但上面的数据既不是绝对的也不是平均的。</w:t>
      </w:r>
      <w:r>
        <w:rPr>
          <w:rFonts w:hint="eastAsia"/>
        </w:rPr>
        <w:t>1999</w:t>
      </w:r>
      <w:r>
        <w:rPr>
          <w:rFonts w:hint="eastAsia"/>
        </w:rPr>
        <w:t>年，巴西被列为拥有平均人类发展指数的国家，在</w:t>
      </w:r>
      <w:r>
        <w:rPr>
          <w:rFonts w:hint="eastAsia"/>
        </w:rPr>
        <w:t>144</w:t>
      </w:r>
      <w:r>
        <w:rPr>
          <w:rFonts w:hint="eastAsia"/>
        </w:rPr>
        <w:t>个国家中位居</w:t>
      </w:r>
      <w:r>
        <w:rPr>
          <w:rFonts w:hint="eastAsia"/>
        </w:rPr>
        <w:t>79</w:t>
      </w:r>
      <w:r>
        <w:rPr>
          <w:rFonts w:hint="eastAsia"/>
        </w:rPr>
        <w:t>名。不过，就巴西的非洲裔人口来说，如果按性别和种族来划分人类发展指数，性别和种族歧视的影响就会十分明显，这使得与巴西黑人人口有关的人类发展指数下</w:t>
      </w:r>
      <w:r>
        <w:rPr>
          <w:rFonts w:hint="eastAsia"/>
        </w:rPr>
        <w:t>降到第</w:t>
      </w:r>
      <w:r>
        <w:rPr>
          <w:rFonts w:hint="eastAsia"/>
        </w:rPr>
        <w:t>108</w:t>
      </w:r>
      <w:r>
        <w:rPr>
          <w:rFonts w:hint="eastAsia"/>
        </w:rPr>
        <w:t>位。根据社会福利和教育机构协会联合会</w:t>
      </w:r>
      <w:r>
        <w:rPr>
          <w:rFonts w:hint="eastAsia"/>
        </w:rPr>
        <w:t>2000</w:t>
      </w:r>
      <w:r>
        <w:rPr>
          <w:rFonts w:hint="eastAsia"/>
        </w:rPr>
        <w:t>年</w:t>
      </w:r>
      <w:r>
        <w:rPr>
          <w:rFonts w:hint="eastAsia"/>
        </w:rPr>
        <w:t>6</w:t>
      </w:r>
      <w:r>
        <w:rPr>
          <w:rFonts w:hint="eastAsia"/>
        </w:rPr>
        <w:t>月开展的一项调查，如果只考虑白人人口，这一指数会上升到第</w:t>
      </w:r>
      <w:r>
        <w:rPr>
          <w:rFonts w:hint="eastAsia"/>
        </w:rPr>
        <w:t>49</w:t>
      </w:r>
      <w:r>
        <w:rPr>
          <w:rFonts w:hint="eastAsia"/>
        </w:rPr>
        <w:t>位，达到富国的标准。</w:t>
      </w:r>
    </w:p>
    <w:p w:rsidR="00000000" w:rsidRDefault="004D2F83" w:rsidP="004D2F83">
      <w:pPr>
        <w:spacing w:after="240" w:line="360" w:lineRule="exact"/>
        <w:ind w:firstLineChars="225" w:firstLine="31680"/>
        <w:rPr>
          <w:rFonts w:hint="eastAsia"/>
        </w:rPr>
      </w:pPr>
      <w:r>
        <w:rPr>
          <w:rFonts w:hint="eastAsia"/>
        </w:rPr>
        <w:t>根据人类发展指数，按性别和种族来划分的预期寿命如下所示：白人男子</w:t>
      </w:r>
      <w:r>
        <w:rPr>
          <w:rFonts w:hint="eastAsia"/>
        </w:rPr>
        <w:t>69</w:t>
      </w:r>
      <w:r>
        <w:rPr>
          <w:rFonts w:hint="eastAsia"/>
        </w:rPr>
        <w:t>岁；白人妇女</w:t>
      </w:r>
      <w:r>
        <w:rPr>
          <w:rFonts w:hint="eastAsia"/>
        </w:rPr>
        <w:t>71</w:t>
      </w:r>
      <w:r>
        <w:rPr>
          <w:rFonts w:hint="eastAsia"/>
        </w:rPr>
        <w:t>岁；黑人男子</w:t>
      </w:r>
      <w:r>
        <w:rPr>
          <w:rFonts w:hint="eastAsia"/>
        </w:rPr>
        <w:t>62</w:t>
      </w:r>
      <w:r>
        <w:rPr>
          <w:rFonts w:hint="eastAsia"/>
        </w:rPr>
        <w:t>岁；黑人妇女</w:t>
      </w:r>
      <w:r>
        <w:rPr>
          <w:rFonts w:hint="eastAsia"/>
        </w:rPr>
        <w:t>66</w:t>
      </w:r>
      <w:r>
        <w:rPr>
          <w:rFonts w:hint="eastAsia"/>
        </w:rPr>
        <w:t>岁。白人总体的平均预期寿命为</w:t>
      </w:r>
      <w:r>
        <w:rPr>
          <w:rFonts w:hint="eastAsia"/>
        </w:rPr>
        <w:t>70</w:t>
      </w:r>
      <w:r>
        <w:rPr>
          <w:rFonts w:hint="eastAsia"/>
        </w:rPr>
        <w:t>岁，而黑人总体的平均预期寿命则降到</w:t>
      </w:r>
      <w:r>
        <w:rPr>
          <w:rFonts w:hint="eastAsia"/>
        </w:rPr>
        <w:t>66</w:t>
      </w:r>
      <w:r>
        <w:t>.8</w:t>
      </w:r>
      <w:r>
        <w:rPr>
          <w:rFonts w:hint="eastAsia"/>
        </w:rPr>
        <w:t>岁。根据从单一保健体系</w:t>
      </w:r>
      <w:r>
        <w:rPr>
          <w:rFonts w:hint="eastAsia"/>
        </w:rPr>
        <w:t>/MS</w:t>
      </w:r>
      <w:r>
        <w:rPr>
          <w:rFonts w:hint="eastAsia"/>
        </w:rPr>
        <w:t>数据库获得的数据，妇女的死亡率提高了</w:t>
      </w:r>
      <w:r>
        <w:rPr>
          <w:rFonts w:hint="eastAsia"/>
        </w:rPr>
        <w:t>7%</w:t>
      </w:r>
      <w:r>
        <w:rPr>
          <w:rFonts w:hint="eastAsia"/>
        </w:rPr>
        <w:t>，</w:t>
      </w:r>
      <w:r>
        <w:rPr>
          <w:rFonts w:hint="eastAsia"/>
        </w:rPr>
        <w:t>1980</w:t>
      </w:r>
      <w:r>
        <w:rPr>
          <w:rFonts w:hint="eastAsia"/>
        </w:rPr>
        <w:t>年到</w:t>
      </w:r>
      <w:r>
        <w:rPr>
          <w:rFonts w:hint="eastAsia"/>
        </w:rPr>
        <w:t>1990</w:t>
      </w:r>
      <w:r>
        <w:rPr>
          <w:rFonts w:hint="eastAsia"/>
        </w:rPr>
        <w:t>年间从每千人的</w:t>
      </w:r>
      <w:r>
        <w:rPr>
          <w:rFonts w:hint="eastAsia"/>
        </w:rPr>
        <w:t>4</w:t>
      </w:r>
      <w:r>
        <w:t>.8</w:t>
      </w:r>
      <w:r>
        <w:rPr>
          <w:rFonts w:hint="eastAsia"/>
        </w:rPr>
        <w:t>到</w:t>
      </w:r>
      <w:r>
        <w:rPr>
          <w:rFonts w:hint="eastAsia"/>
        </w:rPr>
        <w:t>5</w:t>
      </w:r>
      <w:r>
        <w:t>.1</w:t>
      </w:r>
      <w:r>
        <w:rPr>
          <w:rFonts w:hint="eastAsia"/>
        </w:rPr>
        <w:t>不等。男子的死亡率也有提高，从每千人的</w:t>
      </w:r>
      <w:r>
        <w:rPr>
          <w:rFonts w:hint="eastAsia"/>
        </w:rPr>
        <w:t>6</w:t>
      </w:r>
      <w:r>
        <w:t>.</w:t>
      </w:r>
      <w:r>
        <w:rPr>
          <w:rFonts w:hint="eastAsia"/>
        </w:rPr>
        <w:t>9</w:t>
      </w:r>
      <w:r>
        <w:rPr>
          <w:rFonts w:hint="eastAsia"/>
        </w:rPr>
        <w:t>上升到</w:t>
      </w:r>
      <w:r>
        <w:rPr>
          <w:rFonts w:hint="eastAsia"/>
        </w:rPr>
        <w:t>7</w:t>
      </w:r>
      <w:r>
        <w:t>.</w:t>
      </w:r>
      <w:r>
        <w:rPr>
          <w:rFonts w:hint="eastAsia"/>
        </w:rPr>
        <w:t>7</w:t>
      </w:r>
      <w:r>
        <w:rPr>
          <w:rFonts w:hint="eastAsia"/>
        </w:rPr>
        <w:t>，提高</w:t>
      </w:r>
      <w:r>
        <w:rPr>
          <w:rFonts w:hint="eastAsia"/>
        </w:rPr>
        <w:t>了</w:t>
      </w:r>
      <w:r>
        <w:rPr>
          <w:rFonts w:hint="eastAsia"/>
        </w:rPr>
        <w:t>11%</w:t>
      </w:r>
      <w:r>
        <w:rPr>
          <w:rFonts w:hint="eastAsia"/>
        </w:rPr>
        <w:t>。在同一时期，整个人口的死亡率提高了</w:t>
      </w:r>
      <w:r>
        <w:rPr>
          <w:rFonts w:hint="eastAsia"/>
        </w:rPr>
        <w:t>9%</w:t>
      </w:r>
      <w:r>
        <w:rPr>
          <w:rFonts w:hint="eastAsia"/>
        </w:rPr>
        <w:t>，从每千人的</w:t>
      </w:r>
      <w:r>
        <w:rPr>
          <w:rFonts w:hint="eastAsia"/>
        </w:rPr>
        <w:t>5</w:t>
      </w:r>
      <w:r>
        <w:t>.</w:t>
      </w:r>
      <w:r>
        <w:rPr>
          <w:rFonts w:hint="eastAsia"/>
        </w:rPr>
        <w:t>8</w:t>
      </w:r>
      <w:r>
        <w:rPr>
          <w:rFonts w:hint="eastAsia"/>
        </w:rPr>
        <w:t>上升到</w:t>
      </w:r>
      <w:r>
        <w:rPr>
          <w:rFonts w:hint="eastAsia"/>
        </w:rPr>
        <w:t>6</w:t>
      </w:r>
      <w:r>
        <w:t>.</w:t>
      </w:r>
      <w:r>
        <w:rPr>
          <w:rFonts w:hint="eastAsia"/>
        </w:rPr>
        <w:t>4</w:t>
      </w:r>
      <w:r>
        <w:rPr>
          <w:rFonts w:hint="eastAsia"/>
        </w:rPr>
        <w:t>。主要的外部原因包括杀人，杀人案在全国增加了</w:t>
      </w:r>
      <w:r>
        <w:rPr>
          <w:rFonts w:hint="eastAsia"/>
        </w:rPr>
        <w:t>34%</w:t>
      </w:r>
      <w:r>
        <w:rPr>
          <w:rFonts w:hint="eastAsia"/>
        </w:rPr>
        <w:t>；不过，自</w:t>
      </w:r>
      <w:r>
        <w:rPr>
          <w:rFonts w:hint="eastAsia"/>
        </w:rPr>
        <w:t>1980</w:t>
      </w:r>
      <w:r>
        <w:rPr>
          <w:rFonts w:hint="eastAsia"/>
        </w:rPr>
        <w:t>年以来，交通事故造成的死亡已明显成为死亡的主要外部原因。</w:t>
      </w:r>
    </w:p>
    <w:p w:rsidR="00000000" w:rsidRDefault="004D2F83" w:rsidP="004D2F83">
      <w:pPr>
        <w:spacing w:after="240" w:line="360" w:lineRule="exact"/>
        <w:ind w:firstLineChars="225" w:firstLine="31680"/>
        <w:rPr>
          <w:rFonts w:hint="eastAsia"/>
        </w:rPr>
      </w:pPr>
      <w:r>
        <w:rPr>
          <w:rFonts w:hint="eastAsia"/>
        </w:rPr>
        <w:t>对死亡原因的分析</w:t>
      </w:r>
      <w:r>
        <w:rPr>
          <w:rStyle w:val="FootnoteReference"/>
        </w:rPr>
        <w:footnoteReference w:customMarkFollows="1" w:id="47"/>
        <w:t>47</w:t>
      </w:r>
      <w:r>
        <w:rPr>
          <w:rFonts w:hint="eastAsia"/>
        </w:rPr>
        <w:t>依据的是巴西妇女的年龄，有一点值得注意，那就是所谓的“外部原因”的相对权重增加：在</w:t>
      </w:r>
      <w:r>
        <w:rPr>
          <w:rFonts w:hint="eastAsia"/>
        </w:rPr>
        <w:t>1980</w:t>
      </w:r>
      <w:r>
        <w:rPr>
          <w:rFonts w:hint="eastAsia"/>
        </w:rPr>
        <w:t>年代，</w:t>
      </w:r>
      <w:r>
        <w:rPr>
          <w:rFonts w:hint="eastAsia"/>
        </w:rPr>
        <w:t>10-29</w:t>
      </w:r>
      <w:r>
        <w:rPr>
          <w:rFonts w:hint="eastAsia"/>
        </w:rPr>
        <w:t>岁之间的年龄组中由于“外部原因”导致死亡的人数最多。在</w:t>
      </w:r>
      <w:r>
        <w:rPr>
          <w:rFonts w:hint="eastAsia"/>
        </w:rPr>
        <w:t>1980</w:t>
      </w:r>
      <w:r>
        <w:rPr>
          <w:rFonts w:hint="eastAsia"/>
        </w:rPr>
        <w:t>年至</w:t>
      </w:r>
      <w:r>
        <w:rPr>
          <w:rFonts w:hint="eastAsia"/>
        </w:rPr>
        <w:t>1994</w:t>
      </w:r>
      <w:r>
        <w:rPr>
          <w:rFonts w:hint="eastAsia"/>
        </w:rPr>
        <w:t>年期间，</w:t>
      </w:r>
      <w:r>
        <w:rPr>
          <w:rFonts w:hint="eastAsia"/>
        </w:rPr>
        <w:t>30</w:t>
      </w:r>
      <w:r>
        <w:rPr>
          <w:rFonts w:hint="eastAsia"/>
        </w:rPr>
        <w:t>至</w:t>
      </w:r>
      <w:r>
        <w:rPr>
          <w:rFonts w:hint="eastAsia"/>
        </w:rPr>
        <w:t>34</w:t>
      </w:r>
      <w:r>
        <w:rPr>
          <w:rFonts w:hint="eastAsia"/>
        </w:rPr>
        <w:t>岁年龄组的这种人数最多，</w:t>
      </w:r>
      <w:r>
        <w:rPr>
          <w:rFonts w:hint="eastAsia"/>
        </w:rPr>
        <w:t xml:space="preserve"> 1980</w:t>
      </w:r>
      <w:r>
        <w:rPr>
          <w:rFonts w:hint="eastAsia"/>
        </w:rPr>
        <w:t>年到</w:t>
      </w:r>
      <w:r>
        <w:rPr>
          <w:rFonts w:hint="eastAsia"/>
        </w:rPr>
        <w:t>1994</w:t>
      </w:r>
      <w:r>
        <w:rPr>
          <w:rFonts w:hint="eastAsia"/>
        </w:rPr>
        <w:t>年期间，“外部原因”已成为</w:t>
      </w:r>
      <w:r>
        <w:rPr>
          <w:rFonts w:hint="eastAsia"/>
        </w:rPr>
        <w:t>55</w:t>
      </w:r>
      <w:r>
        <w:rPr>
          <w:rFonts w:hint="eastAsia"/>
        </w:rPr>
        <w:t>岁以下年龄组死</w:t>
      </w:r>
      <w:r>
        <w:rPr>
          <w:rFonts w:hint="eastAsia"/>
        </w:rPr>
        <w:t>亡率的五个最主要的原因之一。</w:t>
      </w:r>
    </w:p>
    <w:p w:rsidR="00000000" w:rsidRDefault="004D2F83" w:rsidP="004D2F83">
      <w:pPr>
        <w:spacing w:after="240" w:line="360" w:lineRule="exact"/>
        <w:ind w:firstLineChars="225" w:firstLine="31680"/>
        <w:rPr>
          <w:rFonts w:hint="eastAsia"/>
        </w:rPr>
      </w:pPr>
      <w:r>
        <w:rPr>
          <w:rFonts w:hint="eastAsia"/>
        </w:rPr>
        <w:t>还有另外一个所谓的“外部原因”就是产妇死亡率。</w:t>
      </w:r>
      <w:r>
        <w:rPr>
          <w:rFonts w:hint="eastAsia"/>
        </w:rPr>
        <w:t>1980</w:t>
      </w:r>
      <w:r>
        <w:rPr>
          <w:rFonts w:hint="eastAsia"/>
        </w:rPr>
        <w:t>年，妊娠并发症，即从分娩到产后</w:t>
      </w:r>
      <w:r>
        <w:rPr>
          <w:rFonts w:hint="eastAsia"/>
        </w:rPr>
        <w:t>42</w:t>
      </w:r>
      <w:r>
        <w:rPr>
          <w:rFonts w:hint="eastAsia"/>
        </w:rPr>
        <w:t>天期间的并发症被认为是</w:t>
      </w:r>
      <w:r>
        <w:rPr>
          <w:rFonts w:hint="eastAsia"/>
        </w:rPr>
        <w:t>15</w:t>
      </w:r>
      <w:r>
        <w:rPr>
          <w:rFonts w:hint="eastAsia"/>
        </w:rPr>
        <w:t>至</w:t>
      </w:r>
      <w:r>
        <w:rPr>
          <w:rFonts w:hint="eastAsia"/>
        </w:rPr>
        <w:t>34</w:t>
      </w:r>
      <w:r>
        <w:rPr>
          <w:rFonts w:hint="eastAsia"/>
        </w:rPr>
        <w:t>岁年龄组妇女死亡的五大原因之一。</w:t>
      </w:r>
      <w:r>
        <w:rPr>
          <w:rFonts w:hint="eastAsia"/>
        </w:rPr>
        <w:t>1994</w:t>
      </w:r>
      <w:r>
        <w:rPr>
          <w:rFonts w:hint="eastAsia"/>
        </w:rPr>
        <w:t>年，范围缩小到</w:t>
      </w:r>
      <w:r>
        <w:rPr>
          <w:rFonts w:hint="eastAsia"/>
        </w:rPr>
        <w:t>20</w:t>
      </w:r>
      <w:r>
        <w:rPr>
          <w:rFonts w:hint="eastAsia"/>
        </w:rPr>
        <w:t>至</w:t>
      </w:r>
      <w:r>
        <w:rPr>
          <w:rFonts w:hint="eastAsia"/>
        </w:rPr>
        <w:t>24</w:t>
      </w:r>
      <w:r>
        <w:rPr>
          <w:rFonts w:hint="eastAsia"/>
        </w:rPr>
        <w:t>岁年龄组。这一事实表明，在实施了单一保健体系（</w:t>
      </w:r>
      <w:r>
        <w:rPr>
          <w:rFonts w:hint="eastAsia"/>
        </w:rPr>
        <w:t>SUS</w:t>
      </w:r>
      <w:r>
        <w:rPr>
          <w:rFonts w:hint="eastAsia"/>
        </w:rPr>
        <w:t>）以及专门针对计划生育、产前保健、分娩和产后期的方案之后，育龄妇女的保健状况有所改善。根据卫生部公布的数据，</w:t>
      </w:r>
      <w:r>
        <w:rPr>
          <w:rFonts w:hint="eastAsia"/>
        </w:rPr>
        <w:t>1980</w:t>
      </w:r>
      <w:r>
        <w:rPr>
          <w:rFonts w:hint="eastAsia"/>
        </w:rPr>
        <w:t>年，产妇死亡率与活产的比例为</w:t>
      </w:r>
      <w:r>
        <w:rPr>
          <w:rFonts w:hint="eastAsia"/>
        </w:rPr>
        <w:t>69</w:t>
      </w:r>
      <w:r>
        <w:t>:</w:t>
      </w:r>
      <w:r>
        <w:rPr>
          <w:rFonts w:hint="eastAsia"/>
        </w:rPr>
        <w:t xml:space="preserve">100 </w:t>
      </w:r>
      <w:r>
        <w:t>000</w:t>
      </w:r>
      <w:r>
        <w:rPr>
          <w:rFonts w:hint="eastAsia"/>
        </w:rPr>
        <w:t>。</w:t>
      </w:r>
      <w:r>
        <w:rPr>
          <w:rFonts w:hint="eastAsia"/>
        </w:rPr>
        <w:t>1985</w:t>
      </w:r>
      <w:r>
        <w:rPr>
          <w:rFonts w:hint="eastAsia"/>
        </w:rPr>
        <w:t>年，这一比例下降到</w:t>
      </w:r>
      <w:r>
        <w:rPr>
          <w:rFonts w:hint="eastAsia"/>
        </w:rPr>
        <w:t>51</w:t>
      </w:r>
      <w:r>
        <w:t>:</w:t>
      </w:r>
      <w:r>
        <w:rPr>
          <w:rFonts w:hint="eastAsia"/>
        </w:rPr>
        <w:t xml:space="preserve">100 </w:t>
      </w:r>
      <w:r>
        <w:t>000</w:t>
      </w:r>
      <w:r>
        <w:rPr>
          <w:rFonts w:hint="eastAsia"/>
        </w:rPr>
        <w:t>。</w:t>
      </w:r>
      <w:r>
        <w:rPr>
          <w:rFonts w:hint="eastAsia"/>
        </w:rPr>
        <w:t>1991</w:t>
      </w:r>
      <w:r>
        <w:rPr>
          <w:rFonts w:hint="eastAsia"/>
        </w:rPr>
        <w:t>年达到</w:t>
      </w:r>
      <w:r>
        <w:rPr>
          <w:rFonts w:hint="eastAsia"/>
        </w:rPr>
        <w:t>45</w:t>
      </w:r>
      <w:r>
        <w:t>:</w:t>
      </w:r>
      <w:r>
        <w:rPr>
          <w:rFonts w:hint="eastAsia"/>
        </w:rPr>
        <w:t>1000 0</w:t>
      </w:r>
      <w:r>
        <w:rPr>
          <w:rFonts w:hint="eastAsia"/>
        </w:rPr>
        <w:t>00</w:t>
      </w:r>
      <w:r>
        <w:rPr>
          <w:rFonts w:hint="eastAsia"/>
        </w:rPr>
        <w:t>。</w:t>
      </w:r>
      <w:r>
        <w:rPr>
          <w:rFonts w:hint="eastAsia"/>
        </w:rPr>
        <w:t>1994</w:t>
      </w:r>
      <w:r>
        <w:rPr>
          <w:rFonts w:hint="eastAsia"/>
        </w:rPr>
        <w:t>年以来，这一比例稳定在</w:t>
      </w:r>
      <w:r>
        <w:rPr>
          <w:rFonts w:hint="eastAsia"/>
        </w:rPr>
        <w:t>50</w:t>
      </w:r>
      <w:r>
        <w:rPr>
          <w:rFonts w:hint="eastAsia"/>
        </w:rPr>
        <w:t>：</w:t>
      </w:r>
      <w:r>
        <w:rPr>
          <w:rFonts w:hint="eastAsia"/>
        </w:rPr>
        <w:t>100 000</w:t>
      </w:r>
      <w:r>
        <w:rPr>
          <w:rFonts w:hint="eastAsia"/>
        </w:rPr>
        <w:t>。因堕胎死亡的具体数字与直接的产科原因分开计算，堕胎成为妇女死亡的第二大原因。不过，在</w:t>
      </w:r>
      <w:r>
        <w:rPr>
          <w:rFonts w:hint="eastAsia"/>
        </w:rPr>
        <w:t>1980</w:t>
      </w:r>
      <w:r>
        <w:rPr>
          <w:rFonts w:hint="eastAsia"/>
        </w:rPr>
        <w:t>年至</w:t>
      </w:r>
      <w:r>
        <w:rPr>
          <w:rFonts w:hint="eastAsia"/>
        </w:rPr>
        <w:t>1994</w:t>
      </w:r>
      <w:r>
        <w:rPr>
          <w:rFonts w:hint="eastAsia"/>
        </w:rPr>
        <w:t>年间，这一死亡率下降了</w:t>
      </w:r>
      <w:r>
        <w:rPr>
          <w:rFonts w:hint="eastAsia"/>
        </w:rPr>
        <w:t>16%</w:t>
      </w:r>
      <w:r>
        <w:rPr>
          <w:rFonts w:hint="eastAsia"/>
        </w:rPr>
        <w:t>。值得强调的是心脏病的流行，</w:t>
      </w:r>
      <w:r>
        <w:rPr>
          <w:rFonts w:hint="eastAsia"/>
        </w:rPr>
        <w:t>1980</w:t>
      </w:r>
      <w:r>
        <w:rPr>
          <w:rFonts w:hint="eastAsia"/>
        </w:rPr>
        <w:t>年至</w:t>
      </w:r>
      <w:r>
        <w:rPr>
          <w:rFonts w:hint="eastAsia"/>
        </w:rPr>
        <w:t>1987</w:t>
      </w:r>
      <w:r>
        <w:rPr>
          <w:rFonts w:hint="eastAsia"/>
        </w:rPr>
        <w:t>年间，这一疾病在巴西显著增加。还有高血压，在</w:t>
      </w:r>
      <w:r>
        <w:rPr>
          <w:rFonts w:hint="eastAsia"/>
        </w:rPr>
        <w:t>1980</w:t>
      </w:r>
      <w:r>
        <w:rPr>
          <w:rFonts w:hint="eastAsia"/>
        </w:rPr>
        <w:t>年至</w:t>
      </w:r>
      <w:r>
        <w:rPr>
          <w:rFonts w:hint="eastAsia"/>
        </w:rPr>
        <w:t>1994</w:t>
      </w:r>
      <w:r>
        <w:rPr>
          <w:rFonts w:hint="eastAsia"/>
        </w:rPr>
        <w:t>年间也呈明显增加趋势。乳腺癌从过去到现在一直是造成</w:t>
      </w:r>
      <w:r>
        <w:rPr>
          <w:rFonts w:hint="eastAsia"/>
        </w:rPr>
        <w:t>40</w:t>
      </w:r>
      <w:r>
        <w:rPr>
          <w:rFonts w:hint="eastAsia"/>
        </w:rPr>
        <w:t>岁以上年龄组妇女死亡的重要原因，这一疾病导致的死亡占恶性肿瘤的首位。这一疾病在全国的相对发病率提高了</w:t>
      </w:r>
      <w:r>
        <w:rPr>
          <w:rFonts w:hint="eastAsia"/>
        </w:rPr>
        <w:t>12%</w:t>
      </w:r>
      <w:r>
        <w:rPr>
          <w:rFonts w:hint="eastAsia"/>
        </w:rPr>
        <w:t>。子宫癌的相对权重在全国下降了</w:t>
      </w:r>
      <w:r>
        <w:rPr>
          <w:rFonts w:hint="eastAsia"/>
        </w:rPr>
        <w:t>11%</w:t>
      </w:r>
      <w:r>
        <w:rPr>
          <w:rFonts w:hint="eastAsia"/>
        </w:rPr>
        <w:t>，在各地区从</w:t>
      </w:r>
      <w:r>
        <w:rPr>
          <w:rFonts w:hint="eastAsia"/>
        </w:rPr>
        <w:t>1</w:t>
      </w:r>
      <w:r>
        <w:rPr>
          <w:rFonts w:hint="eastAsia"/>
        </w:rPr>
        <w:t>0%</w:t>
      </w:r>
      <w:r>
        <w:rPr>
          <w:rFonts w:hint="eastAsia"/>
        </w:rPr>
        <w:t>（东南部）到</w:t>
      </w:r>
      <w:r>
        <w:rPr>
          <w:rFonts w:hint="eastAsia"/>
        </w:rPr>
        <w:t>31%</w:t>
      </w:r>
      <w:r>
        <w:rPr>
          <w:rFonts w:hint="eastAsia"/>
        </w:rPr>
        <w:t>（中</w:t>
      </w:r>
      <w:r>
        <w:rPr>
          <w:rFonts w:hint="eastAsia"/>
        </w:rPr>
        <w:t>-</w:t>
      </w:r>
      <w:r>
        <w:rPr>
          <w:rFonts w:hint="eastAsia"/>
        </w:rPr>
        <w:t>西部）不等。南部地区记录这类肿瘤的发病率提高了</w:t>
      </w:r>
      <w:r>
        <w:rPr>
          <w:rFonts w:hint="eastAsia"/>
        </w:rPr>
        <w:t>8%</w:t>
      </w:r>
      <w:r>
        <w:rPr>
          <w:rFonts w:hint="eastAsia"/>
        </w:rPr>
        <w:t>。死于艾滋病的人数依然很高。不过，官方数字显示死于艾滋病的人数有所下降：</w:t>
      </w:r>
      <w:r>
        <w:rPr>
          <w:rFonts w:hint="eastAsia"/>
        </w:rPr>
        <w:t>1998</w:t>
      </w:r>
      <w:r>
        <w:rPr>
          <w:rFonts w:hint="eastAsia"/>
        </w:rPr>
        <w:t>年为</w:t>
      </w:r>
      <w:r>
        <w:rPr>
          <w:rFonts w:hint="eastAsia"/>
        </w:rPr>
        <w:t>7</w:t>
      </w:r>
      <w:r>
        <w:t xml:space="preserve"> 905</w:t>
      </w:r>
      <w:r>
        <w:rPr>
          <w:rFonts w:hint="eastAsia"/>
        </w:rPr>
        <w:t>例，</w:t>
      </w:r>
      <w:r>
        <w:rPr>
          <w:rFonts w:hint="eastAsia"/>
        </w:rPr>
        <w:t>1999</w:t>
      </w:r>
      <w:r>
        <w:rPr>
          <w:rFonts w:hint="eastAsia"/>
        </w:rPr>
        <w:t>年为</w:t>
      </w:r>
      <w:r>
        <w:t>6</w:t>
      </w:r>
      <w:r>
        <w:rPr>
          <w:rFonts w:hint="eastAsia"/>
        </w:rPr>
        <w:t xml:space="preserve"> </w:t>
      </w:r>
      <w:r>
        <w:t>763</w:t>
      </w:r>
      <w:r>
        <w:rPr>
          <w:rFonts w:hint="eastAsia"/>
        </w:rPr>
        <w:t>例，</w:t>
      </w:r>
      <w:r>
        <w:rPr>
          <w:rFonts w:hint="eastAsia"/>
        </w:rPr>
        <w:t>2000</w:t>
      </w:r>
      <w:r>
        <w:rPr>
          <w:rFonts w:hint="eastAsia"/>
        </w:rPr>
        <w:t>年为</w:t>
      </w:r>
      <w:r>
        <w:t>5 189</w:t>
      </w:r>
      <w:r>
        <w:rPr>
          <w:rFonts w:hint="eastAsia"/>
        </w:rPr>
        <w:t>例。</w:t>
      </w:r>
      <w:r>
        <w:rPr>
          <w:rFonts w:hint="eastAsia"/>
        </w:rPr>
        <w:t>2001</w:t>
      </w:r>
      <w:r>
        <w:rPr>
          <w:rFonts w:hint="eastAsia"/>
        </w:rPr>
        <w:t>年</w:t>
      </w:r>
      <w:r>
        <w:rPr>
          <w:rFonts w:hint="eastAsia"/>
        </w:rPr>
        <w:t>6</w:t>
      </w:r>
      <w:r>
        <w:rPr>
          <w:rFonts w:hint="eastAsia"/>
        </w:rPr>
        <w:t>月</w:t>
      </w:r>
      <w:r>
        <w:rPr>
          <w:rFonts w:hint="eastAsia"/>
        </w:rPr>
        <w:t>30</w:t>
      </w:r>
      <w:r>
        <w:rPr>
          <w:rFonts w:hint="eastAsia"/>
        </w:rPr>
        <w:t>日以前收集的初步数据显示</w:t>
      </w:r>
      <w:r>
        <w:rPr>
          <w:rFonts w:hint="eastAsia"/>
        </w:rPr>
        <w:t>2001</w:t>
      </w:r>
      <w:r>
        <w:rPr>
          <w:rFonts w:hint="eastAsia"/>
        </w:rPr>
        <w:t>年死于艾滋病的人数已经下降到</w:t>
      </w:r>
      <w:r>
        <w:t>1</w:t>
      </w:r>
      <w:r>
        <w:rPr>
          <w:rFonts w:hint="eastAsia"/>
        </w:rPr>
        <w:t xml:space="preserve"> </w:t>
      </w:r>
      <w:r>
        <w:t>043</w:t>
      </w:r>
      <w:r>
        <w:rPr>
          <w:rFonts w:hint="eastAsia"/>
        </w:rPr>
        <w:t>人。</w:t>
      </w:r>
    </w:p>
    <w:p w:rsidR="00000000" w:rsidRDefault="004D2F83" w:rsidP="004D2F83">
      <w:pPr>
        <w:spacing w:after="240" w:line="360" w:lineRule="exact"/>
        <w:ind w:firstLineChars="225" w:firstLine="31680"/>
        <w:rPr>
          <w:rFonts w:hint="eastAsia"/>
        </w:rPr>
      </w:pPr>
      <w:r>
        <w:rPr>
          <w:rFonts w:hint="eastAsia"/>
        </w:rPr>
        <w:t>这除了归功于几个艾滋病方案外，还应归功于艾滋病毒</w:t>
      </w:r>
      <w:r>
        <w:rPr>
          <w:rFonts w:hint="eastAsia"/>
        </w:rPr>
        <w:t>/</w:t>
      </w:r>
      <w:r>
        <w:rPr>
          <w:rFonts w:hint="eastAsia"/>
        </w:rPr>
        <w:t>艾滋病治疗药物的专利问题。由于巴西提出的建议获得胜利，确保世界卫生组织成员国打破专利，生产非专利药品，保护公众健康。这个话题将在有关妇女保健</w:t>
      </w:r>
      <w:r>
        <w:rPr>
          <w:rFonts w:hint="eastAsia"/>
        </w:rPr>
        <w:t>一节继续分析讨论；关于应对艾滋病毒</w:t>
      </w:r>
      <w:r>
        <w:rPr>
          <w:rFonts w:hint="eastAsia"/>
        </w:rPr>
        <w:t>/</w:t>
      </w:r>
      <w:r>
        <w:rPr>
          <w:rFonts w:hint="eastAsia"/>
        </w:rPr>
        <w:t>艾滋病问题的政策也将在那一部分详细解释。</w:t>
      </w:r>
    </w:p>
    <w:p w:rsidR="00000000" w:rsidRDefault="004D2F83" w:rsidP="004D2F83">
      <w:pPr>
        <w:spacing w:after="240" w:line="360" w:lineRule="exact"/>
        <w:ind w:firstLineChars="225" w:firstLine="31680"/>
        <w:rPr>
          <w:rFonts w:hint="eastAsia"/>
        </w:rPr>
      </w:pPr>
      <w:r>
        <w:rPr>
          <w:rFonts w:hint="eastAsia"/>
        </w:rPr>
        <w:t>收入方面的数据显示，黑人妇女的人均国内生产总值相当于最低工资的</w:t>
      </w:r>
      <w:r>
        <w:rPr>
          <w:rFonts w:hint="eastAsia"/>
        </w:rPr>
        <w:t>0</w:t>
      </w:r>
      <w:r>
        <w:t>.76%</w:t>
      </w:r>
      <w:r>
        <w:rPr>
          <w:rFonts w:hint="eastAsia"/>
        </w:rPr>
        <w:t>。黑人男子的这一数字上升到最低工资的</w:t>
      </w:r>
      <w:r>
        <w:rPr>
          <w:rFonts w:hint="eastAsia"/>
        </w:rPr>
        <w:t>1</w:t>
      </w:r>
      <w:r>
        <w:t>.</w:t>
      </w:r>
      <w:r>
        <w:rPr>
          <w:rFonts w:hint="eastAsia"/>
        </w:rPr>
        <w:t>36%</w:t>
      </w:r>
      <w:r>
        <w:rPr>
          <w:rFonts w:hint="eastAsia"/>
        </w:rPr>
        <w:t>。白人妇女和男子的这一数字提高更为显著：分别为最低工资的</w:t>
      </w:r>
      <w:r>
        <w:rPr>
          <w:rFonts w:hint="eastAsia"/>
        </w:rPr>
        <w:t>1</w:t>
      </w:r>
      <w:r>
        <w:t>.88</w:t>
      </w:r>
      <w:r>
        <w:rPr>
          <w:rFonts w:hint="eastAsia"/>
        </w:rPr>
        <w:t>%</w:t>
      </w:r>
      <w:r>
        <w:rPr>
          <w:rFonts w:hint="eastAsia"/>
        </w:rPr>
        <w:t>和</w:t>
      </w:r>
      <w:r>
        <w:t>4.74</w:t>
      </w:r>
      <w:r>
        <w:rPr>
          <w:rFonts w:hint="eastAsia"/>
        </w:rPr>
        <w:t>%</w:t>
      </w:r>
      <w:r>
        <w:rPr>
          <w:rFonts w:hint="eastAsia"/>
        </w:rPr>
        <w:t>。白人男子的入学率为</w:t>
      </w:r>
      <w:r>
        <w:rPr>
          <w:rFonts w:hint="eastAsia"/>
        </w:rPr>
        <w:t>82%</w:t>
      </w:r>
      <w:r>
        <w:rPr>
          <w:rFonts w:hint="eastAsia"/>
        </w:rPr>
        <w:t>，白人妇女为</w:t>
      </w:r>
      <w:r>
        <w:rPr>
          <w:rFonts w:hint="eastAsia"/>
        </w:rPr>
        <w:t>83%</w:t>
      </w:r>
      <w:r>
        <w:rPr>
          <w:rFonts w:hint="eastAsia"/>
        </w:rPr>
        <w:t>，黑人妇女为</w:t>
      </w:r>
      <w:r>
        <w:rPr>
          <w:rFonts w:hint="eastAsia"/>
        </w:rPr>
        <w:t>76%</w:t>
      </w:r>
      <w:r>
        <w:rPr>
          <w:rFonts w:hint="eastAsia"/>
        </w:rPr>
        <w:t>，黑人男子为</w:t>
      </w:r>
      <w:r>
        <w:rPr>
          <w:rFonts w:hint="eastAsia"/>
        </w:rPr>
        <w:t>70%</w:t>
      </w:r>
      <w:r>
        <w:rPr>
          <w:rFonts w:hint="eastAsia"/>
        </w:rPr>
        <w:t>。</w:t>
      </w:r>
    </w:p>
    <w:p w:rsidR="00000000" w:rsidRDefault="004D2F83" w:rsidP="004D2F83">
      <w:pPr>
        <w:spacing w:after="240" w:line="360" w:lineRule="exact"/>
        <w:ind w:firstLineChars="225" w:firstLine="31680"/>
        <w:rPr>
          <w:rFonts w:hint="eastAsia"/>
        </w:rPr>
      </w:pPr>
      <w:r>
        <w:rPr>
          <w:rFonts w:hint="eastAsia"/>
        </w:rPr>
        <w:t>巴西妇女占从事经济活动人口的</w:t>
      </w:r>
      <w:r>
        <w:rPr>
          <w:rFonts w:hint="eastAsia"/>
        </w:rPr>
        <w:t>40</w:t>
      </w:r>
      <w:r>
        <w:t>.4</w:t>
      </w:r>
      <w:r>
        <w:rPr>
          <w:rFonts w:hint="eastAsia"/>
        </w:rPr>
        <w:t>%</w:t>
      </w:r>
      <w:r>
        <w:rPr>
          <w:rFonts w:hint="eastAsia"/>
        </w:rPr>
        <w:t>。根据</w:t>
      </w:r>
      <w:r>
        <w:rPr>
          <w:rFonts w:hint="eastAsia"/>
        </w:rPr>
        <w:t>1997</w:t>
      </w:r>
      <w:r>
        <w:rPr>
          <w:rFonts w:hint="eastAsia"/>
        </w:rPr>
        <w:t>年巴西地理与统计局的官方数据，在联邦公共行政机构的妇女占</w:t>
      </w:r>
      <w:r>
        <w:rPr>
          <w:rFonts w:hint="eastAsia"/>
        </w:rPr>
        <w:t>43</w:t>
      </w:r>
      <w:r>
        <w:t>.8%</w:t>
      </w:r>
      <w:r>
        <w:rPr>
          <w:rFonts w:hint="eastAsia"/>
        </w:rPr>
        <w:t>。对妇女参加劳动力市场的调查显示，在</w:t>
      </w:r>
      <w:r>
        <w:rPr>
          <w:rFonts w:hint="eastAsia"/>
        </w:rPr>
        <w:t>从事经济活动的人口中，妇女人数有了显著增加：从</w:t>
      </w:r>
      <w:r>
        <w:rPr>
          <w:rFonts w:hint="eastAsia"/>
        </w:rPr>
        <w:t>1970</w:t>
      </w:r>
      <w:r>
        <w:rPr>
          <w:rFonts w:hint="eastAsia"/>
        </w:rPr>
        <w:t>年的</w:t>
      </w:r>
      <w:r>
        <w:rPr>
          <w:rFonts w:hint="eastAsia"/>
        </w:rPr>
        <w:t>20%</w:t>
      </w:r>
      <w:r>
        <w:rPr>
          <w:rFonts w:hint="eastAsia"/>
        </w:rPr>
        <w:t>增加到</w:t>
      </w:r>
      <w:r>
        <w:rPr>
          <w:rFonts w:hint="eastAsia"/>
        </w:rPr>
        <w:t>1997</w:t>
      </w:r>
      <w:r>
        <w:rPr>
          <w:rFonts w:hint="eastAsia"/>
        </w:rPr>
        <w:t>年的</w:t>
      </w:r>
      <w:r>
        <w:rPr>
          <w:rFonts w:hint="eastAsia"/>
        </w:rPr>
        <w:t>43%</w:t>
      </w:r>
      <w:r>
        <w:rPr>
          <w:rFonts w:hint="eastAsia"/>
        </w:rPr>
        <w:t>——每年平均增加</w:t>
      </w:r>
      <w:r>
        <w:rPr>
          <w:rFonts w:hint="eastAsia"/>
        </w:rPr>
        <w:t>12%</w:t>
      </w:r>
      <w:r>
        <w:rPr>
          <w:rFonts w:hint="eastAsia"/>
        </w:rPr>
        <w:t>。不过，职业上的隔离和与男子相比较低的工资仍是需要克服的障碍。家务工作仍是妇女就业的主要来源。根据</w:t>
      </w:r>
      <w:r>
        <w:rPr>
          <w:rFonts w:hint="eastAsia"/>
        </w:rPr>
        <w:t>2000</w:t>
      </w:r>
      <w:r>
        <w:rPr>
          <w:rFonts w:hint="eastAsia"/>
        </w:rPr>
        <w:t>年的估计数，它占女性从事经济活动人口的</w:t>
      </w:r>
      <w:r>
        <w:rPr>
          <w:rFonts w:hint="eastAsia"/>
        </w:rPr>
        <w:t>19%</w:t>
      </w:r>
      <w:r>
        <w:rPr>
          <w:rFonts w:hint="eastAsia"/>
        </w:rPr>
        <w:t>——约为五百万妇女，其中</w:t>
      </w:r>
      <w:r>
        <w:rPr>
          <w:rFonts w:hint="eastAsia"/>
        </w:rPr>
        <w:t>56%</w:t>
      </w:r>
      <w:r>
        <w:rPr>
          <w:rFonts w:hint="eastAsia"/>
        </w:rPr>
        <w:t>为黑人。</w:t>
      </w:r>
      <w:r>
        <w:rPr>
          <w:rStyle w:val="FootnoteReference"/>
        </w:rPr>
        <w:footnoteReference w:customMarkFollows="1" w:id="48"/>
        <w:t>48</w:t>
      </w:r>
      <w:r>
        <w:rPr>
          <w:rFonts w:hint="eastAsia"/>
        </w:rPr>
        <w:t>总而言之，妇女占失业人口和从事非正规经济部门工作，特别是佣仆一类工作的大多数。</w:t>
      </w:r>
    </w:p>
    <w:p w:rsidR="00000000" w:rsidRDefault="004D2F83" w:rsidP="004D2F83">
      <w:pPr>
        <w:spacing w:after="240" w:line="360" w:lineRule="exact"/>
        <w:ind w:firstLineChars="225" w:firstLine="31680"/>
        <w:rPr>
          <w:rFonts w:hint="eastAsia"/>
        </w:rPr>
      </w:pPr>
      <w:r>
        <w:rPr>
          <w:rFonts w:hint="eastAsia"/>
        </w:rPr>
        <w:t>一般来说，妇女在非正规部门从事相同种类的工作，所挣工资要比男子低。妇女获得培训的机会也更困难。虽然她们会比男子优先被雇用进行家政工</w:t>
      </w:r>
      <w:r>
        <w:rPr>
          <w:rFonts w:hint="eastAsia"/>
        </w:rPr>
        <w:t>作，但这种优先雇用不能被视为受益，因为她们没有任何医疗保障。</w:t>
      </w:r>
    </w:p>
    <w:p w:rsidR="00000000" w:rsidRDefault="004D2F83" w:rsidP="004D2F83">
      <w:pPr>
        <w:spacing w:after="240" w:line="360" w:lineRule="exact"/>
        <w:ind w:firstLineChars="225" w:firstLine="31680"/>
        <w:rPr>
          <w:rFonts w:hint="eastAsia"/>
        </w:rPr>
      </w:pPr>
      <w:r>
        <w:rPr>
          <w:rFonts w:hint="eastAsia"/>
        </w:rPr>
        <w:t>虽然作为户主的妇女人数有所增加，但这一事实对妇女并没有什么好处。相反，这是造成承认所谓的“贫困女性化”的因素之一，特别是考虑到男子在承担家长责任方面的不作为。夫妇分居对男人而言一般是停止承担对其子女的任何义务。</w:t>
      </w:r>
    </w:p>
    <w:p w:rsidR="00000000" w:rsidRDefault="004D2F83" w:rsidP="004D2F83">
      <w:pPr>
        <w:spacing w:after="240" w:line="360" w:lineRule="exact"/>
        <w:ind w:firstLineChars="225" w:firstLine="31680"/>
        <w:rPr>
          <w:rFonts w:hint="eastAsia"/>
        </w:rPr>
      </w:pPr>
      <w:r>
        <w:rPr>
          <w:rFonts w:hint="eastAsia"/>
        </w:rPr>
        <w:t>此外，在夫妻关系方面还有一点应该强调，联合国</w:t>
      </w:r>
      <w:r>
        <w:rPr>
          <w:rFonts w:hint="eastAsia"/>
        </w:rPr>
        <w:t>1999</w:t>
      </w:r>
      <w:r>
        <w:rPr>
          <w:rFonts w:hint="eastAsia"/>
        </w:rPr>
        <w:t>年人类发展指数显示，由于对妇女的暴力行为，巴西的国内生产总值没能达到</w:t>
      </w:r>
      <w:r>
        <w:rPr>
          <w:rFonts w:hint="eastAsia"/>
        </w:rPr>
        <w:t>10%</w:t>
      </w:r>
      <w:r>
        <w:rPr>
          <w:rFonts w:hint="eastAsia"/>
        </w:rPr>
        <w:t>的增长。</w:t>
      </w:r>
    </w:p>
    <w:p w:rsidR="00000000" w:rsidRDefault="004D2F83" w:rsidP="004D2F83">
      <w:pPr>
        <w:spacing w:after="240" w:line="360" w:lineRule="exact"/>
        <w:ind w:firstLineChars="225" w:firstLine="31680"/>
        <w:rPr>
          <w:rFonts w:hint="eastAsia"/>
        </w:rPr>
      </w:pPr>
      <w:r>
        <w:rPr>
          <w:rFonts w:hint="eastAsia"/>
        </w:rPr>
        <w:t>根据经济和社会不平等方面的数据，获得公平的机会在很大程度上与阶层、族裔、年龄、教育以及妇女本身存在的差</w:t>
      </w:r>
      <w:r>
        <w:rPr>
          <w:rFonts w:hint="eastAsia"/>
        </w:rPr>
        <w:t>异有关。妇女对侵犯人权行为的脆弱性特别影响到最贫困阶层，并造成各种障碍。为了执行消除对妇女歧视委员会的建议，必须消除这些障碍。</w:t>
      </w:r>
    </w:p>
    <w:p w:rsidR="00000000" w:rsidRDefault="004D2F83" w:rsidP="004D2F83">
      <w:pPr>
        <w:spacing w:after="240" w:line="360" w:lineRule="exact"/>
        <w:ind w:firstLineChars="225" w:firstLine="31680"/>
      </w:pPr>
      <w:r>
        <w:rPr>
          <w:rFonts w:hint="eastAsia"/>
        </w:rPr>
        <w:t>因此，有必要采取措施，修改法律、规定或依然带有歧视妇女性质的现行做法。人们的一般行为和许多体制政策在很大程度上反映出巴西社会结构中普遍存在的偏见。</w:t>
      </w:r>
    </w:p>
    <w:p w:rsidR="00000000" w:rsidRDefault="004D2F83" w:rsidP="004D2F83">
      <w:pPr>
        <w:tabs>
          <w:tab w:val="right" w:leader="dot" w:pos="9720"/>
        </w:tabs>
        <w:spacing w:after="120" w:line="360" w:lineRule="exact"/>
        <w:ind w:left="31680" w:rightChars="377" w:right="31680" w:hangingChars="228" w:firstLine="31680"/>
      </w:pPr>
    </w:p>
    <w:p w:rsidR="00000000" w:rsidRDefault="004D2F83" w:rsidP="004D2F83">
      <w:pPr>
        <w:tabs>
          <w:tab w:val="right" w:leader="dot" w:pos="9720"/>
        </w:tabs>
        <w:spacing w:after="120" w:line="360" w:lineRule="exact"/>
        <w:ind w:left="31680" w:rightChars="377" w:right="31680" w:hangingChars="228" w:firstLine="31680"/>
      </w:pPr>
    </w:p>
    <w:p w:rsidR="00000000" w:rsidRDefault="004D2F83" w:rsidP="004D2F83">
      <w:pPr>
        <w:tabs>
          <w:tab w:val="right" w:leader="dot" w:pos="9720"/>
        </w:tabs>
        <w:spacing w:after="120" w:line="360" w:lineRule="exact"/>
        <w:ind w:left="31680" w:rightChars="377" w:right="31680" w:hangingChars="228" w:firstLine="31680"/>
      </w:pPr>
    </w:p>
    <w:p w:rsidR="00000000" w:rsidRDefault="004D2F83" w:rsidP="004D2F83">
      <w:pPr>
        <w:tabs>
          <w:tab w:val="right" w:leader="dot" w:pos="9720"/>
        </w:tabs>
        <w:spacing w:line="360" w:lineRule="exact"/>
        <w:ind w:left="31680" w:rightChars="377" w:right="31680" w:hangingChars="228" w:firstLine="31680"/>
        <w:rPr>
          <w:rFonts w:eastAsia="KaiTi_GB2312" w:hint="eastAsia"/>
          <w:b/>
          <w:sz w:val="24"/>
        </w:rPr>
      </w:pPr>
      <w:r>
        <w:br w:type="page"/>
      </w:r>
    </w:p>
    <w:p w:rsidR="00000000" w:rsidRDefault="004D2F83">
      <w:pPr>
        <w:pStyle w:val="Heading3"/>
        <w:numPr>
          <w:ilvl w:val="0"/>
          <w:numId w:val="0"/>
        </w:numPr>
        <w:spacing w:before="0"/>
        <w:jc w:val="center"/>
        <w:rPr>
          <w:rFonts w:ascii="KaiTi_GB2312" w:eastAsia="KaiTi_GB2312" w:hint="eastAsia"/>
          <w:b/>
          <w:bCs/>
          <w:u w:val="none"/>
        </w:rPr>
      </w:pPr>
      <w:bookmarkStart w:id="10" w:name="_Toc36367080"/>
      <w:r>
        <w:rPr>
          <w:rFonts w:ascii="KaiTi_GB2312" w:eastAsia="KaiTi_GB2312" w:hint="eastAsia"/>
          <w:b/>
          <w:bCs/>
          <w:u w:val="none"/>
        </w:rPr>
        <w:t>第</w:t>
      </w:r>
      <w:r>
        <w:rPr>
          <w:rFonts w:ascii="KaiTi_GB2312" w:eastAsia="KaiTi_GB2312"/>
          <w:b/>
          <w:bCs/>
          <w:u w:val="none"/>
        </w:rPr>
        <w:t>4</w:t>
      </w:r>
      <w:r>
        <w:rPr>
          <w:rFonts w:ascii="KaiTi_GB2312" w:eastAsia="KaiTi_GB2312" w:hint="eastAsia"/>
          <w:b/>
          <w:bCs/>
          <w:u w:val="none"/>
        </w:rPr>
        <w:t>条</w:t>
      </w:r>
      <w:bookmarkEnd w:id="10"/>
    </w:p>
    <w:p w:rsidR="00000000" w:rsidRDefault="004D2F83">
      <w:pPr>
        <w:spacing w:after="180" w:line="360" w:lineRule="exact"/>
        <w:ind w:firstLine="360"/>
        <w:rPr>
          <w:rFonts w:eastAsia="KaiTi_GB2312" w:hint="eastAsia"/>
          <w:b/>
        </w:rPr>
      </w:pPr>
      <w:r>
        <w:rPr>
          <w:rFonts w:eastAsia="KaiTi_GB2312" w:hint="eastAsia"/>
          <w:b/>
        </w:rPr>
        <w:t>1</w:t>
      </w:r>
      <w:r>
        <w:rPr>
          <w:rFonts w:eastAsia="KaiTi_GB2312" w:hint="eastAsia"/>
          <w:b/>
        </w:rPr>
        <w:t>．缔约各国为加速实现男女事实上的平等而采取的暂行特别措施，不得视为本公约所指的歧视，亦不得因此导致维持不平等或分别的标准；这些措施应在男女机会和待遇平等的目的达到之后，停止采用。</w:t>
      </w:r>
    </w:p>
    <w:p w:rsidR="00000000" w:rsidRDefault="004D2F83">
      <w:pPr>
        <w:spacing w:after="180" w:line="360" w:lineRule="exact"/>
        <w:ind w:firstLine="360"/>
        <w:rPr>
          <w:rFonts w:eastAsia="KaiTi_GB2312" w:hint="eastAsia"/>
          <w:b/>
        </w:rPr>
      </w:pPr>
      <w:r>
        <w:rPr>
          <w:rFonts w:eastAsia="KaiTi_GB2312" w:hint="eastAsia"/>
          <w:b/>
        </w:rPr>
        <w:t>2</w:t>
      </w:r>
      <w:r>
        <w:rPr>
          <w:rFonts w:eastAsia="KaiTi_GB2312" w:hint="eastAsia"/>
          <w:b/>
        </w:rPr>
        <w:t>．缔约各国为保护母性而采取的特别措</w:t>
      </w:r>
      <w:r>
        <w:rPr>
          <w:rFonts w:eastAsia="KaiTi_GB2312" w:hint="eastAsia"/>
          <w:b/>
        </w:rPr>
        <w:t>施，包括本公约所列各项措施，不得视为歧视。</w:t>
      </w:r>
    </w:p>
    <w:p w:rsidR="00000000" w:rsidRDefault="004D2F83">
      <w:pPr>
        <w:pStyle w:val="Date"/>
        <w:spacing w:after="180" w:line="360" w:lineRule="exact"/>
        <w:rPr>
          <w:rFonts w:eastAsia="SimHei" w:hint="eastAsia"/>
          <w:bCs/>
          <w:sz w:val="24"/>
        </w:rPr>
      </w:pPr>
      <w:r>
        <w:rPr>
          <w:rFonts w:eastAsia="SimHei" w:hint="eastAsia"/>
          <w:bCs/>
          <w:sz w:val="24"/>
        </w:rPr>
        <w:t>立法措施</w:t>
      </w:r>
    </w:p>
    <w:p w:rsidR="00000000" w:rsidRDefault="004D2F83" w:rsidP="004D2F83">
      <w:pPr>
        <w:pStyle w:val="NormalIndent"/>
        <w:spacing w:after="180" w:line="360" w:lineRule="exact"/>
        <w:ind w:firstLineChars="200" w:firstLine="31680"/>
        <w:rPr>
          <w:rFonts w:eastAsia="KaiTi_GB2312" w:hint="eastAsia"/>
          <w:kern w:val="0"/>
        </w:rPr>
      </w:pPr>
      <w:r>
        <w:rPr>
          <w:rFonts w:eastAsia="KaiTi_GB2312" w:hint="eastAsia"/>
          <w:kern w:val="0"/>
        </w:rPr>
        <w:t>联邦宪法</w:t>
      </w:r>
    </w:p>
    <w:p w:rsidR="00000000" w:rsidRDefault="004D2F83">
      <w:pPr>
        <w:spacing w:after="180" w:line="360" w:lineRule="exact"/>
        <w:ind w:firstLine="359"/>
        <w:rPr>
          <w:rFonts w:hint="eastAsia"/>
        </w:rPr>
      </w:pPr>
      <w:r>
        <w:rPr>
          <w:rFonts w:hint="eastAsia"/>
        </w:rPr>
        <w:t>《巴西联邦共和国宪法》第</w:t>
      </w:r>
      <w:r>
        <w:rPr>
          <w:rFonts w:hint="eastAsia"/>
        </w:rPr>
        <w:t>3</w:t>
      </w:r>
      <w:r>
        <w:rPr>
          <w:rFonts w:hint="eastAsia"/>
        </w:rPr>
        <w:t>条第四段明确规定，它的一项根本目标就是“增进所有人的福利，不因出身、种族、性别、肤色、年龄而产生偏见，也不存在其他形式的歧视”。</w:t>
      </w:r>
    </w:p>
    <w:p w:rsidR="00000000" w:rsidRDefault="004D2F83" w:rsidP="004D2F83">
      <w:pPr>
        <w:spacing w:after="180" w:line="360" w:lineRule="exact"/>
        <w:ind w:firstLineChars="200" w:firstLine="31680"/>
        <w:rPr>
          <w:rFonts w:hint="eastAsia"/>
        </w:rPr>
      </w:pPr>
      <w:r>
        <w:rPr>
          <w:rFonts w:hint="eastAsia"/>
        </w:rPr>
        <w:t>第</w:t>
      </w:r>
      <w:r>
        <w:rPr>
          <w:rFonts w:hint="eastAsia"/>
        </w:rPr>
        <w:t>5</w:t>
      </w:r>
      <w:r>
        <w:rPr>
          <w:rFonts w:hint="eastAsia"/>
        </w:rPr>
        <w:t>条指出：“法律面前人人平等，毫无差别。保障巴西人和居住在巴西的外国人享有以下不可侵犯的生命、自由、平等、安全和财产权利。”该条的各段做出如下解释：一、根据本宪法的规定，男子和妇女享有和承担平等权利与义务；四十一、任何企图侵犯基本权利和自由的歧视行为，均应受到法律的处罚；四十二、根据法律规</w:t>
      </w:r>
      <w:r>
        <w:rPr>
          <w:rFonts w:hint="eastAsia"/>
        </w:rPr>
        <w:t>定，种族主义做法是一种不能保释、没有时效并应处以监禁处罚的罪行。该条第</w:t>
      </w:r>
      <w:r>
        <w:rPr>
          <w:rFonts w:hint="eastAsia"/>
        </w:rPr>
        <w:t>2</w:t>
      </w:r>
      <w:r>
        <w:rPr>
          <w:rFonts w:hint="eastAsia"/>
        </w:rPr>
        <w:t>款规定，本宪法所述的权利和保障不排斥宪法所承认的法律制度和原则或巴西联邦共和国为缔约方的国际条约所产生的其他权利和保障。</w:t>
      </w:r>
    </w:p>
    <w:p w:rsidR="00000000" w:rsidRDefault="004D2F83" w:rsidP="004D2F83">
      <w:pPr>
        <w:spacing w:after="180" w:line="360" w:lineRule="exact"/>
        <w:ind w:firstLineChars="200" w:firstLine="31680"/>
        <w:rPr>
          <w:rFonts w:hint="eastAsia"/>
        </w:rPr>
      </w:pPr>
      <w:r>
        <w:rPr>
          <w:rFonts w:hint="eastAsia"/>
        </w:rPr>
        <w:t>第</w:t>
      </w:r>
      <w:r>
        <w:rPr>
          <w:rFonts w:hint="eastAsia"/>
        </w:rPr>
        <w:t>6</w:t>
      </w:r>
      <w:r>
        <w:rPr>
          <w:rFonts w:hint="eastAsia"/>
        </w:rPr>
        <w:t>条在社会权利（受教育权、健康权、工作权、住房权、休息权、安全权、社会保障权和贫困受援助权）中还列入了母亲和儿童受保护权。</w:t>
      </w:r>
    </w:p>
    <w:p w:rsidR="00000000" w:rsidRDefault="004D2F83" w:rsidP="004D2F83">
      <w:pPr>
        <w:spacing w:after="180" w:line="360" w:lineRule="exact"/>
        <w:ind w:firstLineChars="200" w:firstLine="31680"/>
        <w:rPr>
          <w:rFonts w:hint="eastAsia"/>
        </w:rPr>
      </w:pPr>
      <w:r>
        <w:rPr>
          <w:rFonts w:hint="eastAsia"/>
        </w:rPr>
        <w:t>第</w:t>
      </w:r>
      <w:r>
        <w:rPr>
          <w:rFonts w:hint="eastAsia"/>
        </w:rPr>
        <w:t>7</w:t>
      </w:r>
      <w:r>
        <w:rPr>
          <w:rFonts w:hint="eastAsia"/>
        </w:rPr>
        <w:t>条规定的城乡工人的权利有：一、受保护的就业权利，根据除其他权利外，还确定解职费的补充法律，不受任意解雇或无正当理由解雇，十八、产假期间保留职位和工资，产假期为一百二十天；十九、根据法律确定</w:t>
      </w:r>
      <w:r>
        <w:rPr>
          <w:rFonts w:hint="eastAsia"/>
        </w:rPr>
        <w:t>的条件享有陪产假权利；二十、根据法律规定，采取具体鼓励措施保护妇女劳动力市场；二十五、对托儿所和学前设施中从出生到六岁的儿童和受扶养人免费提供援助；三十、禁止因性别、年龄、肤色或婚姻状况而出现工资、任职和雇用标准方面的差异；三十一、禁止在工资和录用标准方面对肢体残疾人有任何歧视。</w:t>
      </w:r>
    </w:p>
    <w:p w:rsidR="00000000" w:rsidRDefault="004D2F83" w:rsidP="004D2F83">
      <w:pPr>
        <w:spacing w:after="180" w:line="360" w:lineRule="exact"/>
        <w:ind w:firstLineChars="200" w:firstLine="31680"/>
        <w:rPr>
          <w:rFonts w:hint="eastAsia"/>
        </w:rPr>
      </w:pPr>
      <w:r>
        <w:rPr>
          <w:rFonts w:hint="eastAsia"/>
        </w:rPr>
        <w:t>第</w:t>
      </w:r>
      <w:r>
        <w:rPr>
          <w:rFonts w:hint="eastAsia"/>
        </w:rPr>
        <w:t>37</w:t>
      </w:r>
      <w:r>
        <w:rPr>
          <w:rFonts w:hint="eastAsia"/>
        </w:rPr>
        <w:t>条明确了有关联邦任何权力机构及其基金会的直接和间接公共管理的指导原则，规定这些机构应遵守合法、客观、道德、公开及以下原则：八、法律应为肢体残疾人保留一定比例的公职和职位，并且应界定其雇用标准。</w:t>
      </w:r>
    </w:p>
    <w:p w:rsidR="00000000" w:rsidRDefault="004D2F83" w:rsidP="004D2F83">
      <w:pPr>
        <w:spacing w:after="180" w:line="360" w:lineRule="exact"/>
        <w:ind w:firstLineChars="200" w:firstLine="31680"/>
        <w:rPr>
          <w:rFonts w:hint="eastAsia"/>
        </w:rPr>
      </w:pPr>
      <w:r>
        <w:rPr>
          <w:rFonts w:hint="eastAsia"/>
        </w:rPr>
        <w:t>第</w:t>
      </w:r>
      <w:r>
        <w:rPr>
          <w:rFonts w:hint="eastAsia"/>
        </w:rPr>
        <w:t>40</w:t>
      </w:r>
      <w:r>
        <w:rPr>
          <w:rFonts w:hint="eastAsia"/>
        </w:rPr>
        <w:t>条明确规定了退休标准，从</w:t>
      </w:r>
      <w:r>
        <w:rPr>
          <w:rFonts w:hint="eastAsia"/>
        </w:rPr>
        <w:t>而确保公务员享有自愿退休的权利：</w:t>
      </w:r>
      <w:r>
        <w:t>a</w:t>
      </w:r>
      <w:r>
        <w:rPr>
          <w:rFonts w:hint="eastAsia"/>
        </w:rPr>
        <w:t>）男子工作年满三十五年、妇女年满三十年，可领取全薪；</w:t>
      </w:r>
      <w:r>
        <w:t>b</w:t>
      </w:r>
      <w:r>
        <w:rPr>
          <w:rFonts w:hint="eastAsia"/>
        </w:rPr>
        <w:t>）男子实际从事教育工作年满三十年、妇女年满二十五年，可领取全薪；</w:t>
      </w:r>
      <w:r>
        <w:t>c</w:t>
      </w:r>
      <w:r>
        <w:rPr>
          <w:rFonts w:hint="eastAsia"/>
        </w:rPr>
        <w:t>）男子工作年满三十年、妇女工作年满二十五年，则根据工作年限按比例领取退休金；及</w:t>
      </w:r>
      <w:r>
        <w:t>d</w:t>
      </w:r>
      <w:r>
        <w:rPr>
          <w:rFonts w:hint="eastAsia"/>
        </w:rPr>
        <w:t>）男子年满六十五岁、妇女年满六十岁，也可根据工作年限按比例领取退休金。</w:t>
      </w:r>
    </w:p>
    <w:p w:rsidR="00000000" w:rsidRDefault="004D2F83" w:rsidP="004D2F83">
      <w:pPr>
        <w:spacing w:after="180" w:line="360" w:lineRule="exact"/>
        <w:ind w:firstLineChars="200" w:firstLine="31680"/>
        <w:rPr>
          <w:rFonts w:hint="eastAsia"/>
        </w:rPr>
      </w:pPr>
      <w:r>
        <w:rPr>
          <w:rFonts w:hint="eastAsia"/>
        </w:rPr>
        <w:t>第</w:t>
      </w:r>
      <w:r>
        <w:rPr>
          <w:rFonts w:hint="eastAsia"/>
        </w:rPr>
        <w:t>201</w:t>
      </w:r>
      <w:r>
        <w:rPr>
          <w:rFonts w:hint="eastAsia"/>
        </w:rPr>
        <w:t>条规定，社会保障计划在缴费方面应按照法律规定：一、保护家庭、母性、儿童、青少年和老年人；三、保护母性，特别是孕妇。</w:t>
      </w:r>
    </w:p>
    <w:p w:rsidR="00000000" w:rsidRDefault="004D2F83" w:rsidP="004D2F83">
      <w:pPr>
        <w:spacing w:after="240" w:line="360" w:lineRule="exact"/>
        <w:ind w:firstLineChars="200" w:firstLine="31680"/>
        <w:rPr>
          <w:rFonts w:hint="eastAsia"/>
        </w:rPr>
      </w:pPr>
      <w:r>
        <w:rPr>
          <w:rFonts w:hint="eastAsia"/>
        </w:rPr>
        <w:t>第</w:t>
      </w:r>
      <w:r>
        <w:rPr>
          <w:rFonts w:hint="eastAsia"/>
        </w:rPr>
        <w:t>202</w:t>
      </w:r>
      <w:r>
        <w:rPr>
          <w:rFonts w:hint="eastAsia"/>
        </w:rPr>
        <w:t>条规定，应根据下列条件计算退休金：一、男子六十五岁、妇女六十岁，至于农村的</w:t>
      </w:r>
      <w:r>
        <w:rPr>
          <w:rFonts w:hint="eastAsia"/>
        </w:rPr>
        <w:t>男女劳动者，以及在家庭生产系统中工作的劳动者、包括农业生产者、砂矿（“</w:t>
      </w:r>
      <w:r>
        <w:t>garimpo</w:t>
      </w:r>
      <w:r>
        <w:rPr>
          <w:rFonts w:hint="eastAsia"/>
        </w:rPr>
        <w:t>”）矿工和个体渔民，该年龄限制各减五岁；二、根据法律规定，如果必须在可能有害于健康或身体健全的特殊环境下工作，男子工作年满三十五年、妇女工作年满三十年，或者工作时间更短；三、男教师在实际从事教育工作三十年后、女教师在二十五年后。第</w:t>
      </w:r>
      <w:r>
        <w:rPr>
          <w:rFonts w:hint="eastAsia"/>
        </w:rPr>
        <w:t>1</w:t>
      </w:r>
      <w:r>
        <w:rPr>
          <w:rFonts w:hint="eastAsia"/>
        </w:rPr>
        <w:t>款确保男子工作年满三十年、妇女工作年满二十五年后按比例领取退休金。</w:t>
      </w:r>
    </w:p>
    <w:p w:rsidR="00000000" w:rsidRDefault="004D2F83" w:rsidP="004D2F83">
      <w:pPr>
        <w:spacing w:after="240" w:line="360" w:lineRule="exact"/>
        <w:ind w:firstLineChars="200" w:firstLine="31680"/>
        <w:rPr>
          <w:rFonts w:hint="eastAsia"/>
        </w:rPr>
      </w:pPr>
      <w:r>
        <w:rPr>
          <w:rFonts w:hint="eastAsia"/>
        </w:rPr>
        <w:t>第</w:t>
      </w:r>
      <w:r>
        <w:rPr>
          <w:rFonts w:hint="eastAsia"/>
        </w:rPr>
        <w:t>203</w:t>
      </w:r>
      <w:r>
        <w:rPr>
          <w:rFonts w:hint="eastAsia"/>
        </w:rPr>
        <w:t>条规定，应向有需要的人提供社会援助，无论其是否向社会福利系统缴纳费用，并确定其目标如下：三、促进融入劳动力市场；四、使残</w:t>
      </w:r>
      <w:r>
        <w:rPr>
          <w:rFonts w:hint="eastAsia"/>
        </w:rPr>
        <w:t>疾人恢复能力、康复并融入社区；五、按照法律规定，保障残疾人和证明自己无能力供养自己或由家人供养的老年人按月领取一份相当于最低工资的福利金。</w:t>
      </w:r>
    </w:p>
    <w:p w:rsidR="00000000" w:rsidRDefault="004D2F83" w:rsidP="004D2F83">
      <w:pPr>
        <w:spacing w:after="240" w:line="360" w:lineRule="exact"/>
        <w:ind w:firstLineChars="200" w:firstLine="31680"/>
        <w:rPr>
          <w:rFonts w:hint="eastAsia"/>
        </w:rPr>
      </w:pPr>
      <w:r>
        <w:rPr>
          <w:rFonts w:hint="eastAsia"/>
        </w:rPr>
        <w:t>第</w:t>
      </w:r>
      <w:r>
        <w:rPr>
          <w:rFonts w:hint="eastAsia"/>
        </w:rPr>
        <w:t>208</w:t>
      </w:r>
      <w:r>
        <w:rPr>
          <w:rFonts w:hint="eastAsia"/>
        </w:rPr>
        <w:t>条规定，“确保完成下列工作以履行国家的教育义务：三、提供残疾人所需的特殊教育，最好在正规学校系统中；四、对日托托儿所和学前机构中零至六岁儿童提供援助”。</w:t>
      </w:r>
    </w:p>
    <w:p w:rsidR="00000000" w:rsidRDefault="004D2F83" w:rsidP="004D2F83">
      <w:pPr>
        <w:spacing w:after="240" w:line="360" w:lineRule="exact"/>
        <w:ind w:firstLineChars="200" w:firstLine="31680"/>
        <w:rPr>
          <w:rFonts w:hint="eastAsia"/>
        </w:rPr>
      </w:pPr>
      <w:r>
        <w:rPr>
          <w:rFonts w:hint="eastAsia"/>
        </w:rPr>
        <w:t>第</w:t>
      </w:r>
      <w:r>
        <w:rPr>
          <w:rFonts w:hint="eastAsia"/>
        </w:rPr>
        <w:t>215</w:t>
      </w:r>
      <w:r>
        <w:rPr>
          <w:rFonts w:hint="eastAsia"/>
        </w:rPr>
        <w:t>条确定，国家应当确保人人可以充分行使其文化权利和获得了解国家文化渊源的机会。国家还应当支持和鼓励欣赏和传播各种文化表现形式。第</w:t>
      </w:r>
      <w:r>
        <w:rPr>
          <w:rFonts w:hint="eastAsia"/>
        </w:rPr>
        <w:t>1</w:t>
      </w:r>
      <w:r>
        <w:rPr>
          <w:rFonts w:hint="eastAsia"/>
        </w:rPr>
        <w:t>款还规定，国家应当保护大众文化、土著文化和非州—巴西文化以及参与促进巴西文</w:t>
      </w:r>
      <w:r>
        <w:rPr>
          <w:rFonts w:hint="eastAsia"/>
        </w:rPr>
        <w:t>明的其他群体文化的各种表现形式。</w:t>
      </w:r>
    </w:p>
    <w:p w:rsidR="00000000" w:rsidRDefault="004D2F83" w:rsidP="004D2F83">
      <w:pPr>
        <w:spacing w:after="240" w:line="360" w:lineRule="exact"/>
        <w:ind w:firstLineChars="200" w:firstLine="31680"/>
        <w:rPr>
          <w:rFonts w:hint="eastAsia"/>
        </w:rPr>
      </w:pPr>
      <w:r>
        <w:rPr>
          <w:rFonts w:hint="eastAsia"/>
        </w:rPr>
        <w:t>《临时宪法规定法》第</w:t>
      </w:r>
      <w:r>
        <w:rPr>
          <w:rFonts w:hint="eastAsia"/>
        </w:rPr>
        <w:t>10</w:t>
      </w:r>
      <w:r>
        <w:rPr>
          <w:rFonts w:hint="eastAsia"/>
        </w:rPr>
        <w:t>条规定，在《宪法》第</w:t>
      </w:r>
      <w:r>
        <w:rPr>
          <w:rFonts w:hint="eastAsia"/>
        </w:rPr>
        <w:t>7</w:t>
      </w:r>
      <w:r>
        <w:rPr>
          <w:rFonts w:hint="eastAsia"/>
        </w:rPr>
        <w:t>条第一段所述的补充法律实施之前：二、禁止无正当理由而任意解雇：</w:t>
      </w:r>
      <w:r>
        <w:t>b</w:t>
      </w:r>
      <w:r>
        <w:rPr>
          <w:rFonts w:hint="eastAsia"/>
        </w:rPr>
        <w:t>）如果是怀孕雇员，从证实其怀孕之日起至分娩后五个月里不得被任意解雇。第</w:t>
      </w:r>
      <w:r>
        <w:rPr>
          <w:rFonts w:hint="eastAsia"/>
        </w:rPr>
        <w:t>1</w:t>
      </w:r>
      <w:r>
        <w:rPr>
          <w:rFonts w:hint="eastAsia"/>
        </w:rPr>
        <w:t>款规定，在法律规范《宪法》第</w:t>
      </w:r>
      <w:r>
        <w:rPr>
          <w:rFonts w:hint="eastAsia"/>
        </w:rPr>
        <w:t>7</w:t>
      </w:r>
      <w:r>
        <w:rPr>
          <w:rFonts w:hint="eastAsia"/>
        </w:rPr>
        <w:t>条第十九段的规定之前，该项中所述的陪产假期限为五天。</w:t>
      </w:r>
    </w:p>
    <w:p w:rsidR="00000000" w:rsidRDefault="004D2F83" w:rsidP="004D2F83">
      <w:pPr>
        <w:spacing w:after="240" w:line="360" w:lineRule="exact"/>
        <w:ind w:firstLineChars="200" w:firstLine="31680"/>
        <w:rPr>
          <w:rFonts w:hint="eastAsia"/>
        </w:rPr>
      </w:pPr>
      <w:r>
        <w:rPr>
          <w:rFonts w:hint="eastAsia"/>
        </w:rPr>
        <w:t>鉴于上述规定，人们可以推断出，与以前的各部《宪法》相比，</w:t>
      </w:r>
      <w:r>
        <w:rPr>
          <w:rFonts w:hint="eastAsia"/>
        </w:rPr>
        <w:t>1988</w:t>
      </w:r>
      <w:r>
        <w:rPr>
          <w:rFonts w:hint="eastAsia"/>
        </w:rPr>
        <w:t>年《巴西联邦共和国宪法》相当先进，因为它承认实质性权利。一方面，它确保民主进程和关系，另一方面，它列入了在结构和事态方面均处于弱势地位的各种情况和社</w:t>
      </w:r>
      <w:r>
        <w:rPr>
          <w:rFonts w:hint="eastAsia"/>
        </w:rPr>
        <w:t>会阶层。</w:t>
      </w:r>
    </w:p>
    <w:p w:rsidR="00000000" w:rsidRDefault="004D2F83" w:rsidP="004D2F83">
      <w:pPr>
        <w:spacing w:after="240" w:line="360" w:lineRule="exact"/>
        <w:ind w:firstLineChars="200" w:firstLine="31680"/>
        <w:rPr>
          <w:rFonts w:hint="eastAsia"/>
        </w:rPr>
      </w:pPr>
      <w:r>
        <w:rPr>
          <w:rFonts w:hint="eastAsia"/>
        </w:rPr>
        <w:t>必须注意到，</w:t>
      </w:r>
      <w:r>
        <w:rPr>
          <w:rFonts w:hint="eastAsia"/>
        </w:rPr>
        <w:t>1988</w:t>
      </w:r>
      <w:r>
        <w:rPr>
          <w:rFonts w:hint="eastAsia"/>
        </w:rPr>
        <w:t>年《联邦宪法》载列的禁止歧视的规定比多于具体的肯定行动的规定。但是，迄今它们都被称为禁止歧视的规则，最终间接地增进了平等。</w:t>
      </w:r>
    </w:p>
    <w:p w:rsidR="00000000" w:rsidRDefault="004D2F83" w:rsidP="004D2F83">
      <w:pPr>
        <w:spacing w:after="240" w:line="360" w:lineRule="exact"/>
        <w:ind w:firstLineChars="200" w:firstLine="31680"/>
        <w:rPr>
          <w:rFonts w:hint="eastAsia"/>
        </w:rPr>
      </w:pPr>
      <w:r>
        <w:rPr>
          <w:rFonts w:hint="eastAsia"/>
        </w:rPr>
        <w:t>巴西最近开展了有关肯定行动的讨论。这场辩论尚未被法律科学完全认同，法律科学仍在不歧视基础上阐述其平等思想</w:t>
      </w:r>
      <w:r>
        <w:rPr>
          <w:rStyle w:val="FootnoteReference"/>
        </w:rPr>
        <w:footnoteReference w:customMarkFollows="1" w:id="49"/>
        <w:t>49</w:t>
      </w:r>
      <w:r>
        <w:rPr>
          <w:rFonts w:hint="eastAsia"/>
        </w:rPr>
        <w:t>。</w:t>
      </w:r>
    </w:p>
    <w:p w:rsidR="00000000" w:rsidRDefault="004D2F83" w:rsidP="004D2F83">
      <w:pPr>
        <w:spacing w:after="240" w:line="360" w:lineRule="exact"/>
        <w:ind w:firstLineChars="200" w:firstLine="31680"/>
        <w:rPr>
          <w:rFonts w:hint="eastAsia"/>
        </w:rPr>
      </w:pPr>
      <w:r>
        <w:rPr>
          <w:rFonts w:hint="eastAsia"/>
        </w:rPr>
        <w:t>1988</w:t>
      </w:r>
      <w:r>
        <w:rPr>
          <w:rFonts w:hint="eastAsia"/>
        </w:rPr>
        <w:t>年《联邦宪法》中有两项条款专门就积极行动作出规定：一项关于妇女，一项关于残疾人。</w:t>
      </w:r>
    </w:p>
    <w:p w:rsidR="00000000" w:rsidRDefault="004D2F83" w:rsidP="004D2F83">
      <w:pPr>
        <w:spacing w:after="240" w:line="360" w:lineRule="exact"/>
        <w:ind w:firstLineChars="200" w:firstLine="31680"/>
        <w:rPr>
          <w:rFonts w:hint="eastAsia"/>
        </w:rPr>
      </w:pPr>
      <w:r>
        <w:rPr>
          <w:rFonts w:hint="eastAsia"/>
        </w:rPr>
        <w:t>关于妇女，《宪法》在社会权利方面规定了下列肯定行动规则：</w:t>
      </w:r>
    </w:p>
    <w:p w:rsidR="00000000" w:rsidRDefault="004D2F83" w:rsidP="004D2F83">
      <w:pPr>
        <w:spacing w:after="240" w:line="360" w:lineRule="exact"/>
        <w:ind w:firstLineChars="400" w:firstLine="31680"/>
        <w:rPr>
          <w:rFonts w:eastAsia="KaiTi_GB2312" w:hint="eastAsia"/>
        </w:rPr>
      </w:pPr>
      <w:r>
        <w:rPr>
          <w:rFonts w:eastAsia="KaiTi_GB2312" w:hint="eastAsia"/>
        </w:rPr>
        <w:t>第</w:t>
      </w:r>
      <w:r>
        <w:rPr>
          <w:rFonts w:eastAsia="KaiTi_GB2312" w:hint="eastAsia"/>
        </w:rPr>
        <w:t>7</w:t>
      </w:r>
      <w:r>
        <w:rPr>
          <w:rFonts w:eastAsia="KaiTi_GB2312" w:hint="eastAsia"/>
        </w:rPr>
        <w:t>条</w:t>
      </w:r>
      <w:r>
        <w:rPr>
          <w:rFonts w:eastAsia="KaiTi_GB2312" w:hint="eastAsia"/>
        </w:rPr>
        <w:t xml:space="preserve">  </w:t>
      </w:r>
      <w:r>
        <w:rPr>
          <w:rFonts w:eastAsia="KaiTi_GB2312" w:hint="eastAsia"/>
        </w:rPr>
        <w:t>城乡劳动者旨在改善其社会境况的权利，除其他外还有：</w:t>
      </w:r>
    </w:p>
    <w:p w:rsidR="00000000" w:rsidRDefault="004D2F83" w:rsidP="004D2F83">
      <w:pPr>
        <w:spacing w:after="240" w:line="360" w:lineRule="exact"/>
        <w:ind w:firstLineChars="400" w:firstLine="31680"/>
        <w:rPr>
          <w:rFonts w:eastAsia="KaiTi_GB2312" w:hint="eastAsia"/>
        </w:rPr>
      </w:pPr>
      <w:r>
        <w:rPr>
          <w:rFonts w:eastAsia="KaiTi_GB2312" w:hint="eastAsia"/>
        </w:rPr>
        <w:t>二十、按照法律规定，采取具体的鼓励措</w:t>
      </w:r>
      <w:r>
        <w:rPr>
          <w:rFonts w:eastAsia="KaiTi_GB2312" w:hint="eastAsia"/>
        </w:rPr>
        <w:t>施，来保护妇女劳动力市场。</w:t>
      </w:r>
    </w:p>
    <w:p w:rsidR="00000000" w:rsidRDefault="004D2F83" w:rsidP="004D2F83">
      <w:pPr>
        <w:spacing w:after="240" w:line="360" w:lineRule="exact"/>
        <w:ind w:firstLineChars="200" w:firstLine="31680"/>
        <w:rPr>
          <w:rFonts w:hint="eastAsia"/>
        </w:rPr>
      </w:pPr>
      <w:r>
        <w:rPr>
          <w:rFonts w:hint="eastAsia"/>
        </w:rPr>
        <w:t>人们可能注意到，巴西有关肯定行动的讨论也涉及劳动力市场问题，除其他外，在雇用、同工不同酬或担任管理职务的权利方面，这一领域仍存在着惊人的歧视妇女现象</w:t>
      </w:r>
      <w:r>
        <w:rPr>
          <w:rStyle w:val="FootnoteReference"/>
        </w:rPr>
        <w:footnoteReference w:customMarkFollows="1" w:id="50"/>
        <w:t>50</w:t>
      </w:r>
      <w:r>
        <w:rPr>
          <w:rFonts w:hint="eastAsia"/>
        </w:rPr>
        <w:t>。</w:t>
      </w:r>
    </w:p>
    <w:p w:rsidR="00000000" w:rsidRDefault="004D2F83" w:rsidP="004D2F83">
      <w:pPr>
        <w:spacing w:after="240" w:line="360" w:lineRule="exact"/>
        <w:ind w:firstLineChars="200" w:firstLine="31680"/>
        <w:rPr>
          <w:rFonts w:hint="eastAsia"/>
        </w:rPr>
      </w:pPr>
      <w:r>
        <w:rPr>
          <w:rFonts w:hint="eastAsia"/>
        </w:rPr>
        <w:t>第</w:t>
      </w:r>
      <w:r>
        <w:t>9799/99</w:t>
      </w:r>
      <w:r>
        <w:rPr>
          <w:rFonts w:hint="eastAsia"/>
        </w:rPr>
        <w:t>号法律的颁发是为</w:t>
      </w:r>
      <w:r>
        <w:rPr>
          <w:rFonts w:hint="eastAsia"/>
        </w:rPr>
        <w:t>1988</w:t>
      </w:r>
      <w:r>
        <w:rPr>
          <w:rFonts w:hint="eastAsia"/>
        </w:rPr>
        <w:t>年《宪法》第</w:t>
      </w:r>
      <w:r>
        <w:rPr>
          <w:rFonts w:hint="eastAsia"/>
        </w:rPr>
        <w:t>7</w:t>
      </w:r>
      <w:r>
        <w:rPr>
          <w:rFonts w:hint="eastAsia"/>
        </w:rPr>
        <w:t>条第二十段制订规则。尽管巴西将妇女进入劳动力市场的规则列入《劳动法典》之内，但该法律基本上只是提供了通过肯定行动促进妇女进入劳动力市场的一段可能性。国民议会正在审查采取具体的肯定行动措施以促进妇女加入劳动力市场的法案。第</w:t>
      </w:r>
      <w:r>
        <w:t>2417/89</w:t>
      </w:r>
      <w:r>
        <w:rPr>
          <w:rFonts w:hint="eastAsia"/>
        </w:rPr>
        <w:t>号法案</w:t>
      </w:r>
      <w:r>
        <w:rPr>
          <w:rStyle w:val="FootnoteReference"/>
        </w:rPr>
        <w:footnoteReference w:customMarkFollows="1" w:id="51"/>
        <w:t>51</w:t>
      </w:r>
      <w:r>
        <w:rPr>
          <w:rFonts w:hint="eastAsia"/>
        </w:rPr>
        <w:t>规定对各法律实体实行税收鼓励措</w:t>
      </w:r>
      <w:r>
        <w:rPr>
          <w:rFonts w:hint="eastAsia"/>
        </w:rPr>
        <w:t>施，以鼓励雇用女工并为其资格培训投资。根据此项法案，拥有</w:t>
      </w:r>
      <w:r>
        <w:rPr>
          <w:rFonts w:hint="eastAsia"/>
        </w:rPr>
        <w:t>50</w:t>
      </w:r>
      <w:r>
        <w:rPr>
          <w:rFonts w:hint="eastAsia"/>
        </w:rPr>
        <w:t>名以上雇员的法律实体在基准年里，可以为了所得税目的从其业务利润中最多扣除相当于付给女工的薪金总金额</w:t>
      </w:r>
      <w:r>
        <w:t>30%</w:t>
      </w:r>
      <w:r>
        <w:rPr>
          <w:rFonts w:hint="eastAsia"/>
        </w:rPr>
        <w:t>（百分之三十）的款额，只要他们能够证明扣除款额中至少有</w:t>
      </w:r>
      <w:r>
        <w:rPr>
          <w:rFonts w:hint="eastAsia"/>
        </w:rPr>
        <w:t>50</w:t>
      </w:r>
      <w:r>
        <w:t>%</w:t>
      </w:r>
      <w:r>
        <w:rPr>
          <w:rFonts w:hint="eastAsia"/>
        </w:rPr>
        <w:t>（百分之五十）用于女工的培训和资格获取。</w:t>
      </w:r>
    </w:p>
    <w:p w:rsidR="00000000" w:rsidRDefault="004D2F83">
      <w:pPr>
        <w:pStyle w:val="BodyTextIndent2"/>
        <w:spacing w:after="240" w:line="360" w:lineRule="exact"/>
        <w:rPr>
          <w:rFonts w:eastAsia="KaiTi_GB2312" w:hint="eastAsia"/>
          <w:i w:val="0"/>
          <w:iCs/>
        </w:rPr>
      </w:pPr>
      <w:r>
        <w:rPr>
          <w:rFonts w:eastAsia="KaiTi_GB2312" w:hint="eastAsia"/>
          <w:i w:val="0"/>
          <w:iCs/>
        </w:rPr>
        <w:t>因此，此项法案明确界定了肯定行动的机制，即给予雇用较多妇女的公司一种好处：尽管该法案并未规定、只是鼓励按照《宪法》的规定采取肯定行动，但它认为法律应规定保护女性劳动力市场的鼓励措施。同时，法案对女工的教育、资格和培训问题表示关注，决定将所得税中扣</w:t>
      </w:r>
      <w:r>
        <w:rPr>
          <w:rFonts w:eastAsia="KaiTi_GB2312" w:hint="eastAsia"/>
          <w:i w:val="0"/>
          <w:iCs/>
        </w:rPr>
        <w:t>除款额的一部分专用于这一目的。</w:t>
      </w:r>
    </w:p>
    <w:p w:rsidR="00000000" w:rsidRDefault="004D2F83" w:rsidP="004D2F83">
      <w:pPr>
        <w:spacing w:after="240" w:line="360" w:lineRule="exact"/>
        <w:ind w:firstLineChars="200" w:firstLine="31680"/>
        <w:rPr>
          <w:rFonts w:hint="eastAsia"/>
        </w:rPr>
      </w:pPr>
      <w:r>
        <w:rPr>
          <w:rFonts w:hint="eastAsia"/>
        </w:rPr>
        <w:t>国民议会正在审查的另一个文件是第</w:t>
      </w:r>
      <w:r>
        <w:t>382/91</w:t>
      </w:r>
      <w:r>
        <w:rPr>
          <w:rFonts w:hint="eastAsia"/>
        </w:rPr>
        <w:t>号法案，该法案规定在妇女进入劳动力市场时，确保男女享有平等机会并禁止因性别、年龄、肤色、家庭状况和怀孕而给予歧视，以及禁止对女性佣仆或公务员搜身，并且按照《联邦宪法》第</w:t>
      </w:r>
      <w:r>
        <w:rPr>
          <w:rFonts w:hint="eastAsia"/>
        </w:rPr>
        <w:t>7</w:t>
      </w:r>
      <w:r>
        <w:rPr>
          <w:rFonts w:hint="eastAsia"/>
        </w:rPr>
        <w:t>条第二十段给予鼓励女工加盟的公司以固定的好处。</w:t>
      </w:r>
    </w:p>
    <w:p w:rsidR="00000000" w:rsidRDefault="004D2F83" w:rsidP="004D2F83">
      <w:pPr>
        <w:spacing w:after="240" w:line="360" w:lineRule="exact"/>
        <w:ind w:firstLineChars="200" w:firstLine="31680"/>
        <w:rPr>
          <w:rFonts w:hint="eastAsia"/>
        </w:rPr>
      </w:pPr>
      <w:r>
        <w:rPr>
          <w:rFonts w:hint="eastAsia"/>
        </w:rPr>
        <w:t>另一种肯定行动机制尽管未被宪法规则所明确涵盖，但认可《消除对妇女一切形式歧视公约》的规定并且产生了实实在在的结果，也就是按照第</w:t>
      </w:r>
      <w:r>
        <w:t>9504/</w:t>
      </w:r>
      <w:r>
        <w:rPr>
          <w:rFonts w:hint="eastAsia"/>
        </w:rPr>
        <w:t>97</w:t>
      </w:r>
      <w:r>
        <w:rPr>
          <w:rFonts w:hint="eastAsia"/>
        </w:rPr>
        <w:t>号法律确定</w:t>
      </w:r>
      <w:r>
        <w:rPr>
          <w:rFonts w:hint="eastAsia"/>
          <w:color w:val="000000"/>
        </w:rPr>
        <w:t>比例选举制中</w:t>
      </w:r>
      <w:r>
        <w:rPr>
          <w:rFonts w:hint="eastAsia"/>
        </w:rPr>
        <w:t>女候选人的比额。</w:t>
      </w:r>
    </w:p>
    <w:p w:rsidR="00000000" w:rsidRDefault="004D2F83" w:rsidP="004D2F83">
      <w:pPr>
        <w:spacing w:after="240" w:line="360" w:lineRule="exact"/>
        <w:ind w:firstLineChars="200" w:firstLine="31680"/>
        <w:rPr>
          <w:rFonts w:hint="eastAsia"/>
        </w:rPr>
      </w:pPr>
      <w:r>
        <w:rPr>
          <w:rFonts w:hint="eastAsia"/>
        </w:rPr>
        <w:t>导致批准促进妇女参政的肯定行动措施的法</w:t>
      </w:r>
      <w:r>
        <w:rPr>
          <w:rFonts w:hint="eastAsia"/>
        </w:rPr>
        <w:t>案的法律根据就是巴西批准的各项国际文书，该法案强调，“建立妇女平等参与的机制及其在所有级别的政治进程和每个社区和社会的公共生活中的平等代表的机制……”是世界人口与发展会议《行动计划》（开罗</w:t>
      </w:r>
      <w:r>
        <w:t>/</w:t>
      </w:r>
      <w:r>
        <w:rPr>
          <w:rFonts w:hint="eastAsia"/>
        </w:rPr>
        <w:t>1994</w:t>
      </w:r>
      <w:r>
        <w:rPr>
          <w:rFonts w:hint="eastAsia"/>
        </w:rPr>
        <w:t>年）中的一项建议。此项建议也重申了</w:t>
      </w:r>
      <w:r>
        <w:rPr>
          <w:rFonts w:hint="eastAsia"/>
        </w:rPr>
        <w:t>1990</w:t>
      </w:r>
      <w:r>
        <w:rPr>
          <w:rFonts w:hint="eastAsia"/>
        </w:rPr>
        <w:t>年代各国在批准《消除对妇女一切形式歧视公约》和出席关于社会主题的其他会议时所做的承诺。《巴西宪法》强调促进男女平等。但是，这一权利的法律平等在社会所有部门中至今尚未得到巩固。按照联合国的说法，如果担任管理职务的妇女的增长率保持在现有</w:t>
      </w:r>
      <w:r>
        <w:t>1%</w:t>
      </w:r>
      <w:r>
        <w:rPr>
          <w:rFonts w:hint="eastAsia"/>
        </w:rPr>
        <w:t>或</w:t>
      </w:r>
      <w:r>
        <w:t>2%</w:t>
      </w:r>
      <w:r>
        <w:rPr>
          <w:rFonts w:hint="eastAsia"/>
        </w:rPr>
        <w:t>的水平上，世界若要达到平等的两</w:t>
      </w:r>
      <w:r>
        <w:rPr>
          <w:rFonts w:hint="eastAsia"/>
        </w:rPr>
        <w:t>性代表率，还需要</w:t>
      </w:r>
      <w:r>
        <w:rPr>
          <w:rFonts w:hint="eastAsia"/>
        </w:rPr>
        <w:t>400</w:t>
      </w:r>
      <w:r>
        <w:rPr>
          <w:rFonts w:hint="eastAsia"/>
        </w:rPr>
        <w:t>年的时间。</w:t>
      </w:r>
    </w:p>
    <w:p w:rsidR="00000000" w:rsidRDefault="004D2F83" w:rsidP="004D2F83">
      <w:pPr>
        <w:spacing w:after="240" w:line="360" w:lineRule="exact"/>
        <w:ind w:firstLineChars="200" w:firstLine="31680"/>
        <w:rPr>
          <w:rFonts w:hint="eastAsia"/>
        </w:rPr>
      </w:pPr>
      <w:r>
        <w:rPr>
          <w:rFonts w:hint="eastAsia"/>
        </w:rPr>
        <w:t>最后，还应当特别提及</w:t>
      </w:r>
      <w:r>
        <w:rPr>
          <w:rFonts w:hint="eastAsia"/>
        </w:rPr>
        <w:t>1988</w:t>
      </w:r>
      <w:r>
        <w:rPr>
          <w:rFonts w:hint="eastAsia"/>
        </w:rPr>
        <w:t>年《联邦宪法》规定的另一种肯定行动机制，，即必须为残疾人保留一定比例的公职和工作。尽管这一机制不是直接针对妇女，但妇女的确也会从中受益。</w:t>
      </w:r>
    </w:p>
    <w:p w:rsidR="00000000" w:rsidRDefault="004D2F83" w:rsidP="004D2F83">
      <w:pPr>
        <w:spacing w:after="240" w:line="360" w:lineRule="exact"/>
        <w:ind w:firstLineChars="200" w:firstLine="31680"/>
        <w:rPr>
          <w:rFonts w:hint="eastAsia"/>
        </w:rPr>
      </w:pPr>
      <w:r>
        <w:rPr>
          <w:rFonts w:hint="eastAsia"/>
        </w:rPr>
        <w:t>在联邦一级，第</w:t>
      </w:r>
      <w:r>
        <w:t>8112/90</w:t>
      </w:r>
      <w:r>
        <w:rPr>
          <w:rFonts w:hint="eastAsia"/>
        </w:rPr>
        <w:t>号法律规定了关于中央政府公务员、政府机构和联邦公共基金会的法律制度，此项法律是为</w:t>
      </w:r>
      <w:r>
        <w:rPr>
          <w:rFonts w:hint="eastAsia"/>
        </w:rPr>
        <w:t>1988</w:t>
      </w:r>
      <w:r>
        <w:rPr>
          <w:rFonts w:hint="eastAsia"/>
        </w:rPr>
        <w:t>年《联邦宪法》第</w:t>
      </w:r>
      <w:r>
        <w:rPr>
          <w:rFonts w:hint="eastAsia"/>
        </w:rPr>
        <w:t>37</w:t>
      </w:r>
      <w:r>
        <w:rPr>
          <w:rFonts w:hint="eastAsia"/>
        </w:rPr>
        <w:t>条第七段制订规则，它规定：</w:t>
      </w:r>
    </w:p>
    <w:p w:rsidR="00000000" w:rsidRDefault="004D2F83" w:rsidP="004D2F83">
      <w:pPr>
        <w:spacing w:after="240" w:line="360" w:lineRule="exact"/>
        <w:ind w:firstLineChars="200" w:firstLine="31680"/>
        <w:rPr>
          <w:rFonts w:eastAsia="KaiTi_GB2312" w:hint="eastAsia"/>
        </w:rPr>
      </w:pPr>
      <w:r>
        <w:rPr>
          <w:rFonts w:eastAsia="KaiTi_GB2312" w:hint="eastAsia"/>
        </w:rPr>
        <w:t>“第</w:t>
      </w:r>
      <w:r>
        <w:rPr>
          <w:rFonts w:eastAsia="KaiTi_GB2312" w:hint="eastAsia"/>
        </w:rPr>
        <w:t>5</w:t>
      </w:r>
      <w:r>
        <w:rPr>
          <w:rFonts w:eastAsia="KaiTi_GB2312" w:hint="eastAsia"/>
        </w:rPr>
        <w:t>条</w:t>
      </w:r>
      <w:r>
        <w:rPr>
          <w:rFonts w:eastAsia="KaiTi_GB2312" w:hint="eastAsia"/>
        </w:rPr>
        <w:t xml:space="preserve">  </w:t>
      </w:r>
      <w:r>
        <w:rPr>
          <w:rFonts w:eastAsia="KaiTi_GB2312" w:hint="eastAsia"/>
        </w:rPr>
        <w:t>公职授职的基本要求如下：</w:t>
      </w:r>
    </w:p>
    <w:p w:rsidR="00000000" w:rsidRDefault="004D2F83" w:rsidP="004D2F83">
      <w:pPr>
        <w:spacing w:after="240" w:line="360" w:lineRule="exact"/>
        <w:ind w:firstLineChars="200" w:firstLine="31680"/>
        <w:rPr>
          <w:rFonts w:eastAsia="KaiTi_GB2312" w:hint="eastAsia"/>
        </w:rPr>
      </w:pPr>
      <w:r>
        <w:rPr>
          <w:rFonts w:eastAsia="KaiTi_GB2312" w:hint="eastAsia"/>
        </w:rPr>
        <w:t>一、是在巴西出生的公民；</w:t>
      </w:r>
    </w:p>
    <w:p w:rsidR="00000000" w:rsidRDefault="004D2F83" w:rsidP="004D2F83">
      <w:pPr>
        <w:spacing w:after="240" w:line="360" w:lineRule="exact"/>
        <w:ind w:firstLineChars="200" w:firstLine="31680"/>
        <w:rPr>
          <w:rFonts w:eastAsia="KaiTi_GB2312" w:hint="eastAsia"/>
        </w:rPr>
      </w:pPr>
      <w:r>
        <w:rPr>
          <w:rFonts w:eastAsia="KaiTi_GB2312" w:hint="eastAsia"/>
        </w:rPr>
        <w:t>二、充分享有个人的政治权利；</w:t>
      </w:r>
    </w:p>
    <w:p w:rsidR="00000000" w:rsidRDefault="004D2F83" w:rsidP="004D2F83">
      <w:pPr>
        <w:spacing w:after="240" w:line="360" w:lineRule="exact"/>
        <w:ind w:firstLineChars="200" w:firstLine="31680"/>
        <w:rPr>
          <w:rFonts w:eastAsia="KaiTi_GB2312" w:hint="eastAsia"/>
        </w:rPr>
      </w:pPr>
      <w:r>
        <w:rPr>
          <w:rFonts w:eastAsia="KaiTi_GB2312" w:hint="eastAsia"/>
        </w:rPr>
        <w:t>三、不担任军职和选举职务；</w:t>
      </w:r>
    </w:p>
    <w:p w:rsidR="00000000" w:rsidRDefault="004D2F83" w:rsidP="004D2F83">
      <w:pPr>
        <w:spacing w:after="240" w:line="360" w:lineRule="exact"/>
        <w:ind w:firstLineChars="200" w:firstLine="31680"/>
        <w:rPr>
          <w:rFonts w:eastAsia="KaiTi_GB2312" w:hint="eastAsia"/>
        </w:rPr>
      </w:pPr>
      <w:r>
        <w:rPr>
          <w:rFonts w:eastAsia="KaiTi_GB2312" w:hint="eastAsia"/>
        </w:rPr>
        <w:t>四、达到该职务所要求的受教</w:t>
      </w:r>
      <w:r>
        <w:rPr>
          <w:rFonts w:eastAsia="KaiTi_GB2312" w:hint="eastAsia"/>
        </w:rPr>
        <w:t>育程度；</w:t>
      </w:r>
    </w:p>
    <w:p w:rsidR="00000000" w:rsidRDefault="004D2F83" w:rsidP="004D2F83">
      <w:pPr>
        <w:spacing w:after="240" w:line="360" w:lineRule="exact"/>
        <w:ind w:firstLineChars="200" w:firstLine="31680"/>
        <w:rPr>
          <w:rFonts w:eastAsia="KaiTi_GB2312" w:hint="eastAsia"/>
        </w:rPr>
      </w:pPr>
      <w:r>
        <w:rPr>
          <w:rFonts w:eastAsia="KaiTi_GB2312" w:hint="eastAsia"/>
        </w:rPr>
        <w:t>五、至少年满</w:t>
      </w:r>
      <w:r>
        <w:rPr>
          <w:rFonts w:eastAsia="KaiTi_GB2312" w:hint="eastAsia"/>
        </w:rPr>
        <w:t>18</w:t>
      </w:r>
      <w:r>
        <w:rPr>
          <w:rFonts w:eastAsia="KaiTi_GB2312" w:hint="eastAsia"/>
        </w:rPr>
        <w:t>岁；</w:t>
      </w:r>
    </w:p>
    <w:p w:rsidR="00000000" w:rsidRDefault="004D2F83" w:rsidP="004D2F83">
      <w:pPr>
        <w:spacing w:after="240" w:line="360" w:lineRule="exact"/>
        <w:ind w:firstLineChars="200" w:firstLine="31680"/>
        <w:rPr>
          <w:rFonts w:eastAsia="KaiTi_GB2312" w:hint="eastAsia"/>
        </w:rPr>
      </w:pPr>
      <w:r>
        <w:rPr>
          <w:rFonts w:eastAsia="KaiTi_GB2312" w:hint="eastAsia"/>
        </w:rPr>
        <w:t>六、身心健全</w:t>
      </w:r>
      <w:r>
        <w:rPr>
          <w:rFonts w:hint="eastAsia"/>
        </w:rPr>
        <w:t>。</w:t>
      </w:r>
    </w:p>
    <w:p w:rsidR="00000000" w:rsidRDefault="004D2F83" w:rsidP="004D2F83">
      <w:pPr>
        <w:spacing w:after="240" w:line="360" w:lineRule="exact"/>
        <w:ind w:firstLineChars="200" w:firstLine="31680"/>
        <w:rPr>
          <w:rFonts w:eastAsia="KaiTi_GB2312" w:hint="eastAsia"/>
        </w:rPr>
      </w:pPr>
      <w:r>
        <w:rPr>
          <w:rFonts w:eastAsia="KaiTi_GB2312" w:hint="eastAsia"/>
        </w:rPr>
        <w:t>§</w:t>
      </w:r>
      <w:r>
        <w:rPr>
          <w:rFonts w:eastAsia="KaiTi_GB2312" w:hint="eastAsia"/>
        </w:rPr>
        <w:t>1</w:t>
      </w:r>
      <w:r>
        <w:rPr>
          <w:rFonts w:eastAsia="KaiTi_GB2312"/>
        </w:rPr>
        <w:t xml:space="preserve">. </w:t>
      </w:r>
      <w:r>
        <w:rPr>
          <w:rFonts w:eastAsia="KaiTi_GB2312" w:hint="eastAsia"/>
        </w:rPr>
        <w:t>职务责任可证明法律规定的其他要求是正当的。</w:t>
      </w:r>
    </w:p>
    <w:p w:rsidR="00000000" w:rsidRDefault="004D2F83" w:rsidP="004D2F83">
      <w:pPr>
        <w:spacing w:after="240" w:line="360" w:lineRule="exact"/>
        <w:ind w:firstLineChars="200" w:firstLine="31680"/>
        <w:rPr>
          <w:rFonts w:eastAsia="KaiTi_GB2312" w:hint="eastAsia"/>
        </w:rPr>
      </w:pPr>
      <w:r>
        <w:rPr>
          <w:rFonts w:eastAsia="KaiTi_GB2312" w:hint="eastAsia"/>
        </w:rPr>
        <w:t>§</w:t>
      </w:r>
      <w:r>
        <w:rPr>
          <w:rFonts w:eastAsia="KaiTi_GB2312" w:hint="eastAsia"/>
        </w:rPr>
        <w:t>2</w:t>
      </w:r>
      <w:r>
        <w:rPr>
          <w:rFonts w:eastAsia="KaiTi_GB2312"/>
        </w:rPr>
        <w:t xml:space="preserve">. </w:t>
      </w:r>
      <w:r>
        <w:rPr>
          <w:rFonts w:eastAsia="KaiTi_GB2312" w:hint="eastAsia"/>
        </w:rPr>
        <w:t>确保肢体残疾人有权登记参加招聘公开录用考试，征聘职务的责任与其残疾程度相符；录用考试提供的名额有</w:t>
      </w:r>
      <w:r>
        <w:rPr>
          <w:rFonts w:eastAsia="KaiTi_GB2312"/>
        </w:rPr>
        <w:t>20%</w:t>
      </w:r>
      <w:r>
        <w:rPr>
          <w:rFonts w:eastAsia="KaiTi_GB2312" w:hint="eastAsia"/>
        </w:rPr>
        <w:t>（百分之二十）应保留给此类残疾人。</w:t>
      </w:r>
    </w:p>
    <w:p w:rsidR="00000000" w:rsidRDefault="004D2F83">
      <w:pPr>
        <w:spacing w:after="240" w:line="360" w:lineRule="exact"/>
        <w:ind w:firstLine="359"/>
        <w:rPr>
          <w:rFonts w:hint="eastAsia"/>
        </w:rPr>
      </w:pPr>
      <w:r>
        <w:rPr>
          <w:rFonts w:hint="eastAsia"/>
        </w:rPr>
        <w:t>因此，任何招聘联邦公务员的公开录用考试的公开通知都应说明肢体残疾人也可申请相关职务</w:t>
      </w:r>
      <w:r>
        <w:t>/</w:t>
      </w:r>
      <w:r>
        <w:rPr>
          <w:rFonts w:hint="eastAsia"/>
        </w:rPr>
        <w:t>职位。值得注意的是，该条提到为他们保留</w:t>
      </w:r>
      <w:r>
        <w:t>20</w:t>
      </w:r>
      <w:r>
        <w:rPr>
          <w:rFonts w:hint="eastAsia"/>
        </w:rPr>
        <w:t>%</w:t>
      </w:r>
      <w:r>
        <w:rPr>
          <w:rFonts w:hint="eastAsia"/>
        </w:rPr>
        <w:t>以下的职务</w:t>
      </w:r>
      <w:r>
        <w:t>/</w:t>
      </w:r>
      <w:r>
        <w:rPr>
          <w:rFonts w:hint="eastAsia"/>
        </w:rPr>
        <w:t>职位。实际上，除了决定要完成的任务应该与有关人员的残疾程度相符之外，它也是指这类职务</w:t>
      </w:r>
      <w:r>
        <w:t>/</w:t>
      </w:r>
      <w:r>
        <w:rPr>
          <w:rFonts w:hint="eastAsia"/>
        </w:rPr>
        <w:t>职位数目可以减少。</w:t>
      </w:r>
    </w:p>
    <w:p w:rsidR="00000000" w:rsidRDefault="004D2F83">
      <w:pPr>
        <w:spacing w:after="240" w:line="360" w:lineRule="exact"/>
        <w:ind w:firstLine="359"/>
        <w:rPr>
          <w:rFonts w:hint="eastAsia"/>
        </w:rPr>
      </w:pPr>
      <w:r>
        <w:rPr>
          <w:rFonts w:hint="eastAsia"/>
        </w:rPr>
        <w:t>对此项规定的解释导致</w:t>
      </w:r>
      <w:r>
        <w:rPr>
          <w:rFonts w:hint="eastAsia"/>
        </w:rPr>
        <w:t>了判例中的争议。指出以下一点很有趣，在官方判决摘要中，报告员为首席法官</w:t>
      </w:r>
      <w:r>
        <w:t>Pedro Acioli</w:t>
      </w:r>
      <w:r>
        <w:rPr>
          <w:rFonts w:hint="eastAsia"/>
        </w:rPr>
        <w:t>的</w:t>
      </w:r>
      <w:r>
        <w:rPr>
          <w:rFonts w:hint="eastAsia"/>
        </w:rPr>
        <w:t>1994</w:t>
      </w:r>
      <w:r>
        <w:rPr>
          <w:rFonts w:hint="eastAsia"/>
        </w:rPr>
        <w:t>年</w:t>
      </w:r>
      <w:r>
        <w:rPr>
          <w:rFonts w:hint="eastAsia"/>
        </w:rPr>
        <w:t>12</w:t>
      </w:r>
      <w:r>
        <w:rPr>
          <w:rFonts w:hint="eastAsia"/>
        </w:rPr>
        <w:t>月</w:t>
      </w:r>
      <w:r>
        <w:rPr>
          <w:rFonts w:hint="eastAsia"/>
        </w:rPr>
        <w:t>6</w:t>
      </w:r>
      <w:r>
        <w:rPr>
          <w:rFonts w:hint="eastAsia"/>
        </w:rPr>
        <w:t>日的第</w:t>
      </w:r>
      <w:r>
        <w:t>3.113-6/DF 6</w:t>
      </w:r>
      <w:r>
        <w:rPr>
          <w:vertAlign w:val="superscript"/>
        </w:rPr>
        <w:t>a</w:t>
      </w:r>
      <w:r>
        <w:t xml:space="preserve"> T., j.</w:t>
      </w:r>
      <w:r>
        <w:rPr>
          <w:rFonts w:hint="eastAsia"/>
        </w:rPr>
        <w:t>号</w:t>
      </w:r>
      <w:r>
        <w:rPr>
          <w:rFonts w:hint="eastAsia"/>
        </w:rPr>
        <w:t>RMS</w:t>
      </w:r>
      <w:r>
        <w:rPr>
          <w:rFonts w:hint="eastAsia"/>
        </w:rPr>
        <w:t>中颁布的裁定</w:t>
      </w:r>
      <w:r>
        <w:rPr>
          <w:rStyle w:val="FootnoteReference"/>
        </w:rPr>
        <w:footnoteReference w:customMarkFollows="1" w:id="52"/>
        <w:t>52</w:t>
      </w:r>
      <w:r>
        <w:rPr>
          <w:rFonts w:hint="eastAsia"/>
        </w:rPr>
        <w:t>指出，</w:t>
      </w:r>
      <w:r>
        <w:rPr>
          <w:rFonts w:eastAsia="KaiTi_GB2312" w:hint="eastAsia"/>
        </w:rPr>
        <w:t>“因为《联邦宪法》第</w:t>
      </w:r>
      <w:r>
        <w:rPr>
          <w:rFonts w:eastAsia="KaiTi_GB2312" w:hint="eastAsia"/>
        </w:rPr>
        <w:t>37</w:t>
      </w:r>
      <w:r>
        <w:rPr>
          <w:rFonts w:eastAsia="KaiTi_GB2312" w:hint="eastAsia"/>
        </w:rPr>
        <w:t>条第八段是一种效力有限的规则，颁布新的《联邦公务员法规》第</w:t>
      </w:r>
      <w:r>
        <w:rPr>
          <w:rFonts w:eastAsia="KaiTi_GB2312" w:hint="eastAsia"/>
        </w:rPr>
        <w:t>5</w:t>
      </w:r>
      <w:r>
        <w:rPr>
          <w:rFonts w:eastAsia="KaiTi_GB2312" w:hint="eastAsia"/>
        </w:rPr>
        <w:t>条第</w:t>
      </w:r>
      <w:r>
        <w:rPr>
          <w:rFonts w:eastAsia="KaiTi_GB2312" w:hint="eastAsia"/>
        </w:rPr>
        <w:t>2</w:t>
      </w:r>
      <w:r>
        <w:rPr>
          <w:rFonts w:eastAsia="KaiTi_GB2312" w:hint="eastAsia"/>
        </w:rPr>
        <w:t>节就是为前述宪法规定制订规则，使之充分发挥效力。显而易见的是，该法规的这一条款界定了宪法规定的特征，确保肢体残疾人有权申请参加公开录用考试，规定与该职务有关的责任应该与残疾程度相符，最后界定了此类残疾人担任公职和职位所占的最大比率。</w:t>
      </w:r>
      <w:r>
        <w:rPr>
          <w:rFonts w:eastAsia="KaiTi_GB2312" w:hint="eastAsia"/>
        </w:rPr>
        <w:t>根据这些参数，行政官可以完全自由地决定通过考试的肢体残疾人的留用问题。《联邦宪法》还禁止行政官拒绝录用通过考试但不适合担任该职务的肢体残疾人。此外，基于该法规没有界定充足的标准这一事实，此项裁定否定了宪法规定未受到该法规规范这一论据。因此准予上诉，决定按照资格水平，根据最终为肢体残疾人保留的比例，酌情给予上诉人该职务或职位”。</w:t>
      </w:r>
    </w:p>
    <w:p w:rsidR="00000000" w:rsidRDefault="004D2F83" w:rsidP="004D2F83">
      <w:pPr>
        <w:spacing w:after="240" w:line="360" w:lineRule="exact"/>
        <w:ind w:firstLineChars="200" w:firstLine="31680"/>
        <w:rPr>
          <w:rFonts w:hint="eastAsia"/>
        </w:rPr>
      </w:pPr>
      <w:r>
        <w:rPr>
          <w:rFonts w:hint="eastAsia"/>
        </w:rPr>
        <w:t>另一项判决已由最高法院颁布，其官方摘要值得一提：</w:t>
      </w:r>
    </w:p>
    <w:p w:rsidR="00000000" w:rsidRDefault="004D2F83" w:rsidP="004D2F83">
      <w:pPr>
        <w:spacing w:after="240" w:line="360" w:lineRule="exact"/>
        <w:ind w:firstLineChars="200" w:firstLine="31680"/>
        <w:rPr>
          <w:rFonts w:hint="eastAsia"/>
        </w:rPr>
      </w:pPr>
      <w:r>
        <w:rPr>
          <w:rFonts w:eastAsia="KaiTi_GB2312" w:hint="eastAsia"/>
          <w:b/>
          <w:bCs/>
        </w:rPr>
        <w:t>摘要：</w:t>
      </w:r>
      <w:r>
        <w:rPr>
          <w:rFonts w:hint="eastAsia"/>
        </w:rPr>
        <w:t>宪法和行政。公开的录用考试。通则。肢体残疾人。职务</w:t>
      </w:r>
      <w:r>
        <w:t>/</w:t>
      </w:r>
      <w:r>
        <w:rPr>
          <w:rFonts w:hint="eastAsia"/>
        </w:rPr>
        <w:t>职位数目。确定标准。一、通过公开的录用考试并符合公职或职位授职的基本条件（</w:t>
      </w:r>
      <w:r>
        <w:rPr>
          <w:rFonts w:hint="eastAsia"/>
        </w:rPr>
        <w:t>《联邦宪法》，第</w:t>
      </w:r>
      <w:r>
        <w:rPr>
          <w:rFonts w:hint="eastAsia"/>
        </w:rPr>
        <w:t>37</w:t>
      </w:r>
      <w:r>
        <w:rPr>
          <w:rFonts w:hint="eastAsia"/>
        </w:rPr>
        <w:t>条第二段），包括残疾人，法律应对他们界定相关的条件和标准以确保与该职务或职位有关的责任得到正常履行（《联邦宪法》，第</w:t>
      </w:r>
      <w:r>
        <w:rPr>
          <w:rFonts w:hint="eastAsia"/>
        </w:rPr>
        <w:t>37</w:t>
      </w:r>
      <w:r>
        <w:rPr>
          <w:rFonts w:hint="eastAsia"/>
        </w:rPr>
        <w:t>条，第八段）。二、在这种情况下，申请人未能证明其残疾程度不会妨碍他作为一名财务审计员履行职责。因此驳回了上诉。来源：最高法院（</w:t>
      </w:r>
      <w:r>
        <w:rPr>
          <w:rFonts w:hint="eastAsia"/>
        </w:rPr>
        <w:t>STJ</w:t>
      </w:r>
      <w:r>
        <w:rPr>
          <w:rFonts w:hint="eastAsia"/>
        </w:rPr>
        <w:t>），第五小组的裁决：</w:t>
      </w:r>
      <w:r>
        <w:rPr>
          <w:rFonts w:hint="eastAsia"/>
        </w:rPr>
        <w:t>1995</w:t>
      </w:r>
      <w:r>
        <w:rPr>
          <w:rFonts w:hint="eastAsia"/>
        </w:rPr>
        <w:t>年</w:t>
      </w:r>
      <w:r>
        <w:rPr>
          <w:rFonts w:hint="eastAsia"/>
        </w:rPr>
        <w:t>9</w:t>
      </w:r>
      <w:r>
        <w:rPr>
          <w:rFonts w:hint="eastAsia"/>
        </w:rPr>
        <w:t>月</w:t>
      </w:r>
      <w:r>
        <w:rPr>
          <w:rFonts w:hint="eastAsia"/>
        </w:rPr>
        <w:t>4</w:t>
      </w:r>
      <w:r>
        <w:rPr>
          <w:rFonts w:hint="eastAsia"/>
        </w:rPr>
        <w:t>日；资料来源：《司法部门官方公报》，日期：</w:t>
      </w:r>
      <w:r>
        <w:rPr>
          <w:rFonts w:hint="eastAsia"/>
        </w:rPr>
        <w:t>1995</w:t>
      </w:r>
      <w:r>
        <w:rPr>
          <w:rFonts w:hint="eastAsia"/>
        </w:rPr>
        <w:t>年</w:t>
      </w:r>
      <w:r>
        <w:rPr>
          <w:rFonts w:hint="eastAsia"/>
        </w:rPr>
        <w:t>9</w:t>
      </w:r>
      <w:r>
        <w:rPr>
          <w:rFonts w:hint="eastAsia"/>
        </w:rPr>
        <w:t>月</w:t>
      </w:r>
      <w:r>
        <w:rPr>
          <w:rFonts w:hint="eastAsia"/>
        </w:rPr>
        <w:t>25</w:t>
      </w:r>
      <w:r>
        <w:rPr>
          <w:rFonts w:hint="eastAsia"/>
        </w:rPr>
        <w:t>日，第</w:t>
      </w:r>
      <w:r>
        <w:rPr>
          <w:rFonts w:hint="eastAsia"/>
        </w:rPr>
        <w:t>31 120</w:t>
      </w:r>
      <w:r>
        <w:rPr>
          <w:rFonts w:hint="eastAsia"/>
        </w:rPr>
        <w:t>页。报告员：首席法官</w:t>
      </w:r>
      <w:r>
        <w:t>Jesus Costa Lima</w:t>
      </w:r>
      <w:r>
        <w:rPr>
          <w:rFonts w:hint="eastAsia"/>
        </w:rPr>
        <w:t>。驳回上诉的决定得到一致同意。</w:t>
      </w:r>
    </w:p>
    <w:p w:rsidR="00000000" w:rsidRDefault="004D2F83" w:rsidP="004D2F83">
      <w:pPr>
        <w:spacing w:after="240" w:line="360" w:lineRule="exact"/>
        <w:ind w:firstLineChars="200" w:firstLine="31680"/>
        <w:rPr>
          <w:rFonts w:hint="eastAsia"/>
        </w:rPr>
      </w:pPr>
      <w:r>
        <w:rPr>
          <w:rFonts w:hint="eastAsia"/>
        </w:rPr>
        <w:t>本判决表明，按照第</w:t>
      </w:r>
      <w:r>
        <w:t>8112/90</w:t>
      </w:r>
      <w:r>
        <w:rPr>
          <w:rFonts w:hint="eastAsia"/>
        </w:rPr>
        <w:t>号法律规定</w:t>
      </w:r>
      <w:r>
        <w:rPr>
          <w:rFonts w:hint="eastAsia"/>
        </w:rPr>
        <w:t>，肢体残疾人必须证明其残疾程度不会妨碍他们履行公务员的职责，该法律规定这种职责应该与申请人的残疾程度相符。</w:t>
      </w:r>
    </w:p>
    <w:p w:rsidR="00000000" w:rsidRDefault="004D2F83" w:rsidP="004D2F83">
      <w:pPr>
        <w:spacing w:after="240" w:line="360" w:lineRule="exact"/>
        <w:ind w:firstLineChars="200" w:firstLine="31680"/>
        <w:rPr>
          <w:rFonts w:hint="eastAsia"/>
        </w:rPr>
      </w:pPr>
      <w:r>
        <w:rPr>
          <w:rFonts w:hint="eastAsia"/>
        </w:rPr>
        <w:t>第</w:t>
      </w:r>
      <w:r>
        <w:t>8213/91</w:t>
      </w:r>
      <w:r>
        <w:rPr>
          <w:rFonts w:hint="eastAsia"/>
        </w:rPr>
        <w:t>号法律规定，私营部门应为肢体残疾人保留一定比例的职位，该比例根据公司雇员总数而定，在</w:t>
      </w:r>
      <w:r>
        <w:t>2%</w:t>
      </w:r>
      <w:r>
        <w:rPr>
          <w:rFonts w:hint="eastAsia"/>
        </w:rPr>
        <w:t>至</w:t>
      </w:r>
      <w:r>
        <w:t>5%</w:t>
      </w:r>
      <w:r>
        <w:rPr>
          <w:rFonts w:hint="eastAsia"/>
        </w:rPr>
        <w:t>之间不等。此项规定最终也使肢体残疾妇女受益，尽管该法律没有把他们定为直接对象。</w:t>
      </w:r>
    </w:p>
    <w:p w:rsidR="00000000" w:rsidRDefault="004D2F83">
      <w:pPr>
        <w:pStyle w:val="Date"/>
        <w:spacing w:after="240" w:line="360" w:lineRule="exact"/>
        <w:rPr>
          <w:rFonts w:eastAsia="SimHei" w:hint="eastAsia"/>
          <w:bCs/>
        </w:rPr>
      </w:pPr>
      <w:r>
        <w:rPr>
          <w:rFonts w:eastAsia="SimHei" w:hint="eastAsia"/>
          <w:bCs/>
        </w:rPr>
        <w:t>联邦法律——肯定行动</w:t>
      </w:r>
    </w:p>
    <w:p w:rsidR="00000000" w:rsidRDefault="004D2F83" w:rsidP="004D2F83">
      <w:pPr>
        <w:spacing w:after="240" w:line="360" w:lineRule="exact"/>
        <w:ind w:firstLineChars="200" w:firstLine="31680"/>
        <w:rPr>
          <w:rFonts w:hint="eastAsia"/>
        </w:rPr>
      </w:pPr>
      <w:r>
        <w:rPr>
          <w:rFonts w:hint="eastAsia"/>
        </w:rPr>
        <w:t>打算采取针对妇女的肯定行动的联邦法律有：</w:t>
      </w:r>
    </w:p>
    <w:p w:rsidR="00000000" w:rsidRDefault="004D2F83" w:rsidP="004D2F83">
      <w:pPr>
        <w:spacing w:after="240" w:line="360" w:lineRule="exact"/>
        <w:ind w:leftChars="200" w:left="31680" w:hangingChars="250" w:firstLine="31680"/>
        <w:rPr>
          <w:rFonts w:hint="eastAsia"/>
        </w:rPr>
      </w:pPr>
      <w:r>
        <w:rPr>
          <w:rFonts w:eastAsia="SimHei" w:hint="eastAsia"/>
          <w:bCs/>
        </w:rPr>
        <w:t>1</w:t>
      </w:r>
      <w:r>
        <w:rPr>
          <w:rFonts w:eastAsia="SimHei" w:hint="eastAsia"/>
          <w:bCs/>
        </w:rPr>
        <w:t>）</w:t>
      </w:r>
      <w:r>
        <w:rPr>
          <w:rFonts w:ascii="SimHei" w:eastAsia="SimHei" w:hint="eastAsia"/>
          <w:bCs/>
        </w:rPr>
        <w:tab/>
        <w:t>1985</w:t>
      </w:r>
      <w:r>
        <w:rPr>
          <w:rFonts w:ascii="SimHei" w:eastAsia="SimHei" w:hint="eastAsia"/>
          <w:bCs/>
        </w:rPr>
        <w:t>年</w:t>
      </w:r>
      <w:r>
        <w:rPr>
          <w:rFonts w:ascii="SimHei" w:eastAsia="SimHei" w:hint="eastAsia"/>
          <w:bCs/>
        </w:rPr>
        <w:t>8</w:t>
      </w:r>
      <w:r>
        <w:rPr>
          <w:rFonts w:ascii="SimHei" w:eastAsia="SimHei" w:hint="eastAsia"/>
          <w:bCs/>
        </w:rPr>
        <w:t>月</w:t>
      </w:r>
      <w:r>
        <w:rPr>
          <w:rFonts w:ascii="SimHei" w:eastAsia="SimHei" w:hint="eastAsia"/>
          <w:bCs/>
        </w:rPr>
        <w:t>29</w:t>
      </w:r>
      <w:r>
        <w:rPr>
          <w:rFonts w:ascii="SimHei" w:eastAsia="SimHei" w:hint="eastAsia"/>
          <w:bCs/>
        </w:rPr>
        <w:t>日第</w:t>
      </w:r>
      <w:r>
        <w:rPr>
          <w:rFonts w:ascii="SimHei" w:eastAsia="SimHei"/>
          <w:bCs/>
        </w:rPr>
        <w:t>7353</w:t>
      </w:r>
      <w:r>
        <w:rPr>
          <w:rFonts w:ascii="SimHei" w:eastAsia="SimHei" w:hint="eastAsia"/>
          <w:bCs/>
        </w:rPr>
        <w:t>号法律</w:t>
      </w:r>
      <w:r>
        <w:rPr>
          <w:rFonts w:hint="eastAsia"/>
        </w:rPr>
        <w:t>——建立了全国妇女权利委员会，这是一家具有决策权力的社团机构，旨在在全国一级促进消除对妇女一切形式的歧视和她</w:t>
      </w:r>
      <w:r>
        <w:rPr>
          <w:rFonts w:hint="eastAsia"/>
        </w:rPr>
        <w:t>们除充分参与国家的政治、经济和社会文化活动外还确保其自由和平等权利的公共政策。该委员会及其执行秘书处挂靠司法部人权问题国务秘书处；</w:t>
      </w:r>
    </w:p>
    <w:p w:rsidR="00000000" w:rsidRDefault="004D2F83" w:rsidP="004D2F83">
      <w:pPr>
        <w:spacing w:after="240" w:line="360" w:lineRule="exact"/>
        <w:ind w:leftChars="200" w:left="31680" w:hangingChars="250" w:firstLine="31680"/>
        <w:rPr>
          <w:rFonts w:hint="eastAsia"/>
        </w:rPr>
      </w:pPr>
      <w:r>
        <w:rPr>
          <w:rFonts w:eastAsia="SimHei" w:hint="eastAsia"/>
          <w:bCs/>
        </w:rPr>
        <w:t>2</w:t>
      </w:r>
      <w:r>
        <w:rPr>
          <w:rFonts w:eastAsia="SimHei" w:hint="eastAsia"/>
          <w:bCs/>
        </w:rPr>
        <w:t>）</w:t>
      </w:r>
      <w:r>
        <w:rPr>
          <w:rFonts w:ascii="SimHei" w:eastAsia="SimHei" w:hint="eastAsia"/>
          <w:bCs/>
        </w:rPr>
        <w:tab/>
        <w:t>1985</w:t>
      </w:r>
      <w:r>
        <w:rPr>
          <w:rFonts w:ascii="SimHei" w:eastAsia="SimHei" w:hint="eastAsia"/>
          <w:bCs/>
        </w:rPr>
        <w:t>年</w:t>
      </w:r>
      <w:r>
        <w:rPr>
          <w:rFonts w:ascii="SimHei" w:eastAsia="SimHei" w:hint="eastAsia"/>
          <w:bCs/>
        </w:rPr>
        <w:t>12</w:t>
      </w:r>
      <w:r>
        <w:rPr>
          <w:rFonts w:ascii="SimHei" w:eastAsia="SimHei" w:hint="eastAsia"/>
          <w:bCs/>
        </w:rPr>
        <w:t>月</w:t>
      </w:r>
      <w:r>
        <w:rPr>
          <w:rFonts w:ascii="SimHei" w:eastAsia="SimHei" w:hint="eastAsia"/>
          <w:bCs/>
        </w:rPr>
        <w:t>20</w:t>
      </w:r>
      <w:r>
        <w:rPr>
          <w:rFonts w:ascii="SimHei" w:eastAsia="SimHei" w:hint="eastAsia"/>
          <w:bCs/>
        </w:rPr>
        <w:t>日第</w:t>
      </w:r>
      <w:r>
        <w:rPr>
          <w:rFonts w:ascii="SimHei" w:eastAsia="SimHei"/>
          <w:bCs/>
        </w:rPr>
        <w:t>7437</w:t>
      </w:r>
      <w:r>
        <w:rPr>
          <w:rFonts w:ascii="SimHei" w:eastAsia="SimHei" w:hint="eastAsia"/>
          <w:bCs/>
        </w:rPr>
        <w:t>号法律</w:t>
      </w:r>
      <w:r>
        <w:rPr>
          <w:rFonts w:hint="eastAsia"/>
        </w:rPr>
        <w:t>——除其他刑事罪外，还包括由于种族、肤色、性别或婚姻状况偏见而做出的行为，该法律还为</w:t>
      </w:r>
      <w:r>
        <w:rPr>
          <w:rFonts w:hint="eastAsia"/>
        </w:rPr>
        <w:t>1951</w:t>
      </w:r>
      <w:r>
        <w:rPr>
          <w:rFonts w:hint="eastAsia"/>
        </w:rPr>
        <w:t>年</w:t>
      </w:r>
      <w:r>
        <w:rPr>
          <w:rFonts w:hint="eastAsia"/>
        </w:rPr>
        <w:t>7</w:t>
      </w:r>
      <w:r>
        <w:rPr>
          <w:rFonts w:hint="eastAsia"/>
        </w:rPr>
        <w:t>月</w:t>
      </w:r>
      <w:r>
        <w:rPr>
          <w:rFonts w:hint="eastAsia"/>
        </w:rPr>
        <w:t>3</w:t>
      </w:r>
      <w:r>
        <w:rPr>
          <w:rFonts w:hint="eastAsia"/>
        </w:rPr>
        <w:t>日第</w:t>
      </w:r>
      <w:r>
        <w:t>1389</w:t>
      </w:r>
      <w:r>
        <w:rPr>
          <w:rFonts w:hint="eastAsia"/>
        </w:rPr>
        <w:t>号法律——《阿丰索·阿里诺斯法》赋予了新的内容；</w:t>
      </w:r>
    </w:p>
    <w:p w:rsidR="00000000" w:rsidRDefault="004D2F83" w:rsidP="004D2F83">
      <w:pPr>
        <w:spacing w:after="240" w:line="360" w:lineRule="exact"/>
        <w:ind w:leftChars="200" w:left="31680" w:hangingChars="250" w:firstLine="31680"/>
        <w:rPr>
          <w:rFonts w:hint="eastAsia"/>
        </w:rPr>
      </w:pPr>
      <w:r>
        <w:rPr>
          <w:rFonts w:eastAsia="SimHei" w:hint="eastAsia"/>
          <w:bCs/>
        </w:rPr>
        <w:t>3</w:t>
      </w:r>
      <w:r>
        <w:rPr>
          <w:rFonts w:eastAsia="SimHei" w:hint="eastAsia"/>
          <w:bCs/>
        </w:rPr>
        <w:t>）</w:t>
      </w:r>
      <w:r>
        <w:rPr>
          <w:rFonts w:ascii="SimHei" w:eastAsia="SimHei" w:hint="eastAsia"/>
          <w:bCs/>
        </w:rPr>
        <w:tab/>
        <w:t>1988</w:t>
      </w:r>
      <w:r>
        <w:rPr>
          <w:rFonts w:ascii="SimHei" w:eastAsia="SimHei" w:hint="eastAsia"/>
          <w:bCs/>
        </w:rPr>
        <w:t>年</w:t>
      </w:r>
      <w:r>
        <w:rPr>
          <w:rFonts w:ascii="SimHei" w:eastAsia="SimHei" w:hint="eastAsia"/>
          <w:bCs/>
        </w:rPr>
        <w:t>8</w:t>
      </w:r>
      <w:r>
        <w:rPr>
          <w:rFonts w:ascii="SimHei" w:eastAsia="SimHei" w:hint="eastAsia"/>
          <w:bCs/>
        </w:rPr>
        <w:t>月</w:t>
      </w:r>
      <w:r>
        <w:rPr>
          <w:rFonts w:ascii="SimHei" w:eastAsia="SimHei" w:hint="eastAsia"/>
          <w:bCs/>
        </w:rPr>
        <w:t>22</w:t>
      </w:r>
      <w:r>
        <w:rPr>
          <w:rFonts w:ascii="SimHei" w:eastAsia="SimHei" w:hint="eastAsia"/>
          <w:bCs/>
        </w:rPr>
        <w:t>日第</w:t>
      </w:r>
      <w:r>
        <w:rPr>
          <w:rFonts w:ascii="SimHei" w:eastAsia="SimHei"/>
          <w:bCs/>
        </w:rPr>
        <w:t>7668</w:t>
      </w:r>
      <w:r>
        <w:rPr>
          <w:rFonts w:ascii="SimHei" w:eastAsia="SimHei" w:hint="eastAsia"/>
          <w:bCs/>
        </w:rPr>
        <w:t>号法律</w:t>
      </w:r>
      <w:r>
        <w:rPr>
          <w:rFonts w:hint="eastAsia"/>
        </w:rPr>
        <w:t>——除其他外，授权行政部门成立帕尔马雷斯文化基金会；</w:t>
      </w:r>
    </w:p>
    <w:p w:rsidR="00000000" w:rsidRDefault="004D2F83" w:rsidP="004D2F83">
      <w:pPr>
        <w:spacing w:after="240" w:line="360" w:lineRule="exact"/>
        <w:ind w:leftChars="200" w:left="31680" w:hangingChars="250" w:firstLine="31680"/>
        <w:rPr>
          <w:rFonts w:hint="eastAsia"/>
        </w:rPr>
      </w:pPr>
      <w:r>
        <w:rPr>
          <w:rFonts w:eastAsia="SimHei" w:hint="eastAsia"/>
          <w:bCs/>
        </w:rPr>
        <w:t>4</w:t>
      </w:r>
      <w:r>
        <w:rPr>
          <w:rFonts w:eastAsia="SimHei" w:hint="eastAsia"/>
          <w:bCs/>
        </w:rPr>
        <w:t>）</w:t>
      </w:r>
      <w:r>
        <w:rPr>
          <w:rFonts w:ascii="SimHei" w:eastAsia="SimHei" w:hint="eastAsia"/>
          <w:bCs/>
        </w:rPr>
        <w:tab/>
        <w:t>1989</w:t>
      </w:r>
      <w:r>
        <w:rPr>
          <w:rFonts w:ascii="SimHei" w:eastAsia="SimHei" w:hint="eastAsia"/>
          <w:bCs/>
        </w:rPr>
        <w:t>年</w:t>
      </w:r>
      <w:r>
        <w:rPr>
          <w:rFonts w:ascii="SimHei" w:eastAsia="SimHei" w:hint="eastAsia"/>
          <w:bCs/>
        </w:rPr>
        <w:t>1</w:t>
      </w:r>
      <w:r>
        <w:rPr>
          <w:rFonts w:ascii="SimHei" w:eastAsia="SimHei" w:hint="eastAsia"/>
          <w:bCs/>
        </w:rPr>
        <w:t>月</w:t>
      </w:r>
      <w:r>
        <w:rPr>
          <w:rFonts w:ascii="SimHei" w:eastAsia="SimHei" w:hint="eastAsia"/>
          <w:bCs/>
        </w:rPr>
        <w:t>5</w:t>
      </w:r>
      <w:r>
        <w:rPr>
          <w:rFonts w:ascii="SimHei" w:eastAsia="SimHei" w:hint="eastAsia"/>
          <w:bCs/>
        </w:rPr>
        <w:t>日第</w:t>
      </w:r>
      <w:r>
        <w:rPr>
          <w:rFonts w:ascii="SimHei" w:eastAsia="SimHei"/>
          <w:bCs/>
        </w:rPr>
        <w:t>7716</w:t>
      </w:r>
      <w:r>
        <w:rPr>
          <w:rFonts w:ascii="SimHei" w:eastAsia="SimHei" w:hint="eastAsia"/>
          <w:bCs/>
        </w:rPr>
        <w:t>号法律</w:t>
      </w:r>
      <w:r>
        <w:rPr>
          <w:rFonts w:hint="eastAsia"/>
        </w:rPr>
        <w:t>——界定了种族或肤色偏见导致的犯罪；</w:t>
      </w:r>
    </w:p>
    <w:p w:rsidR="00000000" w:rsidRDefault="004D2F83" w:rsidP="004D2F83">
      <w:pPr>
        <w:spacing w:after="240" w:line="360" w:lineRule="exact"/>
        <w:ind w:leftChars="200" w:left="31680" w:hangingChars="250" w:firstLine="31680"/>
        <w:rPr>
          <w:rFonts w:hint="eastAsia"/>
        </w:rPr>
      </w:pPr>
      <w:r>
        <w:rPr>
          <w:rFonts w:eastAsia="SimHei" w:hint="eastAsia"/>
          <w:bCs/>
        </w:rPr>
        <w:t>5</w:t>
      </w:r>
      <w:r>
        <w:rPr>
          <w:rFonts w:eastAsia="SimHei" w:hint="eastAsia"/>
          <w:bCs/>
        </w:rPr>
        <w:t>）</w:t>
      </w:r>
      <w:r>
        <w:rPr>
          <w:rFonts w:ascii="SimHei" w:eastAsia="SimHei" w:hint="eastAsia"/>
          <w:bCs/>
        </w:rPr>
        <w:tab/>
        <w:t>1990</w:t>
      </w:r>
      <w:r>
        <w:rPr>
          <w:rFonts w:ascii="SimHei" w:eastAsia="SimHei" w:hint="eastAsia"/>
          <w:bCs/>
        </w:rPr>
        <w:t>年</w:t>
      </w:r>
      <w:r>
        <w:rPr>
          <w:rFonts w:ascii="SimHei" w:eastAsia="SimHei" w:hint="eastAsia"/>
          <w:bCs/>
        </w:rPr>
        <w:t>9</w:t>
      </w:r>
      <w:r>
        <w:rPr>
          <w:rFonts w:ascii="SimHei" w:eastAsia="SimHei" w:hint="eastAsia"/>
          <w:bCs/>
        </w:rPr>
        <w:t>月</w:t>
      </w:r>
      <w:r>
        <w:rPr>
          <w:rFonts w:ascii="SimHei" w:eastAsia="SimHei" w:hint="eastAsia"/>
          <w:bCs/>
        </w:rPr>
        <w:t>21</w:t>
      </w:r>
      <w:r>
        <w:rPr>
          <w:rFonts w:ascii="SimHei" w:eastAsia="SimHei" w:hint="eastAsia"/>
          <w:bCs/>
        </w:rPr>
        <w:t>日第</w:t>
      </w:r>
      <w:r>
        <w:rPr>
          <w:rFonts w:ascii="SimHei" w:eastAsia="SimHei"/>
          <w:bCs/>
        </w:rPr>
        <w:t>8081</w:t>
      </w:r>
      <w:r>
        <w:rPr>
          <w:rFonts w:ascii="SimHei" w:eastAsia="SimHei" w:hint="eastAsia"/>
          <w:bCs/>
        </w:rPr>
        <w:t>号法律</w:t>
      </w:r>
      <w:r>
        <w:rPr>
          <w:rFonts w:hint="eastAsia"/>
        </w:rPr>
        <w:t>——界定了歧视性行为或传媒或任何性质的出版物所传递的种族、肤色、宗教信仰、种族或民族血统偏见方面的犯罪和可适用的处罚；</w:t>
      </w:r>
    </w:p>
    <w:p w:rsidR="00000000" w:rsidRDefault="004D2F83" w:rsidP="004D2F83">
      <w:pPr>
        <w:spacing w:after="240" w:line="360" w:lineRule="exact"/>
        <w:ind w:leftChars="200" w:left="31680" w:hangingChars="250" w:firstLine="31680"/>
        <w:rPr>
          <w:rFonts w:hint="eastAsia"/>
        </w:rPr>
      </w:pPr>
      <w:r>
        <w:rPr>
          <w:rFonts w:eastAsia="SimHei" w:hint="eastAsia"/>
          <w:bCs/>
        </w:rPr>
        <w:t>6</w:t>
      </w:r>
      <w:r>
        <w:rPr>
          <w:rFonts w:eastAsia="SimHei" w:hint="eastAsia"/>
          <w:bCs/>
        </w:rPr>
        <w:t>）</w:t>
      </w:r>
      <w:r>
        <w:rPr>
          <w:rFonts w:ascii="SimHei" w:eastAsia="SimHei" w:hint="eastAsia"/>
          <w:bCs/>
        </w:rPr>
        <w:tab/>
        <w:t>1995</w:t>
      </w:r>
      <w:r>
        <w:rPr>
          <w:rFonts w:ascii="SimHei" w:eastAsia="SimHei" w:hint="eastAsia"/>
          <w:bCs/>
        </w:rPr>
        <w:t>年</w:t>
      </w:r>
      <w:r>
        <w:rPr>
          <w:rFonts w:ascii="SimHei" w:eastAsia="SimHei" w:hint="eastAsia"/>
          <w:bCs/>
        </w:rPr>
        <w:t>4</w:t>
      </w:r>
      <w:r>
        <w:rPr>
          <w:rFonts w:ascii="SimHei" w:eastAsia="SimHei" w:hint="eastAsia"/>
          <w:bCs/>
        </w:rPr>
        <w:t>月</w:t>
      </w:r>
      <w:r>
        <w:rPr>
          <w:rFonts w:ascii="SimHei" w:eastAsia="SimHei" w:hint="eastAsia"/>
          <w:bCs/>
        </w:rPr>
        <w:t>13</w:t>
      </w:r>
      <w:r>
        <w:rPr>
          <w:rFonts w:ascii="SimHei" w:eastAsia="SimHei" w:hint="eastAsia"/>
          <w:bCs/>
        </w:rPr>
        <w:t>日第</w:t>
      </w:r>
      <w:r>
        <w:rPr>
          <w:rFonts w:ascii="SimHei" w:eastAsia="SimHei"/>
          <w:bCs/>
        </w:rPr>
        <w:t>9029</w:t>
      </w:r>
      <w:r>
        <w:rPr>
          <w:rFonts w:ascii="SimHei" w:eastAsia="SimHei" w:hint="eastAsia"/>
          <w:bCs/>
        </w:rPr>
        <w:t>号法律</w:t>
      </w:r>
      <w:r>
        <w:rPr>
          <w:rFonts w:hint="eastAsia"/>
        </w:rPr>
        <w:t>——严禁为了录用或永久保持法定劳资关系要求出示怀孕和绝育证明以及其他歧视性做法；</w:t>
      </w:r>
    </w:p>
    <w:p w:rsidR="00000000" w:rsidRDefault="004D2F83" w:rsidP="004D2F83">
      <w:pPr>
        <w:spacing w:after="240" w:line="360" w:lineRule="exact"/>
        <w:ind w:leftChars="200" w:left="31680" w:hangingChars="250" w:firstLine="31680"/>
        <w:rPr>
          <w:rFonts w:hint="eastAsia"/>
        </w:rPr>
      </w:pPr>
      <w:r>
        <w:rPr>
          <w:rFonts w:eastAsia="SimHei" w:hint="eastAsia"/>
          <w:bCs/>
        </w:rPr>
        <w:t>7</w:t>
      </w:r>
      <w:r>
        <w:rPr>
          <w:rFonts w:eastAsia="SimHei" w:hint="eastAsia"/>
          <w:bCs/>
        </w:rPr>
        <w:t>）</w:t>
      </w:r>
      <w:r>
        <w:rPr>
          <w:rFonts w:ascii="SimHei" w:eastAsia="SimHei" w:hint="eastAsia"/>
          <w:bCs/>
        </w:rPr>
        <w:tab/>
        <w:t>1995</w:t>
      </w:r>
      <w:r>
        <w:rPr>
          <w:rFonts w:ascii="SimHei" w:eastAsia="SimHei" w:hint="eastAsia"/>
          <w:bCs/>
        </w:rPr>
        <w:t>年</w:t>
      </w:r>
      <w:r>
        <w:rPr>
          <w:rFonts w:ascii="SimHei" w:eastAsia="SimHei" w:hint="eastAsia"/>
          <w:bCs/>
        </w:rPr>
        <w:t>10</w:t>
      </w:r>
      <w:r>
        <w:rPr>
          <w:rFonts w:ascii="SimHei" w:eastAsia="SimHei" w:hint="eastAsia"/>
          <w:bCs/>
        </w:rPr>
        <w:t>月</w:t>
      </w:r>
      <w:r>
        <w:rPr>
          <w:rFonts w:ascii="SimHei" w:eastAsia="SimHei" w:hint="eastAsia"/>
          <w:bCs/>
        </w:rPr>
        <w:t>2</w:t>
      </w:r>
      <w:r>
        <w:rPr>
          <w:rFonts w:ascii="SimHei" w:eastAsia="SimHei" w:hint="eastAsia"/>
          <w:bCs/>
        </w:rPr>
        <w:t>日第</w:t>
      </w:r>
      <w:r>
        <w:rPr>
          <w:rFonts w:ascii="SimHei" w:eastAsia="SimHei"/>
          <w:bCs/>
        </w:rPr>
        <w:t>9100</w:t>
      </w:r>
      <w:r>
        <w:rPr>
          <w:rFonts w:ascii="SimHei" w:eastAsia="SimHei" w:hint="eastAsia"/>
          <w:bCs/>
        </w:rPr>
        <w:t>号法律</w:t>
      </w:r>
      <w:r>
        <w:rPr>
          <w:rFonts w:hint="eastAsia"/>
        </w:rPr>
        <w:t>——除其他外，界定了</w:t>
      </w:r>
      <w:r>
        <w:rPr>
          <w:rFonts w:hint="eastAsia"/>
        </w:rPr>
        <w:t>1996</w:t>
      </w:r>
      <w:r>
        <w:rPr>
          <w:rFonts w:hint="eastAsia"/>
        </w:rPr>
        <w:t>年</w:t>
      </w:r>
      <w:r>
        <w:rPr>
          <w:rFonts w:hint="eastAsia"/>
        </w:rPr>
        <w:t>10</w:t>
      </w:r>
      <w:r>
        <w:rPr>
          <w:rFonts w:hint="eastAsia"/>
        </w:rPr>
        <w:t>月</w:t>
      </w:r>
      <w:r>
        <w:rPr>
          <w:rFonts w:hint="eastAsia"/>
        </w:rPr>
        <w:t>3</w:t>
      </w:r>
      <w:r>
        <w:rPr>
          <w:rFonts w:hint="eastAsia"/>
        </w:rPr>
        <w:t>日市政选举规则。第</w:t>
      </w:r>
      <w:r>
        <w:rPr>
          <w:rFonts w:hint="eastAsia"/>
        </w:rPr>
        <w:t>11</w:t>
      </w:r>
      <w:r>
        <w:rPr>
          <w:rFonts w:hint="eastAsia"/>
        </w:rPr>
        <w:t>条第</w:t>
      </w:r>
      <w:r>
        <w:rPr>
          <w:rFonts w:hint="eastAsia"/>
        </w:rPr>
        <w:t>3</w:t>
      </w:r>
      <w:r>
        <w:rPr>
          <w:rFonts w:hint="eastAsia"/>
        </w:rPr>
        <w:t>节规定，每个政党或联盟应为女候选人保留至少</w:t>
      </w:r>
      <w:r>
        <w:t>20%</w:t>
      </w:r>
      <w:r>
        <w:rPr>
          <w:rFonts w:hint="eastAsia"/>
        </w:rPr>
        <w:t>的职位；</w:t>
      </w:r>
    </w:p>
    <w:p w:rsidR="00000000" w:rsidRDefault="004D2F83" w:rsidP="004D2F83">
      <w:pPr>
        <w:spacing w:after="240" w:line="360" w:lineRule="exact"/>
        <w:ind w:leftChars="200" w:left="31680" w:hangingChars="250" w:firstLine="31680"/>
        <w:rPr>
          <w:rFonts w:hint="eastAsia"/>
        </w:rPr>
      </w:pPr>
      <w:r>
        <w:rPr>
          <w:rFonts w:eastAsia="SimHei" w:hint="eastAsia"/>
          <w:bCs/>
        </w:rPr>
        <w:t>8</w:t>
      </w:r>
      <w:r>
        <w:rPr>
          <w:rFonts w:eastAsia="SimHei" w:hint="eastAsia"/>
          <w:bCs/>
        </w:rPr>
        <w:t>）</w:t>
      </w:r>
      <w:r>
        <w:rPr>
          <w:rFonts w:ascii="SimHei" w:eastAsia="SimHei" w:hint="eastAsia"/>
          <w:bCs/>
        </w:rPr>
        <w:tab/>
        <w:t>1997</w:t>
      </w:r>
      <w:r>
        <w:rPr>
          <w:rFonts w:ascii="SimHei" w:eastAsia="SimHei" w:hint="eastAsia"/>
          <w:bCs/>
        </w:rPr>
        <w:t>年</w:t>
      </w:r>
      <w:r>
        <w:rPr>
          <w:rFonts w:ascii="SimHei" w:eastAsia="SimHei" w:hint="eastAsia"/>
          <w:bCs/>
        </w:rPr>
        <w:t>9</w:t>
      </w:r>
      <w:r>
        <w:rPr>
          <w:rFonts w:ascii="SimHei" w:eastAsia="SimHei" w:hint="eastAsia"/>
          <w:bCs/>
        </w:rPr>
        <w:t>月</w:t>
      </w:r>
      <w:r>
        <w:rPr>
          <w:rFonts w:ascii="SimHei" w:eastAsia="SimHei" w:hint="eastAsia"/>
          <w:bCs/>
        </w:rPr>
        <w:t>30</w:t>
      </w:r>
      <w:r>
        <w:rPr>
          <w:rFonts w:ascii="SimHei" w:eastAsia="SimHei" w:hint="eastAsia"/>
          <w:bCs/>
        </w:rPr>
        <w:t>日第</w:t>
      </w:r>
      <w:r>
        <w:rPr>
          <w:rFonts w:ascii="SimHei" w:eastAsia="SimHei"/>
          <w:bCs/>
        </w:rPr>
        <w:t>9504</w:t>
      </w:r>
      <w:r>
        <w:rPr>
          <w:rFonts w:ascii="SimHei" w:eastAsia="SimHei" w:hint="eastAsia"/>
          <w:bCs/>
        </w:rPr>
        <w:t>号法律</w:t>
      </w:r>
      <w:r>
        <w:rPr>
          <w:rFonts w:hint="eastAsia"/>
        </w:rPr>
        <w:t>——界定了选举规则</w:t>
      </w:r>
      <w:r>
        <w:rPr>
          <w:rFonts w:hint="eastAsia"/>
        </w:rPr>
        <w:t>。其总规决定：</w:t>
      </w:r>
    </w:p>
    <w:p w:rsidR="00000000" w:rsidRDefault="004D2F83">
      <w:pPr>
        <w:pStyle w:val="Date"/>
        <w:spacing w:after="240" w:line="360" w:lineRule="exact"/>
        <w:rPr>
          <w:rFonts w:ascii="SimHei" w:eastAsia="SimHei" w:hint="eastAsia"/>
          <w:bCs/>
          <w:sz w:val="24"/>
        </w:rPr>
      </w:pPr>
      <w:r>
        <w:rPr>
          <w:rFonts w:ascii="SimHei" w:eastAsia="SimHei" w:hint="eastAsia"/>
          <w:bCs/>
          <w:sz w:val="24"/>
        </w:rPr>
        <w:t>通则——候选人的登记</w:t>
      </w:r>
    </w:p>
    <w:p w:rsidR="00000000" w:rsidRDefault="004D2F83" w:rsidP="004D2F83">
      <w:pPr>
        <w:spacing w:after="240" w:line="360" w:lineRule="exact"/>
        <w:ind w:firstLineChars="200" w:firstLine="31680"/>
        <w:rPr>
          <w:rFonts w:eastAsia="KaiTi_GB2312" w:hint="eastAsia"/>
        </w:rPr>
      </w:pPr>
      <w:r>
        <w:rPr>
          <w:rFonts w:eastAsia="KaiTi_GB2312" w:hint="eastAsia"/>
        </w:rPr>
        <w:t>第</w:t>
      </w:r>
      <w:r>
        <w:rPr>
          <w:rFonts w:eastAsia="KaiTi_GB2312" w:hint="eastAsia"/>
        </w:rPr>
        <w:t>10</w:t>
      </w:r>
      <w:r>
        <w:rPr>
          <w:rFonts w:eastAsia="KaiTi_GB2312" w:hint="eastAsia"/>
        </w:rPr>
        <w:t>条第</w:t>
      </w:r>
      <w:r>
        <w:rPr>
          <w:rFonts w:eastAsia="KaiTi_GB2312" w:hint="eastAsia"/>
        </w:rPr>
        <w:t>3</w:t>
      </w:r>
      <w:r>
        <w:rPr>
          <w:rFonts w:eastAsia="KaiTi_GB2312" w:hint="eastAsia"/>
        </w:rPr>
        <w:t>节—根据本条中规定的规则，各政党或联盟应为男女候选人最少各保留总席位的百分之三十，最多保留百分之七十。</w:t>
      </w:r>
    </w:p>
    <w:p w:rsidR="00000000" w:rsidRDefault="004D2F83" w:rsidP="004D2F83">
      <w:pPr>
        <w:spacing w:after="240" w:line="360" w:lineRule="exact"/>
        <w:ind w:firstLineChars="200" w:firstLine="31680"/>
        <w:rPr>
          <w:rFonts w:eastAsia="KaiTi_GB2312" w:hint="eastAsia"/>
        </w:rPr>
      </w:pPr>
      <w:r>
        <w:rPr>
          <w:rFonts w:eastAsia="KaiTi_GB2312" w:hint="eastAsia"/>
        </w:rPr>
        <w:t>第</w:t>
      </w:r>
      <w:r>
        <w:rPr>
          <w:rFonts w:eastAsia="KaiTi_GB2312" w:hint="eastAsia"/>
        </w:rPr>
        <w:t>16</w:t>
      </w:r>
      <w:r>
        <w:rPr>
          <w:rFonts w:eastAsia="KaiTi_GB2312" w:hint="eastAsia"/>
        </w:rPr>
        <w:t>条—在选举日前的四十五天内，为汇总和传播数据之目的，区域选举法院应向最高选举法院送交多数选举或比例选举的候选人名单，该名单必须提到候选人的性别及其所竞选的席位。</w:t>
      </w:r>
    </w:p>
    <w:p w:rsidR="00000000" w:rsidRDefault="004D2F83" w:rsidP="004D2F83">
      <w:pPr>
        <w:spacing w:after="240" w:line="360" w:lineRule="exact"/>
        <w:ind w:firstLineChars="200" w:firstLine="31680"/>
        <w:rPr>
          <w:rFonts w:eastAsia="KaiTi_GB2312" w:hint="eastAsia"/>
        </w:rPr>
      </w:pPr>
      <w:r>
        <w:rPr>
          <w:rFonts w:eastAsia="KaiTi_GB2312" w:hint="eastAsia"/>
        </w:rPr>
        <w:t>临时规定：第</w:t>
      </w:r>
      <w:r>
        <w:rPr>
          <w:rFonts w:eastAsia="KaiTi_GB2312" w:hint="eastAsia"/>
        </w:rPr>
        <w:t>80</w:t>
      </w:r>
      <w:r>
        <w:rPr>
          <w:rFonts w:eastAsia="KaiTi_GB2312" w:hint="eastAsia"/>
        </w:rPr>
        <w:t>条。在</w:t>
      </w:r>
      <w:r>
        <w:rPr>
          <w:rFonts w:eastAsia="KaiTi_GB2312" w:hint="eastAsia"/>
        </w:rPr>
        <w:t>1998</w:t>
      </w:r>
      <w:r>
        <w:rPr>
          <w:rFonts w:eastAsia="KaiTi_GB2312" w:hint="eastAsia"/>
        </w:rPr>
        <w:t>年举行的选举中，可能的话，各政党或联盟应为男女候选人最少保留总席位的百分之二十五，最多保留百分之七十五。</w:t>
      </w:r>
    </w:p>
    <w:p w:rsidR="00000000" w:rsidRDefault="004D2F83" w:rsidP="004D2F83">
      <w:pPr>
        <w:spacing w:after="240" w:line="360" w:lineRule="exact"/>
        <w:ind w:leftChars="200" w:left="31680" w:hangingChars="250" w:firstLine="31680"/>
        <w:rPr>
          <w:rFonts w:hint="eastAsia"/>
        </w:rPr>
      </w:pPr>
      <w:r>
        <w:rPr>
          <w:rFonts w:eastAsia="SimHei" w:hint="eastAsia"/>
          <w:bCs/>
        </w:rPr>
        <w:t>9</w:t>
      </w:r>
      <w:r>
        <w:rPr>
          <w:rFonts w:eastAsia="SimHei" w:hint="eastAsia"/>
          <w:bCs/>
        </w:rPr>
        <w:t>）</w:t>
      </w:r>
      <w:r>
        <w:rPr>
          <w:rFonts w:ascii="SimHei" w:eastAsia="SimHei" w:hint="eastAsia"/>
          <w:bCs/>
        </w:rPr>
        <w:tab/>
        <w:t>1999</w:t>
      </w:r>
      <w:r>
        <w:rPr>
          <w:rFonts w:ascii="SimHei" w:eastAsia="SimHei" w:hint="eastAsia"/>
          <w:bCs/>
        </w:rPr>
        <w:t>年</w:t>
      </w:r>
      <w:r>
        <w:rPr>
          <w:rFonts w:ascii="SimHei" w:eastAsia="SimHei" w:hint="eastAsia"/>
          <w:bCs/>
        </w:rPr>
        <w:t>5</w:t>
      </w:r>
      <w:r>
        <w:rPr>
          <w:rFonts w:ascii="SimHei" w:eastAsia="SimHei" w:hint="eastAsia"/>
          <w:bCs/>
        </w:rPr>
        <w:t>月</w:t>
      </w:r>
      <w:r>
        <w:rPr>
          <w:rFonts w:ascii="SimHei" w:eastAsia="SimHei" w:hint="eastAsia"/>
          <w:bCs/>
        </w:rPr>
        <w:t>26</w:t>
      </w:r>
      <w:r>
        <w:rPr>
          <w:rFonts w:ascii="SimHei" w:eastAsia="SimHei" w:hint="eastAsia"/>
          <w:bCs/>
        </w:rPr>
        <w:t>日第</w:t>
      </w:r>
      <w:r>
        <w:rPr>
          <w:rFonts w:ascii="SimHei" w:eastAsia="SimHei"/>
          <w:bCs/>
        </w:rPr>
        <w:t>9799</w:t>
      </w:r>
      <w:r>
        <w:rPr>
          <w:rFonts w:ascii="SimHei" w:eastAsia="SimHei" w:hint="eastAsia"/>
          <w:bCs/>
        </w:rPr>
        <w:t>号法律</w:t>
      </w:r>
      <w:r>
        <w:rPr>
          <w:rFonts w:hint="eastAsia"/>
        </w:rPr>
        <w:t>——除其他外</w:t>
      </w:r>
      <w:r>
        <w:rPr>
          <w:rFonts w:hint="eastAsia"/>
        </w:rPr>
        <w:t>，在《劳动法典》中列入妇女进入劳动力市场的规则；</w:t>
      </w:r>
    </w:p>
    <w:p w:rsidR="00000000" w:rsidRDefault="004D2F83" w:rsidP="004D2F83">
      <w:pPr>
        <w:spacing w:after="240" w:line="360" w:lineRule="exact"/>
        <w:ind w:leftChars="200" w:left="31680" w:hangingChars="250" w:firstLine="31680"/>
        <w:rPr>
          <w:rFonts w:hint="eastAsia"/>
        </w:rPr>
      </w:pPr>
      <w:r>
        <w:rPr>
          <w:rFonts w:eastAsia="SimHei" w:hint="eastAsia"/>
          <w:bCs/>
        </w:rPr>
        <w:t>10</w:t>
      </w:r>
      <w:r>
        <w:rPr>
          <w:rFonts w:eastAsia="SimHei" w:hint="eastAsia"/>
          <w:bCs/>
        </w:rPr>
        <w:t>）</w:t>
      </w:r>
      <w:r>
        <w:rPr>
          <w:rFonts w:ascii="SimHei" w:eastAsia="SimHei" w:hint="eastAsia"/>
          <w:bCs/>
        </w:rPr>
        <w:tab/>
        <w:t>2000</w:t>
      </w:r>
      <w:r>
        <w:rPr>
          <w:rFonts w:ascii="SimHei" w:eastAsia="SimHei" w:hint="eastAsia"/>
          <w:bCs/>
        </w:rPr>
        <w:t>年</w:t>
      </w:r>
      <w:r>
        <w:rPr>
          <w:rFonts w:ascii="SimHei" w:eastAsia="SimHei" w:hint="eastAsia"/>
          <w:bCs/>
        </w:rPr>
        <w:t>11</w:t>
      </w:r>
      <w:r>
        <w:rPr>
          <w:rFonts w:ascii="SimHei" w:eastAsia="SimHei" w:hint="eastAsia"/>
          <w:bCs/>
        </w:rPr>
        <w:t>月</w:t>
      </w:r>
      <w:r>
        <w:rPr>
          <w:rFonts w:ascii="SimHei" w:eastAsia="SimHei" w:hint="eastAsia"/>
          <w:bCs/>
        </w:rPr>
        <w:t>8</w:t>
      </w:r>
      <w:r>
        <w:rPr>
          <w:rFonts w:ascii="SimHei" w:eastAsia="SimHei" w:hint="eastAsia"/>
          <w:bCs/>
        </w:rPr>
        <w:t>日第</w:t>
      </w:r>
      <w:r>
        <w:rPr>
          <w:rFonts w:ascii="SimHei" w:eastAsia="SimHei"/>
          <w:bCs/>
        </w:rPr>
        <w:t>10 048</w:t>
      </w:r>
      <w:r>
        <w:rPr>
          <w:rFonts w:ascii="SimHei" w:eastAsia="SimHei" w:hint="eastAsia"/>
          <w:bCs/>
        </w:rPr>
        <w:t>号法律</w:t>
      </w:r>
      <w:r>
        <w:rPr>
          <w:rFonts w:hint="eastAsia"/>
        </w:rPr>
        <w:t>——除其他外，界定援助具体群体的优先次序（规范新的《联邦宪法》第</w:t>
      </w:r>
      <w:r>
        <w:rPr>
          <w:rFonts w:hint="eastAsia"/>
        </w:rPr>
        <w:t>227</w:t>
      </w:r>
      <w:r>
        <w:rPr>
          <w:rFonts w:hint="eastAsia"/>
        </w:rPr>
        <w:t>和第</w:t>
      </w:r>
      <w:r>
        <w:rPr>
          <w:rFonts w:hint="eastAsia"/>
        </w:rPr>
        <w:t>230</w:t>
      </w:r>
      <w:r>
        <w:rPr>
          <w:rFonts w:hint="eastAsia"/>
        </w:rPr>
        <w:t>条），确保残疾人、老年人、孕妇、哺乳妇女和怀抱幼儿的人在政府办公室和公共服务机构的特许经销店、公共场所和建筑物以及在公共浴池和交通工具上享有特殊待遇，确定对犯罪者的处罚；</w:t>
      </w:r>
    </w:p>
    <w:p w:rsidR="00000000" w:rsidRDefault="004D2F83" w:rsidP="004D2F83">
      <w:pPr>
        <w:spacing w:after="240" w:line="360" w:lineRule="exact"/>
        <w:ind w:leftChars="200" w:left="31680" w:hangingChars="250" w:firstLine="31680"/>
        <w:rPr>
          <w:rFonts w:hint="eastAsia"/>
        </w:rPr>
      </w:pPr>
      <w:r>
        <w:rPr>
          <w:rFonts w:eastAsia="SimHei" w:hint="eastAsia"/>
          <w:bCs/>
        </w:rPr>
        <w:t>11</w:t>
      </w:r>
      <w:r>
        <w:rPr>
          <w:rFonts w:eastAsia="SimHei" w:hint="eastAsia"/>
          <w:bCs/>
        </w:rPr>
        <w:t>）</w:t>
      </w:r>
      <w:r>
        <w:rPr>
          <w:rFonts w:ascii="SimHei" w:eastAsia="SimHei" w:hint="eastAsia"/>
          <w:bCs/>
        </w:rPr>
        <w:tab/>
        <w:t>2001</w:t>
      </w:r>
      <w:r>
        <w:rPr>
          <w:rFonts w:ascii="SimHei" w:eastAsia="SimHei" w:hint="eastAsia"/>
          <w:bCs/>
        </w:rPr>
        <w:t>年</w:t>
      </w:r>
      <w:r>
        <w:rPr>
          <w:rFonts w:ascii="SimHei" w:eastAsia="SimHei" w:hint="eastAsia"/>
          <w:bCs/>
        </w:rPr>
        <w:t>6</w:t>
      </w:r>
      <w:r>
        <w:rPr>
          <w:rFonts w:ascii="SimHei" w:eastAsia="SimHei" w:hint="eastAsia"/>
          <w:bCs/>
        </w:rPr>
        <w:t>月</w:t>
      </w:r>
      <w:r>
        <w:rPr>
          <w:rFonts w:ascii="SimHei" w:eastAsia="SimHei" w:hint="eastAsia"/>
          <w:bCs/>
        </w:rPr>
        <w:t>28</w:t>
      </w:r>
      <w:r>
        <w:rPr>
          <w:rFonts w:ascii="SimHei" w:eastAsia="SimHei" w:hint="eastAsia"/>
          <w:bCs/>
        </w:rPr>
        <w:t>日第</w:t>
      </w:r>
      <w:r>
        <w:rPr>
          <w:rFonts w:ascii="SimHei" w:eastAsia="SimHei"/>
          <w:bCs/>
        </w:rPr>
        <w:t>10 244</w:t>
      </w:r>
      <w:r>
        <w:rPr>
          <w:rFonts w:ascii="SimHei" w:eastAsia="SimHei" w:hint="eastAsia"/>
          <w:bCs/>
        </w:rPr>
        <w:t>号法律</w:t>
      </w:r>
      <w:r>
        <w:rPr>
          <w:rFonts w:hint="eastAsia"/>
        </w:rPr>
        <w:t>——废止《劳动法典》第</w:t>
      </w:r>
      <w:r>
        <w:rPr>
          <w:rFonts w:hint="eastAsia"/>
        </w:rPr>
        <w:t>376</w:t>
      </w:r>
      <w:r>
        <w:rPr>
          <w:rFonts w:hint="eastAsia"/>
        </w:rPr>
        <w:t>条，根据该条，妇女享有加班权。</w:t>
      </w:r>
    </w:p>
    <w:p w:rsidR="00000000" w:rsidRDefault="004D2F83">
      <w:pPr>
        <w:pStyle w:val="Date"/>
        <w:spacing w:after="240" w:line="360" w:lineRule="exact"/>
        <w:rPr>
          <w:rFonts w:ascii="SimHei" w:eastAsia="SimHei" w:hint="eastAsia"/>
          <w:bCs/>
          <w:sz w:val="24"/>
        </w:rPr>
      </w:pPr>
      <w:r>
        <w:rPr>
          <w:rFonts w:ascii="SimHei" w:eastAsia="SimHei" w:hint="eastAsia"/>
          <w:bCs/>
          <w:sz w:val="24"/>
        </w:rPr>
        <w:t>联邦法律——保护母性</w:t>
      </w:r>
    </w:p>
    <w:p w:rsidR="00000000" w:rsidRDefault="004D2F83">
      <w:pPr>
        <w:spacing w:after="240" w:line="360" w:lineRule="exact"/>
        <w:ind w:firstLine="359"/>
        <w:rPr>
          <w:rFonts w:hint="eastAsia"/>
        </w:rPr>
      </w:pPr>
      <w:r>
        <w:rPr>
          <w:rFonts w:hint="eastAsia"/>
        </w:rPr>
        <w:t>还应该特别提到以下明确规定保护母</w:t>
      </w:r>
      <w:r>
        <w:rPr>
          <w:rFonts w:hint="eastAsia"/>
        </w:rPr>
        <w:t>性的联邦法律：</w:t>
      </w:r>
    </w:p>
    <w:p w:rsidR="00000000" w:rsidRDefault="004D2F83" w:rsidP="004D2F83">
      <w:pPr>
        <w:spacing w:after="240" w:line="360" w:lineRule="exact"/>
        <w:ind w:leftChars="200" w:left="31680" w:hangingChars="250" w:firstLine="31680"/>
        <w:rPr>
          <w:rFonts w:hint="eastAsia"/>
        </w:rPr>
      </w:pPr>
      <w:r>
        <w:rPr>
          <w:rFonts w:eastAsia="SimHei" w:hint="eastAsia"/>
          <w:bCs/>
        </w:rPr>
        <w:t>1</w:t>
      </w:r>
      <w:r>
        <w:rPr>
          <w:rFonts w:eastAsia="SimHei" w:hint="eastAsia"/>
          <w:bCs/>
        </w:rPr>
        <w:t>）</w:t>
      </w:r>
      <w:r>
        <w:rPr>
          <w:rFonts w:eastAsia="SimHei" w:hint="eastAsia"/>
          <w:bCs/>
        </w:rPr>
        <w:tab/>
      </w:r>
      <w:r>
        <w:rPr>
          <w:rFonts w:ascii="SimHei" w:eastAsia="SimHei" w:hint="eastAsia"/>
          <w:bCs/>
        </w:rPr>
        <w:t>《劳动法典》——第</w:t>
      </w:r>
      <w:r>
        <w:rPr>
          <w:rFonts w:ascii="SimHei" w:eastAsia="SimHei"/>
          <w:bCs/>
        </w:rPr>
        <w:t>5452/43</w:t>
      </w:r>
      <w:r>
        <w:rPr>
          <w:rFonts w:ascii="SimHei" w:eastAsia="SimHei" w:hint="eastAsia"/>
          <w:bCs/>
        </w:rPr>
        <w:t>号行政法</w:t>
      </w:r>
      <w:r>
        <w:rPr>
          <w:rFonts w:hint="eastAsia"/>
          <w:b/>
        </w:rPr>
        <w:t>—</w:t>
      </w:r>
      <w:r>
        <w:rPr>
          <w:rFonts w:hint="eastAsia"/>
        </w:rPr>
        <w:t>在关于女工保护问题的第三章中，在第五条中较为具体地规定了旨在保护母性的某些条款（第</w:t>
      </w:r>
      <w:r>
        <w:rPr>
          <w:rFonts w:hint="eastAsia"/>
        </w:rPr>
        <w:t>391</w:t>
      </w:r>
      <w:r>
        <w:rPr>
          <w:rFonts w:hint="eastAsia"/>
        </w:rPr>
        <w:t>和第</w:t>
      </w:r>
      <w:r>
        <w:rPr>
          <w:rFonts w:hint="eastAsia"/>
        </w:rPr>
        <w:t>400</w:t>
      </w:r>
      <w:r>
        <w:rPr>
          <w:rFonts w:hint="eastAsia"/>
        </w:rPr>
        <w:t>条）；</w:t>
      </w:r>
    </w:p>
    <w:p w:rsidR="00000000" w:rsidRDefault="004D2F83" w:rsidP="004D2F83">
      <w:pPr>
        <w:spacing w:after="240" w:line="360" w:lineRule="exact"/>
        <w:ind w:leftChars="200" w:left="31680" w:hangingChars="250" w:firstLine="31680"/>
        <w:rPr>
          <w:rFonts w:hint="eastAsia"/>
        </w:rPr>
      </w:pPr>
      <w:r>
        <w:rPr>
          <w:rFonts w:eastAsia="SimHei" w:hint="eastAsia"/>
          <w:bCs/>
        </w:rPr>
        <w:t>2</w:t>
      </w:r>
      <w:r>
        <w:rPr>
          <w:rFonts w:eastAsia="SimHei" w:hint="eastAsia"/>
          <w:bCs/>
        </w:rPr>
        <w:t>）</w:t>
      </w:r>
      <w:r>
        <w:rPr>
          <w:rFonts w:ascii="SimHei" w:eastAsia="SimHei" w:hint="eastAsia"/>
          <w:bCs/>
        </w:rPr>
        <w:tab/>
        <w:t>1987</w:t>
      </w:r>
      <w:r>
        <w:rPr>
          <w:rFonts w:ascii="SimHei" w:eastAsia="SimHei" w:hint="eastAsia"/>
          <w:bCs/>
        </w:rPr>
        <w:t>年</w:t>
      </w:r>
      <w:r>
        <w:rPr>
          <w:rFonts w:ascii="SimHei" w:eastAsia="SimHei" w:hint="eastAsia"/>
          <w:bCs/>
        </w:rPr>
        <w:t>12</w:t>
      </w:r>
      <w:r>
        <w:rPr>
          <w:rFonts w:ascii="SimHei" w:eastAsia="SimHei" w:hint="eastAsia"/>
          <w:bCs/>
        </w:rPr>
        <w:t>月</w:t>
      </w:r>
      <w:r>
        <w:rPr>
          <w:rFonts w:ascii="SimHei" w:eastAsia="SimHei" w:hint="eastAsia"/>
          <w:bCs/>
        </w:rPr>
        <w:t>18</w:t>
      </w:r>
      <w:r>
        <w:rPr>
          <w:rFonts w:ascii="SimHei" w:eastAsia="SimHei" w:hint="eastAsia"/>
          <w:bCs/>
        </w:rPr>
        <w:t>日第</w:t>
      </w:r>
      <w:r>
        <w:rPr>
          <w:rFonts w:ascii="SimHei" w:eastAsia="SimHei"/>
          <w:bCs/>
        </w:rPr>
        <w:t>7644</w:t>
      </w:r>
      <w:r>
        <w:rPr>
          <w:rFonts w:ascii="SimHei" w:eastAsia="SimHei" w:hint="eastAsia"/>
          <w:bCs/>
        </w:rPr>
        <w:t>号法律</w:t>
      </w:r>
      <w:r>
        <w:rPr>
          <w:rFonts w:hint="eastAsia"/>
        </w:rPr>
        <w:t>——除其他外，管制“社会母亲”的活动；</w:t>
      </w:r>
    </w:p>
    <w:p w:rsidR="00000000" w:rsidRDefault="004D2F83" w:rsidP="004D2F83">
      <w:pPr>
        <w:spacing w:after="240" w:line="360" w:lineRule="exact"/>
        <w:ind w:leftChars="200" w:left="31680" w:hangingChars="250" w:firstLine="31680"/>
        <w:rPr>
          <w:rFonts w:hint="eastAsia"/>
        </w:rPr>
      </w:pPr>
      <w:r>
        <w:rPr>
          <w:rFonts w:eastAsia="SimHei" w:hint="eastAsia"/>
          <w:bCs/>
        </w:rPr>
        <w:t>3</w:t>
      </w:r>
      <w:r>
        <w:rPr>
          <w:rFonts w:eastAsia="SimHei" w:hint="eastAsia"/>
          <w:bCs/>
        </w:rPr>
        <w:t>）</w:t>
      </w:r>
      <w:r>
        <w:rPr>
          <w:rFonts w:ascii="SimHei" w:eastAsia="SimHei" w:hint="eastAsia"/>
          <w:bCs/>
        </w:rPr>
        <w:tab/>
        <w:t>1991</w:t>
      </w:r>
      <w:r>
        <w:rPr>
          <w:rFonts w:ascii="SimHei" w:eastAsia="SimHei" w:hint="eastAsia"/>
          <w:bCs/>
        </w:rPr>
        <w:t>年</w:t>
      </w:r>
      <w:r>
        <w:rPr>
          <w:rFonts w:ascii="SimHei" w:eastAsia="SimHei" w:hint="eastAsia"/>
          <w:bCs/>
        </w:rPr>
        <w:t>7</w:t>
      </w:r>
      <w:r>
        <w:rPr>
          <w:rFonts w:ascii="SimHei" w:eastAsia="SimHei" w:hint="eastAsia"/>
          <w:bCs/>
        </w:rPr>
        <w:t>月</w:t>
      </w:r>
      <w:r>
        <w:rPr>
          <w:rFonts w:ascii="SimHei" w:eastAsia="SimHei" w:hint="eastAsia"/>
          <w:bCs/>
        </w:rPr>
        <w:t>24</w:t>
      </w:r>
      <w:r>
        <w:rPr>
          <w:rFonts w:ascii="SimHei" w:eastAsia="SimHei" w:hint="eastAsia"/>
          <w:bCs/>
        </w:rPr>
        <w:t>日第</w:t>
      </w:r>
      <w:r>
        <w:rPr>
          <w:rFonts w:ascii="SimHei" w:eastAsia="SimHei"/>
          <w:bCs/>
        </w:rPr>
        <w:t>8212</w:t>
      </w:r>
      <w:r>
        <w:rPr>
          <w:rFonts w:ascii="SimHei" w:eastAsia="SimHei" w:hint="eastAsia"/>
          <w:bCs/>
        </w:rPr>
        <w:t>号法律</w:t>
      </w:r>
      <w:r>
        <w:rPr>
          <w:rFonts w:hint="eastAsia"/>
        </w:rPr>
        <w:t>——除其他外，规定建立社会保障机制并制定成本计算计划。除其他外，该法律还确保社会保障的女性受益人有权领取产假工资；</w:t>
      </w:r>
    </w:p>
    <w:p w:rsidR="00000000" w:rsidRDefault="004D2F83" w:rsidP="004D2F83">
      <w:pPr>
        <w:spacing w:after="240" w:line="360" w:lineRule="exact"/>
        <w:ind w:leftChars="200" w:left="31680" w:hangingChars="250" w:firstLine="31680"/>
        <w:rPr>
          <w:rFonts w:hint="eastAsia"/>
        </w:rPr>
      </w:pPr>
      <w:r>
        <w:rPr>
          <w:rFonts w:eastAsia="SimHei" w:hint="eastAsia"/>
          <w:bCs/>
        </w:rPr>
        <w:t>4</w:t>
      </w:r>
      <w:r>
        <w:rPr>
          <w:rFonts w:eastAsia="SimHei" w:hint="eastAsia"/>
          <w:bCs/>
        </w:rPr>
        <w:t>）</w:t>
      </w:r>
      <w:r>
        <w:rPr>
          <w:rFonts w:ascii="SimHei" w:eastAsia="SimHei" w:hint="eastAsia"/>
          <w:bCs/>
        </w:rPr>
        <w:tab/>
        <w:t>1994</w:t>
      </w:r>
      <w:r>
        <w:rPr>
          <w:rFonts w:ascii="SimHei" w:eastAsia="SimHei" w:hint="eastAsia"/>
          <w:bCs/>
        </w:rPr>
        <w:t>年</w:t>
      </w:r>
      <w:r>
        <w:rPr>
          <w:rFonts w:ascii="SimHei" w:eastAsia="SimHei" w:hint="eastAsia"/>
          <w:bCs/>
        </w:rPr>
        <w:t>3</w:t>
      </w:r>
      <w:r>
        <w:rPr>
          <w:rFonts w:ascii="SimHei" w:eastAsia="SimHei" w:hint="eastAsia"/>
          <w:bCs/>
        </w:rPr>
        <w:t>月</w:t>
      </w:r>
      <w:r>
        <w:rPr>
          <w:rFonts w:ascii="SimHei" w:eastAsia="SimHei" w:hint="eastAsia"/>
          <w:bCs/>
        </w:rPr>
        <w:t>25</w:t>
      </w:r>
      <w:r>
        <w:rPr>
          <w:rFonts w:ascii="SimHei" w:eastAsia="SimHei" w:hint="eastAsia"/>
          <w:bCs/>
        </w:rPr>
        <w:t>日第</w:t>
      </w:r>
      <w:r>
        <w:rPr>
          <w:rFonts w:ascii="SimHei" w:eastAsia="SimHei"/>
          <w:bCs/>
        </w:rPr>
        <w:t>8861</w:t>
      </w:r>
      <w:r>
        <w:rPr>
          <w:rFonts w:ascii="SimHei" w:eastAsia="SimHei" w:hint="eastAsia"/>
          <w:bCs/>
        </w:rPr>
        <w:t>号法律</w:t>
      </w:r>
      <w:r>
        <w:rPr>
          <w:rFonts w:hint="eastAsia"/>
        </w:rPr>
        <w:t>——为《劳动法典》第</w:t>
      </w:r>
      <w:r>
        <w:rPr>
          <w:rFonts w:hint="eastAsia"/>
        </w:rPr>
        <w:t>387</w:t>
      </w:r>
      <w:r>
        <w:rPr>
          <w:rFonts w:hint="eastAsia"/>
        </w:rPr>
        <w:t>和第</w:t>
      </w:r>
      <w:r>
        <w:rPr>
          <w:rFonts w:hint="eastAsia"/>
        </w:rPr>
        <w:t>392</w:t>
      </w:r>
      <w:r>
        <w:rPr>
          <w:rFonts w:hint="eastAsia"/>
        </w:rPr>
        <w:t>条增加新内容，修正了</w:t>
      </w:r>
      <w:r>
        <w:rPr>
          <w:rFonts w:hint="eastAsia"/>
        </w:rPr>
        <w:t>1</w:t>
      </w:r>
      <w:r>
        <w:rPr>
          <w:rFonts w:hint="eastAsia"/>
        </w:rPr>
        <w:t>991</w:t>
      </w:r>
      <w:r>
        <w:rPr>
          <w:rFonts w:hint="eastAsia"/>
        </w:rPr>
        <w:t>年</w:t>
      </w:r>
      <w:r>
        <w:rPr>
          <w:rFonts w:hint="eastAsia"/>
        </w:rPr>
        <w:t>7</w:t>
      </w:r>
      <w:r>
        <w:rPr>
          <w:rFonts w:hint="eastAsia"/>
        </w:rPr>
        <w:t>月</w:t>
      </w:r>
      <w:r>
        <w:rPr>
          <w:rFonts w:hint="eastAsia"/>
        </w:rPr>
        <w:t>24</w:t>
      </w:r>
      <w:r>
        <w:rPr>
          <w:rFonts w:hint="eastAsia"/>
        </w:rPr>
        <w:t>日第</w:t>
      </w:r>
      <w:r>
        <w:t>8212</w:t>
      </w:r>
      <w:r>
        <w:rPr>
          <w:rFonts w:hint="eastAsia"/>
        </w:rPr>
        <w:t>号法律第</w:t>
      </w:r>
      <w:r>
        <w:rPr>
          <w:rFonts w:hint="eastAsia"/>
        </w:rPr>
        <w:t>12</w:t>
      </w:r>
      <w:r>
        <w:rPr>
          <w:rFonts w:hint="eastAsia"/>
        </w:rPr>
        <w:t>和第</w:t>
      </w:r>
      <w:r>
        <w:rPr>
          <w:rFonts w:hint="eastAsia"/>
        </w:rPr>
        <w:t>215</w:t>
      </w:r>
      <w:r>
        <w:rPr>
          <w:rFonts w:hint="eastAsia"/>
        </w:rPr>
        <w:t>条及</w:t>
      </w:r>
      <w:r>
        <w:rPr>
          <w:rFonts w:hint="eastAsia"/>
        </w:rPr>
        <w:t>1991</w:t>
      </w:r>
      <w:r>
        <w:rPr>
          <w:rFonts w:hint="eastAsia"/>
        </w:rPr>
        <w:t>年</w:t>
      </w:r>
      <w:r>
        <w:rPr>
          <w:rFonts w:hint="eastAsia"/>
        </w:rPr>
        <w:t>7</w:t>
      </w:r>
      <w:r>
        <w:rPr>
          <w:rFonts w:hint="eastAsia"/>
        </w:rPr>
        <w:t>月</w:t>
      </w:r>
      <w:r>
        <w:rPr>
          <w:rFonts w:hint="eastAsia"/>
        </w:rPr>
        <w:t>24</w:t>
      </w:r>
      <w:r>
        <w:rPr>
          <w:rFonts w:hint="eastAsia"/>
        </w:rPr>
        <w:t>日第</w:t>
      </w:r>
      <w:r>
        <w:t>8213</w:t>
      </w:r>
      <w:r>
        <w:rPr>
          <w:rFonts w:hint="eastAsia"/>
        </w:rPr>
        <w:t>号法律第</w:t>
      </w:r>
      <w:r>
        <w:rPr>
          <w:rFonts w:hint="eastAsia"/>
        </w:rPr>
        <w:t>39</w:t>
      </w:r>
      <w:r>
        <w:rPr>
          <w:rFonts w:hint="eastAsia"/>
        </w:rPr>
        <w:t>、</w:t>
      </w:r>
      <w:r>
        <w:rPr>
          <w:rFonts w:hint="eastAsia"/>
        </w:rPr>
        <w:t>71</w:t>
      </w:r>
      <w:r>
        <w:rPr>
          <w:rFonts w:hint="eastAsia"/>
        </w:rPr>
        <w:t>、</w:t>
      </w:r>
      <w:r>
        <w:rPr>
          <w:rFonts w:hint="eastAsia"/>
        </w:rPr>
        <w:t>73</w:t>
      </w:r>
      <w:r>
        <w:rPr>
          <w:rFonts w:hint="eastAsia"/>
        </w:rPr>
        <w:t>和</w:t>
      </w:r>
      <w:r>
        <w:rPr>
          <w:rFonts w:hint="eastAsia"/>
        </w:rPr>
        <w:t>106</w:t>
      </w:r>
      <w:r>
        <w:rPr>
          <w:rFonts w:hint="eastAsia"/>
        </w:rPr>
        <w:t>条，这些条款均涉及产假。该法律还确保城乡工人、佣仆和农村小生产者以及自由职业者的产假权利。在广泛地动员各个劳动阶层之后此项法律获得通过。产假条例限于社会保障；</w:t>
      </w:r>
    </w:p>
    <w:p w:rsidR="00000000" w:rsidRDefault="004D2F83" w:rsidP="004D2F83">
      <w:pPr>
        <w:spacing w:after="240" w:line="360" w:lineRule="exact"/>
        <w:ind w:leftChars="200" w:left="31680" w:hangingChars="250" w:firstLine="31680"/>
        <w:rPr>
          <w:rFonts w:hint="eastAsia"/>
        </w:rPr>
      </w:pPr>
      <w:r>
        <w:rPr>
          <w:rFonts w:eastAsia="SimHei" w:hint="eastAsia"/>
          <w:bCs/>
        </w:rPr>
        <w:t>5</w:t>
      </w:r>
      <w:r>
        <w:rPr>
          <w:rFonts w:eastAsia="SimHei" w:hint="eastAsia"/>
          <w:bCs/>
        </w:rPr>
        <w:t>）</w:t>
      </w:r>
      <w:r>
        <w:rPr>
          <w:rFonts w:ascii="SimHei" w:eastAsia="SimHei" w:hint="eastAsia"/>
          <w:bCs/>
        </w:rPr>
        <w:tab/>
        <w:t>1995</w:t>
      </w:r>
      <w:r>
        <w:rPr>
          <w:rFonts w:ascii="SimHei" w:eastAsia="SimHei" w:hint="eastAsia"/>
          <w:bCs/>
        </w:rPr>
        <w:t>年</w:t>
      </w:r>
      <w:r>
        <w:rPr>
          <w:rFonts w:ascii="SimHei" w:eastAsia="SimHei" w:hint="eastAsia"/>
          <w:bCs/>
        </w:rPr>
        <w:t>1</w:t>
      </w:r>
      <w:r>
        <w:rPr>
          <w:rFonts w:ascii="SimHei" w:eastAsia="SimHei" w:hint="eastAsia"/>
          <w:bCs/>
        </w:rPr>
        <w:t>月</w:t>
      </w:r>
      <w:r>
        <w:rPr>
          <w:rFonts w:ascii="SimHei" w:eastAsia="SimHei" w:hint="eastAsia"/>
          <w:bCs/>
        </w:rPr>
        <w:t>9</w:t>
      </w:r>
      <w:r>
        <w:rPr>
          <w:rFonts w:ascii="SimHei" w:eastAsia="SimHei" w:hint="eastAsia"/>
          <w:bCs/>
        </w:rPr>
        <w:t>日第</w:t>
      </w:r>
      <w:r>
        <w:rPr>
          <w:rFonts w:ascii="SimHei" w:eastAsia="SimHei"/>
          <w:bCs/>
        </w:rPr>
        <w:t>8978</w:t>
      </w:r>
      <w:r>
        <w:rPr>
          <w:rFonts w:ascii="SimHei" w:eastAsia="SimHei" w:hint="eastAsia"/>
          <w:bCs/>
        </w:rPr>
        <w:t>号法律</w:t>
      </w:r>
      <w:r>
        <w:rPr>
          <w:rFonts w:hint="eastAsia"/>
        </w:rPr>
        <w:t>——规定建立日托托儿所和学前设施。由住房融资系统出资建立的发展项目应主要筹划日托中心和学前设施的建设工作；</w:t>
      </w:r>
    </w:p>
    <w:p w:rsidR="00000000" w:rsidRDefault="004D2F83" w:rsidP="004D2F83">
      <w:pPr>
        <w:spacing w:after="240" w:line="360" w:lineRule="exact"/>
        <w:ind w:leftChars="200" w:left="31680" w:hangingChars="250" w:firstLine="31680"/>
        <w:rPr>
          <w:rFonts w:hint="eastAsia"/>
        </w:rPr>
      </w:pPr>
      <w:r>
        <w:rPr>
          <w:rFonts w:eastAsia="SimHei" w:hint="eastAsia"/>
          <w:bCs/>
        </w:rPr>
        <w:t>6</w:t>
      </w:r>
      <w:r>
        <w:rPr>
          <w:rFonts w:eastAsia="SimHei" w:hint="eastAsia"/>
          <w:bCs/>
        </w:rPr>
        <w:t>）</w:t>
      </w:r>
      <w:r>
        <w:rPr>
          <w:rFonts w:ascii="SimHei" w:eastAsia="SimHei" w:hint="eastAsia"/>
          <w:bCs/>
        </w:rPr>
        <w:tab/>
        <w:t>1995</w:t>
      </w:r>
      <w:r>
        <w:rPr>
          <w:rFonts w:ascii="SimHei" w:eastAsia="SimHei" w:hint="eastAsia"/>
          <w:bCs/>
        </w:rPr>
        <w:t>年</w:t>
      </w:r>
      <w:r>
        <w:rPr>
          <w:rFonts w:ascii="SimHei" w:eastAsia="SimHei" w:hint="eastAsia"/>
          <w:bCs/>
        </w:rPr>
        <w:t>4</w:t>
      </w:r>
      <w:r>
        <w:rPr>
          <w:rFonts w:ascii="SimHei" w:eastAsia="SimHei" w:hint="eastAsia"/>
          <w:bCs/>
        </w:rPr>
        <w:t>月</w:t>
      </w:r>
      <w:r>
        <w:rPr>
          <w:rFonts w:ascii="SimHei" w:eastAsia="SimHei" w:hint="eastAsia"/>
          <w:bCs/>
        </w:rPr>
        <w:t>13</w:t>
      </w:r>
      <w:r>
        <w:rPr>
          <w:rFonts w:ascii="SimHei" w:eastAsia="SimHei" w:hint="eastAsia"/>
          <w:bCs/>
        </w:rPr>
        <w:t>日第</w:t>
      </w:r>
      <w:r>
        <w:rPr>
          <w:rFonts w:ascii="SimHei" w:eastAsia="SimHei"/>
          <w:bCs/>
        </w:rPr>
        <w:t>9029</w:t>
      </w:r>
      <w:r>
        <w:rPr>
          <w:rFonts w:ascii="SimHei" w:eastAsia="SimHei" w:hint="eastAsia"/>
          <w:bCs/>
        </w:rPr>
        <w:t>号法律</w:t>
      </w:r>
      <w:r>
        <w:rPr>
          <w:rFonts w:hint="eastAsia"/>
        </w:rPr>
        <w:t>——严禁为了录用和继续维护法定劳资关系而要求出</w:t>
      </w:r>
      <w:r>
        <w:rPr>
          <w:rFonts w:hint="eastAsia"/>
        </w:rPr>
        <w:t>示怀孕和节育证明及其他歧视性做法。此项禁令包括“要求出示与绝育或怀孕、计划生育等有关的化验、体检、检查、法律意见、声明或任何其他程序”，并且界定了处罚措施；</w:t>
      </w:r>
    </w:p>
    <w:p w:rsidR="00000000" w:rsidRDefault="004D2F83" w:rsidP="004D2F83">
      <w:pPr>
        <w:spacing w:after="240" w:line="360" w:lineRule="exact"/>
        <w:ind w:leftChars="200" w:left="31680" w:hangingChars="250" w:firstLine="31680"/>
        <w:rPr>
          <w:rFonts w:hint="eastAsia"/>
        </w:rPr>
      </w:pPr>
      <w:r>
        <w:rPr>
          <w:rFonts w:eastAsia="SimHei" w:hint="eastAsia"/>
          <w:bCs/>
        </w:rPr>
        <w:t>7</w:t>
      </w:r>
      <w:r>
        <w:rPr>
          <w:rFonts w:eastAsia="SimHei" w:hint="eastAsia"/>
          <w:bCs/>
        </w:rPr>
        <w:t>）</w:t>
      </w:r>
      <w:r>
        <w:rPr>
          <w:rFonts w:ascii="SimHei" w:eastAsia="SimHei" w:hint="eastAsia"/>
          <w:bCs/>
        </w:rPr>
        <w:tab/>
        <w:t>1996</w:t>
      </w:r>
      <w:r>
        <w:rPr>
          <w:rFonts w:ascii="SimHei" w:eastAsia="SimHei" w:hint="eastAsia"/>
          <w:bCs/>
        </w:rPr>
        <w:t>年</w:t>
      </w:r>
      <w:r>
        <w:rPr>
          <w:rFonts w:ascii="SimHei" w:eastAsia="SimHei"/>
          <w:bCs/>
        </w:rPr>
        <w:t>1</w:t>
      </w:r>
      <w:r>
        <w:rPr>
          <w:rFonts w:ascii="SimHei" w:eastAsia="SimHei" w:hint="eastAsia"/>
          <w:bCs/>
        </w:rPr>
        <w:t>月</w:t>
      </w:r>
      <w:r>
        <w:rPr>
          <w:rFonts w:ascii="SimHei" w:eastAsia="SimHei" w:hint="eastAsia"/>
          <w:bCs/>
        </w:rPr>
        <w:t>2</w:t>
      </w:r>
      <w:r>
        <w:rPr>
          <w:rFonts w:ascii="SimHei" w:eastAsia="SimHei" w:hint="eastAsia"/>
          <w:bCs/>
        </w:rPr>
        <w:t>日第</w:t>
      </w:r>
      <w:r>
        <w:rPr>
          <w:rFonts w:ascii="SimHei" w:eastAsia="SimHei"/>
          <w:bCs/>
        </w:rPr>
        <w:t>9263</w:t>
      </w:r>
      <w:r>
        <w:rPr>
          <w:rFonts w:ascii="SimHei" w:eastAsia="SimHei" w:hint="eastAsia"/>
          <w:bCs/>
        </w:rPr>
        <w:t>号法律</w:t>
      </w:r>
      <w:r>
        <w:rPr>
          <w:rFonts w:hint="eastAsia"/>
        </w:rPr>
        <w:t>——除其他外，管制计划生育并界定处罚措施。单一保健体系所确保的基本行动有：避孕援助、产前和分娩护理以及产褥期和新生儿护理；</w:t>
      </w:r>
    </w:p>
    <w:p w:rsidR="00000000" w:rsidRDefault="004D2F83" w:rsidP="004D2F83">
      <w:pPr>
        <w:spacing w:after="240" w:line="360" w:lineRule="exact"/>
        <w:ind w:leftChars="200" w:left="31680" w:hangingChars="250" w:firstLine="31680"/>
      </w:pPr>
      <w:r>
        <w:rPr>
          <w:rFonts w:eastAsia="SimHei" w:hint="eastAsia"/>
          <w:bCs/>
        </w:rPr>
        <w:t>8</w:t>
      </w:r>
      <w:r>
        <w:rPr>
          <w:rFonts w:eastAsia="SimHei" w:hint="eastAsia"/>
          <w:bCs/>
        </w:rPr>
        <w:t>）</w:t>
      </w:r>
      <w:r>
        <w:rPr>
          <w:rFonts w:ascii="SimHei" w:eastAsia="SimHei" w:hint="eastAsia"/>
          <w:bCs/>
        </w:rPr>
        <w:tab/>
        <w:t>1996</w:t>
      </w:r>
      <w:r>
        <w:rPr>
          <w:rFonts w:ascii="SimHei" w:eastAsia="SimHei" w:hint="eastAsia"/>
          <w:bCs/>
        </w:rPr>
        <w:t>年</w:t>
      </w:r>
      <w:r>
        <w:rPr>
          <w:rFonts w:ascii="SimHei" w:eastAsia="SimHei"/>
          <w:bCs/>
        </w:rPr>
        <w:t>12</w:t>
      </w:r>
      <w:r>
        <w:rPr>
          <w:rFonts w:ascii="SimHei" w:eastAsia="SimHei" w:hint="eastAsia"/>
          <w:bCs/>
        </w:rPr>
        <w:t>月</w:t>
      </w:r>
      <w:r>
        <w:rPr>
          <w:rFonts w:ascii="SimHei" w:eastAsia="SimHei"/>
          <w:bCs/>
        </w:rPr>
        <w:t>6</w:t>
      </w:r>
      <w:r>
        <w:rPr>
          <w:rFonts w:ascii="SimHei" w:eastAsia="SimHei" w:hint="eastAsia"/>
          <w:bCs/>
        </w:rPr>
        <w:t>日第</w:t>
      </w:r>
      <w:r>
        <w:rPr>
          <w:rFonts w:ascii="SimHei" w:eastAsia="SimHei"/>
          <w:bCs/>
        </w:rPr>
        <w:t>9318</w:t>
      </w:r>
      <w:r>
        <w:rPr>
          <w:rFonts w:ascii="SimHei" w:eastAsia="SimHei" w:hint="eastAsia"/>
          <w:bCs/>
        </w:rPr>
        <w:t>号法律</w:t>
      </w:r>
      <w:r>
        <w:rPr>
          <w:rFonts w:hint="eastAsia"/>
        </w:rPr>
        <w:t>——修正《刑法典》第</w:t>
      </w:r>
      <w:r>
        <w:rPr>
          <w:rFonts w:hint="eastAsia"/>
        </w:rPr>
        <w:t>61</w:t>
      </w:r>
      <w:r>
        <w:rPr>
          <w:rFonts w:hint="eastAsia"/>
        </w:rPr>
        <w:t>条第二项“</w:t>
      </w:r>
      <w:r>
        <w:t>h</w:t>
      </w:r>
      <w:r>
        <w:rPr>
          <w:rFonts w:hint="eastAsia"/>
        </w:rPr>
        <w:t>”款。此项法律将对孕妇的犯罪作为加重处罚的情节处理；</w:t>
      </w:r>
    </w:p>
    <w:p w:rsidR="00000000" w:rsidRDefault="004D2F83" w:rsidP="004D2F83">
      <w:pPr>
        <w:spacing w:after="240" w:line="360" w:lineRule="exact"/>
        <w:ind w:leftChars="200" w:left="31680" w:hangingChars="250" w:firstLine="31680"/>
        <w:rPr>
          <w:rFonts w:hint="eastAsia"/>
        </w:rPr>
      </w:pPr>
      <w:r>
        <w:rPr>
          <w:rFonts w:eastAsia="SimHei" w:hint="eastAsia"/>
          <w:bCs/>
        </w:rPr>
        <w:t>9</w:t>
      </w:r>
      <w:r>
        <w:rPr>
          <w:rFonts w:eastAsia="SimHei" w:hint="eastAsia"/>
          <w:bCs/>
        </w:rPr>
        <w:t>）</w:t>
      </w:r>
      <w:r>
        <w:rPr>
          <w:rFonts w:ascii="SimHei" w:eastAsia="SimHei" w:hint="eastAsia"/>
          <w:bCs/>
        </w:rPr>
        <w:tab/>
        <w:t>1996</w:t>
      </w:r>
      <w:r>
        <w:rPr>
          <w:rFonts w:ascii="SimHei" w:eastAsia="SimHei" w:hint="eastAsia"/>
          <w:bCs/>
        </w:rPr>
        <w:t>年</w:t>
      </w:r>
      <w:r>
        <w:rPr>
          <w:rFonts w:ascii="SimHei" w:eastAsia="SimHei" w:hint="eastAsia"/>
          <w:bCs/>
        </w:rPr>
        <w:t>12</w:t>
      </w:r>
      <w:r>
        <w:rPr>
          <w:rFonts w:ascii="SimHei" w:eastAsia="SimHei" w:hint="eastAsia"/>
          <w:bCs/>
        </w:rPr>
        <w:t>月</w:t>
      </w:r>
      <w:r>
        <w:rPr>
          <w:rFonts w:ascii="SimHei" w:eastAsia="SimHei" w:hint="eastAsia"/>
          <w:bCs/>
        </w:rPr>
        <w:t>20</w:t>
      </w:r>
      <w:r>
        <w:rPr>
          <w:rFonts w:ascii="SimHei" w:eastAsia="SimHei" w:hint="eastAsia"/>
          <w:bCs/>
        </w:rPr>
        <w:t>日第</w:t>
      </w:r>
      <w:r>
        <w:rPr>
          <w:rFonts w:ascii="SimHei" w:eastAsia="SimHei"/>
          <w:bCs/>
        </w:rPr>
        <w:t>9394</w:t>
      </w:r>
      <w:r>
        <w:rPr>
          <w:rFonts w:ascii="SimHei" w:eastAsia="SimHei" w:hint="eastAsia"/>
          <w:bCs/>
        </w:rPr>
        <w:t>号法律</w:t>
      </w:r>
      <w:r>
        <w:rPr>
          <w:rFonts w:hint="eastAsia"/>
        </w:rPr>
        <w:t>——确定国家教</w:t>
      </w:r>
      <w:r>
        <w:rPr>
          <w:rFonts w:hint="eastAsia"/>
        </w:rPr>
        <w:t>育的准则和基础。规定三岁之前的儿童在日托中心或类似机构中接受儿童教育，四至六岁年龄组的儿童接受学前儿童教育；</w:t>
      </w:r>
    </w:p>
    <w:p w:rsidR="00000000" w:rsidRDefault="004D2F83" w:rsidP="004D2F83">
      <w:pPr>
        <w:spacing w:after="240" w:line="360" w:lineRule="exact"/>
        <w:ind w:leftChars="200" w:left="31680" w:hangingChars="250" w:firstLine="31680"/>
        <w:rPr>
          <w:rFonts w:hint="eastAsia"/>
        </w:rPr>
      </w:pPr>
      <w:r>
        <w:rPr>
          <w:rFonts w:eastAsia="SimHei" w:hint="eastAsia"/>
          <w:bCs/>
        </w:rPr>
        <w:t>10</w:t>
      </w:r>
      <w:r>
        <w:rPr>
          <w:rFonts w:eastAsia="SimHei" w:hint="eastAsia"/>
          <w:bCs/>
        </w:rPr>
        <w:t>）</w:t>
      </w:r>
      <w:r>
        <w:rPr>
          <w:rFonts w:ascii="SimHei" w:eastAsia="SimHei" w:hint="eastAsia"/>
          <w:bCs/>
        </w:rPr>
        <w:tab/>
        <w:t>1998</w:t>
      </w:r>
      <w:r>
        <w:rPr>
          <w:rFonts w:ascii="SimHei" w:eastAsia="SimHei" w:hint="eastAsia"/>
          <w:bCs/>
        </w:rPr>
        <w:t>年</w:t>
      </w:r>
      <w:r>
        <w:rPr>
          <w:rFonts w:ascii="SimHei" w:eastAsia="SimHei" w:hint="eastAsia"/>
          <w:bCs/>
        </w:rPr>
        <w:t>1</w:t>
      </w:r>
      <w:r>
        <w:rPr>
          <w:rFonts w:ascii="SimHei" w:eastAsia="SimHei" w:hint="eastAsia"/>
          <w:bCs/>
        </w:rPr>
        <w:t>月</w:t>
      </w:r>
      <w:r>
        <w:rPr>
          <w:rFonts w:ascii="SimHei" w:eastAsia="SimHei" w:hint="eastAsia"/>
          <w:bCs/>
        </w:rPr>
        <w:t>21</w:t>
      </w:r>
      <w:r>
        <w:rPr>
          <w:rFonts w:ascii="SimHei" w:eastAsia="SimHei" w:hint="eastAsia"/>
          <w:bCs/>
        </w:rPr>
        <w:t>日第</w:t>
      </w:r>
      <w:r>
        <w:rPr>
          <w:rFonts w:ascii="SimHei" w:eastAsia="SimHei"/>
          <w:bCs/>
        </w:rPr>
        <w:t>9601</w:t>
      </w:r>
      <w:r>
        <w:rPr>
          <w:rFonts w:ascii="SimHei" w:eastAsia="SimHei" w:hint="eastAsia"/>
          <w:bCs/>
        </w:rPr>
        <w:t>号法律</w:t>
      </w:r>
      <w:r>
        <w:rPr>
          <w:rFonts w:hint="eastAsia"/>
        </w:rPr>
        <w:t>——规定有限期就业合同。确定临时合同至少为期三个月，该期限还可延长二年。</w:t>
      </w:r>
    </w:p>
    <w:p w:rsidR="00000000" w:rsidRDefault="004D2F83" w:rsidP="004D2F83">
      <w:pPr>
        <w:spacing w:after="240" w:line="360" w:lineRule="exact"/>
        <w:ind w:firstLineChars="200" w:firstLine="31680"/>
        <w:rPr>
          <w:rFonts w:hint="eastAsia"/>
        </w:rPr>
      </w:pPr>
      <w:r>
        <w:rPr>
          <w:rFonts w:hint="eastAsia"/>
        </w:rPr>
        <w:t>联邦立法扩大了基本的宪法权利，界定了对妇女和（或）黑人的歧视性行为，并确定了相应的处罚措施。同时，公职机构对这些问题显得越来越敏感，建立了各种论坛，以便在政府的体制和政治框架内对这些问题的发展情况采取后续行动。</w:t>
      </w:r>
    </w:p>
    <w:p w:rsidR="00000000" w:rsidRDefault="004D2F83" w:rsidP="004D2F83">
      <w:pPr>
        <w:spacing w:after="240" w:line="360" w:lineRule="exact"/>
        <w:ind w:firstLineChars="200" w:firstLine="31680"/>
        <w:rPr>
          <w:rFonts w:hint="eastAsia"/>
        </w:rPr>
      </w:pPr>
      <w:r>
        <w:rPr>
          <w:rFonts w:hint="eastAsia"/>
        </w:rPr>
        <w:t>《宪法》和宪法下的法律均认可母亲的作用，承认这一作用应得到社会的保护，并</w:t>
      </w:r>
      <w:r>
        <w:rPr>
          <w:rFonts w:hint="eastAsia"/>
        </w:rPr>
        <w:t>对孕妇权利加以规范。但是，人们不能忽略对母性看法狭隘这种普遍情况，这种看法仅以生育为基础，它不利于从一种开阔的观点——社会再生产这一角度看问题，正是这一作用为儿童和青少年的社会融合提供了保证。我们目前遇到的可能性出现的问题是：由于预计全球化的不利影响会导致权利的丧失和受限，在劳动和社会保障范围里某些产妇权利有可能受到损害。</w:t>
      </w:r>
    </w:p>
    <w:p w:rsidR="00000000" w:rsidRDefault="004D2F83">
      <w:pPr>
        <w:pStyle w:val="Date"/>
        <w:spacing w:after="240" w:line="360" w:lineRule="exact"/>
        <w:rPr>
          <w:rFonts w:ascii="SimHei" w:eastAsia="SimHei" w:hint="eastAsia"/>
          <w:bCs/>
          <w:sz w:val="24"/>
        </w:rPr>
      </w:pPr>
      <w:r>
        <w:rPr>
          <w:rFonts w:ascii="SimHei" w:eastAsia="SimHei" w:hint="eastAsia"/>
          <w:bCs/>
          <w:sz w:val="24"/>
        </w:rPr>
        <w:t>州级立法</w:t>
      </w:r>
    </w:p>
    <w:p w:rsidR="00000000" w:rsidRDefault="004D2F83">
      <w:pPr>
        <w:pStyle w:val="BodyTextIndent2"/>
        <w:spacing w:after="240" w:line="360" w:lineRule="exact"/>
        <w:rPr>
          <w:rFonts w:eastAsia="KaiTi_GB2312" w:hint="eastAsia"/>
          <w:i w:val="0"/>
          <w:iCs/>
        </w:rPr>
      </w:pPr>
      <w:r>
        <w:rPr>
          <w:rFonts w:eastAsia="KaiTi_GB2312" w:hint="eastAsia"/>
          <w:i w:val="0"/>
          <w:iCs/>
        </w:rPr>
        <w:t>关于加速实现男女平等的特别措施，各州宪法采用了《联邦宪法》中的一些规定，并制订了一些新规定。</w:t>
      </w:r>
    </w:p>
    <w:p w:rsidR="00000000" w:rsidRDefault="004D2F83" w:rsidP="004D2F83">
      <w:pPr>
        <w:spacing w:after="240" w:line="360" w:lineRule="exact"/>
        <w:ind w:firstLineChars="200" w:firstLine="31680"/>
        <w:rPr>
          <w:rFonts w:hint="eastAsia"/>
        </w:rPr>
      </w:pPr>
      <w:r>
        <w:rPr>
          <w:rFonts w:hint="eastAsia"/>
        </w:rPr>
        <w:t>除了《联邦区组织法》外，二十部《宪法》</w:t>
      </w:r>
      <w:r>
        <w:rPr>
          <w:rStyle w:val="FootnoteReference"/>
        </w:rPr>
        <w:footnoteReference w:customMarkFollows="1" w:id="53"/>
        <w:t>53</w:t>
      </w:r>
      <w:r>
        <w:rPr>
          <w:rFonts w:hint="eastAsia"/>
        </w:rPr>
        <w:t>也通过界定公务员的权利，批准了《联邦宪法</w:t>
      </w:r>
      <w:r>
        <w:rPr>
          <w:rFonts w:hint="eastAsia"/>
        </w:rPr>
        <w:t>》关于通过具体的鼓励措施保护女性劳动力市场的第</w:t>
      </w:r>
      <w:r>
        <w:rPr>
          <w:rFonts w:hint="eastAsia"/>
        </w:rPr>
        <w:t>7</w:t>
      </w:r>
      <w:r>
        <w:rPr>
          <w:rFonts w:hint="eastAsia"/>
        </w:rPr>
        <w:t>条或第</w:t>
      </w:r>
      <w:r>
        <w:rPr>
          <w:rFonts w:hint="eastAsia"/>
        </w:rPr>
        <w:t>39</w:t>
      </w:r>
      <w:r>
        <w:rPr>
          <w:rFonts w:hint="eastAsia"/>
        </w:rPr>
        <w:t>条的条款。</w:t>
      </w:r>
    </w:p>
    <w:p w:rsidR="00000000" w:rsidRDefault="004D2F83" w:rsidP="004D2F83">
      <w:pPr>
        <w:spacing w:after="240" w:line="360" w:lineRule="exact"/>
        <w:ind w:firstLineChars="200" w:firstLine="31680"/>
        <w:rPr>
          <w:rFonts w:hint="eastAsia"/>
        </w:rPr>
      </w:pPr>
      <w:r>
        <w:rPr>
          <w:rFonts w:hint="eastAsia"/>
        </w:rPr>
        <w:t>至于加速男女平等问题，应该提及《塞阿拉州宪法》第</w:t>
      </w:r>
      <w:r>
        <w:rPr>
          <w:rFonts w:hint="eastAsia"/>
        </w:rPr>
        <w:t>275</w:t>
      </w:r>
      <w:r>
        <w:rPr>
          <w:rFonts w:hint="eastAsia"/>
        </w:rPr>
        <w:t>条，该条承认以妇女为对象的特别行动：</w:t>
      </w:r>
      <w:r>
        <w:rPr>
          <w:rFonts w:eastAsia="KaiTi_GB2312" w:hint="eastAsia"/>
        </w:rPr>
        <w:t>（州应为确保妇女的充分发展和进步采取各种措施，以便保障她们在与男子平等的基础上，享有人权和基本自由）</w:t>
      </w:r>
      <w:r>
        <w:rPr>
          <w:rFonts w:hint="eastAsia"/>
        </w:rPr>
        <w:t>《马托格罗索州宪法》也载有这方面的一项规定。</w:t>
      </w:r>
    </w:p>
    <w:p w:rsidR="00000000" w:rsidRDefault="004D2F83" w:rsidP="004D2F83">
      <w:pPr>
        <w:spacing w:after="240" w:line="360" w:lineRule="exact"/>
        <w:ind w:firstLineChars="200" w:firstLine="31680"/>
        <w:rPr>
          <w:rFonts w:hint="eastAsia"/>
        </w:rPr>
      </w:pPr>
      <w:r>
        <w:rPr>
          <w:rFonts w:hint="eastAsia"/>
        </w:rPr>
        <w:t>为了实现这一目标，塞阿拉、巴拉和巴拉那各州的宪法以及《联邦区组织法》都设立了妇女权利州委员会。这些委员会的责任载列于《巴拉那州宪法》第</w:t>
      </w:r>
      <w:r>
        <w:rPr>
          <w:rFonts w:hint="eastAsia"/>
        </w:rPr>
        <w:t>219</w:t>
      </w:r>
      <w:r>
        <w:rPr>
          <w:rFonts w:hint="eastAsia"/>
        </w:rPr>
        <w:t>条：</w:t>
      </w:r>
      <w:r>
        <w:rPr>
          <w:rFonts w:eastAsia="KaiTi_GB2312" w:hint="eastAsia"/>
        </w:rPr>
        <w:t>州妇女权利委员会是依法成立的政府咨询机构，目的是通过提出有关消</w:t>
      </w:r>
      <w:r>
        <w:rPr>
          <w:rFonts w:eastAsia="KaiTi_GB2312" w:hint="eastAsia"/>
        </w:rPr>
        <w:t>除对妇女一切形式歧视的研究、项目、方案和倡议，与其他政府机构一道增进和确保妇女的权利。</w:t>
      </w:r>
    </w:p>
    <w:p w:rsidR="00000000" w:rsidRDefault="004D2F83" w:rsidP="004D2F83">
      <w:pPr>
        <w:spacing w:after="240" w:line="360" w:lineRule="exact"/>
        <w:ind w:firstLineChars="200" w:firstLine="31680"/>
        <w:rPr>
          <w:rFonts w:hint="eastAsia"/>
        </w:rPr>
      </w:pPr>
      <w:r>
        <w:rPr>
          <w:rFonts w:hint="eastAsia"/>
        </w:rPr>
        <w:t>某些州，如巴拉州的《宪法》界定了特别措施，它确定</w:t>
      </w:r>
      <w:r>
        <w:rPr>
          <w:rFonts w:eastAsia="KaiTi_GB2312" w:hint="eastAsia"/>
        </w:rPr>
        <w:t>，州有义务：遵守对于公正至关重要的职能，针对妇女的具体问题，为她们建立援助、支助和法律咨询中心。</w:t>
      </w:r>
    </w:p>
    <w:p w:rsidR="00000000" w:rsidRDefault="004D2F83" w:rsidP="004D2F83">
      <w:pPr>
        <w:spacing w:after="240" w:line="360" w:lineRule="exact"/>
        <w:ind w:firstLineChars="200" w:firstLine="31680"/>
        <w:rPr>
          <w:rFonts w:hint="eastAsia"/>
        </w:rPr>
      </w:pPr>
      <w:r>
        <w:rPr>
          <w:rFonts w:hint="eastAsia"/>
        </w:rPr>
        <w:t>按照《消除对妇女一切形式歧视公约》第四条，《塞阿拉州宪法》通过了一项具体措施：在教育问题国务秘书处组织框架内，设立名为“妇女与教育”的部门，其目的是，与塞阿拉州妇女权利委员会共同采取适当的措施，确保妇女享有平等权利，如</w:t>
      </w:r>
      <w:r>
        <w:rPr>
          <w:rFonts w:eastAsia="KaiTi_GB2312" w:hint="eastAsia"/>
        </w:rPr>
        <w:t>降低辍学率，拟订一些方案以使过早辍学的年轻妇女重返校园；为尽</w:t>
      </w:r>
      <w:r>
        <w:rPr>
          <w:rFonts w:eastAsia="KaiTi_GB2312" w:hint="eastAsia"/>
        </w:rPr>
        <w:t>快缩小塞阿拉州男女的知识差距采取其他措施。</w:t>
      </w:r>
    </w:p>
    <w:p w:rsidR="00000000" w:rsidRDefault="004D2F83">
      <w:pPr>
        <w:pStyle w:val="BodyTextIndent2"/>
        <w:spacing w:after="240" w:line="360" w:lineRule="exact"/>
        <w:rPr>
          <w:rFonts w:eastAsia="KaiTi_GB2312" w:hint="eastAsia"/>
          <w:i w:val="0"/>
          <w:iCs/>
        </w:rPr>
      </w:pPr>
      <w:r>
        <w:rPr>
          <w:rFonts w:eastAsia="KaiTi_GB2312" w:hint="eastAsia"/>
          <w:i w:val="0"/>
          <w:iCs/>
        </w:rPr>
        <w:t>此外，除了罗赖马州，所有各州的《宪法》和《联邦区宪法》均确保其女公务员有权比男子提前退休。只要妇女在家中的负担比男子重，这种措施就是必要的。</w:t>
      </w:r>
    </w:p>
    <w:p w:rsidR="00000000" w:rsidRDefault="004D2F83">
      <w:pPr>
        <w:pStyle w:val="BodyTextIndent2"/>
        <w:spacing w:after="240" w:line="360" w:lineRule="exact"/>
        <w:rPr>
          <w:rFonts w:eastAsia="KaiTi_GB2312" w:hint="eastAsia"/>
          <w:i w:val="0"/>
          <w:iCs/>
        </w:rPr>
      </w:pPr>
      <w:r>
        <w:rPr>
          <w:rFonts w:eastAsia="KaiTi_GB2312" w:hint="eastAsia"/>
          <w:i w:val="0"/>
          <w:iCs/>
        </w:rPr>
        <w:t>《消除对妇女一切形式歧视公约》第四条第二项中规定的母性，各州宪法在不同章节中均有相应的规则。应该特别提到米纳斯吉拉斯和帕拉伊巴这两州的宪法，这两部宪法将产妇援助明确列为州的优先目标。塞阿拉、北里约格朗德和帕拉伊巴三个州将产妇保护问题提升到社会权利这一高度。</w:t>
      </w:r>
    </w:p>
    <w:p w:rsidR="00000000" w:rsidRDefault="004D2F83">
      <w:pPr>
        <w:pStyle w:val="BodyTextIndent2"/>
        <w:spacing w:after="240" w:line="360" w:lineRule="exact"/>
        <w:rPr>
          <w:rFonts w:eastAsia="KaiTi_GB2312" w:hint="eastAsia"/>
          <w:i w:val="0"/>
          <w:iCs/>
        </w:rPr>
      </w:pPr>
      <w:r>
        <w:rPr>
          <w:rFonts w:eastAsia="KaiTi_GB2312" w:hint="eastAsia"/>
          <w:i w:val="0"/>
          <w:iCs/>
        </w:rPr>
        <w:t>大多数州的宪法规定，社会援助或其他类型的援助应该保护母性，某些州的宪</w:t>
      </w:r>
      <w:r>
        <w:rPr>
          <w:rFonts w:eastAsia="KaiTi_GB2312" w:hint="eastAsia"/>
          <w:i w:val="0"/>
          <w:iCs/>
        </w:rPr>
        <w:t>法还明确指出，提供这种保护是州的义务。</w:t>
      </w:r>
    </w:p>
    <w:p w:rsidR="00000000" w:rsidRDefault="004D2F83">
      <w:pPr>
        <w:pStyle w:val="BodyTextIndent2"/>
        <w:spacing w:after="240" w:line="360" w:lineRule="exact"/>
        <w:rPr>
          <w:rFonts w:eastAsia="KaiTi_GB2312" w:hint="eastAsia"/>
          <w:i w:val="0"/>
          <w:iCs/>
        </w:rPr>
      </w:pPr>
      <w:r>
        <w:rPr>
          <w:rFonts w:eastAsia="KaiTi_GB2312" w:hint="eastAsia"/>
          <w:i w:val="0"/>
          <w:iCs/>
        </w:rPr>
        <w:t>在阿马帕、圣埃斯皮里托、马拉尼昂、北里约格朗德、南里约格朗德、朗多尼亚、塞尔希培和托坎廷斯州，关于产孕妇援助专项资金的具体条款也明确涉及到这一主题。</w:t>
      </w:r>
    </w:p>
    <w:p w:rsidR="00000000" w:rsidRDefault="004D2F83">
      <w:pPr>
        <w:pStyle w:val="BodyTextIndent2"/>
        <w:spacing w:after="240" w:line="360" w:lineRule="exact"/>
        <w:rPr>
          <w:rFonts w:eastAsia="KaiTi_GB2312" w:hint="eastAsia"/>
          <w:i w:val="0"/>
          <w:iCs/>
        </w:rPr>
      </w:pPr>
      <w:r>
        <w:rPr>
          <w:rFonts w:eastAsia="KaiTi_GB2312" w:hint="eastAsia"/>
          <w:i w:val="0"/>
          <w:iCs/>
        </w:rPr>
        <w:t>在保健领域里，各州宪法就对产妇的责任做出了不同的规定。巴伊亚州确保提供援助，使妇女享有怀孕、生育和哺乳权，伯南布哥、郎多尼亚、托坎廷斯和亚马孙州也做出类似规定。《罗赖马州宪法》只提及哺乳，《塞尔希培州宪法》在一般条款中提及产妇和儿童援助。最后，《联邦区组织法》和戈亚斯、里约热内卢、圣保罗和托坎廷斯等州宪法提及为妇女保健提</w:t>
      </w:r>
      <w:r>
        <w:rPr>
          <w:rFonts w:eastAsia="KaiTi_GB2312" w:hint="eastAsia"/>
          <w:i w:val="0"/>
          <w:iCs/>
        </w:rPr>
        <w:t>供充分的援助。例如，《托坎廷斯州宪法》规定如下：</w:t>
      </w:r>
    </w:p>
    <w:p w:rsidR="00000000" w:rsidRDefault="004D2F83">
      <w:pPr>
        <w:spacing w:after="240" w:line="360" w:lineRule="exact"/>
        <w:rPr>
          <w:rFonts w:eastAsia="KaiTi_GB2312" w:hint="eastAsia"/>
        </w:rPr>
      </w:pPr>
      <w:r>
        <w:rPr>
          <w:rFonts w:eastAsia="KaiTi_GB2312" w:hint="eastAsia"/>
        </w:rPr>
        <w:t>第</w:t>
      </w:r>
      <w:r>
        <w:rPr>
          <w:rFonts w:eastAsia="KaiTi_GB2312" w:hint="eastAsia"/>
        </w:rPr>
        <w:t>152</w:t>
      </w:r>
      <w:r>
        <w:rPr>
          <w:rFonts w:eastAsia="KaiTi_GB2312" w:hint="eastAsia"/>
        </w:rPr>
        <w:t>条—依据法律条款，除其他外，单一保健体系有义务：</w:t>
      </w:r>
    </w:p>
    <w:p w:rsidR="00000000" w:rsidRDefault="004D2F83">
      <w:pPr>
        <w:spacing w:after="240" w:line="360" w:lineRule="exact"/>
        <w:ind w:firstLine="359"/>
        <w:rPr>
          <w:rFonts w:eastAsia="KaiTi_GB2312" w:hint="eastAsia"/>
        </w:rPr>
      </w:pPr>
      <w:r>
        <w:rPr>
          <w:rFonts w:eastAsia="KaiTi_GB2312" w:hint="eastAsia"/>
        </w:rPr>
        <w:t>十四、通过代表妇女的各实体拟订、执行和控制的政府方案，在妇女生命的各个阶段，向妇女提供充分的保健援助，包括产前和产后护理、乳腺癌和子宫癌的预防。</w:t>
      </w:r>
    </w:p>
    <w:p w:rsidR="00000000" w:rsidRDefault="004D2F83">
      <w:pPr>
        <w:pStyle w:val="BodyTextIndent2"/>
        <w:spacing w:after="240" w:line="360" w:lineRule="exact"/>
        <w:rPr>
          <w:rFonts w:eastAsia="KaiTi_GB2312" w:hint="eastAsia"/>
          <w:i w:val="0"/>
        </w:rPr>
      </w:pPr>
      <w:r>
        <w:rPr>
          <w:rFonts w:eastAsia="KaiTi_GB2312" w:hint="eastAsia"/>
          <w:i w:val="0"/>
        </w:rPr>
        <w:t>值得一提的是，巴伊亚、巴拉、伯南布哥、皮奥伊、里约热内卢、塞尔希培和托坎廷斯等州的《宪法》确保养母享有类似的权利；《戈亚斯州宪法》也提到陪产假以及养父母问题。</w:t>
      </w:r>
    </w:p>
    <w:p w:rsidR="00000000" w:rsidRDefault="004D2F83">
      <w:pPr>
        <w:pStyle w:val="BodyTextIndent2"/>
        <w:spacing w:after="240" w:line="360" w:lineRule="exact"/>
        <w:rPr>
          <w:rFonts w:eastAsia="KaiTi_GB2312" w:hint="eastAsia"/>
          <w:i w:val="0"/>
        </w:rPr>
      </w:pPr>
      <w:r>
        <w:rPr>
          <w:rFonts w:eastAsia="KaiTi_GB2312" w:hint="eastAsia"/>
          <w:i w:val="0"/>
        </w:rPr>
        <w:t>关于怀孕的公务员问题，《巴伊亚州宪法》确保此类人员可凭医生建议调换工作岗位，而原职务或职位所享有的</w:t>
      </w:r>
      <w:r>
        <w:rPr>
          <w:rFonts w:eastAsia="KaiTi_GB2312" w:hint="eastAsia"/>
          <w:i w:val="0"/>
        </w:rPr>
        <w:t>薪金和其他福利不受影响。阿马帕州、圣保罗州和联邦区的《宪法》载有类似的规定。</w:t>
      </w:r>
    </w:p>
    <w:p w:rsidR="00000000" w:rsidRDefault="004D2F83">
      <w:pPr>
        <w:spacing w:after="240" w:line="360" w:lineRule="exact"/>
        <w:ind w:firstLine="359"/>
        <w:rPr>
          <w:rFonts w:hint="eastAsia"/>
        </w:rPr>
      </w:pPr>
      <w:r>
        <w:rPr>
          <w:rFonts w:hint="eastAsia"/>
        </w:rPr>
        <w:t>《戈亚斯州宪法》第</w:t>
      </w:r>
      <w:r>
        <w:rPr>
          <w:rFonts w:hint="eastAsia"/>
        </w:rPr>
        <w:t>95</w:t>
      </w:r>
      <w:r>
        <w:rPr>
          <w:rFonts w:hint="eastAsia"/>
        </w:rPr>
        <w:t>条第十二段等条款强调关注哺乳期问题，该条规定连续工作三小时后可有三十分钟的哺乳时间。《帕拉伊巴州宪法》确保哺乳母亲有权将每日的工作量减少四分之一。</w:t>
      </w:r>
    </w:p>
    <w:p w:rsidR="00000000" w:rsidRDefault="004D2F83">
      <w:pPr>
        <w:pStyle w:val="BodyTextIndent2"/>
        <w:spacing w:after="240" w:line="360" w:lineRule="exact"/>
        <w:rPr>
          <w:rFonts w:eastAsia="KaiTi_GB2312" w:hint="eastAsia"/>
          <w:i w:val="0"/>
          <w:iCs/>
        </w:rPr>
      </w:pPr>
      <w:r>
        <w:rPr>
          <w:rFonts w:eastAsia="KaiTi_GB2312" w:hint="eastAsia"/>
          <w:i w:val="0"/>
          <w:iCs/>
        </w:rPr>
        <w:t>关于女囚犯问题，大多数州宪法规定，除《消除对妇女一切形式歧视公约》第三条所载的其他法律规定外，应确保女囚犯在哺乳期期间与子女呆在一起的必要条件。</w:t>
      </w:r>
    </w:p>
    <w:p w:rsidR="00000000" w:rsidRDefault="004D2F83">
      <w:pPr>
        <w:pStyle w:val="BodyTextIndent2"/>
        <w:spacing w:after="240" w:line="360" w:lineRule="exact"/>
        <w:rPr>
          <w:rFonts w:eastAsia="KaiTi_GB2312" w:hint="eastAsia"/>
          <w:i w:val="0"/>
          <w:iCs/>
        </w:rPr>
      </w:pPr>
      <w:r>
        <w:rPr>
          <w:rFonts w:eastAsia="KaiTi_GB2312" w:hint="eastAsia"/>
          <w:i w:val="0"/>
          <w:iCs/>
        </w:rPr>
        <w:t>最后，值得注意的是，里约热内卢、圣埃斯皮里托和亚马孙各州的宪法还规定为孕妇出入公共场所和私人场所提供便利。</w:t>
      </w:r>
    </w:p>
    <w:p w:rsidR="00000000" w:rsidRDefault="004D2F83">
      <w:pPr>
        <w:pStyle w:val="BodyTextIndent2"/>
        <w:spacing w:after="240" w:line="360" w:lineRule="exact"/>
        <w:rPr>
          <w:rFonts w:eastAsia="KaiTi_GB2312" w:hint="eastAsia"/>
          <w:i w:val="0"/>
          <w:iCs/>
        </w:rPr>
      </w:pPr>
      <w:r>
        <w:rPr>
          <w:rFonts w:eastAsia="KaiTi_GB2312" w:hint="eastAsia"/>
          <w:i w:val="0"/>
          <w:iCs/>
        </w:rPr>
        <w:t>考虑到前述</w:t>
      </w:r>
      <w:r>
        <w:rPr>
          <w:rFonts w:eastAsia="KaiTi_GB2312" w:hint="eastAsia"/>
          <w:i w:val="0"/>
          <w:iCs/>
        </w:rPr>
        <w:t>规定，人们得出结论，各州宪法特别关注产妇保护问题，拟订了从运动权利到狱中设立日托中心的各种规定。这些宪法还涉及到产前护理、母乳喂养、劳资关系、保健和社会福利等主题。</w:t>
      </w:r>
    </w:p>
    <w:p w:rsidR="00000000" w:rsidRDefault="004D2F83">
      <w:pPr>
        <w:pStyle w:val="BodyTextIndent2"/>
        <w:spacing w:after="240" w:line="360" w:lineRule="exact"/>
        <w:rPr>
          <w:rFonts w:eastAsia="KaiTi_GB2312" w:hint="eastAsia"/>
          <w:i w:val="0"/>
          <w:iCs/>
        </w:rPr>
      </w:pPr>
      <w:r>
        <w:rPr>
          <w:rFonts w:eastAsia="KaiTi_GB2312" w:hint="eastAsia"/>
          <w:i w:val="0"/>
          <w:iCs/>
        </w:rPr>
        <w:t>尽管这些措施是适当的，但有关母性的宪法规定的执行情况仍应对照《消除对妇女一切形式歧视公约》其他规定以及州一级法律文书来评估。人们还应该考虑各州法律中使用的母性这一概念，它通常是将母亲即生儿育女的作用放在优先地位，不利于对妇女采用全面的办法。</w:t>
      </w:r>
    </w:p>
    <w:p w:rsidR="00000000" w:rsidRDefault="004D2F83">
      <w:pPr>
        <w:spacing w:after="240" w:line="360" w:lineRule="exact"/>
        <w:ind w:firstLine="359"/>
        <w:rPr>
          <w:rFonts w:hint="eastAsia"/>
        </w:rPr>
      </w:pPr>
      <w:r>
        <w:rPr>
          <w:rFonts w:hint="eastAsia"/>
        </w:rPr>
        <w:t>《马拉尼昂州宪法》第</w:t>
      </w:r>
      <w:r>
        <w:rPr>
          <w:rFonts w:hint="eastAsia"/>
        </w:rPr>
        <w:t>256</w:t>
      </w:r>
      <w:r>
        <w:rPr>
          <w:rFonts w:hint="eastAsia"/>
        </w:rPr>
        <w:t>条中可看到这方面的例子，该条强调了婴儿死亡率但未提及产妇死亡率：</w:t>
      </w:r>
      <w:r>
        <w:rPr>
          <w:rFonts w:eastAsia="KaiTi_GB2312" w:hint="eastAsia"/>
        </w:rPr>
        <w:t>公共机构应将公</w:t>
      </w:r>
      <w:r>
        <w:rPr>
          <w:rFonts w:eastAsia="KaiTi_GB2312" w:hint="eastAsia"/>
        </w:rPr>
        <w:t>共资金一定比例的保健拨款用于妇幼保健，以确保有足够的必要手段和条件来降低婴儿死亡率。</w:t>
      </w:r>
    </w:p>
    <w:p w:rsidR="00000000" w:rsidRDefault="004D2F83" w:rsidP="004D2F83">
      <w:pPr>
        <w:pStyle w:val="BodyTextIndent2"/>
        <w:spacing w:after="240" w:line="360" w:lineRule="exact"/>
        <w:ind w:firstLineChars="200" w:firstLine="31680"/>
        <w:rPr>
          <w:rFonts w:eastAsia="KaiTi_GB2312" w:hint="eastAsia"/>
          <w:i w:val="0"/>
          <w:iCs/>
        </w:rPr>
      </w:pPr>
      <w:r>
        <w:rPr>
          <w:rFonts w:eastAsia="KaiTi_GB2312" w:hint="eastAsia"/>
          <w:i w:val="0"/>
          <w:iCs/>
        </w:rPr>
        <w:t>幸运的是，这方面也取得了某种显著的进展，例如，通过把生母享有的权利扩大到养母，从而延伸了母性概念</w:t>
      </w:r>
      <w:r>
        <w:rPr>
          <w:rFonts w:eastAsia="SimHei" w:hint="eastAsia"/>
          <w:i w:val="0"/>
          <w:iCs/>
        </w:rPr>
        <w:t>——</w:t>
      </w:r>
      <w:r>
        <w:rPr>
          <w:rFonts w:eastAsia="KaiTi_GB2312" w:hint="eastAsia"/>
          <w:i w:val="0"/>
          <w:iCs/>
        </w:rPr>
        <w:t>突破了生物学生育的限制。</w:t>
      </w:r>
    </w:p>
    <w:p w:rsidR="00000000" w:rsidRDefault="004D2F83">
      <w:pPr>
        <w:spacing w:after="240" w:line="360" w:lineRule="exact"/>
        <w:ind w:firstLine="359"/>
        <w:rPr>
          <w:rFonts w:eastAsia="KaiTi_GB2312" w:hint="eastAsia"/>
        </w:rPr>
      </w:pPr>
      <w:r>
        <w:rPr>
          <w:rFonts w:hint="eastAsia"/>
        </w:rPr>
        <w:t>某些法律文书列入了基于承认妇女自主的母性概念，如《亚马孙州宪法》该宪法第</w:t>
      </w:r>
      <w:r>
        <w:rPr>
          <w:rFonts w:hint="eastAsia"/>
        </w:rPr>
        <w:t>186</w:t>
      </w:r>
      <w:r>
        <w:rPr>
          <w:rFonts w:hint="eastAsia"/>
        </w:rPr>
        <w:t>条规定：</w:t>
      </w:r>
      <w:r>
        <w:rPr>
          <w:rFonts w:eastAsia="KaiTi_GB2312" w:hint="eastAsia"/>
        </w:rPr>
        <w:t>应确保妇女在母性方面的自由选择权，在这种情况下母性应理解为产前、分娩和产后护理、避孕权利以及法律有规定的情况下在不损害健康的情况下中止妊娠的权利。</w:t>
      </w:r>
    </w:p>
    <w:p w:rsidR="00000000" w:rsidRDefault="004D2F83" w:rsidP="004D2F83">
      <w:pPr>
        <w:pStyle w:val="BodyTextIndent2"/>
        <w:spacing w:after="240" w:line="360" w:lineRule="exact"/>
        <w:ind w:firstLineChars="200" w:firstLine="31680"/>
        <w:rPr>
          <w:rFonts w:eastAsia="KaiTi_GB2312" w:hint="eastAsia"/>
          <w:i w:val="0"/>
          <w:iCs/>
        </w:rPr>
      </w:pPr>
      <w:r>
        <w:rPr>
          <w:rFonts w:eastAsia="KaiTi_GB2312" w:hint="eastAsia"/>
          <w:i w:val="0"/>
          <w:iCs/>
        </w:rPr>
        <w:t>另外还值得一提的是，现在有的宪法中制定了更先进的规定，如《戈亚斯州</w:t>
      </w:r>
      <w:r>
        <w:rPr>
          <w:rFonts w:eastAsia="KaiTi_GB2312" w:hint="eastAsia"/>
          <w:i w:val="0"/>
          <w:iCs/>
        </w:rPr>
        <w:t>宪法》，该宪法提及基于两性平等以及妇女自主的母性概念。它明确规定，本州及各市应向急需者提供社会和心理援助，以便促进他们融入劳动力市场，承认为人父母也是相关的社会角色，同时确保父母拥有他们可能需要的手段，为其子女提供教育、日托中心和学前设施援助、保健、食物和安全。</w:t>
      </w:r>
    </w:p>
    <w:p w:rsidR="00000000" w:rsidRDefault="004D2F83" w:rsidP="004D2F83">
      <w:pPr>
        <w:spacing w:after="240" w:line="360" w:lineRule="exact"/>
        <w:ind w:firstLineChars="200" w:firstLine="31680"/>
        <w:rPr>
          <w:rFonts w:hint="eastAsia"/>
        </w:rPr>
      </w:pPr>
      <w:r>
        <w:rPr>
          <w:rFonts w:hint="eastAsia"/>
        </w:rPr>
        <w:t>因此，人们得出结论，按照《消除对妇女一切形式歧视公约》第</w:t>
      </w:r>
      <w:r>
        <w:rPr>
          <w:rFonts w:hint="eastAsia"/>
        </w:rPr>
        <w:t>4-2</w:t>
      </w:r>
      <w:r>
        <w:rPr>
          <w:rFonts w:hint="eastAsia"/>
        </w:rPr>
        <w:t>条的规定，各州宪法总体上高度重视母性保护问题。但是，这些宪法也表明需要进一步促进男女平等，以确保妇女享有的自主决定权，并承认母性所起的社会作用。</w:t>
      </w:r>
    </w:p>
    <w:p w:rsidR="00000000" w:rsidRDefault="004D2F83">
      <w:pPr>
        <w:pStyle w:val="Date"/>
        <w:spacing w:after="240" w:line="360" w:lineRule="exact"/>
        <w:rPr>
          <w:rFonts w:ascii="SimHei" w:eastAsia="SimHei" w:hint="eastAsia"/>
          <w:bCs/>
          <w:sz w:val="24"/>
        </w:rPr>
      </w:pPr>
      <w:r>
        <w:rPr>
          <w:rFonts w:ascii="SimHei" w:eastAsia="SimHei" w:hint="eastAsia"/>
          <w:bCs/>
          <w:sz w:val="24"/>
        </w:rPr>
        <w:t>州级立法——肯定行动</w:t>
      </w:r>
    </w:p>
    <w:p w:rsidR="00000000" w:rsidRDefault="004D2F83" w:rsidP="004D2F83">
      <w:pPr>
        <w:spacing w:after="240" w:line="360" w:lineRule="exact"/>
        <w:ind w:firstLineChars="200" w:firstLine="31680"/>
        <w:rPr>
          <w:rFonts w:hint="eastAsia"/>
        </w:rPr>
      </w:pPr>
      <w:r>
        <w:rPr>
          <w:rFonts w:hint="eastAsia"/>
        </w:rPr>
        <w:t>有些州的法律也包括</w:t>
      </w:r>
      <w:r>
        <w:rPr>
          <w:rFonts w:hint="eastAsia"/>
        </w:rPr>
        <w:t>以妇女为对象的肯定行动：</w:t>
      </w:r>
    </w:p>
    <w:p w:rsidR="00000000" w:rsidRDefault="004D2F83" w:rsidP="004D2F83">
      <w:pPr>
        <w:spacing w:after="240" w:line="360" w:lineRule="exact"/>
        <w:ind w:leftChars="200" w:left="31680" w:hangingChars="250" w:firstLine="31680"/>
        <w:rPr>
          <w:rFonts w:hint="eastAsia"/>
        </w:rPr>
      </w:pPr>
      <w:r>
        <w:rPr>
          <w:rFonts w:hint="eastAsia"/>
        </w:rPr>
        <w:t>1</w:t>
      </w:r>
      <w:r>
        <w:rPr>
          <w:rFonts w:hint="eastAsia"/>
        </w:rPr>
        <w:t>）</w:t>
      </w:r>
      <w:r>
        <w:rPr>
          <w:rFonts w:hint="eastAsia"/>
        </w:rPr>
        <w:tab/>
      </w:r>
      <w:r>
        <w:rPr>
          <w:rFonts w:hint="eastAsia"/>
        </w:rPr>
        <w:t>联邦区——</w:t>
      </w:r>
      <w:r>
        <w:rPr>
          <w:rFonts w:ascii="SimHei" w:eastAsia="SimHei" w:hint="eastAsia"/>
          <w:bCs/>
        </w:rPr>
        <w:t>第</w:t>
      </w:r>
      <w:r>
        <w:rPr>
          <w:rFonts w:ascii="SimHei" w:eastAsia="SimHei" w:hint="eastAsia"/>
          <w:bCs/>
        </w:rPr>
        <w:t>49</w:t>
      </w:r>
      <w:r>
        <w:rPr>
          <w:rFonts w:ascii="SimHei" w:eastAsia="SimHei"/>
          <w:bCs/>
        </w:rPr>
        <w:t>/</w:t>
      </w:r>
      <w:r>
        <w:rPr>
          <w:rFonts w:ascii="SimHei" w:eastAsia="SimHei" w:hint="eastAsia"/>
          <w:bCs/>
        </w:rPr>
        <w:t>99</w:t>
      </w:r>
      <w:r>
        <w:rPr>
          <w:rFonts w:ascii="SimHei" w:eastAsia="SimHei" w:hint="eastAsia"/>
          <w:bCs/>
        </w:rPr>
        <w:t>号法律</w:t>
      </w:r>
      <w:r>
        <w:rPr>
          <w:rFonts w:hint="eastAsia"/>
        </w:rPr>
        <w:t>——在联邦区</w:t>
      </w:r>
      <w:r>
        <w:rPr>
          <w:rFonts w:hint="eastAsia"/>
          <w:bCs/>
        </w:rPr>
        <w:t>所有</w:t>
      </w:r>
      <w:r>
        <w:rPr>
          <w:rFonts w:hint="eastAsia"/>
        </w:rPr>
        <w:t>警察分局设立暴力和虐待受害妇女援助部；</w:t>
      </w:r>
    </w:p>
    <w:p w:rsidR="00000000" w:rsidRDefault="004D2F83" w:rsidP="004D2F83">
      <w:pPr>
        <w:spacing w:after="240" w:line="360" w:lineRule="exact"/>
        <w:ind w:leftChars="200" w:left="31680" w:hangingChars="250" w:firstLine="31680"/>
        <w:rPr>
          <w:rFonts w:hint="eastAsia"/>
        </w:rPr>
      </w:pPr>
      <w:r>
        <w:rPr>
          <w:rFonts w:hint="eastAsia"/>
        </w:rPr>
        <w:t>2</w:t>
      </w:r>
      <w:r>
        <w:rPr>
          <w:rFonts w:hint="eastAsia"/>
        </w:rPr>
        <w:t>）</w:t>
      </w:r>
      <w:r>
        <w:rPr>
          <w:rFonts w:hint="eastAsia"/>
        </w:rPr>
        <w:tab/>
      </w:r>
      <w:r>
        <w:rPr>
          <w:rFonts w:hint="eastAsia"/>
        </w:rPr>
        <w:t>联邦区——</w:t>
      </w:r>
      <w:r>
        <w:rPr>
          <w:rFonts w:ascii="SimHei" w:eastAsia="SimHei" w:hint="eastAsia"/>
          <w:bCs/>
        </w:rPr>
        <w:t>第</w:t>
      </w:r>
      <w:r>
        <w:rPr>
          <w:rFonts w:ascii="SimHei" w:eastAsia="SimHei"/>
          <w:bCs/>
        </w:rPr>
        <w:t>2310/</w:t>
      </w:r>
      <w:r>
        <w:rPr>
          <w:rFonts w:ascii="SimHei" w:eastAsia="SimHei" w:hint="eastAsia"/>
          <w:bCs/>
        </w:rPr>
        <w:t>99</w:t>
      </w:r>
      <w:r>
        <w:rPr>
          <w:rFonts w:ascii="SimHei" w:eastAsia="SimHei" w:hint="eastAsia"/>
          <w:bCs/>
        </w:rPr>
        <w:t>号法律</w:t>
      </w:r>
      <w:r>
        <w:rPr>
          <w:rFonts w:hint="eastAsia"/>
        </w:rPr>
        <w:t>——设立民警和宪兵警官资格培训方案，方案应考虑到暴力侵害妇女这一具体问题；</w:t>
      </w:r>
    </w:p>
    <w:p w:rsidR="00000000" w:rsidRDefault="004D2F83" w:rsidP="004D2F83">
      <w:pPr>
        <w:spacing w:after="240" w:line="360" w:lineRule="exact"/>
        <w:ind w:leftChars="200" w:left="31680" w:hangingChars="250" w:firstLine="31680"/>
        <w:rPr>
          <w:rFonts w:hint="eastAsia"/>
        </w:rPr>
      </w:pPr>
      <w:r>
        <w:rPr>
          <w:rFonts w:hint="eastAsia"/>
        </w:rPr>
        <w:t>3</w:t>
      </w:r>
      <w:r>
        <w:rPr>
          <w:rFonts w:hint="eastAsia"/>
        </w:rPr>
        <w:t>）</w:t>
      </w:r>
      <w:r>
        <w:rPr>
          <w:rFonts w:hint="eastAsia"/>
        </w:rPr>
        <w:tab/>
      </w:r>
      <w:r>
        <w:rPr>
          <w:rFonts w:hint="eastAsia"/>
        </w:rPr>
        <w:t>联邦区——</w:t>
      </w:r>
      <w:r>
        <w:rPr>
          <w:rFonts w:ascii="SimHei" w:eastAsia="SimHei" w:hint="eastAsia"/>
          <w:bCs/>
        </w:rPr>
        <w:t>第</w:t>
      </w:r>
      <w:r>
        <w:rPr>
          <w:rFonts w:ascii="SimHei" w:eastAsia="SimHei"/>
          <w:bCs/>
        </w:rPr>
        <w:t>2701/01</w:t>
      </w:r>
      <w:r>
        <w:rPr>
          <w:rFonts w:ascii="SimHei" w:eastAsia="SimHei" w:hint="eastAsia"/>
          <w:bCs/>
        </w:rPr>
        <w:t>号法律</w:t>
      </w:r>
      <w:r>
        <w:rPr>
          <w:rFonts w:hint="eastAsia"/>
        </w:rPr>
        <w:t>——在联邦区警察分局框架内建立暴力和虐待受害妇女援助处；</w:t>
      </w:r>
    </w:p>
    <w:p w:rsidR="00000000" w:rsidRDefault="004D2F83" w:rsidP="004D2F83">
      <w:pPr>
        <w:spacing w:after="240" w:line="360" w:lineRule="exact"/>
        <w:ind w:leftChars="200" w:left="31680" w:hangingChars="250" w:firstLine="31680"/>
        <w:rPr>
          <w:rFonts w:hint="eastAsia"/>
        </w:rPr>
      </w:pPr>
      <w:r>
        <w:rPr>
          <w:rFonts w:hint="eastAsia"/>
        </w:rPr>
        <w:t>4</w:t>
      </w:r>
      <w:r>
        <w:rPr>
          <w:rFonts w:hint="eastAsia"/>
        </w:rPr>
        <w:t>）</w:t>
      </w:r>
      <w:r>
        <w:rPr>
          <w:rFonts w:hint="eastAsia"/>
        </w:rPr>
        <w:tab/>
      </w:r>
      <w:r>
        <w:rPr>
          <w:rFonts w:hint="eastAsia"/>
        </w:rPr>
        <w:t>圣埃斯皮里图州——</w:t>
      </w:r>
      <w:r>
        <w:rPr>
          <w:rFonts w:ascii="SimHei" w:eastAsia="SimHei" w:hint="eastAsia"/>
          <w:bCs/>
        </w:rPr>
        <w:t>第</w:t>
      </w:r>
      <w:r>
        <w:rPr>
          <w:rFonts w:ascii="SimHei" w:eastAsia="SimHei"/>
          <w:bCs/>
        </w:rPr>
        <w:t>5601/98</w:t>
      </w:r>
      <w:r>
        <w:rPr>
          <w:rFonts w:ascii="SimHei" w:eastAsia="SimHei" w:hint="eastAsia"/>
          <w:bCs/>
        </w:rPr>
        <w:t>号法律</w:t>
      </w:r>
      <w:r>
        <w:rPr>
          <w:rFonts w:hint="eastAsia"/>
        </w:rPr>
        <w:t>——创立州妇女支助中心；</w:t>
      </w:r>
    </w:p>
    <w:p w:rsidR="00000000" w:rsidRDefault="004D2F83" w:rsidP="004D2F83">
      <w:pPr>
        <w:spacing w:after="240" w:line="360" w:lineRule="exact"/>
        <w:ind w:leftChars="200" w:left="31680" w:hangingChars="250" w:firstLine="31680"/>
        <w:rPr>
          <w:rFonts w:hint="eastAsia"/>
        </w:rPr>
      </w:pPr>
      <w:r>
        <w:rPr>
          <w:rFonts w:hint="eastAsia"/>
        </w:rPr>
        <w:t>5</w:t>
      </w:r>
      <w:r>
        <w:rPr>
          <w:rFonts w:hint="eastAsia"/>
        </w:rPr>
        <w:t>）</w:t>
      </w:r>
      <w:r>
        <w:rPr>
          <w:rFonts w:hint="eastAsia"/>
        </w:rPr>
        <w:tab/>
      </w:r>
      <w:r>
        <w:rPr>
          <w:rFonts w:hint="eastAsia"/>
        </w:rPr>
        <w:t>伯南布哥州——</w:t>
      </w:r>
      <w:r>
        <w:rPr>
          <w:rFonts w:ascii="SimHei" w:eastAsia="SimHei" w:hint="eastAsia"/>
          <w:bCs/>
        </w:rPr>
        <w:t>第</w:t>
      </w:r>
      <w:r>
        <w:rPr>
          <w:rFonts w:ascii="SimHei" w:eastAsia="SimHei"/>
          <w:bCs/>
        </w:rPr>
        <w:t>11667/99</w:t>
      </w:r>
      <w:r>
        <w:rPr>
          <w:rFonts w:ascii="SimHei" w:eastAsia="SimHei" w:hint="eastAsia"/>
          <w:bCs/>
        </w:rPr>
        <w:t>号法律</w:t>
      </w:r>
      <w:r>
        <w:rPr>
          <w:rFonts w:hint="eastAsia"/>
        </w:rPr>
        <w:t>——规定将性别公平观纳入城乡一级社会发展方案，以便促进妇女积极参与，并</w:t>
      </w:r>
      <w:r>
        <w:rPr>
          <w:rFonts w:hint="eastAsia"/>
        </w:rPr>
        <w:t>使性别问题纳入社会发展方案的做法实现最优化；</w:t>
      </w:r>
    </w:p>
    <w:p w:rsidR="00000000" w:rsidRDefault="004D2F83" w:rsidP="004D2F83">
      <w:pPr>
        <w:spacing w:after="240" w:line="360" w:lineRule="exact"/>
        <w:ind w:leftChars="200" w:left="31680" w:hangingChars="250" w:firstLine="31680"/>
        <w:rPr>
          <w:rFonts w:hint="eastAsia"/>
        </w:rPr>
      </w:pPr>
      <w:r>
        <w:rPr>
          <w:rFonts w:hint="eastAsia"/>
        </w:rPr>
        <w:t>6</w:t>
      </w:r>
      <w:r>
        <w:rPr>
          <w:rFonts w:hint="eastAsia"/>
        </w:rPr>
        <w:t>）</w:t>
      </w:r>
      <w:r>
        <w:rPr>
          <w:rFonts w:hint="eastAsia"/>
        </w:rPr>
        <w:tab/>
      </w:r>
      <w:r>
        <w:rPr>
          <w:rFonts w:hint="eastAsia"/>
        </w:rPr>
        <w:t>南里约格朗德州——</w:t>
      </w:r>
      <w:r>
        <w:rPr>
          <w:rFonts w:ascii="SimHei" w:eastAsia="SimHei" w:hint="eastAsia"/>
          <w:bCs/>
        </w:rPr>
        <w:t>第</w:t>
      </w:r>
      <w:r>
        <w:rPr>
          <w:rFonts w:ascii="SimHei" w:eastAsia="SimHei"/>
          <w:bCs/>
        </w:rPr>
        <w:t>11303/99</w:t>
      </w:r>
      <w:r>
        <w:rPr>
          <w:rFonts w:ascii="SimHei" w:eastAsia="SimHei" w:hint="eastAsia"/>
          <w:bCs/>
        </w:rPr>
        <w:t>号法律</w:t>
      </w:r>
      <w:r>
        <w:rPr>
          <w:rFonts w:hint="eastAsia"/>
        </w:rPr>
        <w:t>——明确规定男女担任州行政机构的职务</w:t>
      </w:r>
      <w:r>
        <w:t>/</w:t>
      </w:r>
      <w:r>
        <w:rPr>
          <w:rFonts w:hint="eastAsia"/>
        </w:rPr>
        <w:t>职位的最低和最高比额（</w:t>
      </w:r>
      <w:r>
        <w:t>30%</w:t>
      </w:r>
      <w:r>
        <w:rPr>
          <w:rFonts w:hint="eastAsia"/>
        </w:rPr>
        <w:t>和</w:t>
      </w:r>
      <w:r>
        <w:t>70%</w:t>
      </w:r>
      <w:r>
        <w:rPr>
          <w:rFonts w:hint="eastAsia"/>
        </w:rPr>
        <w:t>）；</w:t>
      </w:r>
    </w:p>
    <w:p w:rsidR="00000000" w:rsidRDefault="004D2F83" w:rsidP="004D2F83">
      <w:pPr>
        <w:spacing w:after="240" w:line="360" w:lineRule="exact"/>
        <w:ind w:leftChars="200" w:left="31680" w:hangingChars="250" w:firstLine="31680"/>
        <w:rPr>
          <w:rFonts w:hint="eastAsia"/>
        </w:rPr>
      </w:pPr>
      <w:r>
        <w:rPr>
          <w:rFonts w:hint="eastAsia"/>
        </w:rPr>
        <w:t>7</w:t>
      </w:r>
      <w:r>
        <w:rPr>
          <w:rFonts w:hint="eastAsia"/>
        </w:rPr>
        <w:t>）</w:t>
      </w:r>
      <w:r>
        <w:rPr>
          <w:rFonts w:hint="eastAsia"/>
        </w:rPr>
        <w:tab/>
      </w:r>
      <w:r>
        <w:rPr>
          <w:rFonts w:hint="eastAsia"/>
        </w:rPr>
        <w:t>南里约格朗德州——</w:t>
      </w:r>
      <w:r>
        <w:rPr>
          <w:rFonts w:ascii="SimHei" w:eastAsia="SimHei" w:hint="eastAsia"/>
          <w:bCs/>
        </w:rPr>
        <w:t>第</w:t>
      </w:r>
      <w:r>
        <w:rPr>
          <w:rFonts w:ascii="SimHei" w:eastAsia="SimHei"/>
          <w:bCs/>
        </w:rPr>
        <w:t>11574/01</w:t>
      </w:r>
      <w:r>
        <w:rPr>
          <w:rFonts w:ascii="SimHei" w:eastAsia="SimHei" w:hint="eastAsia"/>
          <w:bCs/>
        </w:rPr>
        <w:t>号法律</w:t>
      </w:r>
      <w:r>
        <w:rPr>
          <w:rFonts w:hint="eastAsia"/>
        </w:rPr>
        <w:t>——除其他外，规定将部分公共资金用于培训，为妇女和家庭供养者造福；</w:t>
      </w:r>
    </w:p>
    <w:p w:rsidR="00000000" w:rsidRDefault="004D2F83" w:rsidP="004D2F83">
      <w:pPr>
        <w:spacing w:after="240" w:line="360" w:lineRule="exact"/>
        <w:ind w:leftChars="200" w:left="31680" w:hangingChars="250" w:firstLine="31680"/>
        <w:rPr>
          <w:rFonts w:hint="eastAsia"/>
        </w:rPr>
      </w:pPr>
      <w:r>
        <w:rPr>
          <w:rFonts w:hint="eastAsia"/>
        </w:rPr>
        <w:t>8</w:t>
      </w:r>
      <w:r>
        <w:rPr>
          <w:rFonts w:hint="eastAsia"/>
        </w:rPr>
        <w:t>）</w:t>
      </w:r>
      <w:r>
        <w:rPr>
          <w:rFonts w:hint="eastAsia"/>
        </w:rPr>
        <w:tab/>
      </w:r>
      <w:r>
        <w:rPr>
          <w:rFonts w:hint="eastAsia"/>
        </w:rPr>
        <w:t>圣保罗州——</w:t>
      </w:r>
      <w:r>
        <w:rPr>
          <w:rFonts w:ascii="SimHei" w:eastAsia="SimHei" w:hint="eastAsia"/>
          <w:bCs/>
        </w:rPr>
        <w:t>第</w:t>
      </w:r>
      <w:r>
        <w:rPr>
          <w:rFonts w:ascii="SimHei" w:eastAsia="SimHei"/>
          <w:bCs/>
        </w:rPr>
        <w:t>10872/01</w:t>
      </w:r>
      <w:r>
        <w:rPr>
          <w:rFonts w:ascii="SimHei" w:eastAsia="SimHei" w:hint="eastAsia"/>
          <w:bCs/>
        </w:rPr>
        <w:t>号法律</w:t>
      </w:r>
      <w:r>
        <w:rPr>
          <w:rFonts w:hint="eastAsia"/>
        </w:rPr>
        <w:t>——除其他外，明确了确保男女平等的措施，并禁止以性别为由的歧视行为。</w:t>
      </w:r>
    </w:p>
    <w:p w:rsidR="00000000" w:rsidRDefault="004D2F83">
      <w:pPr>
        <w:pStyle w:val="Date"/>
        <w:spacing w:after="240" w:line="360" w:lineRule="exact"/>
        <w:rPr>
          <w:rFonts w:ascii="SimHei" w:eastAsia="SimHei" w:hint="eastAsia"/>
          <w:bCs/>
          <w:sz w:val="24"/>
        </w:rPr>
      </w:pPr>
      <w:r>
        <w:rPr>
          <w:rFonts w:ascii="SimHei" w:eastAsia="SimHei" w:hint="eastAsia"/>
          <w:bCs/>
          <w:sz w:val="24"/>
        </w:rPr>
        <w:t>州级立法——产妇保护</w:t>
      </w:r>
    </w:p>
    <w:p w:rsidR="00000000" w:rsidRDefault="004D2F83">
      <w:pPr>
        <w:spacing w:after="240" w:line="360" w:lineRule="exact"/>
        <w:rPr>
          <w:rFonts w:hint="eastAsia"/>
        </w:rPr>
      </w:pPr>
      <w:r>
        <w:rPr>
          <w:rFonts w:hint="eastAsia"/>
        </w:rPr>
        <w:t>关于母性，以下州法律也值得一提：</w:t>
      </w:r>
    </w:p>
    <w:p w:rsidR="00000000" w:rsidRDefault="004D2F83" w:rsidP="004D2F83">
      <w:pPr>
        <w:spacing w:after="240" w:line="360" w:lineRule="exact"/>
        <w:ind w:leftChars="200" w:left="31680" w:hangingChars="250" w:firstLine="31680"/>
        <w:rPr>
          <w:rFonts w:hint="eastAsia"/>
        </w:rPr>
      </w:pPr>
      <w:r>
        <w:rPr>
          <w:rFonts w:hint="eastAsia"/>
        </w:rPr>
        <w:t>1</w:t>
      </w:r>
      <w:r>
        <w:rPr>
          <w:rFonts w:hint="eastAsia"/>
        </w:rPr>
        <w:t>）</w:t>
      </w:r>
      <w:r>
        <w:rPr>
          <w:rFonts w:hint="eastAsia"/>
        </w:rPr>
        <w:tab/>
      </w:r>
      <w:r>
        <w:rPr>
          <w:rFonts w:hint="eastAsia"/>
        </w:rPr>
        <w:t>联邦区——</w:t>
      </w:r>
      <w:r>
        <w:rPr>
          <w:rFonts w:ascii="SimHei" w:eastAsia="SimHei" w:hint="eastAsia"/>
          <w:bCs/>
        </w:rPr>
        <w:t>第</w:t>
      </w:r>
      <w:r>
        <w:rPr>
          <w:rFonts w:ascii="SimHei" w:eastAsia="SimHei"/>
          <w:bCs/>
        </w:rPr>
        <w:t>331/92</w:t>
      </w:r>
      <w:r>
        <w:rPr>
          <w:rFonts w:ascii="SimHei" w:eastAsia="SimHei" w:hint="eastAsia"/>
          <w:bCs/>
        </w:rPr>
        <w:t>号法律</w:t>
      </w:r>
      <w:r>
        <w:rPr>
          <w:rFonts w:hint="eastAsia"/>
        </w:rPr>
        <w:t>——除其他外，规定</w:t>
      </w:r>
      <w:r>
        <w:rPr>
          <w:rFonts w:hint="eastAsia"/>
        </w:rPr>
        <w:t>禁止要求出示诊断妊娠的任何类型的化验以及绝育或输卵管结扎证明；</w:t>
      </w:r>
    </w:p>
    <w:p w:rsidR="00000000" w:rsidRDefault="004D2F83" w:rsidP="004D2F83">
      <w:pPr>
        <w:spacing w:after="240" w:line="360" w:lineRule="exact"/>
        <w:ind w:leftChars="200" w:left="31680" w:hangingChars="250" w:firstLine="31680"/>
        <w:rPr>
          <w:rFonts w:hint="eastAsia"/>
        </w:rPr>
      </w:pPr>
      <w:r>
        <w:rPr>
          <w:rFonts w:hint="eastAsia"/>
        </w:rPr>
        <w:t>2</w:t>
      </w:r>
      <w:r>
        <w:rPr>
          <w:rFonts w:hint="eastAsia"/>
        </w:rPr>
        <w:t>）</w:t>
      </w:r>
      <w:r>
        <w:rPr>
          <w:rFonts w:hint="eastAsia"/>
        </w:rPr>
        <w:tab/>
      </w:r>
      <w:r>
        <w:rPr>
          <w:rFonts w:hint="eastAsia"/>
        </w:rPr>
        <w:t>罗赖马州——</w:t>
      </w:r>
      <w:r>
        <w:rPr>
          <w:rFonts w:ascii="SimHei" w:eastAsia="SimHei" w:hint="eastAsia"/>
          <w:bCs/>
        </w:rPr>
        <w:t>第</w:t>
      </w:r>
      <w:r>
        <w:rPr>
          <w:rFonts w:ascii="SimHei" w:eastAsia="SimHei"/>
          <w:bCs/>
        </w:rPr>
        <w:t>89/95</w:t>
      </w:r>
      <w:r>
        <w:rPr>
          <w:rFonts w:ascii="SimHei" w:eastAsia="SimHei" w:hint="eastAsia"/>
          <w:bCs/>
        </w:rPr>
        <w:t>号法律</w:t>
      </w:r>
      <w:r>
        <w:rPr>
          <w:rFonts w:hint="eastAsia"/>
        </w:rPr>
        <w:t>——除其他外，设立孕妇和哺乳妇女以及贫困儿童补充营养方案；以及</w:t>
      </w:r>
    </w:p>
    <w:p w:rsidR="00000000" w:rsidRDefault="004D2F83" w:rsidP="004D2F83">
      <w:pPr>
        <w:spacing w:after="240" w:line="360" w:lineRule="exact"/>
        <w:ind w:leftChars="200" w:left="31680" w:hangingChars="250" w:firstLine="31680"/>
        <w:rPr>
          <w:rFonts w:hint="eastAsia"/>
        </w:rPr>
      </w:pPr>
      <w:r>
        <w:rPr>
          <w:rFonts w:hint="eastAsia"/>
        </w:rPr>
        <w:t>3</w:t>
      </w:r>
      <w:r>
        <w:rPr>
          <w:rFonts w:hint="eastAsia"/>
        </w:rPr>
        <w:t>）</w:t>
      </w:r>
      <w:r>
        <w:rPr>
          <w:rFonts w:hint="eastAsia"/>
        </w:rPr>
        <w:tab/>
      </w:r>
      <w:r>
        <w:rPr>
          <w:rFonts w:hint="eastAsia"/>
        </w:rPr>
        <w:t>马托格罗索州——</w:t>
      </w:r>
      <w:r>
        <w:rPr>
          <w:rFonts w:ascii="SimHei" w:eastAsia="SimHei" w:hint="eastAsia"/>
          <w:bCs/>
        </w:rPr>
        <w:t>第</w:t>
      </w:r>
      <w:r>
        <w:rPr>
          <w:rFonts w:ascii="SimHei" w:eastAsia="SimHei"/>
          <w:bCs/>
        </w:rPr>
        <w:t>6819/</w:t>
      </w:r>
      <w:r>
        <w:rPr>
          <w:rFonts w:ascii="SimHei" w:eastAsia="SimHei" w:hint="eastAsia"/>
          <w:bCs/>
        </w:rPr>
        <w:t>96</w:t>
      </w:r>
      <w:r>
        <w:rPr>
          <w:rFonts w:ascii="SimHei" w:eastAsia="SimHei" w:hint="eastAsia"/>
          <w:bCs/>
        </w:rPr>
        <w:t>号法律</w:t>
      </w:r>
      <w:r>
        <w:rPr>
          <w:rFonts w:hint="eastAsia"/>
        </w:rPr>
        <w:t>——规定在由州出资或协议建造的住房中心中建立日托中心和卫生所。</w:t>
      </w:r>
    </w:p>
    <w:p w:rsidR="00000000" w:rsidRDefault="004D2F83" w:rsidP="004D2F83">
      <w:pPr>
        <w:spacing w:after="240" w:line="360" w:lineRule="exact"/>
        <w:ind w:firstLineChars="200" w:firstLine="31680"/>
        <w:rPr>
          <w:rFonts w:hint="eastAsia"/>
        </w:rPr>
      </w:pPr>
      <w:r>
        <w:rPr>
          <w:rFonts w:hint="eastAsia"/>
        </w:rPr>
        <w:t>应该注意到的是，某些州的法律通过并扩大了联邦立法中规定的各项权利。这些法律重申了旨在确保妇女权利和两性平等的权利、论坛和程序，因此具有极大的现实意义，使当地社区得以开展辩论并且能够参加立法议会。</w:t>
      </w:r>
    </w:p>
    <w:p w:rsidR="00000000" w:rsidRDefault="004D2F83">
      <w:pPr>
        <w:pStyle w:val="Date"/>
        <w:spacing w:after="240" w:line="360" w:lineRule="exact"/>
        <w:rPr>
          <w:rFonts w:ascii="SimHei" w:eastAsia="SimHei" w:hint="eastAsia"/>
          <w:bCs/>
          <w:sz w:val="24"/>
        </w:rPr>
      </w:pPr>
      <w:r>
        <w:rPr>
          <w:rFonts w:ascii="SimHei" w:eastAsia="SimHei" w:hint="eastAsia"/>
          <w:bCs/>
          <w:sz w:val="24"/>
        </w:rPr>
        <w:t>法律措施</w:t>
      </w:r>
    </w:p>
    <w:p w:rsidR="00000000" w:rsidRDefault="004D2F83" w:rsidP="004D2F83">
      <w:pPr>
        <w:spacing w:after="240" w:line="360" w:lineRule="exact"/>
        <w:ind w:firstLineChars="200" w:firstLine="31680"/>
        <w:rPr>
          <w:rFonts w:hint="eastAsia"/>
        </w:rPr>
      </w:pPr>
      <w:r>
        <w:rPr>
          <w:rFonts w:hint="eastAsia"/>
        </w:rPr>
        <w:t>在</w:t>
      </w:r>
      <w:r>
        <w:rPr>
          <w:rFonts w:hint="eastAsia"/>
        </w:rPr>
        <w:t>1995</w:t>
      </w:r>
      <w:r>
        <w:rPr>
          <w:rFonts w:hint="eastAsia"/>
        </w:rPr>
        <w:t>年至</w:t>
      </w:r>
      <w:r>
        <w:rPr>
          <w:rFonts w:hint="eastAsia"/>
        </w:rPr>
        <w:t>2000</w:t>
      </w:r>
      <w:r>
        <w:rPr>
          <w:rFonts w:hint="eastAsia"/>
        </w:rPr>
        <w:t>年期间所作的</w:t>
      </w:r>
      <w:r>
        <w:rPr>
          <w:rFonts w:hint="eastAsia"/>
        </w:rPr>
        <w:t>调查表明，对种族歧视的禁令仍然被巴西的警察和法院所严重忽视。检察官兼圣保罗天主教大学教授</w:t>
      </w:r>
      <w:r>
        <w:t>Christiano Jorge Santos</w:t>
      </w:r>
      <w:r>
        <w:rPr>
          <w:rFonts w:hint="eastAsia"/>
        </w:rPr>
        <w:t>进行的研究</w:t>
      </w:r>
      <w:r>
        <w:rPr>
          <w:rStyle w:val="FootnoteReference"/>
        </w:rPr>
        <w:footnoteReference w:customMarkFollows="1" w:id="54"/>
        <w:t>54</w:t>
      </w:r>
      <w:r>
        <w:rPr>
          <w:rFonts w:hint="eastAsia"/>
        </w:rPr>
        <w:t>表明，在此期间，在巴西的</w:t>
      </w:r>
      <w:r>
        <w:rPr>
          <w:rFonts w:hint="eastAsia"/>
        </w:rPr>
        <w:t>22</w:t>
      </w:r>
      <w:r>
        <w:rPr>
          <w:rFonts w:hint="eastAsia"/>
        </w:rPr>
        <w:t>个州中正式报告的案件有</w:t>
      </w:r>
      <w:r>
        <w:t>1 050</w:t>
      </w:r>
      <w:r>
        <w:rPr>
          <w:rFonts w:hint="eastAsia"/>
        </w:rPr>
        <w:t>起。根据这些报告进行了</w:t>
      </w:r>
      <w:r>
        <w:rPr>
          <w:rFonts w:hint="eastAsia"/>
        </w:rPr>
        <w:t>651</w:t>
      </w:r>
      <w:r>
        <w:rPr>
          <w:rFonts w:hint="eastAsia"/>
        </w:rPr>
        <w:t>项调查，其中只有</w:t>
      </w:r>
      <w:r>
        <w:rPr>
          <w:rFonts w:hint="eastAsia"/>
        </w:rPr>
        <w:t>394</w:t>
      </w:r>
      <w:r>
        <w:rPr>
          <w:rFonts w:hint="eastAsia"/>
        </w:rPr>
        <w:t>项调查导致提出了法律诉讼。没有任何定罪记录。</w:t>
      </w:r>
    </w:p>
    <w:p w:rsidR="00000000" w:rsidRDefault="004D2F83" w:rsidP="004D2F83">
      <w:pPr>
        <w:spacing w:after="240" w:line="360" w:lineRule="exact"/>
        <w:ind w:firstLineChars="200" w:firstLine="31680"/>
        <w:rPr>
          <w:rFonts w:hint="eastAsia"/>
        </w:rPr>
      </w:pPr>
      <w:r>
        <w:rPr>
          <w:rFonts w:hint="eastAsia"/>
        </w:rPr>
        <w:t>1999</w:t>
      </w:r>
      <w:r>
        <w:rPr>
          <w:rFonts w:hint="eastAsia"/>
        </w:rPr>
        <w:t>年</w:t>
      </w:r>
      <w:r>
        <w:rPr>
          <w:rFonts w:hint="eastAsia"/>
        </w:rPr>
        <w:t>4</w:t>
      </w:r>
      <w:r>
        <w:rPr>
          <w:rFonts w:hint="eastAsia"/>
        </w:rPr>
        <w:t>月，巴西司法机关重申妇女的权利，针对社会福利救济部于</w:t>
      </w:r>
      <w:r>
        <w:rPr>
          <w:rFonts w:hint="eastAsia"/>
        </w:rPr>
        <w:t>1998</w:t>
      </w:r>
      <w:r>
        <w:rPr>
          <w:rFonts w:hint="eastAsia"/>
        </w:rPr>
        <w:t>年晚些时候颁布的一项、降低产妇薪金额的行政裁定，发出针对预期诉讼的令状的禁止令。该行政裁定将产妇薪金纳入社会保障体系支付的福利中，这样该</w:t>
      </w:r>
      <w:r>
        <w:rPr>
          <w:rFonts w:hint="eastAsia"/>
        </w:rPr>
        <w:t>金额即为</w:t>
      </w:r>
      <w:r>
        <w:t>1 200.</w:t>
      </w:r>
      <w:r>
        <w:rPr>
          <w:rFonts w:hint="eastAsia"/>
        </w:rPr>
        <w:t>00</w:t>
      </w:r>
      <w:r>
        <w:rPr>
          <w:rFonts w:hint="eastAsia"/>
        </w:rPr>
        <w:t>雷亚尔，相当于十类最低工资。</w:t>
      </w:r>
    </w:p>
    <w:p w:rsidR="00000000" w:rsidRDefault="004D2F83" w:rsidP="004D2F83">
      <w:pPr>
        <w:spacing w:after="240" w:line="360" w:lineRule="exact"/>
        <w:ind w:firstLineChars="200" w:firstLine="31680"/>
        <w:rPr>
          <w:rFonts w:hint="eastAsia"/>
        </w:rPr>
      </w:pPr>
      <w:r>
        <w:rPr>
          <w:rFonts w:hint="eastAsia"/>
        </w:rPr>
        <w:t>国民议会的几名成员做出反应，提交了请求暂停该措施的法案。同时巴西社会党也提出了违宪诉讼，被最高法院受理。最高法院因此重申“产假为</w:t>
      </w:r>
      <w:r>
        <w:rPr>
          <w:rFonts w:hint="eastAsia"/>
        </w:rPr>
        <w:t>120</w:t>
      </w:r>
      <w:r>
        <w:rPr>
          <w:rFonts w:hint="eastAsia"/>
        </w:rPr>
        <w:t>天且工作和薪金不受影响”这一宪法权利，尽管此项裁定还不是终局裁定。为此，通过妇女运动和某些职业类别的妇女团体、工会和党派组织开展动员工作和宣传活动，具有至关重要的意义。</w:t>
      </w:r>
    </w:p>
    <w:p w:rsidR="00000000" w:rsidRDefault="004D2F83">
      <w:pPr>
        <w:pStyle w:val="Date"/>
        <w:spacing w:after="240" w:line="360" w:lineRule="exact"/>
        <w:rPr>
          <w:rFonts w:ascii="SimHei" w:eastAsia="SimHei" w:hint="eastAsia"/>
          <w:bCs/>
          <w:sz w:val="24"/>
        </w:rPr>
      </w:pPr>
      <w:r>
        <w:rPr>
          <w:rFonts w:ascii="SimHei" w:eastAsia="SimHei" w:hint="eastAsia"/>
          <w:bCs/>
          <w:sz w:val="24"/>
        </w:rPr>
        <w:t>政府行动</w:t>
      </w:r>
    </w:p>
    <w:p w:rsidR="00000000" w:rsidRDefault="004D2F83" w:rsidP="004D2F83">
      <w:pPr>
        <w:spacing w:after="240" w:line="360" w:lineRule="exact"/>
        <w:ind w:firstLineChars="200" w:firstLine="31680"/>
        <w:rPr>
          <w:rFonts w:hint="eastAsia"/>
        </w:rPr>
      </w:pPr>
      <w:r>
        <w:rPr>
          <w:rFonts w:hint="eastAsia"/>
        </w:rPr>
        <w:t>农业发展部执行了一项配额方案，最初将全部资金的</w:t>
      </w:r>
      <w:r>
        <w:t>30%</w:t>
      </w:r>
      <w:r>
        <w:rPr>
          <w:rFonts w:hint="eastAsia"/>
        </w:rPr>
        <w:t>专门拨给从事家庭农业的定居妇女。这种资金分配方式包括国家加强家庭农业方案和土地银行（</w:t>
      </w:r>
      <w:r>
        <w:t>Banc</w:t>
      </w:r>
      <w:r>
        <w:t>o da Terra</w:t>
      </w:r>
      <w:r>
        <w:rPr>
          <w:rFonts w:hint="eastAsia"/>
        </w:rPr>
        <w:t>）的信贷额度以及资格培训和技术援助。因此，妇女有权领取政府为资助农业改革项目全年所提供的</w:t>
      </w:r>
      <w:r>
        <w:t>42</w:t>
      </w:r>
      <w:r>
        <w:rPr>
          <w:rFonts w:hint="eastAsia"/>
        </w:rPr>
        <w:t>亿雷亚尔（</w:t>
      </w:r>
      <w:r>
        <w:rPr>
          <w:rFonts w:hint="eastAsia"/>
        </w:rPr>
        <w:t>12</w:t>
      </w:r>
      <w:r>
        <w:rPr>
          <w:rFonts w:hint="eastAsia"/>
        </w:rPr>
        <w:t>亿美元）中的</w:t>
      </w:r>
      <w:r>
        <w:t>30%</w:t>
      </w:r>
      <w:r>
        <w:rPr>
          <w:rFonts w:hint="eastAsia"/>
        </w:rPr>
        <w:t>。劳动就业部则在非正规部门中建立了具有性别公平观的“就业和创收方案”。在</w:t>
      </w:r>
      <w:r>
        <w:rPr>
          <w:rFonts w:hint="eastAsia"/>
        </w:rPr>
        <w:t>1999</w:t>
      </w:r>
      <w:r>
        <w:rPr>
          <w:rFonts w:hint="eastAsia"/>
        </w:rPr>
        <w:t>年与巴西银行、东北银行和联邦政府储蓄银行订约的金融业务活动中，有</w:t>
      </w:r>
      <w:r>
        <w:t>46.4%</w:t>
      </w:r>
      <w:r>
        <w:rPr>
          <w:rFonts w:hint="eastAsia"/>
        </w:rPr>
        <w:t>的活动是由妇女实施的，并且产生了</w:t>
      </w:r>
      <w:r>
        <w:t>48%</w:t>
      </w:r>
      <w:r>
        <w:rPr>
          <w:rFonts w:hint="eastAsia"/>
        </w:rPr>
        <w:t>的新的工作机会。该部还执行了“全国劳动者资格培训计划”（资培计划），协调各级劳动问题秘书处和妇女委员会范围内所开展的各项行动，以便拟订扩大和调整女工专业资格培训的项目。劳动就业</w:t>
      </w:r>
      <w:r>
        <w:rPr>
          <w:rFonts w:hint="eastAsia"/>
        </w:rPr>
        <w:t>部与司法部合作，制定了“禁止在工作和职业中歧视的方案”，目的是按照巴西批准的国际劳工组织（劳工组织）第</w:t>
      </w:r>
      <w:r>
        <w:rPr>
          <w:rFonts w:hint="eastAsia"/>
        </w:rPr>
        <w:t>100</w:t>
      </w:r>
      <w:r>
        <w:rPr>
          <w:rFonts w:hint="eastAsia"/>
        </w:rPr>
        <w:t>、</w:t>
      </w:r>
      <w:r>
        <w:rPr>
          <w:rFonts w:hint="eastAsia"/>
        </w:rPr>
        <w:t>111</w:t>
      </w:r>
      <w:r>
        <w:rPr>
          <w:rFonts w:hint="eastAsia"/>
        </w:rPr>
        <w:t>和</w:t>
      </w:r>
      <w:r>
        <w:rPr>
          <w:rFonts w:hint="eastAsia"/>
        </w:rPr>
        <w:t>159</w:t>
      </w:r>
      <w:r>
        <w:rPr>
          <w:rFonts w:hint="eastAsia"/>
        </w:rPr>
        <w:t>号公约的规定，执行促进劳动力市场上均等机会和平等待遇的政策。</w:t>
      </w:r>
    </w:p>
    <w:p w:rsidR="00000000" w:rsidRDefault="004D2F83" w:rsidP="004D2F83">
      <w:pPr>
        <w:spacing w:after="240" w:line="360" w:lineRule="exact"/>
        <w:ind w:firstLineChars="200" w:firstLine="31680"/>
        <w:rPr>
          <w:rFonts w:hint="eastAsia"/>
        </w:rPr>
      </w:pPr>
      <w:r>
        <w:rPr>
          <w:rFonts w:hint="eastAsia"/>
        </w:rPr>
        <w:t>司法部计划统一部会间打击家庭暴力和性暴力的行动并考虑关于这一问题的合作条款和协定，因此拟订了“全国妇女权利委员会防止和打击家庭暴力和性暴力行为国家方案”。</w:t>
      </w:r>
    </w:p>
    <w:p w:rsidR="00000000" w:rsidRDefault="004D2F83" w:rsidP="004D2F83">
      <w:pPr>
        <w:spacing w:after="240" w:line="360" w:lineRule="exact"/>
        <w:ind w:firstLineChars="200" w:firstLine="31680"/>
        <w:rPr>
          <w:rFonts w:hint="eastAsia"/>
        </w:rPr>
      </w:pPr>
      <w:r>
        <w:rPr>
          <w:rFonts w:hint="eastAsia"/>
        </w:rPr>
        <w:t>在卫生部范围内采取的，某些行动值得特别注意：制定了充分援助妇女保健、母性和儿童及防治营养不良症等方案。新的多年期计划（</w:t>
      </w:r>
      <w:r>
        <w:rPr>
          <w:rFonts w:hint="eastAsia"/>
        </w:rPr>
        <w:t>2000</w:t>
      </w:r>
      <w:r>
        <w:rPr>
          <w:rFonts w:hint="eastAsia"/>
        </w:rPr>
        <w:t>—</w:t>
      </w:r>
      <w:r>
        <w:rPr>
          <w:rFonts w:hint="eastAsia"/>
        </w:rPr>
        <w:t>2002</w:t>
      </w:r>
      <w:r>
        <w:rPr>
          <w:rFonts w:hint="eastAsia"/>
        </w:rPr>
        <w:t>年）在妇女保健方案范围内确定了药品</w:t>
      </w:r>
      <w:r>
        <w:rPr>
          <w:rFonts w:hint="eastAsia"/>
        </w:rPr>
        <w:t>购买和分配以及计划生育、教育运动、学习和研究的战略投入，以及界定与妇女保健有关，特别是产前、高危妊娠、分娩和产后护理有关的规则、程序和准则，以及确立为妇女怀孕和分娩提供更人道的援助的系统和服务。</w:t>
      </w:r>
    </w:p>
    <w:p w:rsidR="00000000" w:rsidRDefault="004D2F83" w:rsidP="004D2F83">
      <w:pPr>
        <w:spacing w:after="240" w:line="360" w:lineRule="exact"/>
        <w:ind w:firstLineChars="200" w:firstLine="31680"/>
        <w:rPr>
          <w:rFonts w:hint="eastAsia"/>
        </w:rPr>
      </w:pPr>
      <w:r>
        <w:rPr>
          <w:rFonts w:hint="eastAsia"/>
        </w:rPr>
        <w:t>执行部门的下列规范性行动也值得特别注意：</w:t>
      </w:r>
    </w:p>
    <w:p w:rsidR="00000000" w:rsidRDefault="004D2F83" w:rsidP="004D2F83">
      <w:pPr>
        <w:spacing w:after="240" w:line="360" w:lineRule="exact"/>
        <w:ind w:leftChars="200" w:left="31680" w:hangingChars="200" w:firstLine="31680"/>
        <w:rPr>
          <w:rFonts w:hint="eastAsia"/>
        </w:rPr>
      </w:pPr>
      <w:r>
        <w:t>a</w:t>
      </w:r>
      <w:r>
        <w:rPr>
          <w:rFonts w:hint="eastAsia"/>
        </w:rPr>
        <w:t>）</w:t>
      </w:r>
      <w:r>
        <w:rPr>
          <w:rFonts w:hint="eastAsia"/>
        </w:rPr>
        <w:tab/>
      </w:r>
      <w:r>
        <w:rPr>
          <w:rFonts w:hint="eastAsia"/>
        </w:rPr>
        <w:t>农业发展部——颁布的行政裁定规定，该部和国家移殖和农业改革研究所中</w:t>
      </w:r>
      <w:r>
        <w:t>20%</w:t>
      </w:r>
      <w:r>
        <w:rPr>
          <w:rFonts w:hint="eastAsia"/>
        </w:rPr>
        <w:t>的职务</w:t>
      </w:r>
      <w:r>
        <w:t>/</w:t>
      </w:r>
      <w:r>
        <w:rPr>
          <w:rFonts w:hint="eastAsia"/>
        </w:rPr>
        <w:t>职位将留给黑人和穆拉托人。向该部提供服务的私人公司也须遵守此项规定。预计到</w:t>
      </w:r>
      <w:r>
        <w:rPr>
          <w:rFonts w:hint="eastAsia"/>
        </w:rPr>
        <w:t>2003</w:t>
      </w:r>
      <w:r>
        <w:rPr>
          <w:rFonts w:hint="eastAsia"/>
        </w:rPr>
        <w:t>年该比率将达到占所有职务</w:t>
      </w:r>
      <w:r>
        <w:t>/</w:t>
      </w:r>
      <w:r>
        <w:rPr>
          <w:rFonts w:hint="eastAsia"/>
        </w:rPr>
        <w:t>职位的</w:t>
      </w:r>
      <w:r>
        <w:t>30%</w:t>
      </w:r>
      <w:r>
        <w:rPr>
          <w:rFonts w:hint="eastAsia"/>
        </w:rPr>
        <w:t>；</w:t>
      </w:r>
    </w:p>
    <w:p w:rsidR="00000000" w:rsidRDefault="004D2F83" w:rsidP="004D2F83">
      <w:pPr>
        <w:spacing w:after="240" w:line="340" w:lineRule="exact"/>
        <w:ind w:leftChars="200" w:left="31680" w:hangingChars="200" w:firstLine="31680"/>
        <w:rPr>
          <w:rFonts w:hint="eastAsia"/>
        </w:rPr>
      </w:pPr>
      <w:r>
        <w:t>b</w:t>
      </w:r>
      <w:r>
        <w:rPr>
          <w:rFonts w:hint="eastAsia"/>
        </w:rPr>
        <w:t>）</w:t>
      </w:r>
      <w:r>
        <w:rPr>
          <w:rFonts w:hint="eastAsia"/>
        </w:rPr>
        <w:tab/>
      </w:r>
      <w:r>
        <w:rPr>
          <w:rFonts w:hint="eastAsia"/>
        </w:rPr>
        <w:t>国家社会保障协会——颁布的第</w:t>
      </w:r>
      <w:r>
        <w:t>25/2000</w:t>
      </w:r>
      <w:r>
        <w:rPr>
          <w:rFonts w:hint="eastAsia"/>
        </w:rPr>
        <w:t>号规范性指示通过</w:t>
      </w:r>
      <w:r>
        <w:rPr>
          <w:rFonts w:hint="eastAsia"/>
        </w:rPr>
        <w:t>判决确定了将要采纳的程序：同性恋者因伴侣死亡也可领取抚恤金；</w:t>
      </w:r>
    </w:p>
    <w:p w:rsidR="00000000" w:rsidRDefault="004D2F83" w:rsidP="004D2F83">
      <w:pPr>
        <w:spacing w:after="240" w:line="340" w:lineRule="exact"/>
        <w:ind w:leftChars="200" w:left="31680" w:hangingChars="200" w:firstLine="31680"/>
        <w:rPr>
          <w:rFonts w:hint="eastAsia"/>
        </w:rPr>
      </w:pPr>
      <w:r>
        <w:t>c</w:t>
      </w:r>
      <w:r>
        <w:rPr>
          <w:rFonts w:hint="eastAsia"/>
        </w:rPr>
        <w:t>）</w:t>
      </w:r>
      <w:r>
        <w:rPr>
          <w:rFonts w:hint="eastAsia"/>
        </w:rPr>
        <w:tab/>
      </w:r>
      <w:r>
        <w:rPr>
          <w:rFonts w:hint="eastAsia"/>
        </w:rPr>
        <w:t>劳动就业部——</w:t>
      </w:r>
      <w:r>
        <w:rPr>
          <w:rFonts w:hint="eastAsia"/>
        </w:rPr>
        <w:t>1996</w:t>
      </w:r>
      <w:r>
        <w:rPr>
          <w:rFonts w:hint="eastAsia"/>
        </w:rPr>
        <w:t>年</w:t>
      </w:r>
      <w:r>
        <w:rPr>
          <w:rFonts w:hint="eastAsia"/>
        </w:rPr>
        <w:t>3</w:t>
      </w:r>
      <w:r>
        <w:rPr>
          <w:rFonts w:hint="eastAsia"/>
        </w:rPr>
        <w:t>月</w:t>
      </w:r>
      <w:r>
        <w:rPr>
          <w:rFonts w:hint="eastAsia"/>
        </w:rPr>
        <w:t>20</w:t>
      </w:r>
      <w:r>
        <w:rPr>
          <w:rFonts w:hint="eastAsia"/>
        </w:rPr>
        <w:t>日行政令，建立了消除工作和职业歧视工作组，其任务是拟订和提出有关研究、方案和战略的建议，以期促进两性平等和种族平等，以及一切形式的消除劳动力市场中歧视行为的做法。建立常设妇女工作组也值得一提。</w:t>
      </w:r>
    </w:p>
    <w:p w:rsidR="00000000" w:rsidRDefault="004D2F83" w:rsidP="004D2F83">
      <w:pPr>
        <w:spacing w:after="240" w:line="340" w:lineRule="exact"/>
        <w:ind w:leftChars="200" w:left="31680" w:hangingChars="200" w:firstLine="31680"/>
        <w:rPr>
          <w:rFonts w:hint="eastAsia"/>
        </w:rPr>
      </w:pPr>
      <w:r>
        <w:t>d</w:t>
      </w:r>
      <w:r>
        <w:rPr>
          <w:rFonts w:hint="eastAsia"/>
        </w:rPr>
        <w:t>）</w:t>
      </w:r>
      <w:r>
        <w:rPr>
          <w:rFonts w:hint="eastAsia"/>
        </w:rPr>
        <w:tab/>
      </w:r>
      <w:r>
        <w:rPr>
          <w:rFonts w:hint="eastAsia"/>
        </w:rPr>
        <w:t>劳动就业部——</w:t>
      </w:r>
      <w:r>
        <w:rPr>
          <w:rFonts w:hint="eastAsia"/>
        </w:rPr>
        <w:t>2002</w:t>
      </w:r>
      <w:r>
        <w:rPr>
          <w:rFonts w:hint="eastAsia"/>
        </w:rPr>
        <w:t>年</w:t>
      </w:r>
      <w:r>
        <w:rPr>
          <w:rFonts w:hint="eastAsia"/>
        </w:rPr>
        <w:t>6</w:t>
      </w:r>
      <w:r>
        <w:rPr>
          <w:rFonts w:hint="eastAsia"/>
        </w:rPr>
        <w:t>月</w:t>
      </w:r>
      <w:r>
        <w:rPr>
          <w:rFonts w:hint="eastAsia"/>
        </w:rPr>
        <w:t>1</w:t>
      </w:r>
      <w:r>
        <w:rPr>
          <w:rFonts w:hint="eastAsia"/>
        </w:rPr>
        <w:t>日颁布了第</w:t>
      </w:r>
      <w:r>
        <w:rPr>
          <w:rFonts w:hint="eastAsia"/>
        </w:rPr>
        <w:t>604</w:t>
      </w:r>
      <w:r>
        <w:rPr>
          <w:rFonts w:hint="eastAsia"/>
        </w:rPr>
        <w:t>号行政裁定，在劳动问题区域秘书处下设立促进机会均等和消除歧视中心。</w:t>
      </w:r>
      <w:r>
        <w:rPr>
          <w:rStyle w:val="FootnoteReference"/>
        </w:rPr>
        <w:footnoteReference w:customMarkFollows="1" w:id="55"/>
        <w:t>55</w:t>
      </w:r>
    </w:p>
    <w:p w:rsidR="00000000" w:rsidRDefault="004D2F83" w:rsidP="004D2F83">
      <w:pPr>
        <w:spacing w:after="240" w:line="340" w:lineRule="exact"/>
        <w:ind w:left="200" w:firstLineChars="200" w:firstLine="31680"/>
        <w:rPr>
          <w:rFonts w:hint="eastAsia"/>
        </w:rPr>
      </w:pPr>
      <w:r>
        <w:rPr>
          <w:rFonts w:hint="eastAsia"/>
        </w:rPr>
        <w:t>在立法和公共政策方面对这一问题的关注程度，与妇女在孕期和产后实际上有权享有的护理和援助不一致。</w:t>
      </w:r>
      <w:r>
        <w:rPr>
          <w:rFonts w:hint="eastAsia"/>
        </w:rPr>
        <w:t>国内非常严重的一个问题是产妇死亡率</w:t>
      </w:r>
      <w:r>
        <w:t>/</w:t>
      </w:r>
      <w:r>
        <w:rPr>
          <w:rFonts w:hint="eastAsia"/>
        </w:rPr>
        <w:t>发病率非常之高，这表明巴西的说法及所做的国际承诺与巴西现实不符。这种情况导致在众议院内建立了一个议会调查委员会，专门调查“巴西产妇死亡率情况”。该委员会在经过十六个月的工作之后于</w:t>
      </w:r>
      <w:r>
        <w:rPr>
          <w:rFonts w:hint="eastAsia"/>
        </w:rPr>
        <w:t>2001</w:t>
      </w:r>
      <w:r>
        <w:rPr>
          <w:rFonts w:hint="eastAsia"/>
        </w:rPr>
        <w:t>年</w:t>
      </w:r>
      <w:r>
        <w:rPr>
          <w:rFonts w:hint="eastAsia"/>
        </w:rPr>
        <w:t>8</w:t>
      </w:r>
      <w:r>
        <w:rPr>
          <w:rFonts w:hint="eastAsia"/>
        </w:rPr>
        <w:t>月</w:t>
      </w:r>
      <w:r>
        <w:rPr>
          <w:rFonts w:hint="eastAsia"/>
        </w:rPr>
        <w:t>22</w:t>
      </w:r>
      <w:r>
        <w:rPr>
          <w:rFonts w:hint="eastAsia"/>
        </w:rPr>
        <w:t>日结束了其活动，向众议院议长提交了报告。委员会得出的调查结果和结论有：政府和非政府机构方面缺乏关于巴西产妇死亡数目的知识；估计每</w:t>
      </w:r>
      <w:r>
        <w:rPr>
          <w:rFonts w:hint="eastAsia"/>
        </w:rPr>
        <w:t>10</w:t>
      </w:r>
      <w:r>
        <w:rPr>
          <w:rFonts w:hint="eastAsia"/>
        </w:rPr>
        <w:t>万活产有</w:t>
      </w:r>
      <w:r>
        <w:rPr>
          <w:rFonts w:hint="eastAsia"/>
        </w:rPr>
        <w:t>137</w:t>
      </w:r>
      <w:r>
        <w:rPr>
          <w:rFonts w:hint="eastAsia"/>
        </w:rPr>
        <w:t>名产妇死亡；建议立即审查与妇女保健有关的项目——特别是将医生未能适当填写死亡证明的行为定为犯罪的项目和以及要求公证处每季度向全国地理统</w:t>
      </w:r>
      <w:r>
        <w:rPr>
          <w:rFonts w:hint="eastAsia"/>
        </w:rPr>
        <w:t>计局和保健问题市秘书处提供死亡数据并具体说明死因的项目；以及必须认识到产前护理有可能避免</w:t>
      </w:r>
      <w:r>
        <w:rPr>
          <w:rFonts w:hint="eastAsia"/>
        </w:rPr>
        <w:t>90</w:t>
      </w:r>
      <w:r>
        <w:t>%</w:t>
      </w:r>
      <w:r>
        <w:rPr>
          <w:rFonts w:hint="eastAsia"/>
        </w:rPr>
        <w:t>以上的产妇死亡。</w:t>
      </w:r>
    </w:p>
    <w:p w:rsidR="00000000" w:rsidRDefault="004D2F83">
      <w:pPr>
        <w:pStyle w:val="Date"/>
        <w:spacing w:after="240" w:line="340" w:lineRule="exact"/>
        <w:ind w:left="200"/>
        <w:rPr>
          <w:rFonts w:ascii="SimHei" w:eastAsia="SimHei" w:hint="eastAsia"/>
          <w:bCs/>
          <w:sz w:val="24"/>
        </w:rPr>
      </w:pPr>
      <w:r>
        <w:rPr>
          <w:rFonts w:ascii="SimHei" w:eastAsia="SimHei" w:hint="eastAsia"/>
          <w:bCs/>
          <w:sz w:val="24"/>
        </w:rPr>
        <w:t>因素和困难</w:t>
      </w:r>
    </w:p>
    <w:p w:rsidR="00000000" w:rsidRDefault="004D2F83">
      <w:pPr>
        <w:spacing w:after="240" w:line="340" w:lineRule="exact"/>
        <w:ind w:left="200" w:firstLine="359"/>
        <w:rPr>
          <w:rFonts w:hint="eastAsia"/>
        </w:rPr>
      </w:pPr>
      <w:r>
        <w:rPr>
          <w:rFonts w:hint="eastAsia"/>
        </w:rPr>
        <w:t>关于各项肯定行动，必须强调以下几点：</w:t>
      </w:r>
    </w:p>
    <w:p w:rsidR="00000000" w:rsidRDefault="004D2F83" w:rsidP="004D2F83">
      <w:pPr>
        <w:spacing w:after="240" w:line="340" w:lineRule="exact"/>
        <w:ind w:leftChars="200" w:left="31680" w:hangingChars="200" w:firstLine="31680"/>
        <w:rPr>
          <w:rFonts w:hint="eastAsia"/>
        </w:rPr>
      </w:pPr>
      <w:r>
        <w:t>a</w:t>
      </w:r>
      <w:r>
        <w:rPr>
          <w:rFonts w:hint="eastAsia"/>
        </w:rPr>
        <w:t>）</w:t>
      </w:r>
      <w:r>
        <w:rPr>
          <w:rFonts w:hint="eastAsia"/>
        </w:rPr>
        <w:tab/>
      </w:r>
      <w:r>
        <w:rPr>
          <w:rFonts w:hint="eastAsia"/>
        </w:rPr>
        <w:t>鉴于肯定行动的界定和拟定方式，某些行动不再是暂行措施，而成为永久性机制，旨在确定两性平等的程度。这方面的一个实例是法律确定了比例选举的百分比：最初此项法律批准了女候选人的比率，但后来经过修正，包括了男女候选人的限额，确定了男女候选人的最小比率和最大比率。这些措施尽管不足以改变男女各自的权力现状和关系，但有助于重新调整几个社会部门在获得权力、获</w:t>
      </w:r>
      <w:r>
        <w:rPr>
          <w:rFonts w:hint="eastAsia"/>
        </w:rPr>
        <w:t>得劳动力市场中的职位、获得大学和培训班中的名额等方面的机会。因此，需要通过必要的预算分配，将其纳入更广泛的公共政策中；</w:t>
      </w:r>
    </w:p>
    <w:p w:rsidR="00000000" w:rsidRDefault="004D2F83" w:rsidP="004D2F83">
      <w:pPr>
        <w:spacing w:after="240" w:line="340" w:lineRule="exact"/>
        <w:ind w:leftChars="200" w:left="31680" w:hangingChars="200" w:firstLine="31680"/>
        <w:rPr>
          <w:rFonts w:hint="eastAsia"/>
        </w:rPr>
      </w:pPr>
      <w:r>
        <w:t>b</w:t>
      </w:r>
      <w:r>
        <w:rPr>
          <w:rFonts w:hint="eastAsia"/>
        </w:rPr>
        <w:t>）</w:t>
      </w:r>
      <w:r>
        <w:rPr>
          <w:rFonts w:hint="eastAsia"/>
        </w:rPr>
        <w:tab/>
      </w:r>
      <w:r>
        <w:rPr>
          <w:rFonts w:hint="eastAsia"/>
        </w:rPr>
        <w:t>在采用参政比例制度之前宪法已做出规定，确定了劳动领域里的男女比例和残疾人所占比例，为通过公务员录用考试的残疾人留有一定比例的职位</w:t>
      </w:r>
      <w:r>
        <w:t>/</w:t>
      </w:r>
      <w:r>
        <w:rPr>
          <w:rFonts w:hint="eastAsia"/>
        </w:rPr>
        <w:t>职务。基于这两种经验，有可能将比例制度扩展到其他社会部门，譬如，将获得住房和公共土地的权利扩展到女户主；或在高等教育、选举和某些劳动部门，覆盖范围扩展至黑人。通过比例制度采取肯定行动，就其对社会所产生的意义和影响尚需进一步讨论；</w:t>
      </w:r>
    </w:p>
    <w:p w:rsidR="00000000" w:rsidRDefault="004D2F83" w:rsidP="004D2F83">
      <w:pPr>
        <w:spacing w:after="240" w:line="340" w:lineRule="exact"/>
        <w:ind w:leftChars="200" w:left="31680" w:hangingChars="200" w:firstLine="31680"/>
        <w:rPr>
          <w:rFonts w:hint="eastAsia"/>
        </w:rPr>
      </w:pPr>
      <w:r>
        <w:t>c</w:t>
      </w:r>
      <w:r>
        <w:rPr>
          <w:rFonts w:hint="eastAsia"/>
        </w:rPr>
        <w:t>）</w:t>
      </w:r>
      <w:r>
        <w:rPr>
          <w:rFonts w:hint="eastAsia"/>
        </w:rPr>
        <w:tab/>
      </w:r>
      <w:r>
        <w:rPr>
          <w:rFonts w:hint="eastAsia"/>
        </w:rPr>
        <w:t>在国家范围内，执行部</w:t>
      </w:r>
      <w:r>
        <w:rPr>
          <w:rFonts w:hint="eastAsia"/>
        </w:rPr>
        <w:t>门通过某些部委执行了一些倡议，这表明有可能并且也需要加强方案和设立工作组，在其组织框架和工作人员范围内确定和消除男女不平等现象。总而言之，人们意识到，这方面的倡议仍然缺乏魄力，缩手缩脚，工作组也多次显得办事效率不高。另外值得一提的还有农业发展部的倡议，这些倡议确定了妇女在部内管理职位上所占的比例。特别值得一提的还有劳动就业部的倡议，该部为消除种族和性别歧视设立了工作组，并且建立了促进平等中心；</w:t>
      </w:r>
    </w:p>
    <w:p w:rsidR="00000000" w:rsidRDefault="004D2F83" w:rsidP="004D2F83">
      <w:pPr>
        <w:spacing w:after="240" w:line="340" w:lineRule="exact"/>
        <w:ind w:leftChars="200" w:left="31680" w:hangingChars="200" w:firstLine="31680"/>
        <w:rPr>
          <w:rFonts w:hint="eastAsia"/>
        </w:rPr>
      </w:pPr>
      <w:r>
        <w:t>d</w:t>
      </w:r>
      <w:r>
        <w:rPr>
          <w:rFonts w:hint="eastAsia"/>
        </w:rPr>
        <w:t>）</w:t>
      </w:r>
      <w:r>
        <w:rPr>
          <w:rFonts w:hint="eastAsia"/>
        </w:rPr>
        <w:tab/>
      </w:r>
      <w:r>
        <w:rPr>
          <w:rFonts w:hint="eastAsia"/>
        </w:rPr>
        <w:t>至于司法部门，与立法和行政两个部门相比，该部门采取肯定措施的困难更大。至今人们普遍持有的平等观点、依然并不关</w:t>
      </w:r>
      <w:r>
        <w:rPr>
          <w:rFonts w:hint="eastAsia"/>
        </w:rPr>
        <w:t>注性别的独特性和差异性。但是，就从性别角度对人权问题敏感的法律界专业人员的先决条件而言，现已开始提出一些倡议，尽管从种族或民族观点来看还未走到这一步；</w:t>
      </w:r>
    </w:p>
    <w:p w:rsidR="00000000" w:rsidRDefault="004D2F83" w:rsidP="004D2F83">
      <w:pPr>
        <w:spacing w:after="240" w:line="340" w:lineRule="exact"/>
        <w:ind w:leftChars="200" w:left="31680" w:hangingChars="200" w:firstLine="31680"/>
        <w:rPr>
          <w:rFonts w:hint="eastAsia"/>
        </w:rPr>
      </w:pPr>
      <w:r>
        <w:t>e</w:t>
      </w:r>
      <w:r>
        <w:rPr>
          <w:rFonts w:hint="eastAsia"/>
        </w:rPr>
        <w:t>）</w:t>
      </w:r>
      <w:r>
        <w:rPr>
          <w:rFonts w:hint="eastAsia"/>
        </w:rPr>
        <w:tab/>
      </w:r>
      <w:r>
        <w:rPr>
          <w:rFonts w:hint="eastAsia"/>
        </w:rPr>
        <w:t>最后，还值得一提的有不稳定性，以及缺乏按性别和种族</w:t>
      </w:r>
      <w:r>
        <w:t>/</w:t>
      </w:r>
      <w:r>
        <w:rPr>
          <w:rFonts w:hint="eastAsia"/>
        </w:rPr>
        <w:t>族裔细分的统计数据和资料。这种数据是必要的，以便对这些部门的状况进行真实的分析，从而能够制订出使这些部门的状况和关系真正产生变化的公共政策，并对这些政策，特别是肯定行动采取后续行动并进行监测，以确保进行合格的评估程序。</w:t>
      </w:r>
    </w:p>
    <w:p w:rsidR="00000000" w:rsidRDefault="004D2F83" w:rsidP="004D2F83">
      <w:pPr>
        <w:spacing w:after="240" w:line="340" w:lineRule="exact"/>
        <w:ind w:left="200" w:firstLineChars="200" w:firstLine="31680"/>
        <w:rPr>
          <w:rFonts w:hint="eastAsia"/>
        </w:rPr>
      </w:pPr>
      <w:r>
        <w:rPr>
          <w:rFonts w:hint="eastAsia"/>
        </w:rPr>
        <w:t>在工作场所保护母性和保护其社会保障权利，对巴西来说并不陌生，不过这种保护逐渐丧失了</w:t>
      </w:r>
      <w:r>
        <w:rPr>
          <w:rFonts w:hint="eastAsia"/>
        </w:rPr>
        <w:t>它原有的资助性质。母亲的社会角色概念是最近才提出的，除其他支助之外，该概念还包含</w:t>
      </w:r>
      <w:r>
        <w:rPr>
          <w:rFonts w:hint="eastAsia"/>
        </w:rPr>
        <w:t>1988</w:t>
      </w:r>
      <w:r>
        <w:rPr>
          <w:rFonts w:hint="eastAsia"/>
        </w:rPr>
        <w:t>年《宪法》确保的和以后的法律所规范的儿童教育体系。</w:t>
      </w:r>
    </w:p>
    <w:p w:rsidR="00000000" w:rsidRDefault="004D2F83" w:rsidP="004D2F83">
      <w:pPr>
        <w:spacing w:after="240" w:line="340" w:lineRule="exact"/>
        <w:ind w:left="200" w:firstLineChars="200" w:firstLine="31680"/>
        <w:rPr>
          <w:rFonts w:hint="eastAsia"/>
        </w:rPr>
      </w:pPr>
      <w:r>
        <w:rPr>
          <w:rFonts w:hint="eastAsia"/>
        </w:rPr>
        <w:t>巴西在签署劳工组织第</w:t>
      </w:r>
      <w:r>
        <w:rPr>
          <w:rFonts w:hint="eastAsia"/>
        </w:rPr>
        <w:t>103</w:t>
      </w:r>
      <w:r>
        <w:rPr>
          <w:rFonts w:hint="eastAsia"/>
        </w:rPr>
        <w:t>号公约，即采取保护产妇措施方面前所未有的文书之后，正在逐步确保全额支付产妇工资。此项公约经最近批准的第</w:t>
      </w:r>
      <w:r>
        <w:rPr>
          <w:rFonts w:hint="eastAsia"/>
        </w:rPr>
        <w:t>183</w:t>
      </w:r>
      <w:r>
        <w:rPr>
          <w:rFonts w:hint="eastAsia"/>
        </w:rPr>
        <w:t>号公约修正，后者指出了所获权利的灵活性：一方面，它扩大了某些规定（其中将产假从</w:t>
      </w:r>
      <w:r>
        <w:rPr>
          <w:rFonts w:hint="eastAsia"/>
        </w:rPr>
        <w:t>12</w:t>
      </w:r>
      <w:r>
        <w:rPr>
          <w:rFonts w:hint="eastAsia"/>
        </w:rPr>
        <w:t>周延长至最短</w:t>
      </w:r>
      <w:r>
        <w:rPr>
          <w:rFonts w:hint="eastAsia"/>
        </w:rPr>
        <w:t>14</w:t>
      </w:r>
      <w:r>
        <w:rPr>
          <w:rFonts w:hint="eastAsia"/>
        </w:rPr>
        <w:t>周），另一方面，除允许政府和雇主与工人团体就已有的保护措施达成协议外，它还为下面这种情况提供了一种机会：孕妇可能因怀孕之外的原因被解雇，使得</w:t>
      </w:r>
      <w:r>
        <w:rPr>
          <w:rFonts w:hint="eastAsia"/>
        </w:rPr>
        <w:t>某些类型的女工被排斥在外。因此，可能的情况是，国民议会将通过、巴西政府也将批准新的劳工公约。</w:t>
      </w:r>
    </w:p>
    <w:p w:rsidR="00000000" w:rsidRDefault="004D2F83" w:rsidP="004D2F83">
      <w:pPr>
        <w:spacing w:after="240" w:line="340" w:lineRule="exact"/>
        <w:ind w:left="200" w:firstLineChars="200" w:firstLine="31680"/>
        <w:rPr>
          <w:rFonts w:hint="eastAsia"/>
        </w:rPr>
      </w:pPr>
      <w:r>
        <w:rPr>
          <w:rFonts w:hint="eastAsia"/>
        </w:rPr>
        <w:t>目前，</w:t>
      </w:r>
      <w:r>
        <w:rPr>
          <w:rFonts w:hint="eastAsia"/>
        </w:rPr>
        <w:t>2001</w:t>
      </w:r>
      <w:r>
        <w:rPr>
          <w:rFonts w:hint="eastAsia"/>
        </w:rPr>
        <w:t>年第</w:t>
      </w:r>
      <w:r>
        <w:t>5.483</w:t>
      </w:r>
      <w:r>
        <w:rPr>
          <w:rFonts w:hint="eastAsia"/>
        </w:rPr>
        <w:t>号法案正等待联邦参议院的审查。该法案修正了《劳动法典》第</w:t>
      </w:r>
      <w:r>
        <w:rPr>
          <w:rFonts w:hint="eastAsia"/>
        </w:rPr>
        <w:t>618</w:t>
      </w:r>
      <w:r>
        <w:rPr>
          <w:rFonts w:hint="eastAsia"/>
        </w:rPr>
        <w:t>条，采用了以下措词：</w:t>
      </w:r>
      <w:r>
        <w:rPr>
          <w:rFonts w:eastAsia="KaiTi_GB2312" w:hint="eastAsia"/>
        </w:rPr>
        <w:t>“第</w:t>
      </w:r>
      <w:r>
        <w:rPr>
          <w:rFonts w:hint="eastAsia"/>
        </w:rPr>
        <w:t>618</w:t>
      </w:r>
      <w:r>
        <w:rPr>
          <w:rFonts w:eastAsia="KaiTi_GB2312" w:hint="eastAsia"/>
        </w:rPr>
        <w:t>条。通过集体劳动协议公约调整的工作条件应优先于法律规定，只要这些工作条件没有违背《联邦宪法》和劳动安全及保健规则”。</w:t>
      </w:r>
      <w:r>
        <w:rPr>
          <w:rFonts w:hint="eastAsia"/>
        </w:rPr>
        <w:t>该法案于</w:t>
      </w:r>
      <w:r>
        <w:rPr>
          <w:rFonts w:hint="eastAsia"/>
        </w:rPr>
        <w:t>2001</w:t>
      </w:r>
      <w:r>
        <w:rPr>
          <w:rFonts w:hint="eastAsia"/>
        </w:rPr>
        <w:t>年</w:t>
      </w:r>
      <w:r>
        <w:rPr>
          <w:rFonts w:hint="eastAsia"/>
        </w:rPr>
        <w:t>12</w:t>
      </w:r>
      <w:r>
        <w:rPr>
          <w:rFonts w:hint="eastAsia"/>
        </w:rPr>
        <w:t>月</w:t>
      </w:r>
      <w:r>
        <w:rPr>
          <w:rFonts w:hint="eastAsia"/>
        </w:rPr>
        <w:t>4</w:t>
      </w:r>
      <w:r>
        <w:rPr>
          <w:rFonts w:hint="eastAsia"/>
        </w:rPr>
        <w:t>日在众议院通过一项紧急程序获得通过。它旨在使谈判享有灵活性特权，但同时却损害了立法的严格性。在评估妇女运动时，情况令人担忧，因为这一灵活性危及到《宪法》所保</w:t>
      </w:r>
      <w:r>
        <w:rPr>
          <w:rFonts w:hint="eastAsia"/>
        </w:rPr>
        <w:t>障的最低限度的保护参数，</w:t>
      </w:r>
      <w:r>
        <w:rPr>
          <w:rStyle w:val="FootnoteReference"/>
        </w:rPr>
        <w:footnoteReference w:customMarkFollows="1" w:id="56"/>
        <w:t>56</w:t>
      </w:r>
      <w:r>
        <w:rPr>
          <w:rFonts w:hint="eastAsia"/>
        </w:rPr>
        <w:t>因此，该法案在经济不景气和失业率高的情形下就会带来更多的问题。</w:t>
      </w:r>
    </w:p>
    <w:p w:rsidR="00000000" w:rsidRDefault="004D2F83">
      <w:pPr>
        <w:spacing w:line="360" w:lineRule="exact"/>
        <w:jc w:val="center"/>
        <w:rPr>
          <w:b/>
          <w:sz w:val="28"/>
        </w:rPr>
      </w:pPr>
      <w:r>
        <w:rPr>
          <w:b/>
          <w:sz w:val="28"/>
        </w:rPr>
        <w:br w:type="page"/>
      </w:r>
    </w:p>
    <w:p w:rsidR="00000000" w:rsidRDefault="004D2F83">
      <w:pPr>
        <w:pStyle w:val="Heading3"/>
        <w:numPr>
          <w:ilvl w:val="0"/>
          <w:numId w:val="0"/>
        </w:numPr>
        <w:spacing w:before="0"/>
        <w:jc w:val="center"/>
        <w:rPr>
          <w:rFonts w:ascii="KaiTi_GB2312" w:eastAsia="KaiTi_GB2312" w:hint="eastAsia"/>
          <w:b/>
          <w:bCs/>
          <w:u w:val="none"/>
        </w:rPr>
      </w:pPr>
      <w:bookmarkStart w:id="11" w:name="_Toc36367081"/>
      <w:r>
        <w:rPr>
          <w:rFonts w:ascii="KaiTi_GB2312" w:eastAsia="KaiTi_GB2312" w:hint="eastAsia"/>
          <w:b/>
          <w:bCs/>
          <w:u w:val="none"/>
        </w:rPr>
        <w:t>第</w:t>
      </w:r>
      <w:r>
        <w:rPr>
          <w:rFonts w:ascii="KaiTi_GB2312" w:eastAsia="KaiTi_GB2312" w:hint="eastAsia"/>
          <w:b/>
          <w:bCs/>
          <w:u w:val="none"/>
        </w:rPr>
        <w:t>5</w:t>
      </w:r>
      <w:r>
        <w:rPr>
          <w:rFonts w:ascii="KaiTi_GB2312" w:eastAsia="KaiTi_GB2312" w:hint="eastAsia"/>
          <w:b/>
          <w:bCs/>
          <w:u w:val="none"/>
        </w:rPr>
        <w:t>条</w:t>
      </w:r>
      <w:bookmarkEnd w:id="11"/>
    </w:p>
    <w:p w:rsidR="00000000" w:rsidRDefault="004D2F83">
      <w:pPr>
        <w:spacing w:after="240" w:line="360" w:lineRule="exact"/>
        <w:ind w:firstLine="360"/>
        <w:rPr>
          <w:rFonts w:eastAsia="KaiTi_GB2312" w:hint="eastAsia"/>
          <w:b/>
        </w:rPr>
      </w:pPr>
      <w:r>
        <w:rPr>
          <w:rFonts w:eastAsia="KaiTi_GB2312" w:hint="eastAsia"/>
          <w:b/>
        </w:rPr>
        <w:t>缔约各国应采取一切适当措施：</w:t>
      </w:r>
    </w:p>
    <w:p w:rsidR="00000000" w:rsidRDefault="004D2F83" w:rsidP="004D2F83">
      <w:pPr>
        <w:spacing w:after="240" w:line="360" w:lineRule="exact"/>
        <w:ind w:leftChars="200" w:left="31680" w:hangingChars="250" w:firstLine="31680"/>
        <w:rPr>
          <w:rFonts w:eastAsia="KaiTi_GB2312" w:hint="eastAsia"/>
          <w:b/>
        </w:rPr>
      </w:pPr>
      <w:r>
        <w:rPr>
          <w:rFonts w:eastAsia="KaiTi_GB2312" w:hint="eastAsia"/>
          <w:b/>
        </w:rPr>
        <w:t>（</w:t>
      </w:r>
      <w:r>
        <w:rPr>
          <w:rFonts w:eastAsia="KaiTi_GB2312"/>
          <w:b/>
        </w:rPr>
        <w:t>a</w:t>
      </w:r>
      <w:r>
        <w:rPr>
          <w:rFonts w:eastAsia="KaiTi_GB2312" w:hint="eastAsia"/>
          <w:b/>
        </w:rPr>
        <w:t>）改变男女的社会和文化行为模式，以消除基于性别而分尊卑观念或基于男女定型任务的偏见、习俗和一切其他作法；</w:t>
      </w:r>
    </w:p>
    <w:p w:rsidR="00000000" w:rsidRDefault="004D2F83" w:rsidP="004D2F83">
      <w:pPr>
        <w:spacing w:after="240" w:line="360" w:lineRule="exact"/>
        <w:ind w:leftChars="200" w:left="31680" w:hangingChars="250" w:firstLine="31680"/>
        <w:rPr>
          <w:rFonts w:eastAsia="KaiTi_GB2312" w:hint="eastAsia"/>
          <w:b/>
        </w:rPr>
      </w:pPr>
      <w:r>
        <w:rPr>
          <w:rFonts w:eastAsia="KaiTi_GB2312" w:hint="eastAsia"/>
          <w:b/>
        </w:rPr>
        <w:t>（</w:t>
      </w:r>
      <w:r>
        <w:rPr>
          <w:rFonts w:eastAsia="KaiTi_GB2312"/>
          <w:b/>
        </w:rPr>
        <w:t>b</w:t>
      </w:r>
      <w:r>
        <w:rPr>
          <w:rFonts w:eastAsia="KaiTi_GB2312" w:hint="eastAsia"/>
          <w:b/>
        </w:rPr>
        <w:t>）保证家庭教育应包括正确了解母性的社会功能和确认教养子女是父母的共同责任，但了解到在任何情况下应首先考虑子女的利益。</w:t>
      </w:r>
    </w:p>
    <w:p w:rsidR="00000000" w:rsidRDefault="004D2F83">
      <w:pPr>
        <w:pStyle w:val="Date"/>
        <w:spacing w:after="240" w:line="360" w:lineRule="exact"/>
        <w:rPr>
          <w:rFonts w:eastAsia="SimHei" w:hint="eastAsia"/>
          <w:bCs/>
          <w:sz w:val="24"/>
        </w:rPr>
      </w:pPr>
      <w:r>
        <w:rPr>
          <w:rFonts w:eastAsia="SimHei" w:hint="eastAsia"/>
          <w:bCs/>
          <w:sz w:val="24"/>
        </w:rPr>
        <w:t>立法措施</w:t>
      </w:r>
    </w:p>
    <w:p w:rsidR="00000000" w:rsidRDefault="004D2F83" w:rsidP="004D2F83">
      <w:pPr>
        <w:spacing w:after="240" w:line="360" w:lineRule="exact"/>
        <w:ind w:firstLineChars="200" w:firstLine="31680"/>
        <w:rPr>
          <w:rFonts w:hint="eastAsia"/>
        </w:rPr>
      </w:pPr>
      <w:r>
        <w:rPr>
          <w:rFonts w:hint="eastAsia"/>
        </w:rPr>
        <w:t>形式上平等是巴西每项法律中的一种明示权利，并由《联邦宪法》第</w:t>
      </w:r>
      <w:r>
        <w:rPr>
          <w:rFonts w:hint="eastAsia"/>
        </w:rPr>
        <w:t>5</w:t>
      </w:r>
      <w:r>
        <w:rPr>
          <w:rFonts w:hint="eastAsia"/>
        </w:rPr>
        <w:t>条来规定。</w:t>
      </w:r>
    </w:p>
    <w:p w:rsidR="00000000" w:rsidRDefault="004D2F83" w:rsidP="004D2F83">
      <w:pPr>
        <w:spacing w:after="240" w:line="360" w:lineRule="exact"/>
        <w:ind w:firstLineChars="200" w:firstLine="31680"/>
        <w:rPr>
          <w:rFonts w:hint="eastAsia"/>
        </w:rPr>
      </w:pPr>
      <w:r>
        <w:rPr>
          <w:rFonts w:hint="eastAsia"/>
        </w:rPr>
        <w:t>第</w:t>
      </w:r>
      <w:r>
        <w:rPr>
          <w:rFonts w:hint="eastAsia"/>
        </w:rPr>
        <w:t>26</w:t>
      </w:r>
      <w:r>
        <w:rPr>
          <w:rFonts w:hint="eastAsia"/>
        </w:rPr>
        <w:t>条第</w:t>
      </w:r>
      <w:r>
        <w:rPr>
          <w:rFonts w:hint="eastAsia"/>
        </w:rPr>
        <w:t>5</w:t>
      </w:r>
      <w:r>
        <w:rPr>
          <w:rFonts w:hint="eastAsia"/>
        </w:rPr>
        <w:t>节规定夫妻平等，</w:t>
      </w:r>
      <w:r>
        <w:rPr>
          <w:rFonts w:eastAsia="KaiTi_GB2312" w:hint="eastAsia"/>
        </w:rPr>
        <w:t>“男女应平等履行婚姻社会的权利和义</w:t>
      </w:r>
      <w:r>
        <w:rPr>
          <w:rFonts w:eastAsia="KaiTi_GB2312" w:hint="eastAsia"/>
        </w:rPr>
        <w:t>务”</w:t>
      </w:r>
      <w:r>
        <w:rPr>
          <w:rFonts w:hint="eastAsia"/>
        </w:rPr>
        <w:t>，这确保在两性关系方面建立新的社会模式。</w:t>
      </w:r>
    </w:p>
    <w:p w:rsidR="00000000" w:rsidRDefault="004D2F83" w:rsidP="004D2F83">
      <w:pPr>
        <w:spacing w:after="240" w:line="360" w:lineRule="exact"/>
        <w:ind w:firstLineChars="200" w:firstLine="31680"/>
        <w:rPr>
          <w:rFonts w:hint="eastAsia"/>
        </w:rPr>
      </w:pPr>
      <w:r>
        <w:rPr>
          <w:rFonts w:hint="eastAsia"/>
        </w:rPr>
        <w:t>另外，关于家庭组织，</w:t>
      </w:r>
      <w:r>
        <w:rPr>
          <w:rFonts w:hint="eastAsia"/>
        </w:rPr>
        <w:t>1990</w:t>
      </w:r>
      <w:r>
        <w:rPr>
          <w:rFonts w:hint="eastAsia"/>
        </w:rPr>
        <w:t>年在巴西生效的《儿童和青少年法规》尤其倡议对儿童提供充分保护，按照联合国的建议，儿童的权益被视为每一目的的优先事项。</w:t>
      </w:r>
    </w:p>
    <w:p w:rsidR="00000000" w:rsidRDefault="004D2F83" w:rsidP="004D2F83">
      <w:pPr>
        <w:spacing w:after="240" w:line="360" w:lineRule="exact"/>
        <w:ind w:firstLineChars="200" w:firstLine="31680"/>
        <w:rPr>
          <w:rFonts w:hint="eastAsia"/>
        </w:rPr>
      </w:pPr>
      <w:r>
        <w:rPr>
          <w:rFonts w:hint="eastAsia"/>
        </w:rPr>
        <w:t>另一方面，新的《民法典》规定男女在婚姻和担任户主方面享有形式上平等关系。</w:t>
      </w:r>
    </w:p>
    <w:p w:rsidR="00000000" w:rsidRDefault="004D2F83" w:rsidP="004D2F83">
      <w:pPr>
        <w:spacing w:after="240" w:line="360" w:lineRule="exact"/>
        <w:ind w:firstLineChars="200" w:firstLine="31680"/>
        <w:rPr>
          <w:rFonts w:hint="eastAsia"/>
        </w:rPr>
      </w:pPr>
      <w:r>
        <w:rPr>
          <w:rFonts w:hint="eastAsia"/>
        </w:rPr>
        <w:t>值得一提的是，在</w:t>
      </w:r>
      <w:r>
        <w:rPr>
          <w:rFonts w:hint="eastAsia"/>
        </w:rPr>
        <w:t>1988</w:t>
      </w:r>
      <w:r>
        <w:rPr>
          <w:rFonts w:hint="eastAsia"/>
        </w:rPr>
        <w:t>年</w:t>
      </w:r>
      <w:r>
        <w:rPr>
          <w:rStyle w:val="FootnoteReference"/>
        </w:rPr>
        <w:footnoteReference w:customMarkFollows="1" w:id="57"/>
        <w:t>57</w:t>
      </w:r>
      <w:r>
        <w:rPr>
          <w:rFonts w:hint="eastAsia"/>
        </w:rPr>
        <w:t>《宪法》颁布之前，其他文书，如</w:t>
      </w:r>
      <w:r>
        <w:rPr>
          <w:rFonts w:hint="eastAsia"/>
        </w:rPr>
        <w:t>1967</w:t>
      </w:r>
      <w:r>
        <w:rPr>
          <w:rFonts w:hint="eastAsia"/>
        </w:rPr>
        <w:t>年军人政权颁布的《宪法》已经确定保障形式上平等——这可以概括为法律面前平等。但是，多样化本身未被视为一种价值观。男女的特性、素质和作用未被视为历史进程的结果而是自然进程的结果。</w:t>
      </w:r>
      <w:r>
        <w:rPr>
          <w:rFonts w:hint="eastAsia"/>
        </w:rPr>
        <w:t>1</w:t>
      </w:r>
      <w:r>
        <w:rPr>
          <w:rFonts w:hint="eastAsia"/>
        </w:rPr>
        <w:t>988</w:t>
      </w:r>
      <w:r>
        <w:rPr>
          <w:rFonts w:hint="eastAsia"/>
        </w:rPr>
        <w:t>年《公约》是首次将多样化定为一种资产的法律文书，它强调了男女形式上不平等的不可持久性，这种现象在家庭关系中尤其明显。</w:t>
      </w:r>
    </w:p>
    <w:p w:rsidR="00000000" w:rsidRDefault="004D2F83" w:rsidP="004D2F83">
      <w:pPr>
        <w:spacing w:after="240" w:line="360" w:lineRule="exact"/>
        <w:ind w:firstLineChars="200" w:firstLine="31680"/>
        <w:rPr>
          <w:rFonts w:hint="eastAsia"/>
        </w:rPr>
      </w:pPr>
      <w:r>
        <w:rPr>
          <w:rFonts w:hint="eastAsia"/>
        </w:rPr>
        <w:t>《联邦宪法》除了在第</w:t>
      </w:r>
      <w:r>
        <w:rPr>
          <w:rFonts w:hint="eastAsia"/>
        </w:rPr>
        <w:t>226</w:t>
      </w:r>
      <w:r>
        <w:rPr>
          <w:rFonts w:hint="eastAsia"/>
        </w:rPr>
        <w:t>条第</w:t>
      </w:r>
      <w:r>
        <w:rPr>
          <w:rFonts w:hint="eastAsia"/>
        </w:rPr>
        <w:t>3</w:t>
      </w:r>
      <w:r>
        <w:rPr>
          <w:rFonts w:hint="eastAsia"/>
        </w:rPr>
        <w:t>段中规定稳定的联姻为家庭单位之外，还规定了确保形式上平等的一种全新的家庭模式，即男女享有平等的权利和责任。承认稳定的联姻，这代表了巴西法律发展处于一个新阶段，其特点是婚姻关系不仅是义务的，而且也是包含相互关爱和休戚相关的关系。但是，最近批准的《民法典》第</w:t>
      </w:r>
      <w:r>
        <w:rPr>
          <w:rFonts w:hint="eastAsia"/>
        </w:rPr>
        <w:t>1520</w:t>
      </w:r>
      <w:r>
        <w:rPr>
          <w:rFonts w:hint="eastAsia"/>
        </w:rPr>
        <w:t>条一方面强调维护妇女道德，另一方面承认婚姻保护的家庭模式的价值。《新民法典》确定只有以下情况例</w:t>
      </w:r>
      <w:r>
        <w:rPr>
          <w:rFonts w:hint="eastAsia"/>
        </w:rPr>
        <w:t>外：</w:t>
      </w:r>
      <w:r>
        <w:rPr>
          <w:rFonts w:eastAsia="KaiTi_GB2312" w:hint="eastAsia"/>
        </w:rPr>
        <w:t>凡尚未达到适当结婚年龄，因而可以避免实施或受到刑事处罚者，或发生女方怀孕的情况，将允许结婚</w:t>
      </w:r>
      <w:r>
        <w:rPr>
          <w:rFonts w:hint="eastAsia"/>
        </w:rPr>
        <w:t>，此项新法典规定保护怀孕不是夫妻双方的平等责任，而是应在婚后提出的问题。这种保护增强了某种“符合道义的”家庭模式，但有损于有关当事人之间分担的有效责任。</w:t>
      </w:r>
    </w:p>
    <w:p w:rsidR="00000000" w:rsidRDefault="004D2F83" w:rsidP="004D2F83">
      <w:pPr>
        <w:spacing w:after="240" w:line="360" w:lineRule="exact"/>
        <w:ind w:firstLineChars="200" w:firstLine="31680"/>
        <w:rPr>
          <w:rFonts w:hint="eastAsia"/>
        </w:rPr>
      </w:pPr>
      <w:r>
        <w:rPr>
          <w:rFonts w:hint="eastAsia"/>
        </w:rPr>
        <w:t>尽管</w:t>
      </w:r>
      <w:r>
        <w:rPr>
          <w:rFonts w:hint="eastAsia"/>
        </w:rPr>
        <w:t>1988</w:t>
      </w:r>
      <w:r>
        <w:rPr>
          <w:rFonts w:hint="eastAsia"/>
        </w:rPr>
        <w:t>年《宪法》第</w:t>
      </w:r>
      <w:r>
        <w:rPr>
          <w:rFonts w:hint="eastAsia"/>
        </w:rPr>
        <w:t>226</w:t>
      </w:r>
      <w:r>
        <w:rPr>
          <w:rFonts w:hint="eastAsia"/>
        </w:rPr>
        <w:t>条第</w:t>
      </w:r>
      <w:r>
        <w:rPr>
          <w:rFonts w:hint="eastAsia"/>
        </w:rPr>
        <w:t>4</w:t>
      </w:r>
      <w:r>
        <w:rPr>
          <w:rFonts w:hint="eastAsia"/>
        </w:rPr>
        <w:t>段规定了不同的家庭模式，但这些差别仍全部集中在异性婚姻关系上。</w:t>
      </w:r>
      <w:r>
        <w:rPr>
          <w:rStyle w:val="FootnoteReference"/>
        </w:rPr>
        <w:footnoteReference w:customMarkFollows="1" w:id="58"/>
        <w:t>58</w:t>
      </w:r>
      <w:r>
        <w:rPr>
          <w:rFonts w:hint="eastAsia"/>
        </w:rPr>
        <w:t>这意味着家庭定义和非正式关系中的</w:t>
      </w:r>
      <w:r>
        <w:rPr>
          <w:rFonts w:hint="eastAsia"/>
        </w:rPr>
        <w:t xml:space="preserve"> </w:t>
      </w:r>
      <w:r>
        <w:rPr>
          <w:rFonts w:hint="eastAsia"/>
        </w:rPr>
        <w:t>“休戚相关和相互关爱”这一说法只适用于男女关系。而《民法典》则列入了这种模式，其第</w:t>
      </w:r>
      <w:r>
        <w:rPr>
          <w:rFonts w:hint="eastAsia"/>
        </w:rPr>
        <w:t>1511</w:t>
      </w:r>
      <w:r>
        <w:rPr>
          <w:rFonts w:hint="eastAsia"/>
        </w:rPr>
        <w:t>和第</w:t>
      </w:r>
      <w:r>
        <w:rPr>
          <w:rFonts w:hint="eastAsia"/>
        </w:rPr>
        <w:t>1517</w:t>
      </w:r>
      <w:r>
        <w:rPr>
          <w:rFonts w:hint="eastAsia"/>
        </w:rPr>
        <w:t>条</w:t>
      </w:r>
      <w:r>
        <w:rPr>
          <w:rStyle w:val="FootnoteReference"/>
        </w:rPr>
        <w:footnoteReference w:customMarkFollows="1" w:id="59"/>
        <w:t>59</w:t>
      </w:r>
      <w:r>
        <w:rPr>
          <w:rFonts w:hint="eastAsia"/>
        </w:rPr>
        <w:t>强调基于异性标准、“</w:t>
      </w:r>
      <w:r>
        <w:rPr>
          <w:rFonts w:hint="eastAsia"/>
        </w:rPr>
        <w:t>良好的道德”和所谓的“自然”生育能力的家庭关系。对照其他不同形式的联姻，就性别特性而言，这一概念使得多样性无法实行，它重申了强制性家庭模式，而不是增进人类尊严的空间。</w:t>
      </w:r>
      <w:r>
        <w:rPr>
          <w:rStyle w:val="FootnoteReference"/>
        </w:rPr>
        <w:footnoteReference w:customMarkFollows="1" w:id="60"/>
        <w:t>60</w:t>
      </w:r>
    </w:p>
    <w:p w:rsidR="00000000" w:rsidRDefault="004D2F83">
      <w:pPr>
        <w:pStyle w:val="Date"/>
        <w:spacing w:after="240" w:line="360" w:lineRule="exact"/>
        <w:rPr>
          <w:rFonts w:eastAsia="SimHei" w:hint="eastAsia"/>
          <w:bCs/>
          <w:sz w:val="24"/>
        </w:rPr>
      </w:pPr>
      <w:r>
        <w:rPr>
          <w:rFonts w:eastAsia="SimHei" w:hint="eastAsia"/>
          <w:bCs/>
          <w:sz w:val="24"/>
        </w:rPr>
        <w:t>州级宪法</w:t>
      </w:r>
    </w:p>
    <w:p w:rsidR="00000000" w:rsidRDefault="004D2F83" w:rsidP="004D2F83">
      <w:pPr>
        <w:spacing w:after="240" w:line="360" w:lineRule="exact"/>
        <w:ind w:firstLineChars="200" w:firstLine="31680"/>
        <w:rPr>
          <w:rFonts w:hint="eastAsia"/>
        </w:rPr>
      </w:pPr>
      <w:r>
        <w:rPr>
          <w:rFonts w:hint="eastAsia"/>
        </w:rPr>
        <w:t>各州宪法和《联邦区组织法》制订了实现平等的某些一般措施。在这方面，其中大多数</w:t>
      </w:r>
      <w:r>
        <w:rPr>
          <w:rStyle w:val="FootnoteReference"/>
        </w:rPr>
        <w:footnoteReference w:customMarkFollows="1" w:id="61"/>
        <w:t>61</w:t>
      </w:r>
      <w:r>
        <w:rPr>
          <w:rFonts w:hint="eastAsia"/>
        </w:rPr>
        <w:t>宪法重申了《联邦宪法》第</w:t>
      </w:r>
      <w:r>
        <w:rPr>
          <w:rFonts w:hint="eastAsia"/>
        </w:rPr>
        <w:t>125</w:t>
      </w:r>
      <w:r>
        <w:rPr>
          <w:rFonts w:hint="eastAsia"/>
        </w:rPr>
        <w:t>条的规定，即教育的目标之一就是“为享有公民资格做准备”。某些州的宪法还强调人权作为教育参考标准的重要性。</w:t>
      </w:r>
    </w:p>
    <w:p w:rsidR="00000000" w:rsidRDefault="004D2F83" w:rsidP="004D2F83">
      <w:pPr>
        <w:pStyle w:val="BodyTextIndent2"/>
        <w:spacing w:after="240" w:line="360" w:lineRule="exact"/>
        <w:ind w:firstLineChars="200" w:firstLine="31680"/>
        <w:rPr>
          <w:rFonts w:eastAsia="KaiTi_GB2312" w:hint="eastAsia"/>
          <w:i w:val="0"/>
          <w:iCs/>
        </w:rPr>
      </w:pPr>
      <w:r>
        <w:rPr>
          <w:rFonts w:eastAsia="KaiTi_GB2312" w:hint="eastAsia"/>
          <w:i w:val="0"/>
          <w:iCs/>
        </w:rPr>
        <w:t>除这些措施外，还有其他措施专门是为了改变男女社会文化行为的模式：这些措施涉及妇女的形象、摆脱陈规的教育、打击暴力、</w:t>
      </w:r>
      <w:r>
        <w:rPr>
          <w:rFonts w:eastAsia="KaiTi_GB2312" w:hint="eastAsia"/>
          <w:i w:val="0"/>
          <w:iCs/>
        </w:rPr>
        <w:t>承认母性的社会功能以及在子女抚育方面的男女平等。</w:t>
      </w:r>
    </w:p>
    <w:p w:rsidR="00000000" w:rsidRDefault="004D2F83" w:rsidP="004D2F83">
      <w:pPr>
        <w:pStyle w:val="BodyTextIndent2"/>
        <w:spacing w:after="240" w:line="360" w:lineRule="exact"/>
        <w:ind w:firstLineChars="200" w:firstLine="31680"/>
        <w:rPr>
          <w:rFonts w:eastAsia="KaiTi_GB2312" w:hint="eastAsia"/>
          <w:i w:val="0"/>
          <w:iCs/>
        </w:rPr>
      </w:pPr>
      <w:r>
        <w:rPr>
          <w:rFonts w:eastAsia="KaiTi_GB2312" w:hint="eastAsia"/>
          <w:i w:val="0"/>
          <w:iCs/>
        </w:rPr>
        <w:t>在教育领域，阿马帕、巴伊亚、戈亚斯和里约热内卢等州以及联邦区规定消除教科书和教学材料上妇女陈规形象。某些宪法甚至提到修改课程和教育工作者的培训工作，以促进两性平等。</w:t>
      </w:r>
    </w:p>
    <w:p w:rsidR="00000000" w:rsidRDefault="004D2F83" w:rsidP="004D2F83">
      <w:pPr>
        <w:spacing w:after="240" w:line="360" w:lineRule="exact"/>
        <w:ind w:firstLineChars="200" w:firstLine="31680"/>
        <w:rPr>
          <w:rFonts w:hint="eastAsia"/>
        </w:rPr>
      </w:pPr>
      <w:r>
        <w:rPr>
          <w:rFonts w:hint="eastAsia"/>
        </w:rPr>
        <w:t>有趣的是，《联邦区组织法》也提到大学教育和妇女的历史成就：</w:t>
      </w:r>
      <w:r>
        <w:rPr>
          <w:rFonts w:eastAsia="KaiTi_GB2312" w:hint="eastAsia"/>
        </w:rPr>
        <w:t>“除了符合联邦区具体情况的其他科目外，官方教育网应在其各级课程中列入有关环境教育、性教育、交通教育、通信和艺术的科目”。</w:t>
      </w:r>
      <w:r>
        <w:rPr>
          <w:rFonts w:hint="eastAsia"/>
        </w:rPr>
        <w:t>根据第</w:t>
      </w:r>
      <w:r>
        <w:rPr>
          <w:rFonts w:hint="eastAsia"/>
        </w:rPr>
        <w:t>3</w:t>
      </w:r>
      <w:r>
        <w:rPr>
          <w:rFonts w:hint="eastAsia"/>
        </w:rPr>
        <w:t>节，</w:t>
      </w:r>
      <w:r>
        <w:rPr>
          <w:rFonts w:eastAsia="KaiTi_GB2312" w:hint="eastAsia"/>
        </w:rPr>
        <w:t>“中小学和大学课程应在整套学科中包括关于在人类历史和巴西社会历史上妇女、黑人和土著人民斗争史实的内容”</w:t>
      </w:r>
      <w:r>
        <w:rPr>
          <w:rFonts w:hint="eastAsia"/>
        </w:rPr>
        <w:t>。</w:t>
      </w:r>
    </w:p>
    <w:p w:rsidR="00000000" w:rsidRDefault="004D2F83" w:rsidP="004D2F83">
      <w:pPr>
        <w:spacing w:after="240" w:line="360" w:lineRule="exact"/>
        <w:ind w:firstLineChars="200" w:firstLine="31680"/>
        <w:rPr>
          <w:rFonts w:hint="eastAsia"/>
        </w:rPr>
      </w:pPr>
      <w:r>
        <w:rPr>
          <w:rFonts w:hint="eastAsia"/>
        </w:rPr>
        <w:t>阿马帕、巴伊亚和巴拉等州的宪法也提及妇女的社会形象，这些宪法规定，州有义务</w:t>
      </w:r>
      <w:r>
        <w:rPr>
          <w:rFonts w:eastAsia="KaiTi_GB2312" w:hint="eastAsia"/>
        </w:rPr>
        <w:t>“确保妇女在社会中作为母亲、劳动者和公民的有尊严的社会形象，她们拥有与男子平等的权利和义务（阿马帕）。《</w:t>
      </w:r>
      <w:r>
        <w:rPr>
          <w:rFonts w:hint="eastAsia"/>
        </w:rPr>
        <w:t>巴伊亚宪法》规定，</w:t>
      </w:r>
      <w:r>
        <w:rPr>
          <w:rFonts w:eastAsia="KaiTi_GB2312" w:hint="eastAsia"/>
        </w:rPr>
        <w:t>州应确保妇女在社会中作为母亲、劳动者和公民的社会形象，拥有与男子平等的权利，以防止传播通过增强性歧视或种族歧视损害妇女尊严的信息；通过培训教育工作者，确保从教学行为和教材内容两个方面实现无差别教育，不歧视妇女”</w:t>
      </w:r>
      <w:r>
        <w:rPr>
          <w:rFonts w:hint="eastAsia"/>
        </w:rPr>
        <w:t>。</w:t>
      </w:r>
    </w:p>
    <w:p w:rsidR="00000000" w:rsidRDefault="004D2F83" w:rsidP="004D2F83">
      <w:pPr>
        <w:spacing w:after="240" w:line="360" w:lineRule="exact"/>
        <w:ind w:firstLineChars="200" w:firstLine="31680"/>
        <w:rPr>
          <w:rFonts w:hint="eastAsia"/>
        </w:rPr>
      </w:pPr>
      <w:r>
        <w:rPr>
          <w:rFonts w:hint="eastAsia"/>
        </w:rPr>
        <w:t>值得评论的是各州《宪法》的相关倡议：努力使妇女获得尊严，强调妇女作为母亲、劳动者和公民的形象，从而改变</w:t>
      </w:r>
      <w:r>
        <w:rPr>
          <w:rFonts w:hint="eastAsia"/>
        </w:rPr>
        <w:t>妇女的陈规形象。但是，如果妇女不是母亲、劳动者或公民，法律文书有时未能维护她们有尊严的社会形象。各州《宪法》中提供的支离破碎的妇女形象，在《消除对妇女一切形式歧视公约》第</w:t>
      </w:r>
      <w:r>
        <w:rPr>
          <w:rFonts w:hint="eastAsia"/>
        </w:rPr>
        <w:t>4</w:t>
      </w:r>
      <w:r>
        <w:t>-2</w:t>
      </w:r>
      <w:r>
        <w:rPr>
          <w:rFonts w:hint="eastAsia"/>
        </w:rPr>
        <w:t>条正文中有详细评论。</w:t>
      </w:r>
    </w:p>
    <w:p w:rsidR="00000000" w:rsidRDefault="004D2F83" w:rsidP="004D2F83">
      <w:pPr>
        <w:spacing w:after="240" w:line="360" w:lineRule="exact"/>
        <w:ind w:firstLineChars="200" w:firstLine="31680"/>
        <w:rPr>
          <w:rFonts w:hint="eastAsia"/>
        </w:rPr>
      </w:pPr>
      <w:r>
        <w:rPr>
          <w:rFonts w:hint="eastAsia"/>
        </w:rPr>
        <w:t>某些州《宪法》强调了父母双方在对其子女的责任方面的平等，譬如，《里约热内卢州宪法》第</w:t>
      </w:r>
      <w:r>
        <w:rPr>
          <w:rFonts w:hint="eastAsia"/>
        </w:rPr>
        <w:t>48</w:t>
      </w:r>
      <w:r>
        <w:rPr>
          <w:rFonts w:hint="eastAsia"/>
        </w:rPr>
        <w:t>条规定：“男女平等地履行婚姻社会的权利和义务”。戈亚斯、巴拉和巴伊亚等州的《宪法》规定了母性的社会功能，一些条款中，如《圣保罗州宪法》第</w:t>
      </w:r>
      <w:r>
        <w:rPr>
          <w:rFonts w:hint="eastAsia"/>
        </w:rPr>
        <w:t>278</w:t>
      </w:r>
      <w:r>
        <w:rPr>
          <w:rFonts w:hint="eastAsia"/>
        </w:rPr>
        <w:t>条第七段规定了在子女方面不同责任的期望，该规定确保母亲在医院病房陪伴子女的权利，但没</w:t>
      </w:r>
      <w:r>
        <w:rPr>
          <w:rFonts w:hint="eastAsia"/>
        </w:rPr>
        <w:t>有规定父亲可享有这种特权。在这方面，《朗多尼亚宪法》规定，政府雇员如果是身智残疾儿童的母亲、私人教师或监护人或此种儿童的教育负责人，可以不完成正常的工作量，报酬亦不受影响。</w:t>
      </w:r>
    </w:p>
    <w:p w:rsidR="00000000" w:rsidRDefault="004D2F83" w:rsidP="004D2F83">
      <w:pPr>
        <w:spacing w:after="240" w:line="360" w:lineRule="exact"/>
        <w:ind w:firstLineChars="200" w:firstLine="31680"/>
        <w:rPr>
          <w:rFonts w:hint="eastAsia"/>
        </w:rPr>
      </w:pPr>
      <w:r>
        <w:rPr>
          <w:rFonts w:hint="eastAsia"/>
        </w:rPr>
        <w:t>鉴于家庭中对妇女的暴力是等级制两性关系中的一种现象，消除这种形式的暴力的措施考虑到《消除对妇女一切形式歧视公约》第</w:t>
      </w:r>
      <w:r>
        <w:rPr>
          <w:rFonts w:hint="eastAsia"/>
        </w:rPr>
        <w:t>5</w:t>
      </w:r>
      <w:r>
        <w:rPr>
          <w:rFonts w:hint="eastAsia"/>
        </w:rPr>
        <w:t>条的规定，旨在为了消除习惯性歧视做法而改变社会文化行为模式。</w:t>
      </w:r>
    </w:p>
    <w:p w:rsidR="00000000" w:rsidRDefault="004D2F83">
      <w:pPr>
        <w:pStyle w:val="BodyTextIndent2"/>
        <w:spacing w:after="240" w:line="360" w:lineRule="exact"/>
        <w:rPr>
          <w:rFonts w:eastAsia="KaiTi_GB2312" w:hint="eastAsia"/>
          <w:i w:val="0"/>
          <w:iCs/>
        </w:rPr>
      </w:pPr>
      <w:r>
        <w:rPr>
          <w:rFonts w:eastAsia="KaiTi_GB2312" w:hint="eastAsia"/>
          <w:i w:val="0"/>
          <w:iCs/>
        </w:rPr>
        <w:t>米纳斯吉拉斯、南马托格罗索、帕拉伊巴、巴拉那和托坎廷斯等州的《宪法》以及《联邦区组织法》均提到家庭暴力问题。其他各州如阿马帕、巴伊亚、圣埃斯皮里托、戈亚斯和南里</w:t>
      </w:r>
      <w:r>
        <w:rPr>
          <w:rFonts w:eastAsia="KaiTi_GB2312" w:hint="eastAsia"/>
          <w:i w:val="0"/>
          <w:iCs/>
        </w:rPr>
        <w:t>约格朗德等州的《宪法》规定了防止这种形式的暴力的措施。</w:t>
      </w:r>
    </w:p>
    <w:p w:rsidR="00000000" w:rsidRDefault="004D2F83" w:rsidP="004D2F83">
      <w:pPr>
        <w:spacing w:after="240" w:line="360" w:lineRule="exact"/>
        <w:ind w:firstLineChars="200" w:firstLine="31680"/>
        <w:rPr>
          <w:rFonts w:hint="eastAsia"/>
        </w:rPr>
      </w:pPr>
      <w:r>
        <w:rPr>
          <w:rFonts w:hint="eastAsia"/>
        </w:rPr>
        <w:t>另外还需强调的是，一些州政府打算设立特别警察分局</w:t>
      </w:r>
      <w:r>
        <w:rPr>
          <w:rStyle w:val="FootnoteReference"/>
        </w:rPr>
        <w:footnoteReference w:customMarkFollows="1" w:id="62"/>
        <w:t>62</w:t>
      </w:r>
      <w:r>
        <w:rPr>
          <w:rFonts w:hint="eastAsia"/>
        </w:rPr>
        <w:t>以处理对妇女的暴力案件、拟订针对女性暴力受害者的多学科援助方案</w:t>
      </w:r>
      <w:r>
        <w:rPr>
          <w:rStyle w:val="FootnoteReference"/>
        </w:rPr>
        <w:footnoteReference w:customMarkFollows="1" w:id="63"/>
        <w:t>63</w:t>
      </w:r>
      <w:r>
        <w:rPr>
          <w:rFonts w:hint="eastAsia"/>
        </w:rPr>
        <w:t>，并为遇到危险的妇女建立庇护所</w:t>
      </w:r>
      <w:r>
        <w:rPr>
          <w:rStyle w:val="FootnoteReference"/>
        </w:rPr>
        <w:footnoteReference w:customMarkFollows="1" w:id="64"/>
        <w:t>64</w:t>
      </w:r>
      <w:r>
        <w:rPr>
          <w:rFonts w:hint="eastAsia"/>
        </w:rPr>
        <w:t>。</w:t>
      </w:r>
    </w:p>
    <w:p w:rsidR="00000000" w:rsidRDefault="004D2F83">
      <w:pPr>
        <w:spacing w:after="240" w:line="360" w:lineRule="exact"/>
        <w:ind w:firstLine="359"/>
        <w:rPr>
          <w:rFonts w:hint="eastAsia"/>
        </w:rPr>
      </w:pPr>
      <w:r>
        <w:rPr>
          <w:rFonts w:hint="eastAsia"/>
        </w:rPr>
        <w:t>《托坎廷斯州宪法》规定，通过单一保健体系，向强奸受害妇女提供特殊医疗和心理护理。</w:t>
      </w:r>
    </w:p>
    <w:p w:rsidR="00000000" w:rsidRDefault="004D2F83">
      <w:pPr>
        <w:pStyle w:val="Date"/>
        <w:spacing w:after="240" w:line="360" w:lineRule="exact"/>
        <w:rPr>
          <w:rFonts w:eastAsia="SimHei" w:hint="eastAsia"/>
          <w:bCs/>
          <w:sz w:val="24"/>
        </w:rPr>
      </w:pPr>
      <w:r>
        <w:rPr>
          <w:rFonts w:eastAsia="SimHei" w:hint="eastAsia"/>
          <w:bCs/>
          <w:sz w:val="24"/>
        </w:rPr>
        <w:t>司法措施</w:t>
      </w:r>
    </w:p>
    <w:p w:rsidR="00000000" w:rsidRDefault="004D2F83" w:rsidP="004D2F83">
      <w:pPr>
        <w:spacing w:after="240" w:line="360" w:lineRule="exact"/>
        <w:ind w:firstLineChars="200" w:firstLine="31680"/>
        <w:rPr>
          <w:rFonts w:hint="eastAsia"/>
        </w:rPr>
      </w:pPr>
      <w:r>
        <w:rPr>
          <w:rFonts w:hint="eastAsia"/>
        </w:rPr>
        <w:t>平等和人性标准仍然以异性关系模式为基础，因此，除助长对同性恋者的歧视之外，还限制了人们的个性发展。但是，尽管这一问题缺乏宪法规定，但还应提到承认同一性别的两人之间联姻的司法判决，这样便解释了《联邦宪法》第</w:t>
      </w:r>
      <w:r>
        <w:rPr>
          <w:rFonts w:hint="eastAsia"/>
        </w:rPr>
        <w:t>3</w:t>
      </w:r>
      <w:r>
        <w:rPr>
          <w:rFonts w:hint="eastAsia"/>
        </w:rPr>
        <w:t>条</w:t>
      </w:r>
      <w:r>
        <w:rPr>
          <w:rFonts w:hint="eastAsia"/>
        </w:rPr>
        <w:t>第四项，该项规定巴西联邦共和国的一项目标是，</w:t>
      </w:r>
      <w:r>
        <w:rPr>
          <w:rFonts w:eastAsia="KaiTi_GB2312" w:hint="eastAsia"/>
        </w:rPr>
        <w:t>“促进所有人的福利，不因出身、种族、性别、肤色、年龄而产生偏见和予以其他形式的歧视”</w:t>
      </w:r>
      <w:r>
        <w:rPr>
          <w:rFonts w:hint="eastAsia"/>
        </w:rPr>
        <w:t>。</w:t>
      </w:r>
    </w:p>
    <w:p w:rsidR="00000000" w:rsidRDefault="004D2F83" w:rsidP="004D2F83">
      <w:pPr>
        <w:spacing w:after="240" w:line="360" w:lineRule="exact"/>
        <w:ind w:leftChars="200" w:left="31680" w:firstLineChars="200" w:firstLine="31680"/>
        <w:rPr>
          <w:rFonts w:eastAsia="KaiTi_GB2312" w:hint="eastAsia"/>
        </w:rPr>
      </w:pPr>
      <w:r>
        <w:rPr>
          <w:rFonts w:eastAsia="KaiTi_GB2312" w:hint="eastAsia"/>
        </w:rPr>
        <w:t>一家民事法院的上诉复审。默示伙伴关系陈述。同性恋关系。权限。</w:t>
      </w:r>
    </w:p>
    <w:p w:rsidR="00000000" w:rsidRDefault="004D2F83" w:rsidP="004D2F83">
      <w:pPr>
        <w:spacing w:after="240" w:line="360" w:lineRule="exact"/>
        <w:ind w:leftChars="200" w:left="31680" w:firstLineChars="200" w:firstLine="31680"/>
        <w:rPr>
          <w:rFonts w:hint="eastAsia"/>
        </w:rPr>
      </w:pPr>
      <w:r>
        <w:rPr>
          <w:rFonts w:eastAsia="KaiTi_GB2312" w:hint="eastAsia"/>
        </w:rPr>
        <w:t>涉及家事法事由的诉讼关系到其本身的存在与法律制度。第四民事法院在第</w:t>
      </w:r>
      <w:r>
        <w:rPr>
          <w:rFonts w:eastAsia="KaiTi_GB2312"/>
        </w:rPr>
        <w:t>01/98</w:t>
      </w:r>
      <w:r>
        <w:rPr>
          <w:rFonts w:eastAsia="KaiTi_GB2312" w:hint="eastAsia"/>
        </w:rPr>
        <w:t>号决议第</w:t>
      </w:r>
      <w:r>
        <w:rPr>
          <w:rFonts w:eastAsia="KaiTi_GB2312" w:hint="eastAsia"/>
        </w:rPr>
        <w:t>11</w:t>
      </w:r>
      <w:r>
        <w:rPr>
          <w:rFonts w:eastAsia="KaiTi_GB2312" w:hint="eastAsia"/>
        </w:rPr>
        <w:t>条第三项解释意义上的权限。权限被否决。</w:t>
      </w:r>
      <w:r>
        <w:rPr>
          <w:rFonts w:hint="eastAsia"/>
        </w:rPr>
        <w:t>AC</w:t>
      </w:r>
      <w:r>
        <w:t>.598362655/RS</w:t>
      </w:r>
    </w:p>
    <w:p w:rsidR="00000000" w:rsidRDefault="004D2F83" w:rsidP="004D2F83">
      <w:pPr>
        <w:spacing w:after="240" w:line="360" w:lineRule="exact"/>
        <w:ind w:firstLineChars="200" w:firstLine="31680"/>
        <w:rPr>
          <w:rFonts w:hint="eastAsia"/>
        </w:rPr>
      </w:pPr>
      <w:r>
        <w:rPr>
          <w:rFonts w:hint="eastAsia"/>
        </w:rPr>
        <w:t>另一个实例是</w:t>
      </w:r>
      <w:r>
        <w:rPr>
          <w:rFonts w:hint="eastAsia"/>
        </w:rPr>
        <w:t>1999</w:t>
      </w:r>
      <w:r>
        <w:rPr>
          <w:rFonts w:hint="eastAsia"/>
        </w:rPr>
        <w:t>年</w:t>
      </w:r>
      <w:r>
        <w:rPr>
          <w:rFonts w:hint="eastAsia"/>
        </w:rPr>
        <w:t>6</w:t>
      </w:r>
      <w:r>
        <w:rPr>
          <w:rFonts w:hint="eastAsia"/>
        </w:rPr>
        <w:t>月</w:t>
      </w:r>
      <w:r>
        <w:rPr>
          <w:rFonts w:hint="eastAsia"/>
        </w:rPr>
        <w:t>17</w:t>
      </w:r>
      <w:r>
        <w:rPr>
          <w:rFonts w:hint="eastAsia"/>
        </w:rPr>
        <w:t>日南里约格朗德州最高法院第八上诉法院做出的裁定，该裁定明确了家事法院对涉及同性恋关系的审判案件的权限。</w:t>
      </w:r>
    </w:p>
    <w:p w:rsidR="00000000" w:rsidRDefault="004D2F83" w:rsidP="004D2F83">
      <w:pPr>
        <w:pStyle w:val="BodyTextIndent"/>
        <w:ind w:firstLineChars="200" w:firstLine="31680"/>
        <w:rPr>
          <w:rFonts w:eastAsia="KaiTi_GB2312" w:hint="eastAsia"/>
        </w:rPr>
      </w:pPr>
      <w:r>
        <w:rPr>
          <w:rFonts w:eastAsia="KaiTi_GB2312" w:hint="eastAsia"/>
        </w:rPr>
        <w:t>同性恋关系。审判涉及由同一</w:t>
      </w:r>
      <w:r>
        <w:rPr>
          <w:rFonts w:eastAsia="KaiTi_GB2312" w:hint="eastAsia"/>
        </w:rPr>
        <w:t>性别的两个人组成配偶的默示伙伴关系的分居。考虑到这种情况涉及爱情关系，如同涉及异性配偶分居的案件，该案件也应由家事法院审判。</w:t>
      </w:r>
    </w:p>
    <w:p w:rsidR="00000000" w:rsidRDefault="004D2F83" w:rsidP="004D2F83">
      <w:pPr>
        <w:pStyle w:val="BodyTextIndent"/>
        <w:ind w:firstLineChars="200" w:firstLine="31680"/>
        <w:rPr>
          <w:rFonts w:eastAsia="KaiTi_GB2312" w:hint="eastAsia"/>
        </w:rPr>
      </w:pPr>
      <w:r>
        <w:rPr>
          <w:rFonts w:eastAsia="KaiTi_GB2312" w:hint="eastAsia"/>
        </w:rPr>
        <w:t>即使司法部门没有就同性恋关系和特性达成共识，这些裁定也是向着自由性表现方向迈出的重要一步，尽管这种努力还仅仅处于起步阶段。</w:t>
      </w:r>
    </w:p>
    <w:p w:rsidR="00000000" w:rsidRDefault="004D2F83">
      <w:pPr>
        <w:spacing w:after="240" w:line="360" w:lineRule="exact"/>
        <w:ind w:firstLine="359"/>
        <w:rPr>
          <w:rFonts w:hint="eastAsia"/>
        </w:rPr>
      </w:pPr>
      <w:r>
        <w:rPr>
          <w:rFonts w:hint="eastAsia"/>
        </w:rPr>
        <w:t>有关生育权，值得一提的是，</w:t>
      </w:r>
      <w:r>
        <w:rPr>
          <w:rFonts w:hint="eastAsia"/>
        </w:rPr>
        <w:t>2000</w:t>
      </w:r>
      <w:r>
        <w:rPr>
          <w:rFonts w:hint="eastAsia"/>
        </w:rPr>
        <w:t>年</w:t>
      </w:r>
      <w:r>
        <w:rPr>
          <w:rFonts w:hint="eastAsia"/>
        </w:rPr>
        <w:t>5</w:t>
      </w:r>
      <w:r>
        <w:rPr>
          <w:rFonts w:hint="eastAsia"/>
        </w:rPr>
        <w:t>月</w:t>
      </w:r>
      <w:r>
        <w:rPr>
          <w:rFonts w:hint="eastAsia"/>
        </w:rPr>
        <w:t>30</w:t>
      </w:r>
      <w:r>
        <w:rPr>
          <w:rFonts w:hint="eastAsia"/>
        </w:rPr>
        <w:t>日，联邦最高法院受理了特别上诉，上诉目的是为了否决养母的产假权利。该判决的摘要内容如下：</w:t>
      </w:r>
    </w:p>
    <w:p w:rsidR="00000000" w:rsidRDefault="004D2F83">
      <w:pPr>
        <w:spacing w:after="240" w:line="360" w:lineRule="exact"/>
        <w:ind w:left="359" w:firstLine="410"/>
        <w:rPr>
          <w:rFonts w:hint="eastAsia"/>
        </w:rPr>
      </w:pPr>
      <w:r>
        <w:rPr>
          <w:rFonts w:eastAsia="KaiTi_GB2312" w:hint="eastAsia"/>
          <w:b/>
          <w:bCs/>
        </w:rPr>
        <w:t>摘要：</w:t>
      </w:r>
      <w:r>
        <w:rPr>
          <w:rFonts w:eastAsia="KaiTi_GB2312" w:hint="eastAsia"/>
        </w:rPr>
        <w:t>《联邦宪法》第</w:t>
      </w:r>
      <w:r>
        <w:rPr>
          <w:rFonts w:eastAsia="KaiTi_GB2312" w:hint="eastAsia"/>
        </w:rPr>
        <w:t>7</w:t>
      </w:r>
      <w:r>
        <w:rPr>
          <w:rFonts w:eastAsia="KaiTi_GB2312" w:hint="eastAsia"/>
        </w:rPr>
        <w:t>条第十八项规定的、旨在使怀孕工人受益的产假权利，不应扩展至养母。因此本案件应由普通立法者处理。</w:t>
      </w:r>
    </w:p>
    <w:p w:rsidR="00000000" w:rsidRDefault="004D2F83">
      <w:pPr>
        <w:spacing w:after="240" w:line="360" w:lineRule="exact"/>
        <w:ind w:left="359" w:firstLine="410"/>
        <w:rPr>
          <w:rFonts w:hint="eastAsia"/>
        </w:rPr>
      </w:pPr>
      <w:r>
        <w:rPr>
          <w:rFonts w:eastAsia="KaiTi_GB2312" w:hint="eastAsia"/>
          <w:b/>
          <w:bCs/>
        </w:rPr>
        <w:t>判决：</w:t>
      </w:r>
      <w:r>
        <w:rPr>
          <w:rFonts w:eastAsia="KaiTi_GB2312" w:hint="eastAsia"/>
        </w:rPr>
        <w:t>在审</w:t>
      </w:r>
      <w:r>
        <w:rPr>
          <w:rFonts w:eastAsia="KaiTi_GB2312" w:hint="eastAsia"/>
        </w:rPr>
        <w:t>查、报告和讨论这些法院记录后，第一小组助理法官基于审判记录和速记记录，根据报告员所宣布的投票情况，一致同意受理该上诉。</w:t>
      </w:r>
    </w:p>
    <w:p w:rsidR="00000000" w:rsidRDefault="004D2F83" w:rsidP="004D2F83">
      <w:pPr>
        <w:pStyle w:val="BodyTextIndent2"/>
        <w:spacing w:after="240" w:line="360" w:lineRule="exact"/>
        <w:ind w:firstLineChars="200" w:firstLine="31680"/>
        <w:rPr>
          <w:rFonts w:eastAsia="KaiTi_GB2312" w:hint="eastAsia"/>
          <w:i w:val="0"/>
          <w:iCs/>
        </w:rPr>
      </w:pPr>
      <w:r>
        <w:rPr>
          <w:rFonts w:eastAsia="KaiTi_GB2312" w:hint="eastAsia"/>
          <w:i w:val="0"/>
          <w:iCs/>
        </w:rPr>
        <w:t>通过怀孕、领养或受孕和避孕技术行使母性权利，是最基本的生育权利。因此，这一裁定强调了基于生物学的母性模式，而对不能生育并选择领养子女的一类妇女是一种歧视。</w:t>
      </w:r>
    </w:p>
    <w:p w:rsidR="00000000" w:rsidRDefault="004D2F83" w:rsidP="004D2F83">
      <w:pPr>
        <w:pStyle w:val="BodyTextIndent2"/>
        <w:spacing w:after="240" w:line="360" w:lineRule="exact"/>
        <w:ind w:firstLineChars="200" w:firstLine="31680"/>
        <w:rPr>
          <w:rFonts w:eastAsia="KaiTi_GB2312" w:hint="eastAsia"/>
          <w:i w:val="0"/>
          <w:iCs/>
        </w:rPr>
      </w:pPr>
      <w:r>
        <w:rPr>
          <w:rFonts w:eastAsia="KaiTi_GB2312" w:hint="eastAsia"/>
          <w:i w:val="0"/>
          <w:iCs/>
        </w:rPr>
        <w:t>确保生育自由这一需要以自由和自治主体存在为前提，它们是人权确立和生效的一项重要因素。从妇女运动的观点来看，巴西司法部门限制这一权利并阻止养母享有产假权利，是对生育权利的直接侵犯。</w:t>
      </w:r>
    </w:p>
    <w:p w:rsidR="00000000" w:rsidRDefault="004D2F83" w:rsidP="004D2F83">
      <w:pPr>
        <w:spacing w:after="240" w:line="360" w:lineRule="exact"/>
        <w:ind w:firstLineChars="200" w:firstLine="31680"/>
        <w:rPr>
          <w:rFonts w:hint="eastAsia"/>
        </w:rPr>
      </w:pPr>
      <w:r>
        <w:rPr>
          <w:rFonts w:hint="eastAsia"/>
        </w:rPr>
        <w:t>不过，已经提到的</w:t>
      </w:r>
      <w:r>
        <w:rPr>
          <w:rFonts w:hint="eastAsia"/>
        </w:rPr>
        <w:t>2002</w:t>
      </w:r>
      <w:r>
        <w:rPr>
          <w:rFonts w:hint="eastAsia"/>
        </w:rPr>
        <w:t>年</w:t>
      </w:r>
      <w:r>
        <w:rPr>
          <w:rFonts w:hint="eastAsia"/>
        </w:rPr>
        <w:t>4</w:t>
      </w:r>
      <w:r>
        <w:rPr>
          <w:rFonts w:hint="eastAsia"/>
        </w:rPr>
        <w:t>月</w:t>
      </w:r>
      <w:r>
        <w:rPr>
          <w:rFonts w:hint="eastAsia"/>
        </w:rPr>
        <w:t>15</w:t>
      </w:r>
      <w:r>
        <w:rPr>
          <w:rFonts w:hint="eastAsia"/>
        </w:rPr>
        <w:t>日第</w:t>
      </w:r>
      <w:r>
        <w:t>1042</w:t>
      </w:r>
      <w:r>
        <w:rPr>
          <w:rFonts w:hint="eastAsia"/>
        </w:rPr>
        <w:t>1</w:t>
      </w:r>
      <w:r>
        <w:rPr>
          <w:rFonts w:hint="eastAsia"/>
        </w:rPr>
        <w:t>号法律将</w:t>
      </w:r>
      <w:r>
        <w:rPr>
          <w:rFonts w:hint="eastAsia"/>
        </w:rPr>
        <w:t>产假权利和产妇留薪权范围扩展至养母，从而防止了再颁布新的上述一类判决。</w:t>
      </w:r>
    </w:p>
    <w:p w:rsidR="00000000" w:rsidRDefault="004D2F83">
      <w:pPr>
        <w:pStyle w:val="Date"/>
        <w:spacing w:after="240" w:line="360" w:lineRule="exact"/>
        <w:rPr>
          <w:rFonts w:eastAsia="SimHei" w:hint="eastAsia"/>
          <w:bCs/>
          <w:sz w:val="24"/>
        </w:rPr>
      </w:pPr>
      <w:r>
        <w:rPr>
          <w:rFonts w:eastAsia="SimHei" w:hint="eastAsia"/>
          <w:bCs/>
          <w:sz w:val="24"/>
        </w:rPr>
        <w:t>政府行动</w:t>
      </w:r>
    </w:p>
    <w:p w:rsidR="00000000" w:rsidRDefault="004D2F83" w:rsidP="004D2F83">
      <w:pPr>
        <w:spacing w:after="240" w:line="360" w:lineRule="exact"/>
        <w:ind w:firstLineChars="200" w:firstLine="31680"/>
        <w:rPr>
          <w:rFonts w:hint="eastAsia"/>
        </w:rPr>
      </w:pPr>
      <w:r>
        <w:rPr>
          <w:rFonts w:hint="eastAsia"/>
        </w:rPr>
        <w:t>在当代社会，妇女被排斥或融入的具体形式，除其他因素外，还有大众传媒传播和维护妇女的某种形象和与妇女有关的事务的能力和技巧的作用，即广告乃至广大传媒以此种方式宣传陈规定型的社会角色。这一直是全国妇女权利委员会——挂靠司法部的一个机构——关注的一个问题，该机构自</w:t>
      </w:r>
      <w:r>
        <w:rPr>
          <w:rFonts w:hint="eastAsia"/>
        </w:rPr>
        <w:t>1985</w:t>
      </w:r>
      <w:r>
        <w:rPr>
          <w:rFonts w:hint="eastAsia"/>
        </w:rPr>
        <w:t>年</w:t>
      </w:r>
      <w:r>
        <w:rPr>
          <w:rFonts w:hint="eastAsia"/>
        </w:rPr>
        <w:t>8</w:t>
      </w:r>
      <w:r>
        <w:rPr>
          <w:rFonts w:hint="eastAsia"/>
        </w:rPr>
        <w:t>月成立以来，促进了挑战妇女陈规定型的形象的宣传运动。该委员会也确定了使妇女走上前台并在历史上发挥其领导作用的目标。从这一目标出发，该委员会利用各种通信手段（报纸</w:t>
      </w:r>
      <w:r>
        <w:rPr>
          <w:rFonts w:hint="eastAsia"/>
        </w:rPr>
        <w:t>、杂志、海报、广播电台和电视）定期为宣传运动投资，提高公众对与妇女有关的主要主题的认识：暴力侵害妇女、种族歧视、城乡劳动、薪资差别、妇女保健和参政议政。</w:t>
      </w:r>
    </w:p>
    <w:p w:rsidR="00000000" w:rsidRDefault="004D2F83" w:rsidP="004D2F83">
      <w:pPr>
        <w:spacing w:after="240" w:line="360" w:lineRule="exact"/>
        <w:ind w:firstLineChars="200" w:firstLine="31680"/>
        <w:rPr>
          <w:rFonts w:hint="eastAsia"/>
        </w:rPr>
      </w:pPr>
      <w:r>
        <w:rPr>
          <w:rFonts w:hint="eastAsia"/>
        </w:rPr>
        <w:t>1985</w:t>
      </w:r>
      <w:r>
        <w:rPr>
          <w:rFonts w:hint="eastAsia"/>
        </w:rPr>
        <w:t>年，发动了一份题为“公正的宪法必须倾听妇女的声音”的运动，旨在使广大公众认识到确保妇女在制宪议会中的权利的重要性。</w:t>
      </w:r>
    </w:p>
    <w:p w:rsidR="00000000" w:rsidRDefault="004D2F83" w:rsidP="004D2F83">
      <w:pPr>
        <w:spacing w:after="240" w:line="360" w:lineRule="exact"/>
        <w:ind w:firstLineChars="200" w:firstLine="31680"/>
        <w:rPr>
          <w:rFonts w:hint="eastAsia"/>
        </w:rPr>
      </w:pPr>
      <w:r>
        <w:rPr>
          <w:rFonts w:hint="eastAsia"/>
        </w:rPr>
        <w:t>1986</w:t>
      </w:r>
      <w:r>
        <w:rPr>
          <w:rFonts w:hint="eastAsia"/>
        </w:rPr>
        <w:t>至</w:t>
      </w:r>
      <w:r>
        <w:rPr>
          <w:rFonts w:hint="eastAsia"/>
        </w:rPr>
        <w:t>1988</w:t>
      </w:r>
      <w:r>
        <w:rPr>
          <w:rFonts w:hint="eastAsia"/>
        </w:rPr>
        <w:t>年期间，由全国妇女权利委员会</w:t>
      </w:r>
      <w:r>
        <w:t>/</w:t>
      </w:r>
      <w:r>
        <w:rPr>
          <w:rFonts w:hint="eastAsia"/>
        </w:rPr>
        <w:t>司法部与教育部全国教育学习与研究协会合作开展了题为“在校园内讨论妇女的社会作用”的全国运动，目的在于消除男女角色的陈旧形象。</w:t>
      </w:r>
      <w:r>
        <w:rPr>
          <w:rFonts w:hint="eastAsia"/>
        </w:rPr>
        <w:t>1996</w:t>
      </w:r>
      <w:r>
        <w:rPr>
          <w:rFonts w:hint="eastAsia"/>
        </w:rPr>
        <w:t>年，全国妇女权利委员会与教育部之间订立了合作议定书，要</w:t>
      </w:r>
      <w:r>
        <w:rPr>
          <w:rFonts w:hint="eastAsia"/>
        </w:rPr>
        <w:t>求筛选和推荐在内容上没有宣传性别和种族</w:t>
      </w:r>
      <w:r>
        <w:t>/</w:t>
      </w:r>
      <w:r>
        <w:rPr>
          <w:rFonts w:hint="eastAsia"/>
        </w:rPr>
        <w:t>肤色陈规定型观念的教科书。</w:t>
      </w:r>
    </w:p>
    <w:p w:rsidR="00000000" w:rsidRDefault="004D2F83" w:rsidP="004D2F83">
      <w:pPr>
        <w:spacing w:after="240" w:line="360" w:lineRule="exact"/>
        <w:ind w:firstLineChars="200" w:firstLine="31680"/>
        <w:rPr>
          <w:rFonts w:hint="eastAsia"/>
        </w:rPr>
      </w:pPr>
      <w:r>
        <w:rPr>
          <w:rFonts w:hint="eastAsia"/>
        </w:rPr>
        <w:t>值得一提的还有全国妇女权利委员会为拯救黑人妇女历史和重新树立她们的形象而开展的运动。</w:t>
      </w:r>
      <w:r>
        <w:rPr>
          <w:rFonts w:hint="eastAsia"/>
        </w:rPr>
        <w:t>1987</w:t>
      </w:r>
      <w:r>
        <w:rPr>
          <w:rFonts w:hint="eastAsia"/>
        </w:rPr>
        <w:t>年，全国妇女权利委员会参与、支助并组织了与这一主题有关的几项活动：其中突出的两个项目是：与巴西地理统计局合作开展的“黑人妇女数据”项目和“废奴斗争中的黑人妇女”项目。</w:t>
      </w:r>
    </w:p>
    <w:p w:rsidR="00000000" w:rsidRDefault="004D2F83" w:rsidP="004D2F83">
      <w:pPr>
        <w:spacing w:after="240" w:line="360" w:lineRule="exact"/>
        <w:ind w:firstLineChars="200" w:firstLine="31680"/>
        <w:rPr>
          <w:rFonts w:hint="eastAsia"/>
        </w:rPr>
      </w:pPr>
      <w:r>
        <w:rPr>
          <w:rFonts w:hint="eastAsia"/>
        </w:rPr>
        <w:t>1987</w:t>
      </w:r>
      <w:r>
        <w:rPr>
          <w:rFonts w:hint="eastAsia"/>
        </w:rPr>
        <w:t>年，全国妇女权利委员会采取的另一项宣传战略是通过媒体对暴力侵害妇女问题进行曝光。对暴力侵害妇女案件的统计数据和典型案例予以广泛宣传。同时，该委员会与各州的公共安全秘书处保持经常</w:t>
      </w:r>
      <w:r>
        <w:rPr>
          <w:rFonts w:hint="eastAsia"/>
        </w:rPr>
        <w:t>性联系，以期扩大对伤害妇女犯罪的抽样范围。</w:t>
      </w:r>
    </w:p>
    <w:p w:rsidR="00000000" w:rsidRDefault="004D2F83" w:rsidP="004D2F83">
      <w:pPr>
        <w:spacing w:after="240" w:line="360" w:lineRule="exact"/>
        <w:ind w:firstLineChars="200" w:firstLine="31680"/>
        <w:rPr>
          <w:rFonts w:hint="eastAsia"/>
        </w:rPr>
      </w:pPr>
      <w:r>
        <w:rPr>
          <w:rFonts w:hint="eastAsia"/>
        </w:rPr>
        <w:t>进入决策论坛的妇女人数极少，这也是国民议会妇女代表团所长期关注的一个问题，尤其是在北京第四次妇女问题世界会议召开之后，这一主题得到了广泛讨论。因此，</w:t>
      </w:r>
      <w:r>
        <w:rPr>
          <w:rFonts w:hint="eastAsia"/>
        </w:rPr>
        <w:t>1997</w:t>
      </w:r>
      <w:r>
        <w:rPr>
          <w:rFonts w:hint="eastAsia"/>
        </w:rPr>
        <w:t>年，当国民议会通过第</w:t>
      </w:r>
      <w:r>
        <w:t>9594/97</w:t>
      </w:r>
      <w:r>
        <w:rPr>
          <w:rFonts w:hint="eastAsia"/>
        </w:rPr>
        <w:t>号法律，确定巴西妇女竞选选任职位的最低限额为</w:t>
      </w:r>
      <w:r>
        <w:t>30%</w:t>
      </w:r>
      <w:r>
        <w:rPr>
          <w:rFonts w:hint="eastAsia"/>
        </w:rPr>
        <w:t>时，女国会议员与巴西地理统计局一道，在全国范围内发起了题为“妇女不惧权势”的宣传运动，在</w:t>
      </w:r>
      <w:r>
        <w:rPr>
          <w:rFonts w:hint="eastAsia"/>
        </w:rPr>
        <w:t>2000</w:t>
      </w:r>
      <w:r>
        <w:rPr>
          <w:rFonts w:hint="eastAsia"/>
        </w:rPr>
        <w:t>年选举年里，另一场运动也涉及同一主题：妇女参政、妇女掌权，这是国民议会妇女代表团与全国妇女权利委员会合作开展的一场运动。必须要强调的</w:t>
      </w:r>
      <w:r>
        <w:rPr>
          <w:rFonts w:hint="eastAsia"/>
        </w:rPr>
        <w:t>是，这两场宣传运动都到了妇女运动的全力支持。</w:t>
      </w:r>
    </w:p>
    <w:p w:rsidR="00000000" w:rsidRDefault="004D2F83" w:rsidP="004D2F83">
      <w:pPr>
        <w:spacing w:after="240" w:line="360" w:lineRule="exact"/>
        <w:ind w:firstLineChars="200" w:firstLine="31680"/>
        <w:rPr>
          <w:rFonts w:hint="eastAsia"/>
        </w:rPr>
      </w:pPr>
      <w:r>
        <w:rPr>
          <w:rFonts w:hint="eastAsia"/>
        </w:rPr>
        <w:t>1983</w:t>
      </w:r>
      <w:r>
        <w:rPr>
          <w:rFonts w:hint="eastAsia"/>
        </w:rPr>
        <w:t>年，卫生部实施了“充分援助妇女保健方案”，这实际是巴西政府为改善妇女健康状况所做的承诺，也是对妇女运动的一项主要要求所做的反应。自</w:t>
      </w:r>
      <w:r>
        <w:rPr>
          <w:rFonts w:hint="eastAsia"/>
        </w:rPr>
        <w:t>1985</w:t>
      </w:r>
      <w:r>
        <w:rPr>
          <w:rFonts w:hint="eastAsia"/>
        </w:rPr>
        <w:t>年，全国妇女权利委员会成立以来，充分援助妇女保健方案便能依靠较为专业的政治合作，确保项目和政治行动得到改进。充分援助妇女保健方案目前开展的项目着眼于妇女差异（种族、年龄、区域等）和提高妇女觉悟，改善对高危妊娠的援助、培训护士和传统助产士、预防和治疗艾滋病病毒</w:t>
      </w:r>
      <w:r>
        <w:t>/</w:t>
      </w:r>
      <w:r>
        <w:rPr>
          <w:rFonts w:hint="eastAsia"/>
        </w:rPr>
        <w:t>艾滋病、预防和治疗子宫和乳腺癌、援助遭受暴力侵害的妇女等。</w:t>
      </w:r>
    </w:p>
    <w:p w:rsidR="00000000" w:rsidRDefault="004D2F83" w:rsidP="004D2F83">
      <w:pPr>
        <w:spacing w:after="240" w:line="360" w:lineRule="exact"/>
        <w:ind w:firstLineChars="200" w:firstLine="31680"/>
        <w:rPr>
          <w:rFonts w:hint="eastAsia"/>
        </w:rPr>
      </w:pPr>
      <w:r>
        <w:rPr>
          <w:rFonts w:hint="eastAsia"/>
        </w:rPr>
        <w:t>在文化领域，</w:t>
      </w:r>
      <w:r>
        <w:rPr>
          <w:rFonts w:hint="eastAsia"/>
        </w:rPr>
        <w:t>1985</w:t>
      </w:r>
      <w:r>
        <w:rPr>
          <w:rFonts w:hint="eastAsia"/>
        </w:rPr>
        <w:t>至</w:t>
      </w:r>
      <w:r>
        <w:rPr>
          <w:rFonts w:hint="eastAsia"/>
        </w:rPr>
        <w:t>1987</w:t>
      </w:r>
      <w:r>
        <w:rPr>
          <w:rFonts w:hint="eastAsia"/>
        </w:rPr>
        <w:t>年，全国妇女权利委员会与文化部合作，支助和鼓励了几个旨在承认妇女价值的项目：</w:t>
      </w:r>
      <w:r>
        <w:t>Norma Bengel’s Fogo Pagu</w:t>
      </w:r>
      <w:r>
        <w:rPr>
          <w:rFonts w:hint="eastAsia"/>
        </w:rPr>
        <w:t>；</w:t>
      </w:r>
      <w:r>
        <w:t>Cora Coralina</w:t>
      </w:r>
      <w:r>
        <w:rPr>
          <w:rFonts w:hint="eastAsia"/>
        </w:rPr>
        <w:t>竞赛；为“女性风采”研讨会和展览提供财政支持并参与其活动；参加第三届</w:t>
      </w:r>
      <w:r>
        <w:t>Fest Rio</w:t>
      </w:r>
      <w:r>
        <w:rPr>
          <w:rFonts w:hint="eastAsia"/>
        </w:rPr>
        <w:t>；为题为“</w:t>
      </w:r>
      <w:r>
        <w:t>Dandara</w:t>
      </w:r>
      <w:r>
        <w:rPr>
          <w:rFonts w:hint="eastAsia"/>
        </w:rPr>
        <w:t>，一位黑人妇女”的录像片提供部分经费；为</w:t>
      </w:r>
      <w:r>
        <w:t>Sandra Werneck</w:t>
      </w:r>
      <w:r>
        <w:rPr>
          <w:rFonts w:hint="eastAsia"/>
        </w:rPr>
        <w:t>的短片“夜幕下的女人”提供财政支持；为</w:t>
      </w:r>
      <w:r>
        <w:t>Eunice Gutman</w:t>
      </w:r>
      <w:r>
        <w:rPr>
          <w:rFonts w:hint="eastAsia"/>
        </w:rPr>
        <w:t>的关于妇女在制宪议会中的运动的影片提供政治和财政支持；及“妇女第一视频”。</w:t>
      </w:r>
    </w:p>
    <w:p w:rsidR="00000000" w:rsidRDefault="004D2F83" w:rsidP="004D2F83">
      <w:pPr>
        <w:spacing w:after="240" w:line="380" w:lineRule="exact"/>
        <w:ind w:firstLineChars="200" w:firstLine="31680"/>
        <w:rPr>
          <w:rFonts w:hint="eastAsia"/>
        </w:rPr>
      </w:pPr>
      <w:r>
        <w:rPr>
          <w:rFonts w:hint="eastAsia"/>
        </w:rPr>
        <w:t>1989</w:t>
      </w:r>
      <w:r>
        <w:rPr>
          <w:rFonts w:hint="eastAsia"/>
        </w:rPr>
        <w:t>年，有</w:t>
      </w:r>
      <w:r>
        <w:rPr>
          <w:rFonts w:hint="eastAsia"/>
        </w:rPr>
        <w:t>关方面通过全国妇女权利委员会女性主题音像图书馆的建立和扩大，包括每季度出版文章供工会、学校、社区组织等阅读，继续开展评估女性文化的工作。值得一提的还有，建立妇女第二视频和出版两部在</w:t>
      </w:r>
      <w:r>
        <w:t>Cora Coralina</w:t>
      </w:r>
      <w:r>
        <w:rPr>
          <w:rFonts w:hint="eastAsia"/>
        </w:rPr>
        <w:t>诗歌散文大赛中获奖的书籍。</w:t>
      </w:r>
      <w:r>
        <w:rPr>
          <w:rFonts w:hint="eastAsia"/>
        </w:rPr>
        <w:t>1995</w:t>
      </w:r>
      <w:r>
        <w:rPr>
          <w:rFonts w:hint="eastAsia"/>
        </w:rPr>
        <w:t>年，巴西允许妇女参加文化功勋章获得者评选活动，该奖项授予为巴西文化做出贡献的人士。参加报名的妇女人数呈上升趋势，从</w:t>
      </w:r>
      <w:r>
        <w:rPr>
          <w:rFonts w:hint="eastAsia"/>
        </w:rPr>
        <w:t>1995</w:t>
      </w:r>
      <w:r>
        <w:rPr>
          <w:rFonts w:hint="eastAsia"/>
        </w:rPr>
        <w:t>年的</w:t>
      </w:r>
      <w:r>
        <w:t>15%</w:t>
      </w:r>
      <w:r>
        <w:rPr>
          <w:rFonts w:hint="eastAsia"/>
        </w:rPr>
        <w:t>增至</w:t>
      </w:r>
      <w:r>
        <w:t>2000</w:t>
      </w:r>
      <w:r>
        <w:rPr>
          <w:rFonts w:hint="eastAsia"/>
        </w:rPr>
        <w:t>年的</w:t>
      </w:r>
      <w:r>
        <w:t>33%</w:t>
      </w:r>
      <w:r>
        <w:rPr>
          <w:rFonts w:hint="eastAsia"/>
        </w:rPr>
        <w:t>。</w:t>
      </w:r>
    </w:p>
    <w:p w:rsidR="00000000" w:rsidRDefault="004D2F83" w:rsidP="004D2F83">
      <w:pPr>
        <w:spacing w:after="240" w:line="380" w:lineRule="exact"/>
        <w:ind w:firstLineChars="200" w:firstLine="31680"/>
        <w:rPr>
          <w:rFonts w:hint="eastAsia"/>
        </w:rPr>
      </w:pPr>
      <w:r>
        <w:rPr>
          <w:rFonts w:hint="eastAsia"/>
        </w:rPr>
        <w:t>1995</w:t>
      </w:r>
      <w:r>
        <w:rPr>
          <w:rFonts w:hint="eastAsia"/>
        </w:rPr>
        <w:t>年在北京举行的第四次妇女问题世界会议是各种妇女运动和国民议会，特别是其妇女代表团以及联邦执行部门就政治行动</w:t>
      </w:r>
      <w:r>
        <w:rPr>
          <w:rFonts w:hint="eastAsia"/>
        </w:rPr>
        <w:t>进行反思和提出建议的一个重要的里程碑。</w:t>
      </w:r>
    </w:p>
    <w:p w:rsidR="00000000" w:rsidRDefault="004D2F83" w:rsidP="004D2F83">
      <w:pPr>
        <w:spacing w:after="240" w:line="380" w:lineRule="exact"/>
        <w:ind w:firstLineChars="200" w:firstLine="31680"/>
        <w:rPr>
          <w:rFonts w:hint="eastAsia"/>
        </w:rPr>
      </w:pPr>
      <w:r>
        <w:rPr>
          <w:rFonts w:hint="eastAsia"/>
        </w:rPr>
        <w:t>1994</w:t>
      </w:r>
      <w:r>
        <w:rPr>
          <w:rFonts w:hint="eastAsia"/>
        </w:rPr>
        <w:t>和</w:t>
      </w:r>
      <w:r>
        <w:rPr>
          <w:rFonts w:hint="eastAsia"/>
        </w:rPr>
        <w:t>1995</w:t>
      </w:r>
      <w:r>
        <w:rPr>
          <w:rFonts w:hint="eastAsia"/>
        </w:rPr>
        <w:t>年发起的题为“动员巴西妇女”的运动，动员了成百上千名妇女撰写提交给</w:t>
      </w:r>
      <w:r>
        <w:rPr>
          <w:rFonts w:hint="eastAsia"/>
        </w:rPr>
        <w:t>1995</w:t>
      </w:r>
      <w:r>
        <w:rPr>
          <w:rFonts w:hint="eastAsia"/>
        </w:rPr>
        <w:t>年北京会议的请愿书。此次动员活动涉及到</w:t>
      </w:r>
      <w:r>
        <w:rPr>
          <w:rFonts w:hint="eastAsia"/>
        </w:rPr>
        <w:t>8000</w:t>
      </w:r>
      <w:r>
        <w:rPr>
          <w:rFonts w:hint="eastAsia"/>
        </w:rPr>
        <w:t>个妇女团体，这些团体参与了</w:t>
      </w:r>
      <w:r>
        <w:rPr>
          <w:rFonts w:hint="eastAsia"/>
        </w:rPr>
        <w:t>91</w:t>
      </w:r>
      <w:r>
        <w:rPr>
          <w:rFonts w:hint="eastAsia"/>
        </w:rPr>
        <w:t>个大型活动。</w:t>
      </w:r>
    </w:p>
    <w:p w:rsidR="00000000" w:rsidRDefault="004D2F83">
      <w:pPr>
        <w:pStyle w:val="BodyTextIndent2"/>
        <w:spacing w:after="240" w:line="380" w:lineRule="exact"/>
        <w:rPr>
          <w:rFonts w:eastAsia="KaiTi_GB2312" w:hint="eastAsia"/>
          <w:i w:val="0"/>
          <w:iCs/>
        </w:rPr>
      </w:pPr>
      <w:r>
        <w:rPr>
          <w:rFonts w:eastAsia="KaiTi_GB2312" w:hint="eastAsia"/>
          <w:i w:val="0"/>
          <w:iCs/>
        </w:rPr>
        <w:t>按照批准的北京《行动纲要》的精神，全国妇女权利委员会拟订了一份题为“平等战略—行动纲要”的文件，以期履行巴西在第四次妇女问题世界会议期间所做的承诺，并与教育和体育部、卫生部及劳动部签订合作议定书。</w:t>
      </w:r>
    </w:p>
    <w:p w:rsidR="00000000" w:rsidRDefault="004D2F83" w:rsidP="004D2F83">
      <w:pPr>
        <w:spacing w:after="240" w:line="380" w:lineRule="exact"/>
        <w:ind w:firstLineChars="200" w:firstLine="31680"/>
        <w:rPr>
          <w:rFonts w:hint="eastAsia"/>
        </w:rPr>
      </w:pPr>
      <w:r>
        <w:rPr>
          <w:rFonts w:hint="eastAsia"/>
        </w:rPr>
        <w:t>观念上的进步通过北京会议得到了巩固，人们也认识到，民主能否存在，除其他成就外，还取决于两性平</w:t>
      </w:r>
      <w:r>
        <w:rPr>
          <w:rFonts w:hint="eastAsia"/>
        </w:rPr>
        <w:t>等，这推动了并将继续推动一系列的政治行动。</w:t>
      </w:r>
      <w:r>
        <w:rPr>
          <w:rFonts w:hint="eastAsia"/>
        </w:rPr>
        <w:t>1998</w:t>
      </w:r>
      <w:r>
        <w:rPr>
          <w:rFonts w:hint="eastAsia"/>
        </w:rPr>
        <w:t>年</w:t>
      </w:r>
      <w:r>
        <w:rPr>
          <w:rFonts w:hint="eastAsia"/>
        </w:rPr>
        <w:t>3</w:t>
      </w:r>
      <w:r>
        <w:rPr>
          <w:rFonts w:hint="eastAsia"/>
        </w:rPr>
        <w:t>月，共和国总统批准了公务员系统机会平等国家方案（</w:t>
      </w:r>
      <w:r>
        <w:rPr>
          <w:rFonts w:hint="eastAsia"/>
        </w:rPr>
        <w:t>1998</w:t>
      </w:r>
      <w:r>
        <w:rPr>
          <w:rFonts w:hint="eastAsia"/>
        </w:rPr>
        <w:t>年</w:t>
      </w:r>
      <w:r>
        <w:rPr>
          <w:rFonts w:hint="eastAsia"/>
        </w:rPr>
        <w:t>3</w:t>
      </w:r>
      <w:r>
        <w:rPr>
          <w:rFonts w:hint="eastAsia"/>
        </w:rPr>
        <w:t>月</w:t>
      </w:r>
      <w:r>
        <w:rPr>
          <w:rFonts w:hint="eastAsia"/>
        </w:rPr>
        <w:t>5</w:t>
      </w:r>
      <w:r>
        <w:rPr>
          <w:rFonts w:hint="eastAsia"/>
        </w:rPr>
        <w:t>日第</w:t>
      </w:r>
      <w:r>
        <w:t>119</w:t>
      </w:r>
      <w:r>
        <w:rPr>
          <w:rFonts w:hint="eastAsia"/>
        </w:rPr>
        <w:t>号总统文件），该方案旨在纠正行政和国家改革部下令开展的有关公务员制度状况方面的统计调查中查出的公职权力机构中的不平等现象。男女差距反映在下列数字中：</w:t>
      </w:r>
      <w:r>
        <w:rPr>
          <w:rFonts w:hint="eastAsia"/>
        </w:rPr>
        <w:t>1998</w:t>
      </w:r>
      <w:r>
        <w:rPr>
          <w:rFonts w:hint="eastAsia"/>
        </w:rPr>
        <w:t>年，妇女在全体公务员中所占比例是</w:t>
      </w:r>
      <w:r>
        <w:t>44%</w:t>
      </w:r>
      <w:r>
        <w:rPr>
          <w:rFonts w:hint="eastAsia"/>
        </w:rPr>
        <w:t>，但只有</w:t>
      </w:r>
      <w:r>
        <w:t>13%</w:t>
      </w:r>
      <w:r>
        <w:rPr>
          <w:rFonts w:hint="eastAsia"/>
        </w:rPr>
        <w:t>的高级职位由妇女担任。除了两性不平等之外，还有一点令人担忧——肤色</w:t>
      </w:r>
      <w:r>
        <w:t>/</w:t>
      </w:r>
      <w:r>
        <w:rPr>
          <w:rFonts w:hint="eastAsia"/>
        </w:rPr>
        <w:t>种族不平等：在领取高级助理职位补贴的全部妇女中，白人占到</w:t>
      </w:r>
      <w:r>
        <w:t>82.80%</w:t>
      </w:r>
      <w:r>
        <w:rPr>
          <w:rFonts w:hint="eastAsia"/>
        </w:rPr>
        <w:t>。</w:t>
      </w:r>
    </w:p>
    <w:p w:rsidR="00000000" w:rsidRDefault="004D2F83" w:rsidP="004D2F83">
      <w:pPr>
        <w:spacing w:after="240" w:line="380" w:lineRule="exact"/>
        <w:ind w:firstLineChars="200" w:firstLine="31680"/>
        <w:rPr>
          <w:rFonts w:hint="eastAsia"/>
        </w:rPr>
      </w:pPr>
      <w:r>
        <w:rPr>
          <w:rFonts w:hint="eastAsia"/>
        </w:rPr>
        <w:t>根据公务员系统机会平等国家方案，行政</w:t>
      </w:r>
      <w:r>
        <w:rPr>
          <w:rFonts w:hint="eastAsia"/>
        </w:rPr>
        <w:t>和国家改革部颁布的</w:t>
      </w:r>
      <w:r>
        <w:rPr>
          <w:rFonts w:hint="eastAsia"/>
        </w:rPr>
        <w:t>1998</w:t>
      </w:r>
      <w:r>
        <w:rPr>
          <w:rFonts w:hint="eastAsia"/>
        </w:rPr>
        <w:t>年</w:t>
      </w:r>
      <w:r>
        <w:rPr>
          <w:rFonts w:hint="eastAsia"/>
        </w:rPr>
        <w:t>9</w:t>
      </w:r>
      <w:r>
        <w:rPr>
          <w:rFonts w:hint="eastAsia"/>
        </w:rPr>
        <w:t>月</w:t>
      </w:r>
      <w:r>
        <w:rPr>
          <w:rFonts w:hint="eastAsia"/>
        </w:rPr>
        <w:t>28</w:t>
      </w:r>
      <w:r>
        <w:rPr>
          <w:rFonts w:hint="eastAsia"/>
        </w:rPr>
        <w:t>日第</w:t>
      </w:r>
      <w:r>
        <w:t>2.870</w:t>
      </w:r>
      <w:r>
        <w:rPr>
          <w:rFonts w:hint="eastAsia"/>
        </w:rPr>
        <w:t>号行政裁定建议，所有高级职位中应有</w:t>
      </w:r>
      <w:r>
        <w:t>30%</w:t>
      </w:r>
      <w:r>
        <w:rPr>
          <w:rFonts w:hint="eastAsia"/>
        </w:rPr>
        <w:t>的职位由妇女担任，同时应为女公务员举办性别总是培训班和讲习班。题为“公务员系统中妇女管理方案”的培训班第一阶段由财务行政学校举办，以后由国家公共行政学校举办，国家公共行政学校继续定期授课。培训班旨在使女公务员在管理方面得到提高和发展，并使妇女有资格在公共行政系统内担任决策一级的领导职务，从而增进机会平等。该方案的目标群体是担任或渴望担任管理职务的女公务员。自</w:t>
      </w:r>
      <w:r>
        <w:rPr>
          <w:rFonts w:hint="eastAsia"/>
        </w:rPr>
        <w:t>1998</w:t>
      </w:r>
      <w:r>
        <w:rPr>
          <w:rFonts w:hint="eastAsia"/>
        </w:rPr>
        <w:t>年以来，共有来自二十个团体的</w:t>
      </w:r>
      <w:r>
        <w:rPr>
          <w:rFonts w:hint="eastAsia"/>
        </w:rPr>
        <w:t>379</w:t>
      </w:r>
      <w:r>
        <w:rPr>
          <w:rFonts w:hint="eastAsia"/>
        </w:rPr>
        <w:t>名政府女工作人员从该</w:t>
      </w:r>
      <w:r>
        <w:rPr>
          <w:rFonts w:hint="eastAsia"/>
        </w:rPr>
        <w:t>方案培训班中毕业。</w:t>
      </w:r>
    </w:p>
    <w:p w:rsidR="00000000" w:rsidRDefault="004D2F83" w:rsidP="004D2F83">
      <w:pPr>
        <w:spacing w:after="240" w:line="380" w:lineRule="exact"/>
        <w:ind w:firstLineChars="200" w:firstLine="31680"/>
        <w:rPr>
          <w:rFonts w:hint="eastAsia"/>
        </w:rPr>
      </w:pPr>
      <w:r>
        <w:rPr>
          <w:rFonts w:hint="eastAsia"/>
        </w:rPr>
        <w:t>为了继续执行培训方案并且着眼于性别问题，计划、预算和管理部管理秘书处决定为担任决策职务的妇女的发展进行投资。为此目的，</w:t>
      </w:r>
      <w:r>
        <w:rPr>
          <w:rFonts w:hint="eastAsia"/>
        </w:rPr>
        <w:t>1999</w:t>
      </w:r>
      <w:r>
        <w:rPr>
          <w:rFonts w:hint="eastAsia"/>
        </w:rPr>
        <w:t>年，该秘书处与女性领导中心签署了一份协议，拟订一项培训方案，对大约</w:t>
      </w:r>
      <w:r>
        <w:rPr>
          <w:rFonts w:hint="eastAsia"/>
        </w:rPr>
        <w:t>60</w:t>
      </w:r>
      <w:r>
        <w:rPr>
          <w:rFonts w:hint="eastAsia"/>
        </w:rPr>
        <w:t>名在本届政府中管理多年期计划（</w:t>
      </w:r>
      <w:r>
        <w:rPr>
          <w:rFonts w:hint="eastAsia"/>
        </w:rPr>
        <w:t>2000</w:t>
      </w:r>
      <w:r>
        <w:rPr>
          <w:rFonts w:hint="eastAsia"/>
        </w:rPr>
        <w:t>—</w:t>
      </w:r>
      <w:r>
        <w:rPr>
          <w:rFonts w:hint="eastAsia"/>
        </w:rPr>
        <w:t>2003</w:t>
      </w:r>
      <w:r>
        <w:rPr>
          <w:rFonts w:hint="eastAsia"/>
        </w:rPr>
        <w:t>年）各方案的妇女进行培训。第一期培训班计划分为两个四十课时的模块；第一期培训班招收</w:t>
      </w:r>
      <w:r>
        <w:rPr>
          <w:rFonts w:hint="eastAsia"/>
        </w:rPr>
        <w:t>30</w:t>
      </w:r>
      <w:r>
        <w:rPr>
          <w:rFonts w:hint="eastAsia"/>
        </w:rPr>
        <w:t>名妇女，于</w:t>
      </w:r>
      <w:r>
        <w:rPr>
          <w:rFonts w:hint="eastAsia"/>
        </w:rPr>
        <w:t>2000</w:t>
      </w:r>
      <w:r>
        <w:rPr>
          <w:rFonts w:hint="eastAsia"/>
        </w:rPr>
        <w:t>年底至</w:t>
      </w:r>
      <w:r>
        <w:rPr>
          <w:rFonts w:hint="eastAsia"/>
        </w:rPr>
        <w:t>2001</w:t>
      </w:r>
      <w:r>
        <w:rPr>
          <w:rFonts w:hint="eastAsia"/>
        </w:rPr>
        <w:t>年初在里约热内卢女性领导中心总部举办。第二期培训班缩减为</w:t>
      </w:r>
      <w:r>
        <w:rPr>
          <w:rFonts w:hint="eastAsia"/>
        </w:rPr>
        <w:t>20</w:t>
      </w:r>
      <w:r>
        <w:rPr>
          <w:rFonts w:hint="eastAsia"/>
        </w:rPr>
        <w:t>个课时，定于</w:t>
      </w:r>
      <w:r>
        <w:rPr>
          <w:rFonts w:hint="eastAsia"/>
        </w:rPr>
        <w:t>2001</w:t>
      </w:r>
      <w:r>
        <w:rPr>
          <w:rFonts w:hint="eastAsia"/>
        </w:rPr>
        <w:t>年底在巴西利亚的国家公共行政学校举办。除了培训妇女</w:t>
      </w:r>
      <w:r>
        <w:rPr>
          <w:rFonts w:hint="eastAsia"/>
        </w:rPr>
        <w:t>的技术能力之外，该培训班最初建议建立妇女网络，并为人们就做为一个女人究竟意味着什么以及妇女在其日常生活中所起的诸多作用提供了反思的机会。</w:t>
      </w:r>
    </w:p>
    <w:p w:rsidR="00000000" w:rsidRDefault="004D2F83" w:rsidP="004D2F83">
      <w:pPr>
        <w:spacing w:after="240" w:line="380" w:lineRule="exact"/>
        <w:ind w:firstLineChars="200" w:firstLine="31680"/>
        <w:rPr>
          <w:rFonts w:hint="eastAsia"/>
        </w:rPr>
      </w:pPr>
      <w:r>
        <w:rPr>
          <w:rFonts w:hint="eastAsia"/>
        </w:rPr>
        <w:t>农业发展部拟订了独特的肯定行动方案。其最近的起始点（</w:t>
      </w:r>
      <w:r>
        <w:rPr>
          <w:rFonts w:hint="eastAsia"/>
        </w:rPr>
        <w:t>1999</w:t>
      </w:r>
      <w:r>
        <w:rPr>
          <w:rFonts w:hint="eastAsia"/>
        </w:rPr>
        <w:t>年）恰好与殖民和土地改革研究所妇女论坛的会议同步进行，这些会议讨论了妇女在该研究所中的作用。这一运动声势浩大，遍及巴西好几个区域，加上巴西政府对国际社会所做的承诺，它对农业发展部执行的最新公共政策也产生了影响。</w:t>
      </w:r>
    </w:p>
    <w:p w:rsidR="00000000" w:rsidRDefault="004D2F83" w:rsidP="004D2F83">
      <w:pPr>
        <w:spacing w:after="240" w:line="380" w:lineRule="exact"/>
        <w:ind w:firstLineChars="200" w:firstLine="31680"/>
        <w:rPr>
          <w:rFonts w:hint="eastAsia"/>
        </w:rPr>
      </w:pPr>
      <w:r>
        <w:rPr>
          <w:rFonts w:hint="eastAsia"/>
        </w:rPr>
        <w:t>2000</w:t>
      </w:r>
      <w:r>
        <w:rPr>
          <w:rFonts w:hint="eastAsia"/>
        </w:rPr>
        <w:t>年，农业发展部举办了几期培训班和讲习班，以期在工作场所建立一种新文化氛围，消除偏见并提高直接参</w:t>
      </w:r>
      <w:r>
        <w:rPr>
          <w:rFonts w:hint="eastAsia"/>
        </w:rPr>
        <w:t>与这一进程的行动者对问题的敏感认识。该部拟订了为公务员和农业改革受益者创造平等机会的行动，例如与粮农组织合作开展名为“性别与农业改革”的技术合作项目，其目的是为拟订公共政策以消除妇女在农业改革范围内遇到的法律、官僚、社会经济和行为障碍提供投入。着眼于东北部半干旱地区的农业改革定居点的可持续发展的“</w:t>
      </w:r>
      <w:r>
        <w:t>Dom Helder Camara</w:t>
      </w:r>
      <w:r>
        <w:rPr>
          <w:rFonts w:hint="eastAsia"/>
        </w:rPr>
        <w:t>项目”，也对该区域的经济与社会关系做了诊断，诊断显示妇女被纳入并参与了该项目。该部还为技术人员举办了培训班，同时也在规划面向农业改革受益人的行动。</w:t>
      </w:r>
    </w:p>
    <w:p w:rsidR="00000000" w:rsidRDefault="004D2F83" w:rsidP="004D2F83">
      <w:pPr>
        <w:spacing w:after="240" w:line="380" w:lineRule="exact"/>
        <w:ind w:firstLineChars="200" w:firstLine="31680"/>
        <w:rPr>
          <w:rFonts w:hint="eastAsia"/>
          <w:spacing w:val="-4"/>
        </w:rPr>
      </w:pPr>
      <w:r>
        <w:rPr>
          <w:rFonts w:hint="eastAsia"/>
          <w:spacing w:val="-4"/>
        </w:rPr>
        <w:t>2001</w:t>
      </w:r>
      <w:r>
        <w:rPr>
          <w:rFonts w:hint="eastAsia"/>
          <w:spacing w:val="-4"/>
        </w:rPr>
        <w:t>年</w:t>
      </w:r>
      <w:r>
        <w:rPr>
          <w:rFonts w:hint="eastAsia"/>
          <w:spacing w:val="-4"/>
        </w:rPr>
        <w:t>3</w:t>
      </w:r>
      <w:r>
        <w:rPr>
          <w:rFonts w:hint="eastAsia"/>
          <w:spacing w:val="-4"/>
        </w:rPr>
        <w:t>月</w:t>
      </w:r>
      <w:r>
        <w:rPr>
          <w:rFonts w:hint="eastAsia"/>
          <w:spacing w:val="-4"/>
        </w:rPr>
        <w:t>8</w:t>
      </w:r>
      <w:r>
        <w:rPr>
          <w:rFonts w:hint="eastAsia"/>
          <w:spacing w:val="-4"/>
        </w:rPr>
        <w:t>日，农业发展部颁</w:t>
      </w:r>
      <w:r>
        <w:rPr>
          <w:rFonts w:hint="eastAsia"/>
          <w:spacing w:val="-4"/>
        </w:rPr>
        <w:t>布了第</w:t>
      </w:r>
      <w:r>
        <w:rPr>
          <w:rFonts w:hint="eastAsia"/>
          <w:spacing w:val="-4"/>
        </w:rPr>
        <w:t>33</w:t>
      </w:r>
      <w:r>
        <w:rPr>
          <w:rFonts w:hint="eastAsia"/>
          <w:spacing w:val="-4"/>
        </w:rPr>
        <w:t>号行政裁定，确定了促进其雇员和农业改革受益人的平等机会方案。该方案规定了到</w:t>
      </w:r>
      <w:r>
        <w:rPr>
          <w:rFonts w:hint="eastAsia"/>
          <w:spacing w:val="-4"/>
        </w:rPr>
        <w:t>2003</w:t>
      </w:r>
      <w:r>
        <w:rPr>
          <w:rFonts w:hint="eastAsia"/>
          <w:spacing w:val="-4"/>
        </w:rPr>
        <w:t>年妇女担任管理职务的限额应达到</w:t>
      </w:r>
      <w:r>
        <w:rPr>
          <w:spacing w:val="-4"/>
        </w:rPr>
        <w:t>30%</w:t>
      </w:r>
      <w:r>
        <w:rPr>
          <w:rFonts w:hint="eastAsia"/>
          <w:spacing w:val="-4"/>
        </w:rPr>
        <w:t>。后来，在</w:t>
      </w:r>
      <w:r>
        <w:rPr>
          <w:rFonts w:hint="eastAsia"/>
          <w:spacing w:val="-4"/>
        </w:rPr>
        <w:t>2001</w:t>
      </w:r>
      <w:r>
        <w:rPr>
          <w:rFonts w:hint="eastAsia"/>
          <w:spacing w:val="-4"/>
        </w:rPr>
        <w:t>年</w:t>
      </w:r>
      <w:r>
        <w:rPr>
          <w:rFonts w:hint="eastAsia"/>
          <w:spacing w:val="-4"/>
        </w:rPr>
        <w:t>8</w:t>
      </w:r>
      <w:r>
        <w:rPr>
          <w:rFonts w:hint="eastAsia"/>
          <w:spacing w:val="-4"/>
        </w:rPr>
        <w:t>月</w:t>
      </w:r>
      <w:r>
        <w:rPr>
          <w:rFonts w:hint="eastAsia"/>
          <w:spacing w:val="-4"/>
        </w:rPr>
        <w:t>4</w:t>
      </w:r>
      <w:r>
        <w:rPr>
          <w:rFonts w:hint="eastAsia"/>
          <w:spacing w:val="-4"/>
        </w:rPr>
        <w:t>日，为了履行巴西政府在</w:t>
      </w:r>
      <w:r>
        <w:rPr>
          <w:rFonts w:hint="eastAsia"/>
          <w:spacing w:val="-4"/>
        </w:rPr>
        <w:t>2001</w:t>
      </w:r>
      <w:r>
        <w:rPr>
          <w:rFonts w:hint="eastAsia"/>
          <w:spacing w:val="-4"/>
        </w:rPr>
        <w:t>年</w:t>
      </w:r>
      <w:r>
        <w:rPr>
          <w:rFonts w:hint="eastAsia"/>
          <w:spacing w:val="-4"/>
        </w:rPr>
        <w:t>8</w:t>
      </w:r>
      <w:r>
        <w:rPr>
          <w:rFonts w:hint="eastAsia"/>
          <w:spacing w:val="-4"/>
        </w:rPr>
        <w:t>月</w:t>
      </w:r>
      <w:r>
        <w:rPr>
          <w:rFonts w:hint="eastAsia"/>
          <w:spacing w:val="-4"/>
        </w:rPr>
        <w:t>31</w:t>
      </w:r>
      <w:r>
        <w:rPr>
          <w:rFonts w:hint="eastAsia"/>
          <w:spacing w:val="-4"/>
        </w:rPr>
        <w:t>日至</w:t>
      </w:r>
      <w:r>
        <w:rPr>
          <w:rFonts w:hint="eastAsia"/>
          <w:spacing w:val="-4"/>
        </w:rPr>
        <w:t>9</w:t>
      </w:r>
      <w:r>
        <w:rPr>
          <w:rFonts w:hint="eastAsia"/>
          <w:spacing w:val="-4"/>
        </w:rPr>
        <w:t>月</w:t>
      </w:r>
      <w:r>
        <w:rPr>
          <w:rFonts w:hint="eastAsia"/>
          <w:spacing w:val="-4"/>
        </w:rPr>
        <w:t>7</w:t>
      </w:r>
      <w:r>
        <w:rPr>
          <w:rFonts w:hint="eastAsia"/>
          <w:spacing w:val="-4"/>
        </w:rPr>
        <w:t>日在非洲德班举行的反对种族主义、种族歧视、仇外心理和相关的不容忍问题世界会议上做出的承诺，该部颁布了规定到</w:t>
      </w:r>
      <w:r>
        <w:rPr>
          <w:rFonts w:hint="eastAsia"/>
          <w:spacing w:val="-4"/>
        </w:rPr>
        <w:t>2003</w:t>
      </w:r>
      <w:r>
        <w:rPr>
          <w:rFonts w:hint="eastAsia"/>
          <w:spacing w:val="-4"/>
        </w:rPr>
        <w:t>年该部职位中的</w:t>
      </w:r>
      <w:r>
        <w:rPr>
          <w:spacing w:val="-4"/>
        </w:rPr>
        <w:t>20%</w:t>
      </w:r>
      <w:r>
        <w:rPr>
          <w:rFonts w:hint="eastAsia"/>
          <w:spacing w:val="-4"/>
        </w:rPr>
        <w:t>应由黑人担任的行政裁定。</w:t>
      </w:r>
    </w:p>
    <w:p w:rsidR="00000000" w:rsidRDefault="004D2F83" w:rsidP="004D2F83">
      <w:pPr>
        <w:spacing w:after="240" w:line="360" w:lineRule="exact"/>
        <w:ind w:firstLineChars="200" w:firstLine="31680"/>
        <w:rPr>
          <w:rFonts w:hint="eastAsia"/>
        </w:rPr>
      </w:pPr>
      <w:r>
        <w:rPr>
          <w:rFonts w:hint="eastAsia"/>
        </w:rPr>
        <w:t>值得一提的还有，</w:t>
      </w:r>
      <w:r>
        <w:rPr>
          <w:rFonts w:hint="eastAsia"/>
        </w:rPr>
        <w:t xml:space="preserve"> 2002</w:t>
      </w:r>
      <w:r>
        <w:rPr>
          <w:rFonts w:hint="eastAsia"/>
        </w:rPr>
        <w:t>年</w:t>
      </w:r>
      <w:r>
        <w:rPr>
          <w:rFonts w:hint="eastAsia"/>
        </w:rPr>
        <w:t>5</w:t>
      </w:r>
      <w:r>
        <w:rPr>
          <w:rFonts w:hint="eastAsia"/>
        </w:rPr>
        <w:t>月</w:t>
      </w:r>
      <w:r>
        <w:rPr>
          <w:rFonts w:hint="eastAsia"/>
        </w:rPr>
        <w:t>13</w:t>
      </w:r>
      <w:r>
        <w:rPr>
          <w:rFonts w:hint="eastAsia"/>
        </w:rPr>
        <w:t>日颁布了第</w:t>
      </w:r>
      <w:r>
        <w:t>4.228</w:t>
      </w:r>
      <w:r>
        <w:rPr>
          <w:rFonts w:hint="eastAsia"/>
        </w:rPr>
        <w:t>号法令，在联邦公共行政部门内制订了全国肯定行动方案，该方案第</w:t>
      </w:r>
      <w:r>
        <w:rPr>
          <w:rFonts w:hint="eastAsia"/>
        </w:rPr>
        <w:t>2</w:t>
      </w:r>
      <w:r>
        <w:rPr>
          <w:rFonts w:hint="eastAsia"/>
        </w:rPr>
        <w:t>条第一项规定该行政部门各单位应</w:t>
      </w:r>
      <w:r>
        <w:rPr>
          <w:rFonts w:hint="eastAsia"/>
        </w:rPr>
        <w:t>遵守非洲后裔、妇女和残疾人担任高级管理和助理职务的百分比目标这一要求。</w:t>
      </w:r>
    </w:p>
    <w:p w:rsidR="00000000" w:rsidRDefault="004D2F83">
      <w:pPr>
        <w:pStyle w:val="Date"/>
        <w:spacing w:after="240" w:line="360" w:lineRule="exact"/>
        <w:rPr>
          <w:rFonts w:eastAsia="SimHei" w:hint="eastAsia"/>
          <w:bCs/>
          <w:sz w:val="24"/>
        </w:rPr>
      </w:pPr>
      <w:r>
        <w:rPr>
          <w:rFonts w:eastAsia="SimHei" w:hint="eastAsia"/>
          <w:bCs/>
          <w:sz w:val="24"/>
        </w:rPr>
        <w:t>因素和困难</w:t>
      </w:r>
    </w:p>
    <w:p w:rsidR="00000000" w:rsidRDefault="004D2F83" w:rsidP="004D2F83">
      <w:pPr>
        <w:spacing w:after="240" w:line="360" w:lineRule="exact"/>
        <w:ind w:firstLineChars="200" w:firstLine="31680"/>
        <w:rPr>
          <w:rFonts w:hint="eastAsia"/>
          <w:spacing w:val="-4"/>
        </w:rPr>
      </w:pPr>
      <w:r>
        <w:rPr>
          <w:rFonts w:hint="eastAsia"/>
          <w:spacing w:val="-4"/>
        </w:rPr>
        <w:t>性别偏见是将相同特性赋予所有妇女</w:t>
      </w:r>
      <w:r>
        <w:rPr>
          <w:rStyle w:val="FootnoteReference"/>
          <w:spacing w:val="-4"/>
        </w:rPr>
        <w:footnoteReference w:customMarkFollows="1" w:id="65"/>
        <w:t>65</w:t>
      </w:r>
      <w:r>
        <w:rPr>
          <w:rFonts w:hint="eastAsia"/>
          <w:spacing w:val="-4"/>
        </w:rPr>
        <w:t>，这一做法可产生一种固定僵化的心理过程。给男女指定不同的角色是这一心理过程的一种表现，对两性平等威胁最大。角色分配体系不仅在性别之间划定了界线，而且还贬低妇女所扮演的角色的价值，不论该角色本身所固有的种种特性，因此它所依据的仅仅是根据这种角色是由妇女扮演的这一事实。值得回忆的是，贬值不是指这一角色本身，而是指妇女，这诋损了妇女所扮演的角色。</w:t>
      </w:r>
    </w:p>
    <w:p w:rsidR="00000000" w:rsidRDefault="004D2F83" w:rsidP="004D2F83">
      <w:pPr>
        <w:pStyle w:val="1"/>
        <w:adjustRightInd w:val="0"/>
        <w:spacing w:after="240" w:line="360" w:lineRule="exact"/>
        <w:ind w:firstLine="31680"/>
        <w:textAlignment w:val="baseline"/>
        <w:rPr>
          <w:rFonts w:eastAsia="KaiTi_GB2312" w:hint="eastAsia"/>
          <w:kern w:val="0"/>
          <w:szCs w:val="20"/>
        </w:rPr>
      </w:pPr>
      <w:r>
        <w:rPr>
          <w:rFonts w:eastAsia="KaiTi_GB2312" w:hint="eastAsia"/>
          <w:kern w:val="0"/>
          <w:szCs w:val="20"/>
        </w:rPr>
        <w:t>这种角色分配体系主要基于性别差异标准，往往抛开其</w:t>
      </w:r>
      <w:r>
        <w:rPr>
          <w:rFonts w:eastAsia="KaiTi_GB2312" w:hint="eastAsia"/>
          <w:kern w:val="0"/>
          <w:szCs w:val="20"/>
        </w:rPr>
        <w:t>他角色分配标准，如受教育程度、获得的能力及个人能力和项目。将性别差异作为角色分配的一种标准，往往使妇女永久性地贬值，并剥夺了妇女的许多重要的经济、社会、政治和文化机会。</w:t>
      </w:r>
    </w:p>
    <w:p w:rsidR="00000000" w:rsidRDefault="004D2F83" w:rsidP="004D2F83">
      <w:pPr>
        <w:spacing w:after="240" w:line="360" w:lineRule="exact"/>
        <w:ind w:firstLineChars="200" w:firstLine="31680"/>
        <w:rPr>
          <w:rFonts w:hint="eastAsia"/>
        </w:rPr>
      </w:pPr>
      <w:r>
        <w:rPr>
          <w:rFonts w:hint="eastAsia"/>
        </w:rPr>
        <w:t>关于家庭和个人收入、贫穷和获得权力及财产的数据显示了这种角色分配体系的后果。按单亲家庭户主的性别和肤色分列的家庭收入数据（表</w:t>
      </w:r>
      <w:r>
        <w:rPr>
          <w:rFonts w:hint="eastAsia"/>
        </w:rPr>
        <w:t>11</w:t>
      </w:r>
      <w:r>
        <w:rPr>
          <w:rFonts w:hint="eastAsia"/>
        </w:rPr>
        <w:t>）显示了性别与肤色差异之间的联系。</w:t>
      </w:r>
    </w:p>
    <w:p w:rsidR="00000000" w:rsidRDefault="004D2F83">
      <w:pPr>
        <w:spacing w:after="240" w:line="360" w:lineRule="exact"/>
        <w:jc w:val="center"/>
        <w:rPr>
          <w:rFonts w:ascii="SimHei" w:eastAsia="SimHei" w:hint="eastAsia"/>
          <w:bCs/>
        </w:rPr>
      </w:pPr>
      <w:r>
        <w:rPr>
          <w:rFonts w:ascii="SimHei" w:eastAsia="SimHei" w:hint="eastAsia"/>
          <w:bCs/>
        </w:rPr>
        <w:t>表</w:t>
      </w:r>
      <w:r>
        <w:rPr>
          <w:rFonts w:ascii="SimHei" w:eastAsia="SimHei" w:hint="eastAsia"/>
          <w:bCs/>
        </w:rPr>
        <w:t>11</w:t>
      </w:r>
      <w:r>
        <w:rPr>
          <w:rFonts w:ascii="SimHei" w:eastAsia="SimHei" w:hint="eastAsia"/>
          <w:bCs/>
        </w:rPr>
        <w:t>：按单亲家庭户主性别和肤色分列的家庭收入——</w:t>
      </w:r>
      <w:r>
        <w:rPr>
          <w:rFonts w:ascii="SimHei" w:eastAsia="SimHei" w:hint="eastAsia"/>
          <w:bCs/>
        </w:rPr>
        <w:t>1998</w:t>
      </w:r>
      <w:r>
        <w:rPr>
          <w:rFonts w:ascii="SimHei" w:eastAsia="SimHei" w:hint="eastAsia"/>
          <w:bCs/>
        </w:rPr>
        <w:t>年</w:t>
      </w:r>
    </w:p>
    <w:tbl>
      <w:tblPr>
        <w:tblW w:w="4946" w:type="pct"/>
        <w:tblInd w:w="108" w:type="dxa"/>
        <w:tblBorders>
          <w:top w:val="single" w:sz="4" w:space="0" w:color="auto"/>
          <w:bottom w:val="single" w:sz="4" w:space="0" w:color="auto"/>
          <w:insideH w:val="single" w:sz="4" w:space="0" w:color="auto"/>
        </w:tblBorders>
        <w:tblLook w:val="0000" w:firstRow="0" w:lastRow="0" w:firstColumn="0" w:lastColumn="0" w:noHBand="0" w:noVBand="0"/>
      </w:tblPr>
      <w:tblGrid>
        <w:gridCol w:w="1884"/>
        <w:gridCol w:w="1993"/>
        <w:gridCol w:w="1993"/>
        <w:gridCol w:w="1993"/>
        <w:gridCol w:w="1993"/>
      </w:tblGrid>
      <w:tr w:rsidR="00000000">
        <w:tblPrEx>
          <w:tblCellMar>
            <w:top w:w="0" w:type="dxa"/>
            <w:bottom w:w="0" w:type="dxa"/>
          </w:tblCellMar>
        </w:tblPrEx>
        <w:tc>
          <w:tcPr>
            <w:tcW w:w="956" w:type="pct"/>
          </w:tcPr>
          <w:p w:rsidR="00000000" w:rsidRDefault="004D2F83">
            <w:pPr>
              <w:spacing w:after="120" w:line="320" w:lineRule="exact"/>
              <w:jc w:val="center"/>
              <w:rPr>
                <w:rFonts w:ascii="SimHei" w:eastAsia="SimHei" w:hint="eastAsia"/>
                <w:sz w:val="18"/>
              </w:rPr>
            </w:pPr>
            <w:r>
              <w:rPr>
                <w:rFonts w:ascii="SimHei" w:eastAsia="SimHei" w:hint="eastAsia"/>
                <w:sz w:val="18"/>
              </w:rPr>
              <w:t>性别</w:t>
            </w:r>
            <w:r>
              <w:rPr>
                <w:rFonts w:ascii="SimHei" w:eastAsia="SimHei" w:hint="eastAsia"/>
                <w:sz w:val="18"/>
              </w:rPr>
              <w:t>/</w:t>
            </w:r>
            <w:r>
              <w:rPr>
                <w:rFonts w:ascii="SimHei" w:eastAsia="SimHei" w:hint="eastAsia"/>
                <w:sz w:val="18"/>
              </w:rPr>
              <w:t>肤色</w:t>
            </w:r>
          </w:p>
        </w:tc>
        <w:tc>
          <w:tcPr>
            <w:tcW w:w="1011" w:type="pct"/>
          </w:tcPr>
          <w:p w:rsidR="00000000" w:rsidRDefault="004D2F83">
            <w:pPr>
              <w:spacing w:after="120" w:line="320" w:lineRule="exact"/>
              <w:jc w:val="center"/>
              <w:rPr>
                <w:rFonts w:ascii="SimHei" w:eastAsia="SimHei" w:hint="eastAsia"/>
                <w:sz w:val="18"/>
              </w:rPr>
            </w:pPr>
            <w:r>
              <w:rPr>
                <w:rFonts w:ascii="SimHei" w:eastAsia="SimHei" w:hint="eastAsia"/>
                <w:sz w:val="18"/>
              </w:rPr>
              <w:t>收入</w:t>
            </w:r>
          </w:p>
        </w:tc>
        <w:tc>
          <w:tcPr>
            <w:tcW w:w="1011" w:type="pct"/>
          </w:tcPr>
          <w:p w:rsidR="00000000" w:rsidRDefault="004D2F83">
            <w:pPr>
              <w:spacing w:after="120" w:line="320" w:lineRule="exact"/>
              <w:jc w:val="center"/>
              <w:rPr>
                <w:rFonts w:ascii="SimHei" w:eastAsia="SimHei" w:hint="eastAsia"/>
                <w:sz w:val="18"/>
              </w:rPr>
            </w:pPr>
            <w:r>
              <w:rPr>
                <w:rFonts w:ascii="SimHei" w:eastAsia="SimHei" w:hint="eastAsia"/>
                <w:sz w:val="18"/>
              </w:rPr>
              <w:t>按百万加权（住户）</w:t>
            </w:r>
          </w:p>
        </w:tc>
        <w:tc>
          <w:tcPr>
            <w:tcW w:w="1011" w:type="pct"/>
          </w:tcPr>
          <w:p w:rsidR="00000000" w:rsidRDefault="004D2F83">
            <w:pPr>
              <w:spacing w:after="120" w:line="320" w:lineRule="exact"/>
              <w:jc w:val="center"/>
              <w:rPr>
                <w:rFonts w:ascii="SimHei" w:eastAsia="SimHei" w:hint="eastAsia"/>
                <w:sz w:val="18"/>
              </w:rPr>
            </w:pPr>
            <w:r>
              <w:rPr>
                <w:rFonts w:ascii="SimHei" w:eastAsia="SimHei" w:hint="eastAsia"/>
                <w:sz w:val="18"/>
              </w:rPr>
              <w:t>百分比</w:t>
            </w:r>
          </w:p>
        </w:tc>
        <w:tc>
          <w:tcPr>
            <w:tcW w:w="1011" w:type="pct"/>
          </w:tcPr>
          <w:p w:rsidR="00000000" w:rsidRDefault="004D2F83">
            <w:pPr>
              <w:spacing w:after="120" w:line="320" w:lineRule="exact"/>
              <w:jc w:val="center"/>
              <w:rPr>
                <w:rFonts w:ascii="SimHei" w:eastAsia="SimHei" w:hint="eastAsia"/>
                <w:sz w:val="18"/>
              </w:rPr>
            </w:pPr>
            <w:r>
              <w:rPr>
                <w:rFonts w:ascii="SimHei" w:eastAsia="SimHei" w:hint="eastAsia"/>
                <w:sz w:val="18"/>
              </w:rPr>
              <w:t>贫穷概率</w:t>
            </w:r>
          </w:p>
        </w:tc>
      </w:tr>
      <w:tr w:rsidR="00000000">
        <w:tblPrEx>
          <w:tblCellMar>
            <w:top w:w="0" w:type="dxa"/>
            <w:bottom w:w="0" w:type="dxa"/>
          </w:tblCellMar>
        </w:tblPrEx>
        <w:tc>
          <w:tcPr>
            <w:tcW w:w="956" w:type="pct"/>
          </w:tcPr>
          <w:p w:rsidR="00000000" w:rsidRDefault="004D2F83">
            <w:pPr>
              <w:spacing w:after="120" w:line="320" w:lineRule="exact"/>
              <w:rPr>
                <w:rFonts w:hint="eastAsia"/>
                <w:sz w:val="18"/>
              </w:rPr>
            </w:pPr>
            <w:r>
              <w:rPr>
                <w:rFonts w:hint="eastAsia"/>
                <w:sz w:val="18"/>
              </w:rPr>
              <w:t>白人男子</w:t>
            </w:r>
          </w:p>
        </w:tc>
        <w:tc>
          <w:tcPr>
            <w:tcW w:w="1011" w:type="pct"/>
          </w:tcPr>
          <w:p w:rsidR="00000000" w:rsidRDefault="004D2F83" w:rsidP="004D2F83">
            <w:pPr>
              <w:spacing w:after="120" w:line="320" w:lineRule="exact"/>
              <w:ind w:rightChars="317" w:right="31680"/>
              <w:jc w:val="right"/>
              <w:rPr>
                <w:sz w:val="18"/>
              </w:rPr>
            </w:pPr>
            <w:r>
              <w:rPr>
                <w:sz w:val="18"/>
              </w:rPr>
              <w:t>693.35</w:t>
            </w:r>
          </w:p>
        </w:tc>
        <w:tc>
          <w:tcPr>
            <w:tcW w:w="1011" w:type="pct"/>
          </w:tcPr>
          <w:p w:rsidR="00000000" w:rsidRDefault="004D2F83" w:rsidP="004D2F83">
            <w:pPr>
              <w:spacing w:after="120" w:line="320" w:lineRule="exact"/>
              <w:ind w:rightChars="317" w:right="31680"/>
              <w:jc w:val="right"/>
              <w:rPr>
                <w:sz w:val="18"/>
              </w:rPr>
            </w:pPr>
            <w:r>
              <w:rPr>
                <w:sz w:val="18"/>
              </w:rPr>
              <w:t>1.8</w:t>
            </w:r>
          </w:p>
        </w:tc>
        <w:tc>
          <w:tcPr>
            <w:tcW w:w="1011" w:type="pct"/>
          </w:tcPr>
          <w:p w:rsidR="00000000" w:rsidRDefault="004D2F83" w:rsidP="004D2F83">
            <w:pPr>
              <w:spacing w:after="120" w:line="320" w:lineRule="exact"/>
              <w:ind w:rightChars="317" w:right="31680"/>
              <w:jc w:val="right"/>
              <w:rPr>
                <w:sz w:val="18"/>
              </w:rPr>
            </w:pPr>
            <w:r>
              <w:rPr>
                <w:sz w:val="18"/>
              </w:rPr>
              <w:t>1%</w:t>
            </w:r>
          </w:p>
        </w:tc>
        <w:tc>
          <w:tcPr>
            <w:tcW w:w="1011" w:type="pct"/>
          </w:tcPr>
          <w:p w:rsidR="00000000" w:rsidRDefault="004D2F83" w:rsidP="004D2F83">
            <w:pPr>
              <w:spacing w:after="120" w:line="320" w:lineRule="exact"/>
              <w:ind w:rightChars="317" w:right="31680"/>
              <w:jc w:val="right"/>
              <w:rPr>
                <w:sz w:val="18"/>
              </w:rPr>
            </w:pPr>
            <w:r>
              <w:rPr>
                <w:sz w:val="18"/>
              </w:rPr>
              <w:t>8.0</w:t>
            </w:r>
          </w:p>
        </w:tc>
      </w:tr>
      <w:tr w:rsidR="00000000">
        <w:tblPrEx>
          <w:tblCellMar>
            <w:top w:w="0" w:type="dxa"/>
            <w:bottom w:w="0" w:type="dxa"/>
          </w:tblCellMar>
        </w:tblPrEx>
        <w:tc>
          <w:tcPr>
            <w:tcW w:w="956" w:type="pct"/>
          </w:tcPr>
          <w:p w:rsidR="00000000" w:rsidRDefault="004D2F83">
            <w:pPr>
              <w:spacing w:after="120" w:line="320" w:lineRule="exact"/>
              <w:rPr>
                <w:rFonts w:hint="eastAsia"/>
                <w:sz w:val="18"/>
              </w:rPr>
            </w:pPr>
            <w:r>
              <w:rPr>
                <w:rFonts w:hint="eastAsia"/>
                <w:sz w:val="18"/>
              </w:rPr>
              <w:t>白人妇女</w:t>
            </w:r>
          </w:p>
        </w:tc>
        <w:tc>
          <w:tcPr>
            <w:tcW w:w="1011" w:type="pct"/>
          </w:tcPr>
          <w:p w:rsidR="00000000" w:rsidRDefault="004D2F83" w:rsidP="004D2F83">
            <w:pPr>
              <w:spacing w:after="120" w:line="320" w:lineRule="exact"/>
              <w:ind w:rightChars="317" w:right="31680"/>
              <w:jc w:val="right"/>
              <w:rPr>
                <w:sz w:val="18"/>
              </w:rPr>
            </w:pPr>
            <w:r>
              <w:rPr>
                <w:sz w:val="18"/>
              </w:rPr>
              <w:t>421.41</w:t>
            </w:r>
          </w:p>
        </w:tc>
        <w:tc>
          <w:tcPr>
            <w:tcW w:w="1011" w:type="pct"/>
          </w:tcPr>
          <w:p w:rsidR="00000000" w:rsidRDefault="004D2F83" w:rsidP="004D2F83">
            <w:pPr>
              <w:spacing w:after="120" w:line="320" w:lineRule="exact"/>
              <w:ind w:rightChars="317" w:right="31680"/>
              <w:jc w:val="right"/>
              <w:rPr>
                <w:sz w:val="18"/>
              </w:rPr>
            </w:pPr>
            <w:r>
              <w:rPr>
                <w:sz w:val="18"/>
              </w:rPr>
              <w:t>5.1</w:t>
            </w:r>
          </w:p>
        </w:tc>
        <w:tc>
          <w:tcPr>
            <w:tcW w:w="1011" w:type="pct"/>
          </w:tcPr>
          <w:p w:rsidR="00000000" w:rsidRDefault="004D2F83" w:rsidP="004D2F83">
            <w:pPr>
              <w:spacing w:after="120" w:line="320" w:lineRule="exact"/>
              <w:ind w:rightChars="317" w:right="31680"/>
              <w:jc w:val="right"/>
              <w:rPr>
                <w:sz w:val="18"/>
              </w:rPr>
            </w:pPr>
            <w:r>
              <w:rPr>
                <w:sz w:val="18"/>
              </w:rPr>
              <w:t>3%</w:t>
            </w:r>
          </w:p>
        </w:tc>
        <w:tc>
          <w:tcPr>
            <w:tcW w:w="1011" w:type="pct"/>
          </w:tcPr>
          <w:p w:rsidR="00000000" w:rsidRDefault="004D2F83" w:rsidP="004D2F83">
            <w:pPr>
              <w:spacing w:after="120" w:line="320" w:lineRule="exact"/>
              <w:ind w:rightChars="317" w:right="31680"/>
              <w:jc w:val="right"/>
              <w:rPr>
                <w:rFonts w:hint="eastAsia"/>
                <w:sz w:val="18"/>
              </w:rPr>
            </w:pPr>
            <w:r>
              <w:rPr>
                <w:sz w:val="18"/>
              </w:rPr>
              <w:t>11.9</w:t>
            </w:r>
          </w:p>
        </w:tc>
      </w:tr>
      <w:tr w:rsidR="00000000">
        <w:tblPrEx>
          <w:tblCellMar>
            <w:top w:w="0" w:type="dxa"/>
            <w:bottom w:w="0" w:type="dxa"/>
          </w:tblCellMar>
        </w:tblPrEx>
        <w:tc>
          <w:tcPr>
            <w:tcW w:w="956" w:type="pct"/>
          </w:tcPr>
          <w:p w:rsidR="00000000" w:rsidRDefault="004D2F83">
            <w:pPr>
              <w:spacing w:after="120" w:line="320" w:lineRule="exact"/>
              <w:rPr>
                <w:rFonts w:hint="eastAsia"/>
                <w:sz w:val="18"/>
              </w:rPr>
            </w:pPr>
            <w:r>
              <w:rPr>
                <w:rFonts w:hint="eastAsia"/>
                <w:sz w:val="18"/>
              </w:rPr>
              <w:t>非白人男子</w:t>
            </w:r>
          </w:p>
        </w:tc>
        <w:tc>
          <w:tcPr>
            <w:tcW w:w="1011" w:type="pct"/>
          </w:tcPr>
          <w:p w:rsidR="00000000" w:rsidRDefault="004D2F83" w:rsidP="004D2F83">
            <w:pPr>
              <w:spacing w:after="120" w:line="320" w:lineRule="exact"/>
              <w:ind w:rightChars="317" w:right="31680"/>
              <w:jc w:val="right"/>
              <w:rPr>
                <w:sz w:val="18"/>
              </w:rPr>
            </w:pPr>
            <w:r>
              <w:rPr>
                <w:sz w:val="18"/>
              </w:rPr>
              <w:t>288.21</w:t>
            </w:r>
          </w:p>
        </w:tc>
        <w:tc>
          <w:tcPr>
            <w:tcW w:w="1011" w:type="pct"/>
          </w:tcPr>
          <w:p w:rsidR="00000000" w:rsidRDefault="004D2F83" w:rsidP="004D2F83">
            <w:pPr>
              <w:spacing w:after="120" w:line="320" w:lineRule="exact"/>
              <w:ind w:rightChars="317" w:right="31680"/>
              <w:jc w:val="right"/>
              <w:rPr>
                <w:sz w:val="18"/>
              </w:rPr>
            </w:pPr>
            <w:r>
              <w:rPr>
                <w:sz w:val="18"/>
              </w:rPr>
              <w:t>1.6</w:t>
            </w:r>
          </w:p>
        </w:tc>
        <w:tc>
          <w:tcPr>
            <w:tcW w:w="1011" w:type="pct"/>
          </w:tcPr>
          <w:p w:rsidR="00000000" w:rsidRDefault="004D2F83" w:rsidP="004D2F83">
            <w:pPr>
              <w:spacing w:after="120" w:line="320" w:lineRule="exact"/>
              <w:ind w:rightChars="317" w:right="31680"/>
              <w:jc w:val="right"/>
              <w:rPr>
                <w:sz w:val="18"/>
              </w:rPr>
            </w:pPr>
            <w:r>
              <w:rPr>
                <w:sz w:val="18"/>
              </w:rPr>
              <w:t>1%</w:t>
            </w:r>
          </w:p>
        </w:tc>
        <w:tc>
          <w:tcPr>
            <w:tcW w:w="1011" w:type="pct"/>
          </w:tcPr>
          <w:p w:rsidR="00000000" w:rsidRDefault="004D2F83" w:rsidP="004D2F83">
            <w:pPr>
              <w:spacing w:after="120" w:line="320" w:lineRule="exact"/>
              <w:ind w:rightChars="317" w:right="31680"/>
              <w:jc w:val="right"/>
              <w:rPr>
                <w:sz w:val="18"/>
              </w:rPr>
            </w:pPr>
            <w:r>
              <w:rPr>
                <w:sz w:val="18"/>
              </w:rPr>
              <w:t>17.3</w:t>
            </w:r>
          </w:p>
        </w:tc>
      </w:tr>
      <w:tr w:rsidR="00000000">
        <w:tblPrEx>
          <w:tblCellMar>
            <w:top w:w="0" w:type="dxa"/>
            <w:bottom w:w="0" w:type="dxa"/>
          </w:tblCellMar>
        </w:tblPrEx>
        <w:tc>
          <w:tcPr>
            <w:tcW w:w="956" w:type="pct"/>
          </w:tcPr>
          <w:p w:rsidR="00000000" w:rsidRDefault="004D2F83">
            <w:pPr>
              <w:spacing w:after="120" w:line="320" w:lineRule="exact"/>
              <w:rPr>
                <w:rFonts w:hint="eastAsia"/>
                <w:sz w:val="18"/>
              </w:rPr>
            </w:pPr>
            <w:r>
              <w:rPr>
                <w:rFonts w:hint="eastAsia"/>
                <w:sz w:val="18"/>
              </w:rPr>
              <w:t>非白人妇女</w:t>
            </w:r>
          </w:p>
        </w:tc>
        <w:tc>
          <w:tcPr>
            <w:tcW w:w="1011" w:type="pct"/>
          </w:tcPr>
          <w:p w:rsidR="00000000" w:rsidRDefault="004D2F83" w:rsidP="004D2F83">
            <w:pPr>
              <w:spacing w:after="120" w:line="320" w:lineRule="exact"/>
              <w:ind w:rightChars="317" w:right="31680"/>
              <w:jc w:val="right"/>
              <w:rPr>
                <w:sz w:val="18"/>
              </w:rPr>
            </w:pPr>
            <w:r>
              <w:rPr>
                <w:sz w:val="18"/>
              </w:rPr>
              <w:t>177.30</w:t>
            </w:r>
          </w:p>
        </w:tc>
        <w:tc>
          <w:tcPr>
            <w:tcW w:w="1011" w:type="pct"/>
          </w:tcPr>
          <w:p w:rsidR="00000000" w:rsidRDefault="004D2F83" w:rsidP="004D2F83">
            <w:pPr>
              <w:spacing w:after="120" w:line="320" w:lineRule="exact"/>
              <w:ind w:rightChars="317" w:right="31680"/>
              <w:jc w:val="right"/>
              <w:rPr>
                <w:sz w:val="18"/>
              </w:rPr>
            </w:pPr>
            <w:r>
              <w:rPr>
                <w:sz w:val="18"/>
              </w:rPr>
              <w:t>3.9</w:t>
            </w:r>
          </w:p>
        </w:tc>
        <w:tc>
          <w:tcPr>
            <w:tcW w:w="1011" w:type="pct"/>
          </w:tcPr>
          <w:p w:rsidR="00000000" w:rsidRDefault="004D2F83" w:rsidP="004D2F83">
            <w:pPr>
              <w:spacing w:after="120" w:line="320" w:lineRule="exact"/>
              <w:ind w:rightChars="317" w:right="31680"/>
              <w:jc w:val="right"/>
              <w:rPr>
                <w:sz w:val="18"/>
              </w:rPr>
            </w:pPr>
            <w:r>
              <w:rPr>
                <w:sz w:val="18"/>
              </w:rPr>
              <w:t>2%</w:t>
            </w:r>
          </w:p>
        </w:tc>
        <w:tc>
          <w:tcPr>
            <w:tcW w:w="1011" w:type="pct"/>
          </w:tcPr>
          <w:p w:rsidR="00000000" w:rsidRDefault="004D2F83" w:rsidP="004D2F83">
            <w:pPr>
              <w:spacing w:after="120" w:line="320" w:lineRule="exact"/>
              <w:ind w:rightChars="317" w:right="31680"/>
              <w:jc w:val="right"/>
              <w:rPr>
                <w:rFonts w:hint="eastAsia"/>
                <w:sz w:val="18"/>
              </w:rPr>
            </w:pPr>
            <w:r>
              <w:rPr>
                <w:sz w:val="18"/>
              </w:rPr>
              <w:t>27.5</w:t>
            </w:r>
          </w:p>
        </w:tc>
      </w:tr>
    </w:tbl>
    <w:p w:rsidR="00000000" w:rsidRDefault="004D2F83">
      <w:pPr>
        <w:spacing w:after="240" w:line="360" w:lineRule="exact"/>
        <w:rPr>
          <w:rFonts w:hint="eastAsia"/>
          <w:sz w:val="18"/>
        </w:rPr>
      </w:pPr>
      <w:r>
        <w:rPr>
          <w:rFonts w:eastAsia="SimHei" w:hint="eastAsia"/>
          <w:sz w:val="18"/>
        </w:rPr>
        <w:t>资料来源</w:t>
      </w:r>
      <w:r>
        <w:rPr>
          <w:rFonts w:hint="eastAsia"/>
          <w:sz w:val="18"/>
        </w:rPr>
        <w:t>：</w:t>
      </w:r>
      <w:r>
        <w:rPr>
          <w:rFonts w:hint="eastAsia"/>
          <w:sz w:val="18"/>
        </w:rPr>
        <w:t>1999</w:t>
      </w:r>
      <w:r>
        <w:rPr>
          <w:rFonts w:hint="eastAsia"/>
          <w:sz w:val="18"/>
        </w:rPr>
        <w:t>年全国住户抽样调查提供的微型数据。</w:t>
      </w:r>
    </w:p>
    <w:p w:rsidR="00000000" w:rsidRDefault="004D2F83" w:rsidP="004D2F83">
      <w:pPr>
        <w:spacing w:after="240" w:line="360" w:lineRule="exact"/>
        <w:ind w:firstLineChars="200" w:firstLine="31680"/>
        <w:rPr>
          <w:rFonts w:hint="eastAsia"/>
          <w:spacing w:val="-4"/>
        </w:rPr>
      </w:pPr>
      <w:r>
        <w:rPr>
          <w:rFonts w:hint="eastAsia"/>
          <w:spacing w:val="-4"/>
        </w:rPr>
        <w:t>上表首先显示出肤色歧视的后果：户主为白人男子和妇女的住户收入大大高于户主为非白人男子和妇女的家庭。因此，非白人男子和妇女操持的家庭的收入比白人男子或妇女为户主的家庭分别低约</w:t>
      </w:r>
      <w:r>
        <w:rPr>
          <w:spacing w:val="-4"/>
        </w:rPr>
        <w:t>58%</w:t>
      </w:r>
      <w:r>
        <w:rPr>
          <w:rFonts w:hint="eastAsia"/>
          <w:spacing w:val="-4"/>
        </w:rPr>
        <w:t>。通过比较户主为非白人男子的家庭与户主为白人男子的家庭，人们会注意到，第一组的家庭收入比后者低</w:t>
      </w:r>
      <w:r>
        <w:rPr>
          <w:spacing w:val="-4"/>
        </w:rPr>
        <w:t>74%</w:t>
      </w:r>
      <w:r>
        <w:rPr>
          <w:rFonts w:hint="eastAsia"/>
          <w:spacing w:val="-4"/>
        </w:rPr>
        <w:t>。</w:t>
      </w:r>
    </w:p>
    <w:p w:rsidR="00000000" w:rsidRDefault="004D2F83" w:rsidP="004D2F83">
      <w:pPr>
        <w:spacing w:after="240" w:line="360" w:lineRule="exact"/>
        <w:ind w:firstLineChars="200" w:firstLine="31680"/>
        <w:rPr>
          <w:rFonts w:hint="eastAsia"/>
        </w:rPr>
      </w:pPr>
      <w:r>
        <w:rPr>
          <w:rFonts w:hint="eastAsia"/>
        </w:rPr>
        <w:t>第二，人们还会注意到，在肤色歧视</w:t>
      </w:r>
      <w:r>
        <w:rPr>
          <w:rFonts w:hint="eastAsia"/>
        </w:rPr>
        <w:t>中也存在着性别歧视。结果，白人妇女和非白人妇女的收入低于其非白人伴侣。白人妇女和非白人妇女操持的家庭的收入比白人和非白人男子为户主的家庭收入分别低约</w:t>
      </w:r>
      <w:r>
        <w:t>40%</w:t>
      </w:r>
      <w:r>
        <w:rPr>
          <w:rFonts w:hint="eastAsia"/>
        </w:rPr>
        <w:t>（白人妇女低</w:t>
      </w:r>
      <w:r>
        <w:t>39.2%</w:t>
      </w:r>
      <w:r>
        <w:rPr>
          <w:rFonts w:hint="eastAsia"/>
        </w:rPr>
        <w:t>，非白人妇女低</w:t>
      </w:r>
      <w:r>
        <w:t>38.5%</w:t>
      </w:r>
      <w:r>
        <w:rPr>
          <w:rFonts w:hint="eastAsia"/>
        </w:rPr>
        <w:t>）。</w:t>
      </w:r>
    </w:p>
    <w:p w:rsidR="00000000" w:rsidRDefault="004D2F83" w:rsidP="004D2F83">
      <w:pPr>
        <w:spacing w:after="240" w:line="360" w:lineRule="exact"/>
        <w:ind w:firstLineChars="200" w:firstLine="31680"/>
        <w:rPr>
          <w:rFonts w:hint="eastAsia"/>
        </w:rPr>
      </w:pPr>
      <w:r>
        <w:rPr>
          <w:rFonts w:hint="eastAsia"/>
        </w:rPr>
        <w:t>第三，户主为非白人和白人妇女及非白人男子的家庭的贫穷概率比户主为白人男子的家庭要高。户主为非白人妇女的家庭的这一概率至少比户主为白人男子的家庭高三倍；它也比白人妇女操持的家庭高两倍，比非白人男子为户主的家庭高</w:t>
      </w:r>
      <w:r>
        <w:t>60%</w:t>
      </w:r>
      <w:r>
        <w:rPr>
          <w:rFonts w:hint="eastAsia"/>
        </w:rPr>
        <w:t>。</w:t>
      </w:r>
    </w:p>
    <w:p w:rsidR="00000000" w:rsidRDefault="004D2F83" w:rsidP="004D2F83">
      <w:pPr>
        <w:spacing w:after="240" w:line="360" w:lineRule="exact"/>
        <w:ind w:firstLineChars="200" w:firstLine="31680"/>
        <w:rPr>
          <w:rFonts w:hint="eastAsia"/>
        </w:rPr>
      </w:pPr>
      <w:r>
        <w:rPr>
          <w:rFonts w:hint="eastAsia"/>
        </w:rPr>
        <w:t>表</w:t>
      </w:r>
      <w:r>
        <w:rPr>
          <w:rFonts w:hint="eastAsia"/>
        </w:rPr>
        <w:t>12</w:t>
      </w:r>
      <w:r>
        <w:rPr>
          <w:rFonts w:hint="eastAsia"/>
        </w:rPr>
        <w:t>还显示出在极端情况下所看到的肤色和性别歧视的分布情况：白人男子收入最高（</w:t>
      </w:r>
      <w:r>
        <w:rPr>
          <w:rFonts w:hint="eastAsia"/>
        </w:rPr>
        <w:t>752</w:t>
      </w:r>
      <w:r>
        <w:t>.</w:t>
      </w:r>
      <w:r>
        <w:rPr>
          <w:rFonts w:hint="eastAsia"/>
        </w:rPr>
        <w:t>0</w:t>
      </w:r>
      <w:r>
        <w:rPr>
          <w:rFonts w:hint="eastAsia"/>
        </w:rPr>
        <w:t>0</w:t>
      </w:r>
      <w:r>
        <w:rPr>
          <w:rFonts w:hint="eastAsia"/>
        </w:rPr>
        <w:t>雷亚尔），非白人妇女的收入最低（</w:t>
      </w:r>
      <w:r>
        <w:t>206.00</w:t>
      </w:r>
      <w:r>
        <w:rPr>
          <w:rFonts w:hint="eastAsia"/>
        </w:rPr>
        <w:t>雷亚尔）。非白人妇女的收入比白人男子差不多低</w:t>
      </w:r>
      <w:r>
        <w:t>70%</w:t>
      </w:r>
      <w:r>
        <w:rPr>
          <w:rFonts w:hint="eastAsia"/>
        </w:rPr>
        <w:t>、比白人妇女低</w:t>
      </w:r>
      <w:r>
        <w:t>53%</w:t>
      </w:r>
      <w:r>
        <w:rPr>
          <w:rFonts w:hint="eastAsia"/>
        </w:rPr>
        <w:t>、比非白人男子低</w:t>
      </w:r>
      <w:r>
        <w:t>40%</w:t>
      </w:r>
      <w:r>
        <w:rPr>
          <w:rFonts w:hint="eastAsia"/>
        </w:rPr>
        <w:t>。</w:t>
      </w:r>
    </w:p>
    <w:p w:rsidR="00000000" w:rsidRDefault="004D2F83">
      <w:pPr>
        <w:spacing w:line="360" w:lineRule="exact"/>
        <w:jc w:val="center"/>
        <w:rPr>
          <w:rFonts w:ascii="SimHei" w:eastAsia="SimHei" w:hint="eastAsia"/>
          <w:bCs/>
        </w:rPr>
      </w:pPr>
      <w:r>
        <w:rPr>
          <w:rFonts w:ascii="SimHei" w:eastAsia="SimHei" w:hint="eastAsia"/>
          <w:bCs/>
        </w:rPr>
        <w:t>表</w:t>
      </w:r>
      <w:r>
        <w:rPr>
          <w:rFonts w:ascii="SimHei" w:eastAsia="SimHei" w:hint="eastAsia"/>
          <w:bCs/>
        </w:rPr>
        <w:t>12</w:t>
      </w:r>
      <w:r>
        <w:rPr>
          <w:rFonts w:ascii="SimHei" w:eastAsia="SimHei" w:hint="eastAsia"/>
          <w:bCs/>
        </w:rPr>
        <w:t>：包括所有类型工作在内的月收入总额</w:t>
      </w:r>
    </w:p>
    <w:p w:rsidR="00000000" w:rsidRDefault="004D2F83">
      <w:pPr>
        <w:spacing w:after="240" w:line="360" w:lineRule="exact"/>
        <w:jc w:val="center"/>
        <w:rPr>
          <w:rFonts w:hint="eastAsia"/>
        </w:rPr>
      </w:pPr>
      <w:r>
        <w:rPr>
          <w:rFonts w:hint="eastAsia"/>
        </w:rPr>
        <w:t>（</w:t>
      </w:r>
      <w:r>
        <w:rPr>
          <w:rFonts w:hint="eastAsia"/>
        </w:rPr>
        <w:t>16</w:t>
      </w:r>
      <w:r>
        <w:rPr>
          <w:rFonts w:hint="eastAsia"/>
        </w:rPr>
        <w:t>岁以上的就业者）</w:t>
      </w:r>
    </w:p>
    <w:tbl>
      <w:tblPr>
        <w:tblW w:w="4946" w:type="pct"/>
        <w:tblInd w:w="108" w:type="dxa"/>
        <w:tblBorders>
          <w:top w:val="single" w:sz="4" w:space="0" w:color="auto"/>
          <w:bottom w:val="single" w:sz="4" w:space="0" w:color="auto"/>
          <w:insideH w:val="single" w:sz="4" w:space="0" w:color="auto"/>
        </w:tblBorders>
        <w:tblLook w:val="0000" w:firstRow="0" w:lastRow="0" w:firstColumn="0" w:lastColumn="0" w:noHBand="0" w:noVBand="0"/>
      </w:tblPr>
      <w:tblGrid>
        <w:gridCol w:w="4875"/>
        <w:gridCol w:w="4981"/>
      </w:tblGrid>
      <w:tr w:rsidR="00000000">
        <w:tblPrEx>
          <w:tblCellMar>
            <w:top w:w="0" w:type="dxa"/>
            <w:bottom w:w="0" w:type="dxa"/>
          </w:tblCellMar>
        </w:tblPrEx>
        <w:tc>
          <w:tcPr>
            <w:tcW w:w="2473" w:type="pct"/>
            <w:tcBorders>
              <w:bottom w:val="single" w:sz="4" w:space="0" w:color="auto"/>
            </w:tcBorders>
          </w:tcPr>
          <w:p w:rsidR="00000000" w:rsidRDefault="004D2F83">
            <w:pPr>
              <w:spacing w:after="120" w:line="320" w:lineRule="exact"/>
              <w:jc w:val="center"/>
              <w:rPr>
                <w:rFonts w:eastAsia="SimHei" w:hint="eastAsia"/>
                <w:sz w:val="18"/>
              </w:rPr>
            </w:pPr>
            <w:r>
              <w:rPr>
                <w:rFonts w:eastAsia="SimHei" w:hint="eastAsia"/>
                <w:sz w:val="18"/>
              </w:rPr>
              <w:t>分组</w:t>
            </w:r>
          </w:p>
        </w:tc>
        <w:tc>
          <w:tcPr>
            <w:tcW w:w="2527" w:type="pct"/>
            <w:tcBorders>
              <w:bottom w:val="single" w:sz="4" w:space="0" w:color="auto"/>
            </w:tcBorders>
          </w:tcPr>
          <w:p w:rsidR="00000000" w:rsidRDefault="004D2F83">
            <w:pPr>
              <w:spacing w:after="120" w:line="320" w:lineRule="exact"/>
              <w:jc w:val="center"/>
              <w:rPr>
                <w:rFonts w:eastAsia="SimHei" w:hint="eastAsia"/>
                <w:sz w:val="18"/>
              </w:rPr>
            </w:pPr>
            <w:r>
              <w:rPr>
                <w:rFonts w:eastAsia="SimHei" w:hint="eastAsia"/>
                <w:sz w:val="18"/>
              </w:rPr>
              <w:t>月收入（雷亚尔）</w:t>
            </w:r>
          </w:p>
        </w:tc>
      </w:tr>
      <w:tr w:rsidR="00000000">
        <w:tblPrEx>
          <w:tblCellMar>
            <w:top w:w="0" w:type="dxa"/>
            <w:bottom w:w="0" w:type="dxa"/>
          </w:tblCellMar>
        </w:tblPrEx>
        <w:tc>
          <w:tcPr>
            <w:tcW w:w="2473" w:type="pct"/>
            <w:tcBorders>
              <w:bottom w:val="nil"/>
            </w:tcBorders>
          </w:tcPr>
          <w:p w:rsidR="00000000" w:rsidRDefault="004D2F83">
            <w:pPr>
              <w:spacing w:after="120" w:line="320" w:lineRule="exact"/>
              <w:rPr>
                <w:rFonts w:hint="eastAsia"/>
                <w:sz w:val="18"/>
              </w:rPr>
            </w:pPr>
            <w:r>
              <w:rPr>
                <w:rFonts w:hint="eastAsia"/>
                <w:sz w:val="18"/>
              </w:rPr>
              <w:t>白人男子</w:t>
            </w:r>
          </w:p>
        </w:tc>
        <w:tc>
          <w:tcPr>
            <w:tcW w:w="2527" w:type="pct"/>
            <w:tcBorders>
              <w:bottom w:val="nil"/>
            </w:tcBorders>
          </w:tcPr>
          <w:p w:rsidR="00000000" w:rsidRDefault="004D2F83">
            <w:pPr>
              <w:pStyle w:val="Header"/>
              <w:pBdr>
                <w:bottom w:val="none" w:sz="0" w:space="0" w:color="auto"/>
              </w:pBdr>
              <w:tabs>
                <w:tab w:val="clear" w:pos="4320"/>
                <w:tab w:val="clear" w:pos="8640"/>
              </w:tabs>
              <w:spacing w:after="120" w:line="320" w:lineRule="exact"/>
            </w:pPr>
            <w:r>
              <w:t>752.11</w:t>
            </w:r>
          </w:p>
        </w:tc>
      </w:tr>
      <w:tr w:rsidR="00000000">
        <w:tblPrEx>
          <w:tblCellMar>
            <w:top w:w="0" w:type="dxa"/>
            <w:bottom w:w="0" w:type="dxa"/>
          </w:tblCellMar>
        </w:tblPrEx>
        <w:tc>
          <w:tcPr>
            <w:tcW w:w="2473" w:type="pct"/>
            <w:tcBorders>
              <w:top w:val="nil"/>
              <w:bottom w:val="nil"/>
            </w:tcBorders>
          </w:tcPr>
          <w:p w:rsidR="00000000" w:rsidRDefault="004D2F83">
            <w:pPr>
              <w:spacing w:after="120" w:line="320" w:lineRule="exact"/>
              <w:rPr>
                <w:rFonts w:hint="eastAsia"/>
                <w:sz w:val="18"/>
              </w:rPr>
            </w:pPr>
            <w:r>
              <w:rPr>
                <w:rFonts w:hint="eastAsia"/>
                <w:sz w:val="18"/>
              </w:rPr>
              <w:t>白人妇女</w:t>
            </w:r>
          </w:p>
        </w:tc>
        <w:tc>
          <w:tcPr>
            <w:tcW w:w="2527" w:type="pct"/>
            <w:tcBorders>
              <w:top w:val="nil"/>
              <w:bottom w:val="nil"/>
            </w:tcBorders>
          </w:tcPr>
          <w:p w:rsidR="00000000" w:rsidRDefault="004D2F83">
            <w:pPr>
              <w:spacing w:after="120" w:line="320" w:lineRule="exact"/>
              <w:jc w:val="center"/>
              <w:rPr>
                <w:sz w:val="18"/>
              </w:rPr>
            </w:pPr>
            <w:r>
              <w:rPr>
                <w:sz w:val="18"/>
              </w:rPr>
              <w:t>440.58</w:t>
            </w:r>
          </w:p>
        </w:tc>
      </w:tr>
      <w:tr w:rsidR="00000000">
        <w:tblPrEx>
          <w:tblCellMar>
            <w:top w:w="0" w:type="dxa"/>
            <w:bottom w:w="0" w:type="dxa"/>
          </w:tblCellMar>
        </w:tblPrEx>
        <w:tc>
          <w:tcPr>
            <w:tcW w:w="2473" w:type="pct"/>
            <w:tcBorders>
              <w:top w:val="nil"/>
              <w:bottom w:val="nil"/>
            </w:tcBorders>
          </w:tcPr>
          <w:p w:rsidR="00000000" w:rsidRDefault="004D2F83">
            <w:pPr>
              <w:spacing w:after="120" w:line="320" w:lineRule="exact"/>
              <w:rPr>
                <w:rFonts w:hint="eastAsia"/>
                <w:sz w:val="18"/>
              </w:rPr>
            </w:pPr>
            <w:r>
              <w:rPr>
                <w:rFonts w:hint="eastAsia"/>
                <w:sz w:val="18"/>
              </w:rPr>
              <w:t>非白人男子</w:t>
            </w:r>
          </w:p>
        </w:tc>
        <w:tc>
          <w:tcPr>
            <w:tcW w:w="2527" w:type="pct"/>
            <w:tcBorders>
              <w:top w:val="nil"/>
              <w:bottom w:val="nil"/>
            </w:tcBorders>
          </w:tcPr>
          <w:p w:rsidR="00000000" w:rsidRDefault="004D2F83">
            <w:pPr>
              <w:spacing w:after="120" w:line="320" w:lineRule="exact"/>
              <w:jc w:val="center"/>
              <w:rPr>
                <w:sz w:val="18"/>
              </w:rPr>
            </w:pPr>
            <w:r>
              <w:rPr>
                <w:sz w:val="18"/>
              </w:rPr>
              <w:t>351.98</w:t>
            </w:r>
          </w:p>
        </w:tc>
      </w:tr>
      <w:tr w:rsidR="00000000">
        <w:tblPrEx>
          <w:tblCellMar>
            <w:top w:w="0" w:type="dxa"/>
            <w:bottom w:w="0" w:type="dxa"/>
          </w:tblCellMar>
        </w:tblPrEx>
        <w:tc>
          <w:tcPr>
            <w:tcW w:w="2473" w:type="pct"/>
            <w:tcBorders>
              <w:top w:val="nil"/>
            </w:tcBorders>
          </w:tcPr>
          <w:p w:rsidR="00000000" w:rsidRDefault="004D2F83">
            <w:pPr>
              <w:spacing w:after="120" w:line="320" w:lineRule="exact"/>
              <w:rPr>
                <w:rFonts w:hint="eastAsia"/>
                <w:sz w:val="18"/>
              </w:rPr>
            </w:pPr>
            <w:r>
              <w:rPr>
                <w:rFonts w:hint="eastAsia"/>
                <w:sz w:val="18"/>
              </w:rPr>
              <w:t>非白人妇女</w:t>
            </w:r>
          </w:p>
        </w:tc>
        <w:tc>
          <w:tcPr>
            <w:tcW w:w="2527" w:type="pct"/>
            <w:tcBorders>
              <w:top w:val="nil"/>
            </w:tcBorders>
          </w:tcPr>
          <w:p w:rsidR="00000000" w:rsidRDefault="004D2F83">
            <w:pPr>
              <w:spacing w:after="120" w:line="320" w:lineRule="exact"/>
              <w:jc w:val="center"/>
              <w:rPr>
                <w:rFonts w:hint="eastAsia"/>
                <w:sz w:val="18"/>
              </w:rPr>
            </w:pPr>
            <w:r>
              <w:rPr>
                <w:sz w:val="18"/>
              </w:rPr>
              <w:t>206.89</w:t>
            </w:r>
          </w:p>
        </w:tc>
      </w:tr>
    </w:tbl>
    <w:p w:rsidR="00000000" w:rsidRDefault="004D2F83">
      <w:pPr>
        <w:spacing w:after="240" w:line="360" w:lineRule="exact"/>
        <w:rPr>
          <w:rFonts w:hint="eastAsia"/>
          <w:sz w:val="18"/>
        </w:rPr>
      </w:pPr>
      <w:r>
        <w:rPr>
          <w:rFonts w:eastAsia="SimHei" w:hint="eastAsia"/>
          <w:sz w:val="18"/>
        </w:rPr>
        <w:t>资料来源</w:t>
      </w:r>
      <w:r>
        <w:rPr>
          <w:rFonts w:hint="eastAsia"/>
          <w:sz w:val="18"/>
        </w:rPr>
        <w:t>：</w:t>
      </w:r>
      <w:r>
        <w:rPr>
          <w:rFonts w:hint="eastAsia"/>
          <w:sz w:val="18"/>
        </w:rPr>
        <w:t>1999</w:t>
      </w:r>
      <w:r>
        <w:rPr>
          <w:rFonts w:hint="eastAsia"/>
          <w:sz w:val="18"/>
        </w:rPr>
        <w:t>年全国住户抽样调查提供的微型数据。</w:t>
      </w:r>
    </w:p>
    <w:p w:rsidR="00000000" w:rsidRDefault="004D2F83" w:rsidP="004D2F83">
      <w:pPr>
        <w:spacing w:after="240" w:line="360" w:lineRule="exact"/>
        <w:ind w:firstLineChars="200" w:firstLine="31680"/>
        <w:rPr>
          <w:rFonts w:hint="eastAsia"/>
        </w:rPr>
      </w:pPr>
      <w:r>
        <w:rPr>
          <w:rFonts w:hint="eastAsia"/>
        </w:rPr>
        <w:t>表</w:t>
      </w:r>
      <w:r>
        <w:rPr>
          <w:rFonts w:hint="eastAsia"/>
        </w:rPr>
        <w:t>13</w:t>
      </w:r>
      <w:r>
        <w:rPr>
          <w:rFonts w:hint="eastAsia"/>
        </w:rPr>
        <w:t>显示按性别、肤色和受教育程度分列的所有工人的月收入情况。</w:t>
      </w:r>
    </w:p>
    <w:p w:rsidR="00000000" w:rsidRDefault="004D2F83">
      <w:pPr>
        <w:spacing w:after="240" w:line="360" w:lineRule="exact"/>
        <w:jc w:val="center"/>
        <w:rPr>
          <w:rFonts w:ascii="SimHei" w:eastAsia="SimHei" w:hint="eastAsia"/>
          <w:bCs/>
        </w:rPr>
      </w:pPr>
      <w:r>
        <w:rPr>
          <w:rFonts w:ascii="SimHei" w:eastAsia="SimHei" w:hint="eastAsia"/>
          <w:bCs/>
        </w:rPr>
        <w:t>表</w:t>
      </w:r>
      <w:r>
        <w:rPr>
          <w:rFonts w:ascii="SimHei" w:eastAsia="SimHei" w:hint="eastAsia"/>
          <w:bCs/>
        </w:rPr>
        <w:t>13</w:t>
      </w:r>
      <w:r>
        <w:rPr>
          <w:rFonts w:ascii="SimHei" w:eastAsia="SimHei" w:hint="eastAsia"/>
          <w:bCs/>
        </w:rPr>
        <w:t>：按性别、肤色和受教育程度分列的所有工人的月收</w:t>
      </w:r>
      <w:r>
        <w:rPr>
          <w:rFonts w:ascii="SimHei" w:eastAsia="SimHei" w:hint="eastAsia"/>
          <w:bCs/>
        </w:rPr>
        <w:t>入情况</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83"/>
        <w:gridCol w:w="1950"/>
        <w:gridCol w:w="1950"/>
        <w:gridCol w:w="1950"/>
        <w:gridCol w:w="2123"/>
      </w:tblGrid>
      <w:tr w:rsidR="00000000">
        <w:tblPrEx>
          <w:tblCellMar>
            <w:top w:w="0" w:type="dxa"/>
            <w:bottom w:w="0" w:type="dxa"/>
          </w:tblCellMar>
        </w:tblPrEx>
        <w:tc>
          <w:tcPr>
            <w:tcW w:w="956" w:type="pct"/>
          </w:tcPr>
          <w:p w:rsidR="00000000" w:rsidRDefault="004D2F83">
            <w:pPr>
              <w:spacing w:after="120" w:line="320" w:lineRule="exact"/>
              <w:rPr>
                <w:rFonts w:ascii="SimHei" w:eastAsia="SimHei" w:hint="eastAsia"/>
                <w:sz w:val="18"/>
              </w:rPr>
            </w:pPr>
            <w:r>
              <w:rPr>
                <w:rFonts w:ascii="SimHei" w:eastAsia="SimHei" w:hint="eastAsia"/>
                <w:sz w:val="18"/>
              </w:rPr>
              <w:t>肤色</w:t>
            </w:r>
            <w:r>
              <w:rPr>
                <w:rFonts w:ascii="SimHei" w:eastAsia="SimHei"/>
                <w:sz w:val="18"/>
              </w:rPr>
              <w:t>/</w:t>
            </w:r>
            <w:r>
              <w:rPr>
                <w:rFonts w:ascii="SimHei" w:eastAsia="SimHei" w:hint="eastAsia"/>
                <w:sz w:val="18"/>
              </w:rPr>
              <w:t>受教育程度</w:t>
            </w:r>
          </w:p>
        </w:tc>
        <w:tc>
          <w:tcPr>
            <w:tcW w:w="989" w:type="pct"/>
          </w:tcPr>
          <w:p w:rsidR="00000000" w:rsidRDefault="004D2F83">
            <w:pPr>
              <w:spacing w:after="120" w:line="320" w:lineRule="exact"/>
              <w:rPr>
                <w:rFonts w:ascii="SimHei" w:eastAsia="SimHei" w:hint="eastAsia"/>
                <w:sz w:val="18"/>
              </w:rPr>
            </w:pPr>
            <w:r>
              <w:rPr>
                <w:rFonts w:ascii="SimHei" w:eastAsia="SimHei" w:hint="eastAsia"/>
                <w:sz w:val="18"/>
              </w:rPr>
              <w:t>男子</w:t>
            </w:r>
          </w:p>
        </w:tc>
        <w:tc>
          <w:tcPr>
            <w:tcW w:w="989" w:type="pct"/>
          </w:tcPr>
          <w:p w:rsidR="00000000" w:rsidRDefault="004D2F83">
            <w:pPr>
              <w:spacing w:after="120" w:line="320" w:lineRule="exact"/>
              <w:rPr>
                <w:rFonts w:ascii="SimHei" w:eastAsia="SimHei" w:hint="eastAsia"/>
                <w:sz w:val="18"/>
              </w:rPr>
            </w:pPr>
            <w:r>
              <w:rPr>
                <w:rFonts w:ascii="SimHei" w:eastAsia="SimHei" w:hint="eastAsia"/>
                <w:sz w:val="18"/>
              </w:rPr>
              <w:t>妇女</w:t>
            </w:r>
          </w:p>
        </w:tc>
        <w:tc>
          <w:tcPr>
            <w:tcW w:w="989" w:type="pct"/>
          </w:tcPr>
          <w:p w:rsidR="00000000" w:rsidRDefault="004D2F83">
            <w:pPr>
              <w:spacing w:after="120" w:line="320" w:lineRule="exact"/>
              <w:rPr>
                <w:rFonts w:ascii="SimHei" w:eastAsia="SimHei" w:hint="eastAsia"/>
                <w:sz w:val="18"/>
              </w:rPr>
            </w:pPr>
            <w:r>
              <w:rPr>
                <w:rFonts w:ascii="SimHei" w:eastAsia="SimHei" w:hint="eastAsia"/>
                <w:sz w:val="18"/>
              </w:rPr>
              <w:t>总计</w:t>
            </w:r>
          </w:p>
        </w:tc>
        <w:tc>
          <w:tcPr>
            <w:tcW w:w="1078" w:type="pct"/>
          </w:tcPr>
          <w:p w:rsidR="00000000" w:rsidRDefault="004D2F83">
            <w:pPr>
              <w:spacing w:after="120" w:line="320" w:lineRule="exact"/>
              <w:rPr>
                <w:rFonts w:ascii="SimHei" w:eastAsia="SimHei" w:hint="eastAsia"/>
                <w:sz w:val="18"/>
              </w:rPr>
            </w:pPr>
            <w:r>
              <w:rPr>
                <w:rFonts w:ascii="SimHei" w:eastAsia="SimHei" w:hint="eastAsia"/>
                <w:sz w:val="18"/>
              </w:rPr>
              <w:t>妇女对男子的比率</w:t>
            </w:r>
          </w:p>
        </w:tc>
      </w:tr>
      <w:tr w:rsidR="00000000">
        <w:tblPrEx>
          <w:tblCellMar>
            <w:top w:w="0" w:type="dxa"/>
            <w:bottom w:w="0" w:type="dxa"/>
          </w:tblCellMar>
        </w:tblPrEx>
        <w:trPr>
          <w:cantSplit/>
        </w:trPr>
        <w:tc>
          <w:tcPr>
            <w:tcW w:w="5000" w:type="pct"/>
            <w:gridSpan w:val="5"/>
          </w:tcPr>
          <w:p w:rsidR="00000000" w:rsidRDefault="004D2F83">
            <w:pPr>
              <w:spacing w:after="120" w:line="320" w:lineRule="exact"/>
              <w:jc w:val="center"/>
              <w:rPr>
                <w:rFonts w:hint="eastAsia"/>
                <w:sz w:val="18"/>
              </w:rPr>
            </w:pPr>
            <w:r>
              <w:rPr>
                <w:rFonts w:hint="eastAsia"/>
                <w:sz w:val="18"/>
              </w:rPr>
              <w:t>非白人</w:t>
            </w:r>
          </w:p>
        </w:tc>
      </w:tr>
      <w:tr w:rsidR="00000000">
        <w:tblPrEx>
          <w:tblCellMar>
            <w:top w:w="0" w:type="dxa"/>
            <w:bottom w:w="0" w:type="dxa"/>
          </w:tblCellMar>
        </w:tblPrEx>
        <w:tc>
          <w:tcPr>
            <w:tcW w:w="956" w:type="pct"/>
          </w:tcPr>
          <w:p w:rsidR="00000000" w:rsidRDefault="004D2F83">
            <w:pPr>
              <w:spacing w:after="120" w:line="320" w:lineRule="exact"/>
              <w:rPr>
                <w:rFonts w:hint="eastAsia"/>
                <w:sz w:val="18"/>
              </w:rPr>
            </w:pPr>
            <w:r>
              <w:rPr>
                <w:rFonts w:hint="eastAsia"/>
                <w:sz w:val="18"/>
              </w:rPr>
              <w:t>3</w:t>
            </w:r>
            <w:r>
              <w:rPr>
                <w:rFonts w:hint="eastAsia"/>
                <w:sz w:val="18"/>
              </w:rPr>
              <w:t>年以下的教育</w:t>
            </w:r>
          </w:p>
        </w:tc>
        <w:tc>
          <w:tcPr>
            <w:tcW w:w="989" w:type="pct"/>
          </w:tcPr>
          <w:p w:rsidR="00000000" w:rsidRDefault="004D2F83" w:rsidP="004D2F83">
            <w:pPr>
              <w:spacing w:after="120" w:line="320" w:lineRule="exact"/>
              <w:ind w:rightChars="296" w:right="31680"/>
              <w:jc w:val="right"/>
              <w:rPr>
                <w:sz w:val="18"/>
              </w:rPr>
            </w:pPr>
            <w:r>
              <w:rPr>
                <w:sz w:val="18"/>
              </w:rPr>
              <w:t>199.91</w:t>
            </w:r>
          </w:p>
        </w:tc>
        <w:tc>
          <w:tcPr>
            <w:tcW w:w="989" w:type="pct"/>
          </w:tcPr>
          <w:p w:rsidR="00000000" w:rsidRDefault="004D2F83" w:rsidP="004D2F83">
            <w:pPr>
              <w:spacing w:after="120" w:line="320" w:lineRule="exact"/>
              <w:ind w:rightChars="296" w:right="31680"/>
              <w:jc w:val="right"/>
              <w:rPr>
                <w:sz w:val="18"/>
              </w:rPr>
            </w:pPr>
            <w:r>
              <w:rPr>
                <w:sz w:val="18"/>
              </w:rPr>
              <w:t>83.21</w:t>
            </w:r>
          </w:p>
        </w:tc>
        <w:tc>
          <w:tcPr>
            <w:tcW w:w="989" w:type="pct"/>
          </w:tcPr>
          <w:p w:rsidR="00000000" w:rsidRDefault="004D2F83" w:rsidP="004D2F83">
            <w:pPr>
              <w:spacing w:after="120" w:line="320" w:lineRule="exact"/>
              <w:ind w:rightChars="296" w:right="31680"/>
              <w:jc w:val="right"/>
              <w:rPr>
                <w:sz w:val="18"/>
              </w:rPr>
            </w:pPr>
            <w:r>
              <w:rPr>
                <w:sz w:val="18"/>
              </w:rPr>
              <w:t>157.93</w:t>
            </w:r>
          </w:p>
        </w:tc>
        <w:tc>
          <w:tcPr>
            <w:tcW w:w="1078" w:type="pct"/>
          </w:tcPr>
          <w:p w:rsidR="00000000" w:rsidRDefault="004D2F83" w:rsidP="004D2F83">
            <w:pPr>
              <w:spacing w:after="120" w:line="320" w:lineRule="exact"/>
              <w:ind w:rightChars="296" w:right="31680"/>
              <w:jc w:val="right"/>
              <w:rPr>
                <w:rFonts w:hint="eastAsia"/>
                <w:sz w:val="18"/>
              </w:rPr>
            </w:pPr>
            <w:r>
              <w:rPr>
                <w:sz w:val="18"/>
              </w:rPr>
              <w:t>42%</w:t>
            </w:r>
          </w:p>
        </w:tc>
      </w:tr>
      <w:tr w:rsidR="00000000">
        <w:tblPrEx>
          <w:tblCellMar>
            <w:top w:w="0" w:type="dxa"/>
            <w:bottom w:w="0" w:type="dxa"/>
          </w:tblCellMar>
        </w:tblPrEx>
        <w:tc>
          <w:tcPr>
            <w:tcW w:w="956" w:type="pct"/>
          </w:tcPr>
          <w:p w:rsidR="00000000" w:rsidRDefault="004D2F83">
            <w:pPr>
              <w:spacing w:after="120" w:line="320" w:lineRule="exact"/>
              <w:rPr>
                <w:rFonts w:hint="eastAsia"/>
                <w:sz w:val="18"/>
              </w:rPr>
            </w:pPr>
            <w:r>
              <w:rPr>
                <w:rFonts w:hint="eastAsia"/>
                <w:sz w:val="18"/>
              </w:rPr>
              <w:t>4</w:t>
            </w:r>
            <w:r>
              <w:rPr>
                <w:rFonts w:hint="eastAsia"/>
                <w:sz w:val="18"/>
              </w:rPr>
              <w:t>至</w:t>
            </w:r>
            <w:r>
              <w:rPr>
                <w:rFonts w:hint="eastAsia"/>
                <w:sz w:val="18"/>
              </w:rPr>
              <w:t>7</w:t>
            </w:r>
            <w:r>
              <w:rPr>
                <w:rFonts w:hint="eastAsia"/>
                <w:sz w:val="18"/>
              </w:rPr>
              <w:t>年的教育</w:t>
            </w:r>
          </w:p>
        </w:tc>
        <w:tc>
          <w:tcPr>
            <w:tcW w:w="989" w:type="pct"/>
          </w:tcPr>
          <w:p w:rsidR="00000000" w:rsidRDefault="004D2F83" w:rsidP="004D2F83">
            <w:pPr>
              <w:spacing w:after="120" w:line="320" w:lineRule="exact"/>
              <w:ind w:rightChars="296" w:right="31680"/>
              <w:jc w:val="right"/>
              <w:rPr>
                <w:sz w:val="18"/>
              </w:rPr>
            </w:pPr>
            <w:r>
              <w:rPr>
                <w:sz w:val="18"/>
              </w:rPr>
              <w:t>323.65</w:t>
            </w:r>
          </w:p>
        </w:tc>
        <w:tc>
          <w:tcPr>
            <w:tcW w:w="989" w:type="pct"/>
          </w:tcPr>
          <w:p w:rsidR="00000000" w:rsidRDefault="004D2F83" w:rsidP="004D2F83">
            <w:pPr>
              <w:spacing w:after="120" w:line="320" w:lineRule="exact"/>
              <w:ind w:rightChars="296" w:right="31680"/>
              <w:jc w:val="right"/>
              <w:rPr>
                <w:sz w:val="18"/>
              </w:rPr>
            </w:pPr>
            <w:r>
              <w:rPr>
                <w:sz w:val="18"/>
              </w:rPr>
              <w:t>154.66</w:t>
            </w:r>
          </w:p>
        </w:tc>
        <w:tc>
          <w:tcPr>
            <w:tcW w:w="989" w:type="pct"/>
          </w:tcPr>
          <w:p w:rsidR="00000000" w:rsidRDefault="004D2F83" w:rsidP="004D2F83">
            <w:pPr>
              <w:spacing w:after="120" w:line="320" w:lineRule="exact"/>
              <w:ind w:rightChars="296" w:right="31680"/>
              <w:jc w:val="right"/>
              <w:rPr>
                <w:sz w:val="18"/>
              </w:rPr>
            </w:pPr>
            <w:r>
              <w:rPr>
                <w:sz w:val="18"/>
              </w:rPr>
              <w:t>259.63</w:t>
            </w:r>
          </w:p>
        </w:tc>
        <w:tc>
          <w:tcPr>
            <w:tcW w:w="1078" w:type="pct"/>
          </w:tcPr>
          <w:p w:rsidR="00000000" w:rsidRDefault="004D2F83" w:rsidP="004D2F83">
            <w:pPr>
              <w:spacing w:after="120" w:line="320" w:lineRule="exact"/>
              <w:ind w:rightChars="296" w:right="31680"/>
              <w:jc w:val="right"/>
              <w:rPr>
                <w:rFonts w:hint="eastAsia"/>
                <w:sz w:val="18"/>
              </w:rPr>
            </w:pPr>
            <w:r>
              <w:rPr>
                <w:sz w:val="18"/>
              </w:rPr>
              <w:t>48%</w:t>
            </w:r>
          </w:p>
        </w:tc>
      </w:tr>
      <w:tr w:rsidR="00000000">
        <w:tblPrEx>
          <w:tblCellMar>
            <w:top w:w="0" w:type="dxa"/>
            <w:bottom w:w="0" w:type="dxa"/>
          </w:tblCellMar>
        </w:tblPrEx>
        <w:tc>
          <w:tcPr>
            <w:tcW w:w="956" w:type="pct"/>
          </w:tcPr>
          <w:p w:rsidR="00000000" w:rsidRDefault="004D2F83">
            <w:pPr>
              <w:spacing w:after="120" w:line="320" w:lineRule="exact"/>
              <w:rPr>
                <w:rFonts w:hint="eastAsia"/>
                <w:sz w:val="18"/>
              </w:rPr>
            </w:pPr>
            <w:r>
              <w:rPr>
                <w:rFonts w:hint="eastAsia"/>
                <w:sz w:val="18"/>
              </w:rPr>
              <w:t>初等教育</w:t>
            </w:r>
          </w:p>
        </w:tc>
        <w:tc>
          <w:tcPr>
            <w:tcW w:w="989" w:type="pct"/>
          </w:tcPr>
          <w:p w:rsidR="00000000" w:rsidRDefault="004D2F83" w:rsidP="004D2F83">
            <w:pPr>
              <w:spacing w:after="120" w:line="320" w:lineRule="exact"/>
              <w:ind w:rightChars="296" w:right="31680"/>
              <w:jc w:val="right"/>
              <w:rPr>
                <w:sz w:val="18"/>
              </w:rPr>
            </w:pPr>
            <w:r>
              <w:rPr>
                <w:sz w:val="18"/>
              </w:rPr>
              <w:t>406.78</w:t>
            </w:r>
          </w:p>
        </w:tc>
        <w:tc>
          <w:tcPr>
            <w:tcW w:w="989" w:type="pct"/>
          </w:tcPr>
          <w:p w:rsidR="00000000" w:rsidRDefault="004D2F83" w:rsidP="004D2F83">
            <w:pPr>
              <w:spacing w:after="120" w:line="320" w:lineRule="exact"/>
              <w:ind w:rightChars="296" w:right="31680"/>
              <w:jc w:val="right"/>
              <w:rPr>
                <w:sz w:val="18"/>
              </w:rPr>
            </w:pPr>
            <w:r>
              <w:rPr>
                <w:sz w:val="18"/>
              </w:rPr>
              <w:t>224.87</w:t>
            </w:r>
          </w:p>
        </w:tc>
        <w:tc>
          <w:tcPr>
            <w:tcW w:w="989" w:type="pct"/>
          </w:tcPr>
          <w:p w:rsidR="00000000" w:rsidRDefault="004D2F83" w:rsidP="004D2F83">
            <w:pPr>
              <w:spacing w:after="120" w:line="320" w:lineRule="exact"/>
              <w:ind w:rightChars="296" w:right="31680"/>
              <w:jc w:val="right"/>
              <w:rPr>
                <w:sz w:val="18"/>
              </w:rPr>
            </w:pPr>
            <w:r>
              <w:rPr>
                <w:sz w:val="18"/>
              </w:rPr>
              <w:t>334.29</w:t>
            </w:r>
          </w:p>
        </w:tc>
        <w:tc>
          <w:tcPr>
            <w:tcW w:w="1078" w:type="pct"/>
          </w:tcPr>
          <w:p w:rsidR="00000000" w:rsidRDefault="004D2F83" w:rsidP="004D2F83">
            <w:pPr>
              <w:spacing w:after="120" w:line="320" w:lineRule="exact"/>
              <w:ind w:rightChars="296" w:right="31680"/>
              <w:jc w:val="right"/>
              <w:rPr>
                <w:sz w:val="18"/>
              </w:rPr>
            </w:pPr>
            <w:r>
              <w:rPr>
                <w:sz w:val="18"/>
              </w:rPr>
              <w:t>55%</w:t>
            </w:r>
          </w:p>
        </w:tc>
      </w:tr>
      <w:tr w:rsidR="00000000">
        <w:tblPrEx>
          <w:tblCellMar>
            <w:top w:w="0" w:type="dxa"/>
            <w:bottom w:w="0" w:type="dxa"/>
          </w:tblCellMar>
        </w:tblPrEx>
        <w:tc>
          <w:tcPr>
            <w:tcW w:w="956" w:type="pct"/>
          </w:tcPr>
          <w:p w:rsidR="00000000" w:rsidRDefault="004D2F83">
            <w:pPr>
              <w:spacing w:after="120" w:line="320" w:lineRule="exact"/>
              <w:rPr>
                <w:rFonts w:hint="eastAsia"/>
                <w:sz w:val="18"/>
              </w:rPr>
            </w:pPr>
            <w:r>
              <w:rPr>
                <w:rFonts w:hint="eastAsia"/>
                <w:sz w:val="18"/>
              </w:rPr>
              <w:t>中等教育</w:t>
            </w:r>
          </w:p>
        </w:tc>
        <w:tc>
          <w:tcPr>
            <w:tcW w:w="989" w:type="pct"/>
          </w:tcPr>
          <w:p w:rsidR="00000000" w:rsidRDefault="004D2F83" w:rsidP="004D2F83">
            <w:pPr>
              <w:spacing w:after="120" w:line="320" w:lineRule="exact"/>
              <w:ind w:rightChars="296" w:right="31680"/>
              <w:jc w:val="right"/>
              <w:rPr>
                <w:sz w:val="18"/>
              </w:rPr>
            </w:pPr>
            <w:r>
              <w:rPr>
                <w:sz w:val="18"/>
              </w:rPr>
              <w:t>630.86</w:t>
            </w:r>
          </w:p>
        </w:tc>
        <w:tc>
          <w:tcPr>
            <w:tcW w:w="989" w:type="pct"/>
          </w:tcPr>
          <w:p w:rsidR="00000000" w:rsidRDefault="004D2F83" w:rsidP="004D2F83">
            <w:pPr>
              <w:spacing w:after="120" w:line="320" w:lineRule="exact"/>
              <w:ind w:rightChars="296" w:right="31680"/>
              <w:jc w:val="right"/>
              <w:rPr>
                <w:sz w:val="18"/>
              </w:rPr>
            </w:pPr>
            <w:r>
              <w:rPr>
                <w:sz w:val="18"/>
              </w:rPr>
              <w:t>345.10</w:t>
            </w:r>
          </w:p>
        </w:tc>
        <w:tc>
          <w:tcPr>
            <w:tcW w:w="989" w:type="pct"/>
          </w:tcPr>
          <w:p w:rsidR="00000000" w:rsidRDefault="004D2F83" w:rsidP="004D2F83">
            <w:pPr>
              <w:spacing w:after="120" w:line="320" w:lineRule="exact"/>
              <w:ind w:rightChars="296" w:right="31680"/>
              <w:jc w:val="right"/>
              <w:rPr>
                <w:sz w:val="18"/>
              </w:rPr>
            </w:pPr>
            <w:r>
              <w:rPr>
                <w:sz w:val="18"/>
              </w:rPr>
              <w:t>486.21</w:t>
            </w:r>
          </w:p>
        </w:tc>
        <w:tc>
          <w:tcPr>
            <w:tcW w:w="1078" w:type="pct"/>
          </w:tcPr>
          <w:p w:rsidR="00000000" w:rsidRDefault="004D2F83" w:rsidP="004D2F83">
            <w:pPr>
              <w:spacing w:after="120" w:line="320" w:lineRule="exact"/>
              <w:ind w:rightChars="296" w:right="31680"/>
              <w:jc w:val="right"/>
              <w:rPr>
                <w:rFonts w:hint="eastAsia"/>
                <w:sz w:val="18"/>
              </w:rPr>
            </w:pPr>
            <w:r>
              <w:rPr>
                <w:sz w:val="18"/>
              </w:rPr>
              <w:t>55%</w:t>
            </w:r>
          </w:p>
        </w:tc>
      </w:tr>
      <w:tr w:rsidR="00000000">
        <w:tblPrEx>
          <w:tblCellMar>
            <w:top w:w="0" w:type="dxa"/>
            <w:bottom w:w="0" w:type="dxa"/>
          </w:tblCellMar>
        </w:tblPrEx>
        <w:tc>
          <w:tcPr>
            <w:tcW w:w="956" w:type="pct"/>
          </w:tcPr>
          <w:p w:rsidR="00000000" w:rsidRDefault="004D2F83">
            <w:pPr>
              <w:spacing w:after="120" w:line="320" w:lineRule="exact"/>
              <w:rPr>
                <w:rFonts w:hint="eastAsia"/>
                <w:sz w:val="18"/>
              </w:rPr>
            </w:pPr>
            <w:r>
              <w:rPr>
                <w:rFonts w:hint="eastAsia"/>
                <w:sz w:val="18"/>
              </w:rPr>
              <w:t>高等教育</w:t>
            </w:r>
          </w:p>
        </w:tc>
        <w:tc>
          <w:tcPr>
            <w:tcW w:w="989" w:type="pct"/>
          </w:tcPr>
          <w:p w:rsidR="00000000" w:rsidRDefault="004D2F83" w:rsidP="004D2F83">
            <w:pPr>
              <w:spacing w:after="120" w:line="320" w:lineRule="exact"/>
              <w:ind w:rightChars="296" w:right="31680"/>
              <w:jc w:val="right"/>
              <w:rPr>
                <w:sz w:val="18"/>
              </w:rPr>
            </w:pPr>
            <w:r>
              <w:rPr>
                <w:sz w:val="18"/>
              </w:rPr>
              <w:t>1</w:t>
            </w:r>
            <w:r>
              <w:rPr>
                <w:rFonts w:hint="eastAsia"/>
                <w:sz w:val="18"/>
              </w:rPr>
              <w:t xml:space="preserve"> </w:t>
            </w:r>
            <w:r>
              <w:rPr>
                <w:sz w:val="18"/>
              </w:rPr>
              <w:t>409.68</w:t>
            </w:r>
          </w:p>
        </w:tc>
        <w:tc>
          <w:tcPr>
            <w:tcW w:w="989" w:type="pct"/>
          </w:tcPr>
          <w:p w:rsidR="00000000" w:rsidRDefault="004D2F83" w:rsidP="004D2F83">
            <w:pPr>
              <w:spacing w:after="120" w:line="320" w:lineRule="exact"/>
              <w:ind w:rightChars="296" w:right="31680"/>
              <w:jc w:val="right"/>
              <w:rPr>
                <w:sz w:val="18"/>
              </w:rPr>
            </w:pPr>
            <w:r>
              <w:rPr>
                <w:sz w:val="18"/>
              </w:rPr>
              <w:t>774.22</w:t>
            </w:r>
          </w:p>
        </w:tc>
        <w:tc>
          <w:tcPr>
            <w:tcW w:w="989" w:type="pct"/>
          </w:tcPr>
          <w:p w:rsidR="00000000" w:rsidRDefault="004D2F83" w:rsidP="004D2F83">
            <w:pPr>
              <w:spacing w:after="120" w:line="320" w:lineRule="exact"/>
              <w:ind w:rightChars="296" w:right="31680"/>
              <w:jc w:val="right"/>
              <w:rPr>
                <w:sz w:val="18"/>
              </w:rPr>
            </w:pPr>
            <w:r>
              <w:rPr>
                <w:sz w:val="18"/>
              </w:rPr>
              <w:t>1</w:t>
            </w:r>
            <w:r>
              <w:rPr>
                <w:rFonts w:hint="eastAsia"/>
                <w:sz w:val="18"/>
              </w:rPr>
              <w:t xml:space="preserve"> </w:t>
            </w:r>
            <w:r>
              <w:rPr>
                <w:sz w:val="18"/>
              </w:rPr>
              <w:t>067.43</w:t>
            </w:r>
          </w:p>
        </w:tc>
        <w:tc>
          <w:tcPr>
            <w:tcW w:w="1078" w:type="pct"/>
          </w:tcPr>
          <w:p w:rsidR="00000000" w:rsidRDefault="004D2F83" w:rsidP="004D2F83">
            <w:pPr>
              <w:spacing w:after="120" w:line="320" w:lineRule="exact"/>
              <w:ind w:rightChars="296" w:right="31680"/>
              <w:jc w:val="right"/>
              <w:rPr>
                <w:rFonts w:hint="eastAsia"/>
                <w:sz w:val="18"/>
              </w:rPr>
            </w:pPr>
            <w:r>
              <w:rPr>
                <w:sz w:val="18"/>
              </w:rPr>
              <w:t>55%</w:t>
            </w:r>
          </w:p>
        </w:tc>
      </w:tr>
      <w:tr w:rsidR="00000000">
        <w:tblPrEx>
          <w:tblCellMar>
            <w:top w:w="0" w:type="dxa"/>
            <w:bottom w:w="0" w:type="dxa"/>
          </w:tblCellMar>
        </w:tblPrEx>
        <w:tc>
          <w:tcPr>
            <w:tcW w:w="956" w:type="pct"/>
          </w:tcPr>
          <w:p w:rsidR="00000000" w:rsidRDefault="004D2F83">
            <w:pPr>
              <w:spacing w:after="120" w:line="320" w:lineRule="exact"/>
              <w:rPr>
                <w:rFonts w:hint="eastAsia"/>
                <w:sz w:val="18"/>
              </w:rPr>
            </w:pPr>
            <w:r>
              <w:rPr>
                <w:rFonts w:hint="eastAsia"/>
                <w:sz w:val="18"/>
              </w:rPr>
              <w:t>总计</w:t>
            </w:r>
          </w:p>
        </w:tc>
        <w:tc>
          <w:tcPr>
            <w:tcW w:w="989" w:type="pct"/>
          </w:tcPr>
          <w:p w:rsidR="00000000" w:rsidRDefault="004D2F83" w:rsidP="004D2F83">
            <w:pPr>
              <w:spacing w:after="120" w:line="320" w:lineRule="exact"/>
              <w:ind w:rightChars="296" w:right="31680"/>
              <w:jc w:val="right"/>
              <w:rPr>
                <w:sz w:val="18"/>
              </w:rPr>
            </w:pPr>
            <w:r>
              <w:rPr>
                <w:sz w:val="18"/>
              </w:rPr>
              <w:t>351.98</w:t>
            </w:r>
          </w:p>
        </w:tc>
        <w:tc>
          <w:tcPr>
            <w:tcW w:w="989" w:type="pct"/>
          </w:tcPr>
          <w:p w:rsidR="00000000" w:rsidRDefault="004D2F83" w:rsidP="004D2F83">
            <w:pPr>
              <w:spacing w:after="120" w:line="320" w:lineRule="exact"/>
              <w:ind w:rightChars="296" w:right="31680"/>
              <w:jc w:val="right"/>
              <w:rPr>
                <w:sz w:val="18"/>
              </w:rPr>
            </w:pPr>
            <w:r>
              <w:rPr>
                <w:sz w:val="18"/>
              </w:rPr>
              <w:t>206.89</w:t>
            </w:r>
          </w:p>
        </w:tc>
        <w:tc>
          <w:tcPr>
            <w:tcW w:w="989" w:type="pct"/>
          </w:tcPr>
          <w:p w:rsidR="00000000" w:rsidRDefault="004D2F83" w:rsidP="004D2F83">
            <w:pPr>
              <w:spacing w:after="120" w:line="320" w:lineRule="exact"/>
              <w:ind w:rightChars="296" w:right="31680"/>
              <w:jc w:val="right"/>
              <w:rPr>
                <w:sz w:val="18"/>
              </w:rPr>
            </w:pPr>
            <w:r>
              <w:rPr>
                <w:sz w:val="18"/>
              </w:rPr>
              <w:t>294.40</w:t>
            </w:r>
          </w:p>
        </w:tc>
        <w:tc>
          <w:tcPr>
            <w:tcW w:w="1078" w:type="pct"/>
          </w:tcPr>
          <w:p w:rsidR="00000000" w:rsidRDefault="004D2F83" w:rsidP="004D2F83">
            <w:pPr>
              <w:spacing w:after="120" w:line="320" w:lineRule="exact"/>
              <w:ind w:rightChars="296" w:right="31680"/>
              <w:jc w:val="right"/>
              <w:rPr>
                <w:rFonts w:hint="eastAsia"/>
                <w:sz w:val="18"/>
              </w:rPr>
            </w:pPr>
            <w:r>
              <w:rPr>
                <w:sz w:val="18"/>
              </w:rPr>
              <w:t>59%</w:t>
            </w:r>
          </w:p>
        </w:tc>
      </w:tr>
      <w:tr w:rsidR="00000000">
        <w:tblPrEx>
          <w:tblCellMar>
            <w:top w:w="0" w:type="dxa"/>
            <w:bottom w:w="0" w:type="dxa"/>
          </w:tblCellMar>
        </w:tblPrEx>
        <w:trPr>
          <w:cantSplit/>
        </w:trPr>
        <w:tc>
          <w:tcPr>
            <w:tcW w:w="5000" w:type="pct"/>
            <w:gridSpan w:val="5"/>
          </w:tcPr>
          <w:p w:rsidR="00000000" w:rsidRDefault="004D2F83">
            <w:pPr>
              <w:spacing w:after="120" w:line="320" w:lineRule="exact"/>
              <w:jc w:val="center"/>
              <w:rPr>
                <w:rFonts w:hint="eastAsia"/>
                <w:sz w:val="18"/>
              </w:rPr>
            </w:pPr>
            <w:r>
              <w:rPr>
                <w:rFonts w:hint="eastAsia"/>
                <w:sz w:val="18"/>
              </w:rPr>
              <w:t>白人</w:t>
            </w:r>
          </w:p>
        </w:tc>
      </w:tr>
      <w:tr w:rsidR="00000000">
        <w:tblPrEx>
          <w:tblCellMar>
            <w:top w:w="0" w:type="dxa"/>
            <w:bottom w:w="0" w:type="dxa"/>
          </w:tblCellMar>
        </w:tblPrEx>
        <w:tc>
          <w:tcPr>
            <w:tcW w:w="956" w:type="pct"/>
          </w:tcPr>
          <w:p w:rsidR="00000000" w:rsidRDefault="004D2F83">
            <w:pPr>
              <w:spacing w:after="120" w:line="320" w:lineRule="exact"/>
              <w:rPr>
                <w:rFonts w:hint="eastAsia"/>
                <w:sz w:val="18"/>
              </w:rPr>
            </w:pPr>
            <w:r>
              <w:rPr>
                <w:rFonts w:hint="eastAsia"/>
                <w:sz w:val="18"/>
              </w:rPr>
              <w:t>3</w:t>
            </w:r>
            <w:r>
              <w:rPr>
                <w:rFonts w:hint="eastAsia"/>
                <w:sz w:val="18"/>
              </w:rPr>
              <w:t>年以下的教育</w:t>
            </w:r>
          </w:p>
        </w:tc>
        <w:tc>
          <w:tcPr>
            <w:tcW w:w="989" w:type="pct"/>
          </w:tcPr>
          <w:p w:rsidR="00000000" w:rsidRDefault="004D2F83" w:rsidP="004D2F83">
            <w:pPr>
              <w:spacing w:after="120" w:line="320" w:lineRule="exact"/>
              <w:ind w:rightChars="296" w:right="31680"/>
              <w:jc w:val="right"/>
              <w:rPr>
                <w:sz w:val="18"/>
              </w:rPr>
            </w:pPr>
            <w:r>
              <w:rPr>
                <w:sz w:val="18"/>
              </w:rPr>
              <w:t>199.91</w:t>
            </w:r>
          </w:p>
        </w:tc>
        <w:tc>
          <w:tcPr>
            <w:tcW w:w="989" w:type="pct"/>
          </w:tcPr>
          <w:p w:rsidR="00000000" w:rsidRDefault="004D2F83" w:rsidP="004D2F83">
            <w:pPr>
              <w:spacing w:after="120" w:line="320" w:lineRule="exact"/>
              <w:ind w:rightChars="296" w:right="31680"/>
              <w:jc w:val="right"/>
              <w:rPr>
                <w:sz w:val="18"/>
              </w:rPr>
            </w:pPr>
            <w:r>
              <w:rPr>
                <w:sz w:val="18"/>
              </w:rPr>
              <w:t>83.21</w:t>
            </w:r>
          </w:p>
        </w:tc>
        <w:tc>
          <w:tcPr>
            <w:tcW w:w="989" w:type="pct"/>
          </w:tcPr>
          <w:p w:rsidR="00000000" w:rsidRDefault="004D2F83" w:rsidP="004D2F83">
            <w:pPr>
              <w:spacing w:after="120" w:line="320" w:lineRule="exact"/>
              <w:ind w:rightChars="296" w:right="31680"/>
              <w:jc w:val="right"/>
              <w:rPr>
                <w:sz w:val="18"/>
              </w:rPr>
            </w:pPr>
            <w:r>
              <w:rPr>
                <w:sz w:val="18"/>
              </w:rPr>
              <w:t>1</w:t>
            </w:r>
            <w:r>
              <w:rPr>
                <w:sz w:val="18"/>
              </w:rPr>
              <w:t>57.93</w:t>
            </w:r>
          </w:p>
        </w:tc>
        <w:tc>
          <w:tcPr>
            <w:tcW w:w="1078" w:type="pct"/>
          </w:tcPr>
          <w:p w:rsidR="00000000" w:rsidRDefault="004D2F83" w:rsidP="004D2F83">
            <w:pPr>
              <w:spacing w:after="120" w:line="320" w:lineRule="exact"/>
              <w:ind w:rightChars="296" w:right="31680"/>
              <w:jc w:val="right"/>
              <w:rPr>
                <w:sz w:val="18"/>
              </w:rPr>
            </w:pPr>
            <w:r>
              <w:rPr>
                <w:sz w:val="18"/>
              </w:rPr>
              <w:t>40%</w:t>
            </w:r>
          </w:p>
        </w:tc>
      </w:tr>
      <w:tr w:rsidR="00000000">
        <w:tblPrEx>
          <w:tblCellMar>
            <w:top w:w="0" w:type="dxa"/>
            <w:bottom w:w="0" w:type="dxa"/>
          </w:tblCellMar>
        </w:tblPrEx>
        <w:tc>
          <w:tcPr>
            <w:tcW w:w="956" w:type="pct"/>
          </w:tcPr>
          <w:p w:rsidR="00000000" w:rsidRDefault="004D2F83">
            <w:pPr>
              <w:spacing w:after="120" w:line="320" w:lineRule="exact"/>
              <w:rPr>
                <w:rFonts w:hint="eastAsia"/>
                <w:sz w:val="18"/>
              </w:rPr>
            </w:pPr>
            <w:r>
              <w:rPr>
                <w:rFonts w:hint="eastAsia"/>
                <w:sz w:val="18"/>
              </w:rPr>
              <w:t>4</w:t>
            </w:r>
            <w:r>
              <w:rPr>
                <w:rFonts w:hint="eastAsia"/>
                <w:sz w:val="18"/>
              </w:rPr>
              <w:t>至</w:t>
            </w:r>
            <w:r>
              <w:rPr>
                <w:rFonts w:hint="eastAsia"/>
                <w:sz w:val="18"/>
              </w:rPr>
              <w:t>7</w:t>
            </w:r>
            <w:r>
              <w:rPr>
                <w:rFonts w:hint="eastAsia"/>
                <w:sz w:val="18"/>
              </w:rPr>
              <w:t>年的教育</w:t>
            </w:r>
          </w:p>
        </w:tc>
        <w:tc>
          <w:tcPr>
            <w:tcW w:w="989" w:type="pct"/>
          </w:tcPr>
          <w:p w:rsidR="00000000" w:rsidRDefault="004D2F83" w:rsidP="004D2F83">
            <w:pPr>
              <w:spacing w:after="120" w:line="320" w:lineRule="exact"/>
              <w:ind w:rightChars="296" w:right="31680"/>
              <w:jc w:val="right"/>
              <w:rPr>
                <w:sz w:val="18"/>
              </w:rPr>
            </w:pPr>
            <w:r>
              <w:rPr>
                <w:sz w:val="18"/>
              </w:rPr>
              <w:t>323.65</w:t>
            </w:r>
          </w:p>
        </w:tc>
        <w:tc>
          <w:tcPr>
            <w:tcW w:w="989" w:type="pct"/>
          </w:tcPr>
          <w:p w:rsidR="00000000" w:rsidRDefault="004D2F83" w:rsidP="004D2F83">
            <w:pPr>
              <w:spacing w:after="120" w:line="320" w:lineRule="exact"/>
              <w:ind w:rightChars="296" w:right="31680"/>
              <w:jc w:val="right"/>
              <w:rPr>
                <w:sz w:val="18"/>
              </w:rPr>
            </w:pPr>
            <w:r>
              <w:rPr>
                <w:sz w:val="18"/>
              </w:rPr>
              <w:t>154.66</w:t>
            </w:r>
          </w:p>
        </w:tc>
        <w:tc>
          <w:tcPr>
            <w:tcW w:w="989" w:type="pct"/>
          </w:tcPr>
          <w:p w:rsidR="00000000" w:rsidRDefault="004D2F83" w:rsidP="004D2F83">
            <w:pPr>
              <w:spacing w:after="120" w:line="320" w:lineRule="exact"/>
              <w:ind w:rightChars="296" w:right="31680"/>
              <w:jc w:val="right"/>
              <w:rPr>
                <w:sz w:val="18"/>
              </w:rPr>
            </w:pPr>
            <w:r>
              <w:rPr>
                <w:sz w:val="18"/>
              </w:rPr>
              <w:t>259.63</w:t>
            </w:r>
          </w:p>
        </w:tc>
        <w:tc>
          <w:tcPr>
            <w:tcW w:w="1078" w:type="pct"/>
          </w:tcPr>
          <w:p w:rsidR="00000000" w:rsidRDefault="004D2F83" w:rsidP="004D2F83">
            <w:pPr>
              <w:spacing w:after="120" w:line="320" w:lineRule="exact"/>
              <w:ind w:rightChars="296" w:right="31680"/>
              <w:jc w:val="right"/>
              <w:rPr>
                <w:sz w:val="18"/>
              </w:rPr>
            </w:pPr>
            <w:r>
              <w:rPr>
                <w:sz w:val="18"/>
              </w:rPr>
              <w:t>42%</w:t>
            </w:r>
          </w:p>
        </w:tc>
      </w:tr>
      <w:tr w:rsidR="00000000">
        <w:tblPrEx>
          <w:tblCellMar>
            <w:top w:w="0" w:type="dxa"/>
            <w:bottom w:w="0" w:type="dxa"/>
          </w:tblCellMar>
        </w:tblPrEx>
        <w:tc>
          <w:tcPr>
            <w:tcW w:w="956" w:type="pct"/>
          </w:tcPr>
          <w:p w:rsidR="00000000" w:rsidRDefault="004D2F83">
            <w:pPr>
              <w:spacing w:after="120" w:line="320" w:lineRule="exact"/>
              <w:rPr>
                <w:rFonts w:hint="eastAsia"/>
                <w:sz w:val="18"/>
              </w:rPr>
            </w:pPr>
            <w:r>
              <w:rPr>
                <w:rFonts w:hint="eastAsia"/>
                <w:sz w:val="18"/>
              </w:rPr>
              <w:t>初等教育</w:t>
            </w:r>
          </w:p>
        </w:tc>
        <w:tc>
          <w:tcPr>
            <w:tcW w:w="989" w:type="pct"/>
          </w:tcPr>
          <w:p w:rsidR="00000000" w:rsidRDefault="004D2F83" w:rsidP="004D2F83">
            <w:pPr>
              <w:spacing w:after="120" w:line="320" w:lineRule="exact"/>
              <w:ind w:rightChars="296" w:right="31680"/>
              <w:jc w:val="right"/>
              <w:rPr>
                <w:sz w:val="18"/>
              </w:rPr>
            </w:pPr>
            <w:r>
              <w:rPr>
                <w:sz w:val="18"/>
              </w:rPr>
              <w:t>406.78</w:t>
            </w:r>
          </w:p>
        </w:tc>
        <w:tc>
          <w:tcPr>
            <w:tcW w:w="989" w:type="pct"/>
          </w:tcPr>
          <w:p w:rsidR="00000000" w:rsidRDefault="004D2F83" w:rsidP="004D2F83">
            <w:pPr>
              <w:spacing w:after="120" w:line="320" w:lineRule="exact"/>
              <w:ind w:rightChars="296" w:right="31680"/>
              <w:jc w:val="right"/>
              <w:rPr>
                <w:sz w:val="18"/>
              </w:rPr>
            </w:pPr>
            <w:r>
              <w:rPr>
                <w:sz w:val="18"/>
              </w:rPr>
              <w:t>224.87</w:t>
            </w:r>
          </w:p>
        </w:tc>
        <w:tc>
          <w:tcPr>
            <w:tcW w:w="989" w:type="pct"/>
          </w:tcPr>
          <w:p w:rsidR="00000000" w:rsidRDefault="004D2F83" w:rsidP="004D2F83">
            <w:pPr>
              <w:spacing w:after="120" w:line="320" w:lineRule="exact"/>
              <w:ind w:rightChars="296" w:right="31680"/>
              <w:jc w:val="right"/>
              <w:rPr>
                <w:sz w:val="18"/>
              </w:rPr>
            </w:pPr>
            <w:r>
              <w:rPr>
                <w:sz w:val="18"/>
              </w:rPr>
              <w:t>334.29</w:t>
            </w:r>
          </w:p>
        </w:tc>
        <w:tc>
          <w:tcPr>
            <w:tcW w:w="1078" w:type="pct"/>
          </w:tcPr>
          <w:p w:rsidR="00000000" w:rsidRDefault="004D2F83" w:rsidP="004D2F83">
            <w:pPr>
              <w:spacing w:after="120" w:line="320" w:lineRule="exact"/>
              <w:ind w:rightChars="296" w:right="31680"/>
              <w:jc w:val="right"/>
              <w:rPr>
                <w:sz w:val="18"/>
              </w:rPr>
            </w:pPr>
            <w:r>
              <w:rPr>
                <w:sz w:val="18"/>
              </w:rPr>
              <w:t>51%</w:t>
            </w:r>
          </w:p>
        </w:tc>
      </w:tr>
      <w:tr w:rsidR="00000000">
        <w:tblPrEx>
          <w:tblCellMar>
            <w:top w:w="0" w:type="dxa"/>
            <w:bottom w:w="0" w:type="dxa"/>
          </w:tblCellMar>
        </w:tblPrEx>
        <w:tc>
          <w:tcPr>
            <w:tcW w:w="956" w:type="pct"/>
          </w:tcPr>
          <w:p w:rsidR="00000000" w:rsidRDefault="004D2F83">
            <w:pPr>
              <w:spacing w:after="120" w:line="320" w:lineRule="exact"/>
              <w:rPr>
                <w:rFonts w:hint="eastAsia"/>
                <w:sz w:val="18"/>
              </w:rPr>
            </w:pPr>
            <w:r>
              <w:rPr>
                <w:rFonts w:hint="eastAsia"/>
                <w:sz w:val="18"/>
              </w:rPr>
              <w:t>中等教育</w:t>
            </w:r>
          </w:p>
        </w:tc>
        <w:tc>
          <w:tcPr>
            <w:tcW w:w="989" w:type="pct"/>
          </w:tcPr>
          <w:p w:rsidR="00000000" w:rsidRDefault="004D2F83" w:rsidP="004D2F83">
            <w:pPr>
              <w:spacing w:after="120" w:line="320" w:lineRule="exact"/>
              <w:ind w:rightChars="296" w:right="31680"/>
              <w:jc w:val="right"/>
              <w:rPr>
                <w:sz w:val="18"/>
              </w:rPr>
            </w:pPr>
            <w:r>
              <w:rPr>
                <w:sz w:val="18"/>
              </w:rPr>
              <w:t>630.86</w:t>
            </w:r>
          </w:p>
        </w:tc>
        <w:tc>
          <w:tcPr>
            <w:tcW w:w="989" w:type="pct"/>
          </w:tcPr>
          <w:p w:rsidR="00000000" w:rsidRDefault="004D2F83" w:rsidP="004D2F83">
            <w:pPr>
              <w:spacing w:after="120" w:line="320" w:lineRule="exact"/>
              <w:ind w:rightChars="296" w:right="31680"/>
              <w:jc w:val="right"/>
              <w:rPr>
                <w:sz w:val="18"/>
              </w:rPr>
            </w:pPr>
            <w:r>
              <w:rPr>
                <w:sz w:val="18"/>
              </w:rPr>
              <w:t>345.10</w:t>
            </w:r>
          </w:p>
        </w:tc>
        <w:tc>
          <w:tcPr>
            <w:tcW w:w="989" w:type="pct"/>
          </w:tcPr>
          <w:p w:rsidR="00000000" w:rsidRDefault="004D2F83" w:rsidP="004D2F83">
            <w:pPr>
              <w:spacing w:after="120" w:line="320" w:lineRule="exact"/>
              <w:ind w:rightChars="296" w:right="31680"/>
              <w:jc w:val="right"/>
              <w:rPr>
                <w:sz w:val="18"/>
              </w:rPr>
            </w:pPr>
            <w:r>
              <w:rPr>
                <w:sz w:val="18"/>
              </w:rPr>
              <w:t>486.21</w:t>
            </w:r>
          </w:p>
        </w:tc>
        <w:tc>
          <w:tcPr>
            <w:tcW w:w="1078" w:type="pct"/>
          </w:tcPr>
          <w:p w:rsidR="00000000" w:rsidRDefault="004D2F83" w:rsidP="004D2F83">
            <w:pPr>
              <w:spacing w:after="120" w:line="320" w:lineRule="exact"/>
              <w:ind w:rightChars="296" w:right="31680"/>
              <w:jc w:val="right"/>
              <w:rPr>
                <w:sz w:val="18"/>
              </w:rPr>
            </w:pPr>
            <w:r>
              <w:rPr>
                <w:sz w:val="18"/>
              </w:rPr>
              <w:t>53%</w:t>
            </w:r>
          </w:p>
        </w:tc>
      </w:tr>
      <w:tr w:rsidR="00000000">
        <w:tblPrEx>
          <w:tblCellMar>
            <w:top w:w="0" w:type="dxa"/>
            <w:bottom w:w="0" w:type="dxa"/>
          </w:tblCellMar>
        </w:tblPrEx>
        <w:tc>
          <w:tcPr>
            <w:tcW w:w="956" w:type="pct"/>
          </w:tcPr>
          <w:p w:rsidR="00000000" w:rsidRDefault="004D2F83">
            <w:pPr>
              <w:spacing w:after="120" w:line="320" w:lineRule="exact"/>
              <w:rPr>
                <w:rFonts w:hint="eastAsia"/>
                <w:sz w:val="18"/>
              </w:rPr>
            </w:pPr>
            <w:r>
              <w:rPr>
                <w:rFonts w:hint="eastAsia"/>
                <w:sz w:val="18"/>
              </w:rPr>
              <w:t>高等教育</w:t>
            </w:r>
          </w:p>
        </w:tc>
        <w:tc>
          <w:tcPr>
            <w:tcW w:w="989" w:type="pct"/>
          </w:tcPr>
          <w:p w:rsidR="00000000" w:rsidRDefault="004D2F83" w:rsidP="004D2F83">
            <w:pPr>
              <w:spacing w:after="120" w:line="320" w:lineRule="exact"/>
              <w:ind w:rightChars="296" w:right="31680"/>
              <w:jc w:val="right"/>
              <w:rPr>
                <w:sz w:val="18"/>
              </w:rPr>
            </w:pPr>
            <w:r>
              <w:rPr>
                <w:sz w:val="18"/>
              </w:rPr>
              <w:t>1</w:t>
            </w:r>
            <w:r>
              <w:rPr>
                <w:rFonts w:hint="eastAsia"/>
                <w:sz w:val="18"/>
              </w:rPr>
              <w:t xml:space="preserve"> </w:t>
            </w:r>
            <w:r>
              <w:rPr>
                <w:sz w:val="18"/>
              </w:rPr>
              <w:t>409.68</w:t>
            </w:r>
          </w:p>
        </w:tc>
        <w:tc>
          <w:tcPr>
            <w:tcW w:w="989" w:type="pct"/>
          </w:tcPr>
          <w:p w:rsidR="00000000" w:rsidRDefault="004D2F83" w:rsidP="004D2F83">
            <w:pPr>
              <w:spacing w:after="120" w:line="320" w:lineRule="exact"/>
              <w:ind w:rightChars="296" w:right="31680"/>
              <w:jc w:val="right"/>
              <w:rPr>
                <w:sz w:val="18"/>
              </w:rPr>
            </w:pPr>
            <w:r>
              <w:rPr>
                <w:sz w:val="18"/>
              </w:rPr>
              <w:t>774.22</w:t>
            </w:r>
          </w:p>
        </w:tc>
        <w:tc>
          <w:tcPr>
            <w:tcW w:w="989" w:type="pct"/>
          </w:tcPr>
          <w:p w:rsidR="00000000" w:rsidRDefault="004D2F83" w:rsidP="004D2F83">
            <w:pPr>
              <w:spacing w:after="120" w:line="320" w:lineRule="exact"/>
              <w:ind w:rightChars="296" w:right="31680"/>
              <w:jc w:val="right"/>
              <w:rPr>
                <w:sz w:val="18"/>
              </w:rPr>
            </w:pPr>
            <w:r>
              <w:rPr>
                <w:rFonts w:hint="eastAsia"/>
                <w:sz w:val="18"/>
              </w:rPr>
              <w:t xml:space="preserve">1 </w:t>
            </w:r>
            <w:r>
              <w:rPr>
                <w:sz w:val="18"/>
              </w:rPr>
              <w:t>067.43</w:t>
            </w:r>
          </w:p>
        </w:tc>
        <w:tc>
          <w:tcPr>
            <w:tcW w:w="1078" w:type="pct"/>
          </w:tcPr>
          <w:p w:rsidR="00000000" w:rsidRDefault="004D2F83" w:rsidP="004D2F83">
            <w:pPr>
              <w:spacing w:after="120" w:line="320" w:lineRule="exact"/>
              <w:ind w:rightChars="296" w:right="31680"/>
              <w:jc w:val="right"/>
              <w:rPr>
                <w:sz w:val="18"/>
              </w:rPr>
            </w:pPr>
            <w:r>
              <w:rPr>
                <w:sz w:val="18"/>
              </w:rPr>
              <w:t>55%</w:t>
            </w:r>
          </w:p>
        </w:tc>
      </w:tr>
      <w:tr w:rsidR="00000000">
        <w:tblPrEx>
          <w:tblCellMar>
            <w:top w:w="0" w:type="dxa"/>
            <w:bottom w:w="0" w:type="dxa"/>
          </w:tblCellMar>
        </w:tblPrEx>
        <w:tc>
          <w:tcPr>
            <w:tcW w:w="956" w:type="pct"/>
          </w:tcPr>
          <w:p w:rsidR="00000000" w:rsidRDefault="004D2F83">
            <w:pPr>
              <w:spacing w:after="120" w:line="320" w:lineRule="exact"/>
              <w:rPr>
                <w:rFonts w:hint="eastAsia"/>
                <w:sz w:val="18"/>
              </w:rPr>
            </w:pPr>
            <w:r>
              <w:rPr>
                <w:rFonts w:hint="eastAsia"/>
                <w:sz w:val="18"/>
              </w:rPr>
              <w:t>总计</w:t>
            </w:r>
          </w:p>
        </w:tc>
        <w:tc>
          <w:tcPr>
            <w:tcW w:w="989" w:type="pct"/>
          </w:tcPr>
          <w:p w:rsidR="00000000" w:rsidRDefault="004D2F83" w:rsidP="004D2F83">
            <w:pPr>
              <w:spacing w:after="120" w:line="320" w:lineRule="exact"/>
              <w:ind w:rightChars="296" w:right="31680"/>
              <w:jc w:val="right"/>
              <w:rPr>
                <w:sz w:val="18"/>
              </w:rPr>
            </w:pPr>
            <w:r>
              <w:rPr>
                <w:sz w:val="18"/>
              </w:rPr>
              <w:t>351.98</w:t>
            </w:r>
          </w:p>
        </w:tc>
        <w:tc>
          <w:tcPr>
            <w:tcW w:w="989" w:type="pct"/>
          </w:tcPr>
          <w:p w:rsidR="00000000" w:rsidRDefault="004D2F83" w:rsidP="004D2F83">
            <w:pPr>
              <w:spacing w:after="120" w:line="320" w:lineRule="exact"/>
              <w:ind w:rightChars="296" w:right="31680"/>
              <w:jc w:val="right"/>
              <w:rPr>
                <w:sz w:val="18"/>
              </w:rPr>
            </w:pPr>
            <w:r>
              <w:rPr>
                <w:sz w:val="18"/>
              </w:rPr>
              <w:t>206.89</w:t>
            </w:r>
          </w:p>
        </w:tc>
        <w:tc>
          <w:tcPr>
            <w:tcW w:w="989" w:type="pct"/>
          </w:tcPr>
          <w:p w:rsidR="00000000" w:rsidRDefault="004D2F83" w:rsidP="004D2F83">
            <w:pPr>
              <w:spacing w:after="120" w:line="320" w:lineRule="exact"/>
              <w:ind w:rightChars="296" w:right="31680"/>
              <w:jc w:val="right"/>
              <w:rPr>
                <w:sz w:val="18"/>
              </w:rPr>
            </w:pPr>
            <w:r>
              <w:rPr>
                <w:sz w:val="18"/>
              </w:rPr>
              <w:t>294.40</w:t>
            </w:r>
          </w:p>
        </w:tc>
        <w:tc>
          <w:tcPr>
            <w:tcW w:w="1078" w:type="pct"/>
          </w:tcPr>
          <w:p w:rsidR="00000000" w:rsidRDefault="004D2F83" w:rsidP="004D2F83">
            <w:pPr>
              <w:spacing w:after="120" w:line="320" w:lineRule="exact"/>
              <w:ind w:rightChars="296" w:right="31680"/>
              <w:jc w:val="right"/>
              <w:rPr>
                <w:rFonts w:hint="eastAsia"/>
                <w:sz w:val="18"/>
              </w:rPr>
            </w:pPr>
            <w:r>
              <w:rPr>
                <w:sz w:val="18"/>
              </w:rPr>
              <w:t>59%</w:t>
            </w:r>
          </w:p>
        </w:tc>
      </w:tr>
    </w:tbl>
    <w:p w:rsidR="00000000" w:rsidRDefault="004D2F83">
      <w:pPr>
        <w:spacing w:after="240" w:line="360" w:lineRule="exact"/>
        <w:rPr>
          <w:rFonts w:hint="eastAsia"/>
          <w:sz w:val="18"/>
        </w:rPr>
      </w:pPr>
      <w:r>
        <w:rPr>
          <w:rFonts w:eastAsia="SimHei" w:hint="eastAsia"/>
          <w:sz w:val="18"/>
        </w:rPr>
        <w:t>资料来源</w:t>
      </w:r>
      <w:r>
        <w:rPr>
          <w:rFonts w:hint="eastAsia"/>
          <w:sz w:val="18"/>
        </w:rPr>
        <w:t>：</w:t>
      </w:r>
      <w:r>
        <w:rPr>
          <w:rFonts w:hint="eastAsia"/>
          <w:sz w:val="18"/>
        </w:rPr>
        <w:t>1999</w:t>
      </w:r>
      <w:r>
        <w:rPr>
          <w:rFonts w:hint="eastAsia"/>
          <w:sz w:val="18"/>
        </w:rPr>
        <w:t>年全国住户抽样调查提供的微观数据。</w:t>
      </w:r>
    </w:p>
    <w:p w:rsidR="00000000" w:rsidRDefault="004D2F83" w:rsidP="004D2F83">
      <w:pPr>
        <w:pStyle w:val="NormalIndent"/>
        <w:spacing w:after="240" w:line="360" w:lineRule="exact"/>
        <w:ind w:firstLineChars="200" w:firstLine="31680"/>
        <w:rPr>
          <w:rFonts w:hint="eastAsia"/>
          <w:kern w:val="0"/>
        </w:rPr>
      </w:pPr>
      <w:r>
        <w:rPr>
          <w:rFonts w:hint="eastAsia"/>
          <w:kern w:val="0"/>
        </w:rPr>
        <w:t>上表突出说明了这一事实：教育并不是决定非白人男子和妇女收入低的首要因素。</w:t>
      </w:r>
    </w:p>
    <w:p w:rsidR="00000000" w:rsidRDefault="004D2F83" w:rsidP="004D2F83">
      <w:pPr>
        <w:spacing w:after="240" w:line="360" w:lineRule="exact"/>
        <w:ind w:firstLineChars="200" w:firstLine="31680"/>
        <w:rPr>
          <w:rFonts w:hint="eastAsia"/>
        </w:rPr>
      </w:pPr>
      <w:r>
        <w:rPr>
          <w:rFonts w:hint="eastAsia"/>
        </w:rPr>
        <w:t>不论其受教育程度如何，白人男子和妇女的收入</w:t>
      </w:r>
      <w:r>
        <w:rPr>
          <w:rFonts w:hint="eastAsia"/>
        </w:rPr>
        <w:t>均高于非白人，这一事实反映了肤色偏见。</w:t>
      </w:r>
    </w:p>
    <w:p w:rsidR="00000000" w:rsidRDefault="004D2F83" w:rsidP="004D2F83">
      <w:pPr>
        <w:pStyle w:val="NormalIndent"/>
        <w:spacing w:after="240" w:line="360" w:lineRule="exact"/>
        <w:ind w:firstLineChars="200" w:firstLine="31680"/>
        <w:rPr>
          <w:rFonts w:eastAsia="KaiTi_GB2312" w:hint="eastAsia"/>
          <w:spacing w:val="4"/>
          <w:kern w:val="0"/>
        </w:rPr>
      </w:pPr>
      <w:r>
        <w:rPr>
          <w:rFonts w:eastAsia="KaiTi_GB2312" w:hint="eastAsia"/>
          <w:spacing w:val="4"/>
          <w:kern w:val="0"/>
        </w:rPr>
        <w:t>而不论受教育程度如何，白人和非白人男子的收入高于白人和非白人妇女，这一事实则反映出性别偏见。</w:t>
      </w:r>
    </w:p>
    <w:p w:rsidR="00000000" w:rsidRDefault="004D2F83" w:rsidP="004D2F83">
      <w:pPr>
        <w:spacing w:after="240" w:line="360" w:lineRule="exact"/>
        <w:ind w:firstLineChars="200" w:firstLine="31680"/>
        <w:rPr>
          <w:rFonts w:hint="eastAsia"/>
        </w:rPr>
      </w:pPr>
      <w:r>
        <w:rPr>
          <w:rFonts w:hint="eastAsia"/>
        </w:rPr>
        <w:t>最后，值得注意的是，随着受教育程度的提高，男女（无论是白人还是非白人）的收入差距在缩小。在受过</w:t>
      </w:r>
      <w:r>
        <w:rPr>
          <w:rFonts w:hint="eastAsia"/>
        </w:rPr>
        <w:t>3</w:t>
      </w:r>
      <w:r>
        <w:rPr>
          <w:rFonts w:hint="eastAsia"/>
        </w:rPr>
        <w:t>年以下正规教育的组别中，白人妇女的收入为白人男子收入的</w:t>
      </w:r>
      <w:r>
        <w:t>40%</w:t>
      </w:r>
      <w:r>
        <w:rPr>
          <w:rFonts w:hint="eastAsia"/>
        </w:rPr>
        <w:t>。在非白人中，妇女的收入占男子的</w:t>
      </w:r>
      <w:r>
        <w:t>42%</w:t>
      </w:r>
      <w:r>
        <w:rPr>
          <w:rFonts w:hint="eastAsia"/>
        </w:rPr>
        <w:t>。另一方面，在受过高等教育的人中，白人和非白人妇女的收入均为男子的</w:t>
      </w:r>
      <w:r>
        <w:t>55%</w:t>
      </w:r>
      <w:r>
        <w:rPr>
          <w:rFonts w:hint="eastAsia"/>
        </w:rPr>
        <w:t>。</w:t>
      </w:r>
    </w:p>
    <w:p w:rsidR="00000000" w:rsidRDefault="004D2F83">
      <w:pPr>
        <w:spacing w:after="240" w:line="360" w:lineRule="exact"/>
        <w:ind w:firstLine="359"/>
        <w:rPr>
          <w:rFonts w:hint="eastAsia"/>
        </w:rPr>
      </w:pPr>
      <w:r>
        <w:rPr>
          <w:rFonts w:hint="eastAsia"/>
        </w:rPr>
        <w:t>关于妇女进入联邦公共行政部门工作的数据有力地表明，即使在行政部门工作的妇女也受到歧视待遇。按照计划、预算和管</w:t>
      </w:r>
      <w:r>
        <w:rPr>
          <w:rFonts w:hint="eastAsia"/>
        </w:rPr>
        <w:t>理部</w:t>
      </w:r>
      <w:r>
        <w:rPr>
          <w:rFonts w:hint="eastAsia"/>
        </w:rPr>
        <w:t>2001</w:t>
      </w:r>
      <w:r>
        <w:rPr>
          <w:rFonts w:hint="eastAsia"/>
        </w:rPr>
        <w:t>年的数据：</w:t>
      </w:r>
    </w:p>
    <w:p w:rsidR="00000000" w:rsidRDefault="004D2F83">
      <w:pPr>
        <w:numPr>
          <w:ilvl w:val="0"/>
          <w:numId w:val="703"/>
        </w:numPr>
        <w:spacing w:after="240" w:line="360" w:lineRule="exact"/>
        <w:rPr>
          <w:rFonts w:hint="eastAsia"/>
        </w:rPr>
      </w:pPr>
      <w:r>
        <w:rPr>
          <w:rFonts w:hint="eastAsia"/>
        </w:rPr>
        <w:t>妇女占联邦公共行政部门的雇员总数的</w:t>
      </w:r>
      <w:r>
        <w:t>45.2%</w:t>
      </w:r>
      <w:r>
        <w:rPr>
          <w:rFonts w:hint="eastAsia"/>
        </w:rPr>
        <w:t>；</w:t>
      </w:r>
    </w:p>
    <w:p w:rsidR="00000000" w:rsidRDefault="004D2F83">
      <w:pPr>
        <w:numPr>
          <w:ilvl w:val="0"/>
          <w:numId w:val="703"/>
        </w:numPr>
        <w:spacing w:after="240" w:line="360" w:lineRule="exact"/>
        <w:rPr>
          <w:rFonts w:hint="eastAsia"/>
        </w:rPr>
      </w:pPr>
      <w:r>
        <w:rPr>
          <w:rFonts w:hint="eastAsia"/>
        </w:rPr>
        <w:t>在各州政府（</w:t>
      </w:r>
      <w:r>
        <w:t>58.3%</w:t>
      </w:r>
      <w:r>
        <w:rPr>
          <w:rFonts w:hint="eastAsia"/>
        </w:rPr>
        <w:t>）、社会福利部（</w:t>
      </w:r>
      <w:r>
        <w:t>58.1%</w:t>
      </w:r>
      <w:r>
        <w:rPr>
          <w:rFonts w:hint="eastAsia"/>
        </w:rPr>
        <w:t>）和律师总局，女工作人员人数超过男子；在卫生部（</w:t>
      </w:r>
      <w:r>
        <w:t>50.0%</w:t>
      </w:r>
      <w:r>
        <w:rPr>
          <w:rFonts w:hint="eastAsia"/>
        </w:rPr>
        <w:t>）及体育和旅游部（</w:t>
      </w:r>
      <w:r>
        <w:t>49.9%</w:t>
      </w:r>
      <w:r>
        <w:rPr>
          <w:rFonts w:hint="eastAsia"/>
        </w:rPr>
        <w:t>），女工作人员人数与男子持平。在公共行政部门其他机构中，女工作人员人数少于男子，司法部（</w:t>
      </w:r>
      <w:r>
        <w:t>16.9%</w:t>
      </w:r>
      <w:r>
        <w:rPr>
          <w:rFonts w:hint="eastAsia"/>
        </w:rPr>
        <w:t>）的记录最低，倒数第二的是农牧业和供给部（</w:t>
      </w:r>
      <w:r>
        <w:t>23.8%</w:t>
      </w:r>
      <w:r>
        <w:rPr>
          <w:rFonts w:hint="eastAsia"/>
        </w:rPr>
        <w:t>）。在共和国总统府、科技部、土地开发部、环境部、矿能部、计划、预算和管理部及交通部，该比率甚至低于</w:t>
      </w:r>
      <w:r>
        <w:t>40%</w:t>
      </w:r>
      <w:r>
        <w:rPr>
          <w:rFonts w:hint="eastAsia"/>
        </w:rPr>
        <w:t>；</w:t>
      </w:r>
    </w:p>
    <w:p w:rsidR="00000000" w:rsidRDefault="004D2F83">
      <w:pPr>
        <w:numPr>
          <w:ilvl w:val="0"/>
          <w:numId w:val="703"/>
        </w:numPr>
        <w:spacing w:after="240" w:line="360" w:lineRule="exact"/>
        <w:rPr>
          <w:rFonts w:hint="eastAsia"/>
        </w:rPr>
      </w:pPr>
      <w:r>
        <w:rPr>
          <w:rFonts w:hint="eastAsia"/>
        </w:rPr>
        <w:t>妇女担任高级管理和助理职务（</w:t>
      </w:r>
      <w:r>
        <w:rPr>
          <w:rFonts w:hint="eastAsia"/>
        </w:rPr>
        <w:t>DAS</w:t>
      </w:r>
      <w:r>
        <w:rPr>
          <w:rFonts w:hint="eastAsia"/>
        </w:rPr>
        <w:t>）者占</w:t>
      </w:r>
      <w:r>
        <w:t>42.1</w:t>
      </w:r>
      <w:r>
        <w:t>%</w:t>
      </w:r>
      <w:r>
        <w:rPr>
          <w:rFonts w:hint="eastAsia"/>
        </w:rPr>
        <w:t>。但是，对不同级别的高级管理和助理职位分配状况的分析表明，随着高级管理和助理职位级别的升高，妇女的任职率逐步降低。一方面，妇女担任</w:t>
      </w:r>
      <w:r>
        <w:rPr>
          <w:rFonts w:hint="eastAsia"/>
        </w:rPr>
        <w:t>DAS</w:t>
      </w:r>
      <w:r>
        <w:t>-</w:t>
      </w:r>
      <w:r>
        <w:rPr>
          <w:rFonts w:hint="eastAsia"/>
        </w:rPr>
        <w:t>1</w:t>
      </w:r>
      <w:r>
        <w:rPr>
          <w:rFonts w:hint="eastAsia"/>
        </w:rPr>
        <w:t>级职务（最低级别）者占</w:t>
      </w:r>
      <w:r>
        <w:t>49.0%</w:t>
      </w:r>
      <w:r>
        <w:rPr>
          <w:rFonts w:hint="eastAsia"/>
        </w:rPr>
        <w:t>，另一方面，担任</w:t>
      </w:r>
      <w:r>
        <w:t>DAS-6</w:t>
      </w:r>
      <w:r>
        <w:rPr>
          <w:rFonts w:hint="eastAsia"/>
        </w:rPr>
        <w:t>级职务（最高级别）的妇女仅占</w:t>
      </w:r>
      <w:r>
        <w:t>13%</w:t>
      </w:r>
      <w:r>
        <w:rPr>
          <w:rFonts w:hint="eastAsia"/>
        </w:rPr>
        <w:t>。因此，高级管理职务成为妇女进入公共行政部门的瓶颈。</w:t>
      </w:r>
    </w:p>
    <w:p w:rsidR="00000000" w:rsidRDefault="004D2F83">
      <w:pPr>
        <w:spacing w:after="240" w:line="360" w:lineRule="exact"/>
        <w:jc w:val="center"/>
        <w:rPr>
          <w:rFonts w:ascii="SimHei" w:eastAsia="SimHei" w:hint="eastAsia"/>
          <w:bCs/>
        </w:rPr>
      </w:pPr>
      <w:r>
        <w:rPr>
          <w:rFonts w:ascii="SimHei" w:eastAsia="SimHei" w:hint="eastAsia"/>
          <w:bCs/>
        </w:rPr>
        <w:t>表</w:t>
      </w:r>
      <w:r>
        <w:rPr>
          <w:rFonts w:ascii="SimHei" w:eastAsia="SimHei" w:hint="eastAsia"/>
          <w:bCs/>
        </w:rPr>
        <w:t>14</w:t>
      </w:r>
      <w:r>
        <w:rPr>
          <w:rFonts w:ascii="SimHei" w:eastAsia="SimHei" w:hint="eastAsia"/>
          <w:bCs/>
        </w:rPr>
        <w:t>：妇女担任高级管理和助理职务（</w:t>
      </w:r>
      <w:r>
        <w:rPr>
          <w:rFonts w:ascii="SimHei" w:eastAsia="SimHei" w:hint="eastAsia"/>
          <w:bCs/>
        </w:rPr>
        <w:t>DAS</w:t>
      </w:r>
      <w:r>
        <w:rPr>
          <w:rFonts w:ascii="SimHei" w:eastAsia="SimHei" w:hint="eastAsia"/>
          <w:bCs/>
        </w:rPr>
        <w:t>）情况及平均报酬——</w:t>
      </w:r>
      <w:r>
        <w:rPr>
          <w:rFonts w:ascii="SimHei" w:eastAsia="SimHei" w:hint="eastAsia"/>
          <w:bCs/>
        </w:rPr>
        <w:t>2001</w:t>
      </w:r>
      <w:r>
        <w:rPr>
          <w:rFonts w:ascii="SimHei" w:eastAsia="SimHei" w:hint="eastAsia"/>
          <w:bCs/>
        </w:rPr>
        <w:t>年</w:t>
      </w:r>
      <w:r>
        <w:rPr>
          <w:rFonts w:ascii="SimHei" w:eastAsia="SimHei" w:hint="eastAsia"/>
          <w:bCs/>
        </w:rPr>
        <w:t>5</w:t>
      </w:r>
      <w:r>
        <w:rPr>
          <w:rFonts w:ascii="SimHei" w:eastAsia="SimHei" w:hint="eastAsia"/>
          <w:bCs/>
        </w:rPr>
        <w:t>月</w:t>
      </w:r>
    </w:p>
    <w:tbl>
      <w:tblPr>
        <w:tblW w:w="4947" w:type="pct"/>
        <w:tblInd w:w="108" w:type="dxa"/>
        <w:tblBorders>
          <w:top w:val="single" w:sz="4" w:space="0" w:color="auto"/>
          <w:bottom w:val="single" w:sz="4" w:space="0" w:color="auto"/>
          <w:insideH w:val="single" w:sz="4" w:space="0" w:color="auto"/>
        </w:tblBorders>
        <w:tblLook w:val="0000" w:firstRow="0" w:lastRow="0" w:firstColumn="0" w:lastColumn="0" w:noHBand="0" w:noVBand="0"/>
      </w:tblPr>
      <w:tblGrid>
        <w:gridCol w:w="3215"/>
        <w:gridCol w:w="3321"/>
        <w:gridCol w:w="3322"/>
      </w:tblGrid>
      <w:tr w:rsidR="00000000">
        <w:tblPrEx>
          <w:tblCellMar>
            <w:top w:w="0" w:type="dxa"/>
            <w:bottom w:w="0" w:type="dxa"/>
          </w:tblCellMar>
        </w:tblPrEx>
        <w:trPr>
          <w:tblHeader/>
        </w:trPr>
        <w:tc>
          <w:tcPr>
            <w:tcW w:w="1630" w:type="pct"/>
          </w:tcPr>
          <w:p w:rsidR="00000000" w:rsidRDefault="004D2F83">
            <w:pPr>
              <w:spacing w:after="120" w:line="360" w:lineRule="exact"/>
              <w:rPr>
                <w:rFonts w:hint="eastAsia"/>
                <w:sz w:val="18"/>
              </w:rPr>
            </w:pPr>
            <w:r>
              <w:rPr>
                <w:rFonts w:hint="eastAsia"/>
                <w:sz w:val="18"/>
              </w:rPr>
              <w:t>DAS</w:t>
            </w:r>
          </w:p>
        </w:tc>
        <w:tc>
          <w:tcPr>
            <w:tcW w:w="1684" w:type="pct"/>
          </w:tcPr>
          <w:p w:rsidR="00000000" w:rsidRDefault="004D2F83">
            <w:pPr>
              <w:spacing w:after="120" w:line="360" w:lineRule="exact"/>
              <w:jc w:val="center"/>
              <w:rPr>
                <w:rFonts w:hint="eastAsia"/>
                <w:sz w:val="18"/>
              </w:rPr>
            </w:pPr>
            <w:r>
              <w:rPr>
                <w:rFonts w:hint="eastAsia"/>
                <w:sz w:val="18"/>
              </w:rPr>
              <w:t>平均报酬（雷亚尔）</w:t>
            </w:r>
          </w:p>
        </w:tc>
        <w:tc>
          <w:tcPr>
            <w:tcW w:w="1685" w:type="pct"/>
          </w:tcPr>
          <w:p w:rsidR="00000000" w:rsidRDefault="004D2F83">
            <w:pPr>
              <w:spacing w:after="120" w:line="360" w:lineRule="exact"/>
              <w:jc w:val="center"/>
              <w:rPr>
                <w:sz w:val="18"/>
              </w:rPr>
            </w:pPr>
            <w:r>
              <w:rPr>
                <w:rFonts w:hint="eastAsia"/>
                <w:sz w:val="18"/>
              </w:rPr>
              <w:t>妇女任职情况（</w:t>
            </w:r>
            <w:r>
              <w:rPr>
                <w:sz w:val="18"/>
              </w:rPr>
              <w:t>%</w:t>
            </w:r>
            <w:r>
              <w:rPr>
                <w:rFonts w:hint="eastAsia"/>
                <w:sz w:val="18"/>
              </w:rPr>
              <w:t>）</w:t>
            </w:r>
          </w:p>
        </w:tc>
      </w:tr>
      <w:tr w:rsidR="00000000">
        <w:tblPrEx>
          <w:tblCellMar>
            <w:top w:w="0" w:type="dxa"/>
            <w:bottom w:w="0" w:type="dxa"/>
          </w:tblCellMar>
        </w:tblPrEx>
        <w:tc>
          <w:tcPr>
            <w:tcW w:w="1630" w:type="pct"/>
          </w:tcPr>
          <w:p w:rsidR="00000000" w:rsidRDefault="004D2F83">
            <w:pPr>
              <w:spacing w:after="120" w:line="360" w:lineRule="exact"/>
              <w:rPr>
                <w:rFonts w:hint="eastAsia"/>
                <w:sz w:val="18"/>
              </w:rPr>
            </w:pPr>
            <w:r>
              <w:rPr>
                <w:rFonts w:hint="eastAsia"/>
                <w:sz w:val="18"/>
              </w:rPr>
              <w:t>DAS-1</w:t>
            </w:r>
          </w:p>
        </w:tc>
        <w:tc>
          <w:tcPr>
            <w:tcW w:w="1684" w:type="pct"/>
          </w:tcPr>
          <w:p w:rsidR="00000000" w:rsidRDefault="004D2F83" w:rsidP="004D2F83">
            <w:pPr>
              <w:spacing w:after="120" w:line="360" w:lineRule="exact"/>
              <w:ind w:rightChars="560" w:right="31680"/>
              <w:jc w:val="right"/>
              <w:rPr>
                <w:sz w:val="18"/>
              </w:rPr>
            </w:pPr>
            <w:r>
              <w:rPr>
                <w:sz w:val="18"/>
              </w:rPr>
              <w:t>3 681</w:t>
            </w:r>
          </w:p>
        </w:tc>
        <w:tc>
          <w:tcPr>
            <w:tcW w:w="1685" w:type="pct"/>
          </w:tcPr>
          <w:p w:rsidR="00000000" w:rsidRDefault="004D2F83" w:rsidP="004D2F83">
            <w:pPr>
              <w:spacing w:after="120" w:line="360" w:lineRule="exact"/>
              <w:ind w:rightChars="560" w:right="31680"/>
              <w:jc w:val="right"/>
              <w:rPr>
                <w:sz w:val="18"/>
              </w:rPr>
            </w:pPr>
            <w:r>
              <w:rPr>
                <w:sz w:val="18"/>
              </w:rPr>
              <w:t>49.0</w:t>
            </w:r>
          </w:p>
        </w:tc>
      </w:tr>
      <w:tr w:rsidR="00000000">
        <w:tblPrEx>
          <w:tblCellMar>
            <w:top w:w="0" w:type="dxa"/>
            <w:bottom w:w="0" w:type="dxa"/>
          </w:tblCellMar>
        </w:tblPrEx>
        <w:tc>
          <w:tcPr>
            <w:tcW w:w="1630" w:type="pct"/>
          </w:tcPr>
          <w:p w:rsidR="00000000" w:rsidRDefault="004D2F83">
            <w:pPr>
              <w:spacing w:after="120" w:line="360" w:lineRule="exact"/>
              <w:rPr>
                <w:rFonts w:hint="eastAsia"/>
                <w:sz w:val="18"/>
              </w:rPr>
            </w:pPr>
            <w:r>
              <w:rPr>
                <w:rFonts w:hint="eastAsia"/>
                <w:sz w:val="18"/>
              </w:rPr>
              <w:t>DAS-2</w:t>
            </w:r>
          </w:p>
        </w:tc>
        <w:tc>
          <w:tcPr>
            <w:tcW w:w="1684" w:type="pct"/>
          </w:tcPr>
          <w:p w:rsidR="00000000" w:rsidRDefault="004D2F83" w:rsidP="004D2F83">
            <w:pPr>
              <w:spacing w:after="120" w:line="360" w:lineRule="exact"/>
              <w:ind w:rightChars="560" w:right="31680"/>
              <w:jc w:val="right"/>
              <w:rPr>
                <w:sz w:val="18"/>
              </w:rPr>
            </w:pPr>
            <w:r>
              <w:rPr>
                <w:sz w:val="18"/>
              </w:rPr>
              <w:t>4 149</w:t>
            </w:r>
          </w:p>
        </w:tc>
        <w:tc>
          <w:tcPr>
            <w:tcW w:w="1685" w:type="pct"/>
          </w:tcPr>
          <w:p w:rsidR="00000000" w:rsidRDefault="004D2F83" w:rsidP="004D2F83">
            <w:pPr>
              <w:spacing w:after="120" w:line="360" w:lineRule="exact"/>
              <w:ind w:rightChars="560" w:right="31680"/>
              <w:jc w:val="right"/>
              <w:rPr>
                <w:sz w:val="18"/>
              </w:rPr>
            </w:pPr>
            <w:r>
              <w:rPr>
                <w:sz w:val="18"/>
              </w:rPr>
              <w:t>41.6</w:t>
            </w:r>
          </w:p>
        </w:tc>
      </w:tr>
      <w:tr w:rsidR="00000000">
        <w:tblPrEx>
          <w:tblCellMar>
            <w:top w:w="0" w:type="dxa"/>
            <w:bottom w:w="0" w:type="dxa"/>
          </w:tblCellMar>
        </w:tblPrEx>
        <w:tc>
          <w:tcPr>
            <w:tcW w:w="1630" w:type="pct"/>
          </w:tcPr>
          <w:p w:rsidR="00000000" w:rsidRDefault="004D2F83">
            <w:pPr>
              <w:spacing w:after="120" w:line="360" w:lineRule="exact"/>
              <w:rPr>
                <w:rFonts w:hint="eastAsia"/>
                <w:sz w:val="18"/>
              </w:rPr>
            </w:pPr>
            <w:r>
              <w:rPr>
                <w:rFonts w:hint="eastAsia"/>
                <w:sz w:val="18"/>
              </w:rPr>
              <w:t>DAS-3</w:t>
            </w:r>
          </w:p>
        </w:tc>
        <w:tc>
          <w:tcPr>
            <w:tcW w:w="1684" w:type="pct"/>
          </w:tcPr>
          <w:p w:rsidR="00000000" w:rsidRDefault="004D2F83" w:rsidP="004D2F83">
            <w:pPr>
              <w:spacing w:after="120" w:line="360" w:lineRule="exact"/>
              <w:ind w:rightChars="560" w:right="31680"/>
              <w:jc w:val="right"/>
              <w:rPr>
                <w:sz w:val="18"/>
              </w:rPr>
            </w:pPr>
            <w:r>
              <w:rPr>
                <w:sz w:val="18"/>
              </w:rPr>
              <w:t>4 408</w:t>
            </w:r>
          </w:p>
        </w:tc>
        <w:tc>
          <w:tcPr>
            <w:tcW w:w="1685" w:type="pct"/>
          </w:tcPr>
          <w:p w:rsidR="00000000" w:rsidRDefault="004D2F83" w:rsidP="004D2F83">
            <w:pPr>
              <w:spacing w:after="120" w:line="360" w:lineRule="exact"/>
              <w:ind w:rightChars="560" w:right="31680"/>
              <w:jc w:val="right"/>
              <w:rPr>
                <w:sz w:val="18"/>
              </w:rPr>
            </w:pPr>
            <w:r>
              <w:rPr>
                <w:sz w:val="18"/>
              </w:rPr>
              <w:t>40.1</w:t>
            </w:r>
          </w:p>
        </w:tc>
      </w:tr>
      <w:tr w:rsidR="00000000">
        <w:tblPrEx>
          <w:tblCellMar>
            <w:top w:w="0" w:type="dxa"/>
            <w:bottom w:w="0" w:type="dxa"/>
          </w:tblCellMar>
        </w:tblPrEx>
        <w:tc>
          <w:tcPr>
            <w:tcW w:w="1630" w:type="pct"/>
          </w:tcPr>
          <w:p w:rsidR="00000000" w:rsidRDefault="004D2F83">
            <w:pPr>
              <w:spacing w:after="120" w:line="360" w:lineRule="exact"/>
              <w:rPr>
                <w:rFonts w:hint="eastAsia"/>
                <w:sz w:val="18"/>
              </w:rPr>
            </w:pPr>
            <w:r>
              <w:rPr>
                <w:rFonts w:hint="eastAsia"/>
                <w:sz w:val="18"/>
              </w:rPr>
              <w:t>DAS-4</w:t>
            </w:r>
          </w:p>
        </w:tc>
        <w:tc>
          <w:tcPr>
            <w:tcW w:w="1684" w:type="pct"/>
          </w:tcPr>
          <w:p w:rsidR="00000000" w:rsidRDefault="004D2F83" w:rsidP="004D2F83">
            <w:pPr>
              <w:spacing w:after="120" w:line="360" w:lineRule="exact"/>
              <w:ind w:rightChars="560" w:right="31680"/>
              <w:jc w:val="right"/>
              <w:rPr>
                <w:sz w:val="18"/>
              </w:rPr>
            </w:pPr>
            <w:r>
              <w:rPr>
                <w:sz w:val="18"/>
              </w:rPr>
              <w:t>5 724</w:t>
            </w:r>
          </w:p>
        </w:tc>
        <w:tc>
          <w:tcPr>
            <w:tcW w:w="1685" w:type="pct"/>
          </w:tcPr>
          <w:p w:rsidR="00000000" w:rsidRDefault="004D2F83" w:rsidP="004D2F83">
            <w:pPr>
              <w:spacing w:after="120" w:line="360" w:lineRule="exact"/>
              <w:ind w:rightChars="560" w:right="31680"/>
              <w:jc w:val="right"/>
              <w:rPr>
                <w:sz w:val="18"/>
              </w:rPr>
            </w:pPr>
            <w:r>
              <w:rPr>
                <w:sz w:val="18"/>
              </w:rPr>
              <w:t>32.0</w:t>
            </w:r>
          </w:p>
        </w:tc>
      </w:tr>
      <w:tr w:rsidR="00000000">
        <w:tblPrEx>
          <w:tblCellMar>
            <w:top w:w="0" w:type="dxa"/>
            <w:bottom w:w="0" w:type="dxa"/>
          </w:tblCellMar>
        </w:tblPrEx>
        <w:tc>
          <w:tcPr>
            <w:tcW w:w="1630" w:type="pct"/>
          </w:tcPr>
          <w:p w:rsidR="00000000" w:rsidRDefault="004D2F83">
            <w:pPr>
              <w:spacing w:after="120" w:line="360" w:lineRule="exact"/>
              <w:rPr>
                <w:rFonts w:hint="eastAsia"/>
                <w:sz w:val="18"/>
              </w:rPr>
            </w:pPr>
            <w:r>
              <w:rPr>
                <w:rFonts w:hint="eastAsia"/>
                <w:sz w:val="18"/>
              </w:rPr>
              <w:t>DAS-5</w:t>
            </w:r>
          </w:p>
        </w:tc>
        <w:tc>
          <w:tcPr>
            <w:tcW w:w="1684" w:type="pct"/>
          </w:tcPr>
          <w:p w:rsidR="00000000" w:rsidRDefault="004D2F83" w:rsidP="004D2F83">
            <w:pPr>
              <w:spacing w:after="120" w:line="360" w:lineRule="exact"/>
              <w:ind w:rightChars="560" w:right="31680"/>
              <w:jc w:val="right"/>
              <w:rPr>
                <w:sz w:val="18"/>
              </w:rPr>
            </w:pPr>
            <w:r>
              <w:rPr>
                <w:sz w:val="18"/>
              </w:rPr>
              <w:t>7 01</w:t>
            </w:r>
          </w:p>
        </w:tc>
        <w:tc>
          <w:tcPr>
            <w:tcW w:w="1685" w:type="pct"/>
          </w:tcPr>
          <w:p w:rsidR="00000000" w:rsidRDefault="004D2F83" w:rsidP="004D2F83">
            <w:pPr>
              <w:spacing w:after="120" w:line="360" w:lineRule="exact"/>
              <w:ind w:rightChars="560" w:right="31680"/>
              <w:jc w:val="right"/>
              <w:rPr>
                <w:sz w:val="18"/>
              </w:rPr>
            </w:pPr>
            <w:r>
              <w:rPr>
                <w:sz w:val="18"/>
              </w:rPr>
              <w:t>20.4</w:t>
            </w:r>
          </w:p>
        </w:tc>
      </w:tr>
      <w:tr w:rsidR="00000000">
        <w:tblPrEx>
          <w:tblCellMar>
            <w:top w:w="0" w:type="dxa"/>
            <w:bottom w:w="0" w:type="dxa"/>
          </w:tblCellMar>
        </w:tblPrEx>
        <w:tc>
          <w:tcPr>
            <w:tcW w:w="1630" w:type="pct"/>
          </w:tcPr>
          <w:p w:rsidR="00000000" w:rsidRDefault="004D2F83">
            <w:pPr>
              <w:spacing w:after="120" w:line="360" w:lineRule="exact"/>
              <w:rPr>
                <w:rFonts w:hint="eastAsia"/>
                <w:sz w:val="18"/>
              </w:rPr>
            </w:pPr>
            <w:r>
              <w:rPr>
                <w:rFonts w:hint="eastAsia"/>
                <w:sz w:val="18"/>
              </w:rPr>
              <w:t>DAS-6</w:t>
            </w:r>
          </w:p>
        </w:tc>
        <w:tc>
          <w:tcPr>
            <w:tcW w:w="1684" w:type="pct"/>
          </w:tcPr>
          <w:p w:rsidR="00000000" w:rsidRDefault="004D2F83" w:rsidP="004D2F83">
            <w:pPr>
              <w:spacing w:after="120" w:line="360" w:lineRule="exact"/>
              <w:ind w:rightChars="560" w:right="31680"/>
              <w:jc w:val="right"/>
              <w:rPr>
                <w:sz w:val="18"/>
              </w:rPr>
            </w:pPr>
            <w:r>
              <w:rPr>
                <w:sz w:val="18"/>
              </w:rPr>
              <w:t>8 515</w:t>
            </w:r>
          </w:p>
        </w:tc>
        <w:tc>
          <w:tcPr>
            <w:tcW w:w="1685" w:type="pct"/>
          </w:tcPr>
          <w:p w:rsidR="00000000" w:rsidRDefault="004D2F83" w:rsidP="004D2F83">
            <w:pPr>
              <w:spacing w:after="120" w:line="360" w:lineRule="exact"/>
              <w:ind w:rightChars="560" w:right="31680"/>
              <w:jc w:val="right"/>
              <w:rPr>
                <w:sz w:val="18"/>
              </w:rPr>
            </w:pPr>
            <w:r>
              <w:rPr>
                <w:sz w:val="18"/>
              </w:rPr>
              <w:t>13.7</w:t>
            </w:r>
          </w:p>
        </w:tc>
      </w:tr>
      <w:tr w:rsidR="00000000">
        <w:tblPrEx>
          <w:tblCellMar>
            <w:top w:w="0" w:type="dxa"/>
            <w:bottom w:w="0" w:type="dxa"/>
          </w:tblCellMar>
        </w:tblPrEx>
        <w:tc>
          <w:tcPr>
            <w:tcW w:w="1630" w:type="pct"/>
          </w:tcPr>
          <w:p w:rsidR="00000000" w:rsidRDefault="004D2F83">
            <w:pPr>
              <w:spacing w:after="120" w:line="360" w:lineRule="exact"/>
              <w:rPr>
                <w:rFonts w:hint="eastAsia"/>
                <w:sz w:val="18"/>
              </w:rPr>
            </w:pPr>
            <w:r>
              <w:rPr>
                <w:rFonts w:hint="eastAsia"/>
                <w:sz w:val="18"/>
              </w:rPr>
              <w:t>总计</w:t>
            </w:r>
          </w:p>
        </w:tc>
        <w:tc>
          <w:tcPr>
            <w:tcW w:w="1684" w:type="pct"/>
          </w:tcPr>
          <w:p w:rsidR="00000000" w:rsidRDefault="004D2F83" w:rsidP="004D2F83">
            <w:pPr>
              <w:spacing w:after="120" w:line="360" w:lineRule="exact"/>
              <w:ind w:rightChars="560" w:right="31680"/>
              <w:jc w:val="right"/>
              <w:rPr>
                <w:rFonts w:hint="eastAsia"/>
                <w:sz w:val="18"/>
              </w:rPr>
            </w:pPr>
            <w:r>
              <w:rPr>
                <w:sz w:val="18"/>
              </w:rPr>
              <w:t>4 357</w:t>
            </w:r>
          </w:p>
        </w:tc>
        <w:tc>
          <w:tcPr>
            <w:tcW w:w="1685" w:type="pct"/>
          </w:tcPr>
          <w:p w:rsidR="00000000" w:rsidRDefault="004D2F83" w:rsidP="004D2F83">
            <w:pPr>
              <w:spacing w:after="120" w:line="360" w:lineRule="exact"/>
              <w:ind w:rightChars="560" w:right="31680"/>
              <w:jc w:val="right"/>
              <w:rPr>
                <w:sz w:val="18"/>
              </w:rPr>
            </w:pPr>
            <w:r>
              <w:rPr>
                <w:sz w:val="18"/>
              </w:rPr>
              <w:t>42.1</w:t>
            </w:r>
          </w:p>
        </w:tc>
      </w:tr>
    </w:tbl>
    <w:p w:rsidR="00000000" w:rsidRDefault="004D2F83">
      <w:pPr>
        <w:spacing w:line="360" w:lineRule="exact"/>
        <w:rPr>
          <w:rFonts w:hint="eastAsia"/>
          <w:sz w:val="18"/>
        </w:rPr>
      </w:pPr>
      <w:r>
        <w:rPr>
          <w:rFonts w:eastAsia="SimHei" w:hint="eastAsia"/>
          <w:sz w:val="18"/>
        </w:rPr>
        <w:t>资料来源</w:t>
      </w:r>
      <w:r>
        <w:rPr>
          <w:rFonts w:hint="eastAsia"/>
          <w:sz w:val="18"/>
        </w:rPr>
        <w:t>：计划、预算和管理部——人力资源秘书处。</w:t>
      </w:r>
    </w:p>
    <w:p w:rsidR="00000000" w:rsidRDefault="004D2F83">
      <w:pPr>
        <w:spacing w:after="240" w:line="360" w:lineRule="exact"/>
        <w:rPr>
          <w:rFonts w:hint="eastAsia"/>
          <w:sz w:val="18"/>
        </w:rPr>
      </w:pPr>
      <w:r>
        <w:rPr>
          <w:rFonts w:hint="eastAsia"/>
          <w:sz w:val="18"/>
        </w:rPr>
        <w:t>第</w:t>
      </w:r>
      <w:r>
        <w:rPr>
          <w:rFonts w:hint="eastAsia"/>
          <w:sz w:val="18"/>
        </w:rPr>
        <w:t>62</w:t>
      </w:r>
      <w:r>
        <w:rPr>
          <w:rFonts w:hint="eastAsia"/>
          <w:sz w:val="18"/>
        </w:rPr>
        <w:t>号《统计通讯》，</w:t>
      </w:r>
      <w:r>
        <w:rPr>
          <w:rFonts w:hint="eastAsia"/>
          <w:sz w:val="18"/>
        </w:rPr>
        <w:t>2001</w:t>
      </w:r>
      <w:r>
        <w:rPr>
          <w:rFonts w:hint="eastAsia"/>
          <w:sz w:val="18"/>
        </w:rPr>
        <w:t>年</w:t>
      </w:r>
      <w:r>
        <w:rPr>
          <w:rFonts w:hint="eastAsia"/>
          <w:sz w:val="18"/>
        </w:rPr>
        <w:t>6</w:t>
      </w:r>
      <w:r>
        <w:rPr>
          <w:rFonts w:hint="eastAsia"/>
          <w:sz w:val="18"/>
        </w:rPr>
        <w:t>月，巴西利亚。</w:t>
      </w:r>
    </w:p>
    <w:p w:rsidR="00000000" w:rsidRDefault="004D2F83">
      <w:pPr>
        <w:numPr>
          <w:ilvl w:val="0"/>
          <w:numId w:val="703"/>
        </w:numPr>
        <w:spacing w:after="240" w:line="360" w:lineRule="exact"/>
        <w:rPr>
          <w:rFonts w:hint="eastAsia"/>
        </w:rPr>
      </w:pPr>
      <w:r>
        <w:rPr>
          <w:rFonts w:hint="eastAsia"/>
        </w:rPr>
        <w:t>此外，在</w:t>
      </w:r>
      <w:r>
        <w:rPr>
          <w:rFonts w:hint="eastAsia"/>
        </w:rPr>
        <w:t>29</w:t>
      </w:r>
      <w:r>
        <w:rPr>
          <w:rFonts w:hint="eastAsia"/>
        </w:rPr>
        <w:t>个州级职位上，</w:t>
      </w:r>
      <w:r>
        <w:rPr>
          <w:rFonts w:hint="eastAsia"/>
        </w:rPr>
        <w:t>1998</w:t>
      </w:r>
      <w:r>
        <w:rPr>
          <w:rFonts w:hint="eastAsia"/>
        </w:rPr>
        <w:t>年妇女任职者仅在六个职位上超过了</w:t>
      </w:r>
      <w:r>
        <w:t>50%</w:t>
      </w:r>
      <w:r>
        <w:rPr>
          <w:rFonts w:hint="eastAsia"/>
        </w:rPr>
        <w:t>：公派辩护律师、衡平法院法官、科技研究分析员、检查员、预算专家和衡平法院助理（国家公共行政学校——研究报告——联邦公共行政部门中妇女状况分析，</w:t>
      </w:r>
      <w:r>
        <w:rPr>
          <w:rFonts w:hint="eastAsia"/>
        </w:rPr>
        <w:t>1998</w:t>
      </w:r>
      <w:r>
        <w:rPr>
          <w:rFonts w:hint="eastAsia"/>
        </w:rPr>
        <w:t>年</w:t>
      </w:r>
      <w:r>
        <w:rPr>
          <w:rFonts w:hint="eastAsia"/>
        </w:rPr>
        <w:t>9</w:t>
      </w:r>
      <w:r>
        <w:rPr>
          <w:rFonts w:hint="eastAsia"/>
        </w:rPr>
        <w:t>月，巴西利亚）。</w:t>
      </w:r>
    </w:p>
    <w:p w:rsidR="00000000" w:rsidRDefault="004D2F83" w:rsidP="004D2F83">
      <w:pPr>
        <w:spacing w:after="240" w:line="360" w:lineRule="exact"/>
        <w:ind w:firstLineChars="200" w:firstLine="31680"/>
        <w:rPr>
          <w:rFonts w:hint="eastAsia"/>
        </w:rPr>
      </w:pPr>
      <w:r>
        <w:rPr>
          <w:rFonts w:hint="eastAsia"/>
        </w:rPr>
        <w:t>值得强调的是，涉及陈</w:t>
      </w:r>
      <w:r>
        <w:rPr>
          <w:rFonts w:hint="eastAsia"/>
        </w:rPr>
        <w:t>规定型观念的问题与常识有关，在巴西社会中广为传播。它们引起了两个严重问题：</w:t>
      </w:r>
      <w:r>
        <w:rPr>
          <w:rFonts w:hint="eastAsia"/>
        </w:rPr>
        <w:t>1</w:t>
      </w:r>
      <w:r>
        <w:rPr>
          <w:rFonts w:hint="eastAsia"/>
        </w:rPr>
        <w:t>）推销妇女形象——妇女作为一种商品与以男子为其目标群体的产品（啤酒、小汽车等）联系在一起；</w:t>
      </w:r>
      <w:r>
        <w:rPr>
          <w:rFonts w:hint="eastAsia"/>
        </w:rPr>
        <w:t>2</w:t>
      </w:r>
      <w:r>
        <w:rPr>
          <w:rFonts w:hint="eastAsia"/>
        </w:rPr>
        <w:t>）媒体娱乐表演（肥皂剧、现场表演等）中再现同一种消费模式或保留与性暴力和家庭暴力、卖淫等有关的荒诞的说法。这些案件中越来越严重的情形是：在巴西，通信手段由各州提供，因此受到宪法规则的制约。但是，在节目制作方面，它们未受到任何规章条例的约束。</w:t>
      </w:r>
    </w:p>
    <w:p w:rsidR="00000000" w:rsidRDefault="004D2F83">
      <w:pPr>
        <w:spacing w:line="360" w:lineRule="exact"/>
        <w:jc w:val="center"/>
        <w:rPr>
          <w:b/>
          <w:sz w:val="28"/>
        </w:rPr>
      </w:pPr>
      <w:r>
        <w:rPr>
          <w:b/>
          <w:sz w:val="28"/>
        </w:rPr>
        <w:br w:type="page"/>
      </w:r>
    </w:p>
    <w:p w:rsidR="00000000" w:rsidRDefault="004D2F83">
      <w:pPr>
        <w:pStyle w:val="Heading3"/>
        <w:numPr>
          <w:ilvl w:val="0"/>
          <w:numId w:val="0"/>
        </w:numPr>
        <w:spacing w:before="0"/>
        <w:jc w:val="center"/>
        <w:rPr>
          <w:rFonts w:ascii="KaiTi_GB2312" w:eastAsia="KaiTi_GB2312" w:hint="eastAsia"/>
          <w:b/>
          <w:bCs/>
          <w:u w:val="none"/>
        </w:rPr>
      </w:pPr>
      <w:bookmarkStart w:id="12" w:name="_Toc36367082"/>
      <w:r>
        <w:rPr>
          <w:rFonts w:ascii="KaiTi_GB2312" w:eastAsia="KaiTi_GB2312" w:hint="eastAsia"/>
          <w:b/>
          <w:bCs/>
          <w:u w:val="none"/>
        </w:rPr>
        <w:t>第</w:t>
      </w:r>
      <w:r>
        <w:rPr>
          <w:rFonts w:ascii="KaiTi_GB2312" w:eastAsia="KaiTi_GB2312" w:hint="eastAsia"/>
          <w:b/>
          <w:bCs/>
          <w:u w:val="none"/>
        </w:rPr>
        <w:t>6</w:t>
      </w:r>
      <w:r>
        <w:rPr>
          <w:rFonts w:ascii="KaiTi_GB2312" w:eastAsia="KaiTi_GB2312" w:hint="eastAsia"/>
          <w:b/>
          <w:bCs/>
          <w:u w:val="none"/>
        </w:rPr>
        <w:t>条</w:t>
      </w:r>
      <w:bookmarkEnd w:id="12"/>
    </w:p>
    <w:p w:rsidR="00000000" w:rsidRDefault="004D2F83" w:rsidP="004D2F83">
      <w:pPr>
        <w:spacing w:after="240" w:line="360" w:lineRule="exact"/>
        <w:ind w:firstLineChars="200" w:firstLine="31680"/>
        <w:rPr>
          <w:rFonts w:eastAsia="KaiTi_GB2312" w:hint="eastAsia"/>
          <w:b/>
        </w:rPr>
      </w:pPr>
      <w:r>
        <w:rPr>
          <w:rFonts w:eastAsia="KaiTi_GB2312" w:hint="eastAsia"/>
          <w:b/>
        </w:rPr>
        <w:t>缔约各国应采取一切适当措施，包括制定法律，以禁止一切形式贩运妇女和强迫妇女卖淫对她们进行剥</w:t>
      </w:r>
      <w:r>
        <w:rPr>
          <w:rFonts w:eastAsia="KaiTi_GB2312" w:hint="eastAsia"/>
          <w:b/>
        </w:rPr>
        <w:t>削的行为。</w:t>
      </w:r>
    </w:p>
    <w:p w:rsidR="00000000" w:rsidRDefault="004D2F83">
      <w:pPr>
        <w:pStyle w:val="Date"/>
        <w:spacing w:after="240" w:line="360" w:lineRule="exact"/>
        <w:rPr>
          <w:rFonts w:eastAsia="SimHei" w:hint="eastAsia"/>
          <w:bCs/>
          <w:sz w:val="24"/>
        </w:rPr>
      </w:pPr>
      <w:r>
        <w:rPr>
          <w:rFonts w:eastAsia="SimHei" w:hint="eastAsia"/>
          <w:bCs/>
          <w:sz w:val="24"/>
        </w:rPr>
        <w:t>立法措施</w:t>
      </w:r>
    </w:p>
    <w:p w:rsidR="00000000" w:rsidRDefault="004D2F83" w:rsidP="004D2F83">
      <w:pPr>
        <w:pStyle w:val="BodyTextIndent2"/>
        <w:spacing w:after="240" w:line="360" w:lineRule="exact"/>
        <w:ind w:firstLineChars="200" w:firstLine="31680"/>
        <w:rPr>
          <w:rFonts w:eastAsia="KaiTi_GB2312" w:hint="eastAsia"/>
          <w:i w:val="0"/>
          <w:iCs/>
        </w:rPr>
      </w:pPr>
      <w:r>
        <w:rPr>
          <w:rFonts w:eastAsia="KaiTi_GB2312" w:hint="eastAsia"/>
          <w:i w:val="0"/>
          <w:iCs/>
        </w:rPr>
        <w:t>在巴西各种形式的性剥削及贩运妇女和女童现象日渐增多。对巴西政府和社会的动员工作也不断得到加强。现在必需要正视有组织的性剥削这一问题了：在各城市和各区域之间贩运妇女；通过全国和跨国网络组织犯罪活动；警官参与并纵容性剥削和贩运活动；虐待者、攻击者、剥削者和贩运者逍遥法外。</w:t>
      </w:r>
    </w:p>
    <w:p w:rsidR="00000000" w:rsidRDefault="004D2F83" w:rsidP="004D2F83">
      <w:pPr>
        <w:spacing w:after="240" w:line="360" w:lineRule="exact"/>
        <w:ind w:firstLineChars="200" w:firstLine="31680"/>
        <w:rPr>
          <w:rFonts w:hint="eastAsia"/>
        </w:rPr>
      </w:pPr>
      <w:r>
        <w:rPr>
          <w:rFonts w:hint="eastAsia"/>
        </w:rPr>
        <w:t>1988</w:t>
      </w:r>
      <w:r>
        <w:rPr>
          <w:rFonts w:hint="eastAsia"/>
        </w:rPr>
        <w:t>年《联邦宪法》确保保障个人、集体和社会三方权利方面取得了巨大的进展。《宪法》规定，保护儿童和青少年免受一切形式的</w:t>
      </w:r>
      <w:r>
        <w:rPr>
          <w:rFonts w:eastAsia="KaiTi_GB2312" w:hint="eastAsia"/>
        </w:rPr>
        <w:t>疏忽、歧视、剥削、暴力、残忍和压迫</w:t>
      </w:r>
      <w:r>
        <w:rPr>
          <w:rFonts w:hint="eastAsia"/>
        </w:rPr>
        <w:t>，是家庭、社会和国家的义务。《宪法》第</w:t>
      </w:r>
      <w:r>
        <w:rPr>
          <w:rFonts w:hint="eastAsia"/>
        </w:rPr>
        <w:t>226</w:t>
      </w:r>
      <w:r>
        <w:rPr>
          <w:rFonts w:hint="eastAsia"/>
        </w:rPr>
        <w:t>条第</w:t>
      </w:r>
      <w:r>
        <w:rPr>
          <w:rFonts w:hint="eastAsia"/>
        </w:rPr>
        <w:t>8</w:t>
      </w:r>
      <w:r>
        <w:rPr>
          <w:rFonts w:hint="eastAsia"/>
        </w:rPr>
        <w:t>款还规定，国家有</w:t>
      </w:r>
      <w:r>
        <w:rPr>
          <w:rFonts w:hint="eastAsia"/>
        </w:rPr>
        <w:t>义务建立禁止家庭暴力的机制：</w:t>
      </w:r>
      <w:r>
        <w:rPr>
          <w:rFonts w:eastAsia="KaiTi_GB2312" w:hint="eastAsia"/>
        </w:rPr>
        <w:t>“国家应确保向家庭每个成员提供援助，建立禁止家庭暴力的机制”</w:t>
      </w:r>
      <w:r>
        <w:rPr>
          <w:rFonts w:hint="eastAsia"/>
        </w:rPr>
        <w:t>。此外，《宪法》第</w:t>
      </w:r>
      <w:r>
        <w:rPr>
          <w:rFonts w:hint="eastAsia"/>
        </w:rPr>
        <w:t>227</w:t>
      </w:r>
      <w:r>
        <w:rPr>
          <w:rFonts w:hint="eastAsia"/>
        </w:rPr>
        <w:t>条第</w:t>
      </w:r>
      <w:r>
        <w:rPr>
          <w:rFonts w:hint="eastAsia"/>
        </w:rPr>
        <w:t>4</w:t>
      </w:r>
      <w:r>
        <w:rPr>
          <w:rFonts w:hint="eastAsia"/>
        </w:rPr>
        <w:t>款也指出，</w:t>
      </w:r>
      <w:r>
        <w:rPr>
          <w:rFonts w:eastAsia="KaiTi_GB2312" w:hint="eastAsia"/>
        </w:rPr>
        <w:t>“法律应严惩对儿童和青少年的虐待、暴力和性剥削行为”</w:t>
      </w:r>
      <w:r>
        <w:rPr>
          <w:rFonts w:hint="eastAsia"/>
        </w:rPr>
        <w:t>。第</w:t>
      </w:r>
      <w:r>
        <w:rPr>
          <w:rFonts w:hint="eastAsia"/>
        </w:rPr>
        <w:t>5</w:t>
      </w:r>
      <w:r>
        <w:rPr>
          <w:rFonts w:hint="eastAsia"/>
        </w:rPr>
        <w:t>条第</w:t>
      </w:r>
      <w:r>
        <w:rPr>
          <w:rFonts w:hint="eastAsia"/>
        </w:rPr>
        <w:t>2</w:t>
      </w:r>
      <w:r>
        <w:rPr>
          <w:rFonts w:hint="eastAsia"/>
        </w:rPr>
        <w:t>款还为巴西政府为其缔约国的国际条约和公约，包括具体涉及妇女人权的国际条约和公约赋予宪法地位：</w:t>
      </w:r>
      <w:r>
        <w:rPr>
          <w:rFonts w:eastAsia="KaiTi_GB2312" w:hint="eastAsia"/>
        </w:rPr>
        <w:t>“本《宪法》中表述的权利和保障措施不排除现政权产生的和它所采取的原则所产生的或巴西联邦共和国为其缔约国的国际条约所产生的其他权利和保障措施。”</w:t>
      </w:r>
      <w:r>
        <w:rPr>
          <w:rStyle w:val="FootnoteReference"/>
        </w:rPr>
        <w:footnoteReference w:customMarkFollows="1" w:id="66"/>
        <w:t>66</w:t>
      </w:r>
    </w:p>
    <w:p w:rsidR="00000000" w:rsidRDefault="004D2F83" w:rsidP="004D2F83">
      <w:pPr>
        <w:spacing w:after="240" w:line="360" w:lineRule="exact"/>
        <w:ind w:firstLineChars="200" w:firstLine="31680"/>
        <w:rPr>
          <w:rFonts w:hint="eastAsia"/>
        </w:rPr>
      </w:pPr>
      <w:r>
        <w:rPr>
          <w:rFonts w:hint="eastAsia"/>
        </w:rPr>
        <w:t>1988</w:t>
      </w:r>
      <w:r>
        <w:rPr>
          <w:rFonts w:hint="eastAsia"/>
        </w:rPr>
        <w:t>年《宪法》带来了保护和援助儿童及青少年的新政策。儿童和青少年被赋予了体面</w:t>
      </w:r>
      <w:r>
        <w:rPr>
          <w:rFonts w:hint="eastAsia"/>
        </w:rPr>
        <w:t>生活权、健康权、受教育权、休息权、工作权及最重要的获取法律援助权。两年之后，</w:t>
      </w:r>
      <w:r>
        <w:rPr>
          <w:rFonts w:hint="eastAsia"/>
        </w:rPr>
        <w:t>1990</w:t>
      </w:r>
      <w:r>
        <w:rPr>
          <w:rFonts w:hint="eastAsia"/>
        </w:rPr>
        <w:t>年</w:t>
      </w:r>
      <w:r>
        <w:rPr>
          <w:rFonts w:hint="eastAsia"/>
        </w:rPr>
        <w:t>7</w:t>
      </w:r>
      <w:r>
        <w:rPr>
          <w:rFonts w:hint="eastAsia"/>
        </w:rPr>
        <w:t>月</w:t>
      </w:r>
      <w:r>
        <w:rPr>
          <w:rFonts w:hint="eastAsia"/>
        </w:rPr>
        <w:t>13</w:t>
      </w:r>
      <w:r>
        <w:rPr>
          <w:rFonts w:hint="eastAsia"/>
        </w:rPr>
        <w:t>日第</w:t>
      </w:r>
      <w:r>
        <w:t>8069</w:t>
      </w:r>
      <w:r>
        <w:rPr>
          <w:rFonts w:hint="eastAsia"/>
        </w:rPr>
        <w:t>号法律为宪法制订了规则，此项法律制订了《儿童和青少年法规》。</w:t>
      </w:r>
    </w:p>
    <w:p w:rsidR="00000000" w:rsidRDefault="004D2F83" w:rsidP="004D2F83">
      <w:pPr>
        <w:pStyle w:val="BodyTextIndent2"/>
        <w:spacing w:after="240" w:line="360" w:lineRule="exact"/>
        <w:ind w:firstLineChars="200" w:firstLine="31680"/>
        <w:rPr>
          <w:rFonts w:eastAsia="KaiTi_GB2312" w:hint="eastAsia"/>
          <w:i w:val="0"/>
          <w:iCs/>
        </w:rPr>
      </w:pPr>
      <w:r>
        <w:rPr>
          <w:rFonts w:eastAsia="KaiTi_GB2312" w:hint="eastAsia"/>
          <w:i w:val="0"/>
          <w:iCs/>
        </w:rPr>
        <w:t>《儿童和青少年法规》为儿童和青少年赋予了具有权利的主体性质，建立了广泛的权利保障和充分且统一地保护儿童和青少年的体系。该法规在国家范围内推出一新的范式，以分析和认识对女童和青少年犯下的性暴力行为和侵犯其基本生命权、健康权、尊重权、自由权和尊严权的行为。</w:t>
      </w:r>
    </w:p>
    <w:p w:rsidR="00000000" w:rsidRDefault="004D2F83" w:rsidP="004D2F83">
      <w:pPr>
        <w:spacing w:after="240" w:line="360" w:lineRule="exact"/>
        <w:ind w:firstLineChars="200" w:firstLine="31680"/>
        <w:rPr>
          <w:rFonts w:hint="eastAsia"/>
        </w:rPr>
      </w:pPr>
      <w:r>
        <w:rPr>
          <w:rFonts w:hint="eastAsia"/>
        </w:rPr>
        <w:t>按照修正《儿童和青少年法规》中关于惩治强奸和暴力猥亵罪的第</w:t>
      </w:r>
      <w:r>
        <w:rPr>
          <w:rFonts w:hint="eastAsia"/>
        </w:rPr>
        <w:t>263</w:t>
      </w:r>
      <w:r>
        <w:rPr>
          <w:rFonts w:hint="eastAsia"/>
        </w:rPr>
        <w:t>条的</w:t>
      </w:r>
      <w:r>
        <w:rPr>
          <w:rFonts w:hint="eastAsia"/>
        </w:rPr>
        <w:t>1990</w:t>
      </w:r>
      <w:r>
        <w:rPr>
          <w:rFonts w:hint="eastAsia"/>
        </w:rPr>
        <w:t>年</w:t>
      </w:r>
      <w:r>
        <w:rPr>
          <w:rFonts w:hint="eastAsia"/>
        </w:rPr>
        <w:t>7</w:t>
      </w:r>
      <w:r>
        <w:rPr>
          <w:rFonts w:hint="eastAsia"/>
        </w:rPr>
        <w:t>月</w:t>
      </w:r>
      <w:r>
        <w:rPr>
          <w:rFonts w:hint="eastAsia"/>
        </w:rPr>
        <w:t>25</w:t>
      </w:r>
      <w:r>
        <w:rPr>
          <w:rFonts w:hint="eastAsia"/>
        </w:rPr>
        <w:t>日第</w:t>
      </w:r>
      <w:r>
        <w:t>8072</w:t>
      </w:r>
      <w:r>
        <w:rPr>
          <w:rFonts w:hint="eastAsia"/>
        </w:rPr>
        <w:t>号法律的规定，《儿童和青少年法规》将强奸和暴力猥亵罪定为可怕的犯罪。父母或儿童或青少年的监管人所做出的虐待、压制或性虐待行为的推断一旦被证实，司法机构即可发出拘捕令，将侵害者从共同家庭中带走。</w:t>
      </w:r>
    </w:p>
    <w:p w:rsidR="00000000" w:rsidRDefault="004D2F83" w:rsidP="004D2F83">
      <w:pPr>
        <w:spacing w:after="240" w:line="360" w:lineRule="exact"/>
        <w:ind w:firstLineChars="200" w:firstLine="31680"/>
        <w:rPr>
          <w:rFonts w:hint="eastAsia"/>
        </w:rPr>
      </w:pPr>
      <w:r>
        <w:rPr>
          <w:rFonts w:hint="eastAsia"/>
        </w:rPr>
        <w:t>1940</w:t>
      </w:r>
      <w:r>
        <w:rPr>
          <w:rFonts w:hint="eastAsia"/>
        </w:rPr>
        <w:t>年《巴西刑法典》可见到对妇女的陈规定型观念及对妇女的偏见的痕迹，《法典》中使用</w:t>
      </w:r>
      <w:r>
        <w:rPr>
          <w:rFonts w:eastAsia="KaiTi_GB2312" w:hint="eastAsia"/>
        </w:rPr>
        <w:t>烈女</w:t>
      </w:r>
      <w:r>
        <w:rPr>
          <w:rFonts w:hint="eastAsia"/>
        </w:rPr>
        <w:t>和</w:t>
      </w:r>
      <w:r>
        <w:rPr>
          <w:rFonts w:eastAsia="KaiTi_GB2312" w:hint="eastAsia"/>
        </w:rPr>
        <w:t>处女</w:t>
      </w:r>
      <w:r>
        <w:rPr>
          <w:rFonts w:hint="eastAsia"/>
        </w:rPr>
        <w:t>这类词语，这些词语是性犯罪概念中常用词语。性暴力的特征表现在以下行为上：强奸、暴力猥亵、欺骗性暴力、欺骗性占有、性骚扰、诱惑、暴力拐骗或欺骗性拐骗、自愿被拐骗、卖淫、诱惑、对儿童和青少年的性剥削等；这些行为是被定性</w:t>
      </w:r>
      <w:r>
        <w:rPr>
          <w:rFonts w:hint="eastAsia"/>
        </w:rPr>
        <w:t>为性犯罪并在《危害性自由犯罪宪章》中具体规定的犯罪证据。但是，这些行为是在《刑法典》伤风败俗罪一章下描述的，这就导致了一种认识：主要问题不是解决暴力侵害妇女问题，而是恢复社会道德标准。</w:t>
      </w:r>
    </w:p>
    <w:p w:rsidR="00000000" w:rsidRDefault="004D2F83" w:rsidP="004D2F83">
      <w:pPr>
        <w:spacing w:after="240" w:line="360" w:lineRule="exact"/>
        <w:ind w:firstLineChars="200" w:firstLine="31680"/>
        <w:rPr>
          <w:rFonts w:hint="eastAsia"/>
        </w:rPr>
      </w:pPr>
      <w:r>
        <w:rPr>
          <w:rFonts w:hint="eastAsia"/>
        </w:rPr>
        <w:t>巴西没有对卖淫本身进行惩治而是对第三方意图营利使妇女卖淫的行为给予惩治。《刑法典》惩治那些引诱妇女满足他人情欲的人（第</w:t>
      </w:r>
      <w:r>
        <w:rPr>
          <w:rFonts w:hint="eastAsia"/>
        </w:rPr>
        <w:t>227</w:t>
      </w:r>
      <w:r>
        <w:rPr>
          <w:rFonts w:hint="eastAsia"/>
        </w:rPr>
        <w:t>条）和诱惑或引诱妇女卖淫，纵容卖淫或阻止妇女洗手不干的人。该法典惩治自己或代表第三方开设妓院意图营利使妇女卖淫的人，无论其得到或未得到预定收益或所有人或管理人是否直接干预（第</w:t>
      </w:r>
      <w:r>
        <w:rPr>
          <w:rFonts w:hint="eastAsia"/>
        </w:rPr>
        <w:t>229</w:t>
      </w:r>
      <w:r>
        <w:rPr>
          <w:rFonts w:hint="eastAsia"/>
        </w:rPr>
        <w:t>条）。该法典还处罚拉皮</w:t>
      </w:r>
      <w:r>
        <w:rPr>
          <w:rFonts w:hint="eastAsia"/>
        </w:rPr>
        <w:t>条行为（第</w:t>
      </w:r>
      <w:r>
        <w:rPr>
          <w:rFonts w:hint="eastAsia"/>
        </w:rPr>
        <w:t>230</w:t>
      </w:r>
      <w:r>
        <w:rPr>
          <w:rFonts w:hint="eastAsia"/>
        </w:rPr>
        <w:t>条），其规定如下：</w:t>
      </w:r>
      <w:r>
        <w:rPr>
          <w:rFonts w:eastAsia="KaiTi_GB2312" w:hint="eastAsia"/>
        </w:rPr>
        <w:t>“直接参与利润分成或得到参与卖淫活动者全力或部分支持从而利用他人卖淫得到好处”</w:t>
      </w:r>
      <w:r>
        <w:rPr>
          <w:rFonts w:hint="eastAsia"/>
        </w:rPr>
        <w:t>。因此，能够肯定的是，在巴西，意图营利使妇女卖淫行为基本上被定为一种犯罪。但是，关于这种犯罪的报告指明，禁令效果不大，这种行为在全国已成为一种既成事实。</w:t>
      </w:r>
    </w:p>
    <w:p w:rsidR="00000000" w:rsidRDefault="004D2F83" w:rsidP="004D2F83">
      <w:pPr>
        <w:spacing w:after="240" w:line="360" w:lineRule="exact"/>
        <w:ind w:firstLineChars="200" w:firstLine="31680"/>
        <w:rPr>
          <w:rFonts w:hint="eastAsia"/>
        </w:rPr>
      </w:pPr>
      <w:r>
        <w:rPr>
          <w:rFonts w:hint="eastAsia"/>
        </w:rPr>
        <w:t>关于打击贩运妇女问题，联邦行政部门</w:t>
      </w:r>
      <w:r>
        <w:rPr>
          <w:rFonts w:hint="eastAsia"/>
        </w:rPr>
        <w:t>1955</w:t>
      </w:r>
      <w:r>
        <w:rPr>
          <w:rFonts w:hint="eastAsia"/>
        </w:rPr>
        <w:t>年</w:t>
      </w:r>
      <w:r>
        <w:rPr>
          <w:rFonts w:hint="eastAsia"/>
        </w:rPr>
        <w:t>4</w:t>
      </w:r>
      <w:r>
        <w:rPr>
          <w:rFonts w:hint="eastAsia"/>
        </w:rPr>
        <w:t>月</w:t>
      </w:r>
      <w:r>
        <w:rPr>
          <w:rFonts w:hint="eastAsia"/>
        </w:rPr>
        <w:t>15</w:t>
      </w:r>
      <w:r>
        <w:rPr>
          <w:rFonts w:hint="eastAsia"/>
        </w:rPr>
        <w:t>日颁布的第</w:t>
      </w:r>
      <w:r>
        <w:t>37.176</w:t>
      </w:r>
      <w:r>
        <w:rPr>
          <w:rFonts w:hint="eastAsia"/>
        </w:rPr>
        <w:t>号法令</w:t>
      </w:r>
      <w:r>
        <w:rPr>
          <w:rFonts w:eastAsia="KaiTi_GB2312" w:hint="eastAsia"/>
        </w:rPr>
        <w:t>“颁布了</w:t>
      </w:r>
      <w:r>
        <w:rPr>
          <w:rFonts w:eastAsia="KaiTi_GB2312" w:hint="eastAsia"/>
        </w:rPr>
        <w:t>1921</w:t>
      </w:r>
      <w:r>
        <w:rPr>
          <w:rFonts w:eastAsia="KaiTi_GB2312" w:hint="eastAsia"/>
        </w:rPr>
        <w:t>年</w:t>
      </w:r>
      <w:r>
        <w:rPr>
          <w:rFonts w:eastAsia="KaiTi_GB2312" w:hint="eastAsia"/>
        </w:rPr>
        <w:t>9</w:t>
      </w:r>
      <w:r>
        <w:rPr>
          <w:rFonts w:eastAsia="KaiTi_GB2312" w:hint="eastAsia"/>
        </w:rPr>
        <w:t>月</w:t>
      </w:r>
      <w:r>
        <w:rPr>
          <w:rFonts w:eastAsia="KaiTi_GB2312" w:hint="eastAsia"/>
        </w:rPr>
        <w:t>30</w:t>
      </w:r>
      <w:r>
        <w:rPr>
          <w:rFonts w:eastAsia="KaiTi_GB2312" w:hint="eastAsia"/>
        </w:rPr>
        <w:t>日在日内瓦签署的《禁止贩运妇女和儿童公约》和</w:t>
      </w:r>
      <w:r>
        <w:rPr>
          <w:rFonts w:eastAsia="KaiTi_GB2312" w:hint="eastAsia"/>
        </w:rPr>
        <w:t>1933</w:t>
      </w:r>
      <w:r>
        <w:rPr>
          <w:rFonts w:eastAsia="KaiTi_GB2312" w:hint="eastAsia"/>
        </w:rPr>
        <w:t>年</w:t>
      </w:r>
      <w:r>
        <w:rPr>
          <w:rFonts w:eastAsia="KaiTi_GB2312" w:hint="eastAsia"/>
        </w:rPr>
        <w:t>9</w:t>
      </w:r>
      <w:r>
        <w:rPr>
          <w:rFonts w:eastAsia="KaiTi_GB2312" w:hint="eastAsia"/>
        </w:rPr>
        <w:t>月</w:t>
      </w:r>
      <w:r>
        <w:rPr>
          <w:rFonts w:eastAsia="KaiTi_GB2312" w:hint="eastAsia"/>
        </w:rPr>
        <w:t>11</w:t>
      </w:r>
      <w:r>
        <w:rPr>
          <w:rFonts w:eastAsia="KaiTi_GB2312" w:hint="eastAsia"/>
        </w:rPr>
        <w:t>日在日内瓦签署的《禁止贩运成年妇女公约》的修正议定书，后者是由联合国大会于</w:t>
      </w:r>
      <w:r>
        <w:rPr>
          <w:rFonts w:eastAsia="KaiTi_GB2312" w:hint="eastAsia"/>
        </w:rPr>
        <w:t>19</w:t>
      </w:r>
      <w:r>
        <w:rPr>
          <w:rFonts w:eastAsia="KaiTi_GB2312" w:hint="eastAsia"/>
        </w:rPr>
        <w:t>47</w:t>
      </w:r>
      <w:r>
        <w:rPr>
          <w:rFonts w:eastAsia="KaiTi_GB2312" w:hint="eastAsia"/>
        </w:rPr>
        <w:t>年在纽约成功湖通过的，巴西于</w:t>
      </w:r>
      <w:r>
        <w:rPr>
          <w:rFonts w:eastAsia="KaiTi_GB2312" w:hint="eastAsia"/>
        </w:rPr>
        <w:t>1947</w:t>
      </w:r>
      <w:r>
        <w:rPr>
          <w:rFonts w:eastAsia="KaiTi_GB2312" w:hint="eastAsia"/>
        </w:rPr>
        <w:t>年</w:t>
      </w:r>
      <w:r>
        <w:rPr>
          <w:rFonts w:eastAsia="KaiTi_GB2312" w:hint="eastAsia"/>
        </w:rPr>
        <w:t>3</w:t>
      </w:r>
      <w:r>
        <w:rPr>
          <w:rFonts w:eastAsia="KaiTi_GB2312" w:hint="eastAsia"/>
        </w:rPr>
        <w:t>月</w:t>
      </w:r>
      <w:r>
        <w:rPr>
          <w:rFonts w:eastAsia="KaiTi_GB2312" w:hint="eastAsia"/>
        </w:rPr>
        <w:t>17</w:t>
      </w:r>
      <w:r>
        <w:rPr>
          <w:rFonts w:eastAsia="KaiTi_GB2312" w:hint="eastAsia"/>
        </w:rPr>
        <w:t>日批准了该公约”</w:t>
      </w:r>
      <w:r>
        <w:rPr>
          <w:rFonts w:hint="eastAsia"/>
        </w:rPr>
        <w:t>。《刑法典》还将支持</w:t>
      </w:r>
      <w:r>
        <w:rPr>
          <w:rFonts w:eastAsia="KaiTi_GB2312" w:hint="eastAsia"/>
        </w:rPr>
        <w:t>或纵容企图卖淫的妇女进入国土或企图在海外卖淫的妇女离境定</w:t>
      </w:r>
      <w:r>
        <w:rPr>
          <w:rFonts w:hint="eastAsia"/>
        </w:rPr>
        <w:t>为犯罪（第</w:t>
      </w:r>
      <w:r>
        <w:rPr>
          <w:rFonts w:hint="eastAsia"/>
        </w:rPr>
        <w:t>231</w:t>
      </w:r>
      <w:r>
        <w:rPr>
          <w:rFonts w:hint="eastAsia"/>
        </w:rPr>
        <w:t>条）。在所有情况下，当涉及暴力行为或严重威胁时，将加大惩处力度。贩运与受害者年龄无关。起决定作用的因素是受害者是妇女这一事实。此项规定仅在其他形式的性剥削，如制作色情资料这种犯罪事实很清楚时，才对有卖淫企图的贩运活动实施限制。</w:t>
      </w:r>
    </w:p>
    <w:p w:rsidR="00000000" w:rsidRDefault="004D2F83" w:rsidP="004D2F83">
      <w:pPr>
        <w:spacing w:after="240" w:line="360" w:lineRule="exact"/>
        <w:ind w:firstLineChars="200" w:firstLine="31680"/>
        <w:rPr>
          <w:rFonts w:hint="eastAsia"/>
        </w:rPr>
      </w:pPr>
      <w:r>
        <w:rPr>
          <w:rFonts w:hint="eastAsia"/>
        </w:rPr>
        <w:t>在旨在打击对儿童和青少年性虐待和性剥削的其他立法措施中，第</w:t>
      </w:r>
      <w:r>
        <w:t>9970</w:t>
      </w:r>
      <w:r>
        <w:rPr>
          <w:rFonts w:hint="eastAsia"/>
        </w:rPr>
        <w:t>号法律确定了打击对儿童和青少年性虐待和性剥削全国行动日，该行</w:t>
      </w:r>
      <w:r>
        <w:rPr>
          <w:rFonts w:hint="eastAsia"/>
        </w:rPr>
        <w:t>动日于</w:t>
      </w:r>
      <w:r>
        <w:rPr>
          <w:rFonts w:hint="eastAsia"/>
        </w:rPr>
        <w:t>2000</w:t>
      </w:r>
      <w:r>
        <w:rPr>
          <w:rFonts w:hint="eastAsia"/>
        </w:rPr>
        <w:t>年</w:t>
      </w:r>
      <w:r>
        <w:rPr>
          <w:rFonts w:hint="eastAsia"/>
        </w:rPr>
        <w:t>5</w:t>
      </w:r>
      <w:r>
        <w:rPr>
          <w:rFonts w:hint="eastAsia"/>
        </w:rPr>
        <w:t>月</w:t>
      </w:r>
      <w:r>
        <w:rPr>
          <w:rFonts w:hint="eastAsia"/>
        </w:rPr>
        <w:t>17</w:t>
      </w:r>
      <w:r>
        <w:rPr>
          <w:rFonts w:hint="eastAsia"/>
        </w:rPr>
        <w:t>日得到批准。</w:t>
      </w:r>
    </w:p>
    <w:p w:rsidR="00000000" w:rsidRDefault="004D2F83">
      <w:pPr>
        <w:pStyle w:val="Date"/>
        <w:spacing w:after="240" w:line="360" w:lineRule="exact"/>
        <w:rPr>
          <w:rFonts w:eastAsia="SimHei" w:hint="eastAsia"/>
          <w:bCs/>
          <w:sz w:val="24"/>
        </w:rPr>
      </w:pPr>
      <w:r>
        <w:rPr>
          <w:rFonts w:eastAsia="SimHei" w:hint="eastAsia"/>
          <w:bCs/>
          <w:sz w:val="24"/>
        </w:rPr>
        <w:t>立法部门执行的战略行动</w:t>
      </w:r>
    </w:p>
    <w:p w:rsidR="00000000" w:rsidRDefault="004D2F83" w:rsidP="004D2F83">
      <w:pPr>
        <w:spacing w:after="240" w:line="360" w:lineRule="exact"/>
        <w:ind w:firstLineChars="200" w:firstLine="31680"/>
        <w:rPr>
          <w:rFonts w:hint="eastAsia"/>
        </w:rPr>
      </w:pPr>
      <w:r>
        <w:rPr>
          <w:rFonts w:hint="eastAsia"/>
        </w:rPr>
        <w:t>立法部门范围内的行动是由议会调查委员会来具体实施的。</w:t>
      </w:r>
      <w:r>
        <w:rPr>
          <w:rFonts w:hint="eastAsia"/>
        </w:rPr>
        <w:t>1990</w:t>
      </w:r>
      <w:r>
        <w:rPr>
          <w:rFonts w:hint="eastAsia"/>
        </w:rPr>
        <w:t>年代，国民议会成立了三个议会调查委员会，州一级成立了四个调查委员会。这些委员会为收集巴西所有区域的性暴力数据做出了重大贡献。它们还使人们对这一现象产生新的理解并进行了讨论，表明需要进一步调查性暴力行为并建议有关部门和主管当局采取具体措施。</w:t>
      </w:r>
    </w:p>
    <w:p w:rsidR="00000000" w:rsidRDefault="004D2F83" w:rsidP="004D2F83">
      <w:pPr>
        <w:spacing w:after="240" w:line="360" w:lineRule="exact"/>
        <w:ind w:firstLineChars="200" w:firstLine="31680"/>
        <w:rPr>
          <w:rFonts w:hint="eastAsia"/>
        </w:rPr>
      </w:pPr>
      <w:r>
        <w:rPr>
          <w:rFonts w:hint="eastAsia"/>
        </w:rPr>
        <w:t>1991</w:t>
      </w:r>
      <w:r>
        <w:rPr>
          <w:rFonts w:hint="eastAsia"/>
        </w:rPr>
        <w:t>年成立了消除贩运儿童和青少年议会调查委员会。委员会的最后报告于</w:t>
      </w:r>
      <w:r>
        <w:rPr>
          <w:rFonts w:hint="eastAsia"/>
        </w:rPr>
        <w:t>1992</w:t>
      </w:r>
      <w:r>
        <w:rPr>
          <w:rFonts w:hint="eastAsia"/>
        </w:rPr>
        <w:t>年</w:t>
      </w:r>
      <w:r>
        <w:rPr>
          <w:rFonts w:hint="eastAsia"/>
        </w:rPr>
        <w:t>2</w:t>
      </w:r>
      <w:r>
        <w:rPr>
          <w:rFonts w:hint="eastAsia"/>
        </w:rPr>
        <w:t>月</w:t>
      </w:r>
      <w:r>
        <w:rPr>
          <w:rFonts w:hint="eastAsia"/>
        </w:rPr>
        <w:t>20</w:t>
      </w:r>
      <w:r>
        <w:rPr>
          <w:rFonts w:hint="eastAsia"/>
        </w:rPr>
        <w:t>日提交国民议会。消除对妇女的暴力行为议会调查委员会也于</w:t>
      </w:r>
      <w:r>
        <w:rPr>
          <w:rFonts w:hint="eastAsia"/>
        </w:rPr>
        <w:t>1992</w:t>
      </w:r>
      <w:r>
        <w:rPr>
          <w:rFonts w:hint="eastAsia"/>
        </w:rPr>
        <w:t>年成立，其最后报告于</w:t>
      </w:r>
      <w:r>
        <w:rPr>
          <w:rFonts w:hint="eastAsia"/>
        </w:rPr>
        <w:t>1993</w:t>
      </w:r>
      <w:r>
        <w:rPr>
          <w:rFonts w:hint="eastAsia"/>
        </w:rPr>
        <w:t>年</w:t>
      </w:r>
      <w:r>
        <w:rPr>
          <w:rFonts w:hint="eastAsia"/>
        </w:rPr>
        <w:t>2</w:t>
      </w:r>
      <w:r>
        <w:rPr>
          <w:rFonts w:hint="eastAsia"/>
        </w:rPr>
        <w:t>月</w:t>
      </w:r>
      <w:r>
        <w:rPr>
          <w:rFonts w:hint="eastAsia"/>
        </w:rPr>
        <w:t>14</w:t>
      </w:r>
      <w:r>
        <w:rPr>
          <w:rFonts w:hint="eastAsia"/>
        </w:rPr>
        <w:t>日提交国民议会。</w:t>
      </w:r>
      <w:r>
        <w:rPr>
          <w:rFonts w:hint="eastAsia"/>
        </w:rPr>
        <w:t>1994</w:t>
      </w:r>
      <w:r>
        <w:rPr>
          <w:rFonts w:hint="eastAsia"/>
        </w:rPr>
        <w:t>年</w:t>
      </w:r>
      <w:r>
        <w:rPr>
          <w:rFonts w:hint="eastAsia"/>
        </w:rPr>
        <w:t>10</w:t>
      </w:r>
      <w:r>
        <w:rPr>
          <w:rFonts w:hint="eastAsia"/>
        </w:rPr>
        <w:t>月</w:t>
      </w:r>
      <w:r>
        <w:rPr>
          <w:rFonts w:hint="eastAsia"/>
        </w:rPr>
        <w:t>21</w:t>
      </w:r>
      <w:r>
        <w:rPr>
          <w:rFonts w:hint="eastAsia"/>
        </w:rPr>
        <w:t>日，国民议会提出了关于</w:t>
      </w:r>
      <w:r>
        <w:rPr>
          <w:rFonts w:hint="eastAsia"/>
        </w:rPr>
        <w:t>1993</w:t>
      </w:r>
      <w:r>
        <w:rPr>
          <w:rFonts w:hint="eastAsia"/>
        </w:rPr>
        <w:t>年成立的儿童剥削和卖淫问题议会调查委员会的最后报告。</w:t>
      </w:r>
    </w:p>
    <w:p w:rsidR="00000000" w:rsidRDefault="004D2F83" w:rsidP="004D2F83">
      <w:pPr>
        <w:spacing w:after="240" w:line="360" w:lineRule="exact"/>
        <w:ind w:firstLineChars="200" w:firstLine="31680"/>
        <w:rPr>
          <w:rFonts w:hint="eastAsia"/>
        </w:rPr>
      </w:pPr>
      <w:r>
        <w:rPr>
          <w:rFonts w:hint="eastAsia"/>
        </w:rPr>
        <w:t>1995</w:t>
      </w:r>
      <w:r>
        <w:rPr>
          <w:rFonts w:hint="eastAsia"/>
        </w:rPr>
        <w:t>年，北米纳斯吉拉斯和北里约格朗德州府纳塔尔均成立了儿童卖淫问题议会调查委员会。依据巴西利亚州巴西利亚市委员会的倡议，</w:t>
      </w:r>
      <w:r>
        <w:rPr>
          <w:rFonts w:hint="eastAsia"/>
        </w:rPr>
        <w:t>1996</w:t>
      </w:r>
      <w:r>
        <w:rPr>
          <w:rFonts w:hint="eastAsia"/>
        </w:rPr>
        <w:t>年联邦区成立了对儿童和青少年性剥削、卖淫、性虐待及虐待问题议会调查委员会。关于儿童和青少年卖淫问题，</w:t>
      </w:r>
      <w:r>
        <w:rPr>
          <w:rFonts w:hint="eastAsia"/>
        </w:rPr>
        <w:t>1998</w:t>
      </w:r>
      <w:r>
        <w:rPr>
          <w:rFonts w:hint="eastAsia"/>
        </w:rPr>
        <w:t>年，戈亚斯州府戈亚尼亚成立了与这一问题相关的议会调查委员会。</w:t>
      </w:r>
    </w:p>
    <w:p w:rsidR="00000000" w:rsidRDefault="004D2F83" w:rsidP="004D2F83">
      <w:pPr>
        <w:spacing w:after="240" w:line="360" w:lineRule="exact"/>
        <w:ind w:firstLineChars="200" w:firstLine="31680"/>
        <w:rPr>
          <w:rFonts w:hint="eastAsia"/>
          <w:spacing w:val="4"/>
        </w:rPr>
      </w:pPr>
      <w:r>
        <w:rPr>
          <w:rFonts w:hint="eastAsia"/>
          <w:spacing w:val="4"/>
        </w:rPr>
        <w:t>议会调查委员会在揭露性暴力问题，包括该问题在巴西各区</w:t>
      </w:r>
      <w:r>
        <w:rPr>
          <w:rFonts w:hint="eastAsia"/>
          <w:spacing w:val="4"/>
        </w:rPr>
        <w:t>域的特殊性方面做了大量的工作。委员会还披露了侵害者犯罪、家庭参与以及一些社区默许这一肮脏行径的动力。披露这种情况是有证据的，即，在“亚马孙法律管辖区——包括巴拉州、亚马孙州、阿马帕州、朗多尼亚州、马拉尼昂州、马托格罗索州和托坎廷斯州，存在着奴役雏妓的场所。沦为奴隶的妓女年龄为</w:t>
      </w:r>
      <w:r>
        <w:rPr>
          <w:rFonts w:hint="eastAsia"/>
          <w:spacing w:val="4"/>
        </w:rPr>
        <w:t>9</w:t>
      </w:r>
      <w:r>
        <w:rPr>
          <w:rFonts w:hint="eastAsia"/>
          <w:spacing w:val="4"/>
        </w:rPr>
        <w:t>至</w:t>
      </w:r>
      <w:r>
        <w:rPr>
          <w:rFonts w:hint="eastAsia"/>
          <w:spacing w:val="4"/>
        </w:rPr>
        <w:t>20</w:t>
      </w:r>
      <w:r>
        <w:rPr>
          <w:rFonts w:hint="eastAsia"/>
          <w:spacing w:val="4"/>
        </w:rPr>
        <w:t>岁；少女和处女最值钱。阻碍国家采取行动的是这种女童交易被当地社会所认同，这一新的专业阶层的人员——所谓的‘捕快’甚至还受人尊重。他们基本上采用与诱拐截然不同的技术，并且许诺报酬丰厚的工作，最常见的现象是从女童家中直接买人。区域认</w:t>
      </w:r>
      <w:r>
        <w:rPr>
          <w:rFonts w:hint="eastAsia"/>
          <w:spacing w:val="4"/>
        </w:rPr>
        <w:t>同为买女童付款的做法，因为具有讽刺意义的是，女童家庭认为这种付款是奴隶提供服务的‘预付款’。”</w:t>
      </w:r>
      <w:r>
        <w:rPr>
          <w:rStyle w:val="FootnoteReference"/>
          <w:spacing w:val="4"/>
        </w:rPr>
        <w:footnoteReference w:customMarkFollows="1" w:id="67"/>
        <w:t>67</w:t>
      </w:r>
    </w:p>
    <w:p w:rsidR="00000000" w:rsidRDefault="004D2F83" w:rsidP="004D2F83">
      <w:pPr>
        <w:spacing w:after="240" w:line="360" w:lineRule="exact"/>
        <w:ind w:firstLineChars="200" w:firstLine="31680"/>
        <w:rPr>
          <w:rFonts w:hint="eastAsia"/>
        </w:rPr>
      </w:pPr>
      <w:r>
        <w:rPr>
          <w:rFonts w:hint="eastAsia"/>
        </w:rPr>
        <w:t>国民议会的议会儿童和青少年阵线于</w:t>
      </w:r>
      <w:r>
        <w:rPr>
          <w:rFonts w:hint="eastAsia"/>
        </w:rPr>
        <w:t>1993</w:t>
      </w:r>
      <w:r>
        <w:rPr>
          <w:rFonts w:hint="eastAsia"/>
        </w:rPr>
        <w:t>年正式成立，该机构代表国民议会、人民和保护儿童权利的实体，是为有尊严的童年而战的一种工具。该阵线目前有</w:t>
      </w:r>
      <w:r>
        <w:rPr>
          <w:rFonts w:hint="eastAsia"/>
        </w:rPr>
        <w:t>73</w:t>
      </w:r>
      <w:r>
        <w:rPr>
          <w:rFonts w:hint="eastAsia"/>
        </w:rPr>
        <w:t>名国民议会代表，均为众议员和参议员。阵线主要活动包括议会调查委员会采取行动，核查对儿童和青少年剥削及卖淫的责任者；参与发起“消除对儿童和青少年的暴力、剥削和色情旅游全国运动”的工作；</w:t>
      </w:r>
      <w:r>
        <w:rPr>
          <w:rFonts w:hint="eastAsia"/>
        </w:rPr>
        <w:t>1999</w:t>
      </w:r>
      <w:r>
        <w:rPr>
          <w:rFonts w:hint="eastAsia"/>
        </w:rPr>
        <w:t>年，该阵线提交了第</w:t>
      </w:r>
      <w:r>
        <w:rPr>
          <w:rFonts w:hint="eastAsia"/>
        </w:rPr>
        <w:t>267</w:t>
      </w:r>
      <w:r>
        <w:rPr>
          <w:rFonts w:hint="eastAsia"/>
        </w:rPr>
        <w:t>号法案，确定了打击对儿童和青少年性剥削和虐待全国日。</w:t>
      </w:r>
      <w:r>
        <w:rPr>
          <w:rFonts w:hint="eastAsia"/>
        </w:rPr>
        <w:t>除议会阵线开展的这些活动外，一些代表还定期提交关于消除性暴力的法案。</w:t>
      </w:r>
    </w:p>
    <w:p w:rsidR="00000000" w:rsidRDefault="004D2F83">
      <w:pPr>
        <w:pStyle w:val="Date"/>
        <w:spacing w:after="240" w:line="360" w:lineRule="exact"/>
        <w:rPr>
          <w:rFonts w:eastAsia="SimHei" w:hint="eastAsia"/>
          <w:bCs/>
          <w:sz w:val="24"/>
        </w:rPr>
      </w:pPr>
      <w:r>
        <w:rPr>
          <w:rFonts w:eastAsia="SimHei" w:hint="eastAsia"/>
          <w:bCs/>
          <w:sz w:val="24"/>
        </w:rPr>
        <w:t>州级宪法</w:t>
      </w:r>
    </w:p>
    <w:p w:rsidR="00000000" w:rsidRDefault="004D2F83" w:rsidP="004D2F83">
      <w:pPr>
        <w:pStyle w:val="BodyTextIndent2"/>
        <w:spacing w:after="240" w:line="360" w:lineRule="exact"/>
        <w:ind w:firstLineChars="200" w:firstLine="31680"/>
        <w:rPr>
          <w:rFonts w:eastAsia="KaiTi_GB2312" w:hint="eastAsia"/>
          <w:i w:val="0"/>
          <w:iCs/>
        </w:rPr>
      </w:pPr>
      <w:r>
        <w:rPr>
          <w:rFonts w:eastAsia="KaiTi_GB2312" w:hint="eastAsia"/>
          <w:i w:val="0"/>
          <w:iCs/>
        </w:rPr>
        <w:t>州级宪法大多数都确保对家庭给予特别保护，并对妇女、儿童和青少年的保健给予充分援助。下列法律文书尤其涉及性暴力问题：</w:t>
      </w:r>
    </w:p>
    <w:p w:rsidR="00000000" w:rsidRDefault="004D2F83">
      <w:pPr>
        <w:numPr>
          <w:ilvl w:val="0"/>
          <w:numId w:val="703"/>
        </w:numPr>
        <w:spacing w:after="240" w:line="360" w:lineRule="exact"/>
        <w:rPr>
          <w:rFonts w:hint="eastAsia"/>
        </w:rPr>
      </w:pPr>
      <w:r>
        <w:rPr>
          <w:rFonts w:hint="eastAsia"/>
        </w:rPr>
        <w:t>《联邦区组织法》第</w:t>
      </w:r>
      <w:r>
        <w:rPr>
          <w:rFonts w:hint="eastAsia"/>
        </w:rPr>
        <w:t>218</w:t>
      </w:r>
      <w:r>
        <w:rPr>
          <w:rFonts w:hint="eastAsia"/>
        </w:rPr>
        <w:t>条规定，“政府机构有义务协同公共机构和非营利组织，遵照法律并通过主管秘书处，协调、制定和执行分权的福利政策，以确保特别向乞丐、孕妇、前罪犯、精神病院出院者、身智残疾人、移民、家庭暴力受害者和妓女提供庇护和技术和社会支助”；</w:t>
      </w:r>
    </w:p>
    <w:p w:rsidR="00000000" w:rsidRDefault="004D2F83">
      <w:pPr>
        <w:numPr>
          <w:ilvl w:val="0"/>
          <w:numId w:val="703"/>
        </w:numPr>
        <w:spacing w:after="240" w:line="360" w:lineRule="exact"/>
        <w:rPr>
          <w:rFonts w:hint="eastAsia"/>
        </w:rPr>
      </w:pPr>
      <w:r>
        <w:rPr>
          <w:rFonts w:hint="eastAsia"/>
        </w:rPr>
        <w:t>《巴伊亚州宪法》规定，“为家庭和家庭外暴力的妇女、儿童和青少年受害者</w:t>
      </w:r>
      <w:r>
        <w:rPr>
          <w:rFonts w:hint="eastAsia"/>
        </w:rPr>
        <w:t>，包括意外怀孕的妇女建立庇护所，最好是在专门机构内”；</w:t>
      </w:r>
    </w:p>
    <w:p w:rsidR="00000000" w:rsidRDefault="004D2F83">
      <w:pPr>
        <w:numPr>
          <w:ilvl w:val="0"/>
          <w:numId w:val="703"/>
        </w:numPr>
        <w:spacing w:after="240" w:line="360" w:lineRule="exact"/>
        <w:rPr>
          <w:rFonts w:hint="eastAsia"/>
        </w:rPr>
      </w:pPr>
      <w:r>
        <w:rPr>
          <w:rFonts w:hint="eastAsia"/>
        </w:rPr>
        <w:t>《里约热内卢州宪法》确保“为受到性暴力侵害的妇女提供援助，在所保障的服务中提供特别设施”；</w:t>
      </w:r>
    </w:p>
    <w:p w:rsidR="00000000" w:rsidRDefault="004D2F83">
      <w:pPr>
        <w:numPr>
          <w:ilvl w:val="0"/>
          <w:numId w:val="703"/>
        </w:numPr>
        <w:spacing w:after="240" w:line="360" w:lineRule="exact"/>
        <w:rPr>
          <w:rFonts w:hint="eastAsia"/>
        </w:rPr>
      </w:pPr>
      <w:r>
        <w:rPr>
          <w:rFonts w:hint="eastAsia"/>
        </w:rPr>
        <w:t>《托坎廷斯州宪法》确保“遭受强奸的受害妇女者在单一保健体系下的医疗单位得到治疗和心理护理”；及</w:t>
      </w:r>
    </w:p>
    <w:p w:rsidR="00000000" w:rsidRDefault="004D2F83">
      <w:pPr>
        <w:numPr>
          <w:ilvl w:val="0"/>
          <w:numId w:val="703"/>
        </w:numPr>
        <w:spacing w:after="240" w:line="360" w:lineRule="exact"/>
        <w:rPr>
          <w:rFonts w:hint="eastAsia"/>
        </w:rPr>
      </w:pPr>
      <w:r>
        <w:rPr>
          <w:rFonts w:hint="eastAsia"/>
        </w:rPr>
        <w:t>《圣埃斯皮里托图宪法》认为“有损人的尊严和人格完整的身体、心理或精神酷刑”是令人无法接受的。</w:t>
      </w:r>
    </w:p>
    <w:p w:rsidR="00000000" w:rsidRDefault="004D2F83">
      <w:pPr>
        <w:pStyle w:val="Date"/>
        <w:spacing w:after="240" w:line="360" w:lineRule="exact"/>
        <w:rPr>
          <w:rFonts w:eastAsia="SimHei" w:hint="eastAsia"/>
          <w:bCs/>
          <w:sz w:val="24"/>
        </w:rPr>
      </w:pPr>
      <w:r>
        <w:rPr>
          <w:rFonts w:eastAsia="SimHei" w:hint="eastAsia"/>
          <w:bCs/>
          <w:sz w:val="24"/>
        </w:rPr>
        <w:t>联邦各州规定打击对儿童和青少年的性暴力的方法的法律：</w:t>
      </w:r>
    </w:p>
    <w:p w:rsidR="00000000" w:rsidRDefault="004D2F83">
      <w:pPr>
        <w:numPr>
          <w:ilvl w:val="0"/>
          <w:numId w:val="703"/>
        </w:numPr>
        <w:spacing w:after="240" w:line="360" w:lineRule="exact"/>
        <w:rPr>
          <w:rFonts w:hint="eastAsia"/>
        </w:rPr>
      </w:pPr>
      <w:r>
        <w:rPr>
          <w:rFonts w:hint="eastAsia"/>
        </w:rPr>
        <w:t>1996</w:t>
      </w:r>
      <w:r>
        <w:rPr>
          <w:rFonts w:hint="eastAsia"/>
        </w:rPr>
        <w:t>年</w:t>
      </w:r>
      <w:r>
        <w:rPr>
          <w:rFonts w:hint="eastAsia"/>
        </w:rPr>
        <w:t>4</w:t>
      </w:r>
      <w:r>
        <w:rPr>
          <w:rFonts w:hint="eastAsia"/>
        </w:rPr>
        <w:t>月</w:t>
      </w:r>
      <w:r>
        <w:rPr>
          <w:rFonts w:hint="eastAsia"/>
        </w:rPr>
        <w:t>14</w:t>
      </w:r>
      <w:r>
        <w:rPr>
          <w:rFonts w:hint="eastAsia"/>
        </w:rPr>
        <w:t>日在</w:t>
      </w:r>
      <w:r>
        <w:rPr>
          <w:rFonts w:eastAsia="SimHei" w:hint="eastAsia"/>
          <w:bCs/>
        </w:rPr>
        <w:t>托坎廷斯</w:t>
      </w:r>
      <w:r>
        <w:rPr>
          <w:rFonts w:hint="eastAsia"/>
        </w:rPr>
        <w:t>州府批准的</w:t>
      </w:r>
      <w:r>
        <w:rPr>
          <w:rFonts w:hint="eastAsia"/>
        </w:rPr>
        <w:t>1995</w:t>
      </w:r>
      <w:r>
        <w:rPr>
          <w:rFonts w:hint="eastAsia"/>
        </w:rPr>
        <w:t>年</w:t>
      </w:r>
      <w:r>
        <w:rPr>
          <w:rFonts w:hint="eastAsia"/>
        </w:rPr>
        <w:t>12</w:t>
      </w:r>
      <w:r>
        <w:rPr>
          <w:rFonts w:hint="eastAsia"/>
        </w:rPr>
        <w:t>月</w:t>
      </w:r>
      <w:r>
        <w:rPr>
          <w:rFonts w:hint="eastAsia"/>
        </w:rPr>
        <w:t>13</w:t>
      </w:r>
      <w:r>
        <w:rPr>
          <w:rFonts w:hint="eastAsia"/>
        </w:rPr>
        <w:t>日第</w:t>
      </w:r>
      <w:r>
        <w:t>16123</w:t>
      </w:r>
      <w:r>
        <w:rPr>
          <w:rFonts w:hint="eastAsia"/>
        </w:rPr>
        <w:t>号法律规定惩治非法收留儿童和青少年的商业机构；</w:t>
      </w:r>
    </w:p>
    <w:p w:rsidR="00000000" w:rsidRDefault="004D2F83">
      <w:pPr>
        <w:numPr>
          <w:ilvl w:val="0"/>
          <w:numId w:val="703"/>
        </w:numPr>
        <w:spacing w:after="240" w:line="360" w:lineRule="exact"/>
        <w:rPr>
          <w:rFonts w:hint="eastAsia"/>
        </w:rPr>
      </w:pPr>
      <w:r>
        <w:rPr>
          <w:rFonts w:hint="eastAsia"/>
        </w:rPr>
        <w:t>1997</w:t>
      </w:r>
      <w:r>
        <w:rPr>
          <w:rFonts w:hint="eastAsia"/>
        </w:rPr>
        <w:t>年</w:t>
      </w:r>
      <w:r>
        <w:rPr>
          <w:rFonts w:hint="eastAsia"/>
        </w:rPr>
        <w:t>12</w:t>
      </w:r>
      <w:r>
        <w:rPr>
          <w:rFonts w:hint="eastAsia"/>
        </w:rPr>
        <w:t>月</w:t>
      </w:r>
      <w:r>
        <w:rPr>
          <w:rFonts w:hint="eastAsia"/>
        </w:rPr>
        <w:t>17</w:t>
      </w:r>
      <w:r>
        <w:rPr>
          <w:rFonts w:hint="eastAsia"/>
        </w:rPr>
        <w:t>日第</w:t>
      </w:r>
      <w:r>
        <w:t>1799</w:t>
      </w:r>
      <w:r>
        <w:rPr>
          <w:rFonts w:hint="eastAsia"/>
        </w:rPr>
        <w:t>号法律规定了“打击对儿童和青少年的暴力和性剥削州行动日；该行动节日将每年于</w:t>
      </w:r>
      <w:r>
        <w:rPr>
          <w:rFonts w:hint="eastAsia"/>
        </w:rPr>
        <w:t>10</w:t>
      </w:r>
      <w:r>
        <w:rPr>
          <w:rFonts w:hint="eastAsia"/>
        </w:rPr>
        <w:t>月</w:t>
      </w:r>
      <w:r>
        <w:rPr>
          <w:rFonts w:hint="eastAsia"/>
        </w:rPr>
        <w:t>6</w:t>
      </w:r>
      <w:r>
        <w:rPr>
          <w:rFonts w:hint="eastAsia"/>
        </w:rPr>
        <w:t>日在</w:t>
      </w:r>
      <w:r>
        <w:rPr>
          <w:rFonts w:eastAsia="SimHei" w:hint="eastAsia"/>
          <w:bCs/>
        </w:rPr>
        <w:t>南马托格罗索</w:t>
      </w:r>
      <w:r>
        <w:rPr>
          <w:rFonts w:hint="eastAsia"/>
        </w:rPr>
        <w:t>州举行庆祝活动；及</w:t>
      </w:r>
    </w:p>
    <w:p w:rsidR="00000000" w:rsidRDefault="004D2F83">
      <w:pPr>
        <w:numPr>
          <w:ilvl w:val="0"/>
          <w:numId w:val="703"/>
        </w:numPr>
        <w:spacing w:after="240" w:line="360" w:lineRule="exact"/>
        <w:rPr>
          <w:rFonts w:hint="eastAsia"/>
        </w:rPr>
      </w:pPr>
      <w:r>
        <w:rPr>
          <w:rFonts w:hint="eastAsia"/>
        </w:rPr>
        <w:t>1997</w:t>
      </w:r>
      <w:r>
        <w:rPr>
          <w:rFonts w:hint="eastAsia"/>
        </w:rPr>
        <w:t>年</w:t>
      </w:r>
      <w:r>
        <w:rPr>
          <w:rFonts w:hint="eastAsia"/>
        </w:rPr>
        <w:t>9</w:t>
      </w:r>
      <w:r>
        <w:rPr>
          <w:rFonts w:hint="eastAsia"/>
        </w:rPr>
        <w:t>月</w:t>
      </w:r>
      <w:r>
        <w:rPr>
          <w:rFonts w:hint="eastAsia"/>
        </w:rPr>
        <w:t>23</w:t>
      </w:r>
      <w:r>
        <w:rPr>
          <w:rFonts w:hint="eastAsia"/>
        </w:rPr>
        <w:t>日第</w:t>
      </w:r>
      <w:r>
        <w:t>1669</w:t>
      </w:r>
      <w:r>
        <w:rPr>
          <w:rFonts w:hint="eastAsia"/>
        </w:rPr>
        <w:t>号法律规定在当地报纸的广告栏中刊登关于</w:t>
      </w:r>
      <w:r>
        <w:rPr>
          <w:rFonts w:eastAsia="SimHei" w:hint="eastAsia"/>
          <w:bCs/>
        </w:rPr>
        <w:t>联邦区</w:t>
      </w:r>
      <w:r>
        <w:rPr>
          <w:rFonts w:hint="eastAsia"/>
        </w:rPr>
        <w:t>禁止对儿童和青少年性剥削的警告。</w:t>
      </w:r>
    </w:p>
    <w:p w:rsidR="00000000" w:rsidRDefault="004D2F83">
      <w:pPr>
        <w:pStyle w:val="Date"/>
        <w:spacing w:after="240" w:line="360" w:lineRule="exact"/>
        <w:rPr>
          <w:rFonts w:eastAsia="SimHei" w:hint="eastAsia"/>
          <w:bCs/>
          <w:sz w:val="24"/>
        </w:rPr>
      </w:pPr>
      <w:r>
        <w:rPr>
          <w:rFonts w:eastAsia="SimHei" w:hint="eastAsia"/>
          <w:bCs/>
          <w:sz w:val="24"/>
        </w:rPr>
        <w:t>关于贩运人口问题的国际公约</w:t>
      </w:r>
    </w:p>
    <w:p w:rsidR="00000000" w:rsidRDefault="004D2F83" w:rsidP="004D2F83">
      <w:pPr>
        <w:pStyle w:val="BodyTextIndent2"/>
        <w:spacing w:after="240" w:line="360" w:lineRule="exact"/>
        <w:ind w:firstLineChars="200" w:firstLine="31680"/>
        <w:rPr>
          <w:rFonts w:eastAsia="KaiTi_GB2312" w:hint="eastAsia"/>
          <w:i w:val="0"/>
          <w:iCs/>
        </w:rPr>
      </w:pPr>
      <w:r>
        <w:rPr>
          <w:rFonts w:eastAsia="KaiTi_GB2312" w:hint="eastAsia"/>
          <w:i w:val="0"/>
          <w:iCs/>
        </w:rPr>
        <w:t>下文是联合国关于贩运人口问题的协定和公约的情况，其依据的是联合国新闻中心驻里约热内卢办事处和巴西外交部国际法律司提供的数据；</w:t>
      </w:r>
    </w:p>
    <w:p w:rsidR="00000000" w:rsidRDefault="004D2F83" w:rsidP="004D2F83">
      <w:pPr>
        <w:spacing w:after="240" w:line="360" w:lineRule="exact"/>
        <w:ind w:leftChars="200" w:left="31680" w:hangingChars="200" w:firstLine="31680"/>
        <w:rPr>
          <w:rFonts w:hint="eastAsia"/>
        </w:rPr>
      </w:pPr>
      <w:r>
        <w:t>a</w:t>
      </w:r>
      <w:r>
        <w:rPr>
          <w:rFonts w:hint="eastAsia"/>
        </w:rPr>
        <w:t>）《禁止贩运白人妇女的协定》：</w:t>
      </w:r>
    </w:p>
    <w:p w:rsidR="00000000" w:rsidRDefault="004D2F83" w:rsidP="004D2F83">
      <w:pPr>
        <w:spacing w:after="240" w:line="360" w:lineRule="exact"/>
        <w:ind w:leftChars="400" w:left="31680"/>
        <w:rPr>
          <w:rFonts w:hint="eastAsia"/>
        </w:rPr>
      </w:pPr>
      <w:r>
        <w:rPr>
          <w:rFonts w:hint="eastAsia"/>
        </w:rPr>
        <w:t>该协定现已被《禁止贩运人口和拉皮条公约》及</w:t>
      </w:r>
      <w:r>
        <w:rPr>
          <w:rFonts w:hint="eastAsia"/>
        </w:rPr>
        <w:t>1950</w:t>
      </w:r>
      <w:r>
        <w:rPr>
          <w:rFonts w:hint="eastAsia"/>
        </w:rPr>
        <w:t>年</w:t>
      </w:r>
      <w:r>
        <w:rPr>
          <w:rFonts w:hint="eastAsia"/>
        </w:rPr>
        <w:t>3</w:t>
      </w:r>
      <w:r>
        <w:rPr>
          <w:rFonts w:hint="eastAsia"/>
        </w:rPr>
        <w:t>月</w:t>
      </w:r>
      <w:r>
        <w:rPr>
          <w:rFonts w:hint="eastAsia"/>
        </w:rPr>
        <w:t>21</w:t>
      </w:r>
      <w:r>
        <w:rPr>
          <w:rFonts w:hint="eastAsia"/>
        </w:rPr>
        <w:t>日的</w:t>
      </w:r>
      <w:r>
        <w:rPr>
          <w:rFonts w:hint="eastAsia"/>
        </w:rPr>
        <w:t>最后议定书所取代。按照该公约第</w:t>
      </w:r>
      <w:r>
        <w:rPr>
          <w:rFonts w:hint="eastAsia"/>
        </w:rPr>
        <w:t>28</w:t>
      </w:r>
      <w:r>
        <w:rPr>
          <w:rFonts w:hint="eastAsia"/>
        </w:rPr>
        <w:t>条的规定，当协定第</w:t>
      </w:r>
      <w:r>
        <w:rPr>
          <w:rFonts w:hint="eastAsia"/>
        </w:rPr>
        <w:t>1</w:t>
      </w:r>
      <w:r>
        <w:rPr>
          <w:rFonts w:hint="eastAsia"/>
        </w:rPr>
        <w:t>、第</w:t>
      </w:r>
      <w:r>
        <w:rPr>
          <w:rFonts w:hint="eastAsia"/>
        </w:rPr>
        <w:t>2</w:t>
      </w:r>
      <w:r>
        <w:rPr>
          <w:rFonts w:hint="eastAsia"/>
        </w:rPr>
        <w:t>和第</w:t>
      </w:r>
      <w:r>
        <w:rPr>
          <w:rFonts w:hint="eastAsia"/>
        </w:rPr>
        <w:t>3</w:t>
      </w:r>
      <w:r>
        <w:rPr>
          <w:rFonts w:hint="eastAsia"/>
        </w:rPr>
        <w:t>项中提及的国际文书的缔约国加入该公约时，该协定即可终止。</w:t>
      </w:r>
    </w:p>
    <w:p w:rsidR="00000000" w:rsidRDefault="004D2F83" w:rsidP="004D2F83">
      <w:pPr>
        <w:spacing w:after="240" w:line="360" w:lineRule="exact"/>
        <w:ind w:leftChars="200" w:left="31680" w:hangingChars="200" w:firstLine="31680"/>
        <w:rPr>
          <w:rFonts w:hint="eastAsia"/>
        </w:rPr>
      </w:pPr>
      <w:r>
        <w:t>b</w:t>
      </w:r>
      <w:r>
        <w:rPr>
          <w:rFonts w:hint="eastAsia"/>
        </w:rPr>
        <w:t>）《禁止贩运白人妇女国际公约》：</w:t>
      </w:r>
    </w:p>
    <w:p w:rsidR="00000000" w:rsidRDefault="004D2F83" w:rsidP="004D2F83">
      <w:pPr>
        <w:spacing w:after="240" w:line="360" w:lineRule="exact"/>
        <w:ind w:leftChars="400" w:left="31680"/>
        <w:rPr>
          <w:rFonts w:hint="eastAsia"/>
        </w:rPr>
      </w:pPr>
      <w:r>
        <w:rPr>
          <w:rFonts w:hint="eastAsia"/>
        </w:rPr>
        <w:t>该公约于</w:t>
      </w:r>
      <w:r>
        <w:rPr>
          <w:rFonts w:hint="eastAsia"/>
        </w:rPr>
        <w:t>1924</w:t>
      </w:r>
      <w:r>
        <w:rPr>
          <w:rFonts w:hint="eastAsia"/>
        </w:rPr>
        <w:t>年</w:t>
      </w:r>
      <w:r>
        <w:rPr>
          <w:rFonts w:hint="eastAsia"/>
        </w:rPr>
        <w:t>12</w:t>
      </w:r>
      <w:r>
        <w:rPr>
          <w:rFonts w:hint="eastAsia"/>
        </w:rPr>
        <w:t>月</w:t>
      </w:r>
      <w:r>
        <w:rPr>
          <w:rFonts w:hint="eastAsia"/>
        </w:rPr>
        <w:t>3</w:t>
      </w:r>
      <w:r>
        <w:rPr>
          <w:rFonts w:hint="eastAsia"/>
        </w:rPr>
        <w:t>日生效。</w:t>
      </w:r>
    </w:p>
    <w:p w:rsidR="00000000" w:rsidRDefault="004D2F83" w:rsidP="004D2F83">
      <w:pPr>
        <w:spacing w:after="240" w:line="360" w:lineRule="exact"/>
        <w:ind w:leftChars="200" w:left="31680" w:hangingChars="200" w:firstLine="31680"/>
        <w:rPr>
          <w:rFonts w:hint="eastAsia"/>
        </w:rPr>
      </w:pPr>
      <w:r>
        <w:t>c</w:t>
      </w:r>
      <w:r>
        <w:rPr>
          <w:rFonts w:hint="eastAsia"/>
        </w:rPr>
        <w:t>）《禁止贩运妇女和儿童国际公约》：</w:t>
      </w:r>
    </w:p>
    <w:p w:rsidR="00000000" w:rsidRDefault="004D2F83" w:rsidP="004D2F83">
      <w:pPr>
        <w:spacing w:after="240" w:line="360" w:lineRule="exact"/>
        <w:ind w:leftChars="400" w:left="31680"/>
        <w:rPr>
          <w:rFonts w:hint="eastAsia"/>
        </w:rPr>
      </w:pPr>
      <w:r>
        <w:rPr>
          <w:rFonts w:hint="eastAsia"/>
        </w:rPr>
        <w:t>该公约于</w:t>
      </w:r>
      <w:r>
        <w:rPr>
          <w:rFonts w:hint="eastAsia"/>
        </w:rPr>
        <w:t>1933</w:t>
      </w:r>
      <w:r>
        <w:rPr>
          <w:rFonts w:hint="eastAsia"/>
        </w:rPr>
        <w:t>年</w:t>
      </w:r>
      <w:r>
        <w:rPr>
          <w:rFonts w:hint="eastAsia"/>
        </w:rPr>
        <w:t>8</w:t>
      </w:r>
      <w:r>
        <w:rPr>
          <w:rFonts w:hint="eastAsia"/>
        </w:rPr>
        <w:t>月</w:t>
      </w:r>
      <w:r>
        <w:rPr>
          <w:rFonts w:hint="eastAsia"/>
        </w:rPr>
        <w:t>18</w:t>
      </w:r>
      <w:r>
        <w:rPr>
          <w:rFonts w:hint="eastAsia"/>
        </w:rPr>
        <w:t>日生效。此项协定被《禁止贩运人口和拉皮条公约》及</w:t>
      </w:r>
      <w:r>
        <w:rPr>
          <w:rFonts w:hint="eastAsia"/>
        </w:rPr>
        <w:t>1950</w:t>
      </w:r>
      <w:r>
        <w:rPr>
          <w:rFonts w:hint="eastAsia"/>
        </w:rPr>
        <w:t>年</w:t>
      </w:r>
      <w:r>
        <w:rPr>
          <w:rFonts w:hint="eastAsia"/>
        </w:rPr>
        <w:t>3</w:t>
      </w:r>
      <w:r>
        <w:rPr>
          <w:rFonts w:hint="eastAsia"/>
        </w:rPr>
        <w:t>月</w:t>
      </w:r>
      <w:r>
        <w:rPr>
          <w:rFonts w:hint="eastAsia"/>
        </w:rPr>
        <w:t>21</w:t>
      </w:r>
      <w:r>
        <w:rPr>
          <w:rFonts w:hint="eastAsia"/>
        </w:rPr>
        <w:t>日的最后议定书所取代。按照该公约第</w:t>
      </w:r>
      <w:r>
        <w:rPr>
          <w:rFonts w:hint="eastAsia"/>
        </w:rPr>
        <w:t>28</w:t>
      </w:r>
      <w:r>
        <w:rPr>
          <w:rFonts w:hint="eastAsia"/>
        </w:rPr>
        <w:t>条的规定，当协定第</w:t>
      </w:r>
      <w:r>
        <w:rPr>
          <w:rFonts w:hint="eastAsia"/>
        </w:rPr>
        <w:t>1</w:t>
      </w:r>
      <w:r>
        <w:rPr>
          <w:rFonts w:hint="eastAsia"/>
        </w:rPr>
        <w:t>、第</w:t>
      </w:r>
      <w:r>
        <w:rPr>
          <w:rFonts w:hint="eastAsia"/>
        </w:rPr>
        <w:t>2</w:t>
      </w:r>
      <w:r>
        <w:rPr>
          <w:rFonts w:hint="eastAsia"/>
        </w:rPr>
        <w:t>和第</w:t>
      </w:r>
      <w:r>
        <w:rPr>
          <w:rFonts w:hint="eastAsia"/>
        </w:rPr>
        <w:t>3</w:t>
      </w:r>
      <w:r>
        <w:rPr>
          <w:rFonts w:hint="eastAsia"/>
        </w:rPr>
        <w:t>项中提及的国际文书的缔约国加入该公约，该协定即可终止。</w:t>
      </w:r>
    </w:p>
    <w:p w:rsidR="00000000" w:rsidRDefault="004D2F83" w:rsidP="004D2F83">
      <w:pPr>
        <w:spacing w:after="240" w:line="360" w:lineRule="exact"/>
        <w:ind w:leftChars="400" w:left="31680"/>
        <w:rPr>
          <w:rFonts w:hint="eastAsia"/>
        </w:rPr>
      </w:pPr>
      <w:r>
        <w:rPr>
          <w:rFonts w:hint="eastAsia"/>
        </w:rPr>
        <w:t>巴西于</w:t>
      </w:r>
      <w:r>
        <w:rPr>
          <w:rFonts w:hint="eastAsia"/>
        </w:rPr>
        <w:t>1933</w:t>
      </w:r>
      <w:r>
        <w:rPr>
          <w:rFonts w:hint="eastAsia"/>
        </w:rPr>
        <w:t>年</w:t>
      </w:r>
      <w:r>
        <w:rPr>
          <w:rFonts w:hint="eastAsia"/>
        </w:rPr>
        <w:t>8</w:t>
      </w:r>
      <w:r>
        <w:rPr>
          <w:rFonts w:hint="eastAsia"/>
        </w:rPr>
        <w:t>月</w:t>
      </w:r>
      <w:r>
        <w:rPr>
          <w:rFonts w:hint="eastAsia"/>
        </w:rPr>
        <w:t>18</w:t>
      </w:r>
      <w:r>
        <w:rPr>
          <w:rFonts w:hint="eastAsia"/>
        </w:rPr>
        <w:t>日批准了该公约。</w:t>
      </w:r>
    </w:p>
    <w:p w:rsidR="00000000" w:rsidRDefault="004D2F83" w:rsidP="004D2F83">
      <w:pPr>
        <w:spacing w:after="240" w:line="360" w:lineRule="exact"/>
        <w:ind w:leftChars="200" w:left="31680" w:hangingChars="200" w:firstLine="31680"/>
        <w:rPr>
          <w:rFonts w:hint="eastAsia"/>
        </w:rPr>
      </w:pPr>
      <w:r>
        <w:t>d</w:t>
      </w:r>
      <w:r>
        <w:rPr>
          <w:rFonts w:hint="eastAsia"/>
        </w:rPr>
        <w:t>）</w:t>
      </w:r>
      <w:r>
        <w:rPr>
          <w:rFonts w:hint="eastAsia"/>
        </w:rPr>
        <w:t>1921</w:t>
      </w:r>
      <w:r>
        <w:rPr>
          <w:rFonts w:hint="eastAsia"/>
        </w:rPr>
        <w:t>年</w:t>
      </w:r>
      <w:r>
        <w:rPr>
          <w:rFonts w:hint="eastAsia"/>
        </w:rPr>
        <w:t>9</w:t>
      </w:r>
      <w:r>
        <w:rPr>
          <w:rFonts w:hint="eastAsia"/>
        </w:rPr>
        <w:t>月</w:t>
      </w:r>
      <w:r>
        <w:rPr>
          <w:rFonts w:hint="eastAsia"/>
        </w:rPr>
        <w:t>30</w:t>
      </w:r>
      <w:r>
        <w:rPr>
          <w:rFonts w:hint="eastAsia"/>
        </w:rPr>
        <w:t>日《禁止贩运妇女和儿童公约》和</w:t>
      </w:r>
      <w:r>
        <w:rPr>
          <w:rFonts w:hint="eastAsia"/>
        </w:rPr>
        <w:t>1933</w:t>
      </w:r>
      <w:r>
        <w:rPr>
          <w:rFonts w:hint="eastAsia"/>
        </w:rPr>
        <w:t>年</w:t>
      </w:r>
      <w:r>
        <w:rPr>
          <w:rFonts w:hint="eastAsia"/>
        </w:rPr>
        <w:t>10</w:t>
      </w:r>
      <w:r>
        <w:rPr>
          <w:rFonts w:hint="eastAsia"/>
        </w:rPr>
        <w:t>月</w:t>
      </w:r>
      <w:r>
        <w:rPr>
          <w:rFonts w:hint="eastAsia"/>
        </w:rPr>
        <w:t>11</w:t>
      </w:r>
      <w:r>
        <w:rPr>
          <w:rFonts w:hint="eastAsia"/>
        </w:rPr>
        <w:t>日《禁止贩运成年妇女公约》的修正议定书：</w:t>
      </w:r>
    </w:p>
    <w:p w:rsidR="00000000" w:rsidRDefault="004D2F83" w:rsidP="004D2F83">
      <w:pPr>
        <w:spacing w:after="240" w:line="360" w:lineRule="exact"/>
        <w:ind w:leftChars="400" w:left="31680"/>
        <w:rPr>
          <w:rFonts w:hint="eastAsia"/>
        </w:rPr>
      </w:pPr>
      <w:r>
        <w:rPr>
          <w:rFonts w:hint="eastAsia"/>
        </w:rPr>
        <w:t>该议定书于</w:t>
      </w:r>
      <w:r>
        <w:rPr>
          <w:rFonts w:hint="eastAsia"/>
        </w:rPr>
        <w:t>1947</w:t>
      </w:r>
      <w:r>
        <w:rPr>
          <w:rFonts w:hint="eastAsia"/>
        </w:rPr>
        <w:t>年</w:t>
      </w:r>
      <w:r>
        <w:rPr>
          <w:rFonts w:hint="eastAsia"/>
        </w:rPr>
        <w:t>11</w:t>
      </w:r>
      <w:r>
        <w:rPr>
          <w:rFonts w:hint="eastAsia"/>
        </w:rPr>
        <w:t>月</w:t>
      </w:r>
      <w:r>
        <w:rPr>
          <w:rFonts w:hint="eastAsia"/>
        </w:rPr>
        <w:t>12</w:t>
      </w:r>
      <w:r>
        <w:rPr>
          <w:rFonts w:hint="eastAsia"/>
        </w:rPr>
        <w:t>日生效，巴西于</w:t>
      </w:r>
      <w:r>
        <w:rPr>
          <w:rFonts w:hint="eastAsia"/>
        </w:rPr>
        <w:t>1950</w:t>
      </w:r>
      <w:r>
        <w:rPr>
          <w:rFonts w:hint="eastAsia"/>
        </w:rPr>
        <w:t>年</w:t>
      </w:r>
      <w:r>
        <w:rPr>
          <w:rFonts w:hint="eastAsia"/>
        </w:rPr>
        <w:t>4</w:t>
      </w:r>
      <w:r>
        <w:rPr>
          <w:rFonts w:hint="eastAsia"/>
        </w:rPr>
        <w:t>月</w:t>
      </w:r>
      <w:r>
        <w:rPr>
          <w:rFonts w:hint="eastAsia"/>
        </w:rPr>
        <w:t>6</w:t>
      </w:r>
      <w:r>
        <w:rPr>
          <w:rFonts w:hint="eastAsia"/>
        </w:rPr>
        <w:t>日批准该议定书。</w:t>
      </w:r>
    </w:p>
    <w:p w:rsidR="00000000" w:rsidRDefault="004D2F83" w:rsidP="004D2F83">
      <w:pPr>
        <w:spacing w:after="240" w:line="360" w:lineRule="exact"/>
        <w:ind w:leftChars="200" w:left="31680" w:hangingChars="200" w:firstLine="31680"/>
        <w:rPr>
          <w:rFonts w:hint="eastAsia"/>
        </w:rPr>
      </w:pPr>
      <w:r>
        <w:t>e</w:t>
      </w:r>
      <w:r>
        <w:rPr>
          <w:rFonts w:hint="eastAsia"/>
        </w:rPr>
        <w:t>）《禁止贩运人口和拉皮条公约》和《最后议定书》：</w:t>
      </w:r>
    </w:p>
    <w:p w:rsidR="00000000" w:rsidRDefault="004D2F83" w:rsidP="004D2F83">
      <w:pPr>
        <w:spacing w:after="240" w:line="360" w:lineRule="exact"/>
        <w:ind w:leftChars="400" w:left="31680"/>
        <w:rPr>
          <w:rFonts w:hint="eastAsia"/>
        </w:rPr>
      </w:pPr>
      <w:r>
        <w:rPr>
          <w:rFonts w:hint="eastAsia"/>
        </w:rPr>
        <w:t>该公约于</w:t>
      </w:r>
      <w:r>
        <w:rPr>
          <w:rFonts w:hint="eastAsia"/>
        </w:rPr>
        <w:t>1950</w:t>
      </w:r>
      <w:r>
        <w:rPr>
          <w:rFonts w:hint="eastAsia"/>
        </w:rPr>
        <w:t>年</w:t>
      </w:r>
      <w:r>
        <w:rPr>
          <w:rFonts w:hint="eastAsia"/>
        </w:rPr>
        <w:t>3</w:t>
      </w:r>
      <w:r>
        <w:rPr>
          <w:rFonts w:hint="eastAsia"/>
        </w:rPr>
        <w:t>月</w:t>
      </w:r>
      <w:r>
        <w:rPr>
          <w:rFonts w:hint="eastAsia"/>
        </w:rPr>
        <w:t>21</w:t>
      </w:r>
      <w:r>
        <w:rPr>
          <w:rFonts w:hint="eastAsia"/>
        </w:rPr>
        <w:t>日生效，巴西于</w:t>
      </w:r>
      <w:r>
        <w:rPr>
          <w:rFonts w:hint="eastAsia"/>
        </w:rPr>
        <w:t>1958</w:t>
      </w:r>
      <w:r>
        <w:rPr>
          <w:rFonts w:hint="eastAsia"/>
        </w:rPr>
        <w:t>年</w:t>
      </w:r>
      <w:r>
        <w:rPr>
          <w:rFonts w:hint="eastAsia"/>
        </w:rPr>
        <w:t>9</w:t>
      </w:r>
      <w:r>
        <w:rPr>
          <w:rFonts w:hint="eastAsia"/>
        </w:rPr>
        <w:t>月</w:t>
      </w:r>
      <w:r>
        <w:rPr>
          <w:rFonts w:hint="eastAsia"/>
        </w:rPr>
        <w:t>12</w:t>
      </w:r>
      <w:r>
        <w:rPr>
          <w:rFonts w:hint="eastAsia"/>
        </w:rPr>
        <w:t>日批准该公约。巴西于</w:t>
      </w:r>
      <w:r>
        <w:rPr>
          <w:rFonts w:hint="eastAsia"/>
        </w:rPr>
        <w:t>1958</w:t>
      </w:r>
      <w:r>
        <w:rPr>
          <w:rFonts w:hint="eastAsia"/>
        </w:rPr>
        <w:t>年</w:t>
      </w:r>
      <w:r>
        <w:rPr>
          <w:rFonts w:hint="eastAsia"/>
        </w:rPr>
        <w:t>9</w:t>
      </w:r>
      <w:r>
        <w:rPr>
          <w:rFonts w:hint="eastAsia"/>
        </w:rPr>
        <w:t>月</w:t>
      </w:r>
      <w:r>
        <w:rPr>
          <w:rFonts w:hint="eastAsia"/>
        </w:rPr>
        <w:t>12</w:t>
      </w:r>
      <w:r>
        <w:rPr>
          <w:rFonts w:hint="eastAsia"/>
        </w:rPr>
        <w:t>日批准该公约最后议定书。</w:t>
      </w:r>
    </w:p>
    <w:p w:rsidR="00000000" w:rsidRDefault="004D2F83" w:rsidP="004D2F83">
      <w:pPr>
        <w:spacing w:after="240" w:line="360" w:lineRule="exact"/>
        <w:ind w:leftChars="400" w:left="31680"/>
        <w:rPr>
          <w:rFonts w:eastAsia="KaiTi_GB2312" w:hint="eastAsia"/>
        </w:rPr>
      </w:pPr>
      <w:r>
        <w:rPr>
          <w:rFonts w:hint="eastAsia"/>
        </w:rPr>
        <w:t>该公约第</w:t>
      </w:r>
      <w:r>
        <w:rPr>
          <w:rFonts w:hint="eastAsia"/>
        </w:rPr>
        <w:t>1</w:t>
      </w:r>
      <w:r>
        <w:rPr>
          <w:rFonts w:hint="eastAsia"/>
        </w:rPr>
        <w:t>条规定惩治</w:t>
      </w:r>
      <w:r>
        <w:rPr>
          <w:rFonts w:eastAsia="KaiTi_GB2312" w:hint="eastAsia"/>
        </w:rPr>
        <w:t>为了满足他人的性欲而做出下列行为的任何人：</w:t>
      </w:r>
      <w:r>
        <w:rPr>
          <w:rFonts w:eastAsia="KaiTi_GB2312" w:hint="eastAsia"/>
        </w:rPr>
        <w:t>1</w:t>
      </w:r>
      <w:r>
        <w:rPr>
          <w:rFonts w:eastAsia="KaiTi_GB2312" w:hint="eastAsia"/>
        </w:rPr>
        <w:t>）引诱、劝诱或腐蚀另一人卖淫，即使后者同意卖淫；和</w:t>
      </w:r>
      <w:r>
        <w:rPr>
          <w:rFonts w:eastAsia="KaiTi_GB2312" w:hint="eastAsia"/>
        </w:rPr>
        <w:t>2</w:t>
      </w:r>
      <w:r>
        <w:rPr>
          <w:rFonts w:eastAsia="KaiTi_GB2312" w:hint="eastAsia"/>
        </w:rPr>
        <w:t>）利用他人的卖淫而从中营利，即使后者同意卖淫。</w:t>
      </w:r>
    </w:p>
    <w:p w:rsidR="00000000" w:rsidRDefault="004D2F83" w:rsidP="004D2F83">
      <w:pPr>
        <w:spacing w:after="240" w:line="360" w:lineRule="exact"/>
        <w:ind w:leftChars="400" w:left="31680"/>
        <w:rPr>
          <w:rFonts w:hint="eastAsia"/>
        </w:rPr>
      </w:pPr>
      <w:r>
        <w:rPr>
          <w:rFonts w:hint="eastAsia"/>
        </w:rPr>
        <w:t>该公约第</w:t>
      </w:r>
      <w:r>
        <w:rPr>
          <w:rFonts w:hint="eastAsia"/>
        </w:rPr>
        <w:t>3</w:t>
      </w:r>
      <w:r>
        <w:rPr>
          <w:rFonts w:hint="eastAsia"/>
        </w:rPr>
        <w:t>条也规定，在国家法律规定的范围内，为第</w:t>
      </w:r>
      <w:r>
        <w:rPr>
          <w:rFonts w:hint="eastAsia"/>
        </w:rPr>
        <w:t>1</w:t>
      </w:r>
      <w:r>
        <w:rPr>
          <w:rFonts w:hint="eastAsia"/>
        </w:rPr>
        <w:t>和第</w:t>
      </w:r>
      <w:r>
        <w:rPr>
          <w:rFonts w:hint="eastAsia"/>
        </w:rPr>
        <w:t>2</w:t>
      </w:r>
      <w:r>
        <w:rPr>
          <w:rFonts w:hint="eastAsia"/>
        </w:rPr>
        <w:t>条所述的暴力行为之目的干下任何未遂行为和策划行为均应受到惩处。该公约第</w:t>
      </w:r>
      <w:r>
        <w:rPr>
          <w:rFonts w:hint="eastAsia"/>
        </w:rPr>
        <w:t>17</w:t>
      </w:r>
      <w:r>
        <w:rPr>
          <w:rFonts w:hint="eastAsia"/>
        </w:rPr>
        <w:t>条提到采取有关措施打击为卖淫之目的贩运任一性别人口行为。</w:t>
      </w:r>
    </w:p>
    <w:p w:rsidR="00000000" w:rsidRDefault="004D2F83" w:rsidP="004D2F83">
      <w:pPr>
        <w:spacing w:after="240" w:line="360" w:lineRule="exact"/>
        <w:ind w:leftChars="200" w:left="31680" w:hangingChars="200" w:firstLine="31680"/>
        <w:rPr>
          <w:rFonts w:hint="eastAsia"/>
        </w:rPr>
      </w:pPr>
      <w:r>
        <w:t>f</w:t>
      </w:r>
      <w:r>
        <w:rPr>
          <w:rFonts w:hint="eastAsia"/>
        </w:rPr>
        <w:t>）《关于未成年人国际贩运问题美洲间公约》：</w:t>
      </w:r>
    </w:p>
    <w:p w:rsidR="00000000" w:rsidRDefault="004D2F83" w:rsidP="004D2F83">
      <w:pPr>
        <w:spacing w:after="240" w:line="360" w:lineRule="exact"/>
        <w:ind w:leftChars="400" w:left="31680"/>
        <w:rPr>
          <w:rFonts w:hint="eastAsia"/>
        </w:rPr>
      </w:pPr>
      <w:r>
        <w:rPr>
          <w:rFonts w:hint="eastAsia"/>
        </w:rPr>
        <w:t>该公约于</w:t>
      </w:r>
      <w:r>
        <w:rPr>
          <w:rFonts w:hint="eastAsia"/>
        </w:rPr>
        <w:t>1997</w:t>
      </w:r>
      <w:r>
        <w:rPr>
          <w:rFonts w:hint="eastAsia"/>
        </w:rPr>
        <w:t>年</w:t>
      </w:r>
      <w:r>
        <w:rPr>
          <w:rFonts w:hint="eastAsia"/>
        </w:rPr>
        <w:t>8</w:t>
      </w:r>
      <w:r>
        <w:rPr>
          <w:rFonts w:hint="eastAsia"/>
        </w:rPr>
        <w:t>月</w:t>
      </w:r>
      <w:r>
        <w:rPr>
          <w:rFonts w:hint="eastAsia"/>
        </w:rPr>
        <w:t>15</w:t>
      </w:r>
      <w:r>
        <w:rPr>
          <w:rFonts w:hint="eastAsia"/>
        </w:rPr>
        <w:t>日生效。</w:t>
      </w:r>
    </w:p>
    <w:p w:rsidR="00000000" w:rsidRDefault="004D2F83" w:rsidP="004D2F83">
      <w:pPr>
        <w:spacing w:after="240" w:line="360" w:lineRule="exact"/>
        <w:ind w:leftChars="200" w:left="31680" w:hangingChars="200" w:firstLine="31680"/>
        <w:rPr>
          <w:rFonts w:hint="eastAsia"/>
        </w:rPr>
      </w:pPr>
      <w:r>
        <w:t>g</w:t>
      </w:r>
      <w:r>
        <w:rPr>
          <w:rFonts w:hint="eastAsia"/>
        </w:rPr>
        <w:t>）《打击跨国有组织犯罪公约关于防止、禁止和惩治贩运人口特别是妇女和儿童行为公约议定书》。</w:t>
      </w:r>
    </w:p>
    <w:p w:rsidR="00000000" w:rsidRDefault="004D2F83" w:rsidP="004D2F83">
      <w:pPr>
        <w:spacing w:after="240" w:line="360" w:lineRule="exact"/>
        <w:ind w:leftChars="400" w:left="31680"/>
        <w:rPr>
          <w:rFonts w:hint="eastAsia"/>
        </w:rPr>
      </w:pPr>
      <w:r>
        <w:rPr>
          <w:rFonts w:hint="eastAsia"/>
        </w:rPr>
        <w:t>2000</w:t>
      </w:r>
      <w:r>
        <w:rPr>
          <w:rFonts w:hint="eastAsia"/>
        </w:rPr>
        <w:t>年</w:t>
      </w:r>
      <w:r>
        <w:rPr>
          <w:rFonts w:hint="eastAsia"/>
        </w:rPr>
        <w:t>12</w:t>
      </w:r>
      <w:r>
        <w:rPr>
          <w:rFonts w:hint="eastAsia"/>
        </w:rPr>
        <w:t>月巴西签署的该议定书旨在促进有效防止和打击跨国有组织犯罪方面的合作。</w:t>
      </w:r>
    </w:p>
    <w:p w:rsidR="00000000" w:rsidRDefault="004D2F83">
      <w:pPr>
        <w:pStyle w:val="Date"/>
        <w:spacing w:after="240" w:line="360" w:lineRule="exact"/>
        <w:rPr>
          <w:rFonts w:eastAsia="SimHei" w:hint="eastAsia"/>
          <w:bCs/>
          <w:sz w:val="24"/>
        </w:rPr>
      </w:pPr>
      <w:r>
        <w:rPr>
          <w:rFonts w:eastAsia="SimHei" w:hint="eastAsia"/>
          <w:bCs/>
          <w:sz w:val="24"/>
        </w:rPr>
        <w:t>政府行动</w:t>
      </w:r>
    </w:p>
    <w:p w:rsidR="00000000" w:rsidRDefault="004D2F83">
      <w:pPr>
        <w:pStyle w:val="Date"/>
        <w:spacing w:after="240" w:line="360" w:lineRule="exact"/>
        <w:rPr>
          <w:rFonts w:eastAsia="SimHei" w:hint="eastAsia"/>
          <w:bCs/>
          <w:sz w:val="24"/>
        </w:rPr>
      </w:pPr>
      <w:r>
        <w:rPr>
          <w:rFonts w:eastAsia="SimHei" w:hint="eastAsia"/>
          <w:bCs/>
          <w:sz w:val="24"/>
        </w:rPr>
        <w:t>工业和贸易部——</w:t>
      </w:r>
      <w:r>
        <w:rPr>
          <w:rFonts w:eastAsia="SimHei"/>
          <w:bCs/>
          <w:sz w:val="24"/>
        </w:rPr>
        <w:t>Embratur</w:t>
      </w:r>
      <w:r>
        <w:rPr>
          <w:rFonts w:eastAsia="SimHei" w:hint="eastAsia"/>
          <w:bCs/>
          <w:sz w:val="24"/>
        </w:rPr>
        <w:t>（巴西旅游公司）</w:t>
      </w:r>
    </w:p>
    <w:p w:rsidR="00000000" w:rsidRDefault="004D2F83" w:rsidP="004D2F83">
      <w:pPr>
        <w:spacing w:after="240" w:line="360" w:lineRule="exact"/>
        <w:ind w:firstLineChars="200" w:firstLine="31680"/>
        <w:rPr>
          <w:rFonts w:hint="eastAsia"/>
        </w:rPr>
      </w:pPr>
      <w:r>
        <w:rPr>
          <w:rFonts w:hint="eastAsia"/>
        </w:rPr>
        <w:t>共和国</w:t>
      </w:r>
      <w:r>
        <w:rPr>
          <w:rFonts w:hint="eastAsia"/>
        </w:rPr>
        <w:t>总统于</w:t>
      </w:r>
      <w:r>
        <w:rPr>
          <w:rFonts w:hint="eastAsia"/>
        </w:rPr>
        <w:t>1997</w:t>
      </w:r>
      <w:r>
        <w:rPr>
          <w:rFonts w:hint="eastAsia"/>
        </w:rPr>
        <w:t>年</w:t>
      </w:r>
      <w:r>
        <w:rPr>
          <w:rFonts w:hint="eastAsia"/>
        </w:rPr>
        <w:t>2</w:t>
      </w:r>
      <w:r>
        <w:rPr>
          <w:rFonts w:hint="eastAsia"/>
        </w:rPr>
        <w:t>月</w:t>
      </w:r>
      <w:r>
        <w:rPr>
          <w:rFonts w:hint="eastAsia"/>
        </w:rPr>
        <w:t>5</w:t>
      </w:r>
      <w:r>
        <w:rPr>
          <w:rFonts w:hint="eastAsia"/>
        </w:rPr>
        <w:t>日为题为“剥削儿童色情旅游——当心！巴西时刻警惕着”的运动发起了</w:t>
      </w:r>
      <w:r>
        <w:rPr>
          <w:rFonts w:hint="eastAsia"/>
        </w:rPr>
        <w:t>EMBRATUR</w:t>
      </w:r>
      <w:r>
        <w:rPr>
          <w:rFonts w:hint="eastAsia"/>
        </w:rPr>
        <w:t>宣传项目。此项全国运动为人们提供了一个免费电话号码，以举报剥削、虐待、色情旅游和其他形式的暴力行为。这些上报情况被汇报给主管当局。此项运动得到了司法部、机场和港口基础设施公司（</w:t>
      </w:r>
      <w:r>
        <w:rPr>
          <w:rFonts w:hint="eastAsia"/>
        </w:rPr>
        <w:t>INFRAERO</w:t>
      </w:r>
      <w:r>
        <w:rPr>
          <w:rFonts w:hint="eastAsia"/>
        </w:rPr>
        <w:t>）、国家儿童权利局（</w:t>
      </w:r>
      <w:r>
        <w:rPr>
          <w:rFonts w:hint="eastAsia"/>
        </w:rPr>
        <w:t>ANDI</w:t>
      </w:r>
      <w:r>
        <w:rPr>
          <w:rFonts w:hint="eastAsia"/>
        </w:rPr>
        <w:t>）、巴西旅行社协会（</w:t>
      </w:r>
      <w:r>
        <w:rPr>
          <w:rFonts w:hint="eastAsia"/>
        </w:rPr>
        <w:t>ABAV</w:t>
      </w:r>
      <w:r>
        <w:rPr>
          <w:rFonts w:hint="eastAsia"/>
        </w:rPr>
        <w:t>）和巴西旅馆业协会（</w:t>
      </w:r>
      <w:r>
        <w:rPr>
          <w:rFonts w:hint="eastAsia"/>
        </w:rPr>
        <w:t>ABIH</w:t>
      </w:r>
      <w:r>
        <w:rPr>
          <w:rFonts w:hint="eastAsia"/>
        </w:rPr>
        <w:t>）的支持，旨在动员巴西居民和外国游客并提高他们的认识，以消除巴西全国境内的商业性剥削现象。</w:t>
      </w:r>
    </w:p>
    <w:p w:rsidR="00000000" w:rsidRDefault="004D2F83">
      <w:pPr>
        <w:pStyle w:val="Date"/>
        <w:spacing w:after="240" w:line="360" w:lineRule="exact"/>
        <w:rPr>
          <w:rFonts w:eastAsia="SimHei" w:hint="eastAsia"/>
          <w:bCs/>
          <w:sz w:val="24"/>
        </w:rPr>
      </w:pPr>
      <w:r>
        <w:rPr>
          <w:rFonts w:eastAsia="SimHei" w:hint="eastAsia"/>
          <w:bCs/>
          <w:sz w:val="24"/>
        </w:rPr>
        <w:t>卫生部</w:t>
      </w:r>
    </w:p>
    <w:p w:rsidR="00000000" w:rsidRDefault="004D2F83" w:rsidP="004D2F83">
      <w:pPr>
        <w:spacing w:after="240" w:line="360" w:lineRule="exact"/>
        <w:ind w:firstLineChars="200" w:firstLine="31680"/>
        <w:rPr>
          <w:rFonts w:hint="eastAsia"/>
        </w:rPr>
      </w:pPr>
      <w:r>
        <w:rPr>
          <w:rFonts w:hint="eastAsia"/>
        </w:rPr>
        <w:t>卫生部在其责任范围内致力于制订关于</w:t>
      </w:r>
      <w:r>
        <w:rPr>
          <w:rFonts w:hint="eastAsia"/>
        </w:rPr>
        <w:t>事故、暴力和保健的基本政策，编写准则和文书，以便各州市能够落实各种行动，以提高健康水平并防止和处理事故和暴力导致的伤害。自</w:t>
      </w:r>
      <w:r>
        <w:rPr>
          <w:rFonts w:hint="eastAsia"/>
        </w:rPr>
        <w:t>1998</w:t>
      </w:r>
      <w:r>
        <w:rPr>
          <w:rFonts w:hint="eastAsia"/>
        </w:rPr>
        <w:t>年以来，暴力侵害妇女，特别是家庭暴力和性暴力问题一直是卫生部在妇女保健领域里的优先项目之一。</w:t>
      </w:r>
    </w:p>
    <w:p w:rsidR="00000000" w:rsidRDefault="004D2F83" w:rsidP="004D2F83">
      <w:pPr>
        <w:spacing w:after="240" w:line="360" w:lineRule="exact"/>
        <w:ind w:firstLineChars="200" w:firstLine="31680"/>
        <w:rPr>
          <w:rFonts w:hint="eastAsia"/>
        </w:rPr>
      </w:pPr>
      <w:r>
        <w:rPr>
          <w:rFonts w:hint="eastAsia"/>
        </w:rPr>
        <w:t>2001</w:t>
      </w:r>
      <w:r>
        <w:rPr>
          <w:rFonts w:hint="eastAsia"/>
        </w:rPr>
        <w:t>年前援助妇女保健方案执行的行动遵守了下列优先准则：</w:t>
      </w:r>
    </w:p>
    <w:p w:rsidR="00000000" w:rsidRDefault="004D2F83" w:rsidP="004D2F83">
      <w:pPr>
        <w:spacing w:after="240" w:line="360" w:lineRule="exact"/>
        <w:ind w:leftChars="200" w:left="31680" w:hangingChars="200" w:firstLine="31680"/>
        <w:rPr>
          <w:rFonts w:hint="eastAsia"/>
        </w:rPr>
      </w:pPr>
      <w:r>
        <w:rPr>
          <w:rFonts w:hint="eastAsia"/>
        </w:rPr>
        <w:t>一、促使各州市执行预防和处理暴力侵害妇女导致的伤害的政策；</w:t>
      </w:r>
    </w:p>
    <w:p w:rsidR="00000000" w:rsidRDefault="004D2F83">
      <w:pPr>
        <w:numPr>
          <w:ilvl w:val="0"/>
          <w:numId w:val="705"/>
        </w:numPr>
        <w:tabs>
          <w:tab w:val="clear" w:pos="840"/>
          <w:tab w:val="num" w:pos="1200"/>
        </w:tabs>
        <w:spacing w:after="240" w:line="360" w:lineRule="exact"/>
        <w:ind w:left="1200" w:hanging="360"/>
        <w:rPr>
          <w:rFonts w:hint="eastAsia"/>
        </w:rPr>
      </w:pPr>
      <w:r>
        <w:rPr>
          <w:rFonts w:hint="eastAsia"/>
        </w:rPr>
        <w:t>广泛宣传这些政策；</w:t>
      </w:r>
    </w:p>
    <w:p w:rsidR="00000000" w:rsidRDefault="004D2F83">
      <w:pPr>
        <w:numPr>
          <w:ilvl w:val="0"/>
          <w:numId w:val="705"/>
        </w:numPr>
        <w:tabs>
          <w:tab w:val="clear" w:pos="840"/>
          <w:tab w:val="num" w:pos="1200"/>
        </w:tabs>
        <w:spacing w:after="240" w:line="360" w:lineRule="exact"/>
        <w:ind w:left="1200" w:hanging="360"/>
        <w:rPr>
          <w:rFonts w:hint="eastAsia"/>
        </w:rPr>
      </w:pPr>
      <w:r>
        <w:rPr>
          <w:rFonts w:hint="eastAsia"/>
        </w:rPr>
        <w:t>参与当地的重大活动、课程和培训；</w:t>
      </w:r>
    </w:p>
    <w:p w:rsidR="00000000" w:rsidRDefault="004D2F83">
      <w:pPr>
        <w:numPr>
          <w:ilvl w:val="0"/>
          <w:numId w:val="705"/>
        </w:numPr>
        <w:tabs>
          <w:tab w:val="clear" w:pos="840"/>
          <w:tab w:val="num" w:pos="1200"/>
        </w:tabs>
        <w:spacing w:after="240" w:line="360" w:lineRule="exact"/>
        <w:ind w:left="1200" w:hanging="360"/>
        <w:rPr>
          <w:rFonts w:hint="eastAsia"/>
        </w:rPr>
      </w:pPr>
      <w:r>
        <w:rPr>
          <w:rFonts w:hint="eastAsia"/>
        </w:rPr>
        <w:t>协助拟订和执行地方项目。</w:t>
      </w:r>
    </w:p>
    <w:p w:rsidR="00000000" w:rsidRDefault="004D2F83" w:rsidP="004D2F83">
      <w:pPr>
        <w:spacing w:after="240" w:line="360" w:lineRule="exact"/>
        <w:ind w:leftChars="200" w:left="31680" w:hangingChars="200" w:firstLine="31680"/>
        <w:rPr>
          <w:rFonts w:hint="eastAsia"/>
        </w:rPr>
      </w:pPr>
      <w:r>
        <w:rPr>
          <w:rFonts w:hint="eastAsia"/>
        </w:rPr>
        <w:t>二、法规方面的援助：</w:t>
      </w:r>
    </w:p>
    <w:p w:rsidR="00000000" w:rsidRDefault="004D2F83">
      <w:pPr>
        <w:numPr>
          <w:ilvl w:val="0"/>
          <w:numId w:val="705"/>
        </w:numPr>
        <w:tabs>
          <w:tab w:val="clear" w:pos="840"/>
          <w:tab w:val="num" w:pos="1200"/>
        </w:tabs>
        <w:spacing w:after="240" w:line="360" w:lineRule="exact"/>
        <w:ind w:left="1200" w:hanging="360"/>
        <w:rPr>
          <w:rFonts w:hint="eastAsia"/>
        </w:rPr>
      </w:pPr>
      <w:r>
        <w:rPr>
          <w:rFonts w:hint="eastAsia"/>
        </w:rPr>
        <w:t>2001</w:t>
      </w:r>
      <w:r>
        <w:rPr>
          <w:rFonts w:hint="eastAsia"/>
        </w:rPr>
        <w:t>年，性暴力受害者预防艾滋病议定书；</w:t>
      </w:r>
    </w:p>
    <w:p w:rsidR="00000000" w:rsidRDefault="004D2F83">
      <w:pPr>
        <w:numPr>
          <w:ilvl w:val="0"/>
          <w:numId w:val="705"/>
        </w:numPr>
        <w:tabs>
          <w:tab w:val="clear" w:pos="840"/>
          <w:tab w:val="num" w:pos="1200"/>
        </w:tabs>
        <w:spacing w:after="240" w:line="360" w:lineRule="exact"/>
        <w:ind w:left="1200" w:hanging="360"/>
        <w:rPr>
          <w:rFonts w:hint="eastAsia"/>
        </w:rPr>
      </w:pPr>
      <w:r>
        <w:rPr>
          <w:rFonts w:hint="eastAsia"/>
        </w:rPr>
        <w:t>《“预防和处理对妇女和</w:t>
      </w:r>
      <w:r>
        <w:rPr>
          <w:rFonts w:hint="eastAsia"/>
        </w:rPr>
        <w:t>青少年的性暴力造成的伤害”技术规则》。在保健小组、妇女组织大学和专业协会中散发了四万份议定书；</w:t>
      </w:r>
    </w:p>
    <w:p w:rsidR="00000000" w:rsidRDefault="004D2F83">
      <w:pPr>
        <w:numPr>
          <w:ilvl w:val="0"/>
          <w:numId w:val="705"/>
        </w:numPr>
        <w:tabs>
          <w:tab w:val="clear" w:pos="840"/>
          <w:tab w:val="num" w:pos="1200"/>
        </w:tabs>
        <w:spacing w:after="240" w:line="360" w:lineRule="exact"/>
        <w:ind w:left="1200" w:hanging="360"/>
        <w:rPr>
          <w:rFonts w:hint="eastAsia"/>
        </w:rPr>
      </w:pPr>
      <w:r>
        <w:rPr>
          <w:rFonts w:hint="eastAsia"/>
        </w:rPr>
        <w:t>2001</w:t>
      </w:r>
      <w:r>
        <w:rPr>
          <w:rFonts w:hint="eastAsia"/>
        </w:rPr>
        <w:t>年，《家庭暴力援助议定书》，使用对象为家庭保健小组；</w:t>
      </w:r>
    </w:p>
    <w:p w:rsidR="00000000" w:rsidRDefault="004D2F83">
      <w:pPr>
        <w:numPr>
          <w:ilvl w:val="0"/>
          <w:numId w:val="705"/>
        </w:numPr>
        <w:tabs>
          <w:tab w:val="clear" w:pos="840"/>
          <w:tab w:val="num" w:pos="1200"/>
        </w:tabs>
        <w:spacing w:after="240" w:line="360" w:lineRule="exact"/>
        <w:ind w:left="1200" w:hanging="360"/>
        <w:rPr>
          <w:rFonts w:hint="eastAsia"/>
        </w:rPr>
      </w:pPr>
      <w:r>
        <w:rPr>
          <w:rFonts w:hint="eastAsia"/>
        </w:rPr>
        <w:t>2001</w:t>
      </w:r>
      <w:r>
        <w:rPr>
          <w:rFonts w:hint="eastAsia"/>
        </w:rPr>
        <w:t>年编写了《人权和家庭暴力问题初级读本》，使用对象为</w:t>
      </w:r>
      <w:r>
        <w:rPr>
          <w:rFonts w:hint="eastAsia"/>
        </w:rPr>
        <w:t>15</w:t>
      </w:r>
      <w:r>
        <w:rPr>
          <w:rFonts w:hint="eastAsia"/>
        </w:rPr>
        <w:t>万名社区保健员；</w:t>
      </w:r>
    </w:p>
    <w:p w:rsidR="00000000" w:rsidRDefault="004D2F83">
      <w:pPr>
        <w:numPr>
          <w:ilvl w:val="0"/>
          <w:numId w:val="705"/>
        </w:numPr>
        <w:tabs>
          <w:tab w:val="clear" w:pos="840"/>
          <w:tab w:val="num" w:pos="1200"/>
        </w:tabs>
        <w:spacing w:after="240" w:line="360" w:lineRule="exact"/>
        <w:ind w:left="1200" w:hanging="360"/>
        <w:rPr>
          <w:rFonts w:hint="eastAsia"/>
        </w:rPr>
      </w:pPr>
      <w:r>
        <w:rPr>
          <w:rFonts w:hint="eastAsia"/>
        </w:rPr>
        <w:t>关于对暴力受害者的心理社会支持的建议。</w:t>
      </w:r>
    </w:p>
    <w:p w:rsidR="00000000" w:rsidRDefault="004D2F83" w:rsidP="004D2F83">
      <w:pPr>
        <w:spacing w:after="240" w:line="360" w:lineRule="exact"/>
        <w:ind w:leftChars="200" w:left="31680" w:hangingChars="200" w:firstLine="31680"/>
        <w:rPr>
          <w:rFonts w:hint="eastAsia"/>
        </w:rPr>
      </w:pPr>
      <w:r>
        <w:rPr>
          <w:rFonts w:hint="eastAsia"/>
        </w:rPr>
        <w:t>三、为援助遭受暴力妇女项目投资：</w:t>
      </w:r>
    </w:p>
    <w:p w:rsidR="00000000" w:rsidRDefault="004D2F83">
      <w:pPr>
        <w:numPr>
          <w:ilvl w:val="0"/>
          <w:numId w:val="705"/>
        </w:numPr>
        <w:tabs>
          <w:tab w:val="clear" w:pos="840"/>
          <w:tab w:val="num" w:pos="1200"/>
        </w:tabs>
        <w:spacing w:after="240" w:line="360" w:lineRule="exact"/>
        <w:ind w:left="1200" w:hanging="360"/>
        <w:rPr>
          <w:rFonts w:hint="eastAsia"/>
        </w:rPr>
      </w:pPr>
      <w:r>
        <w:rPr>
          <w:rFonts w:hint="eastAsia"/>
        </w:rPr>
        <w:t>开发</w:t>
      </w:r>
      <w:r>
        <w:t>/</w:t>
      </w:r>
      <w:r>
        <w:rPr>
          <w:rFonts w:hint="eastAsia"/>
        </w:rPr>
        <w:t>实施服务，</w:t>
      </w:r>
      <w:r>
        <w:rPr>
          <w:rFonts w:hint="eastAsia"/>
        </w:rPr>
        <w:t>1999</w:t>
      </w:r>
      <w:r>
        <w:rPr>
          <w:rFonts w:hint="eastAsia"/>
        </w:rPr>
        <w:t>年，投资总额达</w:t>
      </w:r>
      <w:r>
        <w:t>106 058.00</w:t>
      </w:r>
      <w:r>
        <w:rPr>
          <w:rFonts w:hint="eastAsia"/>
        </w:rPr>
        <w:t>雷亚尔（拾万陆仟零伍拾捌雷亚尔）；</w:t>
      </w:r>
    </w:p>
    <w:p w:rsidR="00000000" w:rsidRDefault="004D2F83">
      <w:pPr>
        <w:numPr>
          <w:ilvl w:val="0"/>
          <w:numId w:val="705"/>
        </w:numPr>
        <w:tabs>
          <w:tab w:val="clear" w:pos="840"/>
          <w:tab w:val="num" w:pos="1200"/>
        </w:tabs>
        <w:spacing w:after="240" w:line="360" w:lineRule="exact"/>
        <w:ind w:left="1200" w:hanging="360"/>
        <w:rPr>
          <w:rFonts w:hint="eastAsia"/>
        </w:rPr>
      </w:pPr>
      <w:r>
        <w:rPr>
          <w:rFonts w:hint="eastAsia"/>
        </w:rPr>
        <w:t>定于</w:t>
      </w:r>
      <w:r>
        <w:rPr>
          <w:rFonts w:hint="eastAsia"/>
        </w:rPr>
        <w:t>2000</w:t>
      </w:r>
      <w:r>
        <w:rPr>
          <w:rFonts w:hint="eastAsia"/>
        </w:rPr>
        <w:t>年发展</w:t>
      </w:r>
      <w:r>
        <w:t>/</w:t>
      </w:r>
      <w:r>
        <w:rPr>
          <w:rFonts w:hint="eastAsia"/>
        </w:rPr>
        <w:t>实施的服务成本预计为</w:t>
      </w:r>
      <w:r>
        <w:t>295 328.00</w:t>
      </w:r>
      <w:r>
        <w:rPr>
          <w:rFonts w:hint="eastAsia"/>
        </w:rPr>
        <w:t>雷亚尔（贰拾玖万伍仟叁佰贰拾捌雷亚尔）；</w:t>
      </w:r>
    </w:p>
    <w:p w:rsidR="00000000" w:rsidRDefault="004D2F83">
      <w:pPr>
        <w:numPr>
          <w:ilvl w:val="0"/>
          <w:numId w:val="705"/>
        </w:numPr>
        <w:tabs>
          <w:tab w:val="clear" w:pos="840"/>
          <w:tab w:val="num" w:pos="1200"/>
        </w:tabs>
        <w:spacing w:after="240" w:line="360" w:lineRule="exact"/>
        <w:ind w:left="1200" w:hanging="360"/>
        <w:rPr>
          <w:rFonts w:hint="eastAsia"/>
        </w:rPr>
      </w:pPr>
      <w:r>
        <w:rPr>
          <w:rFonts w:hint="eastAsia"/>
        </w:rPr>
        <w:t>计划</w:t>
      </w:r>
      <w:r>
        <w:rPr>
          <w:rFonts w:hint="eastAsia"/>
        </w:rPr>
        <w:t>于</w:t>
      </w:r>
      <w:r>
        <w:rPr>
          <w:rFonts w:hint="eastAsia"/>
        </w:rPr>
        <w:t>2001</w:t>
      </w:r>
      <w:r>
        <w:rPr>
          <w:rFonts w:hint="eastAsia"/>
        </w:rPr>
        <w:t>年采取的行动与购买速效口服荷尔蒙避孕药（次日见效药片）有关，也用于治疗性暴力受害妇女，总金额为</w:t>
      </w:r>
      <w:r>
        <w:rPr>
          <w:rFonts w:hint="eastAsia"/>
        </w:rPr>
        <w:t>35</w:t>
      </w:r>
      <w:r>
        <w:rPr>
          <w:rFonts w:hint="eastAsia"/>
        </w:rPr>
        <w:t>万雷亚尔（叁拾伍万雷亚尔）。</w:t>
      </w:r>
    </w:p>
    <w:p w:rsidR="00000000" w:rsidRDefault="004D2F83" w:rsidP="004D2F83">
      <w:pPr>
        <w:spacing w:after="240" w:line="360" w:lineRule="exact"/>
        <w:ind w:firstLineChars="200" w:firstLine="31680"/>
        <w:rPr>
          <w:rFonts w:hint="eastAsia"/>
        </w:rPr>
      </w:pPr>
      <w:r>
        <w:rPr>
          <w:rFonts w:hint="eastAsia"/>
        </w:rPr>
        <w:t>有关对援助遭受暴力妇女项目所做投资的成果，下列成果值得一提：</w:t>
      </w:r>
    </w:p>
    <w:p w:rsidR="00000000" w:rsidRDefault="004D2F83" w:rsidP="004D2F83">
      <w:pPr>
        <w:spacing w:after="240" w:line="360" w:lineRule="exact"/>
        <w:ind w:leftChars="200" w:left="31680" w:hangingChars="200" w:firstLine="31680"/>
        <w:rPr>
          <w:rFonts w:hint="eastAsia"/>
        </w:rPr>
      </w:pPr>
      <w:r>
        <w:rPr>
          <w:rFonts w:hint="eastAsia"/>
        </w:rPr>
        <w:t>一、</w:t>
      </w:r>
      <w:r>
        <w:rPr>
          <w:rFonts w:hint="eastAsia"/>
        </w:rPr>
        <w:t>1997</w:t>
      </w:r>
      <w:r>
        <w:rPr>
          <w:rFonts w:hint="eastAsia"/>
        </w:rPr>
        <w:t>年，只有</w:t>
      </w:r>
      <w:r>
        <w:rPr>
          <w:rFonts w:hint="eastAsia"/>
        </w:rPr>
        <w:t>17</w:t>
      </w:r>
      <w:r>
        <w:rPr>
          <w:rFonts w:hint="eastAsia"/>
        </w:rPr>
        <w:t>个全力援助遭受暴力妇女咨询服务处。</w:t>
      </w:r>
      <w:r>
        <w:rPr>
          <w:rFonts w:hint="eastAsia"/>
        </w:rPr>
        <w:t>2001</w:t>
      </w:r>
      <w:r>
        <w:rPr>
          <w:rFonts w:hint="eastAsia"/>
        </w:rPr>
        <w:t>年，该服务处增至</w:t>
      </w:r>
      <w:r>
        <w:rPr>
          <w:rFonts w:hint="eastAsia"/>
        </w:rPr>
        <w:t>48</w:t>
      </w:r>
      <w:r>
        <w:rPr>
          <w:rFonts w:hint="eastAsia"/>
        </w:rPr>
        <w:t>家——</w:t>
      </w:r>
      <w:r>
        <w:rPr>
          <w:rFonts w:hint="eastAsia"/>
        </w:rPr>
        <w:t>10</w:t>
      </w:r>
      <w:r>
        <w:rPr>
          <w:rFonts w:hint="eastAsia"/>
        </w:rPr>
        <w:t>家提供门诊服务，</w:t>
      </w:r>
      <w:r>
        <w:rPr>
          <w:rFonts w:hint="eastAsia"/>
        </w:rPr>
        <w:t>38</w:t>
      </w:r>
      <w:r>
        <w:rPr>
          <w:rFonts w:hint="eastAsia"/>
        </w:rPr>
        <w:t>家提供住院服务；</w:t>
      </w:r>
    </w:p>
    <w:p w:rsidR="00000000" w:rsidRDefault="004D2F83" w:rsidP="004D2F83">
      <w:pPr>
        <w:spacing w:after="240" w:line="360" w:lineRule="exact"/>
        <w:ind w:leftChars="200" w:left="31680" w:hangingChars="200" w:firstLine="31680"/>
        <w:rPr>
          <w:rFonts w:hint="eastAsia"/>
        </w:rPr>
      </w:pPr>
      <w:r>
        <w:rPr>
          <w:rFonts w:hint="eastAsia"/>
        </w:rPr>
        <w:t>二、</w:t>
      </w:r>
      <w:r>
        <w:rPr>
          <w:rFonts w:hint="eastAsia"/>
        </w:rPr>
        <w:t>36</w:t>
      </w:r>
      <w:r>
        <w:rPr>
          <w:rFonts w:hint="eastAsia"/>
        </w:rPr>
        <w:t>家医院目前正在作出安排，准备在遭受强奸的受害妇女要求得到服务时，实施强奸后妊娠中断手术；到</w:t>
      </w:r>
      <w:r>
        <w:rPr>
          <w:rFonts w:hint="eastAsia"/>
        </w:rPr>
        <w:t>2000</w:t>
      </w:r>
      <w:r>
        <w:rPr>
          <w:rFonts w:hint="eastAsia"/>
        </w:rPr>
        <w:t>年年底，其中有</w:t>
      </w:r>
      <w:r>
        <w:rPr>
          <w:rFonts w:hint="eastAsia"/>
        </w:rPr>
        <w:t>26</w:t>
      </w:r>
      <w:r>
        <w:rPr>
          <w:rFonts w:hint="eastAsia"/>
        </w:rPr>
        <w:t>家医院至少已处理过一个这种病例。</w:t>
      </w:r>
    </w:p>
    <w:p w:rsidR="00000000" w:rsidRDefault="004D2F83" w:rsidP="004D2F83">
      <w:pPr>
        <w:spacing w:after="240" w:line="360" w:lineRule="exact"/>
        <w:ind w:firstLineChars="200" w:firstLine="31680"/>
        <w:rPr>
          <w:rFonts w:hint="eastAsia"/>
        </w:rPr>
      </w:pPr>
      <w:r>
        <w:rPr>
          <w:rFonts w:hint="eastAsia"/>
        </w:rPr>
        <w:t>1988</w:t>
      </w:r>
      <w:r>
        <w:rPr>
          <w:rFonts w:hint="eastAsia"/>
        </w:rPr>
        <w:t>年颁布的《“</w:t>
      </w:r>
      <w:r>
        <w:rPr>
          <w:rFonts w:hint="eastAsia"/>
        </w:rPr>
        <w:t>预防和处理对妇女和青少年的性暴力产生的伤害”技术规则规定》，调整了处理这类情况的保健服务机构。大多数服务机构都设在巴西南部和东南部地区。北部地区提供这类援助的单位最多，而其他区域一些州也在通过建立伙伴关系，特别是与安全和司法领域的机构合作，努力实施援助暴力受害者的人性化综合网络。</w:t>
      </w:r>
    </w:p>
    <w:p w:rsidR="00000000" w:rsidRDefault="004D2F83" w:rsidP="004D2F83">
      <w:pPr>
        <w:pStyle w:val="BodyTextIndent2"/>
        <w:spacing w:after="240" w:line="360" w:lineRule="exact"/>
        <w:ind w:firstLineChars="200" w:firstLine="31680"/>
        <w:rPr>
          <w:rFonts w:eastAsia="KaiTi_GB2312" w:hint="eastAsia"/>
          <w:i w:val="0"/>
          <w:iCs/>
        </w:rPr>
      </w:pPr>
      <w:r>
        <w:rPr>
          <w:rFonts w:eastAsia="KaiTi_GB2312" w:hint="eastAsia"/>
          <w:i w:val="0"/>
          <w:iCs/>
        </w:rPr>
        <w:t>这些成果的取得是若干机构努力的结果，它们正在努力将暴力侵害妇女问题作为一个优先问题列入国家政治议程，并且致力于促进不仅对受害者而且也对性暴力肇事者给予适当关注。</w:t>
      </w:r>
    </w:p>
    <w:p w:rsidR="00000000" w:rsidRDefault="004D2F83">
      <w:pPr>
        <w:pStyle w:val="Date"/>
        <w:spacing w:after="240" w:line="360" w:lineRule="exact"/>
        <w:rPr>
          <w:rFonts w:eastAsia="SimHei" w:hint="eastAsia"/>
          <w:bCs/>
          <w:sz w:val="24"/>
        </w:rPr>
      </w:pPr>
      <w:r>
        <w:rPr>
          <w:rFonts w:eastAsia="SimHei" w:hint="eastAsia"/>
          <w:bCs/>
          <w:sz w:val="24"/>
        </w:rPr>
        <w:t>社会福利部</w:t>
      </w:r>
    </w:p>
    <w:p w:rsidR="00000000" w:rsidRDefault="004D2F83" w:rsidP="004D2F83">
      <w:pPr>
        <w:spacing w:after="240" w:line="360" w:lineRule="exact"/>
        <w:ind w:firstLineChars="200" w:firstLine="31680"/>
        <w:rPr>
          <w:rFonts w:hint="eastAsia"/>
        </w:rPr>
      </w:pPr>
      <w:r>
        <w:rPr>
          <w:rFonts w:hint="eastAsia"/>
        </w:rPr>
        <w:t>在福利政策范围内，自</w:t>
      </w:r>
      <w:r>
        <w:rPr>
          <w:rFonts w:hint="eastAsia"/>
        </w:rPr>
        <w:t>1996</w:t>
      </w:r>
      <w:r>
        <w:rPr>
          <w:rFonts w:hint="eastAsia"/>
        </w:rPr>
        <w:t>年以来，“巴西儿童公民方案”</w:t>
      </w:r>
      <w:r>
        <w:rPr>
          <w:rFonts w:hint="eastAsia"/>
        </w:rPr>
        <w:t>一直在实施一项“根除童工计划”，该计划为贫困受害者和使子女强迫劳动的家庭提供经济支助；以及</w:t>
      </w:r>
      <w:r>
        <w:rPr>
          <w:rFonts w:hint="eastAsia"/>
        </w:rPr>
        <w:t>1997</w:t>
      </w:r>
      <w:r>
        <w:rPr>
          <w:rFonts w:hint="eastAsia"/>
        </w:rPr>
        <w:t>年亚马孙州</w:t>
      </w:r>
      <w:r>
        <w:rPr>
          <w:rFonts w:hint="eastAsia"/>
        </w:rPr>
        <w:t>29</w:t>
      </w:r>
      <w:r>
        <w:rPr>
          <w:rFonts w:hint="eastAsia"/>
        </w:rPr>
        <w:t>个市执行的</w:t>
      </w:r>
      <w:r>
        <w:t>Cunhata</w:t>
      </w:r>
      <w:r>
        <w:rPr>
          <w:rFonts w:hint="eastAsia"/>
        </w:rPr>
        <w:t>和</w:t>
      </w:r>
      <w:r>
        <w:t>Curumim</w:t>
      </w:r>
      <w:r>
        <w:rPr>
          <w:rFonts w:hint="eastAsia"/>
        </w:rPr>
        <w:t>项目，“巴西儿童公民方案”还拟订了预防和打击对儿童和青少年性剥削的行动。</w:t>
      </w:r>
    </w:p>
    <w:p w:rsidR="00000000" w:rsidRDefault="004D2F83" w:rsidP="004D2F83">
      <w:pPr>
        <w:pStyle w:val="BodyTextIndent2"/>
        <w:spacing w:after="240" w:line="360" w:lineRule="exact"/>
        <w:ind w:firstLineChars="200" w:firstLine="31680"/>
        <w:rPr>
          <w:rFonts w:eastAsia="KaiTi_GB2312" w:hint="eastAsia"/>
          <w:i w:val="0"/>
          <w:iCs/>
        </w:rPr>
      </w:pPr>
      <w:r>
        <w:rPr>
          <w:rFonts w:eastAsia="KaiTi_GB2312" w:hint="eastAsia"/>
          <w:i w:val="0"/>
          <w:iCs/>
        </w:rPr>
        <w:t>通过“向前，巴西”项目，联邦政府在国家政治和社会议程中优先列入了“禁止对儿童和青少年虐待和性剥削方案”，此项活动得到福利问题国务秘书处的协调。</w:t>
      </w:r>
    </w:p>
    <w:p w:rsidR="00000000" w:rsidRDefault="004D2F83">
      <w:pPr>
        <w:spacing w:after="240" w:line="360" w:lineRule="exact"/>
        <w:ind w:firstLine="359"/>
        <w:rPr>
          <w:rFonts w:hint="eastAsia"/>
        </w:rPr>
      </w:pPr>
      <w:r>
        <w:rPr>
          <w:rFonts w:hint="eastAsia"/>
        </w:rPr>
        <w:t>自</w:t>
      </w:r>
      <w:r>
        <w:rPr>
          <w:rFonts w:hint="eastAsia"/>
        </w:rPr>
        <w:t>2001</w:t>
      </w:r>
      <w:r>
        <w:rPr>
          <w:rFonts w:hint="eastAsia"/>
        </w:rPr>
        <w:t>年以来，福利问题国务秘书处在巴西</w:t>
      </w:r>
      <w:r>
        <w:rPr>
          <w:rFonts w:hint="eastAsia"/>
        </w:rPr>
        <w:t>242</w:t>
      </w:r>
      <w:r>
        <w:rPr>
          <w:rFonts w:hint="eastAsia"/>
        </w:rPr>
        <w:t>个市执行了“哨兵方案”。该方案以各市提交的社会议程为基础，重要是拟订旨在通过咨询中心和接待家庭</w:t>
      </w:r>
      <w:r>
        <w:rPr>
          <w:rFonts w:hint="eastAsia"/>
        </w:rPr>
        <w:t>的服务援助认定的虐待和性剥削案件的特别行动。</w:t>
      </w:r>
    </w:p>
    <w:p w:rsidR="00000000" w:rsidRDefault="004D2F83" w:rsidP="004D2F83">
      <w:pPr>
        <w:spacing w:after="240" w:line="360" w:lineRule="exact"/>
        <w:ind w:leftChars="200" w:left="31680" w:hangingChars="200" w:firstLine="31680"/>
        <w:rPr>
          <w:rFonts w:hint="eastAsia"/>
        </w:rPr>
      </w:pPr>
      <w:r>
        <w:rPr>
          <w:rFonts w:hint="eastAsia"/>
        </w:rPr>
        <w:t>一、咨询中心——咨询中心是各市为开展服务以向性剥削受害儿童和青少年提供紧急援助和保护而建立和（或）实施的有形基础设施。该中心向在街头遭受性剥削或被有组织网络性剥削的儿童和青少年提供教育援助；向性暴力受害者及其家庭提供专门的多专业援助；通过支助小组向性暴力受害儿童和青少年提供心理社会支持；在服务网络、家庭和社区范围内由该中心协助对案件开展长期后续行动；必要时提供</w:t>
      </w:r>
      <w:r>
        <w:rPr>
          <w:rFonts w:hint="eastAsia"/>
        </w:rPr>
        <w:t>24</w:t>
      </w:r>
      <w:r>
        <w:rPr>
          <w:rFonts w:hint="eastAsia"/>
        </w:rPr>
        <w:t>小时庇护；通过庇护服务和接待家庭服务支助权利保障体系。</w:t>
      </w:r>
    </w:p>
    <w:p w:rsidR="00000000" w:rsidRDefault="004D2F83" w:rsidP="004D2F83">
      <w:pPr>
        <w:spacing w:after="240" w:line="360" w:lineRule="exact"/>
        <w:ind w:leftChars="200" w:left="31680" w:hangingChars="200" w:firstLine="31680"/>
        <w:rPr>
          <w:rFonts w:hint="eastAsia"/>
        </w:rPr>
      </w:pPr>
      <w:r>
        <w:rPr>
          <w:rFonts w:hint="eastAsia"/>
        </w:rPr>
        <w:t>二、接待家庭：接待家庭服务处是由各市自行建立</w:t>
      </w:r>
      <w:r>
        <w:rPr>
          <w:rFonts w:hint="eastAsia"/>
        </w:rPr>
        <w:t>和</w:t>
      </w:r>
      <w:r>
        <w:t>（</w:t>
      </w:r>
      <w:r>
        <w:rPr>
          <w:rFonts w:hint="eastAsia"/>
        </w:rPr>
        <w:t>或）实施的，由旨在向性虐待受害儿童和青少年提供全面保护的家庭网络组成。该服务处通过接待家庭确保这些儿童获得家庭和社区生活权利。此项服务得到《儿童和青少年法规》第</w:t>
      </w:r>
      <w:r>
        <w:rPr>
          <w:rFonts w:hint="eastAsia"/>
        </w:rPr>
        <w:t>92</w:t>
      </w:r>
      <w:r>
        <w:rPr>
          <w:rFonts w:hint="eastAsia"/>
        </w:rPr>
        <w:t>条的支持，该条规定了为这类儿童和青少年提供庇护的规范化的原则和标准。参与此项服务的家庭由咨询中心技术小组来监督。</w:t>
      </w:r>
    </w:p>
    <w:p w:rsidR="00000000" w:rsidRDefault="004D2F83" w:rsidP="004D2F83">
      <w:pPr>
        <w:pStyle w:val="BodyTextIndent2"/>
        <w:spacing w:after="240" w:line="360" w:lineRule="exact"/>
        <w:ind w:firstLineChars="200" w:firstLine="31680"/>
        <w:rPr>
          <w:rFonts w:eastAsia="KaiTi_GB2312" w:hint="eastAsia"/>
          <w:i w:val="0"/>
          <w:iCs/>
        </w:rPr>
      </w:pPr>
      <w:r>
        <w:rPr>
          <w:rFonts w:eastAsia="KaiTi_GB2312" w:hint="eastAsia"/>
          <w:i w:val="0"/>
          <w:iCs/>
        </w:rPr>
        <w:t>咨询中心和接待家庭服务处由福利基金提供资助，只要它们的建议书中除联邦政府供应的资金估算外还包括各州市政府提供经费的分配情况。此类资金也可有不同的筹资来源，如私人部门、融资机构和广大社会。</w:t>
      </w:r>
    </w:p>
    <w:p w:rsidR="00000000" w:rsidRDefault="004D2F83">
      <w:pPr>
        <w:pStyle w:val="Date"/>
        <w:spacing w:after="240" w:line="360" w:lineRule="exact"/>
        <w:rPr>
          <w:rFonts w:eastAsia="SimHei" w:hint="eastAsia"/>
          <w:bCs/>
          <w:sz w:val="24"/>
        </w:rPr>
      </w:pPr>
      <w:r>
        <w:rPr>
          <w:rFonts w:eastAsia="SimHei" w:hint="eastAsia"/>
          <w:bCs/>
          <w:sz w:val="24"/>
        </w:rPr>
        <w:t>全国一体化部</w:t>
      </w:r>
    </w:p>
    <w:p w:rsidR="00000000" w:rsidRDefault="004D2F83" w:rsidP="004D2F83">
      <w:pPr>
        <w:pStyle w:val="BodyTextIndent2"/>
        <w:spacing w:after="240" w:line="360" w:lineRule="exact"/>
        <w:ind w:firstLineChars="200" w:firstLine="31680"/>
        <w:rPr>
          <w:rFonts w:eastAsia="KaiTi_GB2312" w:hint="eastAsia"/>
          <w:i w:val="0"/>
          <w:iCs/>
        </w:rPr>
      </w:pPr>
      <w:r>
        <w:rPr>
          <w:rFonts w:eastAsia="KaiTi_GB2312" w:hint="eastAsia"/>
          <w:i w:val="0"/>
          <w:iCs/>
        </w:rPr>
        <w:t>“贫穷地区就业和创收国家方案</w:t>
      </w:r>
      <w:r>
        <w:rPr>
          <w:rFonts w:eastAsia="KaiTi_GB2312" w:hint="eastAsia"/>
          <w:i w:val="0"/>
          <w:iCs/>
        </w:rPr>
        <w:t>”旨在协调能够提高各市穷困地区人民生活水平的若干行动和方案。</w:t>
      </w:r>
    </w:p>
    <w:p w:rsidR="00000000" w:rsidRDefault="004D2F83" w:rsidP="004D2F83">
      <w:pPr>
        <w:spacing w:after="240" w:line="360" w:lineRule="exact"/>
        <w:ind w:firstLineChars="200" w:firstLine="31680"/>
        <w:rPr>
          <w:rFonts w:hint="eastAsia"/>
        </w:rPr>
      </w:pPr>
      <w:r>
        <w:rPr>
          <w:rFonts w:hint="eastAsia"/>
        </w:rPr>
        <w:t>2000</w:t>
      </w:r>
      <w:r>
        <w:rPr>
          <w:rFonts w:hint="eastAsia"/>
        </w:rPr>
        <w:t>年，巴西批准了国际劳工组织关于消除最恶劣形式童工的第</w:t>
      </w:r>
      <w:r>
        <w:rPr>
          <w:rFonts w:hint="eastAsia"/>
        </w:rPr>
        <w:t>182</w:t>
      </w:r>
      <w:r>
        <w:rPr>
          <w:rFonts w:hint="eastAsia"/>
        </w:rPr>
        <w:t>号公约，该公约涉及儿童奴隶制、强迫劳动、贩运儿童、债务奴役和奴隶状况、卖淫、色情及若干形式的危险和剥削劳动等问题。</w:t>
      </w:r>
    </w:p>
    <w:p w:rsidR="00000000" w:rsidRDefault="004D2F83" w:rsidP="004D2F83">
      <w:pPr>
        <w:spacing w:after="240" w:line="360" w:lineRule="exact"/>
        <w:ind w:firstLineChars="200" w:firstLine="31680"/>
        <w:rPr>
          <w:rFonts w:hint="eastAsia"/>
        </w:rPr>
      </w:pPr>
      <w:r>
        <w:rPr>
          <w:rFonts w:hint="eastAsia"/>
        </w:rPr>
        <w:t>消除童工国家政策的目标包括在地方一级提高家庭收入和促进一体化的可持续发展。为此目的，社会福利救济部福利问题秘书处在“根除童工方案”协助下，拟订了面向儿童家庭生产组织的结构性行动，以便使其实现经济和社会融合并为消除家庭贫穷状况做出贡献。秘书处建立“贫穷地区就业和创收国家</w:t>
      </w:r>
      <w:r>
        <w:rPr>
          <w:rFonts w:hint="eastAsia"/>
        </w:rPr>
        <w:t>方案”执行的行动面向那些，参与“根除童工方案”的家庭，为此在</w:t>
      </w:r>
      <w:r>
        <w:rPr>
          <w:rFonts w:hint="eastAsia"/>
        </w:rPr>
        <w:t>2000</w:t>
      </w:r>
      <w:r>
        <w:rPr>
          <w:rFonts w:hint="eastAsia"/>
        </w:rPr>
        <w:t>财政年划拨了</w:t>
      </w:r>
      <w:r>
        <w:rPr>
          <w:rFonts w:hint="eastAsia"/>
        </w:rPr>
        <w:t>1350</w:t>
      </w:r>
      <w:r>
        <w:rPr>
          <w:rFonts w:hint="eastAsia"/>
        </w:rPr>
        <w:t>万雷亚尔（壹仟叁佰伍拾万雷亚尔），以期到</w:t>
      </w:r>
      <w:r>
        <w:rPr>
          <w:rFonts w:hint="eastAsia"/>
        </w:rPr>
        <w:t>2001</w:t>
      </w:r>
      <w:r>
        <w:rPr>
          <w:rFonts w:hint="eastAsia"/>
        </w:rPr>
        <w:t>年使大约</w:t>
      </w:r>
      <w:r>
        <w:rPr>
          <w:rFonts w:hint="eastAsia"/>
        </w:rPr>
        <w:t>10</w:t>
      </w:r>
      <w:r>
        <w:rPr>
          <w:rFonts w:hint="eastAsia"/>
        </w:rPr>
        <w:t>万个家庭得到“根除童工方案”的援助。</w:t>
      </w:r>
    </w:p>
    <w:p w:rsidR="00000000" w:rsidRDefault="004D2F83" w:rsidP="004D2F83">
      <w:pPr>
        <w:pStyle w:val="BodyTextIndent2"/>
        <w:spacing w:after="240" w:line="360" w:lineRule="exact"/>
        <w:ind w:firstLineChars="200" w:firstLine="31680"/>
        <w:rPr>
          <w:rFonts w:eastAsia="KaiTi_GB2312" w:hint="eastAsia"/>
          <w:i w:val="0"/>
          <w:iCs/>
        </w:rPr>
      </w:pPr>
      <w:r>
        <w:rPr>
          <w:rFonts w:eastAsia="KaiTi_GB2312" w:hint="eastAsia"/>
          <w:i w:val="0"/>
          <w:iCs/>
        </w:rPr>
        <w:t>通过开展上述活动，政府希望消除贫困社区的失业和就业不足现象，进一步根除童工现象，为该方案所援助的人民和社区实现可持续的经济解放和社会融合做出贡献，从而促进减轻“根除童工方案”所涉区域中的贫穷和社会不平等。</w:t>
      </w:r>
    </w:p>
    <w:p w:rsidR="00000000" w:rsidRDefault="004D2F83">
      <w:pPr>
        <w:pStyle w:val="Date"/>
        <w:spacing w:after="240" w:line="360" w:lineRule="exact"/>
        <w:rPr>
          <w:rFonts w:eastAsia="SimHei" w:hint="eastAsia"/>
          <w:bCs/>
          <w:sz w:val="24"/>
        </w:rPr>
      </w:pPr>
      <w:r>
        <w:rPr>
          <w:rFonts w:eastAsia="SimHei" w:hint="eastAsia"/>
          <w:bCs/>
          <w:sz w:val="24"/>
        </w:rPr>
        <w:t>劳动就业部</w:t>
      </w:r>
    </w:p>
    <w:p w:rsidR="00000000" w:rsidRDefault="004D2F83" w:rsidP="004D2F83">
      <w:pPr>
        <w:spacing w:after="240" w:line="360" w:lineRule="exact"/>
        <w:ind w:firstLineChars="200" w:firstLine="31680"/>
        <w:rPr>
          <w:rFonts w:hint="eastAsia"/>
        </w:rPr>
      </w:pPr>
      <w:r>
        <w:rPr>
          <w:rFonts w:hint="eastAsia"/>
        </w:rPr>
        <w:t>到</w:t>
      </w:r>
      <w:r>
        <w:rPr>
          <w:rFonts w:hint="eastAsia"/>
        </w:rPr>
        <w:t>1995</w:t>
      </w:r>
      <w:r>
        <w:rPr>
          <w:rFonts w:hint="eastAsia"/>
        </w:rPr>
        <w:t>年，该部拟订并执行了“全国劳动者资格培训计划”，</w:t>
      </w:r>
      <w:r>
        <w:rPr>
          <w:rFonts w:hint="eastAsia"/>
        </w:rPr>
        <w:t>1996</w:t>
      </w:r>
      <w:r>
        <w:rPr>
          <w:rFonts w:hint="eastAsia"/>
        </w:rPr>
        <w:t>年，该计划被确定为联邦政府的一个优先项目，</w:t>
      </w:r>
      <w:r>
        <w:rPr>
          <w:rFonts w:hint="eastAsia"/>
        </w:rPr>
        <w:t>成为“巴西在行动”计划的一部分。“全国劳动者资格培训计划”被列入了公共就业体系配套的积极政策中，该计划与面向失业者的各种失业保险、群众信贷和援助方案一样，由劳动者支助基金资助。该计划自创立以来，不仅作为一项群众培训方案，而且也是作为一项战略来执行的，结合劳动和收入公共政策来实施专业教育公共政策。</w:t>
      </w:r>
    </w:p>
    <w:p w:rsidR="00000000" w:rsidRDefault="004D2F83" w:rsidP="004D2F83">
      <w:pPr>
        <w:spacing w:after="240" w:line="360" w:lineRule="exact"/>
        <w:ind w:firstLineChars="200" w:firstLine="31680"/>
        <w:rPr>
          <w:rFonts w:hint="eastAsia"/>
        </w:rPr>
      </w:pPr>
      <w:r>
        <w:rPr>
          <w:rFonts w:hint="eastAsia"/>
        </w:rPr>
        <w:t>在巴西，自</w:t>
      </w:r>
      <w:r>
        <w:rPr>
          <w:rFonts w:hint="eastAsia"/>
        </w:rPr>
        <w:t>1965</w:t>
      </w:r>
      <w:r>
        <w:rPr>
          <w:rFonts w:hint="eastAsia"/>
        </w:rPr>
        <w:t>年以来，机会平等和消除歧视的议题列入了公共政策议程，尽管只是在</w:t>
      </w:r>
      <w:r>
        <w:rPr>
          <w:rFonts w:hint="eastAsia"/>
        </w:rPr>
        <w:t>1996</w:t>
      </w:r>
      <w:r>
        <w:rPr>
          <w:rFonts w:hint="eastAsia"/>
        </w:rPr>
        <w:t>年司法部执行了</w:t>
      </w:r>
      <w:r>
        <w:rPr>
          <w:rFonts w:eastAsia="SimHei" w:hint="eastAsia"/>
          <w:bCs/>
        </w:rPr>
        <w:t>国家人权计划</w:t>
      </w:r>
      <w:r>
        <w:rPr>
          <w:rFonts w:hint="eastAsia"/>
        </w:rPr>
        <w:t>之后，巴西政府最近才开始在制订和执行基于这种假定的公正政策方面采取更果断的行动。</w:t>
      </w:r>
    </w:p>
    <w:p w:rsidR="00000000" w:rsidRDefault="004D2F83" w:rsidP="004D2F83">
      <w:pPr>
        <w:spacing w:after="240" w:line="360" w:lineRule="exact"/>
        <w:ind w:firstLineChars="200" w:firstLine="31680"/>
        <w:rPr>
          <w:rFonts w:hint="eastAsia"/>
        </w:rPr>
      </w:pPr>
      <w:r>
        <w:rPr>
          <w:rFonts w:hint="eastAsia"/>
        </w:rPr>
        <w:t>1996</w:t>
      </w:r>
      <w:r>
        <w:rPr>
          <w:rFonts w:hint="eastAsia"/>
        </w:rPr>
        <w:t>年</w:t>
      </w:r>
      <w:r>
        <w:rPr>
          <w:rFonts w:hint="eastAsia"/>
        </w:rPr>
        <w:t>3</w:t>
      </w:r>
      <w:r>
        <w:rPr>
          <w:rFonts w:hint="eastAsia"/>
        </w:rPr>
        <w:t>月</w:t>
      </w:r>
      <w:r>
        <w:rPr>
          <w:rFonts w:hint="eastAsia"/>
        </w:rPr>
        <w:t>8</w:t>
      </w:r>
      <w:r>
        <w:rPr>
          <w:rFonts w:hint="eastAsia"/>
        </w:rPr>
        <w:t>日</w:t>
      </w:r>
      <w:r>
        <w:rPr>
          <w:rFonts w:hint="eastAsia"/>
        </w:rPr>
        <w:t>，劳动就业部与司法部</w:t>
      </w:r>
      <w:r>
        <w:t>/</w:t>
      </w:r>
      <w:r>
        <w:rPr>
          <w:rFonts w:hint="eastAsia"/>
        </w:rPr>
        <w:t>全国妇女权利委员会签署了“妇女、教育和劳动”议定书，该议定书确定了下列承诺：至少</w:t>
      </w:r>
      <w:r>
        <w:t>30%</w:t>
      </w:r>
      <w:r>
        <w:rPr>
          <w:rFonts w:hint="eastAsia"/>
        </w:rPr>
        <w:t>妇女参与全国劳动者资格培训计划的各个方案；制订着眼于女户主和遇到社会风险，特别是涉及暴力和性剥削情形的青年的方案。</w:t>
      </w:r>
    </w:p>
    <w:p w:rsidR="00000000" w:rsidRDefault="004D2F83" w:rsidP="004D2F83">
      <w:pPr>
        <w:spacing w:after="240" w:line="360" w:lineRule="exact"/>
        <w:ind w:firstLineChars="200" w:firstLine="31680"/>
        <w:rPr>
          <w:rFonts w:hint="eastAsia"/>
        </w:rPr>
      </w:pPr>
      <w:r>
        <w:rPr>
          <w:rFonts w:hint="eastAsia"/>
        </w:rPr>
        <w:t>各州开展了以下着眼于性暴力、带有性别观点的创新性活动：</w:t>
      </w:r>
    </w:p>
    <w:p w:rsidR="00000000" w:rsidRDefault="004D2F83" w:rsidP="004D2F83">
      <w:pPr>
        <w:spacing w:after="240" w:line="360" w:lineRule="exact"/>
        <w:ind w:leftChars="200" w:left="31680" w:hangingChars="200" w:firstLine="31680"/>
        <w:rPr>
          <w:rFonts w:hint="eastAsia"/>
        </w:rPr>
      </w:pPr>
      <w:r>
        <w:rPr>
          <w:rFonts w:hint="eastAsia"/>
        </w:rPr>
        <w:t>一、帕拉伊巴州——司法和公民资格事务州秘书处、帕拉伊巴州联邦大学社区事务教务处：培训警务人员以在妇女遭受暴力时提供特别援助。</w:t>
      </w:r>
    </w:p>
    <w:p w:rsidR="00000000" w:rsidRDefault="004D2F83" w:rsidP="004D2F83">
      <w:pPr>
        <w:spacing w:after="240" w:line="360" w:lineRule="exact"/>
        <w:ind w:leftChars="200" w:left="31680" w:hangingChars="200" w:firstLine="31680"/>
        <w:rPr>
          <w:rFonts w:hint="eastAsia"/>
        </w:rPr>
      </w:pPr>
      <w:r>
        <w:rPr>
          <w:rFonts w:hint="eastAsia"/>
        </w:rPr>
        <w:t>二、伯南布哥州——公共安全秘书处、民警学院、</w:t>
      </w:r>
      <w:r>
        <w:t>Apolonio Sales</w:t>
      </w:r>
      <w:r>
        <w:rPr>
          <w:rFonts w:hint="eastAsia"/>
        </w:rPr>
        <w:t>教育发展基金会：培训警官以打击侵害</w:t>
      </w:r>
      <w:r>
        <w:rPr>
          <w:rFonts w:hint="eastAsia"/>
        </w:rPr>
        <w:t>妇女和儿童的家庭暴力以及色情旅游（青少年）。</w:t>
      </w:r>
    </w:p>
    <w:p w:rsidR="00000000" w:rsidRDefault="004D2F83" w:rsidP="004D2F83">
      <w:pPr>
        <w:spacing w:after="240" w:line="360" w:lineRule="exact"/>
        <w:ind w:leftChars="200" w:left="31680" w:hangingChars="200" w:firstLine="31680"/>
        <w:rPr>
          <w:rFonts w:hint="eastAsia"/>
        </w:rPr>
      </w:pPr>
      <w:r>
        <w:rPr>
          <w:rFonts w:hint="eastAsia"/>
        </w:rPr>
        <w:t>三、北里约格朗德州——纳塔尔市市妇女权利委员会：与遭受色情旅游剥削的少年有关的试验项目，采用有助于获得自尊和取得公民资格的方法。</w:t>
      </w:r>
    </w:p>
    <w:p w:rsidR="00000000" w:rsidRDefault="004D2F83" w:rsidP="004D2F83">
      <w:pPr>
        <w:spacing w:after="240" w:line="360" w:lineRule="exact"/>
        <w:ind w:leftChars="200" w:left="31680" w:hangingChars="200" w:firstLine="31680"/>
        <w:rPr>
          <w:rFonts w:hint="eastAsia"/>
        </w:rPr>
      </w:pPr>
      <w:r>
        <w:rPr>
          <w:rFonts w:hint="eastAsia"/>
        </w:rPr>
        <w:t>四、米纳斯吉拉斯州——</w:t>
      </w:r>
      <w:r>
        <w:t>Belo Horizonte</w:t>
      </w:r>
      <w:r>
        <w:rPr>
          <w:rFonts w:hint="eastAsia"/>
        </w:rPr>
        <w:t>女裁缝协会和</w:t>
      </w:r>
      <w:r>
        <w:t>Darcy Ribeiro</w:t>
      </w:r>
      <w:r>
        <w:rPr>
          <w:rFonts w:hint="eastAsia"/>
        </w:rPr>
        <w:t>教授人类社会进步协会：项目涉及</w:t>
      </w:r>
      <w:r>
        <w:rPr>
          <w:rFonts w:hint="eastAsia"/>
        </w:rPr>
        <w:t>2 600</w:t>
      </w:r>
      <w:r>
        <w:rPr>
          <w:rFonts w:hint="eastAsia"/>
        </w:rPr>
        <w:t>名妇女，包括</w:t>
      </w:r>
      <w:r>
        <w:rPr>
          <w:rFonts w:hint="eastAsia"/>
        </w:rPr>
        <w:t>500</w:t>
      </w:r>
      <w:r>
        <w:rPr>
          <w:rFonts w:hint="eastAsia"/>
        </w:rPr>
        <w:t>名处于社会剥削危险中的妇女，帮助她们进入时装界——设计、制模和缝纫——以及实现个性发展、注重卫生和保健。</w:t>
      </w:r>
    </w:p>
    <w:p w:rsidR="00000000" w:rsidRDefault="004D2F83" w:rsidP="004D2F83">
      <w:pPr>
        <w:spacing w:after="240" w:line="360" w:lineRule="exact"/>
        <w:ind w:leftChars="200" w:left="31680" w:hangingChars="200" w:firstLine="31680"/>
        <w:rPr>
          <w:rFonts w:hint="eastAsia"/>
        </w:rPr>
      </w:pPr>
      <w:r>
        <w:rPr>
          <w:rFonts w:hint="eastAsia"/>
        </w:rPr>
        <w:t>五、</w:t>
      </w:r>
      <w:r>
        <w:rPr>
          <w:rFonts w:hint="eastAsia"/>
        </w:rPr>
        <w:t xml:space="preserve"> 1995</w:t>
      </w:r>
      <w:r>
        <w:rPr>
          <w:rFonts w:hint="eastAsia"/>
        </w:rPr>
        <w:t>至</w:t>
      </w:r>
      <w:r>
        <w:rPr>
          <w:rFonts w:hint="eastAsia"/>
        </w:rPr>
        <w:t>1999</w:t>
      </w:r>
      <w:r>
        <w:rPr>
          <w:rFonts w:hint="eastAsia"/>
        </w:rPr>
        <w:t>年间，</w:t>
      </w:r>
      <w:r>
        <w:rPr>
          <w:rFonts w:hint="eastAsia"/>
        </w:rPr>
        <w:t>16</w:t>
      </w:r>
      <w:r>
        <w:rPr>
          <w:rFonts w:hint="eastAsia"/>
        </w:rPr>
        <w:t>至</w:t>
      </w:r>
      <w:r>
        <w:rPr>
          <w:rFonts w:hint="eastAsia"/>
        </w:rPr>
        <w:t>24</w:t>
      </w:r>
      <w:r>
        <w:rPr>
          <w:rFonts w:hint="eastAsia"/>
        </w:rPr>
        <w:t>岁年龄组的年轻人约占全国劳动者资格培训计划所</w:t>
      </w:r>
      <w:r>
        <w:rPr>
          <w:rFonts w:hint="eastAsia"/>
        </w:rPr>
        <w:t>培训的所有人员的</w:t>
      </w:r>
      <w:r>
        <w:t>40%</w:t>
      </w:r>
      <w:r>
        <w:rPr>
          <w:rFonts w:hint="eastAsia"/>
        </w:rPr>
        <w:t>，</w:t>
      </w:r>
      <w:r>
        <w:rPr>
          <w:rStyle w:val="FootnoteReference"/>
        </w:rPr>
        <w:footnoteReference w:customMarkFollows="1" w:id="68"/>
        <w:t>68</w:t>
      </w:r>
      <w:r>
        <w:rPr>
          <w:rFonts w:hint="eastAsia"/>
        </w:rPr>
        <w:t>共计</w:t>
      </w:r>
      <w:r>
        <w:rPr>
          <w:rFonts w:hint="eastAsia"/>
        </w:rPr>
        <w:t>270</w:t>
      </w:r>
      <w:r>
        <w:rPr>
          <w:rFonts w:hint="eastAsia"/>
        </w:rPr>
        <w:t>万人，其中</w:t>
      </w:r>
      <w:r>
        <w:rPr>
          <w:rFonts w:hint="eastAsia"/>
        </w:rPr>
        <w:t>89</w:t>
      </w:r>
      <w:r>
        <w:rPr>
          <w:rFonts w:hint="eastAsia"/>
        </w:rPr>
        <w:t>万人处于社会危险境地，即遭受暴力、性剥削和赤贫。</w:t>
      </w:r>
    </w:p>
    <w:p w:rsidR="00000000" w:rsidRDefault="004D2F83">
      <w:pPr>
        <w:pStyle w:val="Date"/>
        <w:spacing w:after="240" w:line="360" w:lineRule="exact"/>
        <w:rPr>
          <w:rFonts w:eastAsia="SimHei" w:hint="eastAsia"/>
          <w:bCs/>
          <w:sz w:val="24"/>
        </w:rPr>
      </w:pPr>
      <w:r>
        <w:rPr>
          <w:rFonts w:eastAsia="SimHei" w:hint="eastAsia"/>
          <w:bCs/>
          <w:sz w:val="24"/>
        </w:rPr>
        <w:t>外交部</w:t>
      </w:r>
    </w:p>
    <w:p w:rsidR="00000000" w:rsidRDefault="004D2F83" w:rsidP="004D2F83">
      <w:pPr>
        <w:spacing w:after="240" w:line="360" w:lineRule="exact"/>
        <w:ind w:firstLineChars="200" w:firstLine="31680"/>
        <w:rPr>
          <w:rFonts w:hint="eastAsia"/>
        </w:rPr>
      </w:pPr>
      <w:r>
        <w:rPr>
          <w:rFonts w:hint="eastAsia"/>
        </w:rPr>
        <w:t>巴西通过其大使馆和领事馆网络，</w:t>
      </w:r>
      <w:r>
        <w:rPr>
          <w:rStyle w:val="FootnoteReference"/>
        </w:rPr>
        <w:footnoteReference w:customMarkFollows="1" w:id="69"/>
        <w:t>69</w:t>
      </w:r>
      <w:r>
        <w:rPr>
          <w:rFonts w:hint="eastAsia"/>
        </w:rPr>
        <w:t>时刻关注国际贩运人口问题，并与国家和国际机构紧密合作，以预防犯罪并在其具体的责任范围内向受害者提供领事援助。</w:t>
      </w:r>
      <w:r>
        <w:rPr>
          <w:rStyle w:val="FootnoteReference"/>
        </w:rPr>
        <w:footnoteReference w:customMarkFollows="1" w:id="70"/>
        <w:t>70</w:t>
      </w:r>
      <w:r>
        <w:rPr>
          <w:rFonts w:hint="eastAsia"/>
        </w:rPr>
        <w:t>事实上，领事馆在许多情况下对这种犯罪一无所知，因为出于惧怕遭报复，受害者没有向地方当局正式报案。</w:t>
      </w:r>
    </w:p>
    <w:p w:rsidR="00000000" w:rsidRDefault="004D2F83" w:rsidP="004D2F83">
      <w:pPr>
        <w:spacing w:after="240" w:line="360" w:lineRule="exact"/>
        <w:ind w:firstLineChars="200" w:firstLine="31680"/>
        <w:rPr>
          <w:rFonts w:hint="eastAsia"/>
        </w:rPr>
      </w:pPr>
      <w:r>
        <w:rPr>
          <w:rFonts w:hint="eastAsia"/>
        </w:rPr>
        <w:t>就领事行动的另一方面而言，外交部领事援助司从受害者亲属和联邦警察局、检察院和公民保护协会等机构接到越来越多的有关贩运人口的报告。领事援助司在接到报告后，会立即</w:t>
      </w:r>
      <w:r>
        <w:rPr>
          <w:rFonts w:hint="eastAsia"/>
        </w:rPr>
        <w:t>与当地管辖权相应的领事馆联络，要求采取必要措施以调查案件，同时提供领事援助，包括：与当地警察机构联系；任命一名受过专门训练和培养的雇员以监测调查的进展情况，收集有关人原籍国、个人资历和抵达该国时间方面的资料；以及联络提供物质和心理支持的当地庇护和福利组织。然后再与领事援助司建立新的联系，采取有关的必要措施以使巴西公民返回巴西。在</w:t>
      </w:r>
      <w:r>
        <w:rPr>
          <w:rFonts w:hint="eastAsia"/>
        </w:rPr>
        <w:t>2000</w:t>
      </w:r>
      <w:r>
        <w:rPr>
          <w:rFonts w:hint="eastAsia"/>
        </w:rPr>
        <w:t>和</w:t>
      </w:r>
      <w:r>
        <w:rPr>
          <w:rFonts w:hint="eastAsia"/>
        </w:rPr>
        <w:t>2001</w:t>
      </w:r>
      <w:r>
        <w:rPr>
          <w:rFonts w:hint="eastAsia"/>
        </w:rPr>
        <w:t>年里，该司接到</w:t>
      </w:r>
      <w:r>
        <w:rPr>
          <w:rFonts w:hint="eastAsia"/>
        </w:rPr>
        <w:t>25</w:t>
      </w:r>
      <w:r>
        <w:rPr>
          <w:rFonts w:hint="eastAsia"/>
        </w:rPr>
        <w:t>起贩运人口的报告。</w:t>
      </w:r>
    </w:p>
    <w:p w:rsidR="00000000" w:rsidRDefault="004D2F83" w:rsidP="004D2F83">
      <w:pPr>
        <w:spacing w:after="240" w:line="360" w:lineRule="exact"/>
        <w:ind w:firstLineChars="200" w:firstLine="31680"/>
        <w:rPr>
          <w:rFonts w:hint="eastAsia"/>
        </w:rPr>
      </w:pPr>
      <w:r>
        <w:rPr>
          <w:rFonts w:hint="eastAsia"/>
        </w:rPr>
        <w:t>2001</w:t>
      </w:r>
      <w:r>
        <w:rPr>
          <w:rFonts w:hint="eastAsia"/>
        </w:rPr>
        <w:t>年，有关当局，即当地警方和司法机构、外交部和巴西有关当局之间加强了合作，因此预计对这种不仅影响巴西妇女本人而且影响其家</w:t>
      </w:r>
      <w:r>
        <w:rPr>
          <w:rFonts w:hint="eastAsia"/>
        </w:rPr>
        <w:t>庭的罪恶行动将增强跨国打击的力度。</w:t>
      </w:r>
    </w:p>
    <w:p w:rsidR="00000000" w:rsidRDefault="004D2F83">
      <w:pPr>
        <w:pStyle w:val="Date"/>
        <w:spacing w:after="240" w:line="360" w:lineRule="exact"/>
        <w:rPr>
          <w:rFonts w:eastAsia="SimHei" w:hint="eastAsia"/>
          <w:bCs/>
          <w:sz w:val="24"/>
        </w:rPr>
      </w:pPr>
      <w:r>
        <w:rPr>
          <w:rFonts w:eastAsia="SimHei" w:hint="eastAsia"/>
          <w:bCs/>
          <w:sz w:val="24"/>
        </w:rPr>
        <w:t>司法部</w:t>
      </w:r>
    </w:p>
    <w:p w:rsidR="00000000" w:rsidRDefault="004D2F83">
      <w:pPr>
        <w:pStyle w:val="Date"/>
        <w:spacing w:after="240" w:line="360" w:lineRule="exact"/>
        <w:rPr>
          <w:rFonts w:eastAsia="SimHei" w:hint="eastAsia"/>
          <w:bCs/>
          <w:sz w:val="24"/>
        </w:rPr>
      </w:pPr>
      <w:r>
        <w:rPr>
          <w:rFonts w:eastAsia="SimHei" w:hint="eastAsia"/>
          <w:bCs/>
          <w:sz w:val="24"/>
        </w:rPr>
        <w:t>全国妇女权利委员会</w:t>
      </w:r>
    </w:p>
    <w:p w:rsidR="00000000" w:rsidRDefault="004D2F83" w:rsidP="004D2F83">
      <w:pPr>
        <w:pStyle w:val="BodyTextIndent2"/>
        <w:spacing w:after="240" w:line="360" w:lineRule="exact"/>
        <w:ind w:firstLineChars="200" w:firstLine="31680"/>
        <w:rPr>
          <w:rFonts w:eastAsia="KaiTi_GB2312" w:hint="eastAsia"/>
          <w:i w:val="0"/>
          <w:iCs/>
        </w:rPr>
      </w:pPr>
      <w:r>
        <w:rPr>
          <w:rFonts w:eastAsia="KaiTi_GB2312" w:hint="eastAsia"/>
          <w:i w:val="0"/>
          <w:iCs/>
        </w:rPr>
        <w:t>全国妇女权利委员会的任务是促进国家一级的政策，通过确保妇女的自由和平等权利以及充分参与国家的政治、经济和文化活动来消除对妇女的歧视。该委员会与司法部人权事务国务秘书处直接挂钩，负责提出法律改革建议以确保遵守《联邦宪法》，以及修订《民法典》和《刑法典》，从而消除歧视现象。例如，负责提出《关于修订巴西刑法典的法案》的委员会向司法部提交了建议。</w:t>
      </w:r>
    </w:p>
    <w:p w:rsidR="00000000" w:rsidRDefault="004D2F83" w:rsidP="004D2F83">
      <w:pPr>
        <w:pStyle w:val="BodyTextIndent2"/>
        <w:spacing w:after="240" w:line="360" w:lineRule="exact"/>
        <w:ind w:firstLineChars="200" w:firstLine="31680"/>
        <w:rPr>
          <w:rFonts w:eastAsia="KaiTi_GB2312" w:hint="eastAsia"/>
          <w:i w:val="0"/>
          <w:iCs/>
        </w:rPr>
      </w:pPr>
      <w:r>
        <w:rPr>
          <w:rFonts w:eastAsia="KaiTi_GB2312" w:hint="eastAsia"/>
          <w:i w:val="0"/>
          <w:iCs/>
        </w:rPr>
        <w:t>全国妇女权利委员会与法院保持长期联系，以便与各大学、各州、市和联邦区一级的妇女组织以及参与促进和宣传妇女权</w:t>
      </w:r>
      <w:r>
        <w:rPr>
          <w:rFonts w:eastAsia="KaiTi_GB2312" w:hint="eastAsia"/>
          <w:i w:val="0"/>
          <w:iCs/>
        </w:rPr>
        <w:t>利的非政府组织和妇女感兴趣的重大活动合作，共同捍卫妇女权利。</w:t>
      </w:r>
    </w:p>
    <w:p w:rsidR="00000000" w:rsidRDefault="004D2F83" w:rsidP="004D2F83">
      <w:pPr>
        <w:spacing w:after="240" w:line="360" w:lineRule="exact"/>
        <w:ind w:firstLineChars="200" w:firstLine="31680"/>
        <w:rPr>
          <w:rFonts w:hint="eastAsia"/>
        </w:rPr>
      </w:pPr>
      <w:r>
        <w:rPr>
          <w:rFonts w:hint="eastAsia"/>
        </w:rPr>
        <w:t>为了履行巴西政府在北京第四次妇女问题世界会议上所做的承诺，全国妇女权利委员会</w:t>
      </w:r>
      <w:r>
        <w:t>/</w:t>
      </w:r>
      <w:r>
        <w:rPr>
          <w:rFonts w:hint="eastAsia"/>
        </w:rPr>
        <w:t>司法部在与民间社会和国家进行了全面磋商之后，拟订了一份题为“平等战略”的文件。此份文件建议的优先领域有：确保妇女的平等权利和机会；消除贫穷；保健；教育；预防和消除暴力；体制机制；妇女与权利及传播媒介。</w:t>
      </w:r>
    </w:p>
    <w:p w:rsidR="00000000" w:rsidRDefault="004D2F83" w:rsidP="004D2F83">
      <w:pPr>
        <w:pStyle w:val="BodyTextIndent2"/>
        <w:spacing w:after="240" w:line="360" w:lineRule="exact"/>
        <w:ind w:firstLineChars="200" w:firstLine="31680"/>
        <w:rPr>
          <w:rFonts w:eastAsia="KaiTi_GB2312" w:hint="eastAsia"/>
          <w:i w:val="0"/>
          <w:iCs/>
        </w:rPr>
      </w:pPr>
      <w:r>
        <w:rPr>
          <w:rFonts w:eastAsia="KaiTi_GB2312" w:hint="eastAsia"/>
          <w:i w:val="0"/>
          <w:iCs/>
        </w:rPr>
        <w:t>全国妇女权利委员会制订了预防和消除暴力全国方案，该方案侧重于四种基本方法：协调部会间行动；修订法律；加强法律—警察工具；开展舆论宣传运动。该方案还执行了下列行动：</w:t>
      </w:r>
    </w:p>
    <w:p w:rsidR="00000000" w:rsidRDefault="004D2F83" w:rsidP="004D2F83">
      <w:pPr>
        <w:spacing w:after="240" w:line="360" w:lineRule="exact"/>
        <w:ind w:leftChars="200" w:left="31680" w:hangingChars="200" w:firstLine="31680"/>
        <w:rPr>
          <w:rFonts w:hint="eastAsia"/>
        </w:rPr>
      </w:pPr>
      <w:r>
        <w:rPr>
          <w:rFonts w:hint="eastAsia"/>
        </w:rPr>
        <w:t>一、修</w:t>
      </w:r>
      <w:r>
        <w:rPr>
          <w:rFonts w:hint="eastAsia"/>
        </w:rPr>
        <w:t>订法律：按照委员会的建议，行政部门向国民议会提交了一项修改《刑法典》的法案（第</w:t>
      </w:r>
      <w:r>
        <w:t>1.609/96</w:t>
      </w:r>
      <w:r>
        <w:rPr>
          <w:rFonts w:hint="eastAsia"/>
        </w:rPr>
        <w:t>号法案），从“伤风败俗罪”一章中取消所谓的“侵犯性自由罪”（强奸、暴力猥亵、欺骗性性占有、欺骗性狎亵）并将这种罪行放在“危害人类罪”一章中；</w:t>
      </w:r>
    </w:p>
    <w:p w:rsidR="00000000" w:rsidRDefault="004D2F83" w:rsidP="004D2F83">
      <w:pPr>
        <w:spacing w:after="240" w:line="360" w:lineRule="exact"/>
        <w:ind w:leftChars="200" w:left="31680" w:hangingChars="200" w:firstLine="31680"/>
        <w:rPr>
          <w:rFonts w:hint="eastAsia"/>
        </w:rPr>
      </w:pPr>
      <w:r>
        <w:rPr>
          <w:rFonts w:hint="eastAsia"/>
        </w:rPr>
        <w:t>二、通过综合援助中心保护家庭暴力受害妇女。关于这一问题，该委员会于</w:t>
      </w:r>
      <w:r>
        <w:rPr>
          <w:rFonts w:hint="eastAsia"/>
        </w:rPr>
        <w:t>1997</w:t>
      </w:r>
      <w:r>
        <w:rPr>
          <w:rFonts w:hint="eastAsia"/>
        </w:rPr>
        <w:t>年编写了题为“开设和管理庇护所的工作范围”的文件。该文件促使司法部</w:t>
      </w:r>
      <w:r>
        <w:t>/</w:t>
      </w:r>
      <w:r>
        <w:rPr>
          <w:rFonts w:hint="eastAsia"/>
        </w:rPr>
        <w:t>人权事务国家秘书处、各州、各市和联邦区签署了九项协定，以建造和开办庇护所并监测其有效运营情况，估计</w:t>
      </w:r>
      <w:r>
        <w:rPr>
          <w:rFonts w:hint="eastAsia"/>
        </w:rPr>
        <w:t>1998</w:t>
      </w:r>
      <w:r>
        <w:rPr>
          <w:rFonts w:hint="eastAsia"/>
        </w:rPr>
        <w:t>年其成本为</w:t>
      </w:r>
      <w:r>
        <w:t>407 000.0</w:t>
      </w:r>
      <w:r>
        <w:t>0</w:t>
      </w:r>
      <w:r>
        <w:rPr>
          <w:rFonts w:hint="eastAsia"/>
        </w:rPr>
        <w:t>雷亚尔（肆拾万柒仟雷亚尔）；</w:t>
      </w:r>
      <w:r>
        <w:rPr>
          <w:rFonts w:hint="eastAsia"/>
        </w:rPr>
        <w:t>1999</w:t>
      </w:r>
      <w:r>
        <w:rPr>
          <w:rFonts w:hint="eastAsia"/>
        </w:rPr>
        <w:t>年</w:t>
      </w:r>
      <w:r>
        <w:rPr>
          <w:rFonts w:hint="eastAsia"/>
        </w:rPr>
        <w:t>12</w:t>
      </w:r>
      <w:r>
        <w:rPr>
          <w:rFonts w:hint="eastAsia"/>
        </w:rPr>
        <w:t>项协定的总成本为</w:t>
      </w:r>
      <w:r>
        <w:t>644 000.00</w:t>
      </w:r>
      <w:r>
        <w:rPr>
          <w:rFonts w:hint="eastAsia"/>
        </w:rPr>
        <w:t>雷亚尔（陆拾肆万肆仟雷亚尔）；</w:t>
      </w:r>
      <w:r>
        <w:rPr>
          <w:rFonts w:hint="eastAsia"/>
        </w:rPr>
        <w:t>2000</w:t>
      </w:r>
      <w:r>
        <w:rPr>
          <w:rFonts w:hint="eastAsia"/>
        </w:rPr>
        <w:t>年</w:t>
      </w:r>
      <w:r>
        <w:rPr>
          <w:rFonts w:hint="eastAsia"/>
        </w:rPr>
        <w:t>19</w:t>
      </w:r>
      <w:r>
        <w:rPr>
          <w:rFonts w:hint="eastAsia"/>
        </w:rPr>
        <w:t>项协定的总成本为</w:t>
      </w:r>
      <w:r>
        <w:rPr>
          <w:rFonts w:hint="eastAsia"/>
        </w:rPr>
        <w:t>80</w:t>
      </w:r>
      <w:r>
        <w:rPr>
          <w:rFonts w:hint="eastAsia"/>
        </w:rPr>
        <w:t>万雷亚尔（捌拾万雷亚尔）；</w:t>
      </w:r>
    </w:p>
    <w:p w:rsidR="00000000" w:rsidRDefault="004D2F83" w:rsidP="004D2F83">
      <w:pPr>
        <w:spacing w:after="240" w:line="360" w:lineRule="exact"/>
        <w:ind w:leftChars="200" w:left="31680" w:hangingChars="200" w:firstLine="31680"/>
        <w:rPr>
          <w:rFonts w:hint="eastAsia"/>
        </w:rPr>
      </w:pPr>
      <w:r>
        <w:rPr>
          <w:rFonts w:hint="eastAsia"/>
        </w:rPr>
        <w:t>三、参与司法部组建的高级别委员会，以就修订《刑法典》特别章节提出法案，为继续惩处强奸行为（六至十年监禁）和将性骚扰定性为一种犯罪做出决定性贡献。</w:t>
      </w:r>
      <w:r>
        <w:rPr>
          <w:rFonts w:hint="eastAsia"/>
        </w:rPr>
        <w:t>1999</w:t>
      </w:r>
      <w:r>
        <w:rPr>
          <w:rFonts w:hint="eastAsia"/>
        </w:rPr>
        <w:t>年</w:t>
      </w:r>
      <w:r>
        <w:rPr>
          <w:rFonts w:hint="eastAsia"/>
        </w:rPr>
        <w:t>4</w:t>
      </w:r>
      <w:r>
        <w:rPr>
          <w:rFonts w:hint="eastAsia"/>
        </w:rPr>
        <w:t>月</w:t>
      </w:r>
      <w:r>
        <w:rPr>
          <w:rFonts w:hint="eastAsia"/>
        </w:rPr>
        <w:t>8</w:t>
      </w:r>
      <w:r>
        <w:rPr>
          <w:rFonts w:hint="eastAsia"/>
        </w:rPr>
        <w:t>日向司法部提交的《刑法典法案》的定本，将性骚扰定性为犯罪，并保证继续惩处强奸行为；</w:t>
      </w:r>
    </w:p>
    <w:p w:rsidR="00000000" w:rsidRDefault="004D2F83" w:rsidP="004D2F83">
      <w:pPr>
        <w:spacing w:after="240" w:line="360" w:lineRule="exact"/>
        <w:ind w:leftChars="200" w:left="31680" w:hangingChars="200" w:firstLine="31680"/>
        <w:rPr>
          <w:rFonts w:hint="eastAsia"/>
        </w:rPr>
      </w:pPr>
      <w:r>
        <w:rPr>
          <w:rFonts w:hint="eastAsia"/>
        </w:rPr>
        <w:t>四、加强援助妇女特别警察局的力量，该特别警察局于</w:t>
      </w:r>
      <w:r>
        <w:rPr>
          <w:rFonts w:hint="eastAsia"/>
        </w:rPr>
        <w:t>1985</w:t>
      </w:r>
      <w:r>
        <w:rPr>
          <w:rFonts w:hint="eastAsia"/>
        </w:rPr>
        <w:t>年成立，目的是执行打击暴力侵害妇女行为的</w:t>
      </w:r>
      <w:r>
        <w:rPr>
          <w:rFonts w:hint="eastAsia"/>
        </w:rPr>
        <w:t>一项最重要的政策。如今，全国范围内共有</w:t>
      </w:r>
      <w:r>
        <w:rPr>
          <w:rFonts w:hint="eastAsia"/>
        </w:rPr>
        <w:t>307</w:t>
      </w:r>
      <w:r>
        <w:rPr>
          <w:rFonts w:hint="eastAsia"/>
        </w:rPr>
        <w:t>个警察局。但是，阿克里、阿拉戈阿斯、罗赖马、塞阿拉等州和联邦区都只有一个此类警察局，而圣保罗州拥有的特别警察局数量占全国总数的</w:t>
      </w:r>
      <w:r>
        <w:t>40.7%</w:t>
      </w:r>
      <w:r>
        <w:rPr>
          <w:rFonts w:hint="eastAsia"/>
        </w:rPr>
        <w:t>，其后是米纳斯吉拉斯州，占</w:t>
      </w:r>
      <w:r>
        <w:t>13%</w:t>
      </w:r>
      <w:r>
        <w:rPr>
          <w:rFonts w:hint="eastAsia"/>
        </w:rPr>
        <w:t>；</w:t>
      </w:r>
      <w:r>
        <w:rPr>
          <w:rStyle w:val="FootnoteReference"/>
        </w:rPr>
        <w:footnoteReference w:customMarkFollows="1" w:id="71"/>
        <w:t>71</w:t>
      </w:r>
    </w:p>
    <w:p w:rsidR="00000000" w:rsidRDefault="004D2F83" w:rsidP="004D2F83">
      <w:pPr>
        <w:spacing w:after="240" w:line="360" w:lineRule="exact"/>
        <w:ind w:leftChars="200" w:left="31680" w:hangingChars="200" w:firstLine="31680"/>
        <w:rPr>
          <w:rFonts w:hint="eastAsia"/>
        </w:rPr>
      </w:pPr>
      <w:r>
        <w:rPr>
          <w:rFonts w:hint="eastAsia"/>
        </w:rPr>
        <w:t>五、全国妇女权利委员会与人权事务州秘书处</w:t>
      </w:r>
      <w:r>
        <w:t>/</w:t>
      </w:r>
      <w:r>
        <w:rPr>
          <w:rFonts w:hint="eastAsia"/>
        </w:rPr>
        <w:t>司法部合作建立了技术委员会，以颁布打击家庭暴力的具体立法。</w:t>
      </w:r>
      <w:r>
        <w:rPr>
          <w:rFonts w:hint="eastAsia"/>
        </w:rPr>
        <w:t>1999</w:t>
      </w:r>
      <w:r>
        <w:rPr>
          <w:rFonts w:hint="eastAsia"/>
        </w:rPr>
        <w:t>年</w:t>
      </w:r>
      <w:r>
        <w:rPr>
          <w:rFonts w:hint="eastAsia"/>
        </w:rPr>
        <w:t>3</w:t>
      </w:r>
      <w:r>
        <w:rPr>
          <w:rFonts w:hint="eastAsia"/>
        </w:rPr>
        <w:t>月</w:t>
      </w:r>
      <w:r>
        <w:rPr>
          <w:rFonts w:hint="eastAsia"/>
        </w:rPr>
        <w:t>9</w:t>
      </w:r>
      <w:r>
        <w:rPr>
          <w:rFonts w:hint="eastAsia"/>
        </w:rPr>
        <w:t>日第</w:t>
      </w:r>
      <w:r>
        <w:t>97</w:t>
      </w:r>
      <w:r>
        <w:rPr>
          <w:rFonts w:hint="eastAsia"/>
        </w:rPr>
        <w:t>号行政令。</w:t>
      </w:r>
    </w:p>
    <w:p w:rsidR="00000000" w:rsidRDefault="004D2F83" w:rsidP="004D2F83">
      <w:pPr>
        <w:spacing w:after="240" w:line="360" w:lineRule="exact"/>
        <w:ind w:leftChars="100" w:left="31680" w:firstLineChars="200" w:firstLine="31680"/>
        <w:rPr>
          <w:rFonts w:hint="eastAsia"/>
        </w:rPr>
      </w:pPr>
      <w:r>
        <w:rPr>
          <w:rFonts w:hint="eastAsia"/>
        </w:rPr>
        <w:t>基于就</w:t>
      </w:r>
      <w:r>
        <w:rPr>
          <w:rFonts w:hint="eastAsia"/>
        </w:rPr>
        <w:t>2000-2003</w:t>
      </w:r>
      <w:r>
        <w:rPr>
          <w:rFonts w:hint="eastAsia"/>
        </w:rPr>
        <w:t>多年期计划、</w:t>
      </w:r>
      <w:r>
        <w:rPr>
          <w:rFonts w:hint="eastAsia"/>
        </w:rPr>
        <w:t>2001</w:t>
      </w:r>
      <w:r>
        <w:t>/</w:t>
      </w:r>
      <w:r>
        <w:rPr>
          <w:rFonts w:hint="eastAsia"/>
        </w:rPr>
        <w:t>2002</w:t>
      </w:r>
      <w:r>
        <w:rPr>
          <w:rFonts w:hint="eastAsia"/>
        </w:rPr>
        <w:t>年政府议程中列入的项目以及</w:t>
      </w:r>
      <w:r>
        <w:rPr>
          <w:rFonts w:hint="eastAsia"/>
        </w:rPr>
        <w:t>2002</w:t>
      </w:r>
      <w:r>
        <w:rPr>
          <w:rFonts w:hint="eastAsia"/>
        </w:rPr>
        <w:t>年《预算准则法》建议开展的研究，全国妇女权利委员会在人权领域里开展了</w:t>
      </w:r>
      <w:r>
        <w:rPr>
          <w:rFonts w:hint="eastAsia"/>
        </w:rPr>
        <w:t>一些旨在打击暴力侵害妇女行为的行动，其中包括：</w:t>
      </w:r>
    </w:p>
    <w:p w:rsidR="00000000" w:rsidRDefault="004D2F83" w:rsidP="004D2F83">
      <w:pPr>
        <w:spacing w:after="240" w:line="360" w:lineRule="exact"/>
        <w:ind w:leftChars="200" w:left="31680" w:hangingChars="200" w:firstLine="31680"/>
        <w:rPr>
          <w:rFonts w:hint="eastAsia"/>
        </w:rPr>
      </w:pPr>
      <w:r>
        <w:rPr>
          <w:rFonts w:hint="eastAsia"/>
        </w:rPr>
        <w:t>一、确保州市两级拟订预防和援助城乡地区暴力事件的方案，重点放在家庭暴力、对女童和儿童的暴力及吸毒成瘾等问题上。</w:t>
      </w:r>
    </w:p>
    <w:p w:rsidR="00000000" w:rsidRDefault="004D2F83" w:rsidP="004D2F83">
      <w:pPr>
        <w:spacing w:after="240" w:line="360" w:lineRule="exact"/>
        <w:ind w:leftChars="200" w:left="31680" w:hangingChars="200" w:firstLine="31680"/>
        <w:rPr>
          <w:rFonts w:hint="eastAsia"/>
        </w:rPr>
      </w:pPr>
      <w:r>
        <w:rPr>
          <w:rFonts w:hint="eastAsia"/>
        </w:rPr>
        <w:t>二、确保国家公共安全基金为援助妇女警察局重新装配、获得资格和实现自动化以及建立更多的此类警察局提供资源。</w:t>
      </w:r>
    </w:p>
    <w:p w:rsidR="00000000" w:rsidRDefault="004D2F83" w:rsidP="004D2F83">
      <w:pPr>
        <w:spacing w:after="240" w:line="360" w:lineRule="exact"/>
        <w:ind w:leftChars="200" w:left="31680" w:hangingChars="200" w:firstLine="31680"/>
        <w:rPr>
          <w:rFonts w:hint="eastAsia"/>
        </w:rPr>
      </w:pPr>
      <w:r>
        <w:rPr>
          <w:rFonts w:hint="eastAsia"/>
        </w:rPr>
        <w:t>三、确保所有援助妇女警察局在援助暴力受害妇女时予以保密和公正地处理。</w:t>
      </w:r>
    </w:p>
    <w:p w:rsidR="00000000" w:rsidRDefault="004D2F83" w:rsidP="004D2F83">
      <w:pPr>
        <w:spacing w:after="240" w:line="360" w:lineRule="exact"/>
        <w:ind w:leftChars="200" w:left="31680" w:hangingChars="200" w:firstLine="31680"/>
        <w:rPr>
          <w:rFonts w:hint="eastAsia"/>
        </w:rPr>
      </w:pPr>
      <w:r>
        <w:rPr>
          <w:rFonts w:hint="eastAsia"/>
        </w:rPr>
        <w:t>四、通过采取以家庭、受害者和侵害者为对象的多学科行动，建立针对城乡地区遭受暴力的妇女的综合援助网络。</w:t>
      </w:r>
    </w:p>
    <w:p w:rsidR="00000000" w:rsidRDefault="004D2F83" w:rsidP="004D2F83">
      <w:pPr>
        <w:spacing w:after="240" w:line="360" w:lineRule="exact"/>
        <w:ind w:leftChars="200" w:left="31680" w:hangingChars="200" w:firstLine="31680"/>
        <w:rPr>
          <w:rFonts w:hint="eastAsia"/>
        </w:rPr>
      </w:pPr>
      <w:r>
        <w:rPr>
          <w:rFonts w:hint="eastAsia"/>
        </w:rPr>
        <w:t>五、确保建立和开办庇护所和安全藏身处，以收容遇到危险的妇女和年轻人。</w:t>
      </w:r>
    </w:p>
    <w:p w:rsidR="00000000" w:rsidRDefault="004D2F83" w:rsidP="004D2F83">
      <w:pPr>
        <w:spacing w:after="240" w:line="360" w:lineRule="exact"/>
        <w:ind w:firstLineChars="200" w:firstLine="31680"/>
        <w:rPr>
          <w:rFonts w:hint="eastAsia"/>
        </w:rPr>
      </w:pPr>
      <w:r>
        <w:rPr>
          <w:rFonts w:hint="eastAsia"/>
        </w:rPr>
        <w:t>自</w:t>
      </w:r>
      <w:r>
        <w:rPr>
          <w:rFonts w:hint="eastAsia"/>
        </w:rPr>
        <w:t>1</w:t>
      </w:r>
      <w:r>
        <w:rPr>
          <w:rFonts w:hint="eastAsia"/>
        </w:rPr>
        <w:t>980</w:t>
      </w:r>
      <w:r>
        <w:rPr>
          <w:rFonts w:hint="eastAsia"/>
        </w:rPr>
        <w:t>年代以来，通过建办庇护所和成立援助妇女警察局等措施，加大了性暴力事件的曝光程度，并开展了更频繁的调查工作。但是，由于得不到政府的稳定支助，警察局和庇护所仍面临严重的困难。这些实体在全国的分布极其不均衡，这一状况因在处理性暴力问题方面受过专门训练的工作人员的缺乏而更加严重。</w:t>
      </w:r>
    </w:p>
    <w:p w:rsidR="00000000" w:rsidRDefault="004D2F83">
      <w:pPr>
        <w:pStyle w:val="Date"/>
        <w:spacing w:after="240" w:line="360" w:lineRule="exact"/>
        <w:rPr>
          <w:rFonts w:eastAsia="SimHei"/>
          <w:bCs/>
          <w:sz w:val="24"/>
        </w:rPr>
      </w:pPr>
    </w:p>
    <w:p w:rsidR="00000000" w:rsidRDefault="004D2F83">
      <w:pPr>
        <w:pStyle w:val="Date"/>
        <w:spacing w:after="240" w:line="360" w:lineRule="exact"/>
        <w:rPr>
          <w:rFonts w:eastAsia="SimHei" w:hint="eastAsia"/>
          <w:bCs/>
          <w:sz w:val="24"/>
        </w:rPr>
      </w:pPr>
      <w:r>
        <w:rPr>
          <w:rFonts w:eastAsia="SimHei" w:hint="eastAsia"/>
          <w:bCs/>
          <w:sz w:val="24"/>
        </w:rPr>
        <w:t>儿童和青少年司</w:t>
      </w:r>
    </w:p>
    <w:p w:rsidR="00000000" w:rsidRDefault="004D2F83" w:rsidP="004D2F83">
      <w:pPr>
        <w:spacing w:after="240" w:line="360" w:lineRule="exact"/>
        <w:ind w:firstLineChars="200" w:firstLine="31680"/>
        <w:rPr>
          <w:rFonts w:hint="eastAsia"/>
        </w:rPr>
      </w:pPr>
      <w:r>
        <w:rPr>
          <w:rFonts w:hint="eastAsia"/>
        </w:rPr>
        <w:t>1995</w:t>
      </w:r>
      <w:r>
        <w:rPr>
          <w:rFonts w:hint="eastAsia"/>
        </w:rPr>
        <w:t>年年底在司法部当时的公民权利秘书处</w:t>
      </w:r>
      <w:r>
        <w:rPr>
          <w:rStyle w:val="FootnoteReference"/>
        </w:rPr>
        <w:footnoteReference w:customMarkFollows="1" w:id="72"/>
        <w:t>72</w:t>
      </w:r>
      <w:r>
        <w:rPr>
          <w:rFonts w:hint="eastAsia"/>
        </w:rPr>
        <w:t>内设立的儿童和青少年司采取各种行动，在对儿童性虐待和性剥削领域里采取干预措施，以便确定侵害者并向受害者提供法律和社会保护。通过开展这些行动，该机构来完成其所担负的执行国</w:t>
      </w:r>
      <w:r>
        <w:rPr>
          <w:rFonts w:hint="eastAsia"/>
        </w:rPr>
        <w:t>家人权政策及促进和维护儿童和青少年权利的任务。除此之外，该机构的任务还涉及其他社会、保健、教育、劳动和福利等领域，这些领域也拟订了自己的预防和打击这种形式暴力的方案。</w:t>
      </w:r>
    </w:p>
    <w:p w:rsidR="00000000" w:rsidRDefault="004D2F83" w:rsidP="004D2F83">
      <w:pPr>
        <w:spacing w:after="240" w:line="360" w:lineRule="exact"/>
        <w:ind w:firstLineChars="200" w:firstLine="31680"/>
        <w:rPr>
          <w:rFonts w:hint="eastAsia"/>
        </w:rPr>
      </w:pPr>
      <w:r>
        <w:rPr>
          <w:rFonts w:hint="eastAsia"/>
        </w:rPr>
        <w:t>在立法一级，司法部按照有关权利保障体系的法律和社会保护方针，在履行在国家人权计划中所做的承诺时，“发起了修改《刑法典》某些条款的进程，以便为虐待和暴力行为或对儿童和青少年的性剥削界定更严厉的惩处措施。例如，刑事处罚行动不再是非公开性行动，而是一种公开行为。这种修改方式对于预防对儿童和青少年的性虐待和剥削来说，是一重大进步。”</w:t>
      </w:r>
      <w:r>
        <w:rPr>
          <w:rStyle w:val="FootnoteReference"/>
        </w:rPr>
        <w:footnoteReference w:customMarkFollows="1" w:id="73"/>
        <w:t>73</w:t>
      </w:r>
    </w:p>
    <w:p w:rsidR="00000000" w:rsidRDefault="004D2F83" w:rsidP="004D2F83">
      <w:pPr>
        <w:spacing w:after="240" w:line="360" w:lineRule="exact"/>
        <w:ind w:firstLineChars="200" w:firstLine="31680"/>
        <w:rPr>
          <w:rFonts w:hint="eastAsia"/>
        </w:rPr>
      </w:pPr>
      <w:r>
        <w:rPr>
          <w:rFonts w:hint="eastAsia"/>
        </w:rPr>
        <w:t>在</w:t>
      </w:r>
      <w:r>
        <w:rPr>
          <w:rFonts w:hint="eastAsia"/>
        </w:rPr>
        <w:t>1996</w:t>
      </w:r>
      <w:r>
        <w:rPr>
          <w:rFonts w:hint="eastAsia"/>
        </w:rPr>
        <w:t>年</w:t>
      </w:r>
      <w:r>
        <w:rPr>
          <w:rFonts w:hint="eastAsia"/>
        </w:rPr>
        <w:t>一年中，儿童和青少年权利全国委员会促进在市、州和联邦各级进行广泛的社会动员，以优先评估落实儿童和青少年权利方面的状况，特别是涉及以下主题的状况：童工及对儿童和青少年的暴力和性剥削。此项活动导致第二届儿童和青少年权利全国大会于</w:t>
      </w:r>
      <w:r>
        <w:rPr>
          <w:rFonts w:hint="eastAsia"/>
        </w:rPr>
        <w:t>1997</w:t>
      </w:r>
      <w:r>
        <w:rPr>
          <w:rFonts w:hint="eastAsia"/>
        </w:rPr>
        <w:t>年召开，头等优先事项：儿童与青少年。</w:t>
      </w:r>
    </w:p>
    <w:p w:rsidR="00000000" w:rsidRDefault="004D2F83" w:rsidP="004D2F83">
      <w:pPr>
        <w:spacing w:after="240" w:line="360" w:lineRule="exact"/>
        <w:ind w:firstLineChars="200" w:firstLine="31680"/>
        <w:rPr>
          <w:rFonts w:hint="eastAsia"/>
        </w:rPr>
      </w:pPr>
      <w:r>
        <w:rPr>
          <w:rFonts w:hint="eastAsia"/>
        </w:rPr>
        <w:t>自</w:t>
      </w:r>
      <w:r>
        <w:rPr>
          <w:rFonts w:hint="eastAsia"/>
        </w:rPr>
        <w:t>1996</w:t>
      </w:r>
      <w:r>
        <w:rPr>
          <w:rFonts w:hint="eastAsia"/>
        </w:rPr>
        <w:t>年以来，儿童和青少年司在其行动计划中对保障权利，特别是对性虐待和剥削受害儿童和青少年的法律和社会保护给予优先权。这些战略包括：</w:t>
      </w:r>
      <w:r>
        <w:t>a</w:t>
      </w:r>
      <w:r>
        <w:rPr>
          <w:rFonts w:hint="eastAsia"/>
        </w:rPr>
        <w:t>）加强提供法律和社会保护的社会实体、监护委员会、检察院儿童和青少年业务支助中心、法院、保护儿童和青少年警</w:t>
      </w:r>
      <w:r>
        <w:rPr>
          <w:rFonts w:hint="eastAsia"/>
        </w:rPr>
        <w:t>察局及其他机构，这些机构均在履行其体制义务；</w:t>
      </w:r>
      <w:r>
        <w:t>b)</w:t>
      </w:r>
      <w:r>
        <w:rPr>
          <w:rFonts w:hint="eastAsia"/>
        </w:rPr>
        <w:t>对参与促进和维护遭受剥削的受害儿童和青少年的权利及确认剥削者的政府和社区公共代理开展培训工作。</w:t>
      </w:r>
    </w:p>
    <w:p w:rsidR="00000000" w:rsidRDefault="004D2F83">
      <w:pPr>
        <w:spacing w:after="240" w:line="360" w:lineRule="exact"/>
        <w:ind w:firstLine="359"/>
        <w:rPr>
          <w:rFonts w:eastAsia="KaiTi_GB2312" w:hint="eastAsia"/>
        </w:rPr>
      </w:pPr>
      <w:r>
        <w:rPr>
          <w:rFonts w:eastAsia="KaiTi_GB2312" w:hint="eastAsia"/>
        </w:rPr>
        <w:t>1</w:t>
      </w:r>
      <w:r>
        <w:rPr>
          <w:rFonts w:eastAsia="KaiTi_GB2312" w:hint="eastAsia"/>
        </w:rPr>
        <w:t>．儿童和青少年司拟订的国家一级的主要战略行动：</w:t>
      </w:r>
    </w:p>
    <w:p w:rsidR="00000000" w:rsidRDefault="004D2F83" w:rsidP="004D2F83">
      <w:pPr>
        <w:spacing w:after="240" w:line="360" w:lineRule="exact"/>
        <w:ind w:leftChars="200" w:left="31680" w:hangingChars="200" w:firstLine="31680"/>
        <w:rPr>
          <w:rFonts w:hint="eastAsia"/>
        </w:rPr>
      </w:pPr>
      <w:r>
        <w:rPr>
          <w:rFonts w:hint="eastAsia"/>
        </w:rPr>
        <w:t>一、</w:t>
      </w:r>
      <w:r>
        <w:rPr>
          <w:rFonts w:hint="eastAsia"/>
        </w:rPr>
        <w:t>1996</w:t>
      </w:r>
      <w:r>
        <w:rPr>
          <w:rFonts w:hint="eastAsia"/>
        </w:rPr>
        <w:t>年：设立和落实监护委员会。</w:t>
      </w:r>
    </w:p>
    <w:p w:rsidR="00000000" w:rsidRDefault="004D2F83" w:rsidP="004D2F83">
      <w:pPr>
        <w:spacing w:after="240" w:line="360" w:lineRule="exact"/>
        <w:ind w:leftChars="200" w:left="31680" w:hangingChars="200" w:firstLine="31680"/>
        <w:rPr>
          <w:rFonts w:hint="eastAsia"/>
        </w:rPr>
      </w:pPr>
      <w:r>
        <w:rPr>
          <w:rFonts w:hint="eastAsia"/>
        </w:rPr>
        <w:t>二、</w:t>
      </w:r>
      <w:r>
        <w:rPr>
          <w:rFonts w:hint="eastAsia"/>
        </w:rPr>
        <w:t>1996</w:t>
      </w:r>
      <w:r>
        <w:rPr>
          <w:rFonts w:hint="eastAsia"/>
        </w:rPr>
        <w:t>年：非政府组织资助了在预防犯罪和维护权利领域里打击对儿童和青少年剥削和性虐待的项目和方案。</w:t>
      </w:r>
    </w:p>
    <w:p w:rsidR="00000000" w:rsidRDefault="004D2F83" w:rsidP="004D2F83">
      <w:pPr>
        <w:spacing w:after="240" w:line="360" w:lineRule="exact"/>
        <w:ind w:leftChars="200" w:left="31680" w:hangingChars="200" w:firstLine="31680"/>
        <w:rPr>
          <w:rFonts w:hint="eastAsia"/>
        </w:rPr>
      </w:pPr>
      <w:r>
        <w:rPr>
          <w:rFonts w:hint="eastAsia"/>
        </w:rPr>
        <w:t>三、</w:t>
      </w:r>
      <w:r>
        <w:rPr>
          <w:rFonts w:hint="eastAsia"/>
        </w:rPr>
        <w:t>1996</w:t>
      </w:r>
      <w:r>
        <w:rPr>
          <w:rFonts w:hint="eastAsia"/>
        </w:rPr>
        <w:t>年：与巴西保护儿童和青少年多专业协会合作，支助发动了全国打击对儿童和青少年性剥削运动，并支助在巴西各州开展的此类运动。</w:t>
      </w:r>
    </w:p>
    <w:p w:rsidR="00000000" w:rsidRDefault="004D2F83" w:rsidP="004D2F83">
      <w:pPr>
        <w:spacing w:after="240" w:line="360" w:lineRule="exact"/>
        <w:ind w:leftChars="200" w:left="31680" w:hangingChars="200" w:firstLine="31680"/>
        <w:rPr>
          <w:rFonts w:hint="eastAsia"/>
        </w:rPr>
      </w:pPr>
      <w:r>
        <w:rPr>
          <w:rFonts w:hint="eastAsia"/>
        </w:rPr>
        <w:t>四、</w:t>
      </w:r>
      <w:r>
        <w:rPr>
          <w:rFonts w:hint="eastAsia"/>
        </w:rPr>
        <w:t>1996</w:t>
      </w:r>
      <w:r>
        <w:rPr>
          <w:rFonts w:hint="eastAsia"/>
        </w:rPr>
        <w:t>和</w:t>
      </w:r>
      <w:r>
        <w:rPr>
          <w:rFonts w:hint="eastAsia"/>
        </w:rPr>
        <w:t>1997</w:t>
      </w:r>
      <w:r>
        <w:rPr>
          <w:rFonts w:hint="eastAsia"/>
        </w:rPr>
        <w:t>年：实施对受害儿童和</w:t>
      </w:r>
      <w:r>
        <w:rPr>
          <w:rFonts w:hint="eastAsia"/>
        </w:rPr>
        <w:t>青少年提供法律和社会保护的“国家网络”，执行全国保护中心协会拟订的“儿童倡议”项目，该项目涉及</w:t>
      </w:r>
      <w:r>
        <w:rPr>
          <w:rFonts w:hint="eastAsia"/>
        </w:rPr>
        <w:t>35</w:t>
      </w:r>
      <w:r>
        <w:rPr>
          <w:rFonts w:hint="eastAsia"/>
        </w:rPr>
        <w:t>个保护实体，特别是保护儿童和青少年中心。</w:t>
      </w:r>
    </w:p>
    <w:p w:rsidR="00000000" w:rsidRDefault="004D2F83" w:rsidP="004D2F83">
      <w:pPr>
        <w:spacing w:after="240" w:line="360" w:lineRule="exact"/>
        <w:ind w:leftChars="200" w:left="31680" w:hangingChars="200" w:firstLine="31680"/>
        <w:rPr>
          <w:rFonts w:hint="eastAsia"/>
        </w:rPr>
      </w:pPr>
      <w:r>
        <w:rPr>
          <w:rFonts w:hint="eastAsia"/>
        </w:rPr>
        <w:t>五、</w:t>
      </w:r>
      <w:r>
        <w:rPr>
          <w:rFonts w:hint="eastAsia"/>
        </w:rPr>
        <w:t>1996</w:t>
      </w:r>
      <w:r>
        <w:rPr>
          <w:rFonts w:hint="eastAsia"/>
        </w:rPr>
        <w:t>、</w:t>
      </w:r>
      <w:r>
        <w:rPr>
          <w:rFonts w:hint="eastAsia"/>
        </w:rPr>
        <w:t>1997</w:t>
      </w:r>
      <w:r>
        <w:rPr>
          <w:rFonts w:hint="eastAsia"/>
        </w:rPr>
        <w:t>和</w:t>
      </w:r>
      <w:r>
        <w:rPr>
          <w:rFonts w:hint="eastAsia"/>
        </w:rPr>
        <w:t>1998</w:t>
      </w:r>
      <w:r>
        <w:rPr>
          <w:rFonts w:hint="eastAsia"/>
        </w:rPr>
        <w:t>年：建立和实施儿童和青少年信息系统。该系统第一个模块包括监测儿童和青少年基本权利受侵犯情况及通过方案和服务恢复这些权利的情况。</w:t>
      </w:r>
    </w:p>
    <w:p w:rsidR="00000000" w:rsidRDefault="004D2F83" w:rsidP="004D2F83">
      <w:pPr>
        <w:spacing w:after="240" w:line="360" w:lineRule="exact"/>
        <w:ind w:leftChars="200" w:left="31680" w:hangingChars="200" w:firstLine="31680"/>
        <w:rPr>
          <w:rFonts w:hint="eastAsia"/>
        </w:rPr>
      </w:pPr>
      <w:r>
        <w:rPr>
          <w:rFonts w:hint="eastAsia"/>
        </w:rPr>
        <w:t>六、</w:t>
      </w:r>
      <w:r>
        <w:rPr>
          <w:rFonts w:hint="eastAsia"/>
        </w:rPr>
        <w:t>1997</w:t>
      </w:r>
      <w:r>
        <w:rPr>
          <w:rFonts w:hint="eastAsia"/>
        </w:rPr>
        <w:t>和</w:t>
      </w:r>
      <w:r>
        <w:rPr>
          <w:rFonts w:hint="eastAsia"/>
        </w:rPr>
        <w:t>1998</w:t>
      </w:r>
      <w:r>
        <w:rPr>
          <w:rFonts w:hint="eastAsia"/>
        </w:rPr>
        <w:t>年：与巴西保护儿童和青少年多专业协会合作，发动打击商业性剥削全国运动，并执行“接收报告方案”。</w:t>
      </w:r>
    </w:p>
    <w:p w:rsidR="00000000" w:rsidRDefault="004D2F83">
      <w:pPr>
        <w:spacing w:after="240" w:line="360" w:lineRule="exact"/>
        <w:ind w:firstLine="359"/>
        <w:rPr>
          <w:rFonts w:eastAsia="KaiTi_GB2312" w:hint="eastAsia"/>
        </w:rPr>
      </w:pPr>
      <w:r>
        <w:rPr>
          <w:rFonts w:eastAsia="KaiTi_GB2312" w:hint="eastAsia"/>
        </w:rPr>
        <w:t>2</w:t>
      </w:r>
      <w:r>
        <w:rPr>
          <w:rFonts w:eastAsia="KaiTi_GB2312" w:hint="eastAsia"/>
        </w:rPr>
        <w:t>．列入“向前，巴西”方案</w:t>
      </w:r>
      <w:r>
        <w:rPr>
          <w:rFonts w:eastAsia="SimHei" w:hint="eastAsia"/>
        </w:rPr>
        <w:t>——</w:t>
      </w:r>
      <w:r>
        <w:rPr>
          <w:rFonts w:eastAsia="KaiTi_GB2312" w:hint="eastAsia"/>
        </w:rPr>
        <w:t>2000-2003</w:t>
      </w:r>
      <w:r>
        <w:rPr>
          <w:rFonts w:eastAsia="KaiTi_GB2312" w:hint="eastAsia"/>
        </w:rPr>
        <w:t>年多年期计划</w:t>
      </w:r>
      <w:r>
        <w:rPr>
          <w:rFonts w:eastAsia="SimHei" w:hint="eastAsia"/>
        </w:rPr>
        <w:t>——</w:t>
      </w:r>
      <w:r>
        <w:rPr>
          <w:rFonts w:eastAsia="KaiTi_GB2312" w:hint="eastAsia"/>
        </w:rPr>
        <w:t>中的儿童和青少年司拟订的方案和</w:t>
      </w:r>
      <w:r>
        <w:rPr>
          <w:rFonts w:eastAsia="KaiTi_GB2312" w:hint="eastAsia"/>
        </w:rPr>
        <w:t>计划：</w:t>
      </w:r>
    </w:p>
    <w:p w:rsidR="00000000" w:rsidRDefault="004D2F83" w:rsidP="004D2F83">
      <w:pPr>
        <w:spacing w:after="240" w:line="360" w:lineRule="exact"/>
        <w:ind w:leftChars="200" w:left="31680" w:hangingChars="200" w:firstLine="31680"/>
        <w:rPr>
          <w:rFonts w:hint="eastAsia"/>
        </w:rPr>
      </w:pPr>
      <w:r>
        <w:rPr>
          <w:rFonts w:hint="eastAsia"/>
        </w:rPr>
        <w:t>一、儿童和青少年权利保障体系的资格培训：培训人力资源以在儿童和青少年权利保障领域里开展行动——权利和监护委员会；特别警察局警官和技术人员；公共辩护人和技术人员、儿童和青少年检察院的检察官和技术人员、儿童和青年法院的法官和技术人员以及保护中心的专业人员。估计预算：</w:t>
      </w:r>
      <w:r>
        <w:t>394 202.00</w:t>
      </w:r>
      <w:r>
        <w:rPr>
          <w:rFonts w:hint="eastAsia"/>
        </w:rPr>
        <w:t>雷亚尔。</w:t>
      </w:r>
    </w:p>
    <w:p w:rsidR="00000000" w:rsidRDefault="004D2F83" w:rsidP="004D2F83">
      <w:pPr>
        <w:spacing w:after="240" w:line="360" w:lineRule="exact"/>
        <w:ind w:leftChars="400" w:left="31680"/>
        <w:rPr>
          <w:rFonts w:hint="eastAsia"/>
        </w:rPr>
      </w:pPr>
      <w:r>
        <w:rPr>
          <w:rFonts w:hint="eastAsia"/>
        </w:rPr>
        <w:t>2000</w:t>
      </w:r>
      <w:r>
        <w:rPr>
          <w:rFonts w:hint="eastAsia"/>
        </w:rPr>
        <w:t>年：儿童和青少年司在《儿童和青少年法规》保证的权利保障领域里，赞助了对儿童和青年法院的法官和检察官的培训活动。此项活动包括有教育公正会议以及对法院和社会援助组织进行《儿童和青少年法规》所述保障制度及其责任</w:t>
      </w:r>
      <w:r>
        <w:rPr>
          <w:rFonts w:hint="eastAsia"/>
        </w:rPr>
        <w:t>机制的划分。</w:t>
      </w:r>
    </w:p>
    <w:p w:rsidR="00000000" w:rsidRDefault="004D2F83" w:rsidP="004D2F83">
      <w:pPr>
        <w:spacing w:after="240" w:line="360" w:lineRule="exact"/>
        <w:ind w:leftChars="200" w:left="31680" w:hangingChars="200" w:firstLine="31680"/>
        <w:rPr>
          <w:rFonts w:hint="eastAsia"/>
        </w:rPr>
      </w:pPr>
      <w:r>
        <w:rPr>
          <w:rFonts w:hint="eastAsia"/>
        </w:rPr>
        <w:t>二、促进和维护儿童和青少年权利领域里的学习和应用研究：在计划战略中，儿童和青少年司资助了关于性暴力的研究和调查工作。该机构与巴西健康社会创新研究所合作，在儿童和青少年咨询、研究和行动中心协调下，正在整理“关于巴西境内贩运妇女、儿童和青少年以图性剥削情况研究”的报告。此项工作是应美洲国家组织的要求，通过美洲妇女委员会和美洲儿童研究所开展的，后两个组织支持保罗大学国际研究所的一项试验研究项目，研究拉丁美洲和加勒比国家境内贩运妇女、儿童和青少年以图性剥削情况。预算：</w:t>
      </w:r>
      <w:r>
        <w:t>144 998.38</w:t>
      </w:r>
      <w:r>
        <w:rPr>
          <w:rFonts w:hint="eastAsia"/>
        </w:rPr>
        <w:t>雷亚尔。</w:t>
      </w:r>
    </w:p>
    <w:p w:rsidR="00000000" w:rsidRDefault="004D2F83" w:rsidP="004D2F83">
      <w:pPr>
        <w:spacing w:after="240" w:line="360" w:lineRule="exact"/>
        <w:ind w:leftChars="200" w:left="31680" w:hangingChars="200" w:firstLine="31680"/>
        <w:rPr>
          <w:rFonts w:hint="eastAsia"/>
        </w:rPr>
      </w:pPr>
      <w:r>
        <w:rPr>
          <w:rFonts w:hint="eastAsia"/>
        </w:rPr>
        <w:t>三、</w:t>
      </w:r>
      <w:r>
        <w:rPr>
          <w:rFonts w:hint="eastAsia"/>
        </w:rPr>
        <w:t>在国家一级落实儿童和青少年综合信息系统，以确保提供实际而可靠的数据，作为在这三级采取政策的一种投入。预算：</w:t>
      </w:r>
      <w:r>
        <w:t>959 200.00</w:t>
      </w:r>
      <w:r>
        <w:rPr>
          <w:rFonts w:hint="eastAsia"/>
        </w:rPr>
        <w:t>雷亚尔。</w:t>
      </w:r>
    </w:p>
    <w:p w:rsidR="00000000" w:rsidRDefault="004D2F83" w:rsidP="004D2F83">
      <w:pPr>
        <w:spacing w:after="240" w:line="360" w:lineRule="exact"/>
        <w:ind w:leftChars="200" w:left="31680" w:hangingChars="200" w:firstLine="31680"/>
        <w:rPr>
          <w:rFonts w:hint="eastAsia"/>
        </w:rPr>
      </w:pPr>
      <w:r>
        <w:rPr>
          <w:rFonts w:hint="eastAsia"/>
        </w:rPr>
        <w:t>四、《儿童和青少年法规》中规定的机构调整：落实以维护</w:t>
      </w:r>
      <w:r>
        <w:t>/</w:t>
      </w:r>
      <w:r>
        <w:rPr>
          <w:rFonts w:hint="eastAsia"/>
        </w:rPr>
        <w:t>责任为轴心的儿童和青少年权利单位。此项活动旨在支助各有关项目以落实儿童和青少年专项公共检察服务中心。按照第</w:t>
      </w:r>
      <w:r>
        <w:rPr>
          <w:rFonts w:hint="eastAsia"/>
        </w:rPr>
        <w:t>141</w:t>
      </w:r>
      <w:r>
        <w:rPr>
          <w:rFonts w:hint="eastAsia"/>
        </w:rPr>
        <w:t>条，每个儿童和青少年都能通过任何有关机构获得公共辩护人、检察服务处和司法部门的服务。</w:t>
      </w:r>
      <w:r>
        <w:rPr>
          <w:rFonts w:hint="eastAsia"/>
        </w:rPr>
        <w:t>2001</w:t>
      </w:r>
      <w:r>
        <w:rPr>
          <w:rFonts w:hint="eastAsia"/>
        </w:rPr>
        <w:t>年商谈落实的检察服务处儿童和青少年特别援助中心有</w:t>
      </w:r>
      <w:r>
        <w:rPr>
          <w:rFonts w:hint="eastAsia"/>
        </w:rPr>
        <w:t>13</w:t>
      </w:r>
      <w:r>
        <w:rPr>
          <w:rFonts w:hint="eastAsia"/>
        </w:rPr>
        <w:t>个单位，以在维护儿童和青少年利益方面提供法律援助，并在阿克里、阿马</w:t>
      </w:r>
      <w:r>
        <w:rPr>
          <w:rFonts w:hint="eastAsia"/>
        </w:rPr>
        <w:t>帕、圣埃斯皮里托、马拉尼昂、南马托格罗索、米纳斯吉拉斯、帕拉伊巴、巴拉那、伯南布哥、里约内热卢、南里约格朗德、塞尔希培和托坎廷斯等州的儿童和青年法院内运作。预算：</w:t>
      </w:r>
      <w:r>
        <w:t>1 091 000.00</w:t>
      </w:r>
      <w:r>
        <w:rPr>
          <w:rFonts w:hint="eastAsia"/>
        </w:rPr>
        <w:t>雷亚尔。</w:t>
      </w:r>
    </w:p>
    <w:p w:rsidR="00000000" w:rsidRDefault="004D2F83" w:rsidP="004D2F83">
      <w:pPr>
        <w:spacing w:after="240" w:line="360" w:lineRule="exact"/>
        <w:ind w:leftChars="200" w:left="31680" w:hangingChars="200" w:firstLine="31680"/>
        <w:rPr>
          <w:rFonts w:hint="eastAsia"/>
        </w:rPr>
      </w:pPr>
      <w:r>
        <w:rPr>
          <w:rFonts w:hint="eastAsia"/>
        </w:rPr>
        <w:t>五、落实确认和寻找失踪儿童和青少年的网络。预算：</w:t>
      </w:r>
      <w:r>
        <w:t>255 000.00</w:t>
      </w:r>
      <w:r>
        <w:rPr>
          <w:rFonts w:hint="eastAsia"/>
        </w:rPr>
        <w:t>雷亚尔。</w:t>
      </w:r>
    </w:p>
    <w:p w:rsidR="00000000" w:rsidRDefault="004D2F83" w:rsidP="004D2F83">
      <w:pPr>
        <w:spacing w:after="240" w:line="360" w:lineRule="exact"/>
        <w:ind w:leftChars="200" w:left="31680" w:hangingChars="200" w:firstLine="31680"/>
        <w:rPr>
          <w:rFonts w:hint="eastAsia"/>
        </w:rPr>
      </w:pPr>
      <w:r>
        <w:rPr>
          <w:rFonts w:hint="eastAsia"/>
        </w:rPr>
        <w:t>六、列入全国公共安全计划的儿童和青少年司拟订的方案和计划：</w:t>
      </w:r>
    </w:p>
    <w:p w:rsidR="00000000" w:rsidRDefault="004D2F83" w:rsidP="004D2F83">
      <w:pPr>
        <w:spacing w:after="240" w:line="360" w:lineRule="exact"/>
        <w:ind w:leftChars="400" w:left="31680" w:hangingChars="200" w:firstLine="31680"/>
        <w:rPr>
          <w:rFonts w:hint="eastAsia"/>
        </w:rPr>
      </w:pPr>
      <w:r>
        <w:rPr>
          <w:rFonts w:hint="eastAsia"/>
        </w:rPr>
        <w:t>一、培训在儿童和青少年权利保障领域里开展工作的人力资源：</w:t>
      </w:r>
      <w:r>
        <w:t>a</w:t>
      </w:r>
      <w:r>
        <w:rPr>
          <w:rFonts w:hint="eastAsia"/>
        </w:rPr>
        <w:t>）为调查侵害儿童和青少年罪行特别警察局的工作人员举办讲习班；</w:t>
      </w:r>
      <w:r>
        <w:t>b</w:t>
      </w:r>
      <w:r>
        <w:rPr>
          <w:rFonts w:hint="eastAsia"/>
        </w:rPr>
        <w:t>）评估和诊断侵犯儿童和青少年权利情况——身体、心理和性暴力</w:t>
      </w:r>
      <w:r>
        <w:rPr>
          <w:rFonts w:hint="eastAsia"/>
        </w:rPr>
        <w:t>。预算：</w:t>
      </w:r>
      <w:r>
        <w:t>492 500.00</w:t>
      </w:r>
      <w:r>
        <w:rPr>
          <w:rFonts w:hint="eastAsia"/>
        </w:rPr>
        <w:t>雷亚尔。</w:t>
      </w:r>
    </w:p>
    <w:p w:rsidR="00000000" w:rsidRDefault="004D2F83" w:rsidP="004D2F83">
      <w:pPr>
        <w:spacing w:after="240" w:line="360" w:lineRule="exact"/>
        <w:ind w:leftChars="400" w:left="31680" w:hangingChars="200" w:firstLine="31680"/>
        <w:rPr>
          <w:rFonts w:hint="eastAsia"/>
        </w:rPr>
      </w:pPr>
      <w:r>
        <w:rPr>
          <w:rFonts w:hint="eastAsia"/>
        </w:rPr>
        <w:t>二、建立调查侵害儿童和青少年罪行特别警察局，包括：</w:t>
      </w:r>
      <w:r>
        <w:t>a</w:t>
      </w:r>
      <w:r>
        <w:rPr>
          <w:rFonts w:hint="eastAsia"/>
        </w:rPr>
        <w:t>）机构调整；</w:t>
      </w:r>
      <w:r>
        <w:t>b</w:t>
      </w:r>
      <w:r>
        <w:rPr>
          <w:rFonts w:hint="eastAsia"/>
        </w:rPr>
        <w:t>）支持加强警察局的力量，以便与以下各州政府合作，落实侵害儿童和青少年罪行报告通知系统的工作，这些州有：阿马帕、巴伊亚、塞阿拉、联邦区、圣埃斯皮里托、马拉尼昂、南马托格罗索、巴拉、伯南布哥、里约热内卢、北里约格朗德、南里约格朗德、朗多尼亚和圣卡塔林纳。建议这些警察分局设立调查失踪儿童服务处。预算：</w:t>
      </w:r>
      <w:r>
        <w:rPr>
          <w:rFonts w:hint="eastAsia"/>
        </w:rPr>
        <w:t>100</w:t>
      </w:r>
      <w:r>
        <w:rPr>
          <w:rFonts w:hint="eastAsia"/>
        </w:rPr>
        <w:t>万雷亚尔。</w:t>
      </w:r>
    </w:p>
    <w:p w:rsidR="00000000" w:rsidRDefault="004D2F83">
      <w:pPr>
        <w:spacing w:after="240" w:line="360" w:lineRule="exact"/>
        <w:rPr>
          <w:rFonts w:eastAsia="KaiTi_GB2312" w:hint="eastAsia"/>
        </w:rPr>
      </w:pPr>
      <w:r>
        <w:rPr>
          <w:rFonts w:eastAsia="KaiTi_GB2312" w:hint="eastAsia"/>
        </w:rPr>
        <w:t>3</w:t>
      </w:r>
      <w:r>
        <w:rPr>
          <w:rFonts w:eastAsia="KaiTi_GB2312" w:hint="eastAsia"/>
        </w:rPr>
        <w:t>．与国际组织签订的技术合作协定：</w:t>
      </w:r>
    </w:p>
    <w:p w:rsidR="00000000" w:rsidRDefault="004D2F83" w:rsidP="004D2F83">
      <w:pPr>
        <w:spacing w:after="240" w:line="360" w:lineRule="exact"/>
        <w:ind w:leftChars="200" w:left="31680" w:hangingChars="200" w:firstLine="31680"/>
        <w:rPr>
          <w:rFonts w:hint="eastAsia"/>
        </w:rPr>
      </w:pPr>
      <w:r>
        <w:rPr>
          <w:rFonts w:hint="eastAsia"/>
        </w:rPr>
        <w:t>一、教科文组织——联合国教育、科学及文化组织：旨在改进和扩</w:t>
      </w:r>
      <w:r>
        <w:rPr>
          <w:rFonts w:hint="eastAsia"/>
        </w:rPr>
        <w:t>大儿童和青少年信息系统。</w:t>
      </w:r>
    </w:p>
    <w:p w:rsidR="00000000" w:rsidRDefault="004D2F83" w:rsidP="004D2F83">
      <w:pPr>
        <w:spacing w:after="240" w:line="360" w:lineRule="exact"/>
        <w:ind w:leftChars="200" w:left="31680" w:hangingChars="200" w:firstLine="31680"/>
        <w:rPr>
          <w:rFonts w:hint="eastAsia"/>
        </w:rPr>
      </w:pPr>
      <w:r>
        <w:rPr>
          <w:rFonts w:hint="eastAsia"/>
        </w:rPr>
        <w:t>二、妇发基金——联合国妇女发展基金：拟订了题为“增进巴西国内易受性虐待和商业性剥削的年轻妇女权利”的项目。此项目是在拉丁美洲和加勒比地区开展的消除暴力侵害妇女运动范围内界定的。此项联合国机构间倡议由妇发基金协调，得到了该区域内妇女运动倡议的支持，并与全球人权运动挂钩。该项目于</w:t>
      </w:r>
      <w:r>
        <w:rPr>
          <w:rFonts w:hint="eastAsia"/>
        </w:rPr>
        <w:t>1999</w:t>
      </w:r>
      <w:r>
        <w:rPr>
          <w:rFonts w:hint="eastAsia"/>
        </w:rPr>
        <w:t>年开始实施；建议的活动包括：</w:t>
      </w:r>
    </w:p>
    <w:p w:rsidR="00000000" w:rsidRDefault="004D2F83">
      <w:pPr>
        <w:numPr>
          <w:ilvl w:val="0"/>
          <w:numId w:val="707"/>
        </w:numPr>
        <w:tabs>
          <w:tab w:val="clear" w:pos="840"/>
          <w:tab w:val="num" w:pos="1200"/>
        </w:tabs>
        <w:spacing w:after="240" w:line="360" w:lineRule="exact"/>
        <w:ind w:left="1200" w:hanging="360"/>
        <w:rPr>
          <w:rFonts w:hint="eastAsia"/>
        </w:rPr>
      </w:pPr>
      <w:r>
        <w:rPr>
          <w:rFonts w:hint="eastAsia"/>
        </w:rPr>
        <w:t>通过对女童和年轻妇女的性暴力这一主题开展调查、研究、项目</w:t>
      </w:r>
      <w:r>
        <w:t>/</w:t>
      </w:r>
      <w:r>
        <w:rPr>
          <w:rFonts w:hint="eastAsia"/>
        </w:rPr>
        <w:t>方案、运动及关于自然人和法律实体的记录，获得关于对女童和年轻妇女的性暴力的知识。</w:t>
      </w:r>
    </w:p>
    <w:p w:rsidR="00000000" w:rsidRDefault="004D2F83">
      <w:pPr>
        <w:numPr>
          <w:ilvl w:val="0"/>
          <w:numId w:val="707"/>
        </w:numPr>
        <w:tabs>
          <w:tab w:val="clear" w:pos="840"/>
          <w:tab w:val="num" w:pos="1200"/>
        </w:tabs>
        <w:spacing w:after="240" w:line="360" w:lineRule="exact"/>
        <w:ind w:left="1200" w:hanging="360"/>
        <w:rPr>
          <w:rFonts w:hint="eastAsia"/>
        </w:rPr>
      </w:pPr>
      <w:r>
        <w:rPr>
          <w:rFonts w:hint="eastAsia"/>
        </w:rPr>
        <w:t>为年轻人举办讲习班（巴西利亚—</w:t>
      </w:r>
      <w:r>
        <w:rPr>
          <w:rFonts w:hint="eastAsia"/>
        </w:rPr>
        <w:t>D</w:t>
      </w:r>
      <w:r>
        <w:rPr>
          <w:rFonts w:hint="eastAsia"/>
        </w:rPr>
        <w:t>F</w:t>
      </w:r>
      <w:r>
        <w:rPr>
          <w:rFonts w:hint="eastAsia"/>
        </w:rPr>
        <w:t>、圣维森特—</w:t>
      </w:r>
      <w:r>
        <w:rPr>
          <w:rFonts w:hint="eastAsia"/>
        </w:rPr>
        <w:t>SP</w:t>
      </w:r>
      <w:r>
        <w:rPr>
          <w:rFonts w:hint="eastAsia"/>
        </w:rPr>
        <w:t>、福斯</w:t>
      </w:r>
      <w:r>
        <w:rPr>
          <w:rFonts w:hint="eastAsia"/>
        </w:rPr>
        <w:t>-</w:t>
      </w:r>
      <w:r>
        <w:rPr>
          <w:rFonts w:hint="eastAsia"/>
        </w:rPr>
        <w:t>杜伊瓜苏—</w:t>
      </w:r>
      <w:r>
        <w:rPr>
          <w:rFonts w:hint="eastAsia"/>
        </w:rPr>
        <w:t>PR</w:t>
      </w:r>
      <w:r>
        <w:rPr>
          <w:rFonts w:hint="eastAsia"/>
        </w:rPr>
        <w:t>、维多利亚—</w:t>
      </w:r>
      <w:r>
        <w:rPr>
          <w:rFonts w:hint="eastAsia"/>
        </w:rPr>
        <w:t>ES</w:t>
      </w:r>
      <w:r>
        <w:rPr>
          <w:rFonts w:hint="eastAsia"/>
        </w:rPr>
        <w:t>、贝洛奥里藏特—</w:t>
      </w:r>
      <w:r>
        <w:rPr>
          <w:rFonts w:hint="eastAsia"/>
        </w:rPr>
        <w:t>MG</w:t>
      </w:r>
      <w:r>
        <w:rPr>
          <w:rFonts w:hint="eastAsia"/>
        </w:rPr>
        <w:t>、马塞约—</w:t>
      </w:r>
      <w:r>
        <w:rPr>
          <w:rFonts w:hint="eastAsia"/>
        </w:rPr>
        <w:t>AL</w:t>
      </w:r>
      <w:r>
        <w:rPr>
          <w:rFonts w:hint="eastAsia"/>
        </w:rPr>
        <w:t>、累西腓—</w:t>
      </w:r>
      <w:r>
        <w:rPr>
          <w:rFonts w:hint="eastAsia"/>
        </w:rPr>
        <w:t>PE</w:t>
      </w:r>
      <w:r>
        <w:rPr>
          <w:rFonts w:hint="eastAsia"/>
        </w:rPr>
        <w:t>）。采用特殊技术有利于创造性展示生活经历，从而使人们站在成为性虐待和性商业剥削的受害者的年轻女孩的角度，更好地了解性剥削和性虐待的原因、层面、特点和后果。</w:t>
      </w:r>
    </w:p>
    <w:p w:rsidR="00000000" w:rsidRDefault="004D2F83">
      <w:pPr>
        <w:numPr>
          <w:ilvl w:val="0"/>
          <w:numId w:val="707"/>
        </w:numPr>
        <w:tabs>
          <w:tab w:val="clear" w:pos="840"/>
          <w:tab w:val="num" w:pos="1200"/>
        </w:tabs>
        <w:spacing w:after="240" w:line="360" w:lineRule="exact"/>
        <w:ind w:left="1200" w:hanging="360"/>
        <w:rPr>
          <w:rFonts w:hint="eastAsia"/>
        </w:rPr>
      </w:pPr>
      <w:r>
        <w:rPr>
          <w:rFonts w:hint="eastAsia"/>
        </w:rPr>
        <w:t>巴西利亚为专业人员（社会工作者、心理学家）提供课程</w:t>
      </w:r>
      <w:r>
        <w:t>/</w:t>
      </w:r>
      <w:r>
        <w:rPr>
          <w:rFonts w:hint="eastAsia"/>
        </w:rPr>
        <w:t>培训、试验经验，以便为评估对儿童和青少年的性虐待提供特别援助。联邦十个州共培训了</w:t>
      </w:r>
      <w:r>
        <w:rPr>
          <w:rFonts w:hint="eastAsia"/>
        </w:rPr>
        <w:t>26</w:t>
      </w:r>
      <w:r>
        <w:rPr>
          <w:rFonts w:hint="eastAsia"/>
        </w:rPr>
        <w:t>名专业人员。</w:t>
      </w:r>
    </w:p>
    <w:p w:rsidR="00000000" w:rsidRDefault="004D2F83">
      <w:pPr>
        <w:numPr>
          <w:ilvl w:val="0"/>
          <w:numId w:val="707"/>
        </w:numPr>
        <w:tabs>
          <w:tab w:val="clear" w:pos="840"/>
          <w:tab w:val="num" w:pos="1200"/>
        </w:tabs>
        <w:spacing w:after="240" w:line="360" w:lineRule="exact"/>
        <w:ind w:left="1200" w:hanging="360"/>
        <w:rPr>
          <w:rFonts w:hint="eastAsia"/>
        </w:rPr>
      </w:pPr>
      <w:r>
        <w:rPr>
          <w:rFonts w:hint="eastAsia"/>
        </w:rPr>
        <w:t>与暴力案件援助中心合作，为处理暴力案件提供援助。在里约热内卢州和巴西其他各州，该机构采取预防性行动（向</w:t>
      </w:r>
      <w:r>
        <w:rPr>
          <w:rFonts w:hint="eastAsia"/>
        </w:rPr>
        <w:t>专业人员和广大社区演讲）。在医疗方面，里约热内卢市除了对家庭进行社会监测之外，还向性暴力受害儿童和青少年以及侵害者提供心理治疗。该机构目前正在为大学生和研究生以及研究和检察小组开办培训班，并就此主题开展研究。</w:t>
      </w:r>
    </w:p>
    <w:p w:rsidR="00000000" w:rsidRDefault="004D2F83">
      <w:pPr>
        <w:numPr>
          <w:ilvl w:val="0"/>
          <w:numId w:val="707"/>
        </w:numPr>
        <w:tabs>
          <w:tab w:val="clear" w:pos="840"/>
          <w:tab w:val="num" w:pos="1200"/>
        </w:tabs>
        <w:spacing w:after="240" w:line="360" w:lineRule="exact"/>
        <w:ind w:left="1200" w:hanging="360"/>
        <w:rPr>
          <w:rFonts w:hint="eastAsia"/>
        </w:rPr>
      </w:pPr>
      <w:r>
        <w:rPr>
          <w:rFonts w:hint="eastAsia"/>
        </w:rPr>
        <w:t>分析政府机构在援助、预防、辩护和确认对儿童和青少年性虐待责任者所采用的战略，以便处理儿童和青少年性虐待事件，重点放在巴西五个区域内五个州的权利状况披露、报告、调查和恢复这几方面——关于对儿童和青少年性虐待责任者的援助、预防、辩护和确认的“巡回和短期巡回”调查。</w:t>
      </w:r>
    </w:p>
    <w:p w:rsidR="00000000" w:rsidRDefault="004D2F83">
      <w:pPr>
        <w:spacing w:after="240" w:line="360" w:lineRule="exact"/>
        <w:rPr>
          <w:rFonts w:eastAsia="KaiTi_GB2312" w:hint="eastAsia"/>
        </w:rPr>
      </w:pPr>
      <w:r>
        <w:rPr>
          <w:rFonts w:eastAsia="KaiTi_GB2312" w:hint="eastAsia"/>
        </w:rPr>
        <w:t>4</w:t>
      </w:r>
      <w:r>
        <w:rPr>
          <w:rFonts w:eastAsia="KaiTi_GB2312" w:hint="eastAsia"/>
        </w:rPr>
        <w:t>．禁止对儿童和青少年性暴力的国家计划</w:t>
      </w:r>
    </w:p>
    <w:p w:rsidR="00000000" w:rsidRDefault="004D2F83" w:rsidP="004D2F83">
      <w:pPr>
        <w:spacing w:after="240" w:line="360" w:lineRule="exact"/>
        <w:ind w:firstLineChars="200" w:firstLine="31680"/>
        <w:rPr>
          <w:rFonts w:hint="eastAsia"/>
        </w:rPr>
      </w:pPr>
      <w:r>
        <w:rPr>
          <w:rFonts w:hint="eastAsia"/>
        </w:rPr>
        <w:t>此项计划提供了一些有组织的行动，旨在采取技术政治和财政干预措施，打击对儿童和青少年的性暴力。该计划于</w:t>
      </w:r>
      <w:r>
        <w:rPr>
          <w:rFonts w:hint="eastAsia"/>
        </w:rPr>
        <w:t>2000</w:t>
      </w:r>
      <w:r>
        <w:rPr>
          <w:rFonts w:hint="eastAsia"/>
        </w:rPr>
        <w:t>年在儿童和青少年权利全国委员会会议上得到批准，包括通过在打击对儿童和青少年的暴力的政策范围内的国家准则。因此，该方案是合法文件，成为联邦、州和市各级决策的参考依据。</w:t>
      </w:r>
    </w:p>
    <w:p w:rsidR="00000000" w:rsidRDefault="004D2F83" w:rsidP="004D2F83">
      <w:pPr>
        <w:spacing w:after="240" w:line="360" w:lineRule="exact"/>
        <w:ind w:leftChars="200" w:left="31680" w:hangingChars="200" w:firstLine="31680"/>
        <w:rPr>
          <w:rFonts w:hint="eastAsia"/>
        </w:rPr>
      </w:pPr>
      <w:r>
        <w:rPr>
          <w:rFonts w:hint="eastAsia"/>
        </w:rPr>
        <w:t>一、设立执行秘书处，将权力下放到州一级，执行禁止对儿童和青少年性暴力的国家计划。预算：</w:t>
      </w:r>
      <w:r>
        <w:rPr>
          <w:rFonts w:hint="eastAsia"/>
        </w:rPr>
        <w:t>66 960.00</w:t>
      </w:r>
      <w:r>
        <w:rPr>
          <w:rFonts w:hint="eastAsia"/>
        </w:rPr>
        <w:t>雷亚尔。</w:t>
      </w:r>
    </w:p>
    <w:p w:rsidR="00000000" w:rsidRDefault="004D2F83" w:rsidP="004D2F83">
      <w:pPr>
        <w:spacing w:after="240" w:line="360" w:lineRule="exact"/>
        <w:ind w:leftChars="200" w:left="31680" w:hangingChars="200" w:firstLine="31680"/>
        <w:rPr>
          <w:rFonts w:hint="eastAsia"/>
        </w:rPr>
      </w:pPr>
      <w:r>
        <w:rPr>
          <w:rFonts w:hint="eastAsia"/>
        </w:rPr>
        <w:t>二、多年期计划中明确的行动：防止和消除对儿童和青少年性剥削和虐待国家信息网（方案：消除对儿童和青少年的性剥削和虐待）。战略：</w:t>
      </w:r>
      <w:r>
        <w:rPr>
          <w:rFonts w:hint="eastAsia"/>
        </w:rPr>
        <w:t>通过在全国各区域建立数据库，下放全国网络，利用现有的数据库、以前的经验和技术，但要根据新的要求给予调整。预算：</w:t>
      </w:r>
      <w:r>
        <w:rPr>
          <w:rFonts w:hint="eastAsia"/>
        </w:rPr>
        <w:t>140 000.00</w:t>
      </w:r>
      <w:r>
        <w:rPr>
          <w:rFonts w:hint="eastAsia"/>
        </w:rPr>
        <w:t>雷亚尔。</w:t>
      </w:r>
    </w:p>
    <w:p w:rsidR="00000000" w:rsidRDefault="004D2F83" w:rsidP="004D2F83">
      <w:pPr>
        <w:spacing w:after="240" w:line="360" w:lineRule="exact"/>
        <w:ind w:leftChars="200" w:left="31680" w:hangingChars="200" w:firstLine="31680"/>
        <w:rPr>
          <w:rFonts w:hint="eastAsia"/>
        </w:rPr>
      </w:pPr>
      <w:r>
        <w:rPr>
          <w:rFonts w:hint="eastAsia"/>
        </w:rPr>
        <w:t>三、多年期计划中未明确的行动：实施接收、处理、跟踪、监测和评估对儿童和青少年性剥削情况报告国家系统。</w:t>
      </w:r>
      <w:r>
        <w:rPr>
          <w:rFonts w:hint="eastAsia"/>
        </w:rPr>
        <w:t>a</w:t>
      </w:r>
      <w:r>
        <w:rPr>
          <w:rFonts w:hint="eastAsia"/>
        </w:rPr>
        <w:t>）通过电话服务（拨打</w:t>
      </w:r>
      <w:r>
        <w:rPr>
          <w:rFonts w:hint="eastAsia"/>
        </w:rPr>
        <w:t>0800-990500</w:t>
      </w:r>
      <w:r>
        <w:rPr>
          <w:rFonts w:hint="eastAsia"/>
        </w:rPr>
        <w:t>）和长期宣传运动等方式支持报告通知系统，使公众了解这一问题，动员负责处理报告的保护</w:t>
      </w:r>
      <w:r>
        <w:rPr>
          <w:rFonts w:hint="eastAsia"/>
        </w:rPr>
        <w:t>/</w:t>
      </w:r>
      <w:r>
        <w:rPr>
          <w:rFonts w:hint="eastAsia"/>
        </w:rPr>
        <w:t>责任机构，以保护儿童和青少年和认定侵害者；</w:t>
      </w:r>
      <w:r>
        <w:rPr>
          <w:rFonts w:hint="eastAsia"/>
        </w:rPr>
        <w:t>b</w:t>
      </w:r>
      <w:r>
        <w:rPr>
          <w:rFonts w:hint="eastAsia"/>
        </w:rPr>
        <w:t>）通过儿童和青少年权利保障系统监测报告及其流量。</w:t>
      </w:r>
    </w:p>
    <w:p w:rsidR="00000000" w:rsidRDefault="004D2F83">
      <w:pPr>
        <w:pStyle w:val="Date"/>
        <w:spacing w:after="240" w:line="360" w:lineRule="exact"/>
        <w:rPr>
          <w:rFonts w:eastAsia="SimHei" w:hint="eastAsia"/>
          <w:bCs/>
          <w:sz w:val="24"/>
        </w:rPr>
      </w:pPr>
      <w:r>
        <w:rPr>
          <w:rFonts w:eastAsia="SimHei" w:hint="eastAsia"/>
          <w:bCs/>
          <w:sz w:val="24"/>
        </w:rPr>
        <w:t>司法措施</w:t>
      </w:r>
    </w:p>
    <w:p w:rsidR="00000000" w:rsidRDefault="004D2F83" w:rsidP="004D2F83">
      <w:pPr>
        <w:spacing w:after="240" w:line="360" w:lineRule="exact"/>
        <w:ind w:firstLineChars="200" w:firstLine="31680"/>
        <w:rPr>
          <w:rFonts w:hint="eastAsia"/>
        </w:rPr>
      </w:pPr>
      <w:r>
        <w:rPr>
          <w:rFonts w:hint="eastAsia"/>
        </w:rPr>
        <w:t>关于权利保护，《联邦宪法》第</w:t>
      </w:r>
      <w:r>
        <w:rPr>
          <w:rFonts w:hint="eastAsia"/>
        </w:rPr>
        <w:t>5</w:t>
      </w:r>
      <w:r>
        <w:rPr>
          <w:rFonts w:hint="eastAsia"/>
        </w:rPr>
        <w:t>条第三十五</w:t>
      </w:r>
      <w:r>
        <w:rPr>
          <w:rFonts w:hint="eastAsia"/>
        </w:rPr>
        <w:t>项确保人人应可获得司法部门的援助。有关机构——司法部门、检察服务处、公共保护处和公安处，其责任都包括增进和保障对性暴力受害妇女、儿童和青少年的保护。</w:t>
      </w:r>
    </w:p>
    <w:p w:rsidR="00000000" w:rsidRDefault="004D2F83" w:rsidP="004D2F83">
      <w:pPr>
        <w:spacing w:after="240" w:line="360" w:lineRule="exact"/>
        <w:ind w:firstLineChars="200" w:firstLine="31680"/>
        <w:rPr>
          <w:rFonts w:hint="eastAsia"/>
        </w:rPr>
      </w:pPr>
      <w:r>
        <w:rPr>
          <w:rFonts w:hint="eastAsia"/>
        </w:rPr>
        <w:t>在实施《儿童和青少年法规》方面，政府方面和法律机制确立了</w:t>
      </w:r>
      <w:r>
        <w:rPr>
          <w:rFonts w:eastAsia="KaiTi_GB2312" w:hint="eastAsia"/>
        </w:rPr>
        <w:t>儿童和青少年权利保障体系</w:t>
      </w:r>
      <w:r>
        <w:rPr>
          <w:rFonts w:hint="eastAsia"/>
        </w:rPr>
        <w:t>，该体系包括三个重点领域：促进、社会管制、保护和责任。保护和责任领域</w:t>
      </w:r>
      <w:r>
        <w:rPr>
          <w:rStyle w:val="FootnoteReference"/>
        </w:rPr>
        <w:footnoteReference w:customMarkFollows="1" w:id="74"/>
        <w:t>74</w:t>
      </w:r>
      <w:r>
        <w:rPr>
          <w:rFonts w:hint="eastAsia"/>
        </w:rPr>
        <w:t>由政府方面和法律体制机制组成：</w:t>
      </w:r>
      <w:r>
        <w:rPr>
          <w:rFonts w:hint="eastAsia"/>
        </w:rPr>
        <w:t>a</w:t>
      </w:r>
      <w:r>
        <w:rPr>
          <w:rFonts w:hint="eastAsia"/>
        </w:rPr>
        <w:t>）对权利受到侵犯或威胁的儿童和青少年提供法律保护；</w:t>
      </w:r>
      <w:r>
        <w:rPr>
          <w:rFonts w:hint="eastAsia"/>
        </w:rPr>
        <w:t>b</w:t>
      </w:r>
      <w:r>
        <w:rPr>
          <w:rFonts w:hint="eastAsia"/>
        </w:rPr>
        <w:t>）使犯罪者对其行为负法律责任。这一领域特别涉及公共保护处、保护中心和监护委员会，</w:t>
      </w:r>
      <w:r>
        <w:rPr>
          <w:rStyle w:val="FootnoteReference"/>
        </w:rPr>
        <w:footnoteReference w:customMarkFollows="1" w:id="75"/>
        <w:t>75</w:t>
      </w:r>
      <w:r>
        <w:rPr>
          <w:rFonts w:hint="eastAsia"/>
        </w:rPr>
        <w:t>这些机构旨在通过社会和法律保护手段，保障儿</w:t>
      </w:r>
      <w:r>
        <w:rPr>
          <w:rFonts w:hint="eastAsia"/>
        </w:rPr>
        <w:t>童和青少年权利。所涉其他机构包括司法部门、检察服务处和公安处。唯一被授权对性暴力受害者进行正规体检的机构是法医办公室，其设施一般在城市地区——州府城市，其设备和工作人员严重不足，特别是缺少法医。法医办公室中几乎没有专门处理性虐待罪的工作人员。不过，女权运动者和人权领域中的妇女被动员起来，她们建议进行法医制度改革，建立有专业技术人员的更人道的场所。</w:t>
      </w:r>
    </w:p>
    <w:p w:rsidR="00000000" w:rsidRDefault="004D2F83" w:rsidP="004D2F83">
      <w:pPr>
        <w:spacing w:after="240" w:line="360" w:lineRule="exact"/>
        <w:ind w:firstLineChars="200" w:firstLine="31680"/>
        <w:rPr>
          <w:rFonts w:hint="eastAsia"/>
        </w:rPr>
      </w:pPr>
      <w:r>
        <w:rPr>
          <w:rFonts w:hint="eastAsia"/>
        </w:rPr>
        <w:t>在保护和保障儿童和青少年权利方面，权利系统的组织结构如下：</w:t>
      </w:r>
      <w:r>
        <w:rPr>
          <w:rStyle w:val="FootnoteReference"/>
        </w:rPr>
        <w:footnoteReference w:customMarkFollows="1" w:id="76"/>
        <w:t>76</w:t>
      </w:r>
    </w:p>
    <w:p w:rsidR="00000000" w:rsidRDefault="004D2F83" w:rsidP="004D2F83">
      <w:pPr>
        <w:spacing w:after="240" w:line="360" w:lineRule="exact"/>
        <w:ind w:leftChars="200" w:left="31680" w:hangingChars="200" w:firstLine="31680"/>
        <w:rPr>
          <w:rFonts w:hint="eastAsia"/>
        </w:rPr>
      </w:pPr>
      <w:r>
        <w:rPr>
          <w:rFonts w:hint="eastAsia"/>
        </w:rPr>
        <w:t>一、保护儿童和青少年警察局——负责处理有关暴力侵害儿童和青少年的所有控告和报告。一旦请求警方讯问，</w:t>
      </w:r>
      <w:r>
        <w:rPr>
          <w:rFonts w:hint="eastAsia"/>
        </w:rPr>
        <w:t>则由特别警员调查案件，他们在专员领导下，调查、审讯当事人，并收集用于审判的证据。如果专员得出被告有罪的结论，被告则受到起诉，案件提交法院。为了保护性暴力受害者，在妇发基金</w:t>
      </w:r>
      <w:r>
        <w:rPr>
          <w:rFonts w:hint="eastAsia"/>
        </w:rPr>
        <w:t>/</w:t>
      </w:r>
      <w:r>
        <w:rPr>
          <w:rFonts w:hint="eastAsia"/>
        </w:rPr>
        <w:t>司法部</w:t>
      </w:r>
      <w:r>
        <w:rPr>
          <w:rFonts w:hint="eastAsia"/>
        </w:rPr>
        <w:t>/SEDH/</w:t>
      </w:r>
      <w:r>
        <w:rPr>
          <w:rFonts w:hint="eastAsia"/>
        </w:rPr>
        <w:t>儿童和青少年司项目的范围内，培训了心理学家和社会工作者，以便对儿童和青少年性虐待案件提供特别援助并进行评估。</w:t>
      </w:r>
    </w:p>
    <w:p w:rsidR="00000000" w:rsidRDefault="004D2F83" w:rsidP="004D2F83">
      <w:pPr>
        <w:spacing w:after="240" w:line="360" w:lineRule="exact"/>
        <w:ind w:leftChars="200" w:left="31680" w:hangingChars="200" w:firstLine="31680"/>
        <w:rPr>
          <w:rFonts w:hint="eastAsia"/>
        </w:rPr>
      </w:pPr>
      <w:r>
        <w:rPr>
          <w:rFonts w:hint="eastAsia"/>
        </w:rPr>
        <w:t>二、检察服务处——儿童和青少年协调组织是检察服务处中负责为调查和审判对儿童和青少年实施性犯罪的犯罪采取刑事行动的机构。刑事行动可能以当事人的代理为条件，但是，检察处会无条件地开展刑事行动，在这种情况下当事人不需要</w:t>
      </w:r>
      <w:r>
        <w:rPr>
          <w:rFonts w:hint="eastAsia"/>
        </w:rPr>
        <w:t>有代理。</w:t>
      </w:r>
    </w:p>
    <w:p w:rsidR="00000000" w:rsidRDefault="004D2F83" w:rsidP="004D2F83">
      <w:pPr>
        <w:spacing w:after="240" w:line="360" w:lineRule="exact"/>
        <w:ind w:leftChars="200" w:left="31680" w:hangingChars="200" w:firstLine="31680"/>
        <w:rPr>
          <w:rFonts w:hint="eastAsia"/>
        </w:rPr>
      </w:pPr>
      <w:r>
        <w:rPr>
          <w:rFonts w:hint="eastAsia"/>
        </w:rPr>
        <w:t>三、特别刑事法院――专门打击对儿童和青少年犯罪刑事法院，它们负责调查犯罪行为，包括对儿童和青少年的性暴力。这些法院组建的目的就是为了加速审判这些犯罪并减少有罪不罚的现象。特别刑事法院由多专业小组向侵害者和受害者两个方面提供特别援助，以便保护受害者并加快诉讼进程。目前，只有巴伊亚、塞阿拉和伯南布哥三个州启动了打击对儿童和青少年犯罪专门刑事法院。</w:t>
      </w:r>
    </w:p>
    <w:p w:rsidR="00000000" w:rsidRDefault="004D2F83" w:rsidP="004D2F83">
      <w:pPr>
        <w:spacing w:after="240" w:line="360" w:lineRule="exact"/>
        <w:ind w:leftChars="200" w:left="31680" w:hangingChars="200" w:firstLine="31680"/>
        <w:rPr>
          <w:rFonts w:hint="eastAsia"/>
        </w:rPr>
      </w:pPr>
      <w:r>
        <w:rPr>
          <w:rFonts w:hint="eastAsia"/>
        </w:rPr>
        <w:t>四、公共保护处</w:t>
      </w:r>
      <w:r>
        <w:rPr>
          <w:rFonts w:eastAsia="SimHei" w:hint="eastAsia"/>
        </w:rPr>
        <w:t>——</w:t>
      </w:r>
      <w:r>
        <w:rPr>
          <w:rFonts w:hint="eastAsia"/>
        </w:rPr>
        <w:t>公共保护处的机构作用之一是对儿童和青少年提供法律保护。《儿童和青少年法规》第</w:t>
      </w:r>
      <w:r>
        <w:rPr>
          <w:rFonts w:hint="eastAsia"/>
        </w:rPr>
        <w:t>141</w:t>
      </w:r>
      <w:r>
        <w:rPr>
          <w:rFonts w:hint="eastAsia"/>
        </w:rPr>
        <w:t>条规定，应当确保每个儿童或青少年获得公共保护处的服务。目</w:t>
      </w:r>
      <w:r>
        <w:rPr>
          <w:rFonts w:hint="eastAsia"/>
        </w:rPr>
        <w:t>前，阿克里、阿马帕、马拉尼昂、南马托格罗索、米纳斯吉拉斯、巴拉那、伯南布哥、里约热内卢、南里约格莱德、塞尔希培和托坎廷斯等州的公共保护处设有儿童和青少年特别援助中心。</w:t>
      </w:r>
    </w:p>
    <w:p w:rsidR="00000000" w:rsidRDefault="004D2F83">
      <w:pPr>
        <w:pStyle w:val="Date"/>
        <w:spacing w:after="240" w:line="360" w:lineRule="exact"/>
        <w:rPr>
          <w:rFonts w:eastAsia="SimHei" w:hint="eastAsia"/>
          <w:bCs/>
          <w:sz w:val="24"/>
        </w:rPr>
      </w:pPr>
      <w:r>
        <w:rPr>
          <w:rFonts w:eastAsia="SimHei" w:hint="eastAsia"/>
          <w:bCs/>
          <w:sz w:val="24"/>
        </w:rPr>
        <w:t>因素和困难</w:t>
      </w:r>
    </w:p>
    <w:p w:rsidR="00000000" w:rsidRDefault="004D2F83" w:rsidP="004D2F83">
      <w:pPr>
        <w:spacing w:after="240" w:line="360" w:lineRule="exact"/>
        <w:ind w:firstLineChars="200" w:firstLine="31680"/>
        <w:rPr>
          <w:rFonts w:hint="eastAsia"/>
        </w:rPr>
      </w:pPr>
      <w:r>
        <w:rPr>
          <w:rFonts w:hint="eastAsia"/>
        </w:rPr>
        <w:t>巴西所有城区中意图营利使妇女卖淫和贩运妇女现象都在增多，这种现象因每个区域的社会、经济和文化状况而具有各自独特、多样的形式。</w:t>
      </w:r>
    </w:p>
    <w:p w:rsidR="00000000" w:rsidRDefault="004D2F83" w:rsidP="004D2F83">
      <w:pPr>
        <w:spacing w:after="240" w:line="360" w:lineRule="exact"/>
        <w:ind w:firstLineChars="200" w:firstLine="31680"/>
        <w:rPr>
          <w:rFonts w:hint="eastAsia"/>
        </w:rPr>
      </w:pPr>
      <w:r>
        <w:rPr>
          <w:rFonts w:hint="eastAsia"/>
        </w:rPr>
        <w:t>许多妇女从孩提时代便成为不同形式暴力的受害者，对其权利构成了恶劣的侵害。在全国，女童和青少年每天都遭受不同形式的性剥削和贩运。</w:t>
      </w:r>
      <w:r>
        <w:rPr>
          <w:rStyle w:val="FootnoteReference"/>
        </w:rPr>
        <w:footnoteReference w:customMarkFollows="1" w:id="77"/>
        <w:t>77</w:t>
      </w:r>
    </w:p>
    <w:p w:rsidR="00000000" w:rsidRDefault="004D2F83" w:rsidP="004D2F83">
      <w:pPr>
        <w:spacing w:after="240" w:line="360" w:lineRule="exact"/>
        <w:ind w:firstLineChars="200" w:firstLine="31680"/>
        <w:rPr>
          <w:rFonts w:hint="eastAsia"/>
        </w:rPr>
      </w:pPr>
      <w:r>
        <w:rPr>
          <w:rFonts w:hint="eastAsia"/>
        </w:rPr>
        <w:t>由于越来越多的年轻女孩以“用性取悦换取物质或社会好处”的方式谋生，则以“性</w:t>
      </w:r>
      <w:r>
        <w:rPr>
          <w:rFonts w:hint="eastAsia"/>
        </w:rPr>
        <w:t>剥削”一词来代替意图营利使妇女卖淫，以防止任何形式的歧视，尤其是鉴于这些女孩正处在生理和心理发育、社会和文化发展阶段。按照全国运动（</w:t>
      </w:r>
      <w:r>
        <w:rPr>
          <w:rFonts w:hint="eastAsia"/>
        </w:rPr>
        <w:t>1997</w:t>
      </w:r>
      <w:r>
        <w:rPr>
          <w:rFonts w:hint="eastAsia"/>
        </w:rPr>
        <w:t>年）文件所述，卖淫一词掩盖了受虐待性行为的性质，转移了关注重点，包含了知情同意这一观点，儿童和青少年具有犯罪者的特点而不是受害者。</w:t>
      </w:r>
      <w:r>
        <w:rPr>
          <w:rStyle w:val="FootnoteReference"/>
        </w:rPr>
        <w:footnoteReference w:customMarkFollows="1" w:id="78"/>
        <w:t>78</w:t>
      </w:r>
    </w:p>
    <w:p w:rsidR="00000000" w:rsidRDefault="004D2F83" w:rsidP="004D2F83">
      <w:pPr>
        <w:spacing w:after="240" w:line="360" w:lineRule="exact"/>
        <w:ind w:firstLineChars="200" w:firstLine="31680"/>
        <w:rPr>
          <w:rFonts w:hint="eastAsia"/>
        </w:rPr>
      </w:pPr>
      <w:r>
        <w:rPr>
          <w:rFonts w:hint="eastAsia"/>
        </w:rPr>
        <w:t>斯德哥尔摩大会（</w:t>
      </w:r>
      <w:r>
        <w:rPr>
          <w:rFonts w:hint="eastAsia"/>
        </w:rPr>
        <w:t>1996</w:t>
      </w:r>
      <w:r>
        <w:rPr>
          <w:rFonts w:hint="eastAsia"/>
        </w:rPr>
        <w:t>年）上商定的《行动议程》，将网络、用户和个人基于商业剥削与权力的关系，利用女童或青少年的身体（性）来满足其性需要的任何一类活动，均界定为对儿童和青少年的商业性剥削，并确定对儿童和青少年的商业性剥削为危害人类罪。</w:t>
      </w:r>
    </w:p>
    <w:p w:rsidR="00000000" w:rsidRDefault="004D2F83" w:rsidP="004D2F83">
      <w:pPr>
        <w:spacing w:after="240" w:line="360" w:lineRule="exact"/>
        <w:ind w:firstLineChars="200" w:firstLine="31680"/>
        <w:rPr>
          <w:rFonts w:hint="eastAsia"/>
        </w:rPr>
      </w:pPr>
      <w:r>
        <w:rPr>
          <w:rFonts w:hint="eastAsia"/>
        </w:rPr>
        <w:t>在这方面，以通过身体交易（性）这种交易关系为特点的性剥削也包括色情旅游、贩运和色情业。尽管依据巴西法律这种行为是非法的并要受到处罚，但这种情况在全国各地十分普遍。并形成了网络组织，除了起到鼓励制作和消费色情资料（交换和销售色情资料，如杂志、照片、电影、录像带和因特网的网址）的作用外，还导致有罪不罚现象以及国内和跨国犯罪的加剧。</w:t>
      </w:r>
    </w:p>
    <w:p w:rsidR="00000000" w:rsidRDefault="004D2F83" w:rsidP="004D2F83">
      <w:pPr>
        <w:spacing w:after="240" w:line="360" w:lineRule="exact"/>
        <w:ind w:firstLineChars="200" w:firstLine="31680"/>
        <w:rPr>
          <w:rFonts w:hint="eastAsia"/>
        </w:rPr>
      </w:pPr>
      <w:r>
        <w:rPr>
          <w:rFonts w:hint="eastAsia"/>
        </w:rPr>
        <w:t>女孩个人从性剥削中所获收入无几，她们通常债务缠身，付给剥削者一定比例的收入以维持“积分”，由于在大多数情况下，生意来源由卷入商业性剥削网的人提供，这种循环就难以打破，女孩则被犯罪网紧</w:t>
      </w:r>
      <w:r>
        <w:rPr>
          <w:rFonts w:hint="eastAsia"/>
        </w:rPr>
        <w:t>紧束缚住。</w:t>
      </w:r>
    </w:p>
    <w:p w:rsidR="00000000" w:rsidRDefault="004D2F83" w:rsidP="004D2F83">
      <w:pPr>
        <w:spacing w:after="240" w:line="360" w:lineRule="exact"/>
        <w:ind w:firstLineChars="200" w:firstLine="31680"/>
        <w:rPr>
          <w:rFonts w:hint="eastAsia"/>
        </w:rPr>
      </w:pPr>
      <w:r>
        <w:rPr>
          <w:rFonts w:hint="eastAsia"/>
        </w:rPr>
        <w:t>对儿童和青少年的性剥削形式与经济活动有关，经济活动反过来成为巴西各地区建立商业性剥削网络的特点，其中包括旅行社、饭店、夜总会和酒吧、模特公司、出租车司机、卡车司机和警官。</w:t>
      </w:r>
    </w:p>
    <w:p w:rsidR="00000000" w:rsidRDefault="004D2F83" w:rsidP="004D2F83">
      <w:pPr>
        <w:spacing w:after="240" w:line="360" w:lineRule="exact"/>
        <w:ind w:firstLineChars="200" w:firstLine="31680"/>
      </w:pPr>
      <w:r>
        <w:rPr>
          <w:rFonts w:hint="eastAsia"/>
        </w:rPr>
        <w:t>根据</w:t>
      </w:r>
      <w:r>
        <w:rPr>
          <w:rFonts w:hint="eastAsia"/>
        </w:rPr>
        <w:t>FALEIROS</w:t>
      </w:r>
      <w:r>
        <w:rPr>
          <w:rFonts w:hint="eastAsia"/>
        </w:rPr>
        <w:t>和</w:t>
      </w:r>
      <w:r>
        <w:rPr>
          <w:rFonts w:hint="eastAsia"/>
        </w:rPr>
        <w:t>COSTA1997</w:t>
      </w:r>
      <w:r>
        <w:rPr>
          <w:rFonts w:hint="eastAsia"/>
        </w:rPr>
        <w:t>年为司法部整理的研究报告</w:t>
      </w:r>
      <w:r>
        <w:rPr>
          <w:rStyle w:val="FootnoteReference"/>
        </w:rPr>
        <w:footnoteReference w:customMarkFollows="1" w:id="79"/>
        <w:t>79</w:t>
      </w:r>
      <w:r>
        <w:rPr>
          <w:rFonts w:hint="eastAsia"/>
        </w:rPr>
        <w:t>中提供的数据以及</w:t>
      </w:r>
      <w:r>
        <w:rPr>
          <w:rFonts w:hint="eastAsia"/>
        </w:rPr>
        <w:t>LEAL</w:t>
      </w:r>
      <w:r>
        <w:rPr>
          <w:rStyle w:val="FootnoteReference"/>
        </w:rPr>
        <w:footnoteReference w:customMarkFollows="1" w:id="80"/>
        <w:t>80</w:t>
      </w:r>
      <w:r>
        <w:rPr>
          <w:rFonts w:hint="eastAsia"/>
        </w:rPr>
        <w:t>指出的特性，可以确定巴西境内某些性剥削形式，这使全国所有地区的性剥削现象及其严重性更加明显。这两项研究使得数据系统化：</w:t>
      </w:r>
    </w:p>
    <w:p w:rsidR="00000000" w:rsidRDefault="004D2F83" w:rsidP="004D2F83">
      <w:pPr>
        <w:pStyle w:val="NormalIndent"/>
        <w:spacing w:line="360" w:lineRule="exact"/>
        <w:ind w:firstLineChars="200" w:firstLine="31680"/>
        <w:rPr>
          <w:kern w:val="0"/>
        </w:rPr>
      </w:pPr>
    </w:p>
    <w:tbl>
      <w:tblPr>
        <w:tblW w:w="4946" w:type="pct"/>
        <w:tblInd w:w="108" w:type="dxa"/>
        <w:tblLook w:val="0000" w:firstRow="0" w:lastRow="0" w:firstColumn="0" w:lastColumn="0" w:noHBand="0" w:noVBand="0"/>
      </w:tblPr>
      <w:tblGrid>
        <w:gridCol w:w="1587"/>
        <w:gridCol w:w="8269"/>
      </w:tblGrid>
      <w:tr w:rsidR="00000000">
        <w:tblPrEx>
          <w:tblCellMar>
            <w:top w:w="0" w:type="dxa"/>
            <w:bottom w:w="0" w:type="dxa"/>
          </w:tblCellMar>
        </w:tblPrEx>
        <w:tc>
          <w:tcPr>
            <w:tcW w:w="805" w:type="pct"/>
          </w:tcPr>
          <w:p w:rsidR="00000000" w:rsidRDefault="004D2F83">
            <w:pPr>
              <w:tabs>
                <w:tab w:val="left" w:pos="-180"/>
              </w:tabs>
              <w:spacing w:after="240" w:line="360" w:lineRule="exact"/>
              <w:rPr>
                <w:rFonts w:eastAsia="SimHei" w:hint="eastAsia"/>
                <w:bCs/>
              </w:rPr>
            </w:pPr>
            <w:r>
              <w:rPr>
                <w:rFonts w:eastAsia="SimHei" w:hint="eastAsia"/>
                <w:bCs/>
              </w:rPr>
              <w:t>区域</w:t>
            </w:r>
          </w:p>
        </w:tc>
        <w:tc>
          <w:tcPr>
            <w:tcW w:w="4195" w:type="pct"/>
          </w:tcPr>
          <w:p w:rsidR="00000000" w:rsidRDefault="004D2F83">
            <w:pPr>
              <w:tabs>
                <w:tab w:val="left" w:pos="-180"/>
              </w:tabs>
              <w:spacing w:after="240" w:line="360" w:lineRule="exact"/>
              <w:rPr>
                <w:rFonts w:eastAsia="SimHei" w:hint="eastAsia"/>
                <w:bCs/>
              </w:rPr>
            </w:pPr>
            <w:r>
              <w:rPr>
                <w:rFonts w:eastAsia="SimHei" w:hint="eastAsia"/>
                <w:bCs/>
              </w:rPr>
              <w:t>性剥削形式</w:t>
            </w:r>
          </w:p>
        </w:tc>
      </w:tr>
      <w:tr w:rsidR="00000000">
        <w:tblPrEx>
          <w:tblCellMar>
            <w:top w:w="0" w:type="dxa"/>
            <w:bottom w:w="0" w:type="dxa"/>
          </w:tblCellMar>
        </w:tblPrEx>
        <w:tc>
          <w:tcPr>
            <w:tcW w:w="805" w:type="pct"/>
          </w:tcPr>
          <w:p w:rsidR="00000000" w:rsidRDefault="004D2F83">
            <w:pPr>
              <w:tabs>
                <w:tab w:val="left" w:pos="-180"/>
              </w:tabs>
              <w:spacing w:after="240" w:line="360" w:lineRule="exact"/>
              <w:rPr>
                <w:rFonts w:hint="eastAsia"/>
              </w:rPr>
            </w:pPr>
            <w:r>
              <w:rPr>
                <w:rFonts w:hint="eastAsia"/>
              </w:rPr>
              <w:t>北部</w:t>
            </w:r>
          </w:p>
        </w:tc>
        <w:tc>
          <w:tcPr>
            <w:tcW w:w="4195" w:type="pct"/>
          </w:tcPr>
          <w:p w:rsidR="00000000" w:rsidRDefault="004D2F83">
            <w:pPr>
              <w:tabs>
                <w:tab w:val="left" w:pos="-180"/>
              </w:tabs>
              <w:spacing w:after="240" w:line="360" w:lineRule="exact"/>
              <w:rPr>
                <w:rFonts w:hint="eastAsia"/>
              </w:rPr>
            </w:pPr>
            <w:r>
              <w:rPr>
                <w:rFonts w:hint="eastAsia"/>
              </w:rPr>
              <w:t>在妓院和矿井中以下列野蛮形式剥削儿童和青少年：私自监禁（在农场和矿井里）、出卖、贩运</w:t>
            </w:r>
            <w:r>
              <w:rPr>
                <w:rFonts w:hint="eastAsia"/>
              </w:rPr>
              <w:t>、拍卖处女、致残、失踪、甚至谋杀。在所有河港，这种剥削的对象主要是货船船员。</w:t>
            </w:r>
          </w:p>
        </w:tc>
      </w:tr>
      <w:tr w:rsidR="00000000">
        <w:tblPrEx>
          <w:tblCellMar>
            <w:top w:w="0" w:type="dxa"/>
            <w:bottom w:w="0" w:type="dxa"/>
          </w:tblCellMar>
        </w:tblPrEx>
        <w:tc>
          <w:tcPr>
            <w:tcW w:w="805" w:type="pct"/>
          </w:tcPr>
          <w:p w:rsidR="00000000" w:rsidRDefault="004D2F83">
            <w:pPr>
              <w:tabs>
                <w:tab w:val="left" w:pos="-180"/>
              </w:tabs>
              <w:spacing w:after="240" w:line="360" w:lineRule="exact"/>
              <w:rPr>
                <w:rFonts w:hint="eastAsia"/>
              </w:rPr>
            </w:pPr>
            <w:r>
              <w:rPr>
                <w:rFonts w:hint="eastAsia"/>
              </w:rPr>
              <w:t>东北部</w:t>
            </w:r>
          </w:p>
        </w:tc>
        <w:tc>
          <w:tcPr>
            <w:tcW w:w="4195" w:type="pct"/>
          </w:tcPr>
          <w:p w:rsidR="00000000" w:rsidRDefault="004D2F83">
            <w:pPr>
              <w:tabs>
                <w:tab w:val="left" w:pos="-180"/>
              </w:tabs>
              <w:spacing w:after="240" w:line="360" w:lineRule="exact"/>
              <w:rPr>
                <w:rFonts w:hint="eastAsia"/>
              </w:rPr>
            </w:pPr>
            <w:r>
              <w:rPr>
                <w:rFonts w:hint="eastAsia"/>
              </w:rPr>
              <w:t>在旅游活动密集的沿海城市，如东北各州州府色情旅游和色情业十分猖獗。此项活动主要是在诱骗网络中有组织的商业活动，该网络包括国内外的旅行社、饭店、色情业、出租车司机等。</w:t>
            </w:r>
          </w:p>
          <w:p w:rsidR="00000000" w:rsidRDefault="004D2F83">
            <w:pPr>
              <w:tabs>
                <w:tab w:val="left" w:pos="-180"/>
              </w:tabs>
              <w:spacing w:after="240" w:line="360" w:lineRule="exact"/>
              <w:rPr>
                <w:rFonts w:hint="eastAsia"/>
              </w:rPr>
            </w:pPr>
            <w:r>
              <w:rPr>
                <w:rFonts w:hint="eastAsia"/>
              </w:rPr>
              <w:t>性剥削主要涉及青少年、穷人、黑人或穆拉托女童，包括贩运到外国。在海港，性剥削对象主要是货船船员。</w:t>
            </w:r>
          </w:p>
        </w:tc>
      </w:tr>
      <w:tr w:rsidR="00000000">
        <w:tblPrEx>
          <w:tblCellMar>
            <w:top w:w="0" w:type="dxa"/>
            <w:bottom w:w="0" w:type="dxa"/>
          </w:tblCellMar>
        </w:tblPrEx>
        <w:tc>
          <w:tcPr>
            <w:tcW w:w="805" w:type="pct"/>
          </w:tcPr>
          <w:p w:rsidR="00000000" w:rsidRDefault="004D2F83">
            <w:pPr>
              <w:tabs>
                <w:tab w:val="left" w:pos="-180"/>
              </w:tabs>
              <w:spacing w:after="240" w:line="360" w:lineRule="exact"/>
              <w:rPr>
                <w:rFonts w:hint="eastAsia"/>
              </w:rPr>
            </w:pPr>
            <w:r>
              <w:rPr>
                <w:rFonts w:hint="eastAsia"/>
              </w:rPr>
              <w:t>东南部</w:t>
            </w:r>
          </w:p>
        </w:tc>
        <w:tc>
          <w:tcPr>
            <w:tcW w:w="4195" w:type="pct"/>
          </w:tcPr>
          <w:p w:rsidR="00000000" w:rsidRDefault="004D2F83">
            <w:pPr>
              <w:tabs>
                <w:tab w:val="left" w:pos="-180"/>
              </w:tabs>
              <w:spacing w:after="240" w:line="360" w:lineRule="exact"/>
              <w:rPr>
                <w:rFonts w:hint="eastAsia"/>
              </w:rPr>
            </w:pPr>
            <w:r>
              <w:rPr>
                <w:rFonts w:hint="eastAsia"/>
              </w:rPr>
              <w:t>在这一区域，性剥削以街头儿童和青少年为主，他们离家出走以逃避身体或性暴力以及他们所处的赤贫境况。这些街头儿童和青少年用自己的身体（性）作为商品来养活自</w:t>
            </w:r>
            <w:r>
              <w:rPr>
                <w:rFonts w:hint="eastAsia"/>
              </w:rPr>
              <w:t>己。妓院中的情况也是如此。在海港，主要以船员为剥削对象。</w:t>
            </w:r>
          </w:p>
        </w:tc>
      </w:tr>
      <w:tr w:rsidR="00000000">
        <w:tblPrEx>
          <w:tblCellMar>
            <w:top w:w="0" w:type="dxa"/>
            <w:bottom w:w="0" w:type="dxa"/>
          </w:tblCellMar>
        </w:tblPrEx>
        <w:tc>
          <w:tcPr>
            <w:tcW w:w="805" w:type="pct"/>
          </w:tcPr>
          <w:p w:rsidR="00000000" w:rsidRDefault="004D2F83">
            <w:pPr>
              <w:tabs>
                <w:tab w:val="left" w:pos="-180"/>
              </w:tabs>
              <w:spacing w:after="240" w:line="360" w:lineRule="exact"/>
              <w:rPr>
                <w:rFonts w:hint="eastAsia"/>
              </w:rPr>
            </w:pPr>
            <w:r>
              <w:rPr>
                <w:rFonts w:hint="eastAsia"/>
              </w:rPr>
              <w:t>中西部</w:t>
            </w:r>
          </w:p>
        </w:tc>
        <w:tc>
          <w:tcPr>
            <w:tcW w:w="4195" w:type="pct"/>
          </w:tcPr>
          <w:p w:rsidR="00000000" w:rsidRDefault="004D2F83">
            <w:pPr>
              <w:tabs>
                <w:tab w:val="left" w:pos="-180"/>
              </w:tabs>
              <w:spacing w:after="240" w:line="360" w:lineRule="exact"/>
              <w:rPr>
                <w:rFonts w:hint="eastAsia"/>
              </w:rPr>
            </w:pPr>
            <w:r>
              <w:rPr>
                <w:rFonts w:hint="eastAsia"/>
              </w:rPr>
              <w:t>这一区域的特点是，在通航河流沿岸的城市和国内和国际边界上及港口所谓的“航海旅游”。这种做法旨在进行儿童和青少年性交易，现在以游客为对象。但是，河岸地区的当地居民是儿童和青少年卖淫的主要服务对象。该区域有对土著女童和青少年性剥削案件的报告。</w:t>
            </w:r>
          </w:p>
        </w:tc>
      </w:tr>
      <w:tr w:rsidR="00000000">
        <w:tblPrEx>
          <w:tblCellMar>
            <w:top w:w="0" w:type="dxa"/>
            <w:bottom w:w="0" w:type="dxa"/>
          </w:tblCellMar>
        </w:tblPrEx>
        <w:tc>
          <w:tcPr>
            <w:tcW w:w="805" w:type="pct"/>
          </w:tcPr>
          <w:p w:rsidR="00000000" w:rsidRDefault="004D2F83">
            <w:pPr>
              <w:tabs>
                <w:tab w:val="left" w:pos="-180"/>
              </w:tabs>
              <w:spacing w:after="240" w:line="360" w:lineRule="exact"/>
              <w:rPr>
                <w:rFonts w:hint="eastAsia"/>
              </w:rPr>
            </w:pPr>
            <w:r>
              <w:rPr>
                <w:rFonts w:hint="eastAsia"/>
              </w:rPr>
              <w:t>南部</w:t>
            </w:r>
          </w:p>
        </w:tc>
        <w:tc>
          <w:tcPr>
            <w:tcW w:w="4195" w:type="pct"/>
          </w:tcPr>
          <w:p w:rsidR="00000000" w:rsidRDefault="004D2F83">
            <w:pPr>
              <w:tabs>
                <w:tab w:val="left" w:pos="-180"/>
              </w:tabs>
              <w:spacing w:after="240" w:line="360" w:lineRule="exact"/>
              <w:rPr>
                <w:rFonts w:hint="eastAsia"/>
              </w:rPr>
            </w:pPr>
            <w:r>
              <w:rPr>
                <w:rFonts w:hint="eastAsia"/>
              </w:rPr>
              <w:t>在这一区域，性剥削对象以街头儿童和青少年，以少女为主。这种现象在所有大城市中心以及中等城镇都存在。该区域有对土著女童和青少年性剥削案件的报告。</w:t>
            </w:r>
          </w:p>
        </w:tc>
      </w:tr>
    </w:tbl>
    <w:p w:rsidR="00000000" w:rsidRDefault="004D2F83" w:rsidP="004D2F83">
      <w:pPr>
        <w:pStyle w:val="BodyTextIndent"/>
        <w:ind w:firstLineChars="200" w:firstLine="31680"/>
        <w:rPr>
          <w:rFonts w:hint="eastAsia"/>
        </w:rPr>
      </w:pPr>
      <w:r>
        <w:rPr>
          <w:rFonts w:hint="eastAsia"/>
        </w:rPr>
        <w:t>最常见的以性剥削和贩运为目的的诱骗形式是假装提供工</w:t>
      </w:r>
      <w:r>
        <w:rPr>
          <w:rFonts w:hint="eastAsia"/>
        </w:rPr>
        <w:t>作、许诺更好的生活（学校、学习外语、薪金等）和婚姻。家庭内外的暴力也是促使儿童和青少年被诱骗陷入商业性剥削和贩运网的一种脆弱性因素。在全国的城乡地区，无论处于何种社会经济水平，这种暴力状况都处处可见。</w:t>
      </w:r>
    </w:p>
    <w:p w:rsidR="00000000" w:rsidRDefault="004D2F83" w:rsidP="004D2F83">
      <w:pPr>
        <w:pStyle w:val="BodyTextIndent"/>
        <w:ind w:firstLineChars="200" w:firstLine="31680"/>
        <w:rPr>
          <w:rFonts w:hint="eastAsia"/>
        </w:rPr>
      </w:pPr>
      <w:r>
        <w:rPr>
          <w:rFonts w:hint="eastAsia"/>
        </w:rPr>
        <w:t>但是，性剥削在</w:t>
      </w:r>
      <w:r>
        <w:rPr>
          <w:rFonts w:hint="eastAsia"/>
        </w:rPr>
        <w:t>14</w:t>
      </w:r>
      <w:r>
        <w:rPr>
          <w:rFonts w:hint="eastAsia"/>
        </w:rPr>
        <w:t>至</w:t>
      </w:r>
      <w:r>
        <w:rPr>
          <w:rFonts w:hint="eastAsia"/>
        </w:rPr>
        <w:t>17</w:t>
      </w:r>
      <w:r>
        <w:rPr>
          <w:rFonts w:hint="eastAsia"/>
        </w:rPr>
        <w:t>岁年龄组的贫穷女童和少女中更为普遍。贫穷以其各种各样的表现形式直接介入了这种境况，它促进了“街头生活和卖淫、色情旅游、网络剥削和饭店”这些模式。</w:t>
      </w:r>
      <w:r>
        <w:rPr>
          <w:rStyle w:val="FootnoteReference"/>
        </w:rPr>
        <w:footnoteReference w:customMarkFollows="1" w:id="81"/>
        <w:t>81</w:t>
      </w:r>
    </w:p>
    <w:p w:rsidR="00000000" w:rsidRDefault="004D2F83" w:rsidP="004D2F83">
      <w:pPr>
        <w:pStyle w:val="BodyTextIndent"/>
        <w:ind w:firstLineChars="200" w:firstLine="31680"/>
        <w:rPr>
          <w:rFonts w:hint="eastAsia"/>
        </w:rPr>
      </w:pPr>
      <w:r>
        <w:rPr>
          <w:rFonts w:hint="eastAsia"/>
          <w:spacing w:val="4"/>
        </w:rPr>
        <w:t>根据巴西法律制度，“所有这些行动者都要对儿童和青少年权利的疏忽、无保障或侵犯负有同等责任”。</w:t>
      </w:r>
      <w:r>
        <w:rPr>
          <w:rStyle w:val="FootnoteReference"/>
          <w:spacing w:val="4"/>
        </w:rPr>
        <w:footnoteReference w:customMarkFollows="1" w:id="82"/>
        <w:t>82</w:t>
      </w:r>
      <w:r>
        <w:rPr>
          <w:rFonts w:hint="eastAsia"/>
        </w:rPr>
        <w:t>各州现有机构依然数量不足，工作开展不力，</w:t>
      </w:r>
      <w:r>
        <w:rPr>
          <w:rFonts w:hint="eastAsia"/>
        </w:rPr>
        <w:t>机构之间工作不协调。所有这些因素都导致性虐待和剥削受害儿童和青少年得不到应有的保护。</w:t>
      </w:r>
      <w:r>
        <w:rPr>
          <w:rFonts w:hint="eastAsia"/>
        </w:rPr>
        <w:t>Ela Wiecko</w:t>
      </w:r>
      <w:r>
        <w:rPr>
          <w:rFonts w:hint="eastAsia"/>
        </w:rPr>
        <w:t>在评价斯德哥尔摩大会明确的两项行动时，说明了巴西是如何执行这些行动的：“……从被界定为促进和确保个人遵守刑法保护的行为规则的整套机构、战略和社会制裁的刑法系统的观点来看，巴西国在签署宣言和接受有关斯德哥尔摩大会期间确定的行动议程时，同意尤其促进下列行动：首先，将对儿童的商业性剥削视为一种犯罪，并处罚有关的所有人员，无论是本国国民还是外国人，同时确保这种行为的受害者不受处罚。关于第一种行动，巴西对性虐待和剥</w:t>
      </w:r>
      <w:r>
        <w:rPr>
          <w:rFonts w:hint="eastAsia"/>
        </w:rPr>
        <w:t>削受害儿童和青少年没有给予充分的保护。首先，在首次指控犯罪分子时，通过首次控诉，我们对有关被界定为犯罪的行为的法律规定赋予了意义，即法律中规定了什么是犯罪或不是犯罪。（……）现有一整套刑法一直受到一定的批评。在司法－刑法系统中，诱骗被视为一种重罪。根据此项分类，有必要证实，由于犯罪分子的行动，青少年已道德败坏并堕落。因此，诉讼问题引起了关于儿童和青少年行为的讨论，讨论充满了偏见，明显反映出对实际情况缺乏基本的认识。由于法律上这么多不完善之处，许多性虐待肇事者被宣判无罪，而受害者在道义上受到审判并被定罪，却没</w:t>
      </w:r>
      <w:r>
        <w:rPr>
          <w:rFonts w:hint="eastAsia"/>
        </w:rPr>
        <w:t>有辩护的权利。”</w:t>
      </w:r>
      <w:r>
        <w:rPr>
          <w:rStyle w:val="FootnoteReference"/>
        </w:rPr>
        <w:footnoteReference w:customMarkFollows="1" w:id="83"/>
        <w:t>83</w:t>
      </w:r>
    </w:p>
    <w:p w:rsidR="00000000" w:rsidRDefault="004D2F83" w:rsidP="004D2F83">
      <w:pPr>
        <w:pStyle w:val="BodyTextIndent"/>
        <w:ind w:firstLineChars="200" w:firstLine="31680"/>
        <w:rPr>
          <w:rFonts w:hint="eastAsia"/>
        </w:rPr>
      </w:pPr>
      <w:r>
        <w:rPr>
          <w:rFonts w:hint="eastAsia"/>
        </w:rPr>
        <w:t>对妇女的性暴力是通过《刑法典》中被归类为下列罪行的行为施行的：除其他外，强奸（第</w:t>
      </w:r>
      <w:r>
        <w:rPr>
          <w:rFonts w:hint="eastAsia"/>
        </w:rPr>
        <w:t>213</w:t>
      </w:r>
      <w:r>
        <w:rPr>
          <w:rFonts w:hint="eastAsia"/>
        </w:rPr>
        <w:t>条）、暴力猥亵（第</w:t>
      </w:r>
      <w:r>
        <w:rPr>
          <w:rFonts w:hint="eastAsia"/>
        </w:rPr>
        <w:t>214</w:t>
      </w:r>
      <w:r>
        <w:rPr>
          <w:rFonts w:hint="eastAsia"/>
        </w:rPr>
        <w:t>条）、欺骗性猥亵（第</w:t>
      </w:r>
      <w:r>
        <w:rPr>
          <w:rFonts w:hint="eastAsia"/>
        </w:rPr>
        <w:t>216</w:t>
      </w:r>
      <w:r>
        <w:rPr>
          <w:rFonts w:hint="eastAsia"/>
        </w:rPr>
        <w:t>条）、诱奸（第</w:t>
      </w:r>
      <w:r>
        <w:rPr>
          <w:rFonts w:hint="eastAsia"/>
        </w:rPr>
        <w:t>217</w:t>
      </w:r>
      <w:r>
        <w:rPr>
          <w:rFonts w:hint="eastAsia"/>
        </w:rPr>
        <w:t>条）、诱骗（第</w:t>
      </w:r>
      <w:r>
        <w:rPr>
          <w:rFonts w:hint="eastAsia"/>
        </w:rPr>
        <w:t>218</w:t>
      </w:r>
      <w:r>
        <w:rPr>
          <w:rFonts w:hint="eastAsia"/>
        </w:rPr>
        <w:t>条）和诱拐（第</w:t>
      </w:r>
      <w:r>
        <w:rPr>
          <w:rFonts w:hint="eastAsia"/>
        </w:rPr>
        <w:t>219</w:t>
      </w:r>
      <w:r>
        <w:rPr>
          <w:rFonts w:hint="eastAsia"/>
        </w:rPr>
        <w:t>条），这些行为侵犯了性自由并被归类为伤风败俗性犯罪，而不是对人的犯罪，其含义与</w:t>
      </w:r>
      <w:r>
        <w:rPr>
          <w:rFonts w:hint="eastAsia"/>
        </w:rPr>
        <w:t>1940</w:t>
      </w:r>
      <w:r>
        <w:rPr>
          <w:rFonts w:hint="eastAsia"/>
        </w:rPr>
        <w:t>年《刑法典》颁布时所具有的含义不同。因此，巴西判例的作用是纠正该法典中已完全过时和无用的规定。</w:t>
      </w:r>
    </w:p>
    <w:p w:rsidR="00000000" w:rsidRDefault="004D2F83" w:rsidP="004D2F83">
      <w:pPr>
        <w:pStyle w:val="BodyTextIndent"/>
        <w:ind w:firstLineChars="200" w:firstLine="31680"/>
        <w:rPr>
          <w:rFonts w:hint="eastAsia"/>
        </w:rPr>
      </w:pPr>
      <w:r>
        <w:rPr>
          <w:rFonts w:hint="eastAsia"/>
        </w:rPr>
        <w:t>《刑法典》中把性剥削和为性剥削目的的贩运界定为犯罪。司法措施主要是为了禁止犯罪并惩处剥削者</w:t>
      </w:r>
      <w:r>
        <w:rPr>
          <w:rFonts w:hint="eastAsia"/>
        </w:rPr>
        <w:t>/</w:t>
      </w:r>
      <w:r>
        <w:rPr>
          <w:rFonts w:hint="eastAsia"/>
        </w:rPr>
        <w:t>贩运者，同时则忽略了</w:t>
      </w:r>
      <w:r>
        <w:rPr>
          <w:rFonts w:hint="eastAsia"/>
        </w:rPr>
        <w:t>对受害者的保护和援助。</w:t>
      </w:r>
    </w:p>
    <w:p w:rsidR="00000000" w:rsidRDefault="004D2F83" w:rsidP="004D2F83">
      <w:pPr>
        <w:pStyle w:val="BodyTextIndent"/>
        <w:ind w:firstLineChars="200" w:firstLine="31680"/>
      </w:pPr>
      <w:r>
        <w:rPr>
          <w:rFonts w:hint="eastAsia"/>
        </w:rPr>
        <w:t>贩运网络由诱骗者、运送者、剥削者、其他中介及客户组成，这就要求国家做出反应，制订司法保护措施和确保适当保护、支持和援助受害者的措施以及惩处组成贩运网的犯罪者的措施。在保护妇女权利领域里还没有任何此类的制度。与儿童和青少年权利保障体系所规定的为儿童和青少年提出的制度相比，非政府组织和社会组织、司法当局、警察和移民事务机构以及类似的现有服务机构目前尚未充分动员起来，也没有作好准备来通过一种防止和消除贩运行为的全球性多学科办法。</w:t>
      </w:r>
    </w:p>
    <w:p w:rsidR="00000000" w:rsidRDefault="004D2F83" w:rsidP="004D2F83">
      <w:pPr>
        <w:tabs>
          <w:tab w:val="right" w:leader="dot" w:pos="9720"/>
        </w:tabs>
        <w:spacing w:after="120" w:line="360" w:lineRule="exact"/>
        <w:ind w:left="31680" w:rightChars="377" w:right="31680" w:hangingChars="228" w:firstLine="31680"/>
      </w:pPr>
    </w:p>
    <w:p w:rsidR="00000000" w:rsidRDefault="004D2F83">
      <w:pPr>
        <w:spacing w:line="360" w:lineRule="exact"/>
        <w:jc w:val="center"/>
      </w:pPr>
      <w:r>
        <w:br w:type="page"/>
      </w:r>
    </w:p>
    <w:p w:rsidR="00000000" w:rsidRDefault="004D2F83">
      <w:pPr>
        <w:pStyle w:val="Heading3"/>
        <w:numPr>
          <w:ilvl w:val="0"/>
          <w:numId w:val="0"/>
        </w:numPr>
        <w:spacing w:before="0"/>
        <w:jc w:val="center"/>
        <w:rPr>
          <w:rFonts w:ascii="KaiTi_GB2312" w:eastAsia="KaiTi_GB2312" w:hint="eastAsia"/>
          <w:b/>
          <w:bCs/>
          <w:u w:val="none"/>
        </w:rPr>
      </w:pPr>
      <w:bookmarkStart w:id="13" w:name="_Toc36367083"/>
      <w:r>
        <w:rPr>
          <w:rFonts w:ascii="KaiTi_GB2312" w:eastAsia="KaiTi_GB2312" w:hint="eastAsia"/>
          <w:b/>
          <w:bCs/>
          <w:u w:val="none"/>
        </w:rPr>
        <w:t>第</w:t>
      </w:r>
      <w:r>
        <w:rPr>
          <w:rFonts w:ascii="KaiTi_GB2312" w:eastAsia="KaiTi_GB2312" w:hint="eastAsia"/>
          <w:b/>
          <w:bCs/>
          <w:u w:val="none"/>
        </w:rPr>
        <w:t>7</w:t>
      </w:r>
      <w:r>
        <w:rPr>
          <w:rFonts w:ascii="KaiTi_GB2312" w:eastAsia="KaiTi_GB2312" w:hint="eastAsia"/>
          <w:b/>
          <w:bCs/>
          <w:u w:val="none"/>
        </w:rPr>
        <w:t>条</w:t>
      </w:r>
      <w:bookmarkEnd w:id="13"/>
    </w:p>
    <w:p w:rsidR="00000000" w:rsidRDefault="004D2F83" w:rsidP="004D2F83">
      <w:pPr>
        <w:spacing w:after="240" w:line="360" w:lineRule="exact"/>
        <w:ind w:firstLineChars="200" w:firstLine="31680"/>
        <w:rPr>
          <w:rFonts w:eastAsia="KaiTi_GB2312" w:hint="eastAsia"/>
          <w:b/>
          <w:bCs/>
        </w:rPr>
      </w:pPr>
      <w:r>
        <w:rPr>
          <w:rFonts w:eastAsia="KaiTi_GB2312" w:hint="eastAsia"/>
          <w:b/>
          <w:bCs/>
        </w:rPr>
        <w:t>缔约国应采取一切适当措施，消除在本国政治和公共</w:t>
      </w:r>
      <w:r>
        <w:rPr>
          <w:rFonts w:eastAsia="KaiTi_GB2312" w:hint="eastAsia"/>
          <w:b/>
          <w:bCs/>
        </w:rPr>
        <w:t>生活中对妇女的歧视，特别应保证妇女在与男子平等的条件下：</w:t>
      </w:r>
    </w:p>
    <w:p w:rsidR="00000000" w:rsidRDefault="004D2F83" w:rsidP="004D2F83">
      <w:pPr>
        <w:spacing w:after="240" w:line="360" w:lineRule="exact"/>
        <w:ind w:leftChars="200" w:left="31680" w:hangingChars="200" w:firstLine="31680"/>
        <w:rPr>
          <w:rFonts w:eastAsia="KaiTi_GB2312" w:hint="eastAsia"/>
          <w:b/>
          <w:bCs/>
        </w:rPr>
      </w:pPr>
      <w:r>
        <w:rPr>
          <w:rFonts w:eastAsia="KaiTi_GB2312"/>
          <w:b/>
          <w:bCs/>
        </w:rPr>
        <w:t>(a)</w:t>
      </w:r>
      <w:r>
        <w:rPr>
          <w:rFonts w:eastAsia="KaiTi_GB2312"/>
          <w:b/>
          <w:bCs/>
        </w:rPr>
        <w:tab/>
      </w:r>
      <w:r>
        <w:rPr>
          <w:rFonts w:eastAsia="KaiTi_GB2312" w:hint="eastAsia"/>
          <w:b/>
          <w:bCs/>
        </w:rPr>
        <w:t>在一切选举和公民投票中有选举权，并在一切民选机构中有被选举权；</w:t>
      </w:r>
    </w:p>
    <w:p w:rsidR="00000000" w:rsidRDefault="004D2F83" w:rsidP="004D2F83">
      <w:pPr>
        <w:spacing w:after="240" w:line="360" w:lineRule="exact"/>
        <w:ind w:leftChars="200" w:left="31680" w:hangingChars="200" w:firstLine="31680"/>
        <w:rPr>
          <w:rFonts w:eastAsia="KaiTi_GB2312" w:hint="eastAsia"/>
          <w:b/>
          <w:bCs/>
        </w:rPr>
      </w:pPr>
      <w:r>
        <w:rPr>
          <w:rFonts w:eastAsia="KaiTi_GB2312"/>
          <w:b/>
          <w:bCs/>
        </w:rPr>
        <w:t>(b)</w:t>
      </w:r>
      <w:r>
        <w:rPr>
          <w:rFonts w:eastAsia="KaiTi_GB2312"/>
          <w:b/>
          <w:bCs/>
        </w:rPr>
        <w:tab/>
      </w:r>
      <w:r>
        <w:rPr>
          <w:rFonts w:eastAsia="KaiTi_GB2312" w:hint="eastAsia"/>
          <w:b/>
          <w:bCs/>
        </w:rPr>
        <w:t>参加政府政策的制订及其执行，并担任各级政府公职，执行一切公务；</w:t>
      </w:r>
    </w:p>
    <w:p w:rsidR="00000000" w:rsidRDefault="004D2F83" w:rsidP="004D2F83">
      <w:pPr>
        <w:spacing w:after="240" w:line="360" w:lineRule="exact"/>
        <w:ind w:leftChars="200" w:left="31680" w:hangingChars="200" w:firstLine="31680"/>
        <w:rPr>
          <w:rFonts w:eastAsia="KaiTi_GB2312" w:hint="eastAsia"/>
          <w:b/>
          <w:bCs/>
        </w:rPr>
      </w:pPr>
      <w:r>
        <w:rPr>
          <w:rFonts w:eastAsia="KaiTi_GB2312"/>
          <w:b/>
          <w:bCs/>
        </w:rPr>
        <w:t>(c)</w:t>
      </w:r>
      <w:r>
        <w:rPr>
          <w:rFonts w:eastAsia="KaiTi_GB2312"/>
          <w:b/>
          <w:bCs/>
        </w:rPr>
        <w:tab/>
      </w:r>
      <w:r>
        <w:rPr>
          <w:rFonts w:eastAsia="KaiTi_GB2312" w:hint="eastAsia"/>
          <w:b/>
          <w:bCs/>
        </w:rPr>
        <w:t>参加有关本国公共和政治生活的非政府组织和协会。</w:t>
      </w:r>
    </w:p>
    <w:p w:rsidR="00000000" w:rsidRDefault="004D2F83">
      <w:pPr>
        <w:spacing w:line="360" w:lineRule="exact"/>
        <w:rPr>
          <w:rFonts w:hint="eastAsia"/>
        </w:rPr>
      </w:pPr>
    </w:p>
    <w:p w:rsidR="00000000" w:rsidRDefault="004D2F83">
      <w:pPr>
        <w:spacing w:after="240" w:line="360" w:lineRule="exact"/>
        <w:rPr>
          <w:rFonts w:eastAsia="SimHei" w:hint="eastAsia"/>
          <w:sz w:val="24"/>
        </w:rPr>
      </w:pPr>
      <w:r>
        <w:rPr>
          <w:rFonts w:eastAsia="SimHei" w:hint="eastAsia"/>
          <w:sz w:val="24"/>
        </w:rPr>
        <w:t>立法措施</w:t>
      </w:r>
    </w:p>
    <w:p w:rsidR="00000000" w:rsidRDefault="004D2F83">
      <w:pPr>
        <w:spacing w:after="240" w:line="360" w:lineRule="exact"/>
        <w:rPr>
          <w:rFonts w:eastAsia="SimHei" w:hint="eastAsia"/>
          <w:sz w:val="24"/>
        </w:rPr>
      </w:pPr>
      <w:r>
        <w:rPr>
          <w:rFonts w:eastAsia="SimHei" w:hint="eastAsia"/>
          <w:sz w:val="24"/>
        </w:rPr>
        <w:t>联邦宪法</w:t>
      </w:r>
    </w:p>
    <w:p w:rsidR="00000000" w:rsidRDefault="004D2F83" w:rsidP="004D2F83">
      <w:pPr>
        <w:spacing w:after="240" w:line="360" w:lineRule="exact"/>
        <w:ind w:firstLineChars="200" w:firstLine="31680"/>
        <w:rPr>
          <w:rFonts w:hint="eastAsia"/>
        </w:rPr>
      </w:pPr>
      <w:r>
        <w:rPr>
          <w:rFonts w:hint="eastAsia"/>
        </w:rPr>
        <w:t>第</w:t>
      </w:r>
      <w:r>
        <w:rPr>
          <w:rFonts w:hint="eastAsia"/>
        </w:rPr>
        <w:t>3</w:t>
      </w:r>
      <w:r>
        <w:rPr>
          <w:rFonts w:hint="eastAsia"/>
        </w:rPr>
        <w:t>条规定并确定巴西联邦共和国的基本目标之一是增进所有人的福利，不因其出身、种族、性别、肤色、年龄而产生偏见，也不存在任何其他形式的歧视。</w:t>
      </w:r>
    </w:p>
    <w:p w:rsidR="00000000" w:rsidRDefault="004D2F83" w:rsidP="004D2F83">
      <w:pPr>
        <w:spacing w:after="240" w:line="360" w:lineRule="exact"/>
        <w:ind w:firstLineChars="200" w:firstLine="31680"/>
        <w:rPr>
          <w:rFonts w:hint="eastAsia"/>
        </w:rPr>
      </w:pPr>
      <w:r>
        <w:rPr>
          <w:rFonts w:hint="eastAsia"/>
        </w:rPr>
        <w:t>第</w:t>
      </w:r>
      <w:r>
        <w:rPr>
          <w:rFonts w:hint="eastAsia"/>
        </w:rPr>
        <w:t>5</w:t>
      </w:r>
      <w:r>
        <w:rPr>
          <w:rFonts w:hint="eastAsia"/>
        </w:rPr>
        <w:t>条规定“法律面前人人平等，毫无差别”，“男人和女人享有同等的权利与义务”。</w:t>
      </w:r>
    </w:p>
    <w:p w:rsidR="00000000" w:rsidRDefault="004D2F83" w:rsidP="004D2F83">
      <w:pPr>
        <w:spacing w:after="240" w:line="360" w:lineRule="exact"/>
        <w:ind w:firstLineChars="200" w:firstLine="31680"/>
        <w:rPr>
          <w:rFonts w:hint="eastAsia"/>
        </w:rPr>
      </w:pPr>
      <w:r>
        <w:rPr>
          <w:rFonts w:hint="eastAsia"/>
        </w:rPr>
        <w:t>在政治权利方</w:t>
      </w:r>
      <w:r>
        <w:rPr>
          <w:rFonts w:hint="eastAsia"/>
        </w:rPr>
        <w:t>面，第</w:t>
      </w:r>
      <w:r>
        <w:rPr>
          <w:rFonts w:hint="eastAsia"/>
        </w:rPr>
        <w:t>14</w:t>
      </w:r>
      <w:r>
        <w:rPr>
          <w:rFonts w:hint="eastAsia"/>
        </w:rPr>
        <w:t>条规定：“通过普选权和无记名直接投票来行使人民的主权，所有选票均具有平等的效力。”</w:t>
      </w:r>
    </w:p>
    <w:p w:rsidR="00000000" w:rsidRDefault="004D2F83" w:rsidP="004D2F83">
      <w:pPr>
        <w:spacing w:after="240" w:line="360" w:lineRule="exact"/>
        <w:ind w:firstLineChars="200" w:firstLine="31680"/>
        <w:rPr>
          <w:rFonts w:hint="eastAsia"/>
        </w:rPr>
      </w:pPr>
      <w:r>
        <w:rPr>
          <w:rFonts w:hint="eastAsia"/>
        </w:rPr>
        <w:t>根据巴西宪法第</w:t>
      </w:r>
      <w:r>
        <w:rPr>
          <w:rFonts w:hint="eastAsia"/>
        </w:rPr>
        <w:t>15</w:t>
      </w:r>
      <w:r>
        <w:rPr>
          <w:rFonts w:hint="eastAsia"/>
        </w:rPr>
        <w:t>条第一项，“男女享有平等的权利与义务”。同一法律文书的第</w:t>
      </w:r>
      <w:r>
        <w:rPr>
          <w:rFonts w:hint="eastAsia"/>
        </w:rPr>
        <w:t>14</w:t>
      </w:r>
      <w:r>
        <w:rPr>
          <w:rFonts w:hint="eastAsia"/>
        </w:rPr>
        <w:t>条第</w:t>
      </w:r>
      <w:r>
        <w:rPr>
          <w:rFonts w:hint="eastAsia"/>
        </w:rPr>
        <w:t>3</w:t>
      </w:r>
      <w:r>
        <w:rPr>
          <w:rFonts w:hint="eastAsia"/>
        </w:rPr>
        <w:t>款规定了有资格当选的条件：巴西国籍；充分行使政治权利；选举登记</w:t>
      </w:r>
      <w:r>
        <w:rPr>
          <w:rFonts w:hint="eastAsia"/>
        </w:rPr>
        <w:t>/</w:t>
      </w:r>
      <w:r>
        <w:rPr>
          <w:rFonts w:hint="eastAsia"/>
        </w:rPr>
        <w:t>资格；所在地区的选举登记住所；某个政党的成员资格；以及为具体职务规定的最低年龄限制（适当规定）。由此可见，在巴西宪法中不存在可以阻止妇女担任民选职务的规范性障碍。</w:t>
      </w:r>
    </w:p>
    <w:p w:rsidR="00000000" w:rsidRDefault="004D2F83">
      <w:pPr>
        <w:spacing w:after="240" w:line="360" w:lineRule="exact"/>
        <w:rPr>
          <w:rFonts w:eastAsia="SimHei" w:hint="eastAsia"/>
          <w:sz w:val="24"/>
        </w:rPr>
      </w:pPr>
      <w:r>
        <w:rPr>
          <w:rFonts w:eastAsia="SimHei" w:hint="eastAsia"/>
          <w:sz w:val="24"/>
        </w:rPr>
        <w:t>联邦法律</w:t>
      </w:r>
    </w:p>
    <w:p w:rsidR="00000000" w:rsidRDefault="004D2F83" w:rsidP="004D2F83">
      <w:pPr>
        <w:spacing w:after="240" w:line="360" w:lineRule="exact"/>
        <w:ind w:firstLineChars="200" w:firstLine="31680"/>
        <w:rPr>
          <w:rFonts w:hint="eastAsia"/>
        </w:rPr>
      </w:pPr>
      <w:r>
        <w:rPr>
          <w:rFonts w:hint="eastAsia"/>
        </w:rPr>
        <w:t>在采取具体措施来扩大妇女的参政机会方面，巴西联邦法律直到近年来才有了些进展。例如，值得一提的是，</w:t>
      </w:r>
      <w:r>
        <w:rPr>
          <w:rFonts w:hint="eastAsia"/>
        </w:rPr>
        <w:t>1995</w:t>
      </w:r>
      <w:r>
        <w:rPr>
          <w:rFonts w:hint="eastAsia"/>
        </w:rPr>
        <w:t>年</w:t>
      </w:r>
      <w:r>
        <w:rPr>
          <w:rFonts w:hint="eastAsia"/>
        </w:rPr>
        <w:t>10</w:t>
      </w:r>
      <w:r>
        <w:rPr>
          <w:rFonts w:hint="eastAsia"/>
        </w:rPr>
        <w:t>月</w:t>
      </w:r>
      <w:r>
        <w:rPr>
          <w:rFonts w:hint="eastAsia"/>
        </w:rPr>
        <w:t>2</w:t>
      </w:r>
      <w:r>
        <w:rPr>
          <w:rFonts w:hint="eastAsia"/>
        </w:rPr>
        <w:t>日颁布的第</w:t>
      </w:r>
      <w:r>
        <w:rPr>
          <w:rFonts w:hint="eastAsia"/>
        </w:rPr>
        <w:t>9100</w:t>
      </w:r>
      <w:r>
        <w:rPr>
          <w:rFonts w:hint="eastAsia"/>
        </w:rPr>
        <w:t>号法律所规定的有关妇女候选人资格问题的限额政策的执行情况，该法律为</w:t>
      </w:r>
      <w:r>
        <w:rPr>
          <w:rFonts w:hint="eastAsia"/>
        </w:rPr>
        <w:t>1996</w:t>
      </w:r>
      <w:r>
        <w:rPr>
          <w:rFonts w:hint="eastAsia"/>
        </w:rPr>
        <w:t>年</w:t>
      </w:r>
      <w:r>
        <w:rPr>
          <w:rFonts w:hint="eastAsia"/>
        </w:rPr>
        <w:t>10</w:t>
      </w:r>
      <w:r>
        <w:rPr>
          <w:rFonts w:hint="eastAsia"/>
        </w:rPr>
        <w:t>月</w:t>
      </w:r>
      <w:r>
        <w:rPr>
          <w:rFonts w:hint="eastAsia"/>
        </w:rPr>
        <w:t>3</w:t>
      </w:r>
      <w:r>
        <w:rPr>
          <w:rFonts w:hint="eastAsia"/>
        </w:rPr>
        <w:t>日的市政选举确立了规则，其中第</w:t>
      </w:r>
      <w:r>
        <w:rPr>
          <w:rFonts w:hint="eastAsia"/>
        </w:rPr>
        <w:t>11</w:t>
      </w:r>
      <w:r>
        <w:rPr>
          <w:rFonts w:hint="eastAsia"/>
        </w:rPr>
        <w:t>条第</w:t>
      </w:r>
      <w:r>
        <w:rPr>
          <w:rFonts w:hint="eastAsia"/>
        </w:rPr>
        <w:t>3</w:t>
      </w:r>
      <w:r>
        <w:rPr>
          <w:rFonts w:hint="eastAsia"/>
        </w:rPr>
        <w:t>款规定女性候选人至少要占候选人总数的</w:t>
      </w:r>
      <w:r>
        <w:rPr>
          <w:rFonts w:hint="eastAsia"/>
        </w:rPr>
        <w:t>20%</w:t>
      </w:r>
      <w:r>
        <w:rPr>
          <w:rFonts w:hint="eastAsia"/>
        </w:rPr>
        <w:t>。同样值得注意的是，</w:t>
      </w:r>
      <w:r>
        <w:rPr>
          <w:rFonts w:hint="eastAsia"/>
        </w:rPr>
        <w:t>1997</w:t>
      </w:r>
      <w:r>
        <w:rPr>
          <w:rFonts w:hint="eastAsia"/>
        </w:rPr>
        <w:t>年颁布的第</w:t>
      </w:r>
      <w:r>
        <w:rPr>
          <w:rFonts w:hint="eastAsia"/>
        </w:rPr>
        <w:t>9504</w:t>
      </w:r>
      <w:r>
        <w:rPr>
          <w:rFonts w:hint="eastAsia"/>
        </w:rPr>
        <w:t>号法律重申了这项措施，该法律明确了选举的各项规则，并在其第</w:t>
      </w:r>
      <w:r>
        <w:rPr>
          <w:rFonts w:hint="eastAsia"/>
        </w:rPr>
        <w:t>10</w:t>
      </w:r>
      <w:r>
        <w:rPr>
          <w:rFonts w:hint="eastAsia"/>
        </w:rPr>
        <w:t>条第</w:t>
      </w:r>
      <w:r>
        <w:rPr>
          <w:rFonts w:hint="eastAsia"/>
        </w:rPr>
        <w:t>3</w:t>
      </w:r>
      <w:r>
        <w:rPr>
          <w:rFonts w:hint="eastAsia"/>
        </w:rPr>
        <w:t>款中规定：“在因本条法律规定之原则而产生的职位空缺之总数中，男女候选人各获取的职位比例最低为</w:t>
      </w:r>
      <w:r>
        <w:rPr>
          <w:rFonts w:hint="eastAsia"/>
        </w:rPr>
        <w:t>30%</w:t>
      </w:r>
      <w:r>
        <w:rPr>
          <w:rFonts w:hint="eastAsia"/>
        </w:rPr>
        <w:t>，最高为</w:t>
      </w:r>
      <w:r>
        <w:rPr>
          <w:rFonts w:hint="eastAsia"/>
        </w:rPr>
        <w:t>70%</w:t>
      </w:r>
      <w:r>
        <w:rPr>
          <w:rFonts w:hint="eastAsia"/>
        </w:rPr>
        <w:t>。”</w:t>
      </w:r>
      <w:r>
        <w:rPr>
          <w:rStyle w:val="FootnoteReference"/>
        </w:rPr>
        <w:footnoteReference w:customMarkFollows="1" w:id="84"/>
        <w:t>84</w:t>
      </w:r>
      <w:r>
        <w:rPr>
          <w:rFonts w:hint="eastAsia"/>
        </w:rPr>
        <w:t xml:space="preserve"> 1997</w:t>
      </w:r>
      <w:r>
        <w:rPr>
          <w:rFonts w:hint="eastAsia"/>
        </w:rPr>
        <w:t>年颁布的法律甚至细致到规定在候选人登记表中必须说明性别，以便确保遵</w:t>
      </w:r>
      <w:r>
        <w:rPr>
          <w:rFonts w:hint="eastAsia"/>
        </w:rPr>
        <w:t>守限额政策。</w:t>
      </w:r>
      <w:r>
        <w:rPr>
          <w:rStyle w:val="FootnoteReference"/>
        </w:rPr>
        <w:footnoteReference w:customMarkFollows="1" w:id="85"/>
        <w:t>85</w:t>
      </w:r>
    </w:p>
    <w:p w:rsidR="00000000" w:rsidRDefault="004D2F83">
      <w:pPr>
        <w:pStyle w:val="BodyTextIndent"/>
        <w:ind w:firstLine="420"/>
        <w:rPr>
          <w:rFonts w:hint="eastAsia"/>
        </w:rPr>
      </w:pPr>
      <w:r>
        <w:rPr>
          <w:rFonts w:hint="eastAsia"/>
        </w:rPr>
        <w:t>国民议会中的妇女代表团集中了女性众议员和参议员，她们同妇女权利委员会及各种妇女运动组织共同努力，对于推动这些法律得到批准起到了至关重要的作用。</w:t>
      </w:r>
    </w:p>
    <w:p w:rsidR="00000000" w:rsidRDefault="004D2F83">
      <w:pPr>
        <w:spacing w:after="120" w:line="360" w:lineRule="exact"/>
        <w:jc w:val="center"/>
        <w:rPr>
          <w:rFonts w:ascii="SimHei" w:eastAsia="SimHei" w:hint="eastAsia"/>
        </w:rPr>
      </w:pPr>
      <w:r>
        <w:rPr>
          <w:rFonts w:ascii="SimHei" w:eastAsia="SimHei" w:hint="eastAsia"/>
        </w:rPr>
        <w:t>表</w:t>
      </w:r>
      <w:r>
        <w:rPr>
          <w:rFonts w:ascii="SimHei" w:eastAsia="SimHei" w:hint="eastAsia"/>
        </w:rPr>
        <w:t>15</w:t>
      </w:r>
      <w:r>
        <w:rPr>
          <w:rFonts w:ascii="SimHei" w:eastAsia="SimHei" w:hint="eastAsia"/>
        </w:rPr>
        <w:t>．</w:t>
      </w:r>
      <w:r>
        <w:rPr>
          <w:rFonts w:ascii="SimHei" w:eastAsia="SimHei" w:hint="eastAsia"/>
        </w:rPr>
        <w:t xml:space="preserve">  </w:t>
      </w:r>
      <w:r>
        <w:rPr>
          <w:rFonts w:ascii="SimHei" w:eastAsia="SimHei" w:hint="eastAsia"/>
        </w:rPr>
        <w:t>妇女在众议院参政情况的演变</w:t>
      </w:r>
    </w:p>
    <w:p w:rsidR="00000000" w:rsidRDefault="004D2F83" w:rsidP="004D2F83">
      <w:pPr>
        <w:spacing w:after="240" w:line="360" w:lineRule="exact"/>
        <w:ind w:firstLineChars="400" w:firstLine="31680"/>
        <w:jc w:val="center"/>
        <w:rPr>
          <w:rFonts w:ascii="SimHei" w:eastAsia="SimHei" w:hint="eastAsia"/>
        </w:rPr>
      </w:pPr>
      <w:r>
        <w:rPr>
          <w:rFonts w:ascii="SimHei" w:eastAsia="SimHei" w:hint="eastAsia"/>
        </w:rPr>
        <w:t>巴西，</w:t>
      </w:r>
      <w:r>
        <w:rPr>
          <w:rFonts w:ascii="SimHei" w:eastAsia="SimHei" w:hint="eastAsia"/>
        </w:rPr>
        <w:t>1932-1998</w:t>
      </w:r>
      <w:r>
        <w:rPr>
          <w:rFonts w:ascii="SimHei" w:eastAsia="SimHei" w:hint="eastAsia"/>
        </w:rPr>
        <w:t>年</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72"/>
        <w:gridCol w:w="1581"/>
        <w:gridCol w:w="1581"/>
        <w:gridCol w:w="469"/>
        <w:gridCol w:w="1585"/>
        <w:gridCol w:w="1585"/>
        <w:gridCol w:w="1583"/>
      </w:tblGrid>
      <w:tr w:rsidR="00000000">
        <w:tblPrEx>
          <w:tblCellMar>
            <w:top w:w="0" w:type="dxa"/>
            <w:bottom w:w="0" w:type="dxa"/>
          </w:tblCellMar>
        </w:tblPrEx>
        <w:tc>
          <w:tcPr>
            <w:tcW w:w="747" w:type="pct"/>
          </w:tcPr>
          <w:p w:rsidR="00000000" w:rsidRDefault="004D2F83">
            <w:pPr>
              <w:spacing w:line="400" w:lineRule="exact"/>
              <w:jc w:val="center"/>
              <w:rPr>
                <w:rFonts w:eastAsia="SimHei" w:hint="eastAsia"/>
                <w:sz w:val="18"/>
              </w:rPr>
            </w:pPr>
            <w:r>
              <w:rPr>
                <w:rFonts w:eastAsia="SimHei" w:hint="eastAsia"/>
                <w:sz w:val="18"/>
              </w:rPr>
              <w:t>年份</w:t>
            </w:r>
          </w:p>
        </w:tc>
        <w:tc>
          <w:tcPr>
            <w:tcW w:w="802" w:type="pct"/>
          </w:tcPr>
          <w:p w:rsidR="00000000" w:rsidRDefault="004D2F83">
            <w:pPr>
              <w:spacing w:line="400" w:lineRule="exact"/>
              <w:jc w:val="center"/>
              <w:rPr>
                <w:rFonts w:eastAsia="SimHei" w:hint="eastAsia"/>
                <w:sz w:val="18"/>
              </w:rPr>
            </w:pPr>
            <w:r>
              <w:rPr>
                <w:rFonts w:eastAsia="SimHei" w:hint="eastAsia"/>
                <w:sz w:val="18"/>
              </w:rPr>
              <w:t>候选人数</w:t>
            </w:r>
          </w:p>
        </w:tc>
        <w:tc>
          <w:tcPr>
            <w:tcW w:w="802" w:type="pct"/>
          </w:tcPr>
          <w:p w:rsidR="00000000" w:rsidRDefault="004D2F83">
            <w:pPr>
              <w:spacing w:line="400" w:lineRule="exact"/>
              <w:jc w:val="center"/>
              <w:rPr>
                <w:rFonts w:eastAsia="SimHei" w:hint="eastAsia"/>
                <w:sz w:val="18"/>
              </w:rPr>
            </w:pPr>
            <w:r>
              <w:rPr>
                <w:rFonts w:eastAsia="SimHei" w:hint="eastAsia"/>
                <w:sz w:val="18"/>
              </w:rPr>
              <w:t>当选人数</w:t>
            </w:r>
          </w:p>
        </w:tc>
        <w:tc>
          <w:tcPr>
            <w:tcW w:w="238" w:type="pct"/>
          </w:tcPr>
          <w:p w:rsidR="00000000" w:rsidRDefault="004D2F83">
            <w:pPr>
              <w:spacing w:line="400" w:lineRule="exact"/>
              <w:jc w:val="center"/>
              <w:rPr>
                <w:rFonts w:eastAsia="SimHei" w:hint="eastAsia"/>
                <w:sz w:val="18"/>
              </w:rPr>
            </w:pPr>
          </w:p>
        </w:tc>
        <w:tc>
          <w:tcPr>
            <w:tcW w:w="804" w:type="pct"/>
          </w:tcPr>
          <w:p w:rsidR="00000000" w:rsidRDefault="004D2F83">
            <w:pPr>
              <w:spacing w:line="400" w:lineRule="exact"/>
              <w:jc w:val="center"/>
              <w:rPr>
                <w:rFonts w:eastAsia="SimHei" w:hint="eastAsia"/>
                <w:sz w:val="18"/>
              </w:rPr>
            </w:pPr>
            <w:r>
              <w:rPr>
                <w:rFonts w:eastAsia="SimHei" w:hint="eastAsia"/>
                <w:sz w:val="18"/>
              </w:rPr>
              <w:t>年份</w:t>
            </w:r>
          </w:p>
        </w:tc>
        <w:tc>
          <w:tcPr>
            <w:tcW w:w="804" w:type="pct"/>
          </w:tcPr>
          <w:p w:rsidR="00000000" w:rsidRDefault="004D2F83">
            <w:pPr>
              <w:spacing w:line="400" w:lineRule="exact"/>
              <w:jc w:val="center"/>
              <w:rPr>
                <w:rFonts w:eastAsia="SimHei" w:hint="eastAsia"/>
                <w:sz w:val="18"/>
              </w:rPr>
            </w:pPr>
            <w:r>
              <w:rPr>
                <w:rFonts w:eastAsia="SimHei" w:hint="eastAsia"/>
                <w:sz w:val="18"/>
              </w:rPr>
              <w:t>候选人数</w:t>
            </w:r>
          </w:p>
        </w:tc>
        <w:tc>
          <w:tcPr>
            <w:tcW w:w="804" w:type="pct"/>
          </w:tcPr>
          <w:p w:rsidR="00000000" w:rsidRDefault="004D2F83">
            <w:pPr>
              <w:spacing w:line="400" w:lineRule="exact"/>
              <w:jc w:val="center"/>
              <w:rPr>
                <w:rFonts w:eastAsia="SimHei" w:hint="eastAsia"/>
                <w:sz w:val="18"/>
              </w:rPr>
            </w:pPr>
            <w:r>
              <w:rPr>
                <w:rFonts w:eastAsia="SimHei" w:hint="eastAsia"/>
                <w:sz w:val="18"/>
              </w:rPr>
              <w:t>当选人数</w:t>
            </w:r>
          </w:p>
        </w:tc>
      </w:tr>
      <w:tr w:rsidR="00000000">
        <w:tblPrEx>
          <w:tblCellMar>
            <w:top w:w="0" w:type="dxa"/>
            <w:bottom w:w="0" w:type="dxa"/>
          </w:tblCellMar>
        </w:tblPrEx>
        <w:tc>
          <w:tcPr>
            <w:tcW w:w="747" w:type="pct"/>
          </w:tcPr>
          <w:p w:rsidR="00000000" w:rsidRDefault="004D2F83">
            <w:pPr>
              <w:spacing w:line="400" w:lineRule="exact"/>
              <w:jc w:val="center"/>
              <w:rPr>
                <w:rFonts w:hint="eastAsia"/>
                <w:sz w:val="18"/>
              </w:rPr>
            </w:pPr>
            <w:r>
              <w:rPr>
                <w:rFonts w:hint="eastAsia"/>
                <w:sz w:val="18"/>
              </w:rPr>
              <w:t>1932</w:t>
            </w:r>
          </w:p>
        </w:tc>
        <w:tc>
          <w:tcPr>
            <w:tcW w:w="802" w:type="pct"/>
          </w:tcPr>
          <w:p w:rsidR="00000000" w:rsidRDefault="004D2F83">
            <w:pPr>
              <w:spacing w:line="400" w:lineRule="exact"/>
              <w:jc w:val="center"/>
              <w:rPr>
                <w:rFonts w:hint="eastAsia"/>
                <w:sz w:val="18"/>
              </w:rPr>
            </w:pPr>
            <w:r>
              <w:rPr>
                <w:rFonts w:hint="eastAsia"/>
                <w:sz w:val="18"/>
              </w:rPr>
              <w:t>1</w:t>
            </w:r>
          </w:p>
        </w:tc>
        <w:tc>
          <w:tcPr>
            <w:tcW w:w="802" w:type="pct"/>
          </w:tcPr>
          <w:p w:rsidR="00000000" w:rsidRDefault="004D2F83">
            <w:pPr>
              <w:spacing w:line="400" w:lineRule="exact"/>
              <w:jc w:val="center"/>
              <w:rPr>
                <w:rFonts w:hint="eastAsia"/>
                <w:sz w:val="18"/>
              </w:rPr>
            </w:pPr>
            <w:r>
              <w:rPr>
                <w:rFonts w:hint="eastAsia"/>
                <w:sz w:val="18"/>
              </w:rPr>
              <w:t>1</w:t>
            </w:r>
          </w:p>
        </w:tc>
        <w:tc>
          <w:tcPr>
            <w:tcW w:w="238" w:type="pct"/>
          </w:tcPr>
          <w:p w:rsidR="00000000" w:rsidRDefault="004D2F83">
            <w:pPr>
              <w:spacing w:line="400" w:lineRule="exact"/>
              <w:jc w:val="center"/>
              <w:rPr>
                <w:rFonts w:hint="eastAsia"/>
                <w:sz w:val="18"/>
              </w:rPr>
            </w:pPr>
          </w:p>
        </w:tc>
        <w:tc>
          <w:tcPr>
            <w:tcW w:w="804" w:type="pct"/>
          </w:tcPr>
          <w:p w:rsidR="00000000" w:rsidRDefault="004D2F83">
            <w:pPr>
              <w:spacing w:line="400" w:lineRule="exact"/>
              <w:jc w:val="center"/>
              <w:rPr>
                <w:rFonts w:hint="eastAsia"/>
                <w:sz w:val="18"/>
              </w:rPr>
            </w:pPr>
            <w:r>
              <w:rPr>
                <w:rFonts w:hint="eastAsia"/>
                <w:sz w:val="18"/>
              </w:rPr>
              <w:t>1970</w:t>
            </w:r>
          </w:p>
        </w:tc>
        <w:tc>
          <w:tcPr>
            <w:tcW w:w="804" w:type="pct"/>
          </w:tcPr>
          <w:p w:rsidR="00000000" w:rsidRDefault="004D2F83">
            <w:pPr>
              <w:spacing w:line="400" w:lineRule="exact"/>
              <w:jc w:val="center"/>
              <w:rPr>
                <w:rFonts w:hint="eastAsia"/>
                <w:sz w:val="18"/>
              </w:rPr>
            </w:pPr>
            <w:r>
              <w:rPr>
                <w:rFonts w:hint="eastAsia"/>
                <w:sz w:val="18"/>
              </w:rPr>
              <w:t>4</w:t>
            </w:r>
          </w:p>
        </w:tc>
        <w:tc>
          <w:tcPr>
            <w:tcW w:w="804" w:type="pct"/>
          </w:tcPr>
          <w:p w:rsidR="00000000" w:rsidRDefault="004D2F83">
            <w:pPr>
              <w:spacing w:line="400" w:lineRule="exact"/>
              <w:jc w:val="center"/>
              <w:rPr>
                <w:rFonts w:hint="eastAsia"/>
                <w:sz w:val="18"/>
              </w:rPr>
            </w:pPr>
            <w:r>
              <w:rPr>
                <w:rFonts w:hint="eastAsia"/>
                <w:sz w:val="18"/>
              </w:rPr>
              <w:t>1</w:t>
            </w:r>
          </w:p>
        </w:tc>
      </w:tr>
      <w:tr w:rsidR="00000000">
        <w:tblPrEx>
          <w:tblCellMar>
            <w:top w:w="0" w:type="dxa"/>
            <w:bottom w:w="0" w:type="dxa"/>
          </w:tblCellMar>
        </w:tblPrEx>
        <w:tc>
          <w:tcPr>
            <w:tcW w:w="747" w:type="pct"/>
          </w:tcPr>
          <w:p w:rsidR="00000000" w:rsidRDefault="004D2F83">
            <w:pPr>
              <w:spacing w:line="400" w:lineRule="exact"/>
              <w:jc w:val="center"/>
              <w:rPr>
                <w:rFonts w:hint="eastAsia"/>
                <w:sz w:val="18"/>
              </w:rPr>
            </w:pPr>
            <w:r>
              <w:rPr>
                <w:rFonts w:hint="eastAsia"/>
                <w:sz w:val="18"/>
              </w:rPr>
              <w:t>1935</w:t>
            </w:r>
          </w:p>
        </w:tc>
        <w:tc>
          <w:tcPr>
            <w:tcW w:w="802" w:type="pct"/>
          </w:tcPr>
          <w:p w:rsidR="00000000" w:rsidRDefault="004D2F83">
            <w:pPr>
              <w:spacing w:line="400" w:lineRule="exact"/>
              <w:jc w:val="center"/>
              <w:rPr>
                <w:rFonts w:hint="eastAsia"/>
                <w:sz w:val="18"/>
              </w:rPr>
            </w:pPr>
            <w:r>
              <w:rPr>
                <w:rFonts w:hint="eastAsia"/>
                <w:sz w:val="18"/>
              </w:rPr>
              <w:t>—</w:t>
            </w:r>
          </w:p>
        </w:tc>
        <w:tc>
          <w:tcPr>
            <w:tcW w:w="802" w:type="pct"/>
          </w:tcPr>
          <w:p w:rsidR="00000000" w:rsidRDefault="004D2F83">
            <w:pPr>
              <w:spacing w:line="400" w:lineRule="exact"/>
              <w:jc w:val="center"/>
              <w:rPr>
                <w:rFonts w:hint="eastAsia"/>
                <w:sz w:val="18"/>
              </w:rPr>
            </w:pPr>
            <w:r>
              <w:rPr>
                <w:rFonts w:hint="eastAsia"/>
                <w:sz w:val="18"/>
              </w:rPr>
              <w:t>2</w:t>
            </w:r>
          </w:p>
        </w:tc>
        <w:tc>
          <w:tcPr>
            <w:tcW w:w="238" w:type="pct"/>
          </w:tcPr>
          <w:p w:rsidR="00000000" w:rsidRDefault="004D2F83">
            <w:pPr>
              <w:spacing w:line="400" w:lineRule="exact"/>
              <w:jc w:val="center"/>
              <w:rPr>
                <w:rFonts w:hint="eastAsia"/>
                <w:sz w:val="18"/>
              </w:rPr>
            </w:pPr>
          </w:p>
        </w:tc>
        <w:tc>
          <w:tcPr>
            <w:tcW w:w="804" w:type="pct"/>
          </w:tcPr>
          <w:p w:rsidR="00000000" w:rsidRDefault="004D2F83">
            <w:pPr>
              <w:spacing w:line="400" w:lineRule="exact"/>
              <w:jc w:val="center"/>
              <w:rPr>
                <w:rFonts w:hint="eastAsia"/>
                <w:sz w:val="18"/>
              </w:rPr>
            </w:pPr>
            <w:r>
              <w:rPr>
                <w:rFonts w:hint="eastAsia"/>
                <w:sz w:val="18"/>
              </w:rPr>
              <w:t>1974</w:t>
            </w:r>
          </w:p>
        </w:tc>
        <w:tc>
          <w:tcPr>
            <w:tcW w:w="804" w:type="pct"/>
          </w:tcPr>
          <w:p w:rsidR="00000000" w:rsidRDefault="004D2F83">
            <w:pPr>
              <w:spacing w:line="400" w:lineRule="exact"/>
              <w:jc w:val="center"/>
              <w:rPr>
                <w:rFonts w:hint="eastAsia"/>
                <w:sz w:val="18"/>
              </w:rPr>
            </w:pPr>
            <w:r>
              <w:rPr>
                <w:rFonts w:hint="eastAsia"/>
                <w:sz w:val="18"/>
              </w:rPr>
              <w:t>4</w:t>
            </w:r>
          </w:p>
        </w:tc>
        <w:tc>
          <w:tcPr>
            <w:tcW w:w="804" w:type="pct"/>
          </w:tcPr>
          <w:p w:rsidR="00000000" w:rsidRDefault="004D2F83">
            <w:pPr>
              <w:spacing w:line="400" w:lineRule="exact"/>
              <w:jc w:val="center"/>
              <w:rPr>
                <w:rFonts w:hint="eastAsia"/>
                <w:sz w:val="18"/>
              </w:rPr>
            </w:pPr>
            <w:r>
              <w:rPr>
                <w:rFonts w:hint="eastAsia"/>
                <w:sz w:val="18"/>
              </w:rPr>
              <w:t>1</w:t>
            </w:r>
          </w:p>
        </w:tc>
      </w:tr>
      <w:tr w:rsidR="00000000">
        <w:tblPrEx>
          <w:tblCellMar>
            <w:top w:w="0" w:type="dxa"/>
            <w:bottom w:w="0" w:type="dxa"/>
          </w:tblCellMar>
        </w:tblPrEx>
        <w:tc>
          <w:tcPr>
            <w:tcW w:w="747" w:type="pct"/>
          </w:tcPr>
          <w:p w:rsidR="00000000" w:rsidRDefault="004D2F83">
            <w:pPr>
              <w:spacing w:line="400" w:lineRule="exact"/>
              <w:jc w:val="center"/>
              <w:rPr>
                <w:rFonts w:hint="eastAsia"/>
                <w:sz w:val="18"/>
              </w:rPr>
            </w:pPr>
            <w:r>
              <w:rPr>
                <w:rFonts w:hint="eastAsia"/>
                <w:sz w:val="18"/>
              </w:rPr>
              <w:t>1946</w:t>
            </w:r>
          </w:p>
        </w:tc>
        <w:tc>
          <w:tcPr>
            <w:tcW w:w="802" w:type="pct"/>
          </w:tcPr>
          <w:p w:rsidR="00000000" w:rsidRDefault="004D2F83">
            <w:pPr>
              <w:spacing w:line="400" w:lineRule="exact"/>
              <w:jc w:val="center"/>
              <w:rPr>
                <w:rFonts w:hint="eastAsia"/>
                <w:sz w:val="18"/>
              </w:rPr>
            </w:pPr>
            <w:r>
              <w:rPr>
                <w:rFonts w:hint="eastAsia"/>
                <w:sz w:val="18"/>
              </w:rPr>
              <w:t>18</w:t>
            </w:r>
          </w:p>
        </w:tc>
        <w:tc>
          <w:tcPr>
            <w:tcW w:w="802" w:type="pct"/>
          </w:tcPr>
          <w:p w:rsidR="00000000" w:rsidRDefault="004D2F83">
            <w:pPr>
              <w:spacing w:line="400" w:lineRule="exact"/>
              <w:jc w:val="center"/>
              <w:rPr>
                <w:rFonts w:hint="eastAsia"/>
                <w:sz w:val="18"/>
              </w:rPr>
            </w:pPr>
            <w:r>
              <w:rPr>
                <w:rFonts w:hint="eastAsia"/>
                <w:sz w:val="18"/>
              </w:rPr>
              <w:t>0</w:t>
            </w:r>
          </w:p>
        </w:tc>
        <w:tc>
          <w:tcPr>
            <w:tcW w:w="238" w:type="pct"/>
          </w:tcPr>
          <w:p w:rsidR="00000000" w:rsidRDefault="004D2F83">
            <w:pPr>
              <w:spacing w:line="400" w:lineRule="exact"/>
              <w:jc w:val="center"/>
              <w:rPr>
                <w:rFonts w:hint="eastAsia"/>
                <w:sz w:val="18"/>
              </w:rPr>
            </w:pPr>
          </w:p>
        </w:tc>
        <w:tc>
          <w:tcPr>
            <w:tcW w:w="804" w:type="pct"/>
          </w:tcPr>
          <w:p w:rsidR="00000000" w:rsidRDefault="004D2F83">
            <w:pPr>
              <w:spacing w:line="400" w:lineRule="exact"/>
              <w:jc w:val="center"/>
              <w:rPr>
                <w:rFonts w:hint="eastAsia"/>
                <w:sz w:val="18"/>
              </w:rPr>
            </w:pPr>
            <w:r>
              <w:rPr>
                <w:rFonts w:hint="eastAsia"/>
                <w:sz w:val="18"/>
              </w:rPr>
              <w:t>1978</w:t>
            </w:r>
          </w:p>
        </w:tc>
        <w:tc>
          <w:tcPr>
            <w:tcW w:w="804" w:type="pct"/>
          </w:tcPr>
          <w:p w:rsidR="00000000" w:rsidRDefault="004D2F83">
            <w:pPr>
              <w:spacing w:line="400" w:lineRule="exact"/>
              <w:jc w:val="center"/>
              <w:rPr>
                <w:rFonts w:hint="eastAsia"/>
                <w:sz w:val="18"/>
              </w:rPr>
            </w:pPr>
            <w:r>
              <w:rPr>
                <w:rFonts w:hint="eastAsia"/>
                <w:sz w:val="18"/>
              </w:rPr>
              <w:t>—</w:t>
            </w:r>
          </w:p>
        </w:tc>
        <w:tc>
          <w:tcPr>
            <w:tcW w:w="804" w:type="pct"/>
          </w:tcPr>
          <w:p w:rsidR="00000000" w:rsidRDefault="004D2F83">
            <w:pPr>
              <w:spacing w:line="400" w:lineRule="exact"/>
              <w:jc w:val="center"/>
              <w:rPr>
                <w:rFonts w:hint="eastAsia"/>
                <w:sz w:val="18"/>
              </w:rPr>
            </w:pPr>
            <w:r>
              <w:rPr>
                <w:rFonts w:hint="eastAsia"/>
                <w:sz w:val="18"/>
              </w:rPr>
              <w:t>4</w:t>
            </w:r>
          </w:p>
        </w:tc>
      </w:tr>
      <w:tr w:rsidR="00000000">
        <w:tblPrEx>
          <w:tblCellMar>
            <w:top w:w="0" w:type="dxa"/>
            <w:bottom w:w="0" w:type="dxa"/>
          </w:tblCellMar>
        </w:tblPrEx>
        <w:tc>
          <w:tcPr>
            <w:tcW w:w="747" w:type="pct"/>
          </w:tcPr>
          <w:p w:rsidR="00000000" w:rsidRDefault="004D2F83">
            <w:pPr>
              <w:spacing w:line="400" w:lineRule="exact"/>
              <w:jc w:val="center"/>
              <w:rPr>
                <w:rFonts w:hint="eastAsia"/>
                <w:sz w:val="18"/>
              </w:rPr>
            </w:pPr>
            <w:r>
              <w:rPr>
                <w:rFonts w:hint="eastAsia"/>
                <w:sz w:val="18"/>
              </w:rPr>
              <w:t>1950</w:t>
            </w:r>
          </w:p>
        </w:tc>
        <w:tc>
          <w:tcPr>
            <w:tcW w:w="802" w:type="pct"/>
          </w:tcPr>
          <w:p w:rsidR="00000000" w:rsidRDefault="004D2F83">
            <w:pPr>
              <w:spacing w:line="400" w:lineRule="exact"/>
              <w:jc w:val="center"/>
              <w:rPr>
                <w:rFonts w:hint="eastAsia"/>
                <w:sz w:val="18"/>
              </w:rPr>
            </w:pPr>
            <w:r>
              <w:rPr>
                <w:rFonts w:hint="eastAsia"/>
                <w:sz w:val="18"/>
              </w:rPr>
              <w:t>9</w:t>
            </w:r>
          </w:p>
        </w:tc>
        <w:tc>
          <w:tcPr>
            <w:tcW w:w="802" w:type="pct"/>
          </w:tcPr>
          <w:p w:rsidR="00000000" w:rsidRDefault="004D2F83">
            <w:pPr>
              <w:spacing w:line="400" w:lineRule="exact"/>
              <w:jc w:val="center"/>
              <w:rPr>
                <w:rFonts w:hint="eastAsia"/>
                <w:sz w:val="18"/>
              </w:rPr>
            </w:pPr>
            <w:r>
              <w:rPr>
                <w:rFonts w:hint="eastAsia"/>
                <w:sz w:val="18"/>
              </w:rPr>
              <w:t>1</w:t>
            </w:r>
          </w:p>
        </w:tc>
        <w:tc>
          <w:tcPr>
            <w:tcW w:w="238" w:type="pct"/>
          </w:tcPr>
          <w:p w:rsidR="00000000" w:rsidRDefault="004D2F83">
            <w:pPr>
              <w:spacing w:line="400" w:lineRule="exact"/>
              <w:jc w:val="center"/>
              <w:rPr>
                <w:rFonts w:hint="eastAsia"/>
                <w:sz w:val="18"/>
              </w:rPr>
            </w:pPr>
          </w:p>
        </w:tc>
        <w:tc>
          <w:tcPr>
            <w:tcW w:w="804" w:type="pct"/>
          </w:tcPr>
          <w:p w:rsidR="00000000" w:rsidRDefault="004D2F83">
            <w:pPr>
              <w:spacing w:line="400" w:lineRule="exact"/>
              <w:jc w:val="center"/>
              <w:rPr>
                <w:rFonts w:hint="eastAsia"/>
                <w:sz w:val="18"/>
              </w:rPr>
            </w:pPr>
            <w:r>
              <w:rPr>
                <w:rFonts w:hint="eastAsia"/>
                <w:sz w:val="18"/>
              </w:rPr>
              <w:t>1982</w:t>
            </w:r>
          </w:p>
        </w:tc>
        <w:tc>
          <w:tcPr>
            <w:tcW w:w="804" w:type="pct"/>
          </w:tcPr>
          <w:p w:rsidR="00000000" w:rsidRDefault="004D2F83">
            <w:pPr>
              <w:spacing w:line="400" w:lineRule="exact"/>
              <w:jc w:val="center"/>
              <w:rPr>
                <w:rFonts w:hint="eastAsia"/>
                <w:sz w:val="18"/>
              </w:rPr>
            </w:pPr>
            <w:r>
              <w:rPr>
                <w:rFonts w:hint="eastAsia"/>
                <w:sz w:val="18"/>
              </w:rPr>
              <w:t>58</w:t>
            </w:r>
          </w:p>
        </w:tc>
        <w:tc>
          <w:tcPr>
            <w:tcW w:w="804" w:type="pct"/>
          </w:tcPr>
          <w:p w:rsidR="00000000" w:rsidRDefault="004D2F83">
            <w:pPr>
              <w:spacing w:line="400" w:lineRule="exact"/>
              <w:jc w:val="center"/>
              <w:rPr>
                <w:rFonts w:hint="eastAsia"/>
                <w:sz w:val="18"/>
              </w:rPr>
            </w:pPr>
            <w:r>
              <w:rPr>
                <w:rFonts w:hint="eastAsia"/>
                <w:sz w:val="18"/>
              </w:rPr>
              <w:t>8</w:t>
            </w:r>
          </w:p>
        </w:tc>
      </w:tr>
      <w:tr w:rsidR="00000000">
        <w:tblPrEx>
          <w:tblCellMar>
            <w:top w:w="0" w:type="dxa"/>
            <w:bottom w:w="0" w:type="dxa"/>
          </w:tblCellMar>
        </w:tblPrEx>
        <w:tc>
          <w:tcPr>
            <w:tcW w:w="747" w:type="pct"/>
          </w:tcPr>
          <w:p w:rsidR="00000000" w:rsidRDefault="004D2F83">
            <w:pPr>
              <w:spacing w:line="400" w:lineRule="exact"/>
              <w:jc w:val="center"/>
              <w:rPr>
                <w:rFonts w:hint="eastAsia"/>
                <w:sz w:val="18"/>
              </w:rPr>
            </w:pPr>
            <w:r>
              <w:rPr>
                <w:rFonts w:hint="eastAsia"/>
                <w:sz w:val="18"/>
              </w:rPr>
              <w:t>1954</w:t>
            </w:r>
          </w:p>
        </w:tc>
        <w:tc>
          <w:tcPr>
            <w:tcW w:w="802" w:type="pct"/>
          </w:tcPr>
          <w:p w:rsidR="00000000" w:rsidRDefault="004D2F83">
            <w:pPr>
              <w:spacing w:line="400" w:lineRule="exact"/>
              <w:jc w:val="center"/>
              <w:rPr>
                <w:rFonts w:hint="eastAsia"/>
                <w:sz w:val="18"/>
              </w:rPr>
            </w:pPr>
            <w:r>
              <w:rPr>
                <w:rFonts w:hint="eastAsia"/>
                <w:sz w:val="18"/>
              </w:rPr>
              <w:t>13</w:t>
            </w:r>
          </w:p>
        </w:tc>
        <w:tc>
          <w:tcPr>
            <w:tcW w:w="802" w:type="pct"/>
          </w:tcPr>
          <w:p w:rsidR="00000000" w:rsidRDefault="004D2F83">
            <w:pPr>
              <w:spacing w:line="400" w:lineRule="exact"/>
              <w:jc w:val="center"/>
              <w:rPr>
                <w:rFonts w:hint="eastAsia"/>
                <w:sz w:val="18"/>
              </w:rPr>
            </w:pPr>
            <w:r>
              <w:rPr>
                <w:rFonts w:hint="eastAsia"/>
                <w:sz w:val="18"/>
              </w:rPr>
              <w:t>3</w:t>
            </w:r>
          </w:p>
        </w:tc>
        <w:tc>
          <w:tcPr>
            <w:tcW w:w="238" w:type="pct"/>
          </w:tcPr>
          <w:p w:rsidR="00000000" w:rsidRDefault="004D2F83">
            <w:pPr>
              <w:spacing w:line="400" w:lineRule="exact"/>
              <w:jc w:val="center"/>
              <w:rPr>
                <w:rFonts w:hint="eastAsia"/>
                <w:sz w:val="18"/>
              </w:rPr>
            </w:pPr>
          </w:p>
        </w:tc>
        <w:tc>
          <w:tcPr>
            <w:tcW w:w="804" w:type="pct"/>
          </w:tcPr>
          <w:p w:rsidR="00000000" w:rsidRDefault="004D2F83">
            <w:pPr>
              <w:spacing w:line="400" w:lineRule="exact"/>
              <w:jc w:val="center"/>
              <w:rPr>
                <w:rFonts w:hint="eastAsia"/>
                <w:sz w:val="18"/>
              </w:rPr>
            </w:pPr>
            <w:r>
              <w:rPr>
                <w:rFonts w:hint="eastAsia"/>
                <w:sz w:val="18"/>
              </w:rPr>
              <w:t>1986</w:t>
            </w:r>
          </w:p>
        </w:tc>
        <w:tc>
          <w:tcPr>
            <w:tcW w:w="804" w:type="pct"/>
          </w:tcPr>
          <w:p w:rsidR="00000000" w:rsidRDefault="004D2F83">
            <w:pPr>
              <w:spacing w:line="400" w:lineRule="exact"/>
              <w:jc w:val="center"/>
              <w:rPr>
                <w:rFonts w:hint="eastAsia"/>
                <w:sz w:val="18"/>
              </w:rPr>
            </w:pPr>
            <w:r>
              <w:rPr>
                <w:rFonts w:hint="eastAsia"/>
                <w:sz w:val="18"/>
              </w:rPr>
              <w:t>166</w:t>
            </w:r>
          </w:p>
        </w:tc>
        <w:tc>
          <w:tcPr>
            <w:tcW w:w="804" w:type="pct"/>
          </w:tcPr>
          <w:p w:rsidR="00000000" w:rsidRDefault="004D2F83">
            <w:pPr>
              <w:spacing w:line="400" w:lineRule="exact"/>
              <w:jc w:val="center"/>
              <w:rPr>
                <w:rFonts w:hint="eastAsia"/>
                <w:sz w:val="18"/>
              </w:rPr>
            </w:pPr>
            <w:r>
              <w:rPr>
                <w:rFonts w:hint="eastAsia"/>
                <w:sz w:val="18"/>
              </w:rPr>
              <w:t>26</w:t>
            </w:r>
          </w:p>
        </w:tc>
      </w:tr>
      <w:tr w:rsidR="00000000">
        <w:tblPrEx>
          <w:tblCellMar>
            <w:top w:w="0" w:type="dxa"/>
            <w:bottom w:w="0" w:type="dxa"/>
          </w:tblCellMar>
        </w:tblPrEx>
        <w:tc>
          <w:tcPr>
            <w:tcW w:w="747" w:type="pct"/>
          </w:tcPr>
          <w:p w:rsidR="00000000" w:rsidRDefault="004D2F83">
            <w:pPr>
              <w:spacing w:line="400" w:lineRule="exact"/>
              <w:jc w:val="center"/>
              <w:rPr>
                <w:rFonts w:hint="eastAsia"/>
                <w:sz w:val="18"/>
              </w:rPr>
            </w:pPr>
            <w:r>
              <w:rPr>
                <w:rFonts w:hint="eastAsia"/>
                <w:sz w:val="18"/>
              </w:rPr>
              <w:t>1958</w:t>
            </w:r>
          </w:p>
        </w:tc>
        <w:tc>
          <w:tcPr>
            <w:tcW w:w="802" w:type="pct"/>
          </w:tcPr>
          <w:p w:rsidR="00000000" w:rsidRDefault="004D2F83">
            <w:pPr>
              <w:spacing w:line="400" w:lineRule="exact"/>
              <w:jc w:val="center"/>
              <w:rPr>
                <w:rFonts w:hint="eastAsia"/>
                <w:sz w:val="18"/>
              </w:rPr>
            </w:pPr>
            <w:r>
              <w:rPr>
                <w:rFonts w:hint="eastAsia"/>
                <w:sz w:val="18"/>
              </w:rPr>
              <w:t>8</w:t>
            </w:r>
          </w:p>
        </w:tc>
        <w:tc>
          <w:tcPr>
            <w:tcW w:w="802" w:type="pct"/>
          </w:tcPr>
          <w:p w:rsidR="00000000" w:rsidRDefault="004D2F83">
            <w:pPr>
              <w:spacing w:line="400" w:lineRule="exact"/>
              <w:jc w:val="center"/>
              <w:rPr>
                <w:rFonts w:hint="eastAsia"/>
                <w:sz w:val="18"/>
              </w:rPr>
            </w:pPr>
            <w:r>
              <w:rPr>
                <w:rFonts w:hint="eastAsia"/>
                <w:sz w:val="18"/>
              </w:rPr>
              <w:t>2</w:t>
            </w:r>
          </w:p>
        </w:tc>
        <w:tc>
          <w:tcPr>
            <w:tcW w:w="238" w:type="pct"/>
          </w:tcPr>
          <w:p w:rsidR="00000000" w:rsidRDefault="004D2F83">
            <w:pPr>
              <w:spacing w:line="400" w:lineRule="exact"/>
              <w:jc w:val="center"/>
              <w:rPr>
                <w:rFonts w:hint="eastAsia"/>
                <w:sz w:val="18"/>
              </w:rPr>
            </w:pPr>
          </w:p>
        </w:tc>
        <w:tc>
          <w:tcPr>
            <w:tcW w:w="804" w:type="pct"/>
          </w:tcPr>
          <w:p w:rsidR="00000000" w:rsidRDefault="004D2F83">
            <w:pPr>
              <w:spacing w:line="400" w:lineRule="exact"/>
              <w:jc w:val="center"/>
              <w:rPr>
                <w:rFonts w:hint="eastAsia"/>
                <w:sz w:val="18"/>
              </w:rPr>
            </w:pPr>
            <w:r>
              <w:rPr>
                <w:rFonts w:hint="eastAsia"/>
                <w:sz w:val="18"/>
              </w:rPr>
              <w:t>1990</w:t>
            </w:r>
          </w:p>
        </w:tc>
        <w:tc>
          <w:tcPr>
            <w:tcW w:w="804" w:type="pct"/>
          </w:tcPr>
          <w:p w:rsidR="00000000" w:rsidRDefault="004D2F83">
            <w:pPr>
              <w:spacing w:line="400" w:lineRule="exact"/>
              <w:jc w:val="center"/>
              <w:rPr>
                <w:rFonts w:hint="eastAsia"/>
                <w:sz w:val="18"/>
              </w:rPr>
            </w:pPr>
            <w:r>
              <w:rPr>
                <w:rFonts w:hint="eastAsia"/>
                <w:sz w:val="18"/>
              </w:rPr>
              <w:t>—</w:t>
            </w:r>
          </w:p>
        </w:tc>
        <w:tc>
          <w:tcPr>
            <w:tcW w:w="804" w:type="pct"/>
          </w:tcPr>
          <w:p w:rsidR="00000000" w:rsidRDefault="004D2F83">
            <w:pPr>
              <w:spacing w:line="400" w:lineRule="exact"/>
              <w:jc w:val="center"/>
              <w:rPr>
                <w:rFonts w:hint="eastAsia"/>
                <w:sz w:val="18"/>
              </w:rPr>
            </w:pPr>
            <w:r>
              <w:rPr>
                <w:rFonts w:hint="eastAsia"/>
                <w:sz w:val="18"/>
              </w:rPr>
              <w:t>29</w:t>
            </w:r>
          </w:p>
        </w:tc>
      </w:tr>
      <w:tr w:rsidR="00000000">
        <w:tblPrEx>
          <w:tblCellMar>
            <w:top w:w="0" w:type="dxa"/>
            <w:bottom w:w="0" w:type="dxa"/>
          </w:tblCellMar>
        </w:tblPrEx>
        <w:tc>
          <w:tcPr>
            <w:tcW w:w="747" w:type="pct"/>
          </w:tcPr>
          <w:p w:rsidR="00000000" w:rsidRDefault="004D2F83">
            <w:pPr>
              <w:spacing w:line="400" w:lineRule="exact"/>
              <w:jc w:val="center"/>
              <w:rPr>
                <w:rFonts w:hint="eastAsia"/>
                <w:sz w:val="18"/>
              </w:rPr>
            </w:pPr>
            <w:r>
              <w:rPr>
                <w:rFonts w:hint="eastAsia"/>
                <w:sz w:val="18"/>
              </w:rPr>
              <w:t>1962</w:t>
            </w:r>
          </w:p>
        </w:tc>
        <w:tc>
          <w:tcPr>
            <w:tcW w:w="802" w:type="pct"/>
          </w:tcPr>
          <w:p w:rsidR="00000000" w:rsidRDefault="004D2F83">
            <w:pPr>
              <w:spacing w:line="400" w:lineRule="exact"/>
              <w:jc w:val="center"/>
              <w:rPr>
                <w:rFonts w:hint="eastAsia"/>
                <w:sz w:val="18"/>
              </w:rPr>
            </w:pPr>
            <w:r>
              <w:rPr>
                <w:rFonts w:hint="eastAsia"/>
                <w:sz w:val="18"/>
              </w:rPr>
              <w:t>9</w:t>
            </w:r>
          </w:p>
        </w:tc>
        <w:tc>
          <w:tcPr>
            <w:tcW w:w="802" w:type="pct"/>
          </w:tcPr>
          <w:p w:rsidR="00000000" w:rsidRDefault="004D2F83">
            <w:pPr>
              <w:spacing w:line="400" w:lineRule="exact"/>
              <w:jc w:val="center"/>
              <w:rPr>
                <w:rFonts w:hint="eastAsia"/>
                <w:sz w:val="18"/>
              </w:rPr>
            </w:pPr>
            <w:r>
              <w:rPr>
                <w:rFonts w:hint="eastAsia"/>
                <w:sz w:val="18"/>
              </w:rPr>
              <w:t>2</w:t>
            </w:r>
          </w:p>
        </w:tc>
        <w:tc>
          <w:tcPr>
            <w:tcW w:w="238" w:type="pct"/>
          </w:tcPr>
          <w:p w:rsidR="00000000" w:rsidRDefault="004D2F83">
            <w:pPr>
              <w:spacing w:line="400" w:lineRule="exact"/>
              <w:jc w:val="center"/>
              <w:rPr>
                <w:rFonts w:hint="eastAsia"/>
                <w:sz w:val="18"/>
              </w:rPr>
            </w:pPr>
          </w:p>
        </w:tc>
        <w:tc>
          <w:tcPr>
            <w:tcW w:w="804" w:type="pct"/>
          </w:tcPr>
          <w:p w:rsidR="00000000" w:rsidRDefault="004D2F83">
            <w:pPr>
              <w:spacing w:line="400" w:lineRule="exact"/>
              <w:jc w:val="center"/>
              <w:rPr>
                <w:rFonts w:hint="eastAsia"/>
                <w:sz w:val="18"/>
              </w:rPr>
            </w:pPr>
            <w:r>
              <w:rPr>
                <w:rFonts w:hint="eastAsia"/>
                <w:sz w:val="18"/>
              </w:rPr>
              <w:t>1994</w:t>
            </w:r>
          </w:p>
        </w:tc>
        <w:tc>
          <w:tcPr>
            <w:tcW w:w="804" w:type="pct"/>
          </w:tcPr>
          <w:p w:rsidR="00000000" w:rsidRDefault="004D2F83">
            <w:pPr>
              <w:spacing w:line="400" w:lineRule="exact"/>
              <w:jc w:val="center"/>
              <w:rPr>
                <w:rFonts w:hint="eastAsia"/>
                <w:sz w:val="18"/>
              </w:rPr>
            </w:pPr>
            <w:r>
              <w:rPr>
                <w:rFonts w:hint="eastAsia"/>
                <w:sz w:val="18"/>
              </w:rPr>
              <w:t>189</w:t>
            </w:r>
          </w:p>
        </w:tc>
        <w:tc>
          <w:tcPr>
            <w:tcW w:w="804" w:type="pct"/>
          </w:tcPr>
          <w:p w:rsidR="00000000" w:rsidRDefault="004D2F83">
            <w:pPr>
              <w:spacing w:line="400" w:lineRule="exact"/>
              <w:jc w:val="center"/>
              <w:rPr>
                <w:rFonts w:hint="eastAsia"/>
                <w:sz w:val="18"/>
              </w:rPr>
            </w:pPr>
            <w:r>
              <w:rPr>
                <w:rFonts w:hint="eastAsia"/>
                <w:sz w:val="18"/>
              </w:rPr>
              <w:t>32</w:t>
            </w:r>
          </w:p>
        </w:tc>
      </w:tr>
      <w:tr w:rsidR="00000000">
        <w:tblPrEx>
          <w:tblCellMar>
            <w:top w:w="0" w:type="dxa"/>
            <w:bottom w:w="0" w:type="dxa"/>
          </w:tblCellMar>
        </w:tblPrEx>
        <w:tc>
          <w:tcPr>
            <w:tcW w:w="747" w:type="pct"/>
          </w:tcPr>
          <w:p w:rsidR="00000000" w:rsidRDefault="004D2F83">
            <w:pPr>
              <w:spacing w:line="400" w:lineRule="exact"/>
              <w:jc w:val="center"/>
              <w:rPr>
                <w:rFonts w:hint="eastAsia"/>
                <w:sz w:val="18"/>
              </w:rPr>
            </w:pPr>
            <w:r>
              <w:rPr>
                <w:rFonts w:hint="eastAsia"/>
                <w:sz w:val="18"/>
              </w:rPr>
              <w:t>1965</w:t>
            </w:r>
          </w:p>
        </w:tc>
        <w:tc>
          <w:tcPr>
            <w:tcW w:w="802" w:type="pct"/>
          </w:tcPr>
          <w:p w:rsidR="00000000" w:rsidRDefault="004D2F83">
            <w:pPr>
              <w:spacing w:line="400" w:lineRule="exact"/>
              <w:jc w:val="center"/>
              <w:rPr>
                <w:rFonts w:hint="eastAsia"/>
                <w:sz w:val="18"/>
              </w:rPr>
            </w:pPr>
            <w:r>
              <w:rPr>
                <w:rFonts w:hint="eastAsia"/>
                <w:sz w:val="18"/>
              </w:rPr>
              <w:t>13</w:t>
            </w:r>
          </w:p>
        </w:tc>
        <w:tc>
          <w:tcPr>
            <w:tcW w:w="802" w:type="pct"/>
          </w:tcPr>
          <w:p w:rsidR="00000000" w:rsidRDefault="004D2F83">
            <w:pPr>
              <w:spacing w:line="400" w:lineRule="exact"/>
              <w:jc w:val="center"/>
              <w:rPr>
                <w:rFonts w:hint="eastAsia"/>
                <w:sz w:val="18"/>
              </w:rPr>
            </w:pPr>
            <w:r>
              <w:rPr>
                <w:rFonts w:hint="eastAsia"/>
                <w:sz w:val="18"/>
              </w:rPr>
              <w:t>6</w:t>
            </w:r>
          </w:p>
        </w:tc>
        <w:tc>
          <w:tcPr>
            <w:tcW w:w="238" w:type="pct"/>
          </w:tcPr>
          <w:p w:rsidR="00000000" w:rsidRDefault="004D2F83">
            <w:pPr>
              <w:spacing w:line="400" w:lineRule="exact"/>
              <w:jc w:val="center"/>
              <w:rPr>
                <w:rFonts w:hint="eastAsia"/>
                <w:sz w:val="18"/>
              </w:rPr>
            </w:pPr>
          </w:p>
        </w:tc>
        <w:tc>
          <w:tcPr>
            <w:tcW w:w="804" w:type="pct"/>
          </w:tcPr>
          <w:p w:rsidR="00000000" w:rsidRDefault="004D2F83">
            <w:pPr>
              <w:spacing w:line="400" w:lineRule="exact"/>
              <w:jc w:val="center"/>
              <w:rPr>
                <w:rFonts w:hint="eastAsia"/>
                <w:sz w:val="18"/>
              </w:rPr>
            </w:pPr>
            <w:r>
              <w:rPr>
                <w:rFonts w:hint="eastAsia"/>
                <w:sz w:val="18"/>
              </w:rPr>
              <w:t>1998</w:t>
            </w:r>
          </w:p>
        </w:tc>
        <w:tc>
          <w:tcPr>
            <w:tcW w:w="804" w:type="pct"/>
          </w:tcPr>
          <w:p w:rsidR="00000000" w:rsidRDefault="004D2F83">
            <w:pPr>
              <w:spacing w:line="400" w:lineRule="exact"/>
              <w:jc w:val="center"/>
              <w:rPr>
                <w:rFonts w:hint="eastAsia"/>
                <w:sz w:val="18"/>
              </w:rPr>
            </w:pPr>
            <w:r>
              <w:rPr>
                <w:rFonts w:hint="eastAsia"/>
                <w:sz w:val="18"/>
              </w:rPr>
              <w:t>352</w:t>
            </w:r>
          </w:p>
        </w:tc>
        <w:tc>
          <w:tcPr>
            <w:tcW w:w="804" w:type="pct"/>
          </w:tcPr>
          <w:p w:rsidR="00000000" w:rsidRDefault="004D2F83">
            <w:pPr>
              <w:spacing w:line="400" w:lineRule="exact"/>
              <w:jc w:val="center"/>
              <w:rPr>
                <w:rFonts w:hint="eastAsia"/>
                <w:sz w:val="18"/>
              </w:rPr>
            </w:pPr>
            <w:r>
              <w:rPr>
                <w:rFonts w:hint="eastAsia"/>
                <w:sz w:val="18"/>
              </w:rPr>
              <w:t>29</w:t>
            </w:r>
          </w:p>
        </w:tc>
      </w:tr>
    </w:tbl>
    <w:p w:rsidR="00000000" w:rsidRDefault="004D2F83">
      <w:pPr>
        <w:spacing w:after="240" w:line="360" w:lineRule="exact"/>
        <w:rPr>
          <w:rFonts w:hint="eastAsia"/>
        </w:rPr>
      </w:pPr>
      <w:r>
        <w:rPr>
          <w:rFonts w:eastAsia="SimHei" w:hint="eastAsia"/>
          <w:sz w:val="18"/>
        </w:rPr>
        <w:t>资料来源</w:t>
      </w:r>
      <w:r>
        <w:rPr>
          <w:rFonts w:hint="eastAsia"/>
          <w:sz w:val="18"/>
        </w:rPr>
        <w:t>：最高选举法院，</w:t>
      </w:r>
      <w:r>
        <w:rPr>
          <w:rFonts w:hint="eastAsia"/>
          <w:sz w:val="18"/>
        </w:rPr>
        <w:t>2000</w:t>
      </w:r>
      <w:r>
        <w:rPr>
          <w:rFonts w:hint="eastAsia"/>
          <w:sz w:val="18"/>
        </w:rPr>
        <w:t>年</w:t>
      </w:r>
      <w:r>
        <w:rPr>
          <w:rFonts w:hint="eastAsia"/>
          <w:sz w:val="18"/>
        </w:rPr>
        <w:t>12</w:t>
      </w:r>
      <w:r>
        <w:rPr>
          <w:rFonts w:hint="eastAsia"/>
          <w:sz w:val="18"/>
        </w:rPr>
        <w:t>月。</w:t>
      </w:r>
    </w:p>
    <w:p w:rsidR="00000000" w:rsidRDefault="004D2F83">
      <w:pPr>
        <w:spacing w:after="240" w:line="360" w:lineRule="exact"/>
        <w:rPr>
          <w:rFonts w:eastAsia="SimHei" w:hint="eastAsia"/>
          <w:sz w:val="24"/>
        </w:rPr>
      </w:pPr>
      <w:r>
        <w:rPr>
          <w:rFonts w:eastAsia="SimHei" w:hint="eastAsia"/>
          <w:sz w:val="24"/>
        </w:rPr>
        <w:t>州级宪法</w:t>
      </w:r>
    </w:p>
    <w:p w:rsidR="00000000" w:rsidRDefault="004D2F83" w:rsidP="004D2F83">
      <w:pPr>
        <w:spacing w:after="240" w:line="360" w:lineRule="exact"/>
        <w:ind w:firstLineChars="200" w:firstLine="31680"/>
        <w:rPr>
          <w:rFonts w:hint="eastAsia"/>
        </w:rPr>
      </w:pPr>
      <w:r>
        <w:rPr>
          <w:rFonts w:hint="eastAsia"/>
        </w:rPr>
        <w:t>塞阿拉、马拉尼昂、帕拉、巴拉那等州的宪法和《联邦区组织法》在建立州妇女委员会的问题上特别提到妇女参与政府政策的制订与执行工作。</w:t>
      </w:r>
    </w:p>
    <w:p w:rsidR="00000000" w:rsidRDefault="004D2F83" w:rsidP="004D2F83">
      <w:pPr>
        <w:spacing w:after="240" w:line="360" w:lineRule="exact"/>
        <w:ind w:firstLineChars="200" w:firstLine="31680"/>
        <w:rPr>
          <w:rFonts w:hint="eastAsia"/>
        </w:rPr>
      </w:pPr>
      <w:r>
        <w:rPr>
          <w:rFonts w:hint="eastAsia"/>
        </w:rPr>
        <w:t>这方面的一个例子是《塞阿拉州宪法》，该宪法规定：“</w:t>
      </w:r>
      <w:r>
        <w:rPr>
          <w:rFonts w:eastAsia="KaiTi_GB2312" w:hint="eastAsia"/>
        </w:rPr>
        <w:t>塞阿拉州妇女权利委员会的目的是提出各种措施和行动，确保妇女可以享有权利并参与本州的社会、政治、经济和文化发展，本州各级行政管理部门在制订涉及妇女的公共政策时必</w:t>
      </w:r>
      <w:r>
        <w:rPr>
          <w:rFonts w:eastAsia="KaiTi_GB2312" w:hint="eastAsia"/>
        </w:rPr>
        <w:t>须首先同妇女权利理事会磋商。塞阿拉州妇女权利委员会享有财政和行政自治权。”</w:t>
      </w:r>
    </w:p>
    <w:p w:rsidR="00000000" w:rsidRDefault="004D2F83" w:rsidP="004D2F83">
      <w:pPr>
        <w:spacing w:after="240" w:line="360" w:lineRule="exact"/>
        <w:ind w:firstLineChars="200" w:firstLine="31680"/>
        <w:rPr>
          <w:rFonts w:hint="eastAsia"/>
          <w:spacing w:val="-2"/>
        </w:rPr>
      </w:pPr>
      <w:r>
        <w:rPr>
          <w:rFonts w:hint="eastAsia"/>
          <w:spacing w:val="-2"/>
        </w:rPr>
        <w:t>《巴伊亚州宪法》规定了有关生殖问题的具体措施，规定在就生殖问题所做的调查进行评估的过程中，政府和代表性实体要开展审查，并规定要建立州一级的多学科委员会，确保自治的妇女运动在其中的代表资格。针对这个问题，《里约热内卢州宪法》第</w:t>
      </w:r>
      <w:r>
        <w:rPr>
          <w:rFonts w:hint="eastAsia"/>
          <w:spacing w:val="-2"/>
        </w:rPr>
        <w:t>36</w:t>
      </w:r>
      <w:r>
        <w:rPr>
          <w:rFonts w:hint="eastAsia"/>
          <w:spacing w:val="-2"/>
        </w:rPr>
        <w:t>条规定：</w:t>
      </w:r>
      <w:r>
        <w:rPr>
          <w:rFonts w:eastAsia="KaiTi_GB2312" w:hint="eastAsia"/>
          <w:spacing w:val="-2"/>
        </w:rPr>
        <w:t>“遵照人的尊严的基本原则，法律规定，单一保健系统应规范遗传学研究以及有关人类生殖的研究，这两类研究均应由州一级多学科委员会进行评估。”同一条款的单独段落规定：“自治的妇女运动的成员及州妇女权利委员会的</w:t>
      </w:r>
      <w:r>
        <w:rPr>
          <w:rFonts w:eastAsia="KaiTi_GB2312" w:hint="eastAsia"/>
          <w:spacing w:val="-2"/>
        </w:rPr>
        <w:t>成员应参与该委员会。”《</w:t>
      </w:r>
      <w:r>
        <w:rPr>
          <w:rFonts w:hint="eastAsia"/>
          <w:spacing w:val="-2"/>
        </w:rPr>
        <w:t>托坎廷斯州宪法》规定有代表性的妇女团体参与政府计划的制订、管理及执行，以便为妇女保健提供充分援助。</w:t>
      </w:r>
    </w:p>
    <w:p w:rsidR="00000000" w:rsidRDefault="004D2F83">
      <w:pPr>
        <w:spacing w:after="240" w:line="360" w:lineRule="exact"/>
        <w:rPr>
          <w:rFonts w:eastAsia="SimHei" w:hint="eastAsia"/>
          <w:sz w:val="24"/>
        </w:rPr>
      </w:pPr>
      <w:r>
        <w:rPr>
          <w:rFonts w:eastAsia="SimHei" w:hint="eastAsia"/>
          <w:sz w:val="24"/>
        </w:rPr>
        <w:t>州级法律</w:t>
      </w:r>
    </w:p>
    <w:p w:rsidR="00000000" w:rsidRDefault="004D2F83" w:rsidP="004D2F83">
      <w:pPr>
        <w:snapToGrid w:val="0"/>
        <w:spacing w:after="240" w:line="360" w:lineRule="exact"/>
        <w:ind w:firstLineChars="200" w:firstLine="31680"/>
        <w:rPr>
          <w:rFonts w:hint="eastAsia"/>
        </w:rPr>
      </w:pPr>
      <w:r>
        <w:rPr>
          <w:rFonts w:hint="eastAsia"/>
        </w:rPr>
        <w:t>到目前为止，联邦中只有南里奥格兰德州通过第</w:t>
      </w:r>
      <w:r>
        <w:rPr>
          <w:rFonts w:hint="eastAsia"/>
        </w:rPr>
        <w:t>11</w:t>
      </w:r>
      <w:r>
        <w:t>.303/99</w:t>
      </w:r>
      <w:r>
        <w:rPr>
          <w:rFonts w:hint="eastAsia"/>
        </w:rPr>
        <w:t>号法律规定了“</w:t>
      </w:r>
      <w:r>
        <w:rPr>
          <w:rFonts w:ascii="KaiTi_GB2312" w:eastAsia="KaiTi_GB2312" w:hint="eastAsia"/>
        </w:rPr>
        <w:t>在州管理下的学校机构中任职的男女员工各自所占的最低和最高比例（分别为</w:t>
      </w:r>
      <w:r>
        <w:rPr>
          <w:rFonts w:ascii="KaiTi_GB2312" w:eastAsia="KaiTi_GB2312" w:hint="eastAsia"/>
        </w:rPr>
        <w:t>30%</w:t>
      </w:r>
      <w:r>
        <w:rPr>
          <w:rFonts w:ascii="KaiTi_GB2312" w:eastAsia="KaiTi_GB2312" w:hint="eastAsia"/>
        </w:rPr>
        <w:t>和</w:t>
      </w:r>
      <w:r>
        <w:rPr>
          <w:rFonts w:ascii="KaiTi_GB2312" w:eastAsia="KaiTi_GB2312" w:hint="eastAsia"/>
        </w:rPr>
        <w:t>70%</w:t>
      </w:r>
      <w:r>
        <w:rPr>
          <w:rFonts w:ascii="KaiTi_GB2312" w:eastAsia="KaiTi_GB2312" w:hint="eastAsia"/>
        </w:rPr>
        <w:t>）”。</w:t>
      </w:r>
      <w:r>
        <w:rPr>
          <w:rFonts w:hint="eastAsia"/>
        </w:rPr>
        <w:t>帕拉伊巴州目前正在讨论一项法案，规定在州行政部门中担任管理职位的男女员工所占的最低及最高比例分别为</w:t>
      </w:r>
      <w:r>
        <w:rPr>
          <w:rFonts w:hint="eastAsia"/>
        </w:rPr>
        <w:t>30%</w:t>
      </w:r>
      <w:r>
        <w:rPr>
          <w:rFonts w:hint="eastAsia"/>
        </w:rPr>
        <w:t>和</w:t>
      </w:r>
      <w:r>
        <w:rPr>
          <w:rFonts w:hint="eastAsia"/>
        </w:rPr>
        <w:t>70%</w:t>
      </w:r>
      <w:r>
        <w:rPr>
          <w:rFonts w:hint="eastAsia"/>
        </w:rPr>
        <w:t>。</w:t>
      </w:r>
    </w:p>
    <w:p w:rsidR="00000000" w:rsidRDefault="004D2F83">
      <w:pPr>
        <w:snapToGrid w:val="0"/>
        <w:spacing w:after="120" w:line="360" w:lineRule="exact"/>
        <w:jc w:val="center"/>
        <w:rPr>
          <w:rFonts w:ascii="SimHei" w:eastAsia="SimHei" w:hint="eastAsia"/>
        </w:rPr>
      </w:pPr>
      <w:r>
        <w:rPr>
          <w:rFonts w:ascii="SimHei" w:eastAsia="SimHei" w:hint="eastAsia"/>
        </w:rPr>
        <w:t>表</w:t>
      </w:r>
      <w:r>
        <w:rPr>
          <w:rFonts w:ascii="SimHei" w:eastAsia="SimHei" w:hint="eastAsia"/>
        </w:rPr>
        <w:t>16</w:t>
      </w:r>
      <w:r>
        <w:rPr>
          <w:rFonts w:ascii="SimHei" w:eastAsia="SimHei" w:hint="eastAsia"/>
        </w:rPr>
        <w:t>．州立法机构中的女性</w:t>
      </w:r>
    </w:p>
    <w:p w:rsidR="00000000" w:rsidRDefault="004D2F83">
      <w:pPr>
        <w:snapToGrid w:val="0"/>
        <w:spacing w:after="240" w:line="360" w:lineRule="exact"/>
        <w:jc w:val="center"/>
        <w:rPr>
          <w:rFonts w:ascii="SimHei" w:eastAsia="SimHei" w:hint="eastAsia"/>
        </w:rPr>
      </w:pPr>
      <w:r>
        <w:rPr>
          <w:rFonts w:ascii="SimHei" w:eastAsia="SimHei" w:hint="eastAsia"/>
        </w:rPr>
        <w:t>巴西，</w:t>
      </w:r>
      <w:r>
        <w:rPr>
          <w:rFonts w:ascii="SimHei" w:eastAsia="SimHei" w:hint="eastAsia"/>
        </w:rPr>
        <w:t>1946-1998</w:t>
      </w:r>
      <w:r>
        <w:rPr>
          <w:rFonts w:ascii="SimHei" w:eastAsia="SimHei" w:hint="eastAsia"/>
        </w:rPr>
        <w:t>年</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8"/>
        <w:gridCol w:w="1516"/>
        <w:gridCol w:w="1516"/>
        <w:gridCol w:w="422"/>
        <w:gridCol w:w="1664"/>
        <w:gridCol w:w="1664"/>
        <w:gridCol w:w="1666"/>
      </w:tblGrid>
      <w:tr w:rsidR="00000000">
        <w:tblPrEx>
          <w:tblCellMar>
            <w:top w:w="0" w:type="dxa"/>
            <w:bottom w:w="0" w:type="dxa"/>
          </w:tblCellMar>
        </w:tblPrEx>
        <w:tc>
          <w:tcPr>
            <w:tcW w:w="714" w:type="pct"/>
            <w:vAlign w:val="center"/>
          </w:tcPr>
          <w:p w:rsidR="00000000" w:rsidRDefault="004D2F83">
            <w:pPr>
              <w:snapToGrid w:val="0"/>
              <w:spacing w:line="400" w:lineRule="exact"/>
              <w:jc w:val="center"/>
              <w:rPr>
                <w:rFonts w:eastAsia="SimHei" w:hint="eastAsia"/>
                <w:sz w:val="18"/>
              </w:rPr>
            </w:pPr>
            <w:r>
              <w:rPr>
                <w:rFonts w:eastAsia="SimHei" w:hint="eastAsia"/>
                <w:sz w:val="18"/>
              </w:rPr>
              <w:t>年份</w:t>
            </w:r>
          </w:p>
        </w:tc>
        <w:tc>
          <w:tcPr>
            <w:tcW w:w="769" w:type="pct"/>
            <w:vAlign w:val="center"/>
          </w:tcPr>
          <w:p w:rsidR="00000000" w:rsidRDefault="004D2F83">
            <w:pPr>
              <w:snapToGrid w:val="0"/>
              <w:spacing w:line="400" w:lineRule="exact"/>
              <w:jc w:val="center"/>
              <w:rPr>
                <w:rFonts w:eastAsia="SimHei" w:hint="eastAsia"/>
                <w:sz w:val="18"/>
              </w:rPr>
            </w:pPr>
            <w:r>
              <w:rPr>
                <w:rFonts w:eastAsia="SimHei" w:hint="eastAsia"/>
                <w:sz w:val="18"/>
              </w:rPr>
              <w:t>候选人数</w:t>
            </w:r>
          </w:p>
        </w:tc>
        <w:tc>
          <w:tcPr>
            <w:tcW w:w="769" w:type="pct"/>
            <w:vAlign w:val="center"/>
          </w:tcPr>
          <w:p w:rsidR="00000000" w:rsidRDefault="004D2F83">
            <w:pPr>
              <w:snapToGrid w:val="0"/>
              <w:spacing w:line="400" w:lineRule="exact"/>
              <w:jc w:val="center"/>
              <w:rPr>
                <w:rFonts w:eastAsia="SimHei" w:hint="eastAsia"/>
                <w:sz w:val="18"/>
              </w:rPr>
            </w:pPr>
            <w:r>
              <w:rPr>
                <w:rFonts w:eastAsia="SimHei" w:hint="eastAsia"/>
                <w:sz w:val="18"/>
              </w:rPr>
              <w:t>当选人数</w:t>
            </w:r>
          </w:p>
        </w:tc>
        <w:tc>
          <w:tcPr>
            <w:tcW w:w="214" w:type="pct"/>
            <w:vAlign w:val="center"/>
          </w:tcPr>
          <w:p w:rsidR="00000000" w:rsidRDefault="004D2F83">
            <w:pPr>
              <w:snapToGrid w:val="0"/>
              <w:spacing w:line="400" w:lineRule="exact"/>
              <w:jc w:val="center"/>
              <w:rPr>
                <w:rFonts w:eastAsia="SimHei" w:hint="eastAsia"/>
                <w:sz w:val="18"/>
              </w:rPr>
            </w:pPr>
          </w:p>
        </w:tc>
        <w:tc>
          <w:tcPr>
            <w:tcW w:w="844" w:type="pct"/>
            <w:vAlign w:val="center"/>
          </w:tcPr>
          <w:p w:rsidR="00000000" w:rsidRDefault="004D2F83">
            <w:pPr>
              <w:snapToGrid w:val="0"/>
              <w:spacing w:line="400" w:lineRule="exact"/>
              <w:jc w:val="center"/>
              <w:rPr>
                <w:rFonts w:eastAsia="SimHei" w:hint="eastAsia"/>
                <w:sz w:val="18"/>
              </w:rPr>
            </w:pPr>
            <w:r>
              <w:rPr>
                <w:rFonts w:eastAsia="SimHei" w:hint="eastAsia"/>
                <w:sz w:val="18"/>
              </w:rPr>
              <w:t>年份</w:t>
            </w:r>
          </w:p>
        </w:tc>
        <w:tc>
          <w:tcPr>
            <w:tcW w:w="844" w:type="pct"/>
            <w:vAlign w:val="center"/>
          </w:tcPr>
          <w:p w:rsidR="00000000" w:rsidRDefault="004D2F83">
            <w:pPr>
              <w:snapToGrid w:val="0"/>
              <w:spacing w:line="400" w:lineRule="exact"/>
              <w:jc w:val="center"/>
              <w:rPr>
                <w:rFonts w:eastAsia="SimHei" w:hint="eastAsia"/>
                <w:sz w:val="18"/>
              </w:rPr>
            </w:pPr>
            <w:r>
              <w:rPr>
                <w:rFonts w:eastAsia="SimHei" w:hint="eastAsia"/>
                <w:sz w:val="18"/>
              </w:rPr>
              <w:t>候选人数</w:t>
            </w:r>
          </w:p>
        </w:tc>
        <w:tc>
          <w:tcPr>
            <w:tcW w:w="845" w:type="pct"/>
            <w:vAlign w:val="center"/>
          </w:tcPr>
          <w:p w:rsidR="00000000" w:rsidRDefault="004D2F83">
            <w:pPr>
              <w:snapToGrid w:val="0"/>
              <w:spacing w:line="400" w:lineRule="exact"/>
              <w:jc w:val="center"/>
              <w:rPr>
                <w:rFonts w:eastAsia="SimHei" w:hint="eastAsia"/>
                <w:sz w:val="18"/>
              </w:rPr>
            </w:pPr>
            <w:r>
              <w:rPr>
                <w:rFonts w:eastAsia="SimHei" w:hint="eastAsia"/>
                <w:sz w:val="18"/>
              </w:rPr>
              <w:t>当选人数</w:t>
            </w:r>
          </w:p>
        </w:tc>
      </w:tr>
      <w:tr w:rsidR="00000000">
        <w:tblPrEx>
          <w:tblCellMar>
            <w:top w:w="0" w:type="dxa"/>
            <w:bottom w:w="0" w:type="dxa"/>
          </w:tblCellMar>
        </w:tblPrEx>
        <w:tc>
          <w:tcPr>
            <w:tcW w:w="714" w:type="pct"/>
            <w:vAlign w:val="center"/>
          </w:tcPr>
          <w:p w:rsidR="00000000" w:rsidRDefault="004D2F83">
            <w:pPr>
              <w:snapToGrid w:val="0"/>
              <w:spacing w:line="400" w:lineRule="exact"/>
              <w:jc w:val="center"/>
              <w:rPr>
                <w:rFonts w:hint="eastAsia"/>
                <w:sz w:val="18"/>
              </w:rPr>
            </w:pPr>
            <w:r>
              <w:rPr>
                <w:rFonts w:hint="eastAsia"/>
                <w:sz w:val="18"/>
              </w:rPr>
              <w:t>1946</w:t>
            </w:r>
          </w:p>
        </w:tc>
        <w:tc>
          <w:tcPr>
            <w:tcW w:w="769" w:type="pct"/>
            <w:vAlign w:val="center"/>
          </w:tcPr>
          <w:p w:rsidR="00000000" w:rsidRDefault="004D2F83">
            <w:pPr>
              <w:snapToGrid w:val="0"/>
              <w:spacing w:line="400" w:lineRule="exact"/>
              <w:jc w:val="center"/>
              <w:rPr>
                <w:rFonts w:hint="eastAsia"/>
                <w:sz w:val="18"/>
              </w:rPr>
            </w:pPr>
            <w:r>
              <w:rPr>
                <w:rFonts w:hint="eastAsia"/>
                <w:sz w:val="18"/>
              </w:rPr>
              <w:t>8</w:t>
            </w:r>
          </w:p>
        </w:tc>
        <w:tc>
          <w:tcPr>
            <w:tcW w:w="769" w:type="pct"/>
            <w:vAlign w:val="center"/>
          </w:tcPr>
          <w:p w:rsidR="00000000" w:rsidRDefault="004D2F83">
            <w:pPr>
              <w:snapToGrid w:val="0"/>
              <w:spacing w:line="400" w:lineRule="exact"/>
              <w:jc w:val="center"/>
              <w:rPr>
                <w:sz w:val="18"/>
              </w:rPr>
            </w:pPr>
            <w:r>
              <w:rPr>
                <w:sz w:val="18"/>
              </w:rPr>
              <w:t>5</w:t>
            </w:r>
          </w:p>
        </w:tc>
        <w:tc>
          <w:tcPr>
            <w:tcW w:w="214" w:type="pct"/>
            <w:vAlign w:val="center"/>
          </w:tcPr>
          <w:p w:rsidR="00000000" w:rsidRDefault="004D2F83">
            <w:pPr>
              <w:snapToGrid w:val="0"/>
              <w:spacing w:line="400" w:lineRule="exact"/>
              <w:jc w:val="center"/>
              <w:rPr>
                <w:rFonts w:hint="eastAsia"/>
                <w:sz w:val="18"/>
              </w:rPr>
            </w:pPr>
          </w:p>
        </w:tc>
        <w:tc>
          <w:tcPr>
            <w:tcW w:w="844" w:type="pct"/>
            <w:vAlign w:val="center"/>
          </w:tcPr>
          <w:p w:rsidR="00000000" w:rsidRDefault="004D2F83">
            <w:pPr>
              <w:snapToGrid w:val="0"/>
              <w:spacing w:line="400" w:lineRule="exact"/>
              <w:jc w:val="center"/>
              <w:rPr>
                <w:sz w:val="18"/>
              </w:rPr>
            </w:pPr>
            <w:r>
              <w:rPr>
                <w:sz w:val="18"/>
              </w:rPr>
              <w:t>1974</w:t>
            </w:r>
          </w:p>
        </w:tc>
        <w:tc>
          <w:tcPr>
            <w:tcW w:w="844" w:type="pct"/>
            <w:vAlign w:val="center"/>
          </w:tcPr>
          <w:p w:rsidR="00000000" w:rsidRDefault="004D2F83">
            <w:pPr>
              <w:snapToGrid w:val="0"/>
              <w:spacing w:line="400" w:lineRule="exact"/>
              <w:jc w:val="center"/>
              <w:rPr>
                <w:sz w:val="18"/>
              </w:rPr>
            </w:pPr>
            <w:r>
              <w:rPr>
                <w:sz w:val="18"/>
              </w:rPr>
              <w:t>15</w:t>
            </w:r>
          </w:p>
        </w:tc>
        <w:tc>
          <w:tcPr>
            <w:tcW w:w="845" w:type="pct"/>
            <w:vAlign w:val="center"/>
          </w:tcPr>
          <w:p w:rsidR="00000000" w:rsidRDefault="004D2F83">
            <w:pPr>
              <w:snapToGrid w:val="0"/>
              <w:spacing w:line="400" w:lineRule="exact"/>
              <w:jc w:val="center"/>
              <w:rPr>
                <w:rFonts w:hint="eastAsia"/>
                <w:sz w:val="18"/>
              </w:rPr>
            </w:pPr>
            <w:r>
              <w:rPr>
                <w:rFonts w:hint="eastAsia"/>
                <w:sz w:val="18"/>
              </w:rPr>
              <w:t>11</w:t>
            </w:r>
          </w:p>
        </w:tc>
      </w:tr>
      <w:tr w:rsidR="00000000">
        <w:tblPrEx>
          <w:tblCellMar>
            <w:top w:w="0" w:type="dxa"/>
            <w:bottom w:w="0" w:type="dxa"/>
          </w:tblCellMar>
        </w:tblPrEx>
        <w:tc>
          <w:tcPr>
            <w:tcW w:w="714" w:type="pct"/>
            <w:vAlign w:val="center"/>
          </w:tcPr>
          <w:p w:rsidR="00000000" w:rsidRDefault="004D2F83">
            <w:pPr>
              <w:snapToGrid w:val="0"/>
              <w:spacing w:line="400" w:lineRule="exact"/>
              <w:jc w:val="center"/>
              <w:rPr>
                <w:rFonts w:hint="eastAsia"/>
                <w:sz w:val="18"/>
              </w:rPr>
            </w:pPr>
            <w:r>
              <w:rPr>
                <w:rFonts w:hint="eastAsia"/>
                <w:sz w:val="18"/>
              </w:rPr>
              <w:t>1950</w:t>
            </w:r>
          </w:p>
        </w:tc>
        <w:tc>
          <w:tcPr>
            <w:tcW w:w="769" w:type="pct"/>
            <w:vAlign w:val="center"/>
          </w:tcPr>
          <w:p w:rsidR="00000000" w:rsidRDefault="004D2F83">
            <w:pPr>
              <w:snapToGrid w:val="0"/>
              <w:spacing w:line="400" w:lineRule="exact"/>
              <w:jc w:val="center"/>
              <w:rPr>
                <w:rFonts w:hint="eastAsia"/>
                <w:sz w:val="18"/>
              </w:rPr>
            </w:pPr>
            <w:r>
              <w:rPr>
                <w:rFonts w:hint="eastAsia"/>
                <w:sz w:val="18"/>
              </w:rPr>
              <w:t>10</w:t>
            </w:r>
          </w:p>
        </w:tc>
        <w:tc>
          <w:tcPr>
            <w:tcW w:w="769" w:type="pct"/>
            <w:vAlign w:val="center"/>
          </w:tcPr>
          <w:p w:rsidR="00000000" w:rsidRDefault="004D2F83">
            <w:pPr>
              <w:snapToGrid w:val="0"/>
              <w:spacing w:line="400" w:lineRule="exact"/>
              <w:jc w:val="center"/>
              <w:rPr>
                <w:sz w:val="18"/>
              </w:rPr>
            </w:pPr>
            <w:r>
              <w:rPr>
                <w:sz w:val="18"/>
              </w:rPr>
              <w:t>8</w:t>
            </w:r>
          </w:p>
        </w:tc>
        <w:tc>
          <w:tcPr>
            <w:tcW w:w="214" w:type="pct"/>
            <w:vAlign w:val="center"/>
          </w:tcPr>
          <w:p w:rsidR="00000000" w:rsidRDefault="004D2F83">
            <w:pPr>
              <w:snapToGrid w:val="0"/>
              <w:spacing w:line="400" w:lineRule="exact"/>
              <w:jc w:val="center"/>
              <w:rPr>
                <w:rFonts w:hint="eastAsia"/>
                <w:sz w:val="18"/>
              </w:rPr>
            </w:pPr>
          </w:p>
        </w:tc>
        <w:tc>
          <w:tcPr>
            <w:tcW w:w="844" w:type="pct"/>
            <w:vAlign w:val="center"/>
          </w:tcPr>
          <w:p w:rsidR="00000000" w:rsidRDefault="004D2F83">
            <w:pPr>
              <w:snapToGrid w:val="0"/>
              <w:spacing w:line="400" w:lineRule="exact"/>
              <w:jc w:val="center"/>
              <w:rPr>
                <w:sz w:val="18"/>
              </w:rPr>
            </w:pPr>
            <w:r>
              <w:rPr>
                <w:sz w:val="18"/>
              </w:rPr>
              <w:t>1978</w:t>
            </w:r>
          </w:p>
        </w:tc>
        <w:tc>
          <w:tcPr>
            <w:tcW w:w="844" w:type="pct"/>
            <w:vAlign w:val="center"/>
          </w:tcPr>
          <w:p w:rsidR="00000000" w:rsidRDefault="004D2F83">
            <w:pPr>
              <w:snapToGrid w:val="0"/>
              <w:spacing w:line="400" w:lineRule="exact"/>
              <w:jc w:val="center"/>
              <w:rPr>
                <w:rFonts w:hint="eastAsia"/>
                <w:sz w:val="18"/>
              </w:rPr>
            </w:pPr>
            <w:r>
              <w:rPr>
                <w:rFonts w:hint="eastAsia"/>
                <w:sz w:val="18"/>
              </w:rPr>
              <w:t>—</w:t>
            </w:r>
          </w:p>
        </w:tc>
        <w:tc>
          <w:tcPr>
            <w:tcW w:w="845" w:type="pct"/>
            <w:vAlign w:val="center"/>
          </w:tcPr>
          <w:p w:rsidR="00000000" w:rsidRDefault="004D2F83">
            <w:pPr>
              <w:snapToGrid w:val="0"/>
              <w:spacing w:line="400" w:lineRule="exact"/>
              <w:jc w:val="center"/>
              <w:rPr>
                <w:rFonts w:hint="eastAsia"/>
                <w:sz w:val="18"/>
              </w:rPr>
            </w:pPr>
            <w:r>
              <w:rPr>
                <w:rFonts w:hint="eastAsia"/>
                <w:sz w:val="18"/>
              </w:rPr>
              <w:t>20</w:t>
            </w:r>
          </w:p>
        </w:tc>
      </w:tr>
      <w:tr w:rsidR="00000000">
        <w:tblPrEx>
          <w:tblCellMar>
            <w:top w:w="0" w:type="dxa"/>
            <w:bottom w:w="0" w:type="dxa"/>
          </w:tblCellMar>
        </w:tblPrEx>
        <w:tc>
          <w:tcPr>
            <w:tcW w:w="714" w:type="pct"/>
            <w:vAlign w:val="center"/>
          </w:tcPr>
          <w:p w:rsidR="00000000" w:rsidRDefault="004D2F83">
            <w:pPr>
              <w:snapToGrid w:val="0"/>
              <w:spacing w:line="400" w:lineRule="exact"/>
              <w:jc w:val="center"/>
              <w:rPr>
                <w:rFonts w:hint="eastAsia"/>
                <w:sz w:val="18"/>
              </w:rPr>
            </w:pPr>
            <w:r>
              <w:rPr>
                <w:rFonts w:hint="eastAsia"/>
                <w:sz w:val="18"/>
              </w:rPr>
              <w:t>1954</w:t>
            </w:r>
          </w:p>
        </w:tc>
        <w:tc>
          <w:tcPr>
            <w:tcW w:w="769" w:type="pct"/>
            <w:vAlign w:val="center"/>
          </w:tcPr>
          <w:p w:rsidR="00000000" w:rsidRDefault="004D2F83">
            <w:pPr>
              <w:snapToGrid w:val="0"/>
              <w:spacing w:line="400" w:lineRule="exact"/>
              <w:jc w:val="center"/>
              <w:rPr>
                <w:rFonts w:hint="eastAsia"/>
                <w:sz w:val="18"/>
              </w:rPr>
            </w:pPr>
            <w:r>
              <w:rPr>
                <w:rFonts w:hint="eastAsia"/>
                <w:sz w:val="18"/>
              </w:rPr>
              <w:t>16</w:t>
            </w:r>
          </w:p>
        </w:tc>
        <w:tc>
          <w:tcPr>
            <w:tcW w:w="769" w:type="pct"/>
            <w:vAlign w:val="center"/>
          </w:tcPr>
          <w:p w:rsidR="00000000" w:rsidRDefault="004D2F83">
            <w:pPr>
              <w:snapToGrid w:val="0"/>
              <w:spacing w:line="400" w:lineRule="exact"/>
              <w:jc w:val="center"/>
              <w:rPr>
                <w:sz w:val="18"/>
              </w:rPr>
            </w:pPr>
            <w:r>
              <w:rPr>
                <w:sz w:val="18"/>
              </w:rPr>
              <w:t>7</w:t>
            </w:r>
          </w:p>
        </w:tc>
        <w:tc>
          <w:tcPr>
            <w:tcW w:w="214" w:type="pct"/>
            <w:vAlign w:val="center"/>
          </w:tcPr>
          <w:p w:rsidR="00000000" w:rsidRDefault="004D2F83">
            <w:pPr>
              <w:snapToGrid w:val="0"/>
              <w:spacing w:line="400" w:lineRule="exact"/>
              <w:jc w:val="center"/>
              <w:rPr>
                <w:rFonts w:hint="eastAsia"/>
                <w:sz w:val="18"/>
              </w:rPr>
            </w:pPr>
          </w:p>
        </w:tc>
        <w:tc>
          <w:tcPr>
            <w:tcW w:w="844" w:type="pct"/>
            <w:vAlign w:val="center"/>
          </w:tcPr>
          <w:p w:rsidR="00000000" w:rsidRDefault="004D2F83">
            <w:pPr>
              <w:snapToGrid w:val="0"/>
              <w:spacing w:line="400" w:lineRule="exact"/>
              <w:jc w:val="center"/>
              <w:rPr>
                <w:sz w:val="18"/>
              </w:rPr>
            </w:pPr>
            <w:r>
              <w:rPr>
                <w:sz w:val="18"/>
              </w:rPr>
              <w:t>1982</w:t>
            </w:r>
          </w:p>
        </w:tc>
        <w:tc>
          <w:tcPr>
            <w:tcW w:w="844" w:type="pct"/>
            <w:vAlign w:val="center"/>
          </w:tcPr>
          <w:p w:rsidR="00000000" w:rsidRDefault="004D2F83">
            <w:pPr>
              <w:snapToGrid w:val="0"/>
              <w:spacing w:line="400" w:lineRule="exact"/>
              <w:jc w:val="center"/>
              <w:rPr>
                <w:rFonts w:hint="eastAsia"/>
                <w:sz w:val="18"/>
              </w:rPr>
            </w:pPr>
            <w:r>
              <w:rPr>
                <w:rFonts w:hint="eastAsia"/>
                <w:sz w:val="18"/>
              </w:rPr>
              <w:t>132</w:t>
            </w:r>
          </w:p>
        </w:tc>
        <w:tc>
          <w:tcPr>
            <w:tcW w:w="845" w:type="pct"/>
            <w:vAlign w:val="center"/>
          </w:tcPr>
          <w:p w:rsidR="00000000" w:rsidRDefault="004D2F83">
            <w:pPr>
              <w:snapToGrid w:val="0"/>
              <w:spacing w:line="400" w:lineRule="exact"/>
              <w:jc w:val="center"/>
              <w:rPr>
                <w:rFonts w:hint="eastAsia"/>
                <w:sz w:val="18"/>
              </w:rPr>
            </w:pPr>
            <w:r>
              <w:rPr>
                <w:rFonts w:hint="eastAsia"/>
                <w:sz w:val="18"/>
              </w:rPr>
              <w:t>28</w:t>
            </w:r>
          </w:p>
        </w:tc>
      </w:tr>
      <w:tr w:rsidR="00000000">
        <w:tblPrEx>
          <w:tblCellMar>
            <w:top w:w="0" w:type="dxa"/>
            <w:bottom w:w="0" w:type="dxa"/>
          </w:tblCellMar>
        </w:tblPrEx>
        <w:tc>
          <w:tcPr>
            <w:tcW w:w="714" w:type="pct"/>
            <w:vAlign w:val="center"/>
          </w:tcPr>
          <w:p w:rsidR="00000000" w:rsidRDefault="004D2F83">
            <w:pPr>
              <w:snapToGrid w:val="0"/>
              <w:spacing w:line="400" w:lineRule="exact"/>
              <w:jc w:val="center"/>
              <w:rPr>
                <w:rFonts w:hint="eastAsia"/>
                <w:sz w:val="18"/>
              </w:rPr>
            </w:pPr>
            <w:r>
              <w:rPr>
                <w:rFonts w:hint="eastAsia"/>
                <w:sz w:val="18"/>
              </w:rPr>
              <w:t>1958</w:t>
            </w:r>
          </w:p>
        </w:tc>
        <w:tc>
          <w:tcPr>
            <w:tcW w:w="769" w:type="pct"/>
            <w:vAlign w:val="center"/>
          </w:tcPr>
          <w:p w:rsidR="00000000" w:rsidRDefault="004D2F83">
            <w:pPr>
              <w:snapToGrid w:val="0"/>
              <w:spacing w:line="400" w:lineRule="exact"/>
              <w:jc w:val="center"/>
              <w:rPr>
                <w:rFonts w:hint="eastAsia"/>
                <w:sz w:val="18"/>
              </w:rPr>
            </w:pPr>
            <w:r>
              <w:rPr>
                <w:rFonts w:hint="eastAsia"/>
                <w:sz w:val="18"/>
              </w:rPr>
              <w:t>39</w:t>
            </w:r>
          </w:p>
        </w:tc>
        <w:tc>
          <w:tcPr>
            <w:tcW w:w="769" w:type="pct"/>
            <w:vAlign w:val="center"/>
          </w:tcPr>
          <w:p w:rsidR="00000000" w:rsidRDefault="004D2F83">
            <w:pPr>
              <w:snapToGrid w:val="0"/>
              <w:spacing w:line="400" w:lineRule="exact"/>
              <w:jc w:val="center"/>
              <w:rPr>
                <w:sz w:val="18"/>
              </w:rPr>
            </w:pPr>
            <w:r>
              <w:rPr>
                <w:sz w:val="18"/>
              </w:rPr>
              <w:t>2</w:t>
            </w:r>
          </w:p>
        </w:tc>
        <w:tc>
          <w:tcPr>
            <w:tcW w:w="214" w:type="pct"/>
            <w:vAlign w:val="center"/>
          </w:tcPr>
          <w:p w:rsidR="00000000" w:rsidRDefault="004D2F83">
            <w:pPr>
              <w:snapToGrid w:val="0"/>
              <w:spacing w:line="400" w:lineRule="exact"/>
              <w:jc w:val="center"/>
              <w:rPr>
                <w:rFonts w:hint="eastAsia"/>
                <w:sz w:val="18"/>
              </w:rPr>
            </w:pPr>
          </w:p>
        </w:tc>
        <w:tc>
          <w:tcPr>
            <w:tcW w:w="844" w:type="pct"/>
            <w:vAlign w:val="center"/>
          </w:tcPr>
          <w:p w:rsidR="00000000" w:rsidRDefault="004D2F83">
            <w:pPr>
              <w:snapToGrid w:val="0"/>
              <w:spacing w:line="400" w:lineRule="exact"/>
              <w:jc w:val="center"/>
              <w:rPr>
                <w:sz w:val="18"/>
              </w:rPr>
            </w:pPr>
            <w:r>
              <w:rPr>
                <w:sz w:val="18"/>
              </w:rPr>
              <w:t>1986</w:t>
            </w:r>
          </w:p>
        </w:tc>
        <w:tc>
          <w:tcPr>
            <w:tcW w:w="844" w:type="pct"/>
            <w:vAlign w:val="center"/>
          </w:tcPr>
          <w:p w:rsidR="00000000" w:rsidRDefault="004D2F83">
            <w:pPr>
              <w:snapToGrid w:val="0"/>
              <w:spacing w:line="400" w:lineRule="exact"/>
              <w:jc w:val="center"/>
              <w:rPr>
                <w:rFonts w:hint="eastAsia"/>
                <w:sz w:val="18"/>
              </w:rPr>
            </w:pPr>
            <w:r>
              <w:rPr>
                <w:rFonts w:hint="eastAsia"/>
                <w:sz w:val="18"/>
              </w:rPr>
              <w:t>385</w:t>
            </w:r>
          </w:p>
        </w:tc>
        <w:tc>
          <w:tcPr>
            <w:tcW w:w="845" w:type="pct"/>
            <w:vAlign w:val="center"/>
          </w:tcPr>
          <w:p w:rsidR="00000000" w:rsidRDefault="004D2F83">
            <w:pPr>
              <w:snapToGrid w:val="0"/>
              <w:spacing w:line="400" w:lineRule="exact"/>
              <w:jc w:val="center"/>
              <w:rPr>
                <w:rFonts w:hint="eastAsia"/>
                <w:sz w:val="18"/>
              </w:rPr>
            </w:pPr>
            <w:r>
              <w:rPr>
                <w:rFonts w:hint="eastAsia"/>
                <w:sz w:val="18"/>
              </w:rPr>
              <w:t>31</w:t>
            </w:r>
          </w:p>
        </w:tc>
      </w:tr>
      <w:tr w:rsidR="00000000">
        <w:tblPrEx>
          <w:tblCellMar>
            <w:top w:w="0" w:type="dxa"/>
            <w:bottom w:w="0" w:type="dxa"/>
          </w:tblCellMar>
        </w:tblPrEx>
        <w:tc>
          <w:tcPr>
            <w:tcW w:w="714" w:type="pct"/>
            <w:vAlign w:val="center"/>
          </w:tcPr>
          <w:p w:rsidR="00000000" w:rsidRDefault="004D2F83">
            <w:pPr>
              <w:snapToGrid w:val="0"/>
              <w:spacing w:line="400" w:lineRule="exact"/>
              <w:jc w:val="center"/>
              <w:rPr>
                <w:rFonts w:hint="eastAsia"/>
                <w:sz w:val="18"/>
              </w:rPr>
            </w:pPr>
            <w:r>
              <w:rPr>
                <w:rFonts w:hint="eastAsia"/>
                <w:sz w:val="18"/>
              </w:rPr>
              <w:t>1962</w:t>
            </w:r>
          </w:p>
        </w:tc>
        <w:tc>
          <w:tcPr>
            <w:tcW w:w="769" w:type="pct"/>
            <w:vAlign w:val="center"/>
          </w:tcPr>
          <w:p w:rsidR="00000000" w:rsidRDefault="004D2F83">
            <w:pPr>
              <w:snapToGrid w:val="0"/>
              <w:spacing w:line="400" w:lineRule="exact"/>
              <w:jc w:val="center"/>
              <w:rPr>
                <w:rFonts w:hint="eastAsia"/>
                <w:sz w:val="18"/>
              </w:rPr>
            </w:pPr>
            <w:r>
              <w:rPr>
                <w:rFonts w:hint="eastAsia"/>
                <w:sz w:val="18"/>
              </w:rPr>
              <w:t>92</w:t>
            </w:r>
          </w:p>
        </w:tc>
        <w:tc>
          <w:tcPr>
            <w:tcW w:w="769" w:type="pct"/>
            <w:vAlign w:val="center"/>
          </w:tcPr>
          <w:p w:rsidR="00000000" w:rsidRDefault="004D2F83">
            <w:pPr>
              <w:snapToGrid w:val="0"/>
              <w:spacing w:line="400" w:lineRule="exact"/>
              <w:jc w:val="center"/>
              <w:rPr>
                <w:sz w:val="18"/>
              </w:rPr>
            </w:pPr>
            <w:r>
              <w:rPr>
                <w:sz w:val="18"/>
              </w:rPr>
              <w:t>11</w:t>
            </w:r>
          </w:p>
        </w:tc>
        <w:tc>
          <w:tcPr>
            <w:tcW w:w="214" w:type="pct"/>
            <w:vAlign w:val="center"/>
          </w:tcPr>
          <w:p w:rsidR="00000000" w:rsidRDefault="004D2F83">
            <w:pPr>
              <w:snapToGrid w:val="0"/>
              <w:spacing w:line="400" w:lineRule="exact"/>
              <w:jc w:val="center"/>
              <w:rPr>
                <w:rFonts w:hint="eastAsia"/>
                <w:sz w:val="18"/>
              </w:rPr>
            </w:pPr>
          </w:p>
        </w:tc>
        <w:tc>
          <w:tcPr>
            <w:tcW w:w="844" w:type="pct"/>
            <w:vAlign w:val="center"/>
          </w:tcPr>
          <w:p w:rsidR="00000000" w:rsidRDefault="004D2F83">
            <w:pPr>
              <w:snapToGrid w:val="0"/>
              <w:spacing w:line="400" w:lineRule="exact"/>
              <w:jc w:val="center"/>
              <w:rPr>
                <w:sz w:val="18"/>
              </w:rPr>
            </w:pPr>
            <w:r>
              <w:rPr>
                <w:sz w:val="18"/>
              </w:rPr>
              <w:t>1990</w:t>
            </w:r>
          </w:p>
        </w:tc>
        <w:tc>
          <w:tcPr>
            <w:tcW w:w="844" w:type="pct"/>
            <w:vAlign w:val="center"/>
          </w:tcPr>
          <w:p w:rsidR="00000000" w:rsidRDefault="004D2F83">
            <w:pPr>
              <w:snapToGrid w:val="0"/>
              <w:spacing w:line="400" w:lineRule="exact"/>
              <w:jc w:val="center"/>
              <w:rPr>
                <w:rFonts w:hint="eastAsia"/>
                <w:sz w:val="18"/>
              </w:rPr>
            </w:pPr>
            <w:r>
              <w:rPr>
                <w:rFonts w:hint="eastAsia"/>
                <w:sz w:val="18"/>
              </w:rPr>
              <w:t>—</w:t>
            </w:r>
          </w:p>
        </w:tc>
        <w:tc>
          <w:tcPr>
            <w:tcW w:w="845" w:type="pct"/>
            <w:vAlign w:val="center"/>
          </w:tcPr>
          <w:p w:rsidR="00000000" w:rsidRDefault="004D2F83">
            <w:pPr>
              <w:snapToGrid w:val="0"/>
              <w:spacing w:line="400" w:lineRule="exact"/>
              <w:jc w:val="center"/>
              <w:rPr>
                <w:rFonts w:hint="eastAsia"/>
                <w:sz w:val="18"/>
              </w:rPr>
            </w:pPr>
            <w:r>
              <w:rPr>
                <w:rFonts w:hint="eastAsia"/>
                <w:sz w:val="18"/>
              </w:rPr>
              <w:t>58</w:t>
            </w:r>
          </w:p>
        </w:tc>
      </w:tr>
      <w:tr w:rsidR="00000000">
        <w:tblPrEx>
          <w:tblCellMar>
            <w:top w:w="0" w:type="dxa"/>
            <w:bottom w:w="0" w:type="dxa"/>
          </w:tblCellMar>
        </w:tblPrEx>
        <w:tc>
          <w:tcPr>
            <w:tcW w:w="714" w:type="pct"/>
            <w:vAlign w:val="center"/>
          </w:tcPr>
          <w:p w:rsidR="00000000" w:rsidRDefault="004D2F83">
            <w:pPr>
              <w:snapToGrid w:val="0"/>
              <w:spacing w:line="400" w:lineRule="exact"/>
              <w:jc w:val="center"/>
              <w:rPr>
                <w:rFonts w:hint="eastAsia"/>
                <w:sz w:val="18"/>
              </w:rPr>
            </w:pPr>
            <w:r>
              <w:rPr>
                <w:rFonts w:hint="eastAsia"/>
                <w:sz w:val="18"/>
              </w:rPr>
              <w:t>1965</w:t>
            </w:r>
          </w:p>
        </w:tc>
        <w:tc>
          <w:tcPr>
            <w:tcW w:w="769" w:type="pct"/>
            <w:vAlign w:val="center"/>
          </w:tcPr>
          <w:p w:rsidR="00000000" w:rsidRDefault="004D2F83">
            <w:pPr>
              <w:snapToGrid w:val="0"/>
              <w:spacing w:line="400" w:lineRule="exact"/>
              <w:jc w:val="center"/>
              <w:rPr>
                <w:rFonts w:hint="eastAsia"/>
                <w:sz w:val="18"/>
              </w:rPr>
            </w:pPr>
            <w:r>
              <w:rPr>
                <w:rFonts w:hint="eastAsia"/>
                <w:sz w:val="18"/>
              </w:rPr>
              <w:t>39</w:t>
            </w:r>
          </w:p>
        </w:tc>
        <w:tc>
          <w:tcPr>
            <w:tcW w:w="769" w:type="pct"/>
            <w:vAlign w:val="center"/>
          </w:tcPr>
          <w:p w:rsidR="00000000" w:rsidRDefault="004D2F83">
            <w:pPr>
              <w:snapToGrid w:val="0"/>
              <w:spacing w:line="400" w:lineRule="exact"/>
              <w:jc w:val="center"/>
              <w:rPr>
                <w:sz w:val="18"/>
              </w:rPr>
            </w:pPr>
            <w:r>
              <w:rPr>
                <w:sz w:val="18"/>
              </w:rPr>
              <w:t>11</w:t>
            </w:r>
          </w:p>
        </w:tc>
        <w:tc>
          <w:tcPr>
            <w:tcW w:w="214" w:type="pct"/>
            <w:vAlign w:val="center"/>
          </w:tcPr>
          <w:p w:rsidR="00000000" w:rsidRDefault="004D2F83">
            <w:pPr>
              <w:snapToGrid w:val="0"/>
              <w:spacing w:line="400" w:lineRule="exact"/>
              <w:jc w:val="center"/>
              <w:rPr>
                <w:rFonts w:hint="eastAsia"/>
                <w:sz w:val="18"/>
              </w:rPr>
            </w:pPr>
          </w:p>
        </w:tc>
        <w:tc>
          <w:tcPr>
            <w:tcW w:w="844" w:type="pct"/>
            <w:vAlign w:val="center"/>
          </w:tcPr>
          <w:p w:rsidR="00000000" w:rsidRDefault="004D2F83">
            <w:pPr>
              <w:snapToGrid w:val="0"/>
              <w:spacing w:line="400" w:lineRule="exact"/>
              <w:jc w:val="center"/>
              <w:rPr>
                <w:sz w:val="18"/>
              </w:rPr>
            </w:pPr>
            <w:r>
              <w:rPr>
                <w:sz w:val="18"/>
              </w:rPr>
              <w:t>1994</w:t>
            </w:r>
          </w:p>
        </w:tc>
        <w:tc>
          <w:tcPr>
            <w:tcW w:w="844" w:type="pct"/>
            <w:vAlign w:val="center"/>
          </w:tcPr>
          <w:p w:rsidR="00000000" w:rsidRDefault="004D2F83">
            <w:pPr>
              <w:snapToGrid w:val="0"/>
              <w:spacing w:line="400" w:lineRule="exact"/>
              <w:jc w:val="center"/>
              <w:rPr>
                <w:rFonts w:hint="eastAsia"/>
                <w:sz w:val="18"/>
              </w:rPr>
            </w:pPr>
            <w:r>
              <w:rPr>
                <w:rFonts w:hint="eastAsia"/>
                <w:sz w:val="18"/>
              </w:rPr>
              <w:t>613</w:t>
            </w:r>
          </w:p>
        </w:tc>
        <w:tc>
          <w:tcPr>
            <w:tcW w:w="845" w:type="pct"/>
            <w:vAlign w:val="center"/>
          </w:tcPr>
          <w:p w:rsidR="00000000" w:rsidRDefault="004D2F83">
            <w:pPr>
              <w:snapToGrid w:val="0"/>
              <w:spacing w:line="400" w:lineRule="exact"/>
              <w:jc w:val="center"/>
              <w:rPr>
                <w:rFonts w:hint="eastAsia"/>
                <w:sz w:val="18"/>
              </w:rPr>
            </w:pPr>
            <w:r>
              <w:rPr>
                <w:rFonts w:hint="eastAsia"/>
                <w:sz w:val="18"/>
              </w:rPr>
              <w:t>—</w:t>
            </w:r>
          </w:p>
        </w:tc>
      </w:tr>
      <w:tr w:rsidR="00000000">
        <w:tblPrEx>
          <w:tblCellMar>
            <w:top w:w="0" w:type="dxa"/>
            <w:bottom w:w="0" w:type="dxa"/>
          </w:tblCellMar>
        </w:tblPrEx>
        <w:tc>
          <w:tcPr>
            <w:tcW w:w="714" w:type="pct"/>
            <w:vAlign w:val="center"/>
          </w:tcPr>
          <w:p w:rsidR="00000000" w:rsidRDefault="004D2F83">
            <w:pPr>
              <w:snapToGrid w:val="0"/>
              <w:spacing w:line="400" w:lineRule="exact"/>
              <w:jc w:val="center"/>
              <w:rPr>
                <w:rFonts w:hint="eastAsia"/>
                <w:sz w:val="18"/>
              </w:rPr>
            </w:pPr>
            <w:r>
              <w:rPr>
                <w:rFonts w:hint="eastAsia"/>
                <w:sz w:val="18"/>
              </w:rPr>
              <w:t>1970</w:t>
            </w:r>
          </w:p>
        </w:tc>
        <w:tc>
          <w:tcPr>
            <w:tcW w:w="769" w:type="pct"/>
            <w:vAlign w:val="center"/>
          </w:tcPr>
          <w:p w:rsidR="00000000" w:rsidRDefault="004D2F83">
            <w:pPr>
              <w:snapToGrid w:val="0"/>
              <w:spacing w:line="400" w:lineRule="exact"/>
              <w:jc w:val="center"/>
              <w:rPr>
                <w:rFonts w:hint="eastAsia"/>
                <w:sz w:val="18"/>
              </w:rPr>
            </w:pPr>
            <w:r>
              <w:rPr>
                <w:rFonts w:hint="eastAsia"/>
                <w:sz w:val="18"/>
              </w:rPr>
              <w:t>38</w:t>
            </w:r>
          </w:p>
        </w:tc>
        <w:tc>
          <w:tcPr>
            <w:tcW w:w="769" w:type="pct"/>
            <w:vAlign w:val="center"/>
          </w:tcPr>
          <w:p w:rsidR="00000000" w:rsidRDefault="004D2F83">
            <w:pPr>
              <w:snapToGrid w:val="0"/>
              <w:spacing w:line="400" w:lineRule="exact"/>
              <w:jc w:val="center"/>
              <w:rPr>
                <w:sz w:val="18"/>
              </w:rPr>
            </w:pPr>
            <w:r>
              <w:rPr>
                <w:sz w:val="18"/>
              </w:rPr>
              <w:t>8</w:t>
            </w:r>
          </w:p>
        </w:tc>
        <w:tc>
          <w:tcPr>
            <w:tcW w:w="214" w:type="pct"/>
            <w:vAlign w:val="center"/>
          </w:tcPr>
          <w:p w:rsidR="00000000" w:rsidRDefault="004D2F83">
            <w:pPr>
              <w:snapToGrid w:val="0"/>
              <w:spacing w:line="400" w:lineRule="exact"/>
              <w:jc w:val="center"/>
              <w:rPr>
                <w:rFonts w:hint="eastAsia"/>
                <w:sz w:val="18"/>
              </w:rPr>
            </w:pPr>
          </w:p>
        </w:tc>
        <w:tc>
          <w:tcPr>
            <w:tcW w:w="844" w:type="pct"/>
            <w:vAlign w:val="center"/>
          </w:tcPr>
          <w:p w:rsidR="00000000" w:rsidRDefault="004D2F83">
            <w:pPr>
              <w:snapToGrid w:val="0"/>
              <w:spacing w:line="400" w:lineRule="exact"/>
              <w:jc w:val="center"/>
              <w:rPr>
                <w:sz w:val="18"/>
              </w:rPr>
            </w:pPr>
            <w:r>
              <w:rPr>
                <w:sz w:val="18"/>
              </w:rPr>
              <w:t>1998</w:t>
            </w:r>
          </w:p>
        </w:tc>
        <w:tc>
          <w:tcPr>
            <w:tcW w:w="844" w:type="pct"/>
            <w:vAlign w:val="center"/>
          </w:tcPr>
          <w:p w:rsidR="00000000" w:rsidRDefault="004D2F83">
            <w:pPr>
              <w:snapToGrid w:val="0"/>
              <w:spacing w:line="400" w:lineRule="exact"/>
              <w:jc w:val="center"/>
              <w:rPr>
                <w:rFonts w:hint="eastAsia"/>
                <w:sz w:val="18"/>
              </w:rPr>
            </w:pPr>
            <w:r>
              <w:rPr>
                <w:rFonts w:hint="eastAsia"/>
                <w:sz w:val="18"/>
              </w:rPr>
              <w:t>1388</w:t>
            </w:r>
          </w:p>
        </w:tc>
        <w:tc>
          <w:tcPr>
            <w:tcW w:w="845" w:type="pct"/>
            <w:vAlign w:val="center"/>
          </w:tcPr>
          <w:p w:rsidR="00000000" w:rsidRDefault="004D2F83">
            <w:pPr>
              <w:snapToGrid w:val="0"/>
              <w:spacing w:line="400" w:lineRule="exact"/>
              <w:jc w:val="center"/>
              <w:rPr>
                <w:rFonts w:hint="eastAsia"/>
                <w:sz w:val="18"/>
              </w:rPr>
            </w:pPr>
            <w:r>
              <w:rPr>
                <w:rFonts w:hint="eastAsia"/>
                <w:sz w:val="18"/>
              </w:rPr>
              <w:t>107</w:t>
            </w:r>
          </w:p>
        </w:tc>
      </w:tr>
    </w:tbl>
    <w:p w:rsidR="00000000" w:rsidRDefault="004D2F83">
      <w:pPr>
        <w:snapToGrid w:val="0"/>
        <w:spacing w:after="240" w:line="360" w:lineRule="exact"/>
        <w:rPr>
          <w:rFonts w:hint="eastAsia"/>
        </w:rPr>
      </w:pPr>
      <w:r>
        <w:rPr>
          <w:rFonts w:eastAsia="SimHei" w:hint="eastAsia"/>
          <w:sz w:val="18"/>
        </w:rPr>
        <w:t>资料来源</w:t>
      </w:r>
      <w:r>
        <w:rPr>
          <w:rFonts w:hint="eastAsia"/>
          <w:sz w:val="18"/>
        </w:rPr>
        <w:t>：最高选举法院。</w:t>
      </w:r>
    </w:p>
    <w:p w:rsidR="00000000" w:rsidRDefault="004D2F83">
      <w:pPr>
        <w:snapToGrid w:val="0"/>
        <w:spacing w:after="240" w:line="360" w:lineRule="exact"/>
        <w:rPr>
          <w:rFonts w:eastAsia="SimHei" w:hint="eastAsia"/>
          <w:sz w:val="24"/>
        </w:rPr>
      </w:pPr>
      <w:r>
        <w:rPr>
          <w:rFonts w:eastAsia="SimHei" w:hint="eastAsia"/>
          <w:sz w:val="24"/>
        </w:rPr>
        <w:t>市级法律</w:t>
      </w:r>
    </w:p>
    <w:p w:rsidR="00000000" w:rsidRDefault="004D2F83" w:rsidP="004D2F83">
      <w:pPr>
        <w:snapToGrid w:val="0"/>
        <w:spacing w:after="240" w:line="340" w:lineRule="exact"/>
        <w:ind w:firstLineChars="200" w:firstLine="31680"/>
        <w:rPr>
          <w:rFonts w:hint="eastAsia"/>
        </w:rPr>
      </w:pPr>
      <w:r>
        <w:rPr>
          <w:rFonts w:hint="eastAsia"/>
        </w:rPr>
        <w:t>一般说来，关于巴西</w:t>
      </w:r>
      <w:r>
        <w:rPr>
          <w:rFonts w:hint="eastAsia"/>
        </w:rPr>
        <w:t>5 560</w:t>
      </w:r>
      <w:r>
        <w:rPr>
          <w:rFonts w:hint="eastAsia"/>
        </w:rPr>
        <w:t>个城市的立法机构的活动方面的信息并不多。具体到有关性别和种族</w:t>
      </w:r>
      <w:r>
        <w:rPr>
          <w:rFonts w:hint="eastAsia"/>
        </w:rPr>
        <w:t>/</w:t>
      </w:r>
      <w:r>
        <w:rPr>
          <w:rFonts w:hint="eastAsia"/>
        </w:rPr>
        <w:t>民族的信息，相关数据就更少了。</w:t>
      </w:r>
    </w:p>
    <w:p w:rsidR="00000000" w:rsidRDefault="004D2F83" w:rsidP="004D2F83">
      <w:pPr>
        <w:snapToGrid w:val="0"/>
        <w:spacing w:after="240" w:line="340" w:lineRule="exact"/>
        <w:ind w:firstLineChars="200" w:firstLine="31680"/>
        <w:rPr>
          <w:rFonts w:hint="eastAsia"/>
        </w:rPr>
      </w:pPr>
      <w:r>
        <w:rPr>
          <w:rFonts w:hint="eastAsia"/>
        </w:rPr>
        <w:t>露西娅·阿韦</w:t>
      </w:r>
      <w:r>
        <w:rPr>
          <w:rFonts w:hint="eastAsia"/>
        </w:rPr>
        <w:t>拉尔指出，巴西城市管理学院（</w:t>
      </w:r>
      <w:r>
        <w:rPr>
          <w:rFonts w:hint="eastAsia"/>
        </w:rPr>
        <w:t>IBAM</w:t>
      </w:r>
      <w:r>
        <w:rPr>
          <w:rFonts w:hint="eastAsia"/>
        </w:rPr>
        <w:t>）在</w:t>
      </w:r>
      <w:r>
        <w:rPr>
          <w:rFonts w:hint="eastAsia"/>
        </w:rPr>
        <w:t>1997</w:t>
      </w:r>
      <w:r>
        <w:rPr>
          <w:rFonts w:hint="eastAsia"/>
        </w:rPr>
        <w:t>年开展的调查表明，在市立法机构中，当选的女委员的人数已从</w:t>
      </w:r>
      <w:r>
        <w:rPr>
          <w:rFonts w:hint="eastAsia"/>
        </w:rPr>
        <w:t>1992</w:t>
      </w:r>
      <w:r>
        <w:rPr>
          <w:rFonts w:hint="eastAsia"/>
        </w:rPr>
        <w:t>年</w:t>
      </w:r>
      <w:r>
        <w:rPr>
          <w:rFonts w:hint="eastAsia"/>
        </w:rPr>
        <w:t>3 952</w:t>
      </w:r>
      <w:r>
        <w:rPr>
          <w:rFonts w:hint="eastAsia"/>
        </w:rPr>
        <w:t>人增加到了</w:t>
      </w:r>
      <w:r>
        <w:rPr>
          <w:rFonts w:hint="eastAsia"/>
        </w:rPr>
        <w:t>1996</w:t>
      </w:r>
      <w:r>
        <w:rPr>
          <w:rFonts w:hint="eastAsia"/>
        </w:rPr>
        <w:t>年的</w:t>
      </w:r>
      <w:r>
        <w:rPr>
          <w:rFonts w:hint="eastAsia"/>
        </w:rPr>
        <w:t>6 436</w:t>
      </w:r>
      <w:r>
        <w:rPr>
          <w:rFonts w:hint="eastAsia"/>
        </w:rPr>
        <w:t>人。各地区的增长幅度不尽相同。以往女委员人数最少的中西部地区增长幅度较大，女委员从</w:t>
      </w:r>
      <w:r>
        <w:rPr>
          <w:rFonts w:hint="eastAsia"/>
        </w:rPr>
        <w:t>157</w:t>
      </w:r>
      <w:r>
        <w:rPr>
          <w:rFonts w:hint="eastAsia"/>
        </w:rPr>
        <w:t>人激增到</w:t>
      </w:r>
      <w:r>
        <w:rPr>
          <w:rFonts w:hint="eastAsia"/>
        </w:rPr>
        <w:t>555</w:t>
      </w:r>
      <w:r>
        <w:rPr>
          <w:rFonts w:hint="eastAsia"/>
        </w:rPr>
        <w:t>人。南部地区的增长也很显著：从</w:t>
      </w:r>
      <w:r>
        <w:rPr>
          <w:rFonts w:hint="eastAsia"/>
        </w:rPr>
        <w:t>1992</w:t>
      </w:r>
      <w:r>
        <w:rPr>
          <w:rFonts w:hint="eastAsia"/>
        </w:rPr>
        <w:t>年的</w:t>
      </w:r>
      <w:r>
        <w:rPr>
          <w:rFonts w:hint="eastAsia"/>
        </w:rPr>
        <w:t>537</w:t>
      </w:r>
      <w:r>
        <w:rPr>
          <w:rFonts w:hint="eastAsia"/>
        </w:rPr>
        <w:t>人增长到</w:t>
      </w:r>
      <w:r>
        <w:rPr>
          <w:rFonts w:hint="eastAsia"/>
        </w:rPr>
        <w:t>1996</w:t>
      </w:r>
      <w:r>
        <w:rPr>
          <w:rFonts w:hint="eastAsia"/>
        </w:rPr>
        <w:t>年的</w:t>
      </w:r>
      <w:r>
        <w:rPr>
          <w:rFonts w:hint="eastAsia"/>
        </w:rPr>
        <w:t>1 096</w:t>
      </w:r>
      <w:r>
        <w:rPr>
          <w:rFonts w:hint="eastAsia"/>
        </w:rPr>
        <w:t>人（增幅为</w:t>
      </w:r>
      <w:r>
        <w:rPr>
          <w:rFonts w:hint="eastAsia"/>
        </w:rPr>
        <w:t>104</w:t>
      </w:r>
      <w:r>
        <w:t>.1%</w:t>
      </w:r>
      <w:r>
        <w:rPr>
          <w:rFonts w:hint="eastAsia"/>
        </w:rPr>
        <w:t>）。前几年曾记录下有意义数据的北部和东南部地区都出现了</w:t>
      </w:r>
      <w:r>
        <w:rPr>
          <w:rFonts w:hint="eastAsia"/>
        </w:rPr>
        <w:t>50%</w:t>
      </w:r>
      <w:r>
        <w:rPr>
          <w:rFonts w:hint="eastAsia"/>
        </w:rPr>
        <w:t>左右的增幅。妇女在市立法机构中的总体参与程度从</w:t>
      </w:r>
      <w:r>
        <w:rPr>
          <w:rFonts w:hint="eastAsia"/>
        </w:rPr>
        <w:t>1992</w:t>
      </w:r>
      <w:r>
        <w:rPr>
          <w:rFonts w:hint="eastAsia"/>
        </w:rPr>
        <w:t>年的</w:t>
      </w:r>
      <w:r>
        <w:t>7.4%</w:t>
      </w:r>
      <w:r>
        <w:rPr>
          <w:rFonts w:hint="eastAsia"/>
        </w:rPr>
        <w:t>上升到</w:t>
      </w:r>
      <w:r>
        <w:rPr>
          <w:rFonts w:hint="eastAsia"/>
        </w:rPr>
        <w:t>1996</w:t>
      </w:r>
      <w:r>
        <w:rPr>
          <w:rFonts w:hint="eastAsia"/>
        </w:rPr>
        <w:t>年的</w:t>
      </w:r>
      <w:r>
        <w:t>11.0</w:t>
      </w:r>
      <w:r>
        <w:rPr>
          <w:rFonts w:hint="eastAsia"/>
        </w:rPr>
        <w:t>%</w:t>
      </w:r>
      <w:r>
        <w:rPr>
          <w:rFonts w:hint="eastAsia"/>
        </w:rPr>
        <w:t>。</w:t>
      </w:r>
    </w:p>
    <w:p w:rsidR="00000000" w:rsidRDefault="004D2F83" w:rsidP="004D2F83">
      <w:pPr>
        <w:snapToGrid w:val="0"/>
        <w:spacing w:after="240" w:line="340" w:lineRule="exact"/>
        <w:ind w:firstLineChars="200" w:firstLine="31680"/>
        <w:rPr>
          <w:rFonts w:hint="eastAsia"/>
        </w:rPr>
      </w:pPr>
      <w:r>
        <w:rPr>
          <w:rFonts w:hint="eastAsia"/>
        </w:rPr>
        <w:t>在</w:t>
      </w:r>
      <w:r>
        <w:rPr>
          <w:rFonts w:hint="eastAsia"/>
        </w:rPr>
        <w:t>2000</w:t>
      </w:r>
      <w:r>
        <w:rPr>
          <w:rFonts w:hint="eastAsia"/>
        </w:rPr>
        <w:t>年选举中，有</w:t>
      </w:r>
      <w:r>
        <w:rPr>
          <w:rFonts w:hint="eastAsia"/>
        </w:rPr>
        <w:t>70 321</w:t>
      </w:r>
      <w:r>
        <w:rPr>
          <w:rFonts w:hint="eastAsia"/>
        </w:rPr>
        <w:t>名妇女竞选各个市政委员会的职位，其中</w:t>
      </w:r>
      <w:r>
        <w:rPr>
          <w:rFonts w:hint="eastAsia"/>
        </w:rPr>
        <w:t>7000</w:t>
      </w:r>
      <w:r>
        <w:rPr>
          <w:rFonts w:hint="eastAsia"/>
        </w:rPr>
        <w:t>人当选。男性候选人总数为</w:t>
      </w:r>
      <w:r>
        <w:rPr>
          <w:rFonts w:hint="eastAsia"/>
        </w:rPr>
        <w:t>296 902</w:t>
      </w:r>
      <w:r>
        <w:rPr>
          <w:rFonts w:hint="eastAsia"/>
        </w:rPr>
        <w:t>人，其中</w:t>
      </w:r>
      <w:r>
        <w:rPr>
          <w:rFonts w:hint="eastAsia"/>
        </w:rPr>
        <w:t>53 257</w:t>
      </w:r>
      <w:r>
        <w:rPr>
          <w:rFonts w:hint="eastAsia"/>
        </w:rPr>
        <w:t>人当选。东北部地区的女委员人数最多，占委员总数的</w:t>
      </w:r>
      <w:r>
        <w:t>36.7</w:t>
      </w:r>
      <w:r>
        <w:rPr>
          <w:rFonts w:hint="eastAsia"/>
        </w:rPr>
        <w:t>%</w:t>
      </w:r>
      <w:r>
        <w:rPr>
          <w:rFonts w:hint="eastAsia"/>
        </w:rPr>
        <w:t>，其次为南部地区，占</w:t>
      </w:r>
      <w:r>
        <w:t>27.9</w:t>
      </w:r>
      <w:r>
        <w:rPr>
          <w:rFonts w:hint="eastAsia"/>
        </w:rPr>
        <w:t>%</w:t>
      </w:r>
      <w:r>
        <w:rPr>
          <w:rFonts w:hint="eastAsia"/>
        </w:rPr>
        <w:t>。南部各州有</w:t>
      </w:r>
      <w:r>
        <w:t>17.8</w:t>
      </w:r>
      <w:r>
        <w:rPr>
          <w:rFonts w:hint="eastAsia"/>
        </w:rPr>
        <w:t>%</w:t>
      </w:r>
      <w:r>
        <w:rPr>
          <w:rFonts w:hint="eastAsia"/>
        </w:rPr>
        <w:t>的候选人当选，北部与中西部地区分别有</w:t>
      </w:r>
      <w:r>
        <w:t>8.9</w:t>
      </w:r>
      <w:r>
        <w:rPr>
          <w:rFonts w:hint="eastAsia"/>
        </w:rPr>
        <w:t>%</w:t>
      </w:r>
      <w:r>
        <w:rPr>
          <w:rFonts w:hint="eastAsia"/>
        </w:rPr>
        <w:t>和</w:t>
      </w:r>
      <w:r>
        <w:t>8.7</w:t>
      </w:r>
      <w:r>
        <w:rPr>
          <w:rFonts w:hint="eastAsia"/>
        </w:rPr>
        <w:t>%</w:t>
      </w:r>
      <w:r>
        <w:rPr>
          <w:rFonts w:hint="eastAsia"/>
        </w:rPr>
        <w:t>的候选人当选。</w:t>
      </w:r>
    </w:p>
    <w:p w:rsidR="00000000" w:rsidRDefault="004D2F83" w:rsidP="004D2F83">
      <w:pPr>
        <w:snapToGrid w:val="0"/>
        <w:spacing w:after="240" w:line="340" w:lineRule="exact"/>
        <w:ind w:firstLineChars="200" w:firstLine="31680"/>
        <w:rPr>
          <w:rFonts w:hint="eastAsia"/>
        </w:rPr>
      </w:pPr>
      <w:r>
        <w:rPr>
          <w:rFonts w:hint="eastAsia"/>
        </w:rPr>
        <w:t>随着为巴西立法机构的比例选举规定了男女百分比的法律得到批准，关于肯定行动的讨论，特别是关于限额制度的讨论，赢得了更广泛的支持。到目前为止，有关承担管理职位的男女比例的规定已经写入了许多政党和工</w:t>
      </w:r>
      <w:r>
        <w:rPr>
          <w:rFonts w:hint="eastAsia"/>
        </w:rPr>
        <w:t>会的章程和内部条规。在行政机构和司法机构内部执行肯定措施、特别是通过限额机制来执行肯定措施的讨论目前正在进行当中，以便这一政策扩展到种族问题上。</w:t>
      </w:r>
    </w:p>
    <w:p w:rsidR="00000000" w:rsidRDefault="004D2F83" w:rsidP="004D2F83">
      <w:pPr>
        <w:snapToGrid w:val="0"/>
        <w:spacing w:after="240" w:line="340" w:lineRule="exact"/>
        <w:ind w:firstLineChars="200" w:firstLine="31680"/>
        <w:rPr>
          <w:rFonts w:hint="eastAsia"/>
        </w:rPr>
      </w:pPr>
      <w:r>
        <w:rPr>
          <w:rFonts w:hint="eastAsia"/>
        </w:rPr>
        <w:t>在立法领域，必须注意到两个问题：（</w:t>
      </w:r>
      <w:r>
        <w:rPr>
          <w:rFonts w:hint="eastAsia"/>
        </w:rPr>
        <w:t>1</w:t>
      </w:r>
      <w:r>
        <w:rPr>
          <w:rFonts w:hint="eastAsia"/>
        </w:rPr>
        <w:t>）由于从</w:t>
      </w:r>
      <w:r>
        <w:rPr>
          <w:rFonts w:hint="eastAsia"/>
        </w:rPr>
        <w:t>1997</w:t>
      </w:r>
      <w:r>
        <w:rPr>
          <w:rFonts w:hint="eastAsia"/>
        </w:rPr>
        <w:t>年才开始规定必须在候选人登记表上标明性别，要收集有关妇女参政情况的以往数据和信息，会很困难；（</w:t>
      </w:r>
      <w:r>
        <w:rPr>
          <w:rFonts w:hint="eastAsia"/>
        </w:rPr>
        <w:t>2</w:t>
      </w:r>
      <w:r>
        <w:rPr>
          <w:rFonts w:hint="eastAsia"/>
        </w:rPr>
        <w:t>）国民议会正在审议的大量立法议案均建议在立法、司法和行政机构的各级决策部门采纳限额制度和其他肯定行动。</w:t>
      </w:r>
    </w:p>
    <w:p w:rsidR="00000000" w:rsidRDefault="004D2F83" w:rsidP="004D2F83">
      <w:pPr>
        <w:snapToGrid w:val="0"/>
        <w:spacing w:after="240" w:line="340" w:lineRule="exact"/>
        <w:ind w:firstLineChars="200" w:firstLine="31680"/>
        <w:rPr>
          <w:rFonts w:hint="eastAsia"/>
        </w:rPr>
      </w:pPr>
      <w:r>
        <w:rPr>
          <w:rFonts w:hint="eastAsia"/>
        </w:rPr>
        <w:t>目前有</w:t>
      </w:r>
      <w:r>
        <w:rPr>
          <w:rFonts w:hint="eastAsia"/>
        </w:rPr>
        <w:t>18</w:t>
      </w:r>
      <w:r>
        <w:rPr>
          <w:rFonts w:hint="eastAsia"/>
        </w:rPr>
        <w:t>项有待国民议会分析的立法议案提出了限额制度、男女轮换制度、以及其他立法肯定行动措施，这些措施均有助于增加</w:t>
      </w:r>
      <w:r>
        <w:rPr>
          <w:rFonts w:hint="eastAsia"/>
        </w:rPr>
        <w:t>担任管理职位或公职的妇女人数，或扩大已担任这些职位或公职的妇女的影响力。在这方面，有些州已经开始采取行动，例如，帕拉州理事会内部规定的</w:t>
      </w:r>
      <w:r>
        <w:rPr>
          <w:rFonts w:hint="eastAsia"/>
        </w:rPr>
        <w:t>1999</w:t>
      </w:r>
      <w:r>
        <w:rPr>
          <w:rFonts w:hint="eastAsia"/>
        </w:rPr>
        <w:t>年修订案中就加入了“众议员先生”、“众议员女士”、“阁下”等称呼，该法案目前正在由州立法机构进行审议。</w:t>
      </w:r>
    </w:p>
    <w:p w:rsidR="00000000" w:rsidRDefault="004D2F83" w:rsidP="004D2F83">
      <w:pPr>
        <w:snapToGrid w:val="0"/>
        <w:spacing w:after="240" w:line="340" w:lineRule="exact"/>
        <w:ind w:firstLineChars="200" w:firstLine="31680"/>
        <w:rPr>
          <w:rFonts w:hint="eastAsia"/>
        </w:rPr>
      </w:pPr>
      <w:r>
        <w:rPr>
          <w:rFonts w:hint="eastAsia"/>
        </w:rPr>
        <w:t>目前关于选举改革问题的一项重要讨论涉及到在选举中采纳“照单全选”的选举制度；这项制度以及名单上男女轮换的设想可以确保妇女在选举中发挥更大的作用，并做到男女均衡。</w:t>
      </w:r>
    </w:p>
    <w:p w:rsidR="00000000" w:rsidRDefault="004D2F83">
      <w:pPr>
        <w:snapToGrid w:val="0"/>
        <w:spacing w:after="240" w:line="340" w:lineRule="exact"/>
        <w:rPr>
          <w:rFonts w:eastAsia="SimHei" w:hint="eastAsia"/>
          <w:sz w:val="24"/>
        </w:rPr>
      </w:pPr>
      <w:r>
        <w:rPr>
          <w:rFonts w:eastAsia="SimHei" w:hint="eastAsia"/>
          <w:sz w:val="24"/>
        </w:rPr>
        <w:t>政府行动</w:t>
      </w:r>
    </w:p>
    <w:p w:rsidR="00000000" w:rsidRDefault="004D2F83" w:rsidP="004D2F83">
      <w:pPr>
        <w:snapToGrid w:val="0"/>
        <w:spacing w:after="240" w:line="340" w:lineRule="exact"/>
        <w:ind w:firstLineChars="200" w:firstLine="31680"/>
        <w:rPr>
          <w:rFonts w:hint="eastAsia"/>
        </w:rPr>
      </w:pPr>
      <w:r>
        <w:rPr>
          <w:rFonts w:hint="eastAsia"/>
        </w:rPr>
        <w:t>巴西政府签署《国家人权计划》（</w:t>
      </w:r>
      <w:r>
        <w:rPr>
          <w:rFonts w:hint="eastAsia"/>
        </w:rPr>
        <w:t>PNDH</w:t>
      </w:r>
      <w:r>
        <w:rPr>
          <w:rFonts w:hint="eastAsia"/>
        </w:rPr>
        <w:t>），承诺支持人权信息、教育和培训领域的各项方案，以法律专</w:t>
      </w:r>
      <w:r>
        <w:rPr>
          <w:rFonts w:hint="eastAsia"/>
        </w:rPr>
        <w:t>业人员、警察、监狱看守和工会、协会及社区领袖为服务对象，目的是在巴西民众中增强保护和增进人权的能力；政府还承诺遵照现代人权思想来引导这些方案，现代人权观认为尊重平等包括接受个人差异与特性。巴西政府还承诺，在由政府机构主办的公共宣传及媒体活动中，少数群体及社团将从种族、民族和性别意义上得到与之相称的体现；政府承诺鼓励各种运动，向社会宣传那些致力于保护和增进人权、正在竞选公职及公民社会领导职位的候选人。巴西于</w:t>
      </w:r>
      <w:r>
        <w:rPr>
          <w:rFonts w:hint="eastAsia"/>
        </w:rPr>
        <w:t>1996</w:t>
      </w:r>
      <w:r>
        <w:rPr>
          <w:rFonts w:hint="eastAsia"/>
        </w:rPr>
        <w:t>年</w:t>
      </w:r>
      <w:r>
        <w:rPr>
          <w:rFonts w:hint="eastAsia"/>
        </w:rPr>
        <w:t>5</w:t>
      </w:r>
      <w:r>
        <w:rPr>
          <w:rFonts w:hint="eastAsia"/>
        </w:rPr>
        <w:t>月</w:t>
      </w:r>
      <w:r>
        <w:rPr>
          <w:rFonts w:hint="eastAsia"/>
        </w:rPr>
        <w:t>13</w:t>
      </w:r>
      <w:r>
        <w:rPr>
          <w:rFonts w:hint="eastAsia"/>
        </w:rPr>
        <w:t>日批准了《国家人权计划》，成为最早履行世界人权会议（维也纳，</w:t>
      </w:r>
      <w:r>
        <w:rPr>
          <w:rFonts w:hint="eastAsia"/>
        </w:rPr>
        <w:t>1993</w:t>
      </w:r>
      <w:r>
        <w:rPr>
          <w:rFonts w:hint="eastAsia"/>
        </w:rPr>
        <w:t>年）所提出的建议的</w:t>
      </w:r>
      <w:r>
        <w:rPr>
          <w:rFonts w:hint="eastAsia"/>
        </w:rPr>
        <w:t>国家之一，并将人权列为政府的公共政策问题。</w:t>
      </w:r>
    </w:p>
    <w:p w:rsidR="00000000" w:rsidRDefault="004D2F83" w:rsidP="004D2F83">
      <w:pPr>
        <w:snapToGrid w:val="0"/>
        <w:spacing w:after="240" w:line="340" w:lineRule="exact"/>
        <w:ind w:firstLineChars="200" w:firstLine="31680"/>
        <w:rPr>
          <w:rFonts w:hint="eastAsia"/>
        </w:rPr>
      </w:pPr>
      <w:r>
        <w:rPr>
          <w:rFonts w:hint="eastAsia"/>
        </w:rPr>
        <w:t>《国家人权计划》作出的承诺包括批准、执行并推广旨在保护和增进人权的国际行动与活动，方法之一是制订以下短期行动方案：制定国内法律，使巴西可以履行其作为人权公约和条约的缔约国而承担的国际承诺；执行世界人权会议（维也纳，</w:t>
      </w:r>
      <w:r>
        <w:rPr>
          <w:rFonts w:hint="eastAsia"/>
        </w:rPr>
        <w:t>1993</w:t>
      </w:r>
      <w:r>
        <w:rPr>
          <w:rFonts w:hint="eastAsia"/>
        </w:rPr>
        <w:t>年）提出的《行动纲领》，该文件将对妇女的暴力行为定性为违反人权；履行国际人口与发展会议（开罗，</w:t>
      </w:r>
      <w:r>
        <w:rPr>
          <w:rFonts w:hint="eastAsia"/>
        </w:rPr>
        <w:t>1994</w:t>
      </w:r>
      <w:r>
        <w:rPr>
          <w:rFonts w:hint="eastAsia"/>
        </w:rPr>
        <w:t>年）制订的《行动纲领》；执行《美洲公约》（</w:t>
      </w:r>
      <w:r>
        <w:rPr>
          <w:rFonts w:hint="eastAsia"/>
        </w:rPr>
        <w:t>1994</w:t>
      </w:r>
      <w:r>
        <w:rPr>
          <w:rFonts w:hint="eastAsia"/>
        </w:rPr>
        <w:t>年</w:t>
      </w:r>
      <w:r>
        <w:rPr>
          <w:rFonts w:hint="eastAsia"/>
        </w:rPr>
        <w:t>6</w:t>
      </w:r>
      <w:r>
        <w:rPr>
          <w:rFonts w:hint="eastAsia"/>
        </w:rPr>
        <w:t>月签署于帕拉州的贝伦），旨在防止、惩治、根除对妇女的暴力行为；执行第四届妇女问题世界会议（</w:t>
      </w:r>
      <w:r>
        <w:rPr>
          <w:rFonts w:hint="eastAsia"/>
        </w:rPr>
        <w:t>北京，</w:t>
      </w:r>
      <w:r>
        <w:rPr>
          <w:rFonts w:hint="eastAsia"/>
        </w:rPr>
        <w:t>1995</w:t>
      </w:r>
      <w:r>
        <w:rPr>
          <w:rFonts w:hint="eastAsia"/>
        </w:rPr>
        <w:t>）提出的建议；并执行《消除一切形式种族歧视国际公约》。值得注意的是，内容更新后的《国家人权计划》已于</w:t>
      </w:r>
      <w:r>
        <w:rPr>
          <w:rFonts w:hint="eastAsia"/>
        </w:rPr>
        <w:t>2002</w:t>
      </w:r>
      <w:r>
        <w:rPr>
          <w:rFonts w:hint="eastAsia"/>
        </w:rPr>
        <w:t>年</w:t>
      </w:r>
      <w:r>
        <w:rPr>
          <w:rFonts w:hint="eastAsia"/>
        </w:rPr>
        <w:t>5</w:t>
      </w:r>
      <w:r>
        <w:rPr>
          <w:rFonts w:hint="eastAsia"/>
        </w:rPr>
        <w:t>月</w:t>
      </w:r>
      <w:r>
        <w:rPr>
          <w:rFonts w:hint="eastAsia"/>
        </w:rPr>
        <w:t>13</w:t>
      </w:r>
      <w:r>
        <w:rPr>
          <w:rFonts w:hint="eastAsia"/>
        </w:rPr>
        <w:t>日公布，其中包括了旨在保证教育、卫生、社会安全与福利、劳动、住房、健康环境、食物、文化与娱乐等项权利的具体行动，以及针对巴西社会的普遍教育和认识而提出的建议，目的是发展并巩固人权文化。</w:t>
      </w:r>
    </w:p>
    <w:p w:rsidR="00000000" w:rsidRDefault="004D2F83" w:rsidP="004D2F83">
      <w:pPr>
        <w:snapToGrid w:val="0"/>
        <w:spacing w:after="240" w:line="340" w:lineRule="exact"/>
        <w:ind w:firstLineChars="200" w:firstLine="31680"/>
        <w:rPr>
          <w:rFonts w:hint="eastAsia"/>
        </w:rPr>
      </w:pPr>
      <w:r>
        <w:rPr>
          <w:rFonts w:hint="eastAsia"/>
        </w:rPr>
        <w:t>下表记录了过去十年中行政部门高级职位的男女任职情况，从中可以看出在《联邦宪法》及国内法律的规定与巴西现实情况之间存在着差距。</w:t>
      </w:r>
    </w:p>
    <w:p w:rsidR="00000000" w:rsidRDefault="004D2F83" w:rsidP="004D2F83">
      <w:pPr>
        <w:snapToGrid w:val="0"/>
        <w:spacing w:after="120" w:line="360" w:lineRule="exact"/>
        <w:ind w:firstLineChars="200" w:firstLine="31680"/>
        <w:jc w:val="center"/>
        <w:rPr>
          <w:rFonts w:ascii="SimHei" w:eastAsia="SimHei" w:hint="eastAsia"/>
        </w:rPr>
      </w:pPr>
      <w:r>
        <w:rPr>
          <w:rFonts w:ascii="SimHei" w:eastAsia="SimHei" w:hint="eastAsia"/>
        </w:rPr>
        <w:t>表</w:t>
      </w:r>
      <w:r>
        <w:rPr>
          <w:rFonts w:ascii="SimHei" w:eastAsia="SimHei" w:hint="eastAsia"/>
        </w:rPr>
        <w:t>17</w:t>
      </w:r>
      <w:r>
        <w:rPr>
          <w:rFonts w:ascii="SimHei" w:eastAsia="SimHei" w:hint="eastAsia"/>
        </w:rPr>
        <w:t>．行政部门的女性任职情况</w:t>
      </w:r>
    </w:p>
    <w:p w:rsidR="00000000" w:rsidRDefault="004D2F83" w:rsidP="004D2F83">
      <w:pPr>
        <w:snapToGrid w:val="0"/>
        <w:spacing w:after="240" w:line="360" w:lineRule="exact"/>
        <w:ind w:firstLineChars="200" w:firstLine="31680"/>
        <w:jc w:val="center"/>
        <w:rPr>
          <w:rFonts w:ascii="SimHei" w:eastAsia="SimHei" w:hint="eastAsia"/>
        </w:rPr>
      </w:pPr>
      <w:r>
        <w:rPr>
          <w:rFonts w:ascii="SimHei" w:eastAsia="SimHei" w:hint="eastAsia"/>
        </w:rPr>
        <w:t>巴西，</w:t>
      </w:r>
      <w:r>
        <w:rPr>
          <w:rFonts w:ascii="SimHei" w:eastAsia="SimHei" w:hint="eastAsia"/>
        </w:rPr>
        <w:t>1990-2000</w:t>
      </w:r>
      <w:r>
        <w:rPr>
          <w:rFonts w:ascii="SimHei" w:eastAsia="SimHei" w:hint="eastAsia"/>
        </w:rPr>
        <w:t>年</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2"/>
        <w:gridCol w:w="2492"/>
        <w:gridCol w:w="2492"/>
        <w:gridCol w:w="2490"/>
      </w:tblGrid>
      <w:tr w:rsidR="00000000">
        <w:tblPrEx>
          <w:tblCellMar>
            <w:top w:w="0" w:type="dxa"/>
            <w:bottom w:w="0" w:type="dxa"/>
          </w:tblCellMar>
        </w:tblPrEx>
        <w:tc>
          <w:tcPr>
            <w:tcW w:w="1209" w:type="pct"/>
            <w:vAlign w:val="center"/>
          </w:tcPr>
          <w:p w:rsidR="00000000" w:rsidRDefault="004D2F83">
            <w:pPr>
              <w:snapToGrid w:val="0"/>
              <w:spacing w:line="400" w:lineRule="exact"/>
              <w:jc w:val="center"/>
              <w:rPr>
                <w:rFonts w:eastAsia="SimHei" w:hint="eastAsia"/>
                <w:sz w:val="18"/>
              </w:rPr>
            </w:pPr>
            <w:r>
              <w:rPr>
                <w:rFonts w:eastAsia="SimHei" w:hint="eastAsia"/>
                <w:sz w:val="18"/>
              </w:rPr>
              <w:t>职务</w:t>
            </w:r>
          </w:p>
        </w:tc>
        <w:tc>
          <w:tcPr>
            <w:tcW w:w="1264" w:type="pct"/>
            <w:vAlign w:val="center"/>
          </w:tcPr>
          <w:p w:rsidR="00000000" w:rsidRDefault="004D2F83">
            <w:pPr>
              <w:snapToGrid w:val="0"/>
              <w:spacing w:line="400" w:lineRule="exact"/>
              <w:jc w:val="center"/>
              <w:rPr>
                <w:rFonts w:hint="eastAsia"/>
                <w:b/>
                <w:bCs/>
                <w:sz w:val="18"/>
              </w:rPr>
            </w:pPr>
            <w:r>
              <w:rPr>
                <w:rFonts w:hint="eastAsia"/>
                <w:b/>
                <w:bCs/>
                <w:sz w:val="18"/>
              </w:rPr>
              <w:t>1</w:t>
            </w:r>
            <w:r>
              <w:rPr>
                <w:rFonts w:hint="eastAsia"/>
                <w:b/>
                <w:bCs/>
                <w:sz w:val="18"/>
              </w:rPr>
              <w:t>990</w:t>
            </w:r>
          </w:p>
        </w:tc>
        <w:tc>
          <w:tcPr>
            <w:tcW w:w="1264" w:type="pct"/>
            <w:vAlign w:val="center"/>
          </w:tcPr>
          <w:p w:rsidR="00000000" w:rsidRDefault="004D2F83">
            <w:pPr>
              <w:snapToGrid w:val="0"/>
              <w:spacing w:line="400" w:lineRule="exact"/>
              <w:jc w:val="center"/>
              <w:rPr>
                <w:rFonts w:hint="eastAsia"/>
                <w:b/>
                <w:bCs/>
                <w:sz w:val="18"/>
              </w:rPr>
            </w:pPr>
            <w:r>
              <w:rPr>
                <w:rFonts w:hint="eastAsia"/>
                <w:b/>
                <w:bCs/>
                <w:sz w:val="18"/>
              </w:rPr>
              <w:t>1994</w:t>
            </w:r>
          </w:p>
        </w:tc>
        <w:tc>
          <w:tcPr>
            <w:tcW w:w="1264" w:type="pct"/>
            <w:vAlign w:val="center"/>
          </w:tcPr>
          <w:p w:rsidR="00000000" w:rsidRDefault="004D2F83">
            <w:pPr>
              <w:snapToGrid w:val="0"/>
              <w:spacing w:line="400" w:lineRule="exact"/>
              <w:jc w:val="center"/>
              <w:rPr>
                <w:rFonts w:hint="eastAsia"/>
                <w:b/>
                <w:bCs/>
                <w:sz w:val="18"/>
              </w:rPr>
            </w:pPr>
            <w:r>
              <w:rPr>
                <w:rFonts w:hint="eastAsia"/>
                <w:b/>
                <w:bCs/>
                <w:sz w:val="18"/>
              </w:rPr>
              <w:t>2000</w:t>
            </w:r>
          </w:p>
        </w:tc>
      </w:tr>
      <w:tr w:rsidR="00000000">
        <w:tblPrEx>
          <w:tblCellMar>
            <w:top w:w="0" w:type="dxa"/>
            <w:bottom w:w="0" w:type="dxa"/>
          </w:tblCellMar>
        </w:tblPrEx>
        <w:tc>
          <w:tcPr>
            <w:tcW w:w="1209" w:type="pct"/>
            <w:vAlign w:val="center"/>
          </w:tcPr>
          <w:p w:rsidR="00000000" w:rsidRDefault="004D2F83">
            <w:pPr>
              <w:snapToGrid w:val="0"/>
              <w:spacing w:line="400" w:lineRule="exact"/>
              <w:jc w:val="center"/>
              <w:rPr>
                <w:rFonts w:hint="eastAsia"/>
                <w:sz w:val="18"/>
              </w:rPr>
            </w:pPr>
            <w:r>
              <w:rPr>
                <w:rFonts w:hint="eastAsia"/>
                <w:sz w:val="18"/>
              </w:rPr>
              <w:t>总统</w:t>
            </w:r>
          </w:p>
        </w:tc>
        <w:tc>
          <w:tcPr>
            <w:tcW w:w="1264" w:type="pct"/>
            <w:vAlign w:val="center"/>
          </w:tcPr>
          <w:p w:rsidR="00000000" w:rsidRDefault="004D2F83">
            <w:pPr>
              <w:snapToGrid w:val="0"/>
              <w:spacing w:line="400" w:lineRule="exact"/>
              <w:jc w:val="center"/>
              <w:rPr>
                <w:rFonts w:hint="eastAsia"/>
                <w:sz w:val="18"/>
              </w:rPr>
            </w:pPr>
            <w:r>
              <w:rPr>
                <w:rFonts w:hint="eastAsia"/>
                <w:sz w:val="18"/>
              </w:rPr>
              <w:t>0</w:t>
            </w:r>
          </w:p>
        </w:tc>
        <w:tc>
          <w:tcPr>
            <w:tcW w:w="1264" w:type="pct"/>
            <w:vAlign w:val="center"/>
          </w:tcPr>
          <w:p w:rsidR="00000000" w:rsidRDefault="004D2F83">
            <w:pPr>
              <w:snapToGrid w:val="0"/>
              <w:spacing w:line="400" w:lineRule="exact"/>
              <w:jc w:val="center"/>
              <w:rPr>
                <w:rFonts w:hint="eastAsia"/>
                <w:sz w:val="18"/>
              </w:rPr>
            </w:pPr>
            <w:r>
              <w:rPr>
                <w:rFonts w:hint="eastAsia"/>
                <w:sz w:val="18"/>
              </w:rPr>
              <w:t>0</w:t>
            </w:r>
          </w:p>
        </w:tc>
        <w:tc>
          <w:tcPr>
            <w:tcW w:w="1264" w:type="pct"/>
            <w:vAlign w:val="center"/>
          </w:tcPr>
          <w:p w:rsidR="00000000" w:rsidRDefault="004D2F83">
            <w:pPr>
              <w:snapToGrid w:val="0"/>
              <w:spacing w:line="400" w:lineRule="exact"/>
              <w:jc w:val="center"/>
              <w:rPr>
                <w:rFonts w:hint="eastAsia"/>
                <w:sz w:val="18"/>
              </w:rPr>
            </w:pPr>
            <w:r>
              <w:rPr>
                <w:rFonts w:hint="eastAsia"/>
                <w:sz w:val="18"/>
              </w:rPr>
              <w:t>0</w:t>
            </w:r>
          </w:p>
        </w:tc>
      </w:tr>
      <w:tr w:rsidR="00000000">
        <w:tblPrEx>
          <w:tblCellMar>
            <w:top w:w="0" w:type="dxa"/>
            <w:bottom w:w="0" w:type="dxa"/>
          </w:tblCellMar>
        </w:tblPrEx>
        <w:tc>
          <w:tcPr>
            <w:tcW w:w="1209" w:type="pct"/>
            <w:vAlign w:val="center"/>
          </w:tcPr>
          <w:p w:rsidR="00000000" w:rsidRDefault="004D2F83">
            <w:pPr>
              <w:snapToGrid w:val="0"/>
              <w:spacing w:line="400" w:lineRule="exact"/>
              <w:jc w:val="center"/>
              <w:rPr>
                <w:rFonts w:hint="eastAsia"/>
                <w:sz w:val="18"/>
              </w:rPr>
            </w:pPr>
            <w:r>
              <w:rPr>
                <w:rFonts w:hint="eastAsia"/>
                <w:sz w:val="18"/>
              </w:rPr>
              <w:t>副总统</w:t>
            </w:r>
          </w:p>
        </w:tc>
        <w:tc>
          <w:tcPr>
            <w:tcW w:w="1264" w:type="pct"/>
            <w:vAlign w:val="center"/>
          </w:tcPr>
          <w:p w:rsidR="00000000" w:rsidRDefault="004D2F83">
            <w:pPr>
              <w:snapToGrid w:val="0"/>
              <w:spacing w:line="400" w:lineRule="exact"/>
              <w:jc w:val="center"/>
              <w:rPr>
                <w:rFonts w:hint="eastAsia"/>
                <w:sz w:val="18"/>
              </w:rPr>
            </w:pPr>
            <w:r>
              <w:rPr>
                <w:rFonts w:hint="eastAsia"/>
                <w:sz w:val="18"/>
              </w:rPr>
              <w:t>0</w:t>
            </w:r>
          </w:p>
        </w:tc>
        <w:tc>
          <w:tcPr>
            <w:tcW w:w="1264" w:type="pct"/>
            <w:vAlign w:val="center"/>
          </w:tcPr>
          <w:p w:rsidR="00000000" w:rsidRDefault="004D2F83">
            <w:pPr>
              <w:snapToGrid w:val="0"/>
              <w:spacing w:line="400" w:lineRule="exact"/>
              <w:jc w:val="center"/>
              <w:rPr>
                <w:rFonts w:hint="eastAsia"/>
                <w:sz w:val="18"/>
              </w:rPr>
            </w:pPr>
            <w:r>
              <w:rPr>
                <w:rFonts w:hint="eastAsia"/>
                <w:sz w:val="18"/>
              </w:rPr>
              <w:t>0</w:t>
            </w:r>
          </w:p>
        </w:tc>
        <w:tc>
          <w:tcPr>
            <w:tcW w:w="1264" w:type="pct"/>
            <w:vAlign w:val="center"/>
          </w:tcPr>
          <w:p w:rsidR="00000000" w:rsidRDefault="004D2F83">
            <w:pPr>
              <w:snapToGrid w:val="0"/>
              <w:spacing w:line="400" w:lineRule="exact"/>
              <w:jc w:val="center"/>
              <w:rPr>
                <w:rFonts w:hint="eastAsia"/>
                <w:sz w:val="18"/>
              </w:rPr>
            </w:pPr>
            <w:r>
              <w:rPr>
                <w:rFonts w:hint="eastAsia"/>
                <w:sz w:val="18"/>
              </w:rPr>
              <w:t>0</w:t>
            </w:r>
          </w:p>
        </w:tc>
      </w:tr>
      <w:tr w:rsidR="00000000">
        <w:tblPrEx>
          <w:tblCellMar>
            <w:top w:w="0" w:type="dxa"/>
            <w:bottom w:w="0" w:type="dxa"/>
          </w:tblCellMar>
        </w:tblPrEx>
        <w:tc>
          <w:tcPr>
            <w:tcW w:w="1209" w:type="pct"/>
            <w:vAlign w:val="center"/>
          </w:tcPr>
          <w:p w:rsidR="00000000" w:rsidRDefault="004D2F83">
            <w:pPr>
              <w:snapToGrid w:val="0"/>
              <w:spacing w:line="400" w:lineRule="exact"/>
              <w:jc w:val="center"/>
              <w:rPr>
                <w:rFonts w:hint="eastAsia"/>
                <w:sz w:val="18"/>
              </w:rPr>
            </w:pPr>
            <w:r>
              <w:rPr>
                <w:rFonts w:hint="eastAsia"/>
                <w:sz w:val="18"/>
              </w:rPr>
              <w:t>政府部长</w:t>
            </w:r>
          </w:p>
        </w:tc>
        <w:tc>
          <w:tcPr>
            <w:tcW w:w="1264" w:type="pct"/>
            <w:vAlign w:val="center"/>
          </w:tcPr>
          <w:p w:rsidR="00000000" w:rsidRDefault="004D2F83">
            <w:pPr>
              <w:snapToGrid w:val="0"/>
              <w:spacing w:line="400" w:lineRule="exact"/>
              <w:jc w:val="center"/>
              <w:rPr>
                <w:rFonts w:hint="eastAsia"/>
                <w:sz w:val="18"/>
              </w:rPr>
            </w:pPr>
            <w:r>
              <w:rPr>
                <w:rFonts w:hint="eastAsia"/>
                <w:sz w:val="18"/>
              </w:rPr>
              <w:t>2</w:t>
            </w:r>
          </w:p>
        </w:tc>
        <w:tc>
          <w:tcPr>
            <w:tcW w:w="1264" w:type="pct"/>
            <w:vAlign w:val="center"/>
          </w:tcPr>
          <w:p w:rsidR="00000000" w:rsidRDefault="004D2F83">
            <w:pPr>
              <w:snapToGrid w:val="0"/>
              <w:spacing w:line="400" w:lineRule="exact"/>
              <w:jc w:val="center"/>
              <w:rPr>
                <w:rFonts w:hint="eastAsia"/>
                <w:sz w:val="18"/>
              </w:rPr>
            </w:pPr>
            <w:r>
              <w:rPr>
                <w:rFonts w:hint="eastAsia"/>
                <w:sz w:val="18"/>
              </w:rPr>
              <w:t>1</w:t>
            </w:r>
          </w:p>
        </w:tc>
        <w:tc>
          <w:tcPr>
            <w:tcW w:w="1264" w:type="pct"/>
            <w:vAlign w:val="center"/>
          </w:tcPr>
          <w:p w:rsidR="00000000" w:rsidRDefault="004D2F83">
            <w:pPr>
              <w:snapToGrid w:val="0"/>
              <w:spacing w:line="400" w:lineRule="exact"/>
              <w:jc w:val="center"/>
              <w:rPr>
                <w:rFonts w:hint="eastAsia"/>
                <w:sz w:val="18"/>
              </w:rPr>
            </w:pPr>
            <w:r>
              <w:rPr>
                <w:rFonts w:hint="eastAsia"/>
                <w:sz w:val="18"/>
              </w:rPr>
              <w:t>0</w:t>
            </w:r>
          </w:p>
        </w:tc>
      </w:tr>
      <w:tr w:rsidR="00000000">
        <w:tblPrEx>
          <w:tblCellMar>
            <w:top w:w="0" w:type="dxa"/>
            <w:bottom w:w="0" w:type="dxa"/>
          </w:tblCellMar>
        </w:tblPrEx>
        <w:tc>
          <w:tcPr>
            <w:tcW w:w="1209" w:type="pct"/>
            <w:vAlign w:val="center"/>
          </w:tcPr>
          <w:p w:rsidR="00000000" w:rsidRDefault="004D2F83">
            <w:pPr>
              <w:snapToGrid w:val="0"/>
              <w:spacing w:line="400" w:lineRule="exact"/>
              <w:jc w:val="center"/>
              <w:rPr>
                <w:rFonts w:hint="eastAsia"/>
                <w:sz w:val="18"/>
              </w:rPr>
            </w:pPr>
            <w:r>
              <w:rPr>
                <w:rFonts w:hint="eastAsia"/>
                <w:sz w:val="18"/>
              </w:rPr>
              <w:t>副部长</w:t>
            </w:r>
          </w:p>
        </w:tc>
        <w:tc>
          <w:tcPr>
            <w:tcW w:w="1264" w:type="pct"/>
            <w:vAlign w:val="center"/>
          </w:tcPr>
          <w:p w:rsidR="00000000" w:rsidRDefault="004D2F83">
            <w:pPr>
              <w:snapToGrid w:val="0"/>
              <w:spacing w:line="400" w:lineRule="exact"/>
              <w:jc w:val="center"/>
              <w:rPr>
                <w:rFonts w:hint="eastAsia"/>
                <w:sz w:val="18"/>
              </w:rPr>
            </w:pPr>
            <w:r>
              <w:rPr>
                <w:rFonts w:hint="eastAsia"/>
                <w:sz w:val="18"/>
              </w:rPr>
              <w:t>0</w:t>
            </w:r>
          </w:p>
        </w:tc>
        <w:tc>
          <w:tcPr>
            <w:tcW w:w="1264" w:type="pct"/>
            <w:vAlign w:val="center"/>
          </w:tcPr>
          <w:p w:rsidR="00000000" w:rsidRDefault="004D2F83">
            <w:pPr>
              <w:snapToGrid w:val="0"/>
              <w:spacing w:line="400" w:lineRule="exact"/>
              <w:jc w:val="center"/>
              <w:rPr>
                <w:rFonts w:hint="eastAsia"/>
                <w:sz w:val="18"/>
              </w:rPr>
            </w:pPr>
            <w:r>
              <w:rPr>
                <w:rFonts w:hint="eastAsia"/>
                <w:sz w:val="18"/>
              </w:rPr>
              <w:t>0</w:t>
            </w:r>
          </w:p>
        </w:tc>
        <w:tc>
          <w:tcPr>
            <w:tcW w:w="1264" w:type="pct"/>
            <w:vAlign w:val="center"/>
          </w:tcPr>
          <w:p w:rsidR="00000000" w:rsidRDefault="004D2F83">
            <w:pPr>
              <w:snapToGrid w:val="0"/>
              <w:spacing w:line="400" w:lineRule="exact"/>
              <w:jc w:val="center"/>
              <w:rPr>
                <w:rFonts w:hint="eastAsia"/>
                <w:sz w:val="18"/>
              </w:rPr>
            </w:pPr>
            <w:r>
              <w:rPr>
                <w:rFonts w:hint="eastAsia"/>
                <w:sz w:val="18"/>
              </w:rPr>
              <w:t>0</w:t>
            </w:r>
          </w:p>
        </w:tc>
      </w:tr>
      <w:tr w:rsidR="00000000">
        <w:tblPrEx>
          <w:tblCellMar>
            <w:top w:w="0" w:type="dxa"/>
            <w:bottom w:w="0" w:type="dxa"/>
          </w:tblCellMar>
        </w:tblPrEx>
        <w:tc>
          <w:tcPr>
            <w:tcW w:w="1209" w:type="pct"/>
            <w:vAlign w:val="center"/>
          </w:tcPr>
          <w:p w:rsidR="00000000" w:rsidRDefault="004D2F83">
            <w:pPr>
              <w:snapToGrid w:val="0"/>
              <w:spacing w:line="400" w:lineRule="exact"/>
              <w:jc w:val="center"/>
              <w:rPr>
                <w:rFonts w:hint="eastAsia"/>
                <w:sz w:val="18"/>
              </w:rPr>
            </w:pPr>
            <w:r>
              <w:rPr>
                <w:rFonts w:hint="eastAsia"/>
                <w:sz w:val="18"/>
              </w:rPr>
              <w:t>州长</w:t>
            </w:r>
          </w:p>
        </w:tc>
        <w:tc>
          <w:tcPr>
            <w:tcW w:w="1264" w:type="pct"/>
            <w:vAlign w:val="center"/>
          </w:tcPr>
          <w:p w:rsidR="00000000" w:rsidRDefault="004D2F83">
            <w:pPr>
              <w:snapToGrid w:val="0"/>
              <w:spacing w:line="400" w:lineRule="exact"/>
              <w:jc w:val="center"/>
              <w:rPr>
                <w:rFonts w:hint="eastAsia"/>
                <w:sz w:val="18"/>
              </w:rPr>
            </w:pPr>
            <w:r>
              <w:rPr>
                <w:rFonts w:hint="eastAsia"/>
                <w:sz w:val="18"/>
              </w:rPr>
              <w:t>0</w:t>
            </w:r>
          </w:p>
        </w:tc>
        <w:tc>
          <w:tcPr>
            <w:tcW w:w="1264" w:type="pct"/>
            <w:vAlign w:val="center"/>
          </w:tcPr>
          <w:p w:rsidR="00000000" w:rsidRDefault="004D2F83">
            <w:pPr>
              <w:snapToGrid w:val="0"/>
              <w:spacing w:line="400" w:lineRule="exact"/>
              <w:jc w:val="center"/>
              <w:rPr>
                <w:rFonts w:hint="eastAsia"/>
                <w:sz w:val="18"/>
              </w:rPr>
            </w:pPr>
            <w:r>
              <w:rPr>
                <w:rFonts w:hint="eastAsia"/>
                <w:sz w:val="18"/>
              </w:rPr>
              <w:t>1</w:t>
            </w:r>
          </w:p>
        </w:tc>
        <w:tc>
          <w:tcPr>
            <w:tcW w:w="1264" w:type="pct"/>
            <w:vAlign w:val="center"/>
          </w:tcPr>
          <w:p w:rsidR="00000000" w:rsidRDefault="004D2F83">
            <w:pPr>
              <w:snapToGrid w:val="0"/>
              <w:spacing w:line="400" w:lineRule="exact"/>
              <w:jc w:val="center"/>
              <w:rPr>
                <w:rFonts w:hint="eastAsia"/>
                <w:sz w:val="18"/>
              </w:rPr>
            </w:pPr>
            <w:r>
              <w:rPr>
                <w:rFonts w:hint="eastAsia"/>
                <w:sz w:val="18"/>
              </w:rPr>
              <w:t>1</w:t>
            </w:r>
          </w:p>
        </w:tc>
      </w:tr>
      <w:tr w:rsidR="00000000">
        <w:tblPrEx>
          <w:tblCellMar>
            <w:top w:w="0" w:type="dxa"/>
            <w:bottom w:w="0" w:type="dxa"/>
          </w:tblCellMar>
        </w:tblPrEx>
        <w:tc>
          <w:tcPr>
            <w:tcW w:w="1209" w:type="pct"/>
            <w:vAlign w:val="center"/>
          </w:tcPr>
          <w:p w:rsidR="00000000" w:rsidRDefault="004D2F83">
            <w:pPr>
              <w:snapToGrid w:val="0"/>
              <w:spacing w:line="400" w:lineRule="exact"/>
              <w:jc w:val="center"/>
              <w:rPr>
                <w:rFonts w:hint="eastAsia"/>
                <w:sz w:val="18"/>
              </w:rPr>
            </w:pPr>
            <w:r>
              <w:rPr>
                <w:rFonts w:hint="eastAsia"/>
                <w:sz w:val="18"/>
              </w:rPr>
              <w:t>副州长</w:t>
            </w:r>
          </w:p>
        </w:tc>
        <w:tc>
          <w:tcPr>
            <w:tcW w:w="1264" w:type="pct"/>
            <w:vAlign w:val="center"/>
          </w:tcPr>
          <w:p w:rsidR="00000000" w:rsidRDefault="004D2F83">
            <w:pPr>
              <w:snapToGrid w:val="0"/>
              <w:spacing w:line="400" w:lineRule="exact"/>
              <w:jc w:val="center"/>
              <w:rPr>
                <w:rFonts w:hint="eastAsia"/>
                <w:sz w:val="18"/>
              </w:rPr>
            </w:pPr>
            <w:r>
              <w:rPr>
                <w:rFonts w:hint="eastAsia"/>
                <w:sz w:val="18"/>
              </w:rPr>
              <w:t>2</w:t>
            </w:r>
          </w:p>
        </w:tc>
        <w:tc>
          <w:tcPr>
            <w:tcW w:w="1264" w:type="pct"/>
            <w:vAlign w:val="center"/>
          </w:tcPr>
          <w:p w:rsidR="00000000" w:rsidRDefault="004D2F83">
            <w:pPr>
              <w:snapToGrid w:val="0"/>
              <w:spacing w:line="400" w:lineRule="exact"/>
              <w:jc w:val="center"/>
              <w:rPr>
                <w:rFonts w:hint="eastAsia"/>
                <w:sz w:val="18"/>
              </w:rPr>
            </w:pPr>
            <w:r>
              <w:rPr>
                <w:rFonts w:hint="eastAsia"/>
                <w:sz w:val="18"/>
              </w:rPr>
              <w:t>0</w:t>
            </w:r>
          </w:p>
        </w:tc>
        <w:tc>
          <w:tcPr>
            <w:tcW w:w="1264" w:type="pct"/>
            <w:vAlign w:val="center"/>
          </w:tcPr>
          <w:p w:rsidR="00000000" w:rsidRDefault="004D2F83">
            <w:pPr>
              <w:snapToGrid w:val="0"/>
              <w:spacing w:line="400" w:lineRule="exact"/>
              <w:jc w:val="center"/>
              <w:rPr>
                <w:rFonts w:hint="eastAsia"/>
                <w:sz w:val="18"/>
              </w:rPr>
            </w:pPr>
            <w:r>
              <w:rPr>
                <w:rFonts w:hint="eastAsia"/>
                <w:sz w:val="18"/>
              </w:rPr>
              <w:t>2</w:t>
            </w:r>
          </w:p>
        </w:tc>
      </w:tr>
      <w:tr w:rsidR="00000000">
        <w:tblPrEx>
          <w:tblCellMar>
            <w:top w:w="0" w:type="dxa"/>
            <w:bottom w:w="0" w:type="dxa"/>
          </w:tblCellMar>
        </w:tblPrEx>
        <w:tc>
          <w:tcPr>
            <w:tcW w:w="1209" w:type="pct"/>
            <w:vAlign w:val="center"/>
          </w:tcPr>
          <w:p w:rsidR="00000000" w:rsidRDefault="004D2F83">
            <w:pPr>
              <w:snapToGrid w:val="0"/>
              <w:spacing w:line="400" w:lineRule="exact"/>
              <w:jc w:val="center"/>
              <w:rPr>
                <w:rFonts w:hint="eastAsia"/>
                <w:sz w:val="18"/>
              </w:rPr>
            </w:pPr>
            <w:r>
              <w:rPr>
                <w:rFonts w:hint="eastAsia"/>
                <w:sz w:val="18"/>
              </w:rPr>
              <w:t>国有公司总裁</w:t>
            </w:r>
          </w:p>
        </w:tc>
        <w:tc>
          <w:tcPr>
            <w:tcW w:w="1264" w:type="pct"/>
            <w:vAlign w:val="center"/>
          </w:tcPr>
          <w:p w:rsidR="00000000" w:rsidRDefault="004D2F83">
            <w:pPr>
              <w:snapToGrid w:val="0"/>
              <w:spacing w:line="400" w:lineRule="exact"/>
              <w:jc w:val="center"/>
              <w:rPr>
                <w:rFonts w:hint="eastAsia"/>
                <w:sz w:val="18"/>
              </w:rPr>
            </w:pPr>
            <w:r>
              <w:rPr>
                <w:rFonts w:hint="eastAsia"/>
                <w:sz w:val="18"/>
              </w:rPr>
              <w:t>0</w:t>
            </w:r>
          </w:p>
        </w:tc>
        <w:tc>
          <w:tcPr>
            <w:tcW w:w="1264" w:type="pct"/>
            <w:vAlign w:val="center"/>
          </w:tcPr>
          <w:p w:rsidR="00000000" w:rsidRDefault="004D2F83">
            <w:pPr>
              <w:snapToGrid w:val="0"/>
              <w:spacing w:line="400" w:lineRule="exact"/>
              <w:jc w:val="center"/>
              <w:rPr>
                <w:rFonts w:hint="eastAsia"/>
                <w:sz w:val="18"/>
              </w:rPr>
            </w:pPr>
            <w:r>
              <w:rPr>
                <w:rFonts w:hint="eastAsia"/>
                <w:sz w:val="18"/>
              </w:rPr>
              <w:t>0</w:t>
            </w:r>
          </w:p>
        </w:tc>
        <w:tc>
          <w:tcPr>
            <w:tcW w:w="1264" w:type="pct"/>
            <w:vAlign w:val="center"/>
          </w:tcPr>
          <w:p w:rsidR="00000000" w:rsidRDefault="004D2F83">
            <w:pPr>
              <w:snapToGrid w:val="0"/>
              <w:spacing w:line="400" w:lineRule="exact"/>
              <w:jc w:val="center"/>
              <w:rPr>
                <w:rFonts w:hint="eastAsia"/>
                <w:sz w:val="18"/>
              </w:rPr>
            </w:pPr>
            <w:r>
              <w:rPr>
                <w:rFonts w:hint="eastAsia"/>
                <w:sz w:val="18"/>
              </w:rPr>
              <w:t>0</w:t>
            </w:r>
          </w:p>
        </w:tc>
      </w:tr>
    </w:tbl>
    <w:p w:rsidR="00000000" w:rsidRDefault="004D2F83">
      <w:pPr>
        <w:snapToGrid w:val="0"/>
        <w:spacing w:after="240" w:line="360" w:lineRule="exact"/>
        <w:rPr>
          <w:rFonts w:hint="eastAsia"/>
          <w:sz w:val="18"/>
        </w:rPr>
      </w:pPr>
      <w:r>
        <w:rPr>
          <w:rFonts w:eastAsia="SimHei" w:hint="eastAsia"/>
          <w:sz w:val="18"/>
        </w:rPr>
        <w:t>资料来源</w:t>
      </w:r>
      <w:r>
        <w:rPr>
          <w:rFonts w:hint="eastAsia"/>
          <w:sz w:val="18"/>
        </w:rPr>
        <w:t>：拉丁美洲社会科学院—巴西拉美经委会，数据由政府机构提供。</w:t>
      </w:r>
    </w:p>
    <w:p w:rsidR="00000000" w:rsidRDefault="004D2F83" w:rsidP="004D2F83">
      <w:pPr>
        <w:snapToGrid w:val="0"/>
        <w:spacing w:after="120" w:line="360" w:lineRule="exact"/>
        <w:ind w:firstLineChars="200" w:firstLine="31680"/>
        <w:jc w:val="center"/>
        <w:rPr>
          <w:rFonts w:ascii="SimHei" w:eastAsia="SimHei" w:hint="eastAsia"/>
        </w:rPr>
      </w:pPr>
      <w:r>
        <w:rPr>
          <w:rFonts w:ascii="SimHei" w:eastAsia="SimHei" w:hint="eastAsia"/>
        </w:rPr>
        <w:t>表</w:t>
      </w:r>
      <w:r>
        <w:rPr>
          <w:rFonts w:ascii="SimHei" w:eastAsia="SimHei" w:hint="eastAsia"/>
        </w:rPr>
        <w:t>18</w:t>
      </w:r>
      <w:r>
        <w:rPr>
          <w:rFonts w:ascii="SimHei" w:eastAsia="SimHei" w:hint="eastAsia"/>
        </w:rPr>
        <w:t>．各地区的女市长</w:t>
      </w:r>
    </w:p>
    <w:p w:rsidR="00000000" w:rsidRDefault="004D2F83" w:rsidP="004D2F83">
      <w:pPr>
        <w:snapToGrid w:val="0"/>
        <w:spacing w:after="120" w:line="360" w:lineRule="exact"/>
        <w:ind w:firstLineChars="200" w:firstLine="31680"/>
        <w:jc w:val="center"/>
        <w:rPr>
          <w:rFonts w:ascii="SimHei" w:eastAsia="SimHei" w:hint="eastAsia"/>
        </w:rPr>
      </w:pPr>
      <w:r>
        <w:rPr>
          <w:rFonts w:ascii="SimHei" w:eastAsia="SimHei" w:hint="eastAsia"/>
        </w:rPr>
        <w:t>巴西，</w:t>
      </w:r>
      <w:r>
        <w:rPr>
          <w:rFonts w:ascii="SimHei" w:eastAsia="SimHei" w:hint="eastAsia"/>
        </w:rPr>
        <w:t>1972-1992</w:t>
      </w:r>
      <w:r>
        <w:rPr>
          <w:rFonts w:ascii="SimHei" w:eastAsia="SimHei" w:hint="eastAsia"/>
        </w:rPr>
        <w:t>年</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6"/>
        <w:gridCol w:w="1423"/>
        <w:gridCol w:w="1423"/>
        <w:gridCol w:w="1423"/>
        <w:gridCol w:w="1425"/>
        <w:gridCol w:w="1425"/>
        <w:gridCol w:w="1421"/>
      </w:tblGrid>
      <w:tr w:rsidR="00000000">
        <w:tblPrEx>
          <w:tblCellMar>
            <w:top w:w="0" w:type="dxa"/>
            <w:bottom w:w="0" w:type="dxa"/>
          </w:tblCellMar>
        </w:tblPrEx>
        <w:tc>
          <w:tcPr>
            <w:tcW w:w="667" w:type="pct"/>
            <w:vAlign w:val="center"/>
          </w:tcPr>
          <w:p w:rsidR="00000000" w:rsidRDefault="004D2F83">
            <w:pPr>
              <w:snapToGrid w:val="0"/>
              <w:spacing w:line="400" w:lineRule="exact"/>
              <w:jc w:val="center"/>
              <w:rPr>
                <w:rFonts w:eastAsia="SimHei" w:hint="eastAsia"/>
                <w:sz w:val="18"/>
              </w:rPr>
            </w:pPr>
            <w:r>
              <w:rPr>
                <w:rFonts w:eastAsia="SimHei" w:hint="eastAsia"/>
                <w:sz w:val="18"/>
              </w:rPr>
              <w:t>地区</w:t>
            </w:r>
          </w:p>
        </w:tc>
        <w:tc>
          <w:tcPr>
            <w:tcW w:w="722" w:type="pct"/>
            <w:vAlign w:val="center"/>
          </w:tcPr>
          <w:p w:rsidR="00000000" w:rsidRDefault="004D2F83">
            <w:pPr>
              <w:snapToGrid w:val="0"/>
              <w:spacing w:line="400" w:lineRule="exact"/>
              <w:jc w:val="center"/>
              <w:rPr>
                <w:rFonts w:hint="eastAsia"/>
                <w:b/>
                <w:bCs/>
                <w:sz w:val="18"/>
              </w:rPr>
            </w:pPr>
            <w:r>
              <w:rPr>
                <w:rFonts w:hint="eastAsia"/>
                <w:b/>
                <w:bCs/>
                <w:sz w:val="18"/>
              </w:rPr>
              <w:t>1972</w:t>
            </w:r>
          </w:p>
        </w:tc>
        <w:tc>
          <w:tcPr>
            <w:tcW w:w="722" w:type="pct"/>
            <w:vAlign w:val="center"/>
          </w:tcPr>
          <w:p w:rsidR="00000000" w:rsidRDefault="004D2F83">
            <w:pPr>
              <w:snapToGrid w:val="0"/>
              <w:spacing w:line="400" w:lineRule="exact"/>
              <w:jc w:val="center"/>
              <w:rPr>
                <w:rFonts w:hint="eastAsia"/>
                <w:b/>
                <w:bCs/>
                <w:sz w:val="18"/>
              </w:rPr>
            </w:pPr>
            <w:r>
              <w:rPr>
                <w:rFonts w:hint="eastAsia"/>
                <w:b/>
                <w:bCs/>
                <w:sz w:val="18"/>
              </w:rPr>
              <w:t>1976</w:t>
            </w:r>
          </w:p>
        </w:tc>
        <w:tc>
          <w:tcPr>
            <w:tcW w:w="722" w:type="pct"/>
            <w:vAlign w:val="center"/>
          </w:tcPr>
          <w:p w:rsidR="00000000" w:rsidRDefault="004D2F83">
            <w:pPr>
              <w:snapToGrid w:val="0"/>
              <w:spacing w:line="400" w:lineRule="exact"/>
              <w:jc w:val="center"/>
              <w:rPr>
                <w:rFonts w:hint="eastAsia"/>
                <w:b/>
                <w:bCs/>
                <w:sz w:val="18"/>
              </w:rPr>
            </w:pPr>
            <w:r>
              <w:rPr>
                <w:rFonts w:hint="eastAsia"/>
                <w:b/>
                <w:bCs/>
                <w:sz w:val="18"/>
              </w:rPr>
              <w:t>1982</w:t>
            </w:r>
          </w:p>
        </w:tc>
        <w:tc>
          <w:tcPr>
            <w:tcW w:w="723" w:type="pct"/>
            <w:vAlign w:val="center"/>
          </w:tcPr>
          <w:p w:rsidR="00000000" w:rsidRDefault="004D2F83">
            <w:pPr>
              <w:snapToGrid w:val="0"/>
              <w:spacing w:line="400" w:lineRule="exact"/>
              <w:jc w:val="center"/>
              <w:rPr>
                <w:rFonts w:hint="eastAsia"/>
                <w:b/>
                <w:bCs/>
                <w:sz w:val="18"/>
              </w:rPr>
            </w:pPr>
            <w:r>
              <w:rPr>
                <w:rFonts w:hint="eastAsia"/>
                <w:b/>
                <w:bCs/>
                <w:sz w:val="18"/>
              </w:rPr>
              <w:t>1986</w:t>
            </w:r>
          </w:p>
        </w:tc>
        <w:tc>
          <w:tcPr>
            <w:tcW w:w="723" w:type="pct"/>
            <w:vAlign w:val="center"/>
          </w:tcPr>
          <w:p w:rsidR="00000000" w:rsidRDefault="004D2F83">
            <w:pPr>
              <w:snapToGrid w:val="0"/>
              <w:spacing w:line="400" w:lineRule="exact"/>
              <w:jc w:val="center"/>
              <w:rPr>
                <w:rFonts w:hint="eastAsia"/>
                <w:b/>
                <w:bCs/>
                <w:sz w:val="18"/>
              </w:rPr>
            </w:pPr>
            <w:r>
              <w:rPr>
                <w:rFonts w:hint="eastAsia"/>
                <w:b/>
                <w:bCs/>
                <w:sz w:val="18"/>
              </w:rPr>
              <w:t>1988</w:t>
            </w:r>
          </w:p>
        </w:tc>
        <w:tc>
          <w:tcPr>
            <w:tcW w:w="722" w:type="pct"/>
            <w:vAlign w:val="center"/>
          </w:tcPr>
          <w:p w:rsidR="00000000" w:rsidRDefault="004D2F83">
            <w:pPr>
              <w:snapToGrid w:val="0"/>
              <w:spacing w:line="400" w:lineRule="exact"/>
              <w:jc w:val="center"/>
              <w:rPr>
                <w:rFonts w:hint="eastAsia"/>
                <w:b/>
                <w:bCs/>
                <w:sz w:val="18"/>
              </w:rPr>
            </w:pPr>
            <w:r>
              <w:rPr>
                <w:rFonts w:hint="eastAsia"/>
                <w:b/>
                <w:bCs/>
                <w:sz w:val="18"/>
              </w:rPr>
              <w:t>1992</w:t>
            </w:r>
          </w:p>
        </w:tc>
      </w:tr>
      <w:tr w:rsidR="00000000">
        <w:tblPrEx>
          <w:tblCellMar>
            <w:top w:w="0" w:type="dxa"/>
            <w:bottom w:w="0" w:type="dxa"/>
          </w:tblCellMar>
        </w:tblPrEx>
        <w:tc>
          <w:tcPr>
            <w:tcW w:w="667" w:type="pct"/>
            <w:vAlign w:val="center"/>
          </w:tcPr>
          <w:p w:rsidR="00000000" w:rsidRDefault="004D2F83">
            <w:pPr>
              <w:snapToGrid w:val="0"/>
              <w:spacing w:line="400" w:lineRule="exact"/>
              <w:jc w:val="center"/>
              <w:rPr>
                <w:rFonts w:hint="eastAsia"/>
                <w:sz w:val="18"/>
              </w:rPr>
            </w:pPr>
            <w:r>
              <w:rPr>
                <w:rFonts w:hint="eastAsia"/>
                <w:sz w:val="18"/>
              </w:rPr>
              <w:t>北部</w:t>
            </w:r>
          </w:p>
        </w:tc>
        <w:tc>
          <w:tcPr>
            <w:tcW w:w="722"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4</w:t>
            </w:r>
          </w:p>
        </w:tc>
        <w:tc>
          <w:tcPr>
            <w:tcW w:w="722"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0</w:t>
            </w:r>
          </w:p>
        </w:tc>
        <w:tc>
          <w:tcPr>
            <w:tcW w:w="722"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6</w:t>
            </w:r>
          </w:p>
        </w:tc>
        <w:tc>
          <w:tcPr>
            <w:tcW w:w="723"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8</w:t>
            </w:r>
          </w:p>
        </w:tc>
        <w:tc>
          <w:tcPr>
            <w:tcW w:w="723"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19</w:t>
            </w:r>
          </w:p>
        </w:tc>
        <w:tc>
          <w:tcPr>
            <w:tcW w:w="722"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34</w:t>
            </w:r>
          </w:p>
        </w:tc>
      </w:tr>
      <w:tr w:rsidR="00000000">
        <w:tblPrEx>
          <w:tblCellMar>
            <w:top w:w="0" w:type="dxa"/>
            <w:bottom w:w="0" w:type="dxa"/>
          </w:tblCellMar>
        </w:tblPrEx>
        <w:tc>
          <w:tcPr>
            <w:tcW w:w="667" w:type="pct"/>
            <w:vAlign w:val="center"/>
          </w:tcPr>
          <w:p w:rsidR="00000000" w:rsidRDefault="004D2F83">
            <w:pPr>
              <w:pStyle w:val="Header"/>
              <w:pBdr>
                <w:bottom w:val="none" w:sz="0" w:space="0" w:color="auto"/>
              </w:pBdr>
              <w:tabs>
                <w:tab w:val="clear" w:pos="4320"/>
                <w:tab w:val="clear" w:pos="8640"/>
              </w:tabs>
              <w:snapToGrid w:val="0"/>
              <w:spacing w:line="400" w:lineRule="exact"/>
              <w:rPr>
                <w:rFonts w:hint="eastAsia"/>
              </w:rPr>
            </w:pPr>
            <w:r>
              <w:rPr>
                <w:rFonts w:hint="eastAsia"/>
              </w:rPr>
              <w:t>东北部</w:t>
            </w:r>
          </w:p>
        </w:tc>
        <w:tc>
          <w:tcPr>
            <w:tcW w:w="722"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44</w:t>
            </w:r>
          </w:p>
        </w:tc>
        <w:tc>
          <w:tcPr>
            <w:tcW w:w="722"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52</w:t>
            </w:r>
          </w:p>
        </w:tc>
        <w:tc>
          <w:tcPr>
            <w:tcW w:w="722"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51</w:t>
            </w:r>
          </w:p>
        </w:tc>
        <w:tc>
          <w:tcPr>
            <w:tcW w:w="723"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74</w:t>
            </w:r>
          </w:p>
        </w:tc>
        <w:tc>
          <w:tcPr>
            <w:tcW w:w="723"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92</w:t>
            </w:r>
          </w:p>
        </w:tc>
        <w:tc>
          <w:tcPr>
            <w:tcW w:w="722"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149</w:t>
            </w:r>
          </w:p>
        </w:tc>
      </w:tr>
      <w:tr w:rsidR="00000000">
        <w:tblPrEx>
          <w:tblCellMar>
            <w:top w:w="0" w:type="dxa"/>
            <w:bottom w:w="0" w:type="dxa"/>
          </w:tblCellMar>
        </w:tblPrEx>
        <w:tc>
          <w:tcPr>
            <w:tcW w:w="667" w:type="pct"/>
            <w:vAlign w:val="center"/>
          </w:tcPr>
          <w:p w:rsidR="00000000" w:rsidRDefault="004D2F83">
            <w:pPr>
              <w:snapToGrid w:val="0"/>
              <w:spacing w:line="400" w:lineRule="exact"/>
              <w:jc w:val="center"/>
              <w:rPr>
                <w:rFonts w:hint="eastAsia"/>
                <w:sz w:val="18"/>
              </w:rPr>
            </w:pPr>
            <w:r>
              <w:rPr>
                <w:rFonts w:hint="eastAsia"/>
                <w:sz w:val="18"/>
              </w:rPr>
              <w:t>东南部</w:t>
            </w:r>
          </w:p>
        </w:tc>
        <w:tc>
          <w:tcPr>
            <w:tcW w:w="722"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7</w:t>
            </w:r>
          </w:p>
        </w:tc>
        <w:tc>
          <w:tcPr>
            <w:tcW w:w="722"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1</w:t>
            </w:r>
          </w:p>
        </w:tc>
        <w:tc>
          <w:tcPr>
            <w:tcW w:w="722"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20</w:t>
            </w:r>
          </w:p>
        </w:tc>
        <w:tc>
          <w:tcPr>
            <w:tcW w:w="723"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17</w:t>
            </w:r>
          </w:p>
        </w:tc>
        <w:tc>
          <w:tcPr>
            <w:tcW w:w="723"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37</w:t>
            </w:r>
          </w:p>
        </w:tc>
        <w:tc>
          <w:tcPr>
            <w:tcW w:w="722"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70</w:t>
            </w:r>
          </w:p>
        </w:tc>
      </w:tr>
      <w:tr w:rsidR="00000000">
        <w:tblPrEx>
          <w:tblCellMar>
            <w:top w:w="0" w:type="dxa"/>
            <w:bottom w:w="0" w:type="dxa"/>
          </w:tblCellMar>
        </w:tblPrEx>
        <w:tc>
          <w:tcPr>
            <w:tcW w:w="667" w:type="pct"/>
            <w:vAlign w:val="center"/>
          </w:tcPr>
          <w:p w:rsidR="00000000" w:rsidRDefault="004D2F83">
            <w:pPr>
              <w:snapToGrid w:val="0"/>
              <w:spacing w:line="400" w:lineRule="exact"/>
              <w:jc w:val="center"/>
              <w:rPr>
                <w:rFonts w:hint="eastAsia"/>
                <w:sz w:val="18"/>
              </w:rPr>
            </w:pPr>
            <w:r>
              <w:rPr>
                <w:rFonts w:hint="eastAsia"/>
                <w:sz w:val="18"/>
              </w:rPr>
              <w:t>南部</w:t>
            </w:r>
          </w:p>
        </w:tc>
        <w:tc>
          <w:tcPr>
            <w:tcW w:w="722"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0</w:t>
            </w:r>
          </w:p>
        </w:tc>
        <w:tc>
          <w:tcPr>
            <w:tcW w:w="722"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2</w:t>
            </w:r>
          </w:p>
        </w:tc>
        <w:tc>
          <w:tcPr>
            <w:tcW w:w="722"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4</w:t>
            </w:r>
          </w:p>
        </w:tc>
        <w:tc>
          <w:tcPr>
            <w:tcW w:w="723"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5</w:t>
            </w:r>
          </w:p>
        </w:tc>
        <w:tc>
          <w:tcPr>
            <w:tcW w:w="723"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11</w:t>
            </w:r>
          </w:p>
        </w:tc>
        <w:tc>
          <w:tcPr>
            <w:tcW w:w="722"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32</w:t>
            </w:r>
          </w:p>
        </w:tc>
      </w:tr>
      <w:tr w:rsidR="00000000">
        <w:tblPrEx>
          <w:tblCellMar>
            <w:top w:w="0" w:type="dxa"/>
            <w:bottom w:w="0" w:type="dxa"/>
          </w:tblCellMar>
        </w:tblPrEx>
        <w:tc>
          <w:tcPr>
            <w:tcW w:w="667" w:type="pct"/>
            <w:vAlign w:val="center"/>
          </w:tcPr>
          <w:p w:rsidR="00000000" w:rsidRDefault="004D2F83">
            <w:pPr>
              <w:snapToGrid w:val="0"/>
              <w:spacing w:line="400" w:lineRule="exact"/>
              <w:jc w:val="center"/>
              <w:rPr>
                <w:rFonts w:hint="eastAsia"/>
                <w:sz w:val="18"/>
              </w:rPr>
            </w:pPr>
            <w:r>
              <w:rPr>
                <w:rFonts w:hint="eastAsia"/>
                <w:sz w:val="18"/>
              </w:rPr>
              <w:t>中西部</w:t>
            </w:r>
          </w:p>
        </w:tc>
        <w:tc>
          <w:tcPr>
            <w:tcW w:w="722"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3</w:t>
            </w:r>
          </w:p>
        </w:tc>
        <w:tc>
          <w:tcPr>
            <w:tcW w:w="722"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3</w:t>
            </w:r>
          </w:p>
        </w:tc>
        <w:tc>
          <w:tcPr>
            <w:tcW w:w="722"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2</w:t>
            </w:r>
          </w:p>
        </w:tc>
        <w:tc>
          <w:tcPr>
            <w:tcW w:w="723"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3</w:t>
            </w:r>
          </w:p>
        </w:tc>
        <w:tc>
          <w:tcPr>
            <w:tcW w:w="723"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11</w:t>
            </w:r>
          </w:p>
        </w:tc>
        <w:tc>
          <w:tcPr>
            <w:tcW w:w="722"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32</w:t>
            </w:r>
          </w:p>
        </w:tc>
      </w:tr>
      <w:tr w:rsidR="00000000">
        <w:tblPrEx>
          <w:tblCellMar>
            <w:top w:w="0" w:type="dxa"/>
            <w:bottom w:w="0" w:type="dxa"/>
          </w:tblCellMar>
        </w:tblPrEx>
        <w:tc>
          <w:tcPr>
            <w:tcW w:w="667" w:type="pct"/>
            <w:vAlign w:val="center"/>
          </w:tcPr>
          <w:p w:rsidR="00000000" w:rsidRDefault="004D2F83">
            <w:pPr>
              <w:snapToGrid w:val="0"/>
              <w:spacing w:line="400" w:lineRule="exact"/>
              <w:jc w:val="center"/>
              <w:rPr>
                <w:rFonts w:hint="eastAsia"/>
                <w:sz w:val="18"/>
              </w:rPr>
            </w:pPr>
            <w:r>
              <w:rPr>
                <w:rFonts w:hint="eastAsia"/>
                <w:sz w:val="18"/>
              </w:rPr>
              <w:t>全国总数</w:t>
            </w:r>
          </w:p>
        </w:tc>
        <w:tc>
          <w:tcPr>
            <w:tcW w:w="722"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58</w:t>
            </w:r>
          </w:p>
        </w:tc>
        <w:tc>
          <w:tcPr>
            <w:tcW w:w="722"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58</w:t>
            </w:r>
          </w:p>
        </w:tc>
        <w:tc>
          <w:tcPr>
            <w:tcW w:w="722"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83</w:t>
            </w:r>
          </w:p>
        </w:tc>
        <w:tc>
          <w:tcPr>
            <w:tcW w:w="723"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107</w:t>
            </w:r>
          </w:p>
        </w:tc>
        <w:tc>
          <w:tcPr>
            <w:tcW w:w="723"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171</w:t>
            </w:r>
          </w:p>
        </w:tc>
        <w:tc>
          <w:tcPr>
            <w:tcW w:w="722" w:type="pct"/>
            <w:vAlign w:val="center"/>
          </w:tcPr>
          <w:p w:rsidR="00000000" w:rsidRDefault="004D2F83" w:rsidP="004D2F83">
            <w:pPr>
              <w:snapToGrid w:val="0"/>
              <w:spacing w:line="400" w:lineRule="exact"/>
              <w:ind w:rightChars="223" w:right="31680"/>
              <w:jc w:val="right"/>
              <w:rPr>
                <w:rFonts w:hint="eastAsia"/>
                <w:sz w:val="18"/>
              </w:rPr>
            </w:pPr>
            <w:r>
              <w:rPr>
                <w:rFonts w:hint="eastAsia"/>
                <w:sz w:val="18"/>
              </w:rPr>
              <w:t>317</w:t>
            </w:r>
          </w:p>
        </w:tc>
      </w:tr>
    </w:tbl>
    <w:p w:rsidR="00000000" w:rsidRDefault="004D2F83">
      <w:pPr>
        <w:snapToGrid w:val="0"/>
        <w:spacing w:after="240" w:line="360" w:lineRule="exact"/>
        <w:rPr>
          <w:rFonts w:hint="eastAsia"/>
          <w:sz w:val="18"/>
        </w:rPr>
      </w:pPr>
      <w:r>
        <w:rPr>
          <w:rFonts w:eastAsia="SimHei" w:hint="eastAsia"/>
          <w:sz w:val="18"/>
        </w:rPr>
        <w:t>资料来源</w:t>
      </w:r>
      <w:r>
        <w:rPr>
          <w:rFonts w:hint="eastAsia"/>
          <w:sz w:val="18"/>
        </w:rPr>
        <w:t>：</w:t>
      </w:r>
      <w:r>
        <w:rPr>
          <w:rFonts w:hint="eastAsia"/>
          <w:sz w:val="18"/>
        </w:rPr>
        <w:t>E</w:t>
      </w:r>
      <w:r>
        <w:rPr>
          <w:sz w:val="18"/>
        </w:rPr>
        <w:t>.</w:t>
      </w:r>
      <w:r>
        <w:rPr>
          <w:rFonts w:hint="eastAsia"/>
          <w:sz w:val="18"/>
        </w:rPr>
        <w:t>布雷，《跨越隔阂：妇女与地方权力》，巴西，</w:t>
      </w:r>
      <w:r>
        <w:rPr>
          <w:rFonts w:hint="eastAsia"/>
          <w:sz w:val="18"/>
        </w:rPr>
        <w:t>1990</w:t>
      </w:r>
      <w:r>
        <w:rPr>
          <w:rFonts w:hint="eastAsia"/>
          <w:sz w:val="18"/>
        </w:rPr>
        <w:t>年，巴西城市行政管理学院，全国城市服务学校，妇女与公共政策研究中心。</w:t>
      </w:r>
    </w:p>
    <w:p w:rsidR="00000000" w:rsidRDefault="004D2F83" w:rsidP="004D2F83">
      <w:pPr>
        <w:snapToGrid w:val="0"/>
        <w:spacing w:after="240" w:line="360" w:lineRule="exact"/>
        <w:ind w:firstLineChars="200" w:firstLine="31680"/>
        <w:rPr>
          <w:rFonts w:hint="eastAsia"/>
        </w:rPr>
      </w:pPr>
      <w:r>
        <w:rPr>
          <w:rFonts w:hint="eastAsia"/>
        </w:rPr>
        <w:t>在政府各部中，旨在消除男女不平等及种族</w:t>
      </w:r>
      <w:r>
        <w:rPr>
          <w:rFonts w:hint="eastAsia"/>
        </w:rPr>
        <w:t>/</w:t>
      </w:r>
      <w:r>
        <w:rPr>
          <w:rFonts w:hint="eastAsia"/>
        </w:rPr>
        <w:t>民族不平等的努力最近才刚刚开始。由政府各部制定的一些方案，如全国加强家庭农业方案（</w:t>
      </w:r>
      <w:r>
        <w:rPr>
          <w:rFonts w:hint="eastAsia"/>
        </w:rPr>
        <w:t>PRONAF</w:t>
      </w:r>
      <w:r>
        <w:rPr>
          <w:rFonts w:hint="eastAsia"/>
        </w:rPr>
        <w:t>）、创造就业机会和创收方案（</w:t>
      </w:r>
      <w:r>
        <w:rPr>
          <w:rFonts w:hint="eastAsia"/>
        </w:rPr>
        <w:t>PRONGER</w:t>
      </w:r>
      <w:r>
        <w:rPr>
          <w:rFonts w:hint="eastAsia"/>
        </w:rPr>
        <w:t>）以及工人援助方案（</w:t>
      </w:r>
      <w:r>
        <w:rPr>
          <w:rFonts w:hint="eastAsia"/>
        </w:rPr>
        <w:t>FAT</w:t>
      </w:r>
      <w:r>
        <w:rPr>
          <w:rFonts w:hint="eastAsia"/>
        </w:rPr>
        <w:t>），都有用于工人提高技能和发展的专项资金，并有针对妇女的特</w:t>
      </w:r>
      <w:r>
        <w:rPr>
          <w:rFonts w:hint="eastAsia"/>
        </w:rPr>
        <w:t>别奖励措施。土地开发部执行了一项重要的开创性措施，目的是促进决策职位上的男女平等。为此，土地开发部采用了一套性别百分比制度。此外，该部还在土地改革中实施了配额方案，首先将全部资金的</w:t>
      </w:r>
      <w:r>
        <w:rPr>
          <w:rFonts w:hint="eastAsia"/>
        </w:rPr>
        <w:t>30%</w:t>
      </w:r>
      <w:r>
        <w:rPr>
          <w:rFonts w:hint="eastAsia"/>
        </w:rPr>
        <w:t>作为专款，提供给领导着家庭农业单位、有固定居所的妇女。据土地开发部的估计，尽管全国有一半人口为女性，但在土地改革所有权证书的全部持有者当中，妇女只占</w:t>
      </w:r>
      <w:r>
        <w:rPr>
          <w:rFonts w:hint="eastAsia"/>
        </w:rPr>
        <w:t>11%</w:t>
      </w:r>
      <w:r>
        <w:rPr>
          <w:rFonts w:hint="eastAsia"/>
        </w:rPr>
        <w:t>。针对种族</w:t>
      </w:r>
      <w:r>
        <w:rPr>
          <w:rFonts w:hint="eastAsia"/>
        </w:rPr>
        <w:t>/</w:t>
      </w:r>
      <w:r>
        <w:rPr>
          <w:rFonts w:hint="eastAsia"/>
        </w:rPr>
        <w:t>民族歧视现象，土地开发部还采纳了限额政策，将</w:t>
      </w:r>
      <w:r>
        <w:rPr>
          <w:rFonts w:hint="eastAsia"/>
        </w:rPr>
        <w:t>20%</w:t>
      </w:r>
      <w:r>
        <w:rPr>
          <w:rFonts w:hint="eastAsia"/>
        </w:rPr>
        <w:t>的管理职位和外购服务指派给非洲后裔。</w:t>
      </w:r>
      <w:r>
        <w:rPr>
          <w:rFonts w:hint="eastAsia"/>
        </w:rPr>
        <w:t>2003</w:t>
      </w:r>
      <w:r>
        <w:rPr>
          <w:rFonts w:hint="eastAsia"/>
        </w:rPr>
        <w:t>年的目标是</w:t>
      </w:r>
      <w:r>
        <w:rPr>
          <w:rFonts w:hint="eastAsia"/>
        </w:rPr>
        <w:t>30%</w:t>
      </w:r>
      <w:r>
        <w:rPr>
          <w:rFonts w:hint="eastAsia"/>
        </w:rPr>
        <w:t>。在这个问题上，司法部通过</w:t>
      </w:r>
      <w:r>
        <w:rPr>
          <w:rFonts w:hint="eastAsia"/>
        </w:rPr>
        <w:t>2001</w:t>
      </w:r>
      <w:r>
        <w:rPr>
          <w:rFonts w:hint="eastAsia"/>
        </w:rPr>
        <w:t>年</w:t>
      </w:r>
      <w:r>
        <w:rPr>
          <w:rFonts w:hint="eastAsia"/>
        </w:rPr>
        <w:t>12</w:t>
      </w:r>
      <w:r>
        <w:rPr>
          <w:rFonts w:hint="eastAsia"/>
        </w:rPr>
        <w:t>月</w:t>
      </w:r>
      <w:r>
        <w:rPr>
          <w:rFonts w:hint="eastAsia"/>
        </w:rPr>
        <w:t>20</w:t>
      </w:r>
      <w:r>
        <w:rPr>
          <w:rFonts w:hint="eastAsia"/>
        </w:rPr>
        <w:t>日颁</w:t>
      </w:r>
      <w:r>
        <w:rPr>
          <w:rFonts w:hint="eastAsia"/>
        </w:rPr>
        <w:t>布的第</w:t>
      </w:r>
      <w:r>
        <w:t>1</w:t>
      </w:r>
      <w:r>
        <w:rPr>
          <w:rFonts w:hint="eastAsia"/>
        </w:rPr>
        <w:t>156</w:t>
      </w:r>
      <w:r>
        <w:rPr>
          <w:rFonts w:hint="eastAsia"/>
        </w:rPr>
        <w:t>号行政裁定，制定了管理职位和外购服务的肯定行动方案。在这些职位中，将有</w:t>
      </w:r>
      <w:r>
        <w:rPr>
          <w:rFonts w:hint="eastAsia"/>
        </w:rPr>
        <w:t>20%</w:t>
      </w:r>
      <w:r>
        <w:rPr>
          <w:rFonts w:hint="eastAsia"/>
        </w:rPr>
        <w:t>的职位由非洲后裔公民担任，</w:t>
      </w:r>
      <w:r>
        <w:rPr>
          <w:rFonts w:hint="eastAsia"/>
        </w:rPr>
        <w:t>20%</w:t>
      </w:r>
      <w:r>
        <w:rPr>
          <w:rFonts w:hint="eastAsia"/>
        </w:rPr>
        <w:t>由妇女担任，</w:t>
      </w:r>
      <w:r>
        <w:rPr>
          <w:rFonts w:hint="eastAsia"/>
        </w:rPr>
        <w:t>5%</w:t>
      </w:r>
      <w:r>
        <w:rPr>
          <w:rFonts w:hint="eastAsia"/>
        </w:rPr>
        <w:t>由身体残疾者担任。</w:t>
      </w:r>
    </w:p>
    <w:p w:rsidR="00000000" w:rsidRDefault="004D2F83" w:rsidP="004D2F83">
      <w:pPr>
        <w:snapToGrid w:val="0"/>
        <w:spacing w:after="240" w:line="360" w:lineRule="exact"/>
        <w:ind w:firstLineChars="200" w:firstLine="31680"/>
        <w:rPr>
          <w:rFonts w:hint="eastAsia"/>
        </w:rPr>
      </w:pPr>
      <w:r>
        <w:rPr>
          <w:rFonts w:hint="eastAsia"/>
        </w:rPr>
        <w:t>值得一提的是，在对外关系部内，里约布兰科学院的《肯定行动合作议定书修订案》于</w:t>
      </w:r>
      <w:r>
        <w:rPr>
          <w:rFonts w:hint="eastAsia"/>
        </w:rPr>
        <w:t>2002</w:t>
      </w:r>
      <w:r>
        <w:rPr>
          <w:rFonts w:hint="eastAsia"/>
        </w:rPr>
        <w:t>年</w:t>
      </w:r>
      <w:r>
        <w:rPr>
          <w:rFonts w:hint="eastAsia"/>
        </w:rPr>
        <w:t>5</w:t>
      </w:r>
      <w:r>
        <w:rPr>
          <w:rFonts w:hint="eastAsia"/>
        </w:rPr>
        <w:t>月</w:t>
      </w:r>
      <w:r>
        <w:rPr>
          <w:rFonts w:hint="eastAsia"/>
        </w:rPr>
        <w:t>14</w:t>
      </w:r>
      <w:r>
        <w:rPr>
          <w:rFonts w:hint="eastAsia"/>
        </w:rPr>
        <w:t>日签署，该修订案设立了“外交职业奖学金奖”。凭借这份文件，每年可以得到总数达</w:t>
      </w:r>
      <w:r>
        <w:rPr>
          <w:rFonts w:hint="eastAsia"/>
        </w:rPr>
        <w:t>35</w:t>
      </w:r>
      <w:r>
        <w:rPr>
          <w:rFonts w:hint="eastAsia"/>
        </w:rPr>
        <w:t>万雷亚尔的资金，可以立即在议定书的框架内采取具体行动。希望备考参加里约布兰科学院入学考试、以便今后进入外交界就职的非裔巴西人可以在</w:t>
      </w:r>
      <w:r>
        <w:rPr>
          <w:rFonts w:hint="eastAsia"/>
        </w:rPr>
        <w:t>5</w:t>
      </w:r>
      <w:r>
        <w:rPr>
          <w:rFonts w:hint="eastAsia"/>
        </w:rPr>
        <w:t>月</w:t>
      </w:r>
      <w:r>
        <w:rPr>
          <w:rFonts w:hint="eastAsia"/>
        </w:rPr>
        <w:t>14</w:t>
      </w:r>
      <w:r>
        <w:rPr>
          <w:rFonts w:hint="eastAsia"/>
        </w:rPr>
        <w:t>日至</w:t>
      </w:r>
      <w:r>
        <w:rPr>
          <w:rFonts w:hint="eastAsia"/>
        </w:rPr>
        <w:t>6</w:t>
      </w:r>
      <w:r>
        <w:rPr>
          <w:rFonts w:hint="eastAsia"/>
        </w:rPr>
        <w:t>月</w:t>
      </w:r>
      <w:r>
        <w:rPr>
          <w:rFonts w:hint="eastAsia"/>
        </w:rPr>
        <w:t>20</w:t>
      </w:r>
      <w:r>
        <w:rPr>
          <w:rFonts w:hint="eastAsia"/>
        </w:rPr>
        <w:t>日之间递交登记表，对</w:t>
      </w:r>
      <w:r>
        <w:rPr>
          <w:rFonts w:hint="eastAsia"/>
        </w:rPr>
        <w:t>20</w:t>
      </w:r>
      <w:r>
        <w:rPr>
          <w:rFonts w:hint="eastAsia"/>
        </w:rPr>
        <w:t>项年度</w:t>
      </w:r>
      <w:r>
        <w:rPr>
          <w:rFonts w:hint="eastAsia"/>
        </w:rPr>
        <w:t>奖学金提出申请。对申请者的筛选工作也将考虑到性别平等。</w:t>
      </w:r>
    </w:p>
    <w:p w:rsidR="00000000" w:rsidRDefault="004D2F83">
      <w:pPr>
        <w:snapToGrid w:val="0"/>
        <w:spacing w:after="240" w:line="360" w:lineRule="exact"/>
        <w:rPr>
          <w:rFonts w:eastAsia="SimHei" w:hint="eastAsia"/>
          <w:sz w:val="24"/>
        </w:rPr>
      </w:pPr>
      <w:r>
        <w:rPr>
          <w:rFonts w:eastAsia="SimHei" w:hint="eastAsia"/>
          <w:sz w:val="24"/>
        </w:rPr>
        <w:t>司法机构</w:t>
      </w:r>
    </w:p>
    <w:p w:rsidR="00000000" w:rsidRDefault="004D2F83" w:rsidP="004D2F83">
      <w:pPr>
        <w:snapToGrid w:val="0"/>
        <w:spacing w:after="240" w:line="360" w:lineRule="exact"/>
        <w:ind w:firstLineChars="200" w:firstLine="31680"/>
        <w:rPr>
          <w:rFonts w:hint="eastAsia"/>
        </w:rPr>
      </w:pPr>
      <w:r>
        <w:rPr>
          <w:rFonts w:hint="eastAsia"/>
        </w:rPr>
        <w:t>在司法机构内，值得强调指出的是，有五位妇女被任命为陪审法官——其中三人在最高法院，一人在联邦最高法院，另一人在最高劳资争议法庭，这是前所未有的重要事件。但妇女在这些法院中的参与程度仍然很低，而且最高选举法院和军事法院中没有一名女性成员。</w:t>
      </w:r>
    </w:p>
    <w:p w:rsidR="00000000" w:rsidRDefault="004D2F83" w:rsidP="004D2F83">
      <w:pPr>
        <w:snapToGrid w:val="0"/>
        <w:spacing w:after="240" w:line="360" w:lineRule="exact"/>
        <w:ind w:firstLineChars="200" w:firstLine="31680"/>
        <w:rPr>
          <w:rFonts w:hint="eastAsia"/>
        </w:rPr>
      </w:pPr>
      <w:r>
        <w:rPr>
          <w:rFonts w:hint="eastAsia"/>
        </w:rPr>
        <w:t>1999</w:t>
      </w:r>
      <w:r>
        <w:rPr>
          <w:rFonts w:hint="eastAsia"/>
        </w:rPr>
        <w:t>年</w:t>
      </w:r>
      <w:r>
        <w:rPr>
          <w:rFonts w:hint="eastAsia"/>
        </w:rPr>
        <w:t>8</w:t>
      </w:r>
      <w:r>
        <w:rPr>
          <w:rFonts w:hint="eastAsia"/>
        </w:rPr>
        <w:t>月</w:t>
      </w:r>
      <w:r>
        <w:rPr>
          <w:rFonts w:hint="eastAsia"/>
        </w:rPr>
        <w:t>11</w:t>
      </w:r>
      <w:r>
        <w:rPr>
          <w:rFonts w:hint="eastAsia"/>
        </w:rPr>
        <w:t>日，众议院宪法与司法委员会通过了第</w:t>
      </w:r>
      <w:r>
        <w:rPr>
          <w:rFonts w:hint="eastAsia"/>
        </w:rPr>
        <w:t>7/99</w:t>
      </w:r>
      <w:r>
        <w:rPr>
          <w:rFonts w:hint="eastAsia"/>
        </w:rPr>
        <w:t>号宪法修订案，这项法律对联邦最高法院的人员组成具有直接影响，是一项肯定性的措施，旨在改变司法界高层职位中女性比例偏低的情况。法案在《联邦宪法》第</w:t>
      </w:r>
      <w:r>
        <w:rPr>
          <w:rFonts w:hint="eastAsia"/>
        </w:rPr>
        <w:t>10</w:t>
      </w:r>
      <w:r>
        <w:rPr>
          <w:rFonts w:hint="eastAsia"/>
        </w:rPr>
        <w:t>1</w:t>
      </w:r>
      <w:r>
        <w:rPr>
          <w:rFonts w:hint="eastAsia"/>
        </w:rPr>
        <w:t>条中添加了一段新内容，规定陪审法官的任命应遵守男女轮换原则。</w:t>
      </w:r>
    </w:p>
    <w:p w:rsidR="00000000" w:rsidRDefault="004D2F83" w:rsidP="004D2F83">
      <w:pPr>
        <w:snapToGrid w:val="0"/>
        <w:spacing w:after="240" w:line="360" w:lineRule="exact"/>
        <w:ind w:firstLineChars="200" w:firstLine="31680"/>
        <w:rPr>
          <w:rFonts w:hint="eastAsia"/>
        </w:rPr>
      </w:pPr>
      <w:r>
        <w:rPr>
          <w:rFonts w:hint="eastAsia"/>
        </w:rPr>
        <w:t>打破司法界男性垄断的源动力来自政府和非政府妇女组织的动员工作，具体表现形式是在司法部门担任管理职位的女性人数逐渐增多。值得注意的是，任命行政与司法部门的高级职务是共和国总统的职责。因此，可以作出政治决定，在这些职位的任职上实现性别平等。</w:t>
      </w:r>
    </w:p>
    <w:p w:rsidR="00000000" w:rsidRDefault="004D2F83" w:rsidP="004D2F83">
      <w:pPr>
        <w:snapToGrid w:val="0"/>
        <w:spacing w:after="240" w:line="360" w:lineRule="exact"/>
        <w:ind w:firstLineChars="200" w:firstLine="31680"/>
        <w:rPr>
          <w:rFonts w:hint="eastAsia"/>
        </w:rPr>
      </w:pPr>
      <w:r>
        <w:rPr>
          <w:rFonts w:hint="eastAsia"/>
        </w:rPr>
        <w:t>值得强调指出的是，政治学家露西娅·阿韦拉尔提供的数据表明，在司法机构中担任其他职务的妇女已经非常多了，她们目前占总人数的</w:t>
      </w:r>
      <w:r>
        <w:rPr>
          <w:rFonts w:hint="eastAsia"/>
        </w:rPr>
        <w:t>30%</w:t>
      </w:r>
      <w:r>
        <w:rPr>
          <w:rFonts w:hint="eastAsia"/>
        </w:rPr>
        <w:t>左右。</w:t>
      </w:r>
    </w:p>
    <w:p w:rsidR="00000000" w:rsidRDefault="004D2F83">
      <w:pPr>
        <w:pStyle w:val="BodyTextIndent"/>
        <w:snapToGrid w:val="0"/>
        <w:ind w:firstLine="404"/>
        <w:rPr>
          <w:rFonts w:hint="eastAsia"/>
          <w:spacing w:val="-4"/>
        </w:rPr>
      </w:pPr>
      <w:r>
        <w:rPr>
          <w:rFonts w:hint="eastAsia"/>
          <w:spacing w:val="-4"/>
        </w:rPr>
        <w:t>在高等法院和初等民事法院中任职的女性比例比较高，这是因为得到这些职位需要通过</w:t>
      </w:r>
      <w:r>
        <w:rPr>
          <w:rFonts w:hint="eastAsia"/>
          <w:spacing w:val="-4"/>
        </w:rPr>
        <w:t>考试，而非任命。</w:t>
      </w:r>
    </w:p>
    <w:p w:rsidR="00000000" w:rsidRDefault="004D2F83">
      <w:pPr>
        <w:snapToGrid w:val="0"/>
        <w:spacing w:after="120" w:line="320" w:lineRule="exact"/>
        <w:jc w:val="center"/>
        <w:rPr>
          <w:rFonts w:ascii="SimHei" w:eastAsia="SimHei" w:hint="eastAsia"/>
        </w:rPr>
      </w:pPr>
      <w:r>
        <w:rPr>
          <w:rFonts w:ascii="SimHei" w:eastAsia="SimHei" w:hint="eastAsia"/>
        </w:rPr>
        <w:t>表</w:t>
      </w:r>
      <w:r>
        <w:rPr>
          <w:rFonts w:ascii="SimHei" w:eastAsia="SimHei" w:hint="eastAsia"/>
        </w:rPr>
        <w:t>19</w:t>
      </w:r>
      <w:r>
        <w:rPr>
          <w:rFonts w:ascii="SimHei" w:eastAsia="SimHei" w:hint="eastAsia"/>
        </w:rPr>
        <w:t>．初等法院、联邦高等法院和劳资争议法庭中男女法官的</w:t>
      </w:r>
    </w:p>
    <w:p w:rsidR="00000000" w:rsidRDefault="004D2F83">
      <w:pPr>
        <w:snapToGrid w:val="0"/>
        <w:spacing w:after="120" w:line="320" w:lineRule="exact"/>
        <w:jc w:val="center"/>
        <w:rPr>
          <w:rFonts w:ascii="SimHei" w:eastAsia="SimHei" w:hint="eastAsia"/>
        </w:rPr>
      </w:pPr>
      <w:r>
        <w:rPr>
          <w:rFonts w:ascii="SimHei" w:eastAsia="SimHei" w:hint="eastAsia"/>
        </w:rPr>
        <w:t>人数、职位总数及空缺比例</w:t>
      </w:r>
    </w:p>
    <w:p w:rsidR="00000000" w:rsidRDefault="004D2F83">
      <w:pPr>
        <w:snapToGrid w:val="0"/>
        <w:spacing w:after="240" w:line="360" w:lineRule="exact"/>
        <w:jc w:val="center"/>
        <w:rPr>
          <w:rFonts w:ascii="SimHei" w:eastAsia="SimHei" w:hint="eastAsia"/>
        </w:rPr>
      </w:pPr>
      <w:r>
        <w:rPr>
          <w:rFonts w:ascii="SimHei" w:eastAsia="SimHei" w:hint="eastAsia"/>
        </w:rPr>
        <w:t>巴西，</w:t>
      </w:r>
      <w:r>
        <w:rPr>
          <w:rFonts w:ascii="SimHei" w:eastAsia="SimHei" w:hint="eastAsia"/>
        </w:rPr>
        <w:t>1999</w:t>
      </w:r>
      <w:r>
        <w:rPr>
          <w:rFonts w:ascii="SimHei" w:eastAsia="SimHei" w:hint="eastAsia"/>
        </w:rPr>
        <w:t>年</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1954"/>
        <w:gridCol w:w="999"/>
        <w:gridCol w:w="1001"/>
        <w:gridCol w:w="1476"/>
        <w:gridCol w:w="999"/>
        <w:gridCol w:w="999"/>
        <w:gridCol w:w="820"/>
      </w:tblGrid>
      <w:tr w:rsidR="00000000">
        <w:tblPrEx>
          <w:tblCellMar>
            <w:top w:w="0" w:type="dxa"/>
            <w:bottom w:w="0" w:type="dxa"/>
          </w:tblCellMar>
        </w:tblPrEx>
        <w:trPr>
          <w:cantSplit/>
        </w:trPr>
        <w:tc>
          <w:tcPr>
            <w:tcW w:w="815" w:type="pct"/>
            <w:vAlign w:val="center"/>
          </w:tcPr>
          <w:p w:rsidR="00000000" w:rsidRDefault="004D2F83">
            <w:pPr>
              <w:snapToGrid w:val="0"/>
              <w:spacing w:line="360" w:lineRule="exact"/>
              <w:jc w:val="center"/>
              <w:rPr>
                <w:rFonts w:eastAsia="SimHei" w:hint="eastAsia"/>
                <w:sz w:val="18"/>
              </w:rPr>
            </w:pPr>
            <w:r>
              <w:rPr>
                <w:rFonts w:eastAsia="SimHei" w:hint="eastAsia"/>
                <w:sz w:val="18"/>
              </w:rPr>
              <w:t>机构</w:t>
            </w:r>
          </w:p>
        </w:tc>
        <w:tc>
          <w:tcPr>
            <w:tcW w:w="991" w:type="pct"/>
            <w:vAlign w:val="center"/>
          </w:tcPr>
          <w:p w:rsidR="00000000" w:rsidRDefault="004D2F83">
            <w:pPr>
              <w:snapToGrid w:val="0"/>
              <w:spacing w:line="360" w:lineRule="exact"/>
              <w:jc w:val="center"/>
              <w:rPr>
                <w:rFonts w:eastAsia="SimHei" w:hint="eastAsia"/>
                <w:sz w:val="18"/>
              </w:rPr>
            </w:pPr>
            <w:r>
              <w:rPr>
                <w:rFonts w:eastAsia="SimHei" w:hint="eastAsia"/>
                <w:sz w:val="18"/>
              </w:rPr>
              <w:t>法律规定的职位</w:t>
            </w:r>
          </w:p>
        </w:tc>
        <w:tc>
          <w:tcPr>
            <w:tcW w:w="1015" w:type="pct"/>
            <w:gridSpan w:val="2"/>
            <w:vAlign w:val="center"/>
          </w:tcPr>
          <w:p w:rsidR="00000000" w:rsidRDefault="004D2F83">
            <w:pPr>
              <w:snapToGrid w:val="0"/>
              <w:spacing w:line="360" w:lineRule="exact"/>
              <w:jc w:val="center"/>
              <w:rPr>
                <w:rFonts w:eastAsia="SimHei" w:hint="eastAsia"/>
                <w:sz w:val="18"/>
              </w:rPr>
            </w:pPr>
            <w:r>
              <w:rPr>
                <w:rFonts w:eastAsia="SimHei" w:hint="eastAsia"/>
                <w:sz w:val="18"/>
              </w:rPr>
              <w:t>已任命的职位</w:t>
            </w:r>
          </w:p>
        </w:tc>
        <w:tc>
          <w:tcPr>
            <w:tcW w:w="749" w:type="pct"/>
            <w:vAlign w:val="center"/>
          </w:tcPr>
          <w:p w:rsidR="00000000" w:rsidRDefault="004D2F83">
            <w:pPr>
              <w:snapToGrid w:val="0"/>
              <w:spacing w:line="360" w:lineRule="exact"/>
              <w:jc w:val="center"/>
              <w:rPr>
                <w:rFonts w:eastAsia="SimHei" w:hint="eastAsia"/>
                <w:sz w:val="18"/>
              </w:rPr>
            </w:pPr>
            <w:r>
              <w:rPr>
                <w:rFonts w:eastAsia="SimHei" w:hint="eastAsia"/>
                <w:sz w:val="18"/>
              </w:rPr>
              <w:t>空缺的职位</w:t>
            </w:r>
          </w:p>
        </w:tc>
        <w:tc>
          <w:tcPr>
            <w:tcW w:w="1430" w:type="pct"/>
            <w:gridSpan w:val="3"/>
            <w:vAlign w:val="center"/>
          </w:tcPr>
          <w:p w:rsidR="00000000" w:rsidRDefault="004D2F83">
            <w:pPr>
              <w:snapToGrid w:val="0"/>
              <w:spacing w:line="360" w:lineRule="exact"/>
              <w:jc w:val="center"/>
              <w:rPr>
                <w:rFonts w:eastAsia="SimHei" w:hint="eastAsia"/>
                <w:sz w:val="18"/>
              </w:rPr>
            </w:pPr>
            <w:r>
              <w:rPr>
                <w:rFonts w:eastAsia="SimHei" w:hint="eastAsia"/>
                <w:sz w:val="18"/>
              </w:rPr>
              <w:t>百分比</w:t>
            </w:r>
          </w:p>
        </w:tc>
      </w:tr>
      <w:tr w:rsidR="00000000">
        <w:tblPrEx>
          <w:tblCellMar>
            <w:top w:w="0" w:type="dxa"/>
            <w:bottom w:w="0" w:type="dxa"/>
          </w:tblCellMar>
        </w:tblPrEx>
        <w:tc>
          <w:tcPr>
            <w:tcW w:w="815" w:type="pct"/>
            <w:vAlign w:val="center"/>
          </w:tcPr>
          <w:p w:rsidR="00000000" w:rsidRDefault="004D2F83">
            <w:pPr>
              <w:snapToGrid w:val="0"/>
              <w:spacing w:line="360" w:lineRule="exact"/>
              <w:jc w:val="center"/>
              <w:rPr>
                <w:rFonts w:eastAsia="SimHei" w:hint="eastAsia"/>
                <w:sz w:val="18"/>
              </w:rPr>
            </w:pPr>
          </w:p>
        </w:tc>
        <w:tc>
          <w:tcPr>
            <w:tcW w:w="991" w:type="pct"/>
            <w:vAlign w:val="center"/>
          </w:tcPr>
          <w:p w:rsidR="00000000" w:rsidRDefault="004D2F83">
            <w:pPr>
              <w:snapToGrid w:val="0"/>
              <w:spacing w:line="360" w:lineRule="exact"/>
              <w:jc w:val="center"/>
              <w:rPr>
                <w:rFonts w:eastAsia="SimHei" w:hint="eastAsia"/>
                <w:sz w:val="18"/>
              </w:rPr>
            </w:pPr>
          </w:p>
        </w:tc>
        <w:tc>
          <w:tcPr>
            <w:tcW w:w="507" w:type="pct"/>
            <w:vAlign w:val="center"/>
          </w:tcPr>
          <w:p w:rsidR="00000000" w:rsidRDefault="004D2F83">
            <w:pPr>
              <w:snapToGrid w:val="0"/>
              <w:spacing w:line="360" w:lineRule="exact"/>
              <w:jc w:val="center"/>
              <w:rPr>
                <w:rFonts w:eastAsia="SimHei" w:hint="eastAsia"/>
                <w:sz w:val="18"/>
              </w:rPr>
            </w:pPr>
            <w:r>
              <w:rPr>
                <w:rFonts w:eastAsia="SimHei" w:hint="eastAsia"/>
                <w:sz w:val="18"/>
              </w:rPr>
              <w:t>男法官</w:t>
            </w:r>
          </w:p>
        </w:tc>
        <w:tc>
          <w:tcPr>
            <w:tcW w:w="507" w:type="pct"/>
            <w:vAlign w:val="center"/>
          </w:tcPr>
          <w:p w:rsidR="00000000" w:rsidRDefault="004D2F83">
            <w:pPr>
              <w:snapToGrid w:val="0"/>
              <w:spacing w:line="360" w:lineRule="exact"/>
              <w:jc w:val="center"/>
              <w:rPr>
                <w:rFonts w:eastAsia="SimHei" w:hint="eastAsia"/>
                <w:sz w:val="18"/>
              </w:rPr>
            </w:pPr>
            <w:r>
              <w:rPr>
                <w:rFonts w:eastAsia="SimHei" w:hint="eastAsia"/>
                <w:sz w:val="18"/>
              </w:rPr>
              <w:t>女法官</w:t>
            </w:r>
          </w:p>
        </w:tc>
        <w:tc>
          <w:tcPr>
            <w:tcW w:w="749" w:type="pct"/>
            <w:vAlign w:val="center"/>
          </w:tcPr>
          <w:p w:rsidR="00000000" w:rsidRDefault="004D2F83">
            <w:pPr>
              <w:snapToGrid w:val="0"/>
              <w:spacing w:line="360" w:lineRule="exact"/>
              <w:jc w:val="center"/>
              <w:rPr>
                <w:rFonts w:eastAsia="SimHei" w:hint="eastAsia"/>
                <w:sz w:val="18"/>
              </w:rPr>
            </w:pPr>
          </w:p>
        </w:tc>
        <w:tc>
          <w:tcPr>
            <w:tcW w:w="507" w:type="pct"/>
            <w:vAlign w:val="center"/>
          </w:tcPr>
          <w:p w:rsidR="00000000" w:rsidRDefault="004D2F83">
            <w:pPr>
              <w:snapToGrid w:val="0"/>
              <w:spacing w:line="360" w:lineRule="exact"/>
              <w:jc w:val="center"/>
              <w:rPr>
                <w:rFonts w:eastAsia="SimHei" w:hint="eastAsia"/>
                <w:sz w:val="18"/>
              </w:rPr>
            </w:pPr>
            <w:r>
              <w:rPr>
                <w:rFonts w:eastAsia="SimHei" w:hint="eastAsia"/>
                <w:sz w:val="18"/>
              </w:rPr>
              <w:t>男法官</w:t>
            </w:r>
          </w:p>
        </w:tc>
        <w:tc>
          <w:tcPr>
            <w:tcW w:w="507" w:type="pct"/>
            <w:vAlign w:val="center"/>
          </w:tcPr>
          <w:p w:rsidR="00000000" w:rsidRDefault="004D2F83">
            <w:pPr>
              <w:snapToGrid w:val="0"/>
              <w:spacing w:line="360" w:lineRule="exact"/>
              <w:jc w:val="center"/>
              <w:rPr>
                <w:rFonts w:eastAsia="SimHei" w:hint="eastAsia"/>
                <w:sz w:val="18"/>
              </w:rPr>
            </w:pPr>
            <w:r>
              <w:rPr>
                <w:rFonts w:eastAsia="SimHei" w:hint="eastAsia"/>
                <w:sz w:val="18"/>
              </w:rPr>
              <w:t>女法官</w:t>
            </w:r>
          </w:p>
        </w:tc>
        <w:tc>
          <w:tcPr>
            <w:tcW w:w="415" w:type="pct"/>
            <w:vAlign w:val="center"/>
          </w:tcPr>
          <w:p w:rsidR="00000000" w:rsidRDefault="004D2F83">
            <w:pPr>
              <w:snapToGrid w:val="0"/>
              <w:spacing w:line="360" w:lineRule="exact"/>
              <w:jc w:val="center"/>
              <w:rPr>
                <w:rFonts w:eastAsia="SimHei" w:hint="eastAsia"/>
                <w:sz w:val="18"/>
              </w:rPr>
            </w:pPr>
            <w:r>
              <w:rPr>
                <w:rFonts w:eastAsia="SimHei" w:hint="eastAsia"/>
                <w:sz w:val="18"/>
              </w:rPr>
              <w:t>空缺</w:t>
            </w:r>
          </w:p>
        </w:tc>
      </w:tr>
      <w:tr w:rsidR="00000000">
        <w:tblPrEx>
          <w:tblCellMar>
            <w:top w:w="0" w:type="dxa"/>
            <w:bottom w:w="0" w:type="dxa"/>
          </w:tblCellMar>
        </w:tblPrEx>
        <w:tc>
          <w:tcPr>
            <w:tcW w:w="815" w:type="pct"/>
            <w:vAlign w:val="center"/>
          </w:tcPr>
          <w:p w:rsidR="00000000" w:rsidRDefault="004D2F83">
            <w:pPr>
              <w:snapToGrid w:val="0"/>
              <w:spacing w:line="360" w:lineRule="exact"/>
              <w:jc w:val="center"/>
              <w:rPr>
                <w:rFonts w:hint="eastAsia"/>
                <w:sz w:val="18"/>
              </w:rPr>
            </w:pPr>
            <w:r>
              <w:rPr>
                <w:rFonts w:hint="eastAsia"/>
                <w:sz w:val="18"/>
              </w:rPr>
              <w:t>初等法院</w:t>
            </w:r>
          </w:p>
        </w:tc>
        <w:tc>
          <w:tcPr>
            <w:tcW w:w="991" w:type="pct"/>
            <w:vAlign w:val="center"/>
          </w:tcPr>
          <w:p w:rsidR="00000000" w:rsidRDefault="004D2F83">
            <w:pPr>
              <w:snapToGrid w:val="0"/>
              <w:spacing w:line="360" w:lineRule="exact"/>
              <w:jc w:val="center"/>
              <w:rPr>
                <w:sz w:val="18"/>
              </w:rPr>
            </w:pPr>
            <w:r>
              <w:rPr>
                <w:sz w:val="18"/>
              </w:rPr>
              <w:t>9 678</w:t>
            </w:r>
          </w:p>
        </w:tc>
        <w:tc>
          <w:tcPr>
            <w:tcW w:w="507" w:type="pct"/>
            <w:vAlign w:val="center"/>
          </w:tcPr>
          <w:p w:rsidR="00000000" w:rsidRDefault="004D2F83">
            <w:pPr>
              <w:snapToGrid w:val="0"/>
              <w:spacing w:line="360" w:lineRule="exact"/>
              <w:jc w:val="center"/>
              <w:rPr>
                <w:sz w:val="18"/>
              </w:rPr>
            </w:pPr>
            <w:r>
              <w:rPr>
                <w:sz w:val="18"/>
              </w:rPr>
              <w:t>4 977</w:t>
            </w:r>
          </w:p>
        </w:tc>
        <w:tc>
          <w:tcPr>
            <w:tcW w:w="507" w:type="pct"/>
            <w:vAlign w:val="center"/>
          </w:tcPr>
          <w:p w:rsidR="00000000" w:rsidRDefault="004D2F83">
            <w:pPr>
              <w:snapToGrid w:val="0"/>
              <w:spacing w:line="360" w:lineRule="exact"/>
              <w:jc w:val="center"/>
              <w:rPr>
                <w:sz w:val="18"/>
              </w:rPr>
            </w:pPr>
            <w:r>
              <w:rPr>
                <w:sz w:val="18"/>
              </w:rPr>
              <w:t>2 221</w:t>
            </w:r>
          </w:p>
        </w:tc>
        <w:tc>
          <w:tcPr>
            <w:tcW w:w="749" w:type="pct"/>
            <w:vAlign w:val="center"/>
          </w:tcPr>
          <w:p w:rsidR="00000000" w:rsidRDefault="004D2F83">
            <w:pPr>
              <w:snapToGrid w:val="0"/>
              <w:spacing w:line="360" w:lineRule="exact"/>
              <w:jc w:val="center"/>
              <w:rPr>
                <w:sz w:val="18"/>
              </w:rPr>
            </w:pPr>
            <w:r>
              <w:rPr>
                <w:sz w:val="18"/>
              </w:rPr>
              <w:t>2 480</w:t>
            </w:r>
          </w:p>
        </w:tc>
        <w:tc>
          <w:tcPr>
            <w:tcW w:w="507" w:type="pct"/>
            <w:vAlign w:val="center"/>
          </w:tcPr>
          <w:p w:rsidR="00000000" w:rsidRDefault="004D2F83">
            <w:pPr>
              <w:snapToGrid w:val="0"/>
              <w:spacing w:line="360" w:lineRule="exact"/>
              <w:jc w:val="center"/>
              <w:rPr>
                <w:sz w:val="18"/>
              </w:rPr>
            </w:pPr>
            <w:r>
              <w:rPr>
                <w:sz w:val="18"/>
              </w:rPr>
              <w:t>69.17</w:t>
            </w:r>
          </w:p>
        </w:tc>
        <w:tc>
          <w:tcPr>
            <w:tcW w:w="507" w:type="pct"/>
            <w:vAlign w:val="center"/>
          </w:tcPr>
          <w:p w:rsidR="00000000" w:rsidRDefault="004D2F83">
            <w:pPr>
              <w:snapToGrid w:val="0"/>
              <w:spacing w:line="360" w:lineRule="exact"/>
              <w:jc w:val="center"/>
              <w:rPr>
                <w:sz w:val="18"/>
              </w:rPr>
            </w:pPr>
            <w:r>
              <w:rPr>
                <w:sz w:val="18"/>
              </w:rPr>
              <w:t>30.86</w:t>
            </w:r>
          </w:p>
        </w:tc>
        <w:tc>
          <w:tcPr>
            <w:tcW w:w="415" w:type="pct"/>
            <w:vAlign w:val="center"/>
          </w:tcPr>
          <w:p w:rsidR="00000000" w:rsidRDefault="004D2F83">
            <w:pPr>
              <w:snapToGrid w:val="0"/>
              <w:spacing w:line="360" w:lineRule="exact"/>
              <w:jc w:val="center"/>
              <w:rPr>
                <w:sz w:val="18"/>
              </w:rPr>
            </w:pPr>
            <w:r>
              <w:rPr>
                <w:sz w:val="18"/>
              </w:rPr>
              <w:t>25.63</w:t>
            </w:r>
          </w:p>
        </w:tc>
      </w:tr>
      <w:tr w:rsidR="00000000">
        <w:tblPrEx>
          <w:tblCellMar>
            <w:top w:w="0" w:type="dxa"/>
            <w:bottom w:w="0" w:type="dxa"/>
          </w:tblCellMar>
        </w:tblPrEx>
        <w:tc>
          <w:tcPr>
            <w:tcW w:w="815" w:type="pct"/>
            <w:vAlign w:val="center"/>
          </w:tcPr>
          <w:p w:rsidR="00000000" w:rsidRDefault="004D2F83">
            <w:pPr>
              <w:snapToGrid w:val="0"/>
              <w:spacing w:line="360" w:lineRule="exact"/>
              <w:jc w:val="center"/>
              <w:rPr>
                <w:rFonts w:hint="eastAsia"/>
                <w:sz w:val="18"/>
              </w:rPr>
            </w:pPr>
            <w:r>
              <w:rPr>
                <w:rFonts w:hint="eastAsia"/>
                <w:sz w:val="18"/>
              </w:rPr>
              <w:t>联邦法院</w:t>
            </w:r>
          </w:p>
        </w:tc>
        <w:tc>
          <w:tcPr>
            <w:tcW w:w="991" w:type="pct"/>
            <w:vAlign w:val="center"/>
          </w:tcPr>
          <w:p w:rsidR="00000000" w:rsidRDefault="004D2F83">
            <w:pPr>
              <w:snapToGrid w:val="0"/>
              <w:spacing w:line="360" w:lineRule="exact"/>
              <w:jc w:val="center"/>
              <w:rPr>
                <w:sz w:val="18"/>
              </w:rPr>
            </w:pPr>
            <w:r>
              <w:rPr>
                <w:sz w:val="18"/>
              </w:rPr>
              <w:t>903</w:t>
            </w:r>
          </w:p>
        </w:tc>
        <w:tc>
          <w:tcPr>
            <w:tcW w:w="507" w:type="pct"/>
            <w:vAlign w:val="center"/>
          </w:tcPr>
          <w:p w:rsidR="00000000" w:rsidRDefault="004D2F83">
            <w:pPr>
              <w:snapToGrid w:val="0"/>
              <w:spacing w:line="360" w:lineRule="exact"/>
              <w:jc w:val="center"/>
              <w:rPr>
                <w:sz w:val="18"/>
              </w:rPr>
            </w:pPr>
            <w:r>
              <w:rPr>
                <w:sz w:val="18"/>
              </w:rPr>
              <w:t>443</w:t>
            </w:r>
          </w:p>
        </w:tc>
        <w:tc>
          <w:tcPr>
            <w:tcW w:w="507" w:type="pct"/>
            <w:vAlign w:val="center"/>
          </w:tcPr>
          <w:p w:rsidR="00000000" w:rsidRDefault="004D2F83">
            <w:pPr>
              <w:snapToGrid w:val="0"/>
              <w:spacing w:line="360" w:lineRule="exact"/>
              <w:jc w:val="center"/>
              <w:rPr>
                <w:sz w:val="18"/>
              </w:rPr>
            </w:pPr>
            <w:r>
              <w:rPr>
                <w:sz w:val="18"/>
              </w:rPr>
              <w:t>167</w:t>
            </w:r>
          </w:p>
        </w:tc>
        <w:tc>
          <w:tcPr>
            <w:tcW w:w="749" w:type="pct"/>
            <w:vAlign w:val="center"/>
          </w:tcPr>
          <w:p w:rsidR="00000000" w:rsidRDefault="004D2F83">
            <w:pPr>
              <w:snapToGrid w:val="0"/>
              <w:spacing w:line="360" w:lineRule="exact"/>
              <w:jc w:val="center"/>
              <w:rPr>
                <w:sz w:val="18"/>
              </w:rPr>
            </w:pPr>
            <w:r>
              <w:rPr>
                <w:sz w:val="18"/>
              </w:rPr>
              <w:t>293</w:t>
            </w:r>
          </w:p>
        </w:tc>
        <w:tc>
          <w:tcPr>
            <w:tcW w:w="507" w:type="pct"/>
            <w:vAlign w:val="center"/>
          </w:tcPr>
          <w:p w:rsidR="00000000" w:rsidRDefault="004D2F83">
            <w:pPr>
              <w:snapToGrid w:val="0"/>
              <w:spacing w:line="360" w:lineRule="exact"/>
              <w:jc w:val="center"/>
              <w:rPr>
                <w:sz w:val="18"/>
              </w:rPr>
            </w:pPr>
            <w:r>
              <w:rPr>
                <w:sz w:val="18"/>
              </w:rPr>
              <w:t>72.62</w:t>
            </w:r>
          </w:p>
        </w:tc>
        <w:tc>
          <w:tcPr>
            <w:tcW w:w="507" w:type="pct"/>
            <w:vAlign w:val="center"/>
          </w:tcPr>
          <w:p w:rsidR="00000000" w:rsidRDefault="004D2F83">
            <w:pPr>
              <w:snapToGrid w:val="0"/>
              <w:spacing w:line="360" w:lineRule="exact"/>
              <w:jc w:val="center"/>
              <w:rPr>
                <w:sz w:val="18"/>
              </w:rPr>
            </w:pPr>
            <w:r>
              <w:rPr>
                <w:sz w:val="18"/>
              </w:rPr>
              <w:t>27.38</w:t>
            </w:r>
          </w:p>
        </w:tc>
        <w:tc>
          <w:tcPr>
            <w:tcW w:w="415" w:type="pct"/>
            <w:vAlign w:val="center"/>
          </w:tcPr>
          <w:p w:rsidR="00000000" w:rsidRDefault="004D2F83">
            <w:pPr>
              <w:snapToGrid w:val="0"/>
              <w:spacing w:line="360" w:lineRule="exact"/>
              <w:jc w:val="center"/>
              <w:rPr>
                <w:sz w:val="18"/>
              </w:rPr>
            </w:pPr>
            <w:r>
              <w:rPr>
                <w:sz w:val="18"/>
              </w:rPr>
              <w:t>32.45</w:t>
            </w:r>
          </w:p>
        </w:tc>
      </w:tr>
      <w:tr w:rsidR="00000000">
        <w:tblPrEx>
          <w:tblCellMar>
            <w:top w:w="0" w:type="dxa"/>
            <w:bottom w:w="0" w:type="dxa"/>
          </w:tblCellMar>
        </w:tblPrEx>
        <w:tc>
          <w:tcPr>
            <w:tcW w:w="815" w:type="pct"/>
            <w:vAlign w:val="center"/>
          </w:tcPr>
          <w:p w:rsidR="00000000" w:rsidRDefault="004D2F83">
            <w:pPr>
              <w:snapToGrid w:val="0"/>
              <w:spacing w:line="360" w:lineRule="exact"/>
              <w:jc w:val="center"/>
              <w:rPr>
                <w:rFonts w:hint="eastAsia"/>
                <w:sz w:val="18"/>
              </w:rPr>
            </w:pPr>
            <w:r>
              <w:rPr>
                <w:rFonts w:hint="eastAsia"/>
                <w:sz w:val="18"/>
              </w:rPr>
              <w:t>劳资争议法庭</w:t>
            </w:r>
          </w:p>
        </w:tc>
        <w:tc>
          <w:tcPr>
            <w:tcW w:w="991" w:type="pct"/>
            <w:vAlign w:val="center"/>
          </w:tcPr>
          <w:p w:rsidR="00000000" w:rsidRDefault="004D2F83">
            <w:pPr>
              <w:snapToGrid w:val="0"/>
              <w:spacing w:line="360" w:lineRule="exact"/>
              <w:jc w:val="center"/>
              <w:rPr>
                <w:sz w:val="18"/>
              </w:rPr>
            </w:pPr>
            <w:r>
              <w:rPr>
                <w:sz w:val="18"/>
              </w:rPr>
              <w:t>4 507</w:t>
            </w:r>
          </w:p>
        </w:tc>
        <w:tc>
          <w:tcPr>
            <w:tcW w:w="507" w:type="pct"/>
            <w:vAlign w:val="center"/>
          </w:tcPr>
          <w:p w:rsidR="00000000" w:rsidRDefault="004D2F83">
            <w:pPr>
              <w:snapToGrid w:val="0"/>
              <w:spacing w:line="360" w:lineRule="exact"/>
              <w:jc w:val="center"/>
              <w:rPr>
                <w:sz w:val="18"/>
              </w:rPr>
            </w:pPr>
            <w:r>
              <w:rPr>
                <w:sz w:val="18"/>
              </w:rPr>
              <w:t>2 758</w:t>
            </w:r>
          </w:p>
        </w:tc>
        <w:tc>
          <w:tcPr>
            <w:tcW w:w="507" w:type="pct"/>
            <w:vAlign w:val="center"/>
          </w:tcPr>
          <w:p w:rsidR="00000000" w:rsidRDefault="004D2F83">
            <w:pPr>
              <w:snapToGrid w:val="0"/>
              <w:spacing w:line="360" w:lineRule="exact"/>
              <w:jc w:val="center"/>
              <w:rPr>
                <w:sz w:val="18"/>
              </w:rPr>
            </w:pPr>
            <w:r>
              <w:rPr>
                <w:sz w:val="18"/>
              </w:rPr>
              <w:t>1 271</w:t>
            </w:r>
          </w:p>
        </w:tc>
        <w:tc>
          <w:tcPr>
            <w:tcW w:w="749" w:type="pct"/>
            <w:vAlign w:val="center"/>
          </w:tcPr>
          <w:p w:rsidR="00000000" w:rsidRDefault="004D2F83">
            <w:pPr>
              <w:snapToGrid w:val="0"/>
              <w:spacing w:line="360" w:lineRule="exact"/>
              <w:jc w:val="center"/>
              <w:rPr>
                <w:sz w:val="18"/>
              </w:rPr>
            </w:pPr>
            <w:r>
              <w:rPr>
                <w:sz w:val="18"/>
              </w:rPr>
              <w:t>478</w:t>
            </w:r>
          </w:p>
        </w:tc>
        <w:tc>
          <w:tcPr>
            <w:tcW w:w="507" w:type="pct"/>
            <w:vAlign w:val="center"/>
          </w:tcPr>
          <w:p w:rsidR="00000000" w:rsidRDefault="004D2F83">
            <w:pPr>
              <w:snapToGrid w:val="0"/>
              <w:spacing w:line="360" w:lineRule="exact"/>
              <w:jc w:val="center"/>
              <w:rPr>
                <w:sz w:val="18"/>
              </w:rPr>
            </w:pPr>
            <w:r>
              <w:rPr>
                <w:sz w:val="18"/>
              </w:rPr>
              <w:t>68.45</w:t>
            </w:r>
          </w:p>
        </w:tc>
        <w:tc>
          <w:tcPr>
            <w:tcW w:w="507" w:type="pct"/>
            <w:vAlign w:val="center"/>
          </w:tcPr>
          <w:p w:rsidR="00000000" w:rsidRDefault="004D2F83">
            <w:pPr>
              <w:snapToGrid w:val="0"/>
              <w:spacing w:line="360" w:lineRule="exact"/>
              <w:jc w:val="center"/>
              <w:rPr>
                <w:sz w:val="18"/>
              </w:rPr>
            </w:pPr>
            <w:r>
              <w:rPr>
                <w:sz w:val="18"/>
              </w:rPr>
              <w:t>31.55</w:t>
            </w:r>
          </w:p>
        </w:tc>
        <w:tc>
          <w:tcPr>
            <w:tcW w:w="415" w:type="pct"/>
            <w:vAlign w:val="center"/>
          </w:tcPr>
          <w:p w:rsidR="00000000" w:rsidRDefault="004D2F83">
            <w:pPr>
              <w:snapToGrid w:val="0"/>
              <w:spacing w:line="360" w:lineRule="exact"/>
              <w:jc w:val="center"/>
              <w:rPr>
                <w:sz w:val="18"/>
              </w:rPr>
            </w:pPr>
            <w:r>
              <w:rPr>
                <w:sz w:val="18"/>
              </w:rPr>
              <w:t>10.61</w:t>
            </w:r>
          </w:p>
        </w:tc>
      </w:tr>
      <w:tr w:rsidR="00000000">
        <w:tblPrEx>
          <w:tblCellMar>
            <w:top w:w="0" w:type="dxa"/>
            <w:bottom w:w="0" w:type="dxa"/>
          </w:tblCellMar>
        </w:tblPrEx>
        <w:tc>
          <w:tcPr>
            <w:tcW w:w="815" w:type="pct"/>
            <w:vAlign w:val="center"/>
          </w:tcPr>
          <w:p w:rsidR="00000000" w:rsidRDefault="004D2F83">
            <w:pPr>
              <w:snapToGrid w:val="0"/>
              <w:spacing w:line="360" w:lineRule="exact"/>
              <w:jc w:val="center"/>
              <w:rPr>
                <w:rFonts w:hint="eastAsia"/>
                <w:sz w:val="18"/>
              </w:rPr>
            </w:pPr>
            <w:r>
              <w:rPr>
                <w:rFonts w:hint="eastAsia"/>
                <w:sz w:val="18"/>
              </w:rPr>
              <w:t>总数</w:t>
            </w:r>
          </w:p>
        </w:tc>
        <w:tc>
          <w:tcPr>
            <w:tcW w:w="991" w:type="pct"/>
            <w:vAlign w:val="center"/>
          </w:tcPr>
          <w:p w:rsidR="00000000" w:rsidRDefault="004D2F83">
            <w:pPr>
              <w:snapToGrid w:val="0"/>
              <w:spacing w:line="360" w:lineRule="exact"/>
              <w:jc w:val="center"/>
              <w:rPr>
                <w:sz w:val="18"/>
              </w:rPr>
            </w:pPr>
            <w:r>
              <w:rPr>
                <w:sz w:val="18"/>
              </w:rPr>
              <w:t>15 08</w:t>
            </w:r>
            <w:r>
              <w:rPr>
                <w:sz w:val="18"/>
              </w:rPr>
              <w:t>8</w:t>
            </w:r>
          </w:p>
        </w:tc>
        <w:tc>
          <w:tcPr>
            <w:tcW w:w="507" w:type="pct"/>
            <w:vAlign w:val="center"/>
          </w:tcPr>
          <w:p w:rsidR="00000000" w:rsidRDefault="004D2F83">
            <w:pPr>
              <w:snapToGrid w:val="0"/>
              <w:spacing w:line="360" w:lineRule="exact"/>
              <w:jc w:val="center"/>
              <w:rPr>
                <w:sz w:val="18"/>
              </w:rPr>
            </w:pPr>
            <w:r>
              <w:rPr>
                <w:sz w:val="18"/>
              </w:rPr>
              <w:t>8 178</w:t>
            </w:r>
          </w:p>
        </w:tc>
        <w:tc>
          <w:tcPr>
            <w:tcW w:w="507" w:type="pct"/>
            <w:vAlign w:val="center"/>
          </w:tcPr>
          <w:p w:rsidR="00000000" w:rsidRDefault="004D2F83">
            <w:pPr>
              <w:snapToGrid w:val="0"/>
              <w:spacing w:line="360" w:lineRule="exact"/>
              <w:jc w:val="center"/>
              <w:rPr>
                <w:sz w:val="18"/>
              </w:rPr>
            </w:pPr>
            <w:r>
              <w:rPr>
                <w:sz w:val="18"/>
              </w:rPr>
              <w:t>3 659</w:t>
            </w:r>
          </w:p>
        </w:tc>
        <w:tc>
          <w:tcPr>
            <w:tcW w:w="749" w:type="pct"/>
            <w:vAlign w:val="center"/>
          </w:tcPr>
          <w:p w:rsidR="00000000" w:rsidRDefault="004D2F83">
            <w:pPr>
              <w:snapToGrid w:val="0"/>
              <w:spacing w:line="360" w:lineRule="exact"/>
              <w:jc w:val="center"/>
              <w:rPr>
                <w:sz w:val="18"/>
              </w:rPr>
            </w:pPr>
            <w:r>
              <w:rPr>
                <w:sz w:val="18"/>
              </w:rPr>
              <w:t>3 251</w:t>
            </w:r>
          </w:p>
        </w:tc>
        <w:tc>
          <w:tcPr>
            <w:tcW w:w="507" w:type="pct"/>
            <w:vAlign w:val="center"/>
          </w:tcPr>
          <w:p w:rsidR="00000000" w:rsidRDefault="004D2F83">
            <w:pPr>
              <w:snapToGrid w:val="0"/>
              <w:spacing w:line="360" w:lineRule="exact"/>
              <w:jc w:val="center"/>
              <w:rPr>
                <w:sz w:val="18"/>
              </w:rPr>
            </w:pPr>
            <w:r>
              <w:rPr>
                <w:sz w:val="18"/>
              </w:rPr>
              <w:t>69.09</w:t>
            </w:r>
          </w:p>
        </w:tc>
        <w:tc>
          <w:tcPr>
            <w:tcW w:w="507" w:type="pct"/>
            <w:vAlign w:val="center"/>
          </w:tcPr>
          <w:p w:rsidR="00000000" w:rsidRDefault="004D2F83">
            <w:pPr>
              <w:snapToGrid w:val="0"/>
              <w:spacing w:line="360" w:lineRule="exact"/>
              <w:jc w:val="center"/>
              <w:rPr>
                <w:sz w:val="18"/>
              </w:rPr>
            </w:pPr>
            <w:r>
              <w:rPr>
                <w:sz w:val="18"/>
              </w:rPr>
              <w:t>30.91</w:t>
            </w:r>
          </w:p>
        </w:tc>
        <w:tc>
          <w:tcPr>
            <w:tcW w:w="415" w:type="pct"/>
            <w:vAlign w:val="center"/>
          </w:tcPr>
          <w:p w:rsidR="00000000" w:rsidRDefault="004D2F83">
            <w:pPr>
              <w:snapToGrid w:val="0"/>
              <w:spacing w:line="360" w:lineRule="exact"/>
              <w:jc w:val="center"/>
              <w:rPr>
                <w:sz w:val="18"/>
              </w:rPr>
            </w:pPr>
            <w:r>
              <w:rPr>
                <w:sz w:val="18"/>
              </w:rPr>
              <w:t>21.55</w:t>
            </w:r>
          </w:p>
        </w:tc>
      </w:tr>
    </w:tbl>
    <w:p w:rsidR="00000000" w:rsidRDefault="004D2F83">
      <w:pPr>
        <w:snapToGrid w:val="0"/>
        <w:spacing w:after="240" w:line="360" w:lineRule="exact"/>
        <w:rPr>
          <w:rFonts w:hint="eastAsia"/>
          <w:sz w:val="18"/>
        </w:rPr>
      </w:pPr>
      <w:r>
        <w:rPr>
          <w:rFonts w:eastAsia="SimHei" w:hint="eastAsia"/>
          <w:sz w:val="18"/>
        </w:rPr>
        <w:t>资料来源</w:t>
      </w:r>
      <w:r>
        <w:rPr>
          <w:rFonts w:hint="eastAsia"/>
          <w:sz w:val="18"/>
        </w:rPr>
        <w:t>：联邦最高法院—司法机构全国数据库。</w:t>
      </w:r>
    </w:p>
    <w:p w:rsidR="00000000" w:rsidRDefault="004D2F83">
      <w:pPr>
        <w:snapToGrid w:val="0"/>
        <w:spacing w:after="120" w:line="360" w:lineRule="exact"/>
        <w:jc w:val="center"/>
        <w:rPr>
          <w:rFonts w:ascii="SimHei" w:eastAsia="SimHei" w:hint="eastAsia"/>
        </w:rPr>
      </w:pPr>
      <w:r>
        <w:rPr>
          <w:rFonts w:ascii="SimHei" w:eastAsia="SimHei" w:hint="eastAsia"/>
        </w:rPr>
        <w:t>表</w:t>
      </w:r>
      <w:r>
        <w:rPr>
          <w:rFonts w:ascii="SimHei" w:eastAsia="SimHei" w:hint="eastAsia"/>
        </w:rPr>
        <w:t>20</w:t>
      </w:r>
      <w:r>
        <w:rPr>
          <w:rFonts w:ascii="SimHei" w:eastAsia="SimHei" w:hint="eastAsia"/>
        </w:rPr>
        <w:t>．各地区公诉部门的男女任职情况</w:t>
      </w:r>
    </w:p>
    <w:p w:rsidR="00000000" w:rsidRDefault="004D2F83">
      <w:pPr>
        <w:snapToGrid w:val="0"/>
        <w:spacing w:after="240" w:line="360" w:lineRule="exact"/>
        <w:jc w:val="center"/>
        <w:rPr>
          <w:rFonts w:ascii="SimHei" w:eastAsia="SimHei" w:hint="eastAsia"/>
        </w:rPr>
      </w:pPr>
      <w:r>
        <w:rPr>
          <w:rFonts w:ascii="SimHei" w:eastAsia="SimHei" w:hint="eastAsia"/>
        </w:rPr>
        <w:t>巴西，</w:t>
      </w:r>
      <w:r>
        <w:rPr>
          <w:rFonts w:ascii="SimHei" w:eastAsia="SimHei" w:hint="eastAsia"/>
        </w:rPr>
        <w:t>2000</w:t>
      </w:r>
      <w:r>
        <w:rPr>
          <w:rFonts w:ascii="SimHei" w:eastAsia="SimHei" w:hint="eastAsia"/>
        </w:rPr>
        <w:t>年</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0"/>
        <w:gridCol w:w="1660"/>
        <w:gridCol w:w="1660"/>
        <w:gridCol w:w="1660"/>
        <w:gridCol w:w="1662"/>
        <w:gridCol w:w="1664"/>
      </w:tblGrid>
      <w:tr w:rsidR="00000000">
        <w:tblPrEx>
          <w:tblCellMar>
            <w:top w:w="0" w:type="dxa"/>
            <w:bottom w:w="0" w:type="dxa"/>
          </w:tblCellMar>
        </w:tblPrEx>
        <w:trPr>
          <w:cantSplit/>
        </w:trPr>
        <w:tc>
          <w:tcPr>
            <w:tcW w:w="787" w:type="pct"/>
          </w:tcPr>
          <w:p w:rsidR="00000000" w:rsidRDefault="004D2F83">
            <w:pPr>
              <w:snapToGrid w:val="0"/>
              <w:spacing w:line="360" w:lineRule="exact"/>
              <w:jc w:val="center"/>
              <w:rPr>
                <w:rFonts w:ascii="SimHei" w:eastAsia="SimHei" w:hint="eastAsia"/>
                <w:sz w:val="18"/>
              </w:rPr>
            </w:pPr>
            <w:r>
              <w:rPr>
                <w:rFonts w:ascii="SimHei" w:eastAsia="SimHei" w:hint="eastAsia"/>
                <w:sz w:val="18"/>
              </w:rPr>
              <w:t>地区</w:t>
            </w:r>
          </w:p>
        </w:tc>
        <w:tc>
          <w:tcPr>
            <w:tcW w:w="4213" w:type="pct"/>
            <w:gridSpan w:val="5"/>
          </w:tcPr>
          <w:p w:rsidR="00000000" w:rsidRDefault="004D2F83">
            <w:pPr>
              <w:snapToGrid w:val="0"/>
              <w:spacing w:line="360" w:lineRule="exact"/>
              <w:jc w:val="center"/>
              <w:rPr>
                <w:rFonts w:ascii="SimHei" w:eastAsia="SimHei" w:hint="eastAsia"/>
                <w:sz w:val="18"/>
              </w:rPr>
            </w:pPr>
            <w:r>
              <w:rPr>
                <w:rFonts w:ascii="SimHei" w:eastAsia="SimHei" w:hint="eastAsia"/>
                <w:sz w:val="18"/>
              </w:rPr>
              <w:t>区检察官、区副检察官和州检察官</w:t>
            </w:r>
          </w:p>
        </w:tc>
      </w:tr>
      <w:tr w:rsidR="00000000">
        <w:tblPrEx>
          <w:tblCellMar>
            <w:top w:w="0" w:type="dxa"/>
            <w:bottom w:w="0" w:type="dxa"/>
          </w:tblCellMar>
        </w:tblPrEx>
        <w:tc>
          <w:tcPr>
            <w:tcW w:w="787" w:type="pct"/>
          </w:tcPr>
          <w:p w:rsidR="00000000" w:rsidRDefault="004D2F83">
            <w:pPr>
              <w:snapToGrid w:val="0"/>
              <w:spacing w:line="360" w:lineRule="exact"/>
              <w:jc w:val="center"/>
              <w:rPr>
                <w:rFonts w:ascii="SimHei" w:eastAsia="SimHei" w:hint="eastAsia"/>
                <w:sz w:val="18"/>
              </w:rPr>
            </w:pPr>
          </w:p>
        </w:tc>
        <w:tc>
          <w:tcPr>
            <w:tcW w:w="842" w:type="pct"/>
          </w:tcPr>
          <w:p w:rsidR="00000000" w:rsidRDefault="004D2F83">
            <w:pPr>
              <w:snapToGrid w:val="0"/>
              <w:spacing w:line="360" w:lineRule="exact"/>
              <w:jc w:val="center"/>
              <w:rPr>
                <w:rFonts w:ascii="SimHei" w:eastAsia="SimHei" w:hint="eastAsia"/>
                <w:sz w:val="18"/>
              </w:rPr>
            </w:pPr>
            <w:r>
              <w:rPr>
                <w:rFonts w:ascii="SimHei" w:eastAsia="SimHei" w:hint="eastAsia"/>
                <w:sz w:val="18"/>
              </w:rPr>
              <w:t>男</w:t>
            </w:r>
          </w:p>
        </w:tc>
        <w:tc>
          <w:tcPr>
            <w:tcW w:w="842" w:type="pct"/>
          </w:tcPr>
          <w:p w:rsidR="00000000" w:rsidRDefault="004D2F83">
            <w:pPr>
              <w:snapToGrid w:val="0"/>
              <w:spacing w:line="360" w:lineRule="exact"/>
              <w:jc w:val="center"/>
              <w:rPr>
                <w:rFonts w:ascii="SimHei" w:eastAsia="SimHei" w:hint="eastAsia"/>
                <w:sz w:val="18"/>
              </w:rPr>
            </w:pPr>
            <w:r>
              <w:rPr>
                <w:rFonts w:ascii="SimHei" w:eastAsia="SimHei" w:hint="eastAsia"/>
                <w:sz w:val="18"/>
              </w:rPr>
              <w:t>%</w:t>
            </w:r>
          </w:p>
        </w:tc>
        <w:tc>
          <w:tcPr>
            <w:tcW w:w="842" w:type="pct"/>
          </w:tcPr>
          <w:p w:rsidR="00000000" w:rsidRDefault="004D2F83">
            <w:pPr>
              <w:snapToGrid w:val="0"/>
              <w:spacing w:line="360" w:lineRule="exact"/>
              <w:jc w:val="center"/>
              <w:rPr>
                <w:rFonts w:ascii="SimHei" w:eastAsia="SimHei" w:hint="eastAsia"/>
                <w:sz w:val="18"/>
              </w:rPr>
            </w:pPr>
            <w:r>
              <w:rPr>
                <w:rFonts w:ascii="SimHei" w:eastAsia="SimHei" w:hint="eastAsia"/>
                <w:sz w:val="18"/>
              </w:rPr>
              <w:t>女</w:t>
            </w:r>
          </w:p>
        </w:tc>
        <w:tc>
          <w:tcPr>
            <w:tcW w:w="843" w:type="pct"/>
          </w:tcPr>
          <w:p w:rsidR="00000000" w:rsidRDefault="004D2F83">
            <w:pPr>
              <w:snapToGrid w:val="0"/>
              <w:spacing w:line="360" w:lineRule="exact"/>
              <w:jc w:val="center"/>
              <w:rPr>
                <w:rFonts w:ascii="SimHei" w:eastAsia="SimHei" w:hint="eastAsia"/>
                <w:sz w:val="18"/>
              </w:rPr>
            </w:pPr>
            <w:r>
              <w:rPr>
                <w:rFonts w:ascii="SimHei" w:eastAsia="SimHei" w:hint="eastAsia"/>
                <w:sz w:val="18"/>
              </w:rPr>
              <w:t>%</w:t>
            </w:r>
          </w:p>
        </w:tc>
        <w:tc>
          <w:tcPr>
            <w:tcW w:w="843" w:type="pct"/>
          </w:tcPr>
          <w:p w:rsidR="00000000" w:rsidRDefault="004D2F83">
            <w:pPr>
              <w:snapToGrid w:val="0"/>
              <w:spacing w:line="360" w:lineRule="exact"/>
              <w:jc w:val="center"/>
              <w:rPr>
                <w:rFonts w:ascii="SimHei" w:eastAsia="SimHei" w:hint="eastAsia"/>
                <w:sz w:val="18"/>
              </w:rPr>
            </w:pPr>
            <w:r>
              <w:rPr>
                <w:rFonts w:ascii="SimHei" w:eastAsia="SimHei" w:hint="eastAsia"/>
                <w:sz w:val="18"/>
              </w:rPr>
              <w:t>总数</w:t>
            </w:r>
          </w:p>
        </w:tc>
      </w:tr>
      <w:tr w:rsidR="00000000">
        <w:tblPrEx>
          <w:tblCellMar>
            <w:top w:w="0" w:type="dxa"/>
            <w:bottom w:w="0" w:type="dxa"/>
          </w:tblCellMar>
        </w:tblPrEx>
        <w:tc>
          <w:tcPr>
            <w:tcW w:w="787" w:type="pct"/>
          </w:tcPr>
          <w:p w:rsidR="00000000" w:rsidRDefault="004D2F83">
            <w:pPr>
              <w:snapToGrid w:val="0"/>
              <w:spacing w:line="360" w:lineRule="exact"/>
              <w:jc w:val="center"/>
              <w:rPr>
                <w:rFonts w:hint="eastAsia"/>
                <w:sz w:val="18"/>
              </w:rPr>
            </w:pPr>
            <w:r>
              <w:rPr>
                <w:rFonts w:hint="eastAsia"/>
                <w:sz w:val="18"/>
              </w:rPr>
              <w:t>北部</w:t>
            </w:r>
          </w:p>
        </w:tc>
        <w:tc>
          <w:tcPr>
            <w:tcW w:w="842" w:type="pct"/>
          </w:tcPr>
          <w:p w:rsidR="00000000" w:rsidRDefault="004D2F83" w:rsidP="004D2F83">
            <w:pPr>
              <w:snapToGrid w:val="0"/>
              <w:spacing w:line="360" w:lineRule="exact"/>
              <w:ind w:rightChars="278" w:right="31680"/>
              <w:jc w:val="right"/>
              <w:rPr>
                <w:rFonts w:hint="eastAsia"/>
                <w:sz w:val="18"/>
              </w:rPr>
            </w:pPr>
            <w:r>
              <w:rPr>
                <w:rFonts w:hint="eastAsia"/>
                <w:sz w:val="18"/>
              </w:rPr>
              <w:t>19</w:t>
            </w:r>
          </w:p>
        </w:tc>
        <w:tc>
          <w:tcPr>
            <w:tcW w:w="842" w:type="pct"/>
          </w:tcPr>
          <w:p w:rsidR="00000000" w:rsidRDefault="004D2F83" w:rsidP="004D2F83">
            <w:pPr>
              <w:snapToGrid w:val="0"/>
              <w:spacing w:line="360" w:lineRule="exact"/>
              <w:ind w:rightChars="278" w:right="31680"/>
              <w:jc w:val="right"/>
              <w:rPr>
                <w:rFonts w:hint="eastAsia"/>
                <w:sz w:val="18"/>
              </w:rPr>
            </w:pPr>
            <w:r>
              <w:rPr>
                <w:rFonts w:hint="eastAsia"/>
                <w:sz w:val="18"/>
              </w:rPr>
              <w:t>100</w:t>
            </w:r>
          </w:p>
        </w:tc>
        <w:tc>
          <w:tcPr>
            <w:tcW w:w="842" w:type="pct"/>
          </w:tcPr>
          <w:p w:rsidR="00000000" w:rsidRDefault="004D2F83" w:rsidP="004D2F83">
            <w:pPr>
              <w:snapToGrid w:val="0"/>
              <w:spacing w:line="360" w:lineRule="exact"/>
              <w:ind w:rightChars="278" w:right="31680"/>
              <w:jc w:val="right"/>
              <w:rPr>
                <w:sz w:val="18"/>
              </w:rPr>
            </w:pPr>
            <w:r>
              <w:rPr>
                <w:sz w:val="18"/>
              </w:rPr>
              <w:t>0</w:t>
            </w:r>
          </w:p>
        </w:tc>
        <w:tc>
          <w:tcPr>
            <w:tcW w:w="843" w:type="pct"/>
          </w:tcPr>
          <w:p w:rsidR="00000000" w:rsidRDefault="004D2F83" w:rsidP="004D2F83">
            <w:pPr>
              <w:snapToGrid w:val="0"/>
              <w:spacing w:line="360" w:lineRule="exact"/>
              <w:ind w:rightChars="278" w:right="31680"/>
              <w:jc w:val="right"/>
              <w:rPr>
                <w:sz w:val="18"/>
              </w:rPr>
            </w:pPr>
            <w:r>
              <w:rPr>
                <w:sz w:val="18"/>
              </w:rPr>
              <w:t>0</w:t>
            </w:r>
          </w:p>
        </w:tc>
        <w:tc>
          <w:tcPr>
            <w:tcW w:w="843" w:type="pct"/>
          </w:tcPr>
          <w:p w:rsidR="00000000" w:rsidRDefault="004D2F83" w:rsidP="004D2F83">
            <w:pPr>
              <w:snapToGrid w:val="0"/>
              <w:spacing w:line="360" w:lineRule="exact"/>
              <w:ind w:rightChars="278" w:right="31680"/>
              <w:jc w:val="right"/>
              <w:rPr>
                <w:sz w:val="18"/>
              </w:rPr>
            </w:pPr>
            <w:r>
              <w:rPr>
                <w:sz w:val="18"/>
              </w:rPr>
              <w:t>19</w:t>
            </w:r>
          </w:p>
        </w:tc>
      </w:tr>
      <w:tr w:rsidR="00000000">
        <w:tblPrEx>
          <w:tblCellMar>
            <w:top w:w="0" w:type="dxa"/>
            <w:bottom w:w="0" w:type="dxa"/>
          </w:tblCellMar>
        </w:tblPrEx>
        <w:tc>
          <w:tcPr>
            <w:tcW w:w="787" w:type="pct"/>
          </w:tcPr>
          <w:p w:rsidR="00000000" w:rsidRDefault="004D2F83">
            <w:pPr>
              <w:snapToGrid w:val="0"/>
              <w:spacing w:line="360" w:lineRule="exact"/>
              <w:jc w:val="center"/>
              <w:rPr>
                <w:rFonts w:hint="eastAsia"/>
                <w:sz w:val="18"/>
              </w:rPr>
            </w:pPr>
            <w:r>
              <w:rPr>
                <w:rFonts w:hint="eastAsia"/>
                <w:sz w:val="18"/>
              </w:rPr>
              <w:t>北部</w:t>
            </w:r>
          </w:p>
        </w:tc>
        <w:tc>
          <w:tcPr>
            <w:tcW w:w="842" w:type="pct"/>
          </w:tcPr>
          <w:p w:rsidR="00000000" w:rsidRDefault="004D2F83" w:rsidP="004D2F83">
            <w:pPr>
              <w:snapToGrid w:val="0"/>
              <w:spacing w:line="360" w:lineRule="exact"/>
              <w:ind w:rightChars="278" w:right="31680"/>
              <w:jc w:val="right"/>
              <w:rPr>
                <w:rFonts w:hint="eastAsia"/>
                <w:sz w:val="18"/>
              </w:rPr>
            </w:pPr>
            <w:r>
              <w:rPr>
                <w:rFonts w:hint="eastAsia"/>
                <w:sz w:val="18"/>
              </w:rPr>
              <w:t>53</w:t>
            </w:r>
          </w:p>
        </w:tc>
        <w:tc>
          <w:tcPr>
            <w:tcW w:w="842" w:type="pct"/>
          </w:tcPr>
          <w:p w:rsidR="00000000" w:rsidRDefault="004D2F83" w:rsidP="004D2F83">
            <w:pPr>
              <w:snapToGrid w:val="0"/>
              <w:spacing w:line="360" w:lineRule="exact"/>
              <w:ind w:rightChars="278" w:right="31680"/>
              <w:jc w:val="right"/>
              <w:rPr>
                <w:rFonts w:hint="eastAsia"/>
                <w:sz w:val="18"/>
              </w:rPr>
            </w:pPr>
            <w:r>
              <w:rPr>
                <w:rFonts w:hint="eastAsia"/>
                <w:sz w:val="18"/>
              </w:rPr>
              <w:t>76</w:t>
            </w:r>
          </w:p>
        </w:tc>
        <w:tc>
          <w:tcPr>
            <w:tcW w:w="842" w:type="pct"/>
          </w:tcPr>
          <w:p w:rsidR="00000000" w:rsidRDefault="004D2F83" w:rsidP="004D2F83">
            <w:pPr>
              <w:snapToGrid w:val="0"/>
              <w:spacing w:line="360" w:lineRule="exact"/>
              <w:ind w:rightChars="278" w:right="31680"/>
              <w:jc w:val="right"/>
              <w:rPr>
                <w:sz w:val="18"/>
              </w:rPr>
            </w:pPr>
            <w:r>
              <w:rPr>
                <w:sz w:val="18"/>
              </w:rPr>
              <w:t>17</w:t>
            </w:r>
          </w:p>
        </w:tc>
        <w:tc>
          <w:tcPr>
            <w:tcW w:w="843" w:type="pct"/>
          </w:tcPr>
          <w:p w:rsidR="00000000" w:rsidRDefault="004D2F83" w:rsidP="004D2F83">
            <w:pPr>
              <w:snapToGrid w:val="0"/>
              <w:spacing w:line="360" w:lineRule="exact"/>
              <w:ind w:rightChars="278" w:right="31680"/>
              <w:jc w:val="right"/>
              <w:rPr>
                <w:sz w:val="18"/>
              </w:rPr>
            </w:pPr>
            <w:r>
              <w:rPr>
                <w:sz w:val="18"/>
              </w:rPr>
              <w:t>14</w:t>
            </w:r>
          </w:p>
        </w:tc>
        <w:tc>
          <w:tcPr>
            <w:tcW w:w="843" w:type="pct"/>
          </w:tcPr>
          <w:p w:rsidR="00000000" w:rsidRDefault="004D2F83" w:rsidP="004D2F83">
            <w:pPr>
              <w:snapToGrid w:val="0"/>
              <w:spacing w:line="360" w:lineRule="exact"/>
              <w:ind w:rightChars="278" w:right="31680"/>
              <w:jc w:val="right"/>
              <w:rPr>
                <w:sz w:val="18"/>
              </w:rPr>
            </w:pPr>
            <w:r>
              <w:rPr>
                <w:sz w:val="18"/>
              </w:rPr>
              <w:t>70</w:t>
            </w:r>
          </w:p>
        </w:tc>
      </w:tr>
      <w:tr w:rsidR="00000000">
        <w:tblPrEx>
          <w:tblCellMar>
            <w:top w:w="0" w:type="dxa"/>
            <w:bottom w:w="0" w:type="dxa"/>
          </w:tblCellMar>
        </w:tblPrEx>
        <w:tc>
          <w:tcPr>
            <w:tcW w:w="787" w:type="pct"/>
          </w:tcPr>
          <w:p w:rsidR="00000000" w:rsidRDefault="004D2F83">
            <w:pPr>
              <w:snapToGrid w:val="0"/>
              <w:spacing w:line="360" w:lineRule="exact"/>
              <w:jc w:val="center"/>
              <w:rPr>
                <w:rFonts w:hint="eastAsia"/>
                <w:sz w:val="18"/>
              </w:rPr>
            </w:pPr>
            <w:r>
              <w:rPr>
                <w:rFonts w:hint="eastAsia"/>
                <w:sz w:val="18"/>
              </w:rPr>
              <w:t>南部</w:t>
            </w:r>
          </w:p>
        </w:tc>
        <w:tc>
          <w:tcPr>
            <w:tcW w:w="842" w:type="pct"/>
          </w:tcPr>
          <w:p w:rsidR="00000000" w:rsidRDefault="004D2F83" w:rsidP="004D2F83">
            <w:pPr>
              <w:snapToGrid w:val="0"/>
              <w:spacing w:line="360" w:lineRule="exact"/>
              <w:ind w:rightChars="278" w:right="31680"/>
              <w:jc w:val="right"/>
              <w:rPr>
                <w:rFonts w:hint="eastAsia"/>
                <w:sz w:val="18"/>
              </w:rPr>
            </w:pPr>
            <w:r>
              <w:rPr>
                <w:rFonts w:hint="eastAsia"/>
                <w:sz w:val="18"/>
              </w:rPr>
              <w:t>151</w:t>
            </w:r>
          </w:p>
        </w:tc>
        <w:tc>
          <w:tcPr>
            <w:tcW w:w="842" w:type="pct"/>
          </w:tcPr>
          <w:p w:rsidR="00000000" w:rsidRDefault="004D2F83" w:rsidP="004D2F83">
            <w:pPr>
              <w:snapToGrid w:val="0"/>
              <w:spacing w:line="360" w:lineRule="exact"/>
              <w:ind w:rightChars="278" w:right="31680"/>
              <w:jc w:val="right"/>
              <w:rPr>
                <w:rFonts w:hint="eastAsia"/>
                <w:sz w:val="18"/>
              </w:rPr>
            </w:pPr>
            <w:r>
              <w:rPr>
                <w:rFonts w:hint="eastAsia"/>
                <w:sz w:val="18"/>
              </w:rPr>
              <w:t>67</w:t>
            </w:r>
          </w:p>
        </w:tc>
        <w:tc>
          <w:tcPr>
            <w:tcW w:w="842" w:type="pct"/>
          </w:tcPr>
          <w:p w:rsidR="00000000" w:rsidRDefault="004D2F83" w:rsidP="004D2F83">
            <w:pPr>
              <w:snapToGrid w:val="0"/>
              <w:spacing w:line="360" w:lineRule="exact"/>
              <w:ind w:rightChars="278" w:right="31680"/>
              <w:jc w:val="right"/>
              <w:rPr>
                <w:sz w:val="18"/>
              </w:rPr>
            </w:pPr>
            <w:r>
              <w:rPr>
                <w:sz w:val="18"/>
              </w:rPr>
              <w:t>74</w:t>
            </w:r>
          </w:p>
        </w:tc>
        <w:tc>
          <w:tcPr>
            <w:tcW w:w="843" w:type="pct"/>
          </w:tcPr>
          <w:p w:rsidR="00000000" w:rsidRDefault="004D2F83" w:rsidP="004D2F83">
            <w:pPr>
              <w:snapToGrid w:val="0"/>
              <w:spacing w:line="360" w:lineRule="exact"/>
              <w:ind w:rightChars="278" w:right="31680"/>
              <w:jc w:val="right"/>
              <w:rPr>
                <w:sz w:val="18"/>
              </w:rPr>
            </w:pPr>
            <w:r>
              <w:rPr>
                <w:sz w:val="18"/>
              </w:rPr>
              <w:t>33</w:t>
            </w:r>
          </w:p>
        </w:tc>
        <w:tc>
          <w:tcPr>
            <w:tcW w:w="843" w:type="pct"/>
          </w:tcPr>
          <w:p w:rsidR="00000000" w:rsidRDefault="004D2F83" w:rsidP="004D2F83">
            <w:pPr>
              <w:snapToGrid w:val="0"/>
              <w:spacing w:line="360" w:lineRule="exact"/>
              <w:ind w:rightChars="278" w:right="31680"/>
              <w:jc w:val="right"/>
              <w:rPr>
                <w:sz w:val="18"/>
              </w:rPr>
            </w:pPr>
            <w:r>
              <w:rPr>
                <w:sz w:val="18"/>
              </w:rPr>
              <w:t>225</w:t>
            </w:r>
          </w:p>
        </w:tc>
      </w:tr>
      <w:tr w:rsidR="00000000">
        <w:tblPrEx>
          <w:tblCellMar>
            <w:top w:w="0" w:type="dxa"/>
            <w:bottom w:w="0" w:type="dxa"/>
          </w:tblCellMar>
        </w:tblPrEx>
        <w:tc>
          <w:tcPr>
            <w:tcW w:w="787" w:type="pct"/>
          </w:tcPr>
          <w:p w:rsidR="00000000" w:rsidRDefault="004D2F83">
            <w:pPr>
              <w:snapToGrid w:val="0"/>
              <w:spacing w:line="360" w:lineRule="exact"/>
              <w:jc w:val="center"/>
              <w:rPr>
                <w:rFonts w:hint="eastAsia"/>
                <w:sz w:val="18"/>
              </w:rPr>
            </w:pPr>
            <w:r>
              <w:rPr>
                <w:rFonts w:hint="eastAsia"/>
                <w:sz w:val="18"/>
              </w:rPr>
              <w:t>南部</w:t>
            </w:r>
          </w:p>
        </w:tc>
        <w:tc>
          <w:tcPr>
            <w:tcW w:w="842" w:type="pct"/>
          </w:tcPr>
          <w:p w:rsidR="00000000" w:rsidRDefault="004D2F83" w:rsidP="004D2F83">
            <w:pPr>
              <w:snapToGrid w:val="0"/>
              <w:spacing w:line="360" w:lineRule="exact"/>
              <w:ind w:rightChars="278" w:right="31680"/>
              <w:jc w:val="right"/>
              <w:rPr>
                <w:rFonts w:hint="eastAsia"/>
                <w:sz w:val="18"/>
              </w:rPr>
            </w:pPr>
            <w:r>
              <w:rPr>
                <w:rFonts w:hint="eastAsia"/>
                <w:sz w:val="18"/>
              </w:rPr>
              <w:t>76</w:t>
            </w:r>
          </w:p>
        </w:tc>
        <w:tc>
          <w:tcPr>
            <w:tcW w:w="842" w:type="pct"/>
          </w:tcPr>
          <w:p w:rsidR="00000000" w:rsidRDefault="004D2F83" w:rsidP="004D2F83">
            <w:pPr>
              <w:snapToGrid w:val="0"/>
              <w:spacing w:line="360" w:lineRule="exact"/>
              <w:ind w:rightChars="278" w:right="31680"/>
              <w:jc w:val="right"/>
              <w:rPr>
                <w:rFonts w:hint="eastAsia"/>
                <w:sz w:val="18"/>
              </w:rPr>
            </w:pPr>
            <w:r>
              <w:rPr>
                <w:rFonts w:hint="eastAsia"/>
                <w:sz w:val="18"/>
              </w:rPr>
              <w:t>70</w:t>
            </w:r>
          </w:p>
        </w:tc>
        <w:tc>
          <w:tcPr>
            <w:tcW w:w="842" w:type="pct"/>
          </w:tcPr>
          <w:p w:rsidR="00000000" w:rsidRDefault="004D2F83" w:rsidP="004D2F83">
            <w:pPr>
              <w:snapToGrid w:val="0"/>
              <w:spacing w:line="360" w:lineRule="exact"/>
              <w:ind w:rightChars="278" w:right="31680"/>
              <w:jc w:val="right"/>
              <w:rPr>
                <w:sz w:val="18"/>
              </w:rPr>
            </w:pPr>
            <w:r>
              <w:rPr>
                <w:sz w:val="18"/>
              </w:rPr>
              <w:t>33</w:t>
            </w:r>
          </w:p>
        </w:tc>
        <w:tc>
          <w:tcPr>
            <w:tcW w:w="843" w:type="pct"/>
          </w:tcPr>
          <w:p w:rsidR="00000000" w:rsidRDefault="004D2F83" w:rsidP="004D2F83">
            <w:pPr>
              <w:snapToGrid w:val="0"/>
              <w:spacing w:line="360" w:lineRule="exact"/>
              <w:ind w:rightChars="278" w:right="31680"/>
              <w:jc w:val="right"/>
              <w:rPr>
                <w:sz w:val="18"/>
              </w:rPr>
            </w:pPr>
            <w:r>
              <w:rPr>
                <w:sz w:val="18"/>
              </w:rPr>
              <w:t>30</w:t>
            </w:r>
          </w:p>
        </w:tc>
        <w:tc>
          <w:tcPr>
            <w:tcW w:w="843" w:type="pct"/>
          </w:tcPr>
          <w:p w:rsidR="00000000" w:rsidRDefault="004D2F83" w:rsidP="004D2F83">
            <w:pPr>
              <w:snapToGrid w:val="0"/>
              <w:spacing w:line="360" w:lineRule="exact"/>
              <w:ind w:rightChars="278" w:right="31680"/>
              <w:jc w:val="right"/>
              <w:rPr>
                <w:sz w:val="18"/>
              </w:rPr>
            </w:pPr>
            <w:r>
              <w:rPr>
                <w:sz w:val="18"/>
              </w:rPr>
              <w:t>109</w:t>
            </w:r>
          </w:p>
        </w:tc>
      </w:tr>
      <w:tr w:rsidR="00000000">
        <w:tblPrEx>
          <w:tblCellMar>
            <w:top w:w="0" w:type="dxa"/>
            <w:bottom w:w="0" w:type="dxa"/>
          </w:tblCellMar>
        </w:tblPrEx>
        <w:tc>
          <w:tcPr>
            <w:tcW w:w="787" w:type="pct"/>
          </w:tcPr>
          <w:p w:rsidR="00000000" w:rsidRDefault="004D2F83">
            <w:pPr>
              <w:snapToGrid w:val="0"/>
              <w:spacing w:line="360" w:lineRule="exact"/>
              <w:jc w:val="center"/>
              <w:rPr>
                <w:rFonts w:hint="eastAsia"/>
                <w:sz w:val="18"/>
              </w:rPr>
            </w:pPr>
            <w:r>
              <w:rPr>
                <w:rFonts w:hint="eastAsia"/>
                <w:sz w:val="18"/>
              </w:rPr>
              <w:t>中西部</w:t>
            </w:r>
          </w:p>
        </w:tc>
        <w:tc>
          <w:tcPr>
            <w:tcW w:w="842" w:type="pct"/>
          </w:tcPr>
          <w:p w:rsidR="00000000" w:rsidRDefault="004D2F83" w:rsidP="004D2F83">
            <w:pPr>
              <w:snapToGrid w:val="0"/>
              <w:spacing w:line="360" w:lineRule="exact"/>
              <w:ind w:rightChars="278" w:right="31680"/>
              <w:jc w:val="right"/>
              <w:rPr>
                <w:rFonts w:hint="eastAsia"/>
                <w:sz w:val="18"/>
              </w:rPr>
            </w:pPr>
            <w:r>
              <w:rPr>
                <w:rFonts w:hint="eastAsia"/>
                <w:sz w:val="18"/>
              </w:rPr>
              <w:t>18</w:t>
            </w:r>
          </w:p>
        </w:tc>
        <w:tc>
          <w:tcPr>
            <w:tcW w:w="842" w:type="pct"/>
          </w:tcPr>
          <w:p w:rsidR="00000000" w:rsidRDefault="004D2F83" w:rsidP="004D2F83">
            <w:pPr>
              <w:snapToGrid w:val="0"/>
              <w:spacing w:line="360" w:lineRule="exact"/>
              <w:ind w:rightChars="278" w:right="31680"/>
              <w:jc w:val="right"/>
              <w:rPr>
                <w:rFonts w:hint="eastAsia"/>
                <w:sz w:val="18"/>
              </w:rPr>
            </w:pPr>
            <w:r>
              <w:rPr>
                <w:rFonts w:hint="eastAsia"/>
                <w:sz w:val="18"/>
              </w:rPr>
              <w:t>89</w:t>
            </w:r>
          </w:p>
        </w:tc>
        <w:tc>
          <w:tcPr>
            <w:tcW w:w="842" w:type="pct"/>
          </w:tcPr>
          <w:p w:rsidR="00000000" w:rsidRDefault="004D2F83" w:rsidP="004D2F83">
            <w:pPr>
              <w:snapToGrid w:val="0"/>
              <w:spacing w:line="360" w:lineRule="exact"/>
              <w:ind w:rightChars="278" w:right="31680"/>
              <w:jc w:val="right"/>
              <w:rPr>
                <w:sz w:val="18"/>
              </w:rPr>
            </w:pPr>
            <w:r>
              <w:rPr>
                <w:sz w:val="18"/>
              </w:rPr>
              <w:t>04</w:t>
            </w:r>
          </w:p>
        </w:tc>
        <w:tc>
          <w:tcPr>
            <w:tcW w:w="843" w:type="pct"/>
          </w:tcPr>
          <w:p w:rsidR="00000000" w:rsidRDefault="004D2F83" w:rsidP="004D2F83">
            <w:pPr>
              <w:snapToGrid w:val="0"/>
              <w:spacing w:line="360" w:lineRule="exact"/>
              <w:ind w:rightChars="278" w:right="31680"/>
              <w:jc w:val="right"/>
              <w:rPr>
                <w:sz w:val="18"/>
              </w:rPr>
            </w:pPr>
            <w:r>
              <w:rPr>
                <w:sz w:val="18"/>
              </w:rPr>
              <w:t>11</w:t>
            </w:r>
          </w:p>
        </w:tc>
        <w:tc>
          <w:tcPr>
            <w:tcW w:w="843" w:type="pct"/>
          </w:tcPr>
          <w:p w:rsidR="00000000" w:rsidRDefault="004D2F83" w:rsidP="004D2F83">
            <w:pPr>
              <w:snapToGrid w:val="0"/>
              <w:spacing w:line="360" w:lineRule="exact"/>
              <w:ind w:rightChars="278" w:right="31680"/>
              <w:jc w:val="right"/>
              <w:rPr>
                <w:sz w:val="18"/>
              </w:rPr>
            </w:pPr>
            <w:r>
              <w:rPr>
                <w:sz w:val="18"/>
              </w:rPr>
              <w:t>22</w:t>
            </w:r>
          </w:p>
        </w:tc>
      </w:tr>
      <w:tr w:rsidR="00000000">
        <w:tblPrEx>
          <w:tblCellMar>
            <w:top w:w="0" w:type="dxa"/>
            <w:bottom w:w="0" w:type="dxa"/>
          </w:tblCellMar>
        </w:tblPrEx>
        <w:tc>
          <w:tcPr>
            <w:tcW w:w="787" w:type="pct"/>
          </w:tcPr>
          <w:p w:rsidR="00000000" w:rsidRDefault="004D2F83">
            <w:pPr>
              <w:snapToGrid w:val="0"/>
              <w:spacing w:line="360" w:lineRule="exact"/>
              <w:jc w:val="center"/>
              <w:rPr>
                <w:rFonts w:hint="eastAsia"/>
                <w:sz w:val="18"/>
              </w:rPr>
            </w:pPr>
            <w:r>
              <w:rPr>
                <w:rFonts w:hint="eastAsia"/>
                <w:sz w:val="18"/>
              </w:rPr>
              <w:t>联邦区</w:t>
            </w:r>
          </w:p>
        </w:tc>
        <w:tc>
          <w:tcPr>
            <w:tcW w:w="842" w:type="pct"/>
          </w:tcPr>
          <w:p w:rsidR="00000000" w:rsidRDefault="004D2F83" w:rsidP="004D2F83">
            <w:pPr>
              <w:snapToGrid w:val="0"/>
              <w:spacing w:line="360" w:lineRule="exact"/>
              <w:ind w:rightChars="278" w:right="31680"/>
              <w:jc w:val="right"/>
              <w:rPr>
                <w:rFonts w:hint="eastAsia"/>
                <w:sz w:val="18"/>
              </w:rPr>
            </w:pPr>
            <w:r>
              <w:rPr>
                <w:rFonts w:hint="eastAsia"/>
                <w:sz w:val="18"/>
              </w:rPr>
              <w:t>75</w:t>
            </w:r>
          </w:p>
        </w:tc>
        <w:tc>
          <w:tcPr>
            <w:tcW w:w="842" w:type="pct"/>
          </w:tcPr>
          <w:p w:rsidR="00000000" w:rsidRDefault="004D2F83" w:rsidP="004D2F83">
            <w:pPr>
              <w:snapToGrid w:val="0"/>
              <w:spacing w:line="360" w:lineRule="exact"/>
              <w:ind w:rightChars="278" w:right="31680"/>
              <w:jc w:val="right"/>
              <w:rPr>
                <w:rFonts w:hint="eastAsia"/>
                <w:sz w:val="18"/>
              </w:rPr>
            </w:pPr>
            <w:r>
              <w:rPr>
                <w:rFonts w:hint="eastAsia"/>
                <w:sz w:val="18"/>
              </w:rPr>
              <w:t>73</w:t>
            </w:r>
          </w:p>
        </w:tc>
        <w:tc>
          <w:tcPr>
            <w:tcW w:w="842" w:type="pct"/>
          </w:tcPr>
          <w:p w:rsidR="00000000" w:rsidRDefault="004D2F83" w:rsidP="004D2F83">
            <w:pPr>
              <w:snapToGrid w:val="0"/>
              <w:spacing w:line="360" w:lineRule="exact"/>
              <w:ind w:rightChars="278" w:right="31680"/>
              <w:jc w:val="right"/>
              <w:rPr>
                <w:sz w:val="18"/>
              </w:rPr>
            </w:pPr>
            <w:r>
              <w:rPr>
                <w:sz w:val="18"/>
              </w:rPr>
              <w:t>28</w:t>
            </w:r>
          </w:p>
        </w:tc>
        <w:tc>
          <w:tcPr>
            <w:tcW w:w="843" w:type="pct"/>
          </w:tcPr>
          <w:p w:rsidR="00000000" w:rsidRDefault="004D2F83" w:rsidP="004D2F83">
            <w:pPr>
              <w:snapToGrid w:val="0"/>
              <w:spacing w:line="360" w:lineRule="exact"/>
              <w:ind w:rightChars="278" w:right="31680"/>
              <w:jc w:val="right"/>
              <w:rPr>
                <w:sz w:val="18"/>
              </w:rPr>
            </w:pPr>
            <w:r>
              <w:rPr>
                <w:sz w:val="18"/>
              </w:rPr>
              <w:t>27</w:t>
            </w:r>
          </w:p>
        </w:tc>
        <w:tc>
          <w:tcPr>
            <w:tcW w:w="843" w:type="pct"/>
          </w:tcPr>
          <w:p w:rsidR="00000000" w:rsidRDefault="004D2F83" w:rsidP="004D2F83">
            <w:pPr>
              <w:snapToGrid w:val="0"/>
              <w:spacing w:line="360" w:lineRule="exact"/>
              <w:ind w:rightChars="278" w:right="31680"/>
              <w:jc w:val="right"/>
              <w:rPr>
                <w:sz w:val="18"/>
              </w:rPr>
            </w:pPr>
            <w:r>
              <w:rPr>
                <w:sz w:val="18"/>
              </w:rPr>
              <w:t>103</w:t>
            </w:r>
          </w:p>
        </w:tc>
      </w:tr>
      <w:tr w:rsidR="00000000">
        <w:tblPrEx>
          <w:tblCellMar>
            <w:top w:w="0" w:type="dxa"/>
            <w:bottom w:w="0" w:type="dxa"/>
          </w:tblCellMar>
        </w:tblPrEx>
        <w:tc>
          <w:tcPr>
            <w:tcW w:w="787" w:type="pct"/>
          </w:tcPr>
          <w:p w:rsidR="00000000" w:rsidRDefault="004D2F83">
            <w:pPr>
              <w:pStyle w:val="Header"/>
              <w:pBdr>
                <w:bottom w:val="none" w:sz="0" w:space="0" w:color="auto"/>
              </w:pBdr>
              <w:tabs>
                <w:tab w:val="clear" w:pos="4320"/>
                <w:tab w:val="clear" w:pos="8640"/>
              </w:tabs>
              <w:snapToGrid w:val="0"/>
              <w:spacing w:line="360" w:lineRule="exact"/>
              <w:rPr>
                <w:rFonts w:hint="eastAsia"/>
              </w:rPr>
            </w:pPr>
            <w:r>
              <w:rPr>
                <w:rFonts w:hint="eastAsia"/>
              </w:rPr>
              <w:t>总数</w:t>
            </w:r>
          </w:p>
        </w:tc>
        <w:tc>
          <w:tcPr>
            <w:tcW w:w="842" w:type="pct"/>
          </w:tcPr>
          <w:p w:rsidR="00000000" w:rsidRDefault="004D2F83" w:rsidP="004D2F83">
            <w:pPr>
              <w:snapToGrid w:val="0"/>
              <w:spacing w:line="360" w:lineRule="exact"/>
              <w:ind w:rightChars="278" w:right="31680"/>
              <w:jc w:val="right"/>
              <w:rPr>
                <w:rFonts w:hint="eastAsia"/>
                <w:sz w:val="18"/>
              </w:rPr>
            </w:pPr>
            <w:r>
              <w:rPr>
                <w:rFonts w:hint="eastAsia"/>
                <w:sz w:val="18"/>
              </w:rPr>
              <w:t>392</w:t>
            </w:r>
          </w:p>
        </w:tc>
        <w:tc>
          <w:tcPr>
            <w:tcW w:w="842" w:type="pct"/>
          </w:tcPr>
          <w:p w:rsidR="00000000" w:rsidRDefault="004D2F83" w:rsidP="004D2F83">
            <w:pPr>
              <w:snapToGrid w:val="0"/>
              <w:spacing w:line="360" w:lineRule="exact"/>
              <w:ind w:rightChars="278" w:right="31680"/>
              <w:jc w:val="right"/>
              <w:rPr>
                <w:sz w:val="18"/>
              </w:rPr>
            </w:pPr>
            <w:r>
              <w:rPr>
                <w:sz w:val="18"/>
              </w:rPr>
              <w:t>71.5</w:t>
            </w:r>
          </w:p>
        </w:tc>
        <w:tc>
          <w:tcPr>
            <w:tcW w:w="842" w:type="pct"/>
          </w:tcPr>
          <w:p w:rsidR="00000000" w:rsidRDefault="004D2F83" w:rsidP="004D2F83">
            <w:pPr>
              <w:snapToGrid w:val="0"/>
              <w:spacing w:line="360" w:lineRule="exact"/>
              <w:ind w:rightChars="278" w:right="31680"/>
              <w:jc w:val="right"/>
              <w:rPr>
                <w:sz w:val="18"/>
              </w:rPr>
            </w:pPr>
            <w:r>
              <w:rPr>
                <w:sz w:val="18"/>
              </w:rPr>
              <w:t>15</w:t>
            </w:r>
            <w:r>
              <w:rPr>
                <w:sz w:val="18"/>
              </w:rPr>
              <w:t>6</w:t>
            </w:r>
          </w:p>
        </w:tc>
        <w:tc>
          <w:tcPr>
            <w:tcW w:w="843" w:type="pct"/>
          </w:tcPr>
          <w:p w:rsidR="00000000" w:rsidRDefault="004D2F83" w:rsidP="004D2F83">
            <w:pPr>
              <w:snapToGrid w:val="0"/>
              <w:spacing w:line="360" w:lineRule="exact"/>
              <w:ind w:rightChars="278" w:right="31680"/>
              <w:jc w:val="right"/>
              <w:rPr>
                <w:sz w:val="18"/>
              </w:rPr>
            </w:pPr>
            <w:r>
              <w:rPr>
                <w:sz w:val="18"/>
              </w:rPr>
              <w:t>28.5</w:t>
            </w:r>
          </w:p>
        </w:tc>
        <w:tc>
          <w:tcPr>
            <w:tcW w:w="843" w:type="pct"/>
          </w:tcPr>
          <w:p w:rsidR="00000000" w:rsidRDefault="004D2F83" w:rsidP="004D2F83">
            <w:pPr>
              <w:snapToGrid w:val="0"/>
              <w:spacing w:line="360" w:lineRule="exact"/>
              <w:ind w:rightChars="278" w:right="31680"/>
              <w:jc w:val="right"/>
              <w:rPr>
                <w:sz w:val="18"/>
              </w:rPr>
            </w:pPr>
            <w:r>
              <w:rPr>
                <w:sz w:val="18"/>
              </w:rPr>
              <w:t>548</w:t>
            </w:r>
          </w:p>
        </w:tc>
      </w:tr>
    </w:tbl>
    <w:p w:rsidR="00000000" w:rsidRDefault="004D2F83">
      <w:pPr>
        <w:snapToGrid w:val="0"/>
        <w:spacing w:after="240" w:line="360" w:lineRule="exact"/>
        <w:rPr>
          <w:rFonts w:hint="eastAsia"/>
          <w:sz w:val="18"/>
        </w:rPr>
      </w:pPr>
      <w:r>
        <w:rPr>
          <w:rFonts w:eastAsia="SimHei" w:hint="eastAsia"/>
          <w:sz w:val="18"/>
        </w:rPr>
        <w:t>资料来源</w:t>
      </w:r>
      <w:r>
        <w:rPr>
          <w:rFonts w:hint="eastAsia"/>
          <w:sz w:val="18"/>
        </w:rPr>
        <w:t>：公诉部门。</w:t>
      </w:r>
    </w:p>
    <w:p w:rsidR="00000000" w:rsidRDefault="004D2F83">
      <w:pPr>
        <w:snapToGrid w:val="0"/>
        <w:spacing w:after="240" w:line="360" w:lineRule="exact"/>
        <w:rPr>
          <w:rFonts w:eastAsia="SimHei" w:hint="eastAsia"/>
          <w:sz w:val="24"/>
        </w:rPr>
      </w:pPr>
      <w:r>
        <w:rPr>
          <w:rFonts w:eastAsia="SimHei" w:hint="eastAsia"/>
          <w:sz w:val="24"/>
        </w:rPr>
        <w:t>因素与困难</w:t>
      </w:r>
    </w:p>
    <w:p w:rsidR="00000000" w:rsidRDefault="004D2F83" w:rsidP="004D2F83">
      <w:pPr>
        <w:snapToGrid w:val="0"/>
        <w:spacing w:after="240" w:line="360" w:lineRule="exact"/>
        <w:ind w:firstLineChars="200" w:firstLine="31680"/>
        <w:rPr>
          <w:rFonts w:hint="eastAsia"/>
        </w:rPr>
      </w:pPr>
      <w:r>
        <w:rPr>
          <w:rFonts w:hint="eastAsia"/>
        </w:rPr>
        <w:t>要分析一个国家公共及政治生活中的妇女状况，以及评估男女平等的现状，首先要克服的一个重大难题就是按性别分列的数据的匮乏。在回顾性研究中，情况就更为复杂：按性别分列的信息只涵盖短短几年时间。以种族</w:t>
      </w:r>
      <w:r>
        <w:rPr>
          <w:rFonts w:hint="eastAsia"/>
        </w:rPr>
        <w:t>/</w:t>
      </w:r>
      <w:r>
        <w:rPr>
          <w:rFonts w:hint="eastAsia"/>
        </w:rPr>
        <w:t>肤色为变量收集的数据更是这样。</w:t>
      </w:r>
    </w:p>
    <w:p w:rsidR="00000000" w:rsidRDefault="004D2F83" w:rsidP="004D2F83">
      <w:pPr>
        <w:snapToGrid w:val="0"/>
        <w:spacing w:after="240" w:line="340" w:lineRule="exact"/>
        <w:ind w:firstLineChars="200" w:firstLine="31680"/>
        <w:rPr>
          <w:rFonts w:hint="eastAsia"/>
        </w:rPr>
      </w:pPr>
      <w:r>
        <w:rPr>
          <w:rFonts w:hint="eastAsia"/>
        </w:rPr>
        <w:t>1934</w:t>
      </w:r>
      <w:r>
        <w:rPr>
          <w:rFonts w:hint="eastAsia"/>
        </w:rPr>
        <w:t>年</w:t>
      </w:r>
      <w:r>
        <w:rPr>
          <w:rStyle w:val="FootnoteReference"/>
        </w:rPr>
        <w:footnoteReference w:customMarkFollows="1" w:id="86"/>
        <w:t>86</w:t>
      </w:r>
      <w:r>
        <w:rPr>
          <w:rFonts w:hint="eastAsia"/>
        </w:rPr>
        <w:t xml:space="preserve"> </w:t>
      </w:r>
      <w:r>
        <w:rPr>
          <w:rFonts w:hint="eastAsia"/>
        </w:rPr>
        <w:t>以来，《联邦宪法》保证妇女享有选举权和被选举权。但一旦涉及到选举纠纷，这项权利本身并不足以帮助妇女争取到与男子平等的地位。尽管男女选民数量相当，但这个问题始终存在：最高选举法院提供的统计数据表明，巴西目前有</w:t>
      </w:r>
      <w:r>
        <w:t>55</w:t>
      </w:r>
      <w:r>
        <w:rPr>
          <w:rFonts w:hint="eastAsia"/>
        </w:rPr>
        <w:t xml:space="preserve"> </w:t>
      </w:r>
      <w:r>
        <w:t>437</w:t>
      </w:r>
      <w:r>
        <w:rPr>
          <w:rFonts w:hint="eastAsia"/>
        </w:rPr>
        <w:t xml:space="preserve"> </w:t>
      </w:r>
      <w:r>
        <w:t>428</w:t>
      </w:r>
      <w:r>
        <w:rPr>
          <w:rFonts w:hint="eastAsia"/>
        </w:rPr>
        <w:t>名女性选民，占选民总数的</w:t>
      </w:r>
      <w:r>
        <w:t>50.48%</w:t>
      </w:r>
      <w:r>
        <w:rPr>
          <w:rFonts w:hint="eastAsia"/>
        </w:rPr>
        <w:t>；男性选民有</w:t>
      </w:r>
      <w:r>
        <w:t>54</w:t>
      </w:r>
      <w:r>
        <w:rPr>
          <w:rFonts w:hint="eastAsia"/>
        </w:rPr>
        <w:t xml:space="preserve"> </w:t>
      </w:r>
      <w:r>
        <w:t>152</w:t>
      </w:r>
      <w:r>
        <w:rPr>
          <w:rFonts w:hint="eastAsia"/>
        </w:rPr>
        <w:t xml:space="preserve"> </w:t>
      </w:r>
      <w:r>
        <w:t>464</w:t>
      </w:r>
      <w:r>
        <w:rPr>
          <w:rFonts w:hint="eastAsia"/>
        </w:rPr>
        <w:t>人，占选民总数的</w:t>
      </w:r>
      <w:r>
        <w:t>49.31%</w:t>
      </w:r>
      <w:r>
        <w:rPr>
          <w:rFonts w:hint="eastAsia"/>
        </w:rPr>
        <w:t>，此外还有</w:t>
      </w:r>
      <w:r>
        <w:t>236</w:t>
      </w:r>
      <w:r>
        <w:rPr>
          <w:rFonts w:hint="eastAsia"/>
        </w:rPr>
        <w:t xml:space="preserve"> </w:t>
      </w:r>
      <w:r>
        <w:t>371</w:t>
      </w:r>
      <w:r>
        <w:rPr>
          <w:rFonts w:hint="eastAsia"/>
        </w:rPr>
        <w:t>名登记选民（</w:t>
      </w:r>
      <w:r>
        <w:t>0.22%</w:t>
      </w:r>
      <w:r>
        <w:rPr>
          <w:rFonts w:hint="eastAsia"/>
        </w:rPr>
        <w:t>）无法判断其性别。在过去十年里，女性选民的人数一直保持稳定，参与历年选举的女性选民占选民总数的比例分别为：</w:t>
      </w:r>
      <w:r>
        <w:rPr>
          <w:rFonts w:hint="eastAsia"/>
        </w:rPr>
        <w:t>1994</w:t>
      </w:r>
      <w:r>
        <w:rPr>
          <w:rFonts w:hint="eastAsia"/>
        </w:rPr>
        <w:t>年为</w:t>
      </w:r>
      <w:r>
        <w:t>50.31%</w:t>
      </w:r>
      <w:r>
        <w:rPr>
          <w:rFonts w:hint="eastAsia"/>
        </w:rPr>
        <w:t>；</w:t>
      </w:r>
      <w:r>
        <w:rPr>
          <w:rFonts w:hint="eastAsia"/>
        </w:rPr>
        <w:t>1996</w:t>
      </w:r>
      <w:r>
        <w:rPr>
          <w:rFonts w:hint="eastAsia"/>
        </w:rPr>
        <w:t>年为</w:t>
      </w:r>
      <w:r>
        <w:t>49.93%</w:t>
      </w:r>
      <w:r>
        <w:rPr>
          <w:rFonts w:hint="eastAsia"/>
        </w:rPr>
        <w:t>；</w:t>
      </w:r>
      <w:r>
        <w:rPr>
          <w:rFonts w:hint="eastAsia"/>
        </w:rPr>
        <w:t>1998</w:t>
      </w:r>
      <w:r>
        <w:rPr>
          <w:rFonts w:hint="eastAsia"/>
        </w:rPr>
        <w:t>年为</w:t>
      </w:r>
      <w:r>
        <w:t>49.77%</w:t>
      </w:r>
      <w:r>
        <w:rPr>
          <w:rFonts w:hint="eastAsia"/>
        </w:rPr>
        <w:t>。但是从女性候选人和当选女性的人数上却看不出男女之间的均衡。竞选各种公职的候选人和最终的当选代表大多都是男性。</w:t>
      </w:r>
    </w:p>
    <w:p w:rsidR="00000000" w:rsidRDefault="004D2F83" w:rsidP="004D2F83">
      <w:pPr>
        <w:snapToGrid w:val="0"/>
        <w:spacing w:after="240" w:line="340" w:lineRule="exact"/>
        <w:ind w:firstLineChars="200" w:firstLine="31680"/>
        <w:rPr>
          <w:rFonts w:hint="eastAsia"/>
        </w:rPr>
      </w:pPr>
      <w:r>
        <w:rPr>
          <w:rFonts w:hint="eastAsia"/>
        </w:rPr>
        <w:t>争取高层职位是赋予妇女权力的领域之一，在过去十年里，妇女运动在</w:t>
      </w:r>
      <w:r>
        <w:rPr>
          <w:rFonts w:hint="eastAsia"/>
        </w:rPr>
        <w:t>这方面始终不懈努力。正如上文指出，妇女担任公职和管理职位的比例同其参与国家选举和经济的程度不相符。值得注意的是</w:t>
      </w:r>
      <w:r>
        <w:rPr>
          <w:rFonts w:hint="eastAsia"/>
        </w:rPr>
        <w:t>1990</w:t>
      </w:r>
      <w:r>
        <w:rPr>
          <w:rFonts w:hint="eastAsia"/>
        </w:rPr>
        <w:t>年代颁布的《限额法》，这部法律规定了政治限额制度，确保在比例选举中促进男女平等，这部法律也引发了关于妇女参政及妇女同各级权力的关系的讨论。</w:t>
      </w:r>
    </w:p>
    <w:p w:rsidR="00000000" w:rsidRDefault="004D2F83" w:rsidP="004D2F83">
      <w:pPr>
        <w:snapToGrid w:val="0"/>
        <w:spacing w:after="240" w:line="340" w:lineRule="exact"/>
        <w:ind w:firstLineChars="200" w:firstLine="31680"/>
        <w:rPr>
          <w:rFonts w:hint="eastAsia"/>
        </w:rPr>
      </w:pPr>
      <w:r>
        <w:rPr>
          <w:rFonts w:hint="eastAsia"/>
        </w:rPr>
        <w:t>目前妇女在立法、行政和司法机构以及在联邦、州和市级政府部门的任职情况表明，要使妇女得到与男子同等的代表权，还有很多工作要做。</w:t>
      </w:r>
    </w:p>
    <w:p w:rsidR="00000000" w:rsidRDefault="004D2F83" w:rsidP="004D2F83">
      <w:pPr>
        <w:snapToGrid w:val="0"/>
        <w:spacing w:after="240" w:line="360" w:lineRule="exact"/>
        <w:ind w:firstLineChars="200" w:firstLine="31680"/>
        <w:jc w:val="center"/>
        <w:rPr>
          <w:rFonts w:ascii="SimHei" w:eastAsia="SimHei" w:hint="eastAsia"/>
        </w:rPr>
      </w:pPr>
      <w:r>
        <w:rPr>
          <w:rFonts w:ascii="SimHei" w:eastAsia="SimHei" w:hint="eastAsia"/>
        </w:rPr>
        <w:t>表</w:t>
      </w:r>
      <w:r>
        <w:rPr>
          <w:rFonts w:ascii="SimHei" w:eastAsia="SimHei" w:hint="eastAsia"/>
        </w:rPr>
        <w:t>21</w:t>
      </w:r>
      <w:r>
        <w:rPr>
          <w:rFonts w:ascii="SimHei" w:eastAsia="SimHei" w:hint="eastAsia"/>
        </w:rPr>
        <w:t>．立法机构中的男女任职情况</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2"/>
        <w:gridCol w:w="1684"/>
        <w:gridCol w:w="1475"/>
        <w:gridCol w:w="1683"/>
        <w:gridCol w:w="1232"/>
        <w:gridCol w:w="1660"/>
      </w:tblGrid>
      <w:tr w:rsidR="00000000">
        <w:tblPrEx>
          <w:tblCellMar>
            <w:top w:w="0" w:type="dxa"/>
            <w:bottom w:w="0" w:type="dxa"/>
          </w:tblCellMar>
        </w:tblPrEx>
        <w:tc>
          <w:tcPr>
            <w:tcW w:w="1076" w:type="pct"/>
          </w:tcPr>
          <w:p w:rsidR="00000000" w:rsidRDefault="004D2F83">
            <w:pPr>
              <w:snapToGrid w:val="0"/>
              <w:spacing w:line="360" w:lineRule="exact"/>
              <w:jc w:val="center"/>
              <w:rPr>
                <w:rFonts w:ascii="SimHei" w:eastAsia="SimHei" w:hint="eastAsia"/>
                <w:sz w:val="18"/>
              </w:rPr>
            </w:pPr>
          </w:p>
        </w:tc>
        <w:tc>
          <w:tcPr>
            <w:tcW w:w="854" w:type="pct"/>
            <w:vAlign w:val="center"/>
          </w:tcPr>
          <w:p w:rsidR="00000000" w:rsidRDefault="004D2F83">
            <w:pPr>
              <w:snapToGrid w:val="0"/>
              <w:spacing w:line="360" w:lineRule="exact"/>
              <w:jc w:val="center"/>
              <w:rPr>
                <w:rFonts w:ascii="SimHei" w:eastAsia="SimHei" w:hint="eastAsia"/>
                <w:sz w:val="18"/>
              </w:rPr>
            </w:pPr>
            <w:r>
              <w:rPr>
                <w:rFonts w:ascii="SimHei" w:eastAsia="SimHei" w:hint="eastAsia"/>
                <w:sz w:val="18"/>
              </w:rPr>
              <w:t>女</w:t>
            </w:r>
          </w:p>
        </w:tc>
        <w:tc>
          <w:tcPr>
            <w:tcW w:w="748" w:type="pct"/>
            <w:vAlign w:val="center"/>
          </w:tcPr>
          <w:p w:rsidR="00000000" w:rsidRDefault="004D2F83">
            <w:pPr>
              <w:snapToGrid w:val="0"/>
              <w:spacing w:line="360" w:lineRule="exact"/>
              <w:jc w:val="center"/>
              <w:rPr>
                <w:rFonts w:ascii="SimHei" w:eastAsia="SimHei" w:hint="eastAsia"/>
                <w:sz w:val="18"/>
              </w:rPr>
            </w:pPr>
            <w:r>
              <w:rPr>
                <w:rFonts w:ascii="SimHei" w:eastAsia="SimHei" w:hint="eastAsia"/>
                <w:sz w:val="18"/>
              </w:rPr>
              <w:t>%</w:t>
            </w:r>
          </w:p>
        </w:tc>
        <w:tc>
          <w:tcPr>
            <w:tcW w:w="854" w:type="pct"/>
            <w:vAlign w:val="center"/>
          </w:tcPr>
          <w:p w:rsidR="00000000" w:rsidRDefault="004D2F83">
            <w:pPr>
              <w:snapToGrid w:val="0"/>
              <w:spacing w:line="360" w:lineRule="exact"/>
              <w:jc w:val="center"/>
              <w:rPr>
                <w:rFonts w:ascii="SimHei" w:eastAsia="SimHei" w:hint="eastAsia"/>
                <w:sz w:val="18"/>
              </w:rPr>
            </w:pPr>
            <w:r>
              <w:rPr>
                <w:rFonts w:ascii="SimHei" w:eastAsia="SimHei" w:hint="eastAsia"/>
                <w:sz w:val="18"/>
              </w:rPr>
              <w:t>男</w:t>
            </w:r>
          </w:p>
        </w:tc>
        <w:tc>
          <w:tcPr>
            <w:tcW w:w="625" w:type="pct"/>
            <w:vAlign w:val="center"/>
          </w:tcPr>
          <w:p w:rsidR="00000000" w:rsidRDefault="004D2F83">
            <w:pPr>
              <w:snapToGrid w:val="0"/>
              <w:spacing w:line="360" w:lineRule="exact"/>
              <w:jc w:val="center"/>
              <w:rPr>
                <w:rFonts w:ascii="SimHei" w:eastAsia="SimHei" w:hint="eastAsia"/>
                <w:sz w:val="18"/>
              </w:rPr>
            </w:pPr>
            <w:r>
              <w:rPr>
                <w:rFonts w:ascii="SimHei" w:eastAsia="SimHei" w:hint="eastAsia"/>
                <w:sz w:val="18"/>
              </w:rPr>
              <w:t>%</w:t>
            </w:r>
          </w:p>
        </w:tc>
        <w:tc>
          <w:tcPr>
            <w:tcW w:w="842" w:type="pct"/>
            <w:vAlign w:val="center"/>
          </w:tcPr>
          <w:p w:rsidR="00000000" w:rsidRDefault="004D2F83">
            <w:pPr>
              <w:snapToGrid w:val="0"/>
              <w:spacing w:line="360" w:lineRule="exact"/>
              <w:jc w:val="center"/>
              <w:rPr>
                <w:rFonts w:ascii="SimHei" w:eastAsia="SimHei" w:hint="eastAsia"/>
                <w:sz w:val="18"/>
              </w:rPr>
            </w:pPr>
            <w:r>
              <w:rPr>
                <w:rFonts w:ascii="SimHei" w:eastAsia="SimHei" w:hint="eastAsia"/>
                <w:sz w:val="18"/>
              </w:rPr>
              <w:t>总数</w:t>
            </w:r>
          </w:p>
        </w:tc>
      </w:tr>
      <w:tr w:rsidR="00000000">
        <w:tblPrEx>
          <w:tblCellMar>
            <w:top w:w="0" w:type="dxa"/>
            <w:bottom w:w="0" w:type="dxa"/>
          </w:tblCellMar>
        </w:tblPrEx>
        <w:tc>
          <w:tcPr>
            <w:tcW w:w="1076" w:type="pct"/>
            <w:vAlign w:val="center"/>
          </w:tcPr>
          <w:p w:rsidR="00000000" w:rsidRDefault="004D2F83">
            <w:pPr>
              <w:snapToGrid w:val="0"/>
              <w:spacing w:line="360" w:lineRule="exact"/>
              <w:jc w:val="center"/>
              <w:rPr>
                <w:rFonts w:hint="eastAsia"/>
                <w:sz w:val="18"/>
              </w:rPr>
            </w:pPr>
            <w:r>
              <w:rPr>
                <w:rFonts w:hint="eastAsia"/>
                <w:sz w:val="18"/>
              </w:rPr>
              <w:t>市理事会成员</w:t>
            </w:r>
            <w:r>
              <w:rPr>
                <w:rFonts w:hint="eastAsia"/>
                <w:sz w:val="18"/>
                <w:vertAlign w:val="superscript"/>
              </w:rPr>
              <w:t>*</w:t>
            </w:r>
          </w:p>
        </w:tc>
        <w:tc>
          <w:tcPr>
            <w:tcW w:w="854" w:type="pct"/>
            <w:vAlign w:val="center"/>
          </w:tcPr>
          <w:p w:rsidR="00000000" w:rsidRDefault="004D2F83" w:rsidP="004D2F83">
            <w:pPr>
              <w:snapToGrid w:val="0"/>
              <w:spacing w:line="360" w:lineRule="exact"/>
              <w:ind w:rightChars="217" w:right="31680"/>
              <w:jc w:val="right"/>
              <w:rPr>
                <w:sz w:val="18"/>
              </w:rPr>
            </w:pPr>
            <w:r>
              <w:rPr>
                <w:sz w:val="18"/>
              </w:rPr>
              <w:t>6 992</w:t>
            </w:r>
          </w:p>
        </w:tc>
        <w:tc>
          <w:tcPr>
            <w:tcW w:w="748" w:type="pct"/>
            <w:vAlign w:val="center"/>
          </w:tcPr>
          <w:p w:rsidR="00000000" w:rsidRDefault="004D2F83" w:rsidP="004D2F83">
            <w:pPr>
              <w:snapToGrid w:val="0"/>
              <w:spacing w:line="360" w:lineRule="exact"/>
              <w:ind w:rightChars="217" w:right="31680"/>
              <w:jc w:val="right"/>
              <w:rPr>
                <w:sz w:val="18"/>
              </w:rPr>
            </w:pPr>
            <w:r>
              <w:rPr>
                <w:sz w:val="18"/>
              </w:rPr>
              <w:t>11.61</w:t>
            </w:r>
          </w:p>
        </w:tc>
        <w:tc>
          <w:tcPr>
            <w:tcW w:w="854" w:type="pct"/>
            <w:vAlign w:val="center"/>
          </w:tcPr>
          <w:p w:rsidR="00000000" w:rsidRDefault="004D2F83" w:rsidP="004D2F83">
            <w:pPr>
              <w:snapToGrid w:val="0"/>
              <w:spacing w:line="360" w:lineRule="exact"/>
              <w:ind w:rightChars="217" w:right="31680"/>
              <w:jc w:val="right"/>
              <w:rPr>
                <w:sz w:val="18"/>
              </w:rPr>
            </w:pPr>
            <w:r>
              <w:rPr>
                <w:sz w:val="18"/>
              </w:rPr>
              <w:t>53 253</w:t>
            </w:r>
          </w:p>
        </w:tc>
        <w:tc>
          <w:tcPr>
            <w:tcW w:w="625" w:type="pct"/>
            <w:vAlign w:val="center"/>
          </w:tcPr>
          <w:p w:rsidR="00000000" w:rsidRDefault="004D2F83" w:rsidP="004D2F83">
            <w:pPr>
              <w:snapToGrid w:val="0"/>
              <w:spacing w:line="360" w:lineRule="exact"/>
              <w:ind w:rightChars="217" w:right="31680"/>
              <w:jc w:val="right"/>
              <w:rPr>
                <w:sz w:val="18"/>
              </w:rPr>
            </w:pPr>
            <w:r>
              <w:rPr>
                <w:sz w:val="18"/>
              </w:rPr>
              <w:t>88.39</w:t>
            </w:r>
          </w:p>
        </w:tc>
        <w:tc>
          <w:tcPr>
            <w:tcW w:w="842" w:type="pct"/>
            <w:vAlign w:val="center"/>
          </w:tcPr>
          <w:p w:rsidR="00000000" w:rsidRDefault="004D2F83" w:rsidP="004D2F83">
            <w:pPr>
              <w:snapToGrid w:val="0"/>
              <w:spacing w:line="360" w:lineRule="exact"/>
              <w:ind w:rightChars="217" w:right="31680"/>
              <w:jc w:val="right"/>
              <w:rPr>
                <w:sz w:val="18"/>
              </w:rPr>
            </w:pPr>
            <w:r>
              <w:rPr>
                <w:sz w:val="18"/>
              </w:rPr>
              <w:t>6</w:t>
            </w:r>
            <w:r>
              <w:rPr>
                <w:sz w:val="18"/>
              </w:rPr>
              <w:t>0 245</w:t>
            </w:r>
          </w:p>
        </w:tc>
      </w:tr>
      <w:tr w:rsidR="00000000">
        <w:tblPrEx>
          <w:tblCellMar>
            <w:top w:w="0" w:type="dxa"/>
            <w:bottom w:w="0" w:type="dxa"/>
          </w:tblCellMar>
        </w:tblPrEx>
        <w:tc>
          <w:tcPr>
            <w:tcW w:w="1076" w:type="pct"/>
            <w:vAlign w:val="center"/>
          </w:tcPr>
          <w:p w:rsidR="00000000" w:rsidRDefault="004D2F83">
            <w:pPr>
              <w:snapToGrid w:val="0"/>
              <w:spacing w:line="360" w:lineRule="exact"/>
              <w:jc w:val="center"/>
              <w:rPr>
                <w:rFonts w:hint="eastAsia"/>
                <w:sz w:val="18"/>
              </w:rPr>
            </w:pPr>
            <w:r>
              <w:rPr>
                <w:rFonts w:hint="eastAsia"/>
                <w:sz w:val="18"/>
              </w:rPr>
              <w:t>州</w:t>
            </w:r>
            <w:r>
              <w:rPr>
                <w:rFonts w:hint="eastAsia"/>
                <w:sz w:val="18"/>
              </w:rPr>
              <w:t>/</w:t>
            </w:r>
            <w:r>
              <w:rPr>
                <w:rFonts w:hint="eastAsia"/>
                <w:sz w:val="18"/>
              </w:rPr>
              <w:t>区众议员</w:t>
            </w:r>
          </w:p>
        </w:tc>
        <w:tc>
          <w:tcPr>
            <w:tcW w:w="854" w:type="pct"/>
            <w:vAlign w:val="center"/>
          </w:tcPr>
          <w:p w:rsidR="00000000" w:rsidRDefault="004D2F83" w:rsidP="004D2F83">
            <w:pPr>
              <w:snapToGrid w:val="0"/>
              <w:spacing w:line="360" w:lineRule="exact"/>
              <w:ind w:rightChars="217" w:right="31680"/>
              <w:jc w:val="right"/>
              <w:rPr>
                <w:sz w:val="18"/>
              </w:rPr>
            </w:pPr>
            <w:r>
              <w:rPr>
                <w:sz w:val="18"/>
              </w:rPr>
              <w:t>111</w:t>
            </w:r>
          </w:p>
        </w:tc>
        <w:tc>
          <w:tcPr>
            <w:tcW w:w="748" w:type="pct"/>
            <w:vAlign w:val="center"/>
          </w:tcPr>
          <w:p w:rsidR="00000000" w:rsidRDefault="004D2F83" w:rsidP="004D2F83">
            <w:pPr>
              <w:snapToGrid w:val="0"/>
              <w:spacing w:line="360" w:lineRule="exact"/>
              <w:ind w:rightChars="217" w:right="31680"/>
              <w:jc w:val="right"/>
              <w:rPr>
                <w:sz w:val="18"/>
              </w:rPr>
            </w:pPr>
            <w:r>
              <w:rPr>
                <w:sz w:val="18"/>
              </w:rPr>
              <w:t>10.48</w:t>
            </w:r>
          </w:p>
        </w:tc>
        <w:tc>
          <w:tcPr>
            <w:tcW w:w="854" w:type="pct"/>
            <w:vAlign w:val="center"/>
          </w:tcPr>
          <w:p w:rsidR="00000000" w:rsidRDefault="004D2F83" w:rsidP="004D2F83">
            <w:pPr>
              <w:snapToGrid w:val="0"/>
              <w:spacing w:line="360" w:lineRule="exact"/>
              <w:ind w:rightChars="217" w:right="31680"/>
              <w:jc w:val="right"/>
              <w:rPr>
                <w:sz w:val="18"/>
              </w:rPr>
            </w:pPr>
            <w:r>
              <w:rPr>
                <w:sz w:val="18"/>
              </w:rPr>
              <w:t>948</w:t>
            </w:r>
          </w:p>
        </w:tc>
        <w:tc>
          <w:tcPr>
            <w:tcW w:w="625" w:type="pct"/>
            <w:vAlign w:val="center"/>
          </w:tcPr>
          <w:p w:rsidR="00000000" w:rsidRDefault="004D2F83" w:rsidP="004D2F83">
            <w:pPr>
              <w:snapToGrid w:val="0"/>
              <w:spacing w:line="360" w:lineRule="exact"/>
              <w:ind w:rightChars="217" w:right="31680"/>
              <w:jc w:val="right"/>
              <w:rPr>
                <w:sz w:val="18"/>
              </w:rPr>
            </w:pPr>
            <w:r>
              <w:rPr>
                <w:sz w:val="18"/>
              </w:rPr>
              <w:t>89.52</w:t>
            </w:r>
          </w:p>
        </w:tc>
        <w:tc>
          <w:tcPr>
            <w:tcW w:w="842" w:type="pct"/>
            <w:vAlign w:val="center"/>
          </w:tcPr>
          <w:p w:rsidR="00000000" w:rsidRDefault="004D2F83" w:rsidP="004D2F83">
            <w:pPr>
              <w:snapToGrid w:val="0"/>
              <w:spacing w:line="360" w:lineRule="exact"/>
              <w:ind w:rightChars="217" w:right="31680"/>
              <w:jc w:val="right"/>
              <w:rPr>
                <w:sz w:val="18"/>
              </w:rPr>
            </w:pPr>
            <w:r>
              <w:rPr>
                <w:sz w:val="18"/>
              </w:rPr>
              <w:t>1 059</w:t>
            </w:r>
          </w:p>
        </w:tc>
      </w:tr>
      <w:tr w:rsidR="00000000">
        <w:tblPrEx>
          <w:tblCellMar>
            <w:top w:w="0" w:type="dxa"/>
            <w:bottom w:w="0" w:type="dxa"/>
          </w:tblCellMar>
        </w:tblPrEx>
        <w:tc>
          <w:tcPr>
            <w:tcW w:w="1076" w:type="pct"/>
            <w:vAlign w:val="center"/>
          </w:tcPr>
          <w:p w:rsidR="00000000" w:rsidRDefault="004D2F83">
            <w:pPr>
              <w:snapToGrid w:val="0"/>
              <w:spacing w:line="360" w:lineRule="exact"/>
              <w:jc w:val="center"/>
              <w:rPr>
                <w:rFonts w:hint="eastAsia"/>
                <w:sz w:val="18"/>
              </w:rPr>
            </w:pPr>
            <w:r>
              <w:rPr>
                <w:rFonts w:hint="eastAsia"/>
                <w:sz w:val="18"/>
              </w:rPr>
              <w:t>联邦众议员</w:t>
            </w:r>
          </w:p>
        </w:tc>
        <w:tc>
          <w:tcPr>
            <w:tcW w:w="854" w:type="pct"/>
            <w:vAlign w:val="center"/>
          </w:tcPr>
          <w:p w:rsidR="00000000" w:rsidRDefault="004D2F83" w:rsidP="004D2F83">
            <w:pPr>
              <w:snapToGrid w:val="0"/>
              <w:spacing w:line="360" w:lineRule="exact"/>
              <w:ind w:rightChars="217" w:right="31680"/>
              <w:jc w:val="right"/>
              <w:rPr>
                <w:rFonts w:hint="eastAsia"/>
                <w:sz w:val="18"/>
              </w:rPr>
            </w:pPr>
            <w:r>
              <w:rPr>
                <w:sz w:val="18"/>
              </w:rPr>
              <w:t>35</w:t>
            </w:r>
          </w:p>
        </w:tc>
        <w:tc>
          <w:tcPr>
            <w:tcW w:w="748" w:type="pct"/>
            <w:vAlign w:val="center"/>
          </w:tcPr>
          <w:p w:rsidR="00000000" w:rsidRDefault="004D2F83" w:rsidP="004D2F83">
            <w:pPr>
              <w:snapToGrid w:val="0"/>
              <w:spacing w:line="360" w:lineRule="exact"/>
              <w:ind w:rightChars="217" w:right="31680"/>
              <w:jc w:val="right"/>
              <w:rPr>
                <w:sz w:val="18"/>
              </w:rPr>
            </w:pPr>
            <w:r>
              <w:rPr>
                <w:sz w:val="18"/>
              </w:rPr>
              <w:t>6.82</w:t>
            </w:r>
          </w:p>
        </w:tc>
        <w:tc>
          <w:tcPr>
            <w:tcW w:w="854" w:type="pct"/>
            <w:vAlign w:val="center"/>
          </w:tcPr>
          <w:p w:rsidR="00000000" w:rsidRDefault="004D2F83" w:rsidP="004D2F83">
            <w:pPr>
              <w:snapToGrid w:val="0"/>
              <w:spacing w:line="360" w:lineRule="exact"/>
              <w:ind w:rightChars="217" w:right="31680"/>
              <w:jc w:val="right"/>
              <w:rPr>
                <w:sz w:val="18"/>
              </w:rPr>
            </w:pPr>
            <w:r>
              <w:rPr>
                <w:sz w:val="18"/>
              </w:rPr>
              <w:t>478</w:t>
            </w:r>
          </w:p>
        </w:tc>
        <w:tc>
          <w:tcPr>
            <w:tcW w:w="625" w:type="pct"/>
            <w:vAlign w:val="center"/>
          </w:tcPr>
          <w:p w:rsidR="00000000" w:rsidRDefault="004D2F83" w:rsidP="004D2F83">
            <w:pPr>
              <w:snapToGrid w:val="0"/>
              <w:spacing w:line="360" w:lineRule="exact"/>
              <w:ind w:rightChars="217" w:right="31680"/>
              <w:jc w:val="right"/>
              <w:rPr>
                <w:sz w:val="18"/>
              </w:rPr>
            </w:pPr>
            <w:r>
              <w:rPr>
                <w:sz w:val="18"/>
              </w:rPr>
              <w:t>93.18</w:t>
            </w:r>
          </w:p>
        </w:tc>
        <w:tc>
          <w:tcPr>
            <w:tcW w:w="842" w:type="pct"/>
            <w:vAlign w:val="center"/>
          </w:tcPr>
          <w:p w:rsidR="00000000" w:rsidRDefault="004D2F83" w:rsidP="004D2F83">
            <w:pPr>
              <w:snapToGrid w:val="0"/>
              <w:spacing w:line="360" w:lineRule="exact"/>
              <w:ind w:rightChars="217" w:right="31680"/>
              <w:jc w:val="right"/>
              <w:rPr>
                <w:sz w:val="18"/>
              </w:rPr>
            </w:pPr>
            <w:r>
              <w:rPr>
                <w:sz w:val="18"/>
              </w:rPr>
              <w:t>513</w:t>
            </w:r>
          </w:p>
        </w:tc>
      </w:tr>
      <w:tr w:rsidR="00000000">
        <w:tblPrEx>
          <w:tblCellMar>
            <w:top w:w="0" w:type="dxa"/>
            <w:bottom w:w="0" w:type="dxa"/>
          </w:tblCellMar>
        </w:tblPrEx>
        <w:tc>
          <w:tcPr>
            <w:tcW w:w="1076" w:type="pct"/>
            <w:vAlign w:val="center"/>
          </w:tcPr>
          <w:p w:rsidR="00000000" w:rsidRDefault="004D2F83">
            <w:pPr>
              <w:snapToGrid w:val="0"/>
              <w:spacing w:line="360" w:lineRule="exact"/>
              <w:jc w:val="center"/>
              <w:rPr>
                <w:rFonts w:hint="eastAsia"/>
                <w:sz w:val="18"/>
              </w:rPr>
            </w:pPr>
            <w:r>
              <w:rPr>
                <w:rFonts w:hint="eastAsia"/>
                <w:sz w:val="18"/>
              </w:rPr>
              <w:t>参议员</w:t>
            </w:r>
          </w:p>
        </w:tc>
        <w:tc>
          <w:tcPr>
            <w:tcW w:w="854" w:type="pct"/>
            <w:vAlign w:val="center"/>
          </w:tcPr>
          <w:p w:rsidR="00000000" w:rsidRDefault="004D2F83" w:rsidP="004D2F83">
            <w:pPr>
              <w:snapToGrid w:val="0"/>
              <w:spacing w:line="360" w:lineRule="exact"/>
              <w:ind w:rightChars="217" w:right="31680"/>
              <w:jc w:val="right"/>
              <w:rPr>
                <w:rFonts w:hint="eastAsia"/>
                <w:sz w:val="18"/>
              </w:rPr>
            </w:pPr>
            <w:r>
              <w:rPr>
                <w:sz w:val="18"/>
              </w:rPr>
              <w:t>05</w:t>
            </w:r>
          </w:p>
        </w:tc>
        <w:tc>
          <w:tcPr>
            <w:tcW w:w="748" w:type="pct"/>
            <w:vAlign w:val="center"/>
          </w:tcPr>
          <w:p w:rsidR="00000000" w:rsidRDefault="004D2F83" w:rsidP="004D2F83">
            <w:pPr>
              <w:snapToGrid w:val="0"/>
              <w:spacing w:line="360" w:lineRule="exact"/>
              <w:ind w:rightChars="217" w:right="31680"/>
              <w:jc w:val="right"/>
              <w:rPr>
                <w:sz w:val="18"/>
              </w:rPr>
            </w:pPr>
            <w:r>
              <w:rPr>
                <w:sz w:val="18"/>
              </w:rPr>
              <w:t>6.17</w:t>
            </w:r>
          </w:p>
        </w:tc>
        <w:tc>
          <w:tcPr>
            <w:tcW w:w="854" w:type="pct"/>
            <w:vAlign w:val="center"/>
          </w:tcPr>
          <w:p w:rsidR="00000000" w:rsidRDefault="004D2F83" w:rsidP="004D2F83">
            <w:pPr>
              <w:snapToGrid w:val="0"/>
              <w:spacing w:line="360" w:lineRule="exact"/>
              <w:ind w:rightChars="217" w:right="31680"/>
              <w:jc w:val="right"/>
              <w:rPr>
                <w:sz w:val="18"/>
              </w:rPr>
            </w:pPr>
            <w:r>
              <w:rPr>
                <w:sz w:val="18"/>
              </w:rPr>
              <w:t>76</w:t>
            </w:r>
          </w:p>
        </w:tc>
        <w:tc>
          <w:tcPr>
            <w:tcW w:w="625" w:type="pct"/>
            <w:vAlign w:val="center"/>
          </w:tcPr>
          <w:p w:rsidR="00000000" w:rsidRDefault="004D2F83" w:rsidP="004D2F83">
            <w:pPr>
              <w:snapToGrid w:val="0"/>
              <w:spacing w:line="360" w:lineRule="exact"/>
              <w:ind w:rightChars="217" w:right="31680"/>
              <w:jc w:val="right"/>
              <w:rPr>
                <w:sz w:val="18"/>
              </w:rPr>
            </w:pPr>
            <w:r>
              <w:rPr>
                <w:sz w:val="18"/>
              </w:rPr>
              <w:t>93.83</w:t>
            </w:r>
          </w:p>
        </w:tc>
        <w:tc>
          <w:tcPr>
            <w:tcW w:w="842" w:type="pct"/>
            <w:vAlign w:val="center"/>
          </w:tcPr>
          <w:p w:rsidR="00000000" w:rsidRDefault="004D2F83" w:rsidP="004D2F83">
            <w:pPr>
              <w:snapToGrid w:val="0"/>
              <w:spacing w:line="360" w:lineRule="exact"/>
              <w:ind w:rightChars="217" w:right="31680"/>
              <w:jc w:val="right"/>
              <w:rPr>
                <w:sz w:val="18"/>
              </w:rPr>
            </w:pPr>
            <w:r>
              <w:rPr>
                <w:sz w:val="18"/>
              </w:rPr>
              <w:t>81</w:t>
            </w:r>
          </w:p>
        </w:tc>
      </w:tr>
      <w:tr w:rsidR="00000000">
        <w:tblPrEx>
          <w:tblCellMar>
            <w:top w:w="0" w:type="dxa"/>
            <w:bottom w:w="0" w:type="dxa"/>
          </w:tblCellMar>
        </w:tblPrEx>
        <w:tc>
          <w:tcPr>
            <w:tcW w:w="1076" w:type="pct"/>
            <w:vAlign w:val="center"/>
          </w:tcPr>
          <w:p w:rsidR="00000000" w:rsidRDefault="004D2F83">
            <w:pPr>
              <w:snapToGrid w:val="0"/>
              <w:spacing w:line="360" w:lineRule="exact"/>
              <w:jc w:val="center"/>
              <w:rPr>
                <w:rFonts w:hint="eastAsia"/>
                <w:sz w:val="18"/>
              </w:rPr>
            </w:pPr>
            <w:r>
              <w:rPr>
                <w:rFonts w:hint="eastAsia"/>
                <w:sz w:val="18"/>
              </w:rPr>
              <w:t>总数</w:t>
            </w:r>
          </w:p>
        </w:tc>
        <w:tc>
          <w:tcPr>
            <w:tcW w:w="854" w:type="pct"/>
            <w:vAlign w:val="center"/>
          </w:tcPr>
          <w:p w:rsidR="00000000" w:rsidRDefault="004D2F83" w:rsidP="004D2F83">
            <w:pPr>
              <w:snapToGrid w:val="0"/>
              <w:spacing w:line="360" w:lineRule="exact"/>
              <w:ind w:rightChars="217" w:right="31680"/>
              <w:jc w:val="right"/>
              <w:rPr>
                <w:rFonts w:hint="eastAsia"/>
                <w:sz w:val="18"/>
              </w:rPr>
            </w:pPr>
            <w:r>
              <w:rPr>
                <w:sz w:val="18"/>
              </w:rPr>
              <w:t>7 143</w:t>
            </w:r>
          </w:p>
        </w:tc>
        <w:tc>
          <w:tcPr>
            <w:tcW w:w="748" w:type="pct"/>
            <w:vAlign w:val="center"/>
          </w:tcPr>
          <w:p w:rsidR="00000000" w:rsidRDefault="004D2F83" w:rsidP="004D2F83">
            <w:pPr>
              <w:snapToGrid w:val="0"/>
              <w:spacing w:line="360" w:lineRule="exact"/>
              <w:ind w:rightChars="217" w:right="31680"/>
              <w:jc w:val="right"/>
              <w:rPr>
                <w:sz w:val="18"/>
              </w:rPr>
            </w:pPr>
            <w:r>
              <w:rPr>
                <w:sz w:val="18"/>
              </w:rPr>
              <w:t>11.54</w:t>
            </w:r>
          </w:p>
        </w:tc>
        <w:tc>
          <w:tcPr>
            <w:tcW w:w="854" w:type="pct"/>
            <w:vAlign w:val="center"/>
          </w:tcPr>
          <w:p w:rsidR="00000000" w:rsidRDefault="004D2F83" w:rsidP="004D2F83">
            <w:pPr>
              <w:snapToGrid w:val="0"/>
              <w:spacing w:line="360" w:lineRule="exact"/>
              <w:ind w:rightChars="217" w:right="31680"/>
              <w:jc w:val="right"/>
              <w:rPr>
                <w:sz w:val="18"/>
              </w:rPr>
            </w:pPr>
            <w:r>
              <w:rPr>
                <w:sz w:val="18"/>
              </w:rPr>
              <w:t>54 755</w:t>
            </w:r>
          </w:p>
        </w:tc>
        <w:tc>
          <w:tcPr>
            <w:tcW w:w="625" w:type="pct"/>
            <w:vAlign w:val="center"/>
          </w:tcPr>
          <w:p w:rsidR="00000000" w:rsidRDefault="004D2F83" w:rsidP="004D2F83">
            <w:pPr>
              <w:snapToGrid w:val="0"/>
              <w:spacing w:line="360" w:lineRule="exact"/>
              <w:ind w:rightChars="217" w:right="31680"/>
              <w:jc w:val="right"/>
              <w:rPr>
                <w:sz w:val="18"/>
              </w:rPr>
            </w:pPr>
            <w:r>
              <w:rPr>
                <w:sz w:val="18"/>
              </w:rPr>
              <w:t>88.46</w:t>
            </w:r>
          </w:p>
        </w:tc>
        <w:tc>
          <w:tcPr>
            <w:tcW w:w="842" w:type="pct"/>
            <w:vAlign w:val="center"/>
          </w:tcPr>
          <w:p w:rsidR="00000000" w:rsidRDefault="004D2F83" w:rsidP="004D2F83">
            <w:pPr>
              <w:snapToGrid w:val="0"/>
              <w:spacing w:line="360" w:lineRule="exact"/>
              <w:ind w:rightChars="217" w:right="31680"/>
              <w:jc w:val="right"/>
              <w:rPr>
                <w:sz w:val="18"/>
              </w:rPr>
            </w:pPr>
            <w:r>
              <w:rPr>
                <w:sz w:val="18"/>
              </w:rPr>
              <w:t>61 898</w:t>
            </w:r>
          </w:p>
        </w:tc>
      </w:tr>
    </w:tbl>
    <w:p w:rsidR="00000000" w:rsidRDefault="004D2F83">
      <w:pPr>
        <w:snapToGrid w:val="0"/>
        <w:spacing w:line="360" w:lineRule="exact"/>
        <w:rPr>
          <w:rFonts w:hint="eastAsia"/>
        </w:rPr>
      </w:pPr>
      <w:r>
        <w:rPr>
          <w:rFonts w:eastAsia="SimHei" w:hint="eastAsia"/>
          <w:sz w:val="18"/>
        </w:rPr>
        <w:t>资料来源</w:t>
      </w:r>
      <w:r>
        <w:rPr>
          <w:rFonts w:hint="eastAsia"/>
          <w:sz w:val="18"/>
        </w:rPr>
        <w:t>：男女平等研究与咨询中心，</w:t>
      </w:r>
      <w:r>
        <w:rPr>
          <w:rFonts w:hint="eastAsia"/>
          <w:sz w:val="18"/>
        </w:rPr>
        <w:t>2001</w:t>
      </w:r>
      <w:r>
        <w:rPr>
          <w:rFonts w:hint="eastAsia"/>
          <w:sz w:val="18"/>
        </w:rPr>
        <w:t>年</w:t>
      </w:r>
      <w:r>
        <w:rPr>
          <w:rFonts w:hint="eastAsia"/>
          <w:sz w:val="18"/>
        </w:rPr>
        <w:t>5</w:t>
      </w:r>
      <w:r>
        <w:rPr>
          <w:rFonts w:hint="eastAsia"/>
          <w:sz w:val="18"/>
        </w:rPr>
        <w:t>月。</w:t>
      </w:r>
    </w:p>
    <w:p w:rsidR="00000000" w:rsidRDefault="004D2F83">
      <w:pPr>
        <w:spacing w:after="120" w:line="360" w:lineRule="exact"/>
        <w:rPr>
          <w:rFonts w:hint="eastAsia"/>
          <w:sz w:val="18"/>
        </w:rPr>
      </w:pPr>
      <w:r>
        <w:rPr>
          <w:rStyle w:val="FootnoteReference"/>
          <w:sz w:val="18"/>
        </w:rPr>
        <w:sym w:font="Symbol" w:char="F02A"/>
      </w:r>
      <w:r>
        <w:rPr>
          <w:sz w:val="18"/>
        </w:rPr>
        <w:t xml:space="preserve"> </w:t>
      </w:r>
      <w:r>
        <w:rPr>
          <w:rFonts w:hint="eastAsia"/>
          <w:sz w:val="18"/>
        </w:rPr>
        <w:t>20</w:t>
      </w:r>
      <w:r>
        <w:rPr>
          <w:rFonts w:hint="eastAsia"/>
          <w:sz w:val="18"/>
        </w:rPr>
        <w:t>人的姓名、性别不详。</w:t>
      </w:r>
    </w:p>
    <w:p w:rsidR="00000000" w:rsidRDefault="004D2F83">
      <w:pPr>
        <w:spacing w:after="240" w:line="360" w:lineRule="exact"/>
        <w:jc w:val="center"/>
        <w:rPr>
          <w:rFonts w:ascii="SimHei" w:eastAsia="SimHei" w:hint="eastAsia"/>
        </w:rPr>
      </w:pPr>
      <w:r>
        <w:rPr>
          <w:rFonts w:ascii="SimHei" w:eastAsia="SimHei" w:hint="eastAsia"/>
        </w:rPr>
        <w:t>表</w:t>
      </w:r>
      <w:r>
        <w:rPr>
          <w:rFonts w:ascii="SimHei" w:eastAsia="SimHei" w:hint="eastAsia"/>
        </w:rPr>
        <w:t>22</w:t>
      </w:r>
      <w:r>
        <w:rPr>
          <w:rFonts w:ascii="SimHei" w:eastAsia="SimHei" w:hint="eastAsia"/>
        </w:rPr>
        <w:t>．行政机构中的男女任职情况</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2"/>
        <w:gridCol w:w="1660"/>
        <w:gridCol w:w="1660"/>
        <w:gridCol w:w="1660"/>
        <w:gridCol w:w="1662"/>
        <w:gridCol w:w="1662"/>
      </w:tblGrid>
      <w:tr w:rsidR="00000000">
        <w:tblPrEx>
          <w:tblCellMar>
            <w:top w:w="0" w:type="dxa"/>
            <w:bottom w:w="0" w:type="dxa"/>
          </w:tblCellMar>
        </w:tblPrEx>
        <w:tc>
          <w:tcPr>
            <w:tcW w:w="787" w:type="pct"/>
          </w:tcPr>
          <w:p w:rsidR="00000000" w:rsidRDefault="004D2F83">
            <w:pPr>
              <w:spacing w:line="380" w:lineRule="exact"/>
              <w:jc w:val="center"/>
              <w:rPr>
                <w:rFonts w:ascii="SimHei" w:eastAsia="SimHei" w:hint="eastAsia"/>
                <w:sz w:val="18"/>
              </w:rPr>
            </w:pPr>
          </w:p>
        </w:tc>
        <w:tc>
          <w:tcPr>
            <w:tcW w:w="842" w:type="pct"/>
          </w:tcPr>
          <w:p w:rsidR="00000000" w:rsidRDefault="004D2F83">
            <w:pPr>
              <w:spacing w:line="380" w:lineRule="exact"/>
              <w:jc w:val="center"/>
              <w:rPr>
                <w:rFonts w:ascii="SimHei" w:eastAsia="SimHei" w:hint="eastAsia"/>
                <w:sz w:val="18"/>
              </w:rPr>
            </w:pPr>
            <w:r>
              <w:rPr>
                <w:rFonts w:ascii="SimHei" w:eastAsia="SimHei" w:hint="eastAsia"/>
                <w:sz w:val="18"/>
              </w:rPr>
              <w:t>女</w:t>
            </w:r>
          </w:p>
        </w:tc>
        <w:tc>
          <w:tcPr>
            <w:tcW w:w="842" w:type="pct"/>
          </w:tcPr>
          <w:p w:rsidR="00000000" w:rsidRDefault="004D2F83">
            <w:pPr>
              <w:spacing w:line="380" w:lineRule="exact"/>
              <w:jc w:val="center"/>
              <w:rPr>
                <w:rFonts w:ascii="SimHei" w:eastAsia="SimHei" w:hint="eastAsia"/>
                <w:sz w:val="18"/>
              </w:rPr>
            </w:pPr>
            <w:r>
              <w:rPr>
                <w:rFonts w:ascii="SimHei" w:eastAsia="SimHei" w:hint="eastAsia"/>
                <w:sz w:val="18"/>
              </w:rPr>
              <w:t>%</w:t>
            </w:r>
          </w:p>
        </w:tc>
        <w:tc>
          <w:tcPr>
            <w:tcW w:w="842" w:type="pct"/>
          </w:tcPr>
          <w:p w:rsidR="00000000" w:rsidRDefault="004D2F83">
            <w:pPr>
              <w:spacing w:line="380" w:lineRule="exact"/>
              <w:jc w:val="center"/>
              <w:rPr>
                <w:rFonts w:ascii="SimHei" w:eastAsia="SimHei" w:hint="eastAsia"/>
                <w:sz w:val="18"/>
              </w:rPr>
            </w:pPr>
            <w:r>
              <w:rPr>
                <w:rFonts w:ascii="SimHei" w:eastAsia="SimHei" w:hint="eastAsia"/>
                <w:sz w:val="18"/>
              </w:rPr>
              <w:t>男</w:t>
            </w:r>
          </w:p>
        </w:tc>
        <w:tc>
          <w:tcPr>
            <w:tcW w:w="843" w:type="pct"/>
          </w:tcPr>
          <w:p w:rsidR="00000000" w:rsidRDefault="004D2F83">
            <w:pPr>
              <w:spacing w:line="380" w:lineRule="exact"/>
              <w:jc w:val="center"/>
              <w:rPr>
                <w:rFonts w:ascii="SimHei" w:eastAsia="SimHei" w:hint="eastAsia"/>
                <w:sz w:val="18"/>
              </w:rPr>
            </w:pPr>
            <w:r>
              <w:rPr>
                <w:rFonts w:ascii="SimHei" w:eastAsia="SimHei" w:hint="eastAsia"/>
                <w:sz w:val="18"/>
              </w:rPr>
              <w:t>%</w:t>
            </w:r>
          </w:p>
        </w:tc>
        <w:tc>
          <w:tcPr>
            <w:tcW w:w="843" w:type="pct"/>
          </w:tcPr>
          <w:p w:rsidR="00000000" w:rsidRDefault="004D2F83">
            <w:pPr>
              <w:spacing w:line="380" w:lineRule="exact"/>
              <w:jc w:val="center"/>
              <w:rPr>
                <w:rFonts w:ascii="SimHei" w:eastAsia="SimHei" w:hint="eastAsia"/>
                <w:sz w:val="18"/>
              </w:rPr>
            </w:pPr>
            <w:r>
              <w:rPr>
                <w:rFonts w:ascii="SimHei" w:eastAsia="SimHei" w:hint="eastAsia"/>
                <w:sz w:val="18"/>
              </w:rPr>
              <w:t>总数</w:t>
            </w:r>
          </w:p>
        </w:tc>
      </w:tr>
      <w:tr w:rsidR="00000000">
        <w:tblPrEx>
          <w:tblCellMar>
            <w:top w:w="0" w:type="dxa"/>
            <w:bottom w:w="0" w:type="dxa"/>
          </w:tblCellMar>
        </w:tblPrEx>
        <w:tc>
          <w:tcPr>
            <w:tcW w:w="787" w:type="pct"/>
          </w:tcPr>
          <w:p w:rsidR="00000000" w:rsidRDefault="004D2F83">
            <w:pPr>
              <w:spacing w:line="380" w:lineRule="exact"/>
              <w:jc w:val="center"/>
              <w:rPr>
                <w:rFonts w:hint="eastAsia"/>
                <w:sz w:val="18"/>
              </w:rPr>
            </w:pPr>
            <w:r>
              <w:rPr>
                <w:rFonts w:hint="eastAsia"/>
                <w:sz w:val="18"/>
              </w:rPr>
              <w:t>总统</w:t>
            </w:r>
          </w:p>
        </w:tc>
        <w:tc>
          <w:tcPr>
            <w:tcW w:w="842" w:type="pct"/>
          </w:tcPr>
          <w:p w:rsidR="00000000" w:rsidRDefault="004D2F83" w:rsidP="004D2F83">
            <w:pPr>
              <w:spacing w:line="380" w:lineRule="exact"/>
              <w:ind w:rightChars="278" w:right="31680"/>
              <w:jc w:val="right"/>
              <w:rPr>
                <w:rFonts w:hint="eastAsia"/>
                <w:sz w:val="18"/>
              </w:rPr>
            </w:pPr>
            <w:r>
              <w:rPr>
                <w:rFonts w:hint="eastAsia"/>
                <w:sz w:val="18"/>
              </w:rPr>
              <w:t>00</w:t>
            </w:r>
          </w:p>
        </w:tc>
        <w:tc>
          <w:tcPr>
            <w:tcW w:w="842" w:type="pct"/>
          </w:tcPr>
          <w:p w:rsidR="00000000" w:rsidRDefault="004D2F83" w:rsidP="004D2F83">
            <w:pPr>
              <w:spacing w:line="380" w:lineRule="exact"/>
              <w:ind w:rightChars="278" w:right="31680"/>
              <w:jc w:val="right"/>
              <w:rPr>
                <w:sz w:val="18"/>
              </w:rPr>
            </w:pPr>
            <w:r>
              <w:rPr>
                <w:sz w:val="18"/>
              </w:rPr>
              <w:t>0.00</w:t>
            </w:r>
          </w:p>
        </w:tc>
        <w:tc>
          <w:tcPr>
            <w:tcW w:w="842" w:type="pct"/>
          </w:tcPr>
          <w:p w:rsidR="00000000" w:rsidRDefault="004D2F83" w:rsidP="004D2F83">
            <w:pPr>
              <w:spacing w:line="380" w:lineRule="exact"/>
              <w:ind w:rightChars="278" w:right="31680"/>
              <w:jc w:val="right"/>
              <w:rPr>
                <w:sz w:val="18"/>
              </w:rPr>
            </w:pPr>
            <w:r>
              <w:rPr>
                <w:sz w:val="18"/>
              </w:rPr>
              <w:t>01</w:t>
            </w:r>
          </w:p>
        </w:tc>
        <w:tc>
          <w:tcPr>
            <w:tcW w:w="843" w:type="pct"/>
          </w:tcPr>
          <w:p w:rsidR="00000000" w:rsidRDefault="004D2F83" w:rsidP="004D2F83">
            <w:pPr>
              <w:spacing w:line="380" w:lineRule="exact"/>
              <w:ind w:rightChars="278" w:right="31680"/>
              <w:jc w:val="right"/>
              <w:rPr>
                <w:sz w:val="18"/>
              </w:rPr>
            </w:pPr>
            <w:r>
              <w:rPr>
                <w:sz w:val="18"/>
              </w:rPr>
              <w:t>100.00</w:t>
            </w:r>
          </w:p>
        </w:tc>
        <w:tc>
          <w:tcPr>
            <w:tcW w:w="843" w:type="pct"/>
          </w:tcPr>
          <w:p w:rsidR="00000000" w:rsidRDefault="004D2F83" w:rsidP="004D2F83">
            <w:pPr>
              <w:spacing w:line="380" w:lineRule="exact"/>
              <w:ind w:rightChars="278" w:right="31680"/>
              <w:jc w:val="right"/>
              <w:rPr>
                <w:sz w:val="18"/>
              </w:rPr>
            </w:pPr>
            <w:r>
              <w:rPr>
                <w:sz w:val="18"/>
              </w:rPr>
              <w:t>01</w:t>
            </w:r>
          </w:p>
        </w:tc>
      </w:tr>
      <w:tr w:rsidR="00000000">
        <w:tblPrEx>
          <w:tblCellMar>
            <w:top w:w="0" w:type="dxa"/>
            <w:bottom w:w="0" w:type="dxa"/>
          </w:tblCellMar>
        </w:tblPrEx>
        <w:tc>
          <w:tcPr>
            <w:tcW w:w="787" w:type="pct"/>
          </w:tcPr>
          <w:p w:rsidR="00000000" w:rsidRDefault="004D2F83">
            <w:pPr>
              <w:spacing w:line="380" w:lineRule="exact"/>
              <w:jc w:val="center"/>
              <w:rPr>
                <w:rFonts w:hint="eastAsia"/>
                <w:sz w:val="18"/>
              </w:rPr>
            </w:pPr>
            <w:r>
              <w:rPr>
                <w:rFonts w:hint="eastAsia"/>
                <w:sz w:val="18"/>
              </w:rPr>
              <w:t>州长</w:t>
            </w:r>
          </w:p>
        </w:tc>
        <w:tc>
          <w:tcPr>
            <w:tcW w:w="842" w:type="pct"/>
          </w:tcPr>
          <w:p w:rsidR="00000000" w:rsidRDefault="004D2F83" w:rsidP="004D2F83">
            <w:pPr>
              <w:spacing w:line="380" w:lineRule="exact"/>
              <w:ind w:rightChars="278" w:right="31680"/>
              <w:jc w:val="right"/>
              <w:rPr>
                <w:rFonts w:hint="eastAsia"/>
                <w:sz w:val="18"/>
              </w:rPr>
            </w:pPr>
            <w:r>
              <w:rPr>
                <w:rFonts w:hint="eastAsia"/>
                <w:sz w:val="18"/>
              </w:rPr>
              <w:t>01</w:t>
            </w:r>
          </w:p>
        </w:tc>
        <w:tc>
          <w:tcPr>
            <w:tcW w:w="842" w:type="pct"/>
          </w:tcPr>
          <w:p w:rsidR="00000000" w:rsidRDefault="004D2F83" w:rsidP="004D2F83">
            <w:pPr>
              <w:spacing w:line="380" w:lineRule="exact"/>
              <w:ind w:rightChars="278" w:right="31680"/>
              <w:jc w:val="right"/>
              <w:rPr>
                <w:sz w:val="18"/>
              </w:rPr>
            </w:pPr>
            <w:r>
              <w:rPr>
                <w:sz w:val="18"/>
              </w:rPr>
              <w:t>3.70</w:t>
            </w:r>
          </w:p>
        </w:tc>
        <w:tc>
          <w:tcPr>
            <w:tcW w:w="842" w:type="pct"/>
          </w:tcPr>
          <w:p w:rsidR="00000000" w:rsidRDefault="004D2F83" w:rsidP="004D2F83">
            <w:pPr>
              <w:spacing w:line="380" w:lineRule="exact"/>
              <w:ind w:rightChars="278" w:right="31680"/>
              <w:jc w:val="right"/>
              <w:rPr>
                <w:sz w:val="18"/>
              </w:rPr>
            </w:pPr>
            <w:r>
              <w:rPr>
                <w:sz w:val="18"/>
              </w:rPr>
              <w:t>26</w:t>
            </w:r>
          </w:p>
        </w:tc>
        <w:tc>
          <w:tcPr>
            <w:tcW w:w="843" w:type="pct"/>
          </w:tcPr>
          <w:p w:rsidR="00000000" w:rsidRDefault="004D2F83" w:rsidP="004D2F83">
            <w:pPr>
              <w:spacing w:line="380" w:lineRule="exact"/>
              <w:ind w:rightChars="278" w:right="31680"/>
              <w:jc w:val="right"/>
              <w:rPr>
                <w:sz w:val="18"/>
              </w:rPr>
            </w:pPr>
            <w:r>
              <w:rPr>
                <w:sz w:val="18"/>
              </w:rPr>
              <w:t>96.30</w:t>
            </w:r>
          </w:p>
        </w:tc>
        <w:tc>
          <w:tcPr>
            <w:tcW w:w="843" w:type="pct"/>
          </w:tcPr>
          <w:p w:rsidR="00000000" w:rsidRDefault="004D2F83" w:rsidP="004D2F83">
            <w:pPr>
              <w:spacing w:line="380" w:lineRule="exact"/>
              <w:ind w:rightChars="278" w:right="31680"/>
              <w:jc w:val="right"/>
              <w:rPr>
                <w:sz w:val="18"/>
              </w:rPr>
            </w:pPr>
            <w:r>
              <w:rPr>
                <w:sz w:val="18"/>
              </w:rPr>
              <w:t>27</w:t>
            </w:r>
          </w:p>
        </w:tc>
      </w:tr>
      <w:tr w:rsidR="00000000">
        <w:tblPrEx>
          <w:tblCellMar>
            <w:top w:w="0" w:type="dxa"/>
            <w:bottom w:w="0" w:type="dxa"/>
          </w:tblCellMar>
        </w:tblPrEx>
        <w:tc>
          <w:tcPr>
            <w:tcW w:w="787" w:type="pct"/>
          </w:tcPr>
          <w:p w:rsidR="00000000" w:rsidRDefault="004D2F83">
            <w:pPr>
              <w:spacing w:line="380" w:lineRule="exact"/>
              <w:jc w:val="center"/>
              <w:rPr>
                <w:rFonts w:hint="eastAsia"/>
                <w:sz w:val="18"/>
              </w:rPr>
            </w:pPr>
            <w:r>
              <w:rPr>
                <w:rFonts w:hint="eastAsia"/>
                <w:sz w:val="18"/>
              </w:rPr>
              <w:t xml:space="preserve"> </w:t>
            </w:r>
            <w:r>
              <w:rPr>
                <w:rFonts w:hint="eastAsia"/>
                <w:sz w:val="18"/>
              </w:rPr>
              <w:t>市长</w:t>
            </w:r>
            <w:r>
              <w:rPr>
                <w:rStyle w:val="FootnoteReference"/>
                <w:sz w:val="18"/>
              </w:rPr>
              <w:sym w:font="Symbol" w:char="F02A"/>
            </w:r>
          </w:p>
        </w:tc>
        <w:tc>
          <w:tcPr>
            <w:tcW w:w="842" w:type="pct"/>
          </w:tcPr>
          <w:p w:rsidR="00000000" w:rsidRDefault="004D2F83" w:rsidP="004D2F83">
            <w:pPr>
              <w:spacing w:line="380" w:lineRule="exact"/>
              <w:ind w:rightChars="278" w:right="31680"/>
              <w:jc w:val="right"/>
              <w:rPr>
                <w:rFonts w:hint="eastAsia"/>
                <w:sz w:val="18"/>
              </w:rPr>
            </w:pPr>
            <w:r>
              <w:rPr>
                <w:rFonts w:hint="eastAsia"/>
                <w:sz w:val="18"/>
              </w:rPr>
              <w:t>318</w:t>
            </w:r>
          </w:p>
        </w:tc>
        <w:tc>
          <w:tcPr>
            <w:tcW w:w="842" w:type="pct"/>
          </w:tcPr>
          <w:p w:rsidR="00000000" w:rsidRDefault="004D2F83" w:rsidP="004D2F83">
            <w:pPr>
              <w:spacing w:line="380" w:lineRule="exact"/>
              <w:ind w:rightChars="278" w:right="31680"/>
              <w:jc w:val="right"/>
              <w:rPr>
                <w:sz w:val="18"/>
              </w:rPr>
            </w:pPr>
            <w:r>
              <w:rPr>
                <w:sz w:val="18"/>
              </w:rPr>
              <w:t>5.72</w:t>
            </w:r>
          </w:p>
        </w:tc>
        <w:tc>
          <w:tcPr>
            <w:tcW w:w="842" w:type="pct"/>
          </w:tcPr>
          <w:p w:rsidR="00000000" w:rsidRDefault="004D2F83" w:rsidP="004D2F83">
            <w:pPr>
              <w:spacing w:line="380" w:lineRule="exact"/>
              <w:ind w:rightChars="278" w:right="31680"/>
              <w:jc w:val="right"/>
              <w:rPr>
                <w:sz w:val="18"/>
              </w:rPr>
            </w:pPr>
            <w:r>
              <w:rPr>
                <w:sz w:val="18"/>
              </w:rPr>
              <w:t>5</w:t>
            </w:r>
            <w:r>
              <w:rPr>
                <w:rFonts w:hint="eastAsia"/>
                <w:sz w:val="18"/>
              </w:rPr>
              <w:t xml:space="preserve"> </w:t>
            </w:r>
            <w:r>
              <w:rPr>
                <w:sz w:val="18"/>
              </w:rPr>
              <w:t>241</w:t>
            </w:r>
          </w:p>
        </w:tc>
        <w:tc>
          <w:tcPr>
            <w:tcW w:w="843" w:type="pct"/>
          </w:tcPr>
          <w:p w:rsidR="00000000" w:rsidRDefault="004D2F83" w:rsidP="004D2F83">
            <w:pPr>
              <w:spacing w:line="380" w:lineRule="exact"/>
              <w:ind w:rightChars="278" w:right="31680"/>
              <w:jc w:val="right"/>
              <w:rPr>
                <w:sz w:val="18"/>
              </w:rPr>
            </w:pPr>
            <w:r>
              <w:rPr>
                <w:sz w:val="18"/>
              </w:rPr>
              <w:t>94.28</w:t>
            </w:r>
          </w:p>
        </w:tc>
        <w:tc>
          <w:tcPr>
            <w:tcW w:w="843" w:type="pct"/>
          </w:tcPr>
          <w:p w:rsidR="00000000" w:rsidRDefault="004D2F83" w:rsidP="004D2F83">
            <w:pPr>
              <w:spacing w:line="380" w:lineRule="exact"/>
              <w:ind w:rightChars="278" w:right="31680"/>
              <w:jc w:val="right"/>
              <w:rPr>
                <w:sz w:val="18"/>
              </w:rPr>
            </w:pPr>
            <w:r>
              <w:rPr>
                <w:sz w:val="18"/>
              </w:rPr>
              <w:t>5</w:t>
            </w:r>
            <w:r>
              <w:rPr>
                <w:rFonts w:hint="eastAsia"/>
                <w:sz w:val="18"/>
              </w:rPr>
              <w:t xml:space="preserve"> </w:t>
            </w:r>
            <w:r>
              <w:rPr>
                <w:sz w:val="18"/>
              </w:rPr>
              <w:t>559</w:t>
            </w:r>
          </w:p>
        </w:tc>
      </w:tr>
      <w:tr w:rsidR="00000000">
        <w:tblPrEx>
          <w:tblCellMar>
            <w:top w:w="0" w:type="dxa"/>
            <w:bottom w:w="0" w:type="dxa"/>
          </w:tblCellMar>
        </w:tblPrEx>
        <w:tc>
          <w:tcPr>
            <w:tcW w:w="787" w:type="pct"/>
          </w:tcPr>
          <w:p w:rsidR="00000000" w:rsidRDefault="004D2F83">
            <w:pPr>
              <w:spacing w:line="380" w:lineRule="exact"/>
              <w:jc w:val="center"/>
              <w:rPr>
                <w:rFonts w:hint="eastAsia"/>
                <w:sz w:val="18"/>
              </w:rPr>
            </w:pPr>
            <w:r>
              <w:rPr>
                <w:rFonts w:hint="eastAsia"/>
                <w:sz w:val="18"/>
              </w:rPr>
              <w:t>总数</w:t>
            </w:r>
          </w:p>
        </w:tc>
        <w:tc>
          <w:tcPr>
            <w:tcW w:w="842" w:type="pct"/>
          </w:tcPr>
          <w:p w:rsidR="00000000" w:rsidRDefault="004D2F83" w:rsidP="004D2F83">
            <w:pPr>
              <w:spacing w:line="380" w:lineRule="exact"/>
              <w:ind w:rightChars="278" w:right="31680"/>
              <w:jc w:val="right"/>
              <w:rPr>
                <w:rFonts w:hint="eastAsia"/>
                <w:sz w:val="18"/>
              </w:rPr>
            </w:pPr>
            <w:r>
              <w:rPr>
                <w:rFonts w:hint="eastAsia"/>
                <w:sz w:val="18"/>
              </w:rPr>
              <w:t>319</w:t>
            </w:r>
          </w:p>
        </w:tc>
        <w:tc>
          <w:tcPr>
            <w:tcW w:w="842" w:type="pct"/>
          </w:tcPr>
          <w:p w:rsidR="00000000" w:rsidRDefault="004D2F83" w:rsidP="004D2F83">
            <w:pPr>
              <w:spacing w:line="380" w:lineRule="exact"/>
              <w:ind w:rightChars="278" w:right="31680"/>
              <w:jc w:val="right"/>
              <w:rPr>
                <w:sz w:val="18"/>
              </w:rPr>
            </w:pPr>
            <w:r>
              <w:rPr>
                <w:sz w:val="18"/>
              </w:rPr>
              <w:t>5.71</w:t>
            </w:r>
          </w:p>
        </w:tc>
        <w:tc>
          <w:tcPr>
            <w:tcW w:w="842" w:type="pct"/>
          </w:tcPr>
          <w:p w:rsidR="00000000" w:rsidRDefault="004D2F83" w:rsidP="004D2F83">
            <w:pPr>
              <w:spacing w:line="380" w:lineRule="exact"/>
              <w:ind w:rightChars="278" w:right="31680"/>
              <w:jc w:val="right"/>
              <w:rPr>
                <w:sz w:val="18"/>
              </w:rPr>
            </w:pPr>
            <w:r>
              <w:rPr>
                <w:sz w:val="18"/>
              </w:rPr>
              <w:t>5</w:t>
            </w:r>
            <w:r>
              <w:rPr>
                <w:rFonts w:hint="eastAsia"/>
                <w:sz w:val="18"/>
              </w:rPr>
              <w:t xml:space="preserve"> </w:t>
            </w:r>
            <w:r>
              <w:rPr>
                <w:sz w:val="18"/>
              </w:rPr>
              <w:t>268</w:t>
            </w:r>
          </w:p>
        </w:tc>
        <w:tc>
          <w:tcPr>
            <w:tcW w:w="843" w:type="pct"/>
          </w:tcPr>
          <w:p w:rsidR="00000000" w:rsidRDefault="004D2F83" w:rsidP="004D2F83">
            <w:pPr>
              <w:spacing w:line="380" w:lineRule="exact"/>
              <w:ind w:rightChars="278" w:right="31680"/>
              <w:jc w:val="right"/>
              <w:rPr>
                <w:sz w:val="18"/>
              </w:rPr>
            </w:pPr>
            <w:r>
              <w:rPr>
                <w:sz w:val="18"/>
              </w:rPr>
              <w:t>94.29</w:t>
            </w:r>
          </w:p>
        </w:tc>
        <w:tc>
          <w:tcPr>
            <w:tcW w:w="843" w:type="pct"/>
          </w:tcPr>
          <w:p w:rsidR="00000000" w:rsidRDefault="004D2F83" w:rsidP="004D2F83">
            <w:pPr>
              <w:spacing w:line="380" w:lineRule="exact"/>
              <w:ind w:rightChars="278" w:right="31680"/>
              <w:jc w:val="right"/>
              <w:rPr>
                <w:sz w:val="18"/>
              </w:rPr>
            </w:pPr>
            <w:r>
              <w:rPr>
                <w:sz w:val="18"/>
              </w:rPr>
              <w:t>5</w:t>
            </w:r>
            <w:r>
              <w:rPr>
                <w:rFonts w:hint="eastAsia"/>
                <w:sz w:val="18"/>
              </w:rPr>
              <w:t xml:space="preserve"> </w:t>
            </w:r>
            <w:r>
              <w:rPr>
                <w:sz w:val="18"/>
              </w:rPr>
              <w:t>587</w:t>
            </w:r>
          </w:p>
        </w:tc>
      </w:tr>
    </w:tbl>
    <w:p w:rsidR="00000000" w:rsidRDefault="004D2F83">
      <w:pPr>
        <w:spacing w:line="360" w:lineRule="exact"/>
        <w:rPr>
          <w:rFonts w:hint="eastAsia"/>
          <w:sz w:val="18"/>
        </w:rPr>
      </w:pPr>
      <w:r>
        <w:rPr>
          <w:rFonts w:eastAsia="SimHei" w:hint="eastAsia"/>
          <w:sz w:val="18"/>
        </w:rPr>
        <w:t>资料来源</w:t>
      </w:r>
      <w:r>
        <w:rPr>
          <w:rFonts w:hint="eastAsia"/>
          <w:sz w:val="18"/>
        </w:rPr>
        <w:t>：男女平等研究与咨询中心，</w:t>
      </w:r>
      <w:r>
        <w:rPr>
          <w:rFonts w:hint="eastAsia"/>
          <w:sz w:val="18"/>
        </w:rPr>
        <w:t>2001</w:t>
      </w:r>
      <w:r>
        <w:rPr>
          <w:rFonts w:hint="eastAsia"/>
          <w:sz w:val="18"/>
        </w:rPr>
        <w:t>年</w:t>
      </w:r>
      <w:r>
        <w:rPr>
          <w:rFonts w:hint="eastAsia"/>
          <w:sz w:val="18"/>
        </w:rPr>
        <w:t>3</w:t>
      </w:r>
      <w:r>
        <w:rPr>
          <w:rFonts w:hint="eastAsia"/>
          <w:sz w:val="18"/>
        </w:rPr>
        <w:t>月。</w:t>
      </w:r>
    </w:p>
    <w:p w:rsidR="00000000" w:rsidRDefault="004D2F83">
      <w:pPr>
        <w:spacing w:after="240" w:line="360" w:lineRule="exact"/>
        <w:rPr>
          <w:rFonts w:hint="eastAsia"/>
          <w:sz w:val="18"/>
        </w:rPr>
      </w:pPr>
      <w:r>
        <w:rPr>
          <w:rStyle w:val="FootnoteReference"/>
          <w:sz w:val="18"/>
        </w:rPr>
        <w:sym w:font="Symbol" w:char="F02A"/>
      </w:r>
      <w:r>
        <w:rPr>
          <w:rFonts w:hint="eastAsia"/>
          <w:sz w:val="18"/>
        </w:rPr>
        <w:t xml:space="preserve"> 1</w:t>
      </w:r>
      <w:r>
        <w:rPr>
          <w:rFonts w:hint="eastAsia"/>
          <w:sz w:val="18"/>
        </w:rPr>
        <w:t>人姓名、性别不详。</w:t>
      </w:r>
    </w:p>
    <w:p w:rsidR="00000000" w:rsidRDefault="004D2F83">
      <w:pPr>
        <w:spacing w:after="240" w:line="360" w:lineRule="exact"/>
        <w:jc w:val="center"/>
        <w:rPr>
          <w:rFonts w:ascii="SimHei" w:eastAsia="SimHei" w:hint="eastAsia"/>
        </w:rPr>
      </w:pPr>
      <w:r>
        <w:rPr>
          <w:rFonts w:ascii="SimHei" w:eastAsia="SimHei"/>
        </w:rPr>
        <w:br w:type="page"/>
      </w:r>
      <w:r>
        <w:rPr>
          <w:rFonts w:ascii="SimHei" w:eastAsia="SimHei" w:hint="eastAsia"/>
        </w:rPr>
        <w:t>表</w:t>
      </w:r>
      <w:r>
        <w:rPr>
          <w:rFonts w:ascii="SimHei" w:eastAsia="SimHei" w:hint="eastAsia"/>
        </w:rPr>
        <w:t>23</w:t>
      </w:r>
      <w:r>
        <w:rPr>
          <w:rFonts w:ascii="SimHei" w:eastAsia="SimHei" w:hint="eastAsia"/>
        </w:rPr>
        <w:t>．司法机构中的男女任职情况</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64"/>
        <w:gridCol w:w="1378"/>
        <w:gridCol w:w="1380"/>
        <w:gridCol w:w="1380"/>
        <w:gridCol w:w="1380"/>
        <w:gridCol w:w="1374"/>
      </w:tblGrid>
      <w:tr w:rsidR="00000000">
        <w:tblPrEx>
          <w:tblCellMar>
            <w:top w:w="0" w:type="dxa"/>
            <w:bottom w:w="0" w:type="dxa"/>
          </w:tblCellMar>
        </w:tblPrEx>
        <w:tc>
          <w:tcPr>
            <w:tcW w:w="1504" w:type="pct"/>
          </w:tcPr>
          <w:p w:rsidR="00000000" w:rsidRDefault="004D2F83">
            <w:pPr>
              <w:spacing w:line="440" w:lineRule="exact"/>
              <w:jc w:val="center"/>
              <w:rPr>
                <w:rFonts w:hint="eastAsia"/>
                <w:sz w:val="18"/>
              </w:rPr>
            </w:pPr>
          </w:p>
        </w:tc>
        <w:tc>
          <w:tcPr>
            <w:tcW w:w="699" w:type="pct"/>
          </w:tcPr>
          <w:p w:rsidR="00000000" w:rsidRDefault="004D2F83">
            <w:pPr>
              <w:spacing w:line="440" w:lineRule="exact"/>
              <w:jc w:val="center"/>
              <w:rPr>
                <w:rFonts w:hint="eastAsia"/>
                <w:sz w:val="18"/>
              </w:rPr>
            </w:pPr>
            <w:r>
              <w:rPr>
                <w:rFonts w:hint="eastAsia"/>
                <w:sz w:val="18"/>
              </w:rPr>
              <w:t>女</w:t>
            </w:r>
          </w:p>
        </w:tc>
        <w:tc>
          <w:tcPr>
            <w:tcW w:w="700" w:type="pct"/>
          </w:tcPr>
          <w:p w:rsidR="00000000" w:rsidRDefault="004D2F83">
            <w:pPr>
              <w:spacing w:line="440" w:lineRule="exact"/>
              <w:jc w:val="center"/>
              <w:rPr>
                <w:rFonts w:hint="eastAsia"/>
                <w:sz w:val="18"/>
              </w:rPr>
            </w:pPr>
            <w:r>
              <w:rPr>
                <w:rFonts w:hint="eastAsia"/>
                <w:sz w:val="18"/>
              </w:rPr>
              <w:t>%</w:t>
            </w:r>
          </w:p>
        </w:tc>
        <w:tc>
          <w:tcPr>
            <w:tcW w:w="700" w:type="pct"/>
          </w:tcPr>
          <w:p w:rsidR="00000000" w:rsidRDefault="004D2F83">
            <w:pPr>
              <w:spacing w:line="440" w:lineRule="exact"/>
              <w:jc w:val="center"/>
              <w:rPr>
                <w:rFonts w:hint="eastAsia"/>
                <w:sz w:val="18"/>
              </w:rPr>
            </w:pPr>
            <w:r>
              <w:rPr>
                <w:rFonts w:hint="eastAsia"/>
                <w:sz w:val="18"/>
              </w:rPr>
              <w:t>男</w:t>
            </w:r>
          </w:p>
        </w:tc>
        <w:tc>
          <w:tcPr>
            <w:tcW w:w="700" w:type="pct"/>
          </w:tcPr>
          <w:p w:rsidR="00000000" w:rsidRDefault="004D2F83">
            <w:pPr>
              <w:spacing w:line="440" w:lineRule="exact"/>
              <w:jc w:val="center"/>
              <w:rPr>
                <w:rFonts w:hint="eastAsia"/>
                <w:sz w:val="18"/>
              </w:rPr>
            </w:pPr>
            <w:r>
              <w:rPr>
                <w:rFonts w:hint="eastAsia"/>
                <w:sz w:val="18"/>
              </w:rPr>
              <w:t>%</w:t>
            </w:r>
          </w:p>
        </w:tc>
        <w:tc>
          <w:tcPr>
            <w:tcW w:w="699" w:type="pct"/>
          </w:tcPr>
          <w:p w:rsidR="00000000" w:rsidRDefault="004D2F83">
            <w:pPr>
              <w:spacing w:line="440" w:lineRule="exact"/>
              <w:jc w:val="center"/>
              <w:rPr>
                <w:rFonts w:hint="eastAsia"/>
                <w:sz w:val="18"/>
              </w:rPr>
            </w:pPr>
            <w:r>
              <w:rPr>
                <w:rFonts w:hint="eastAsia"/>
                <w:sz w:val="18"/>
              </w:rPr>
              <w:t>总数</w:t>
            </w:r>
          </w:p>
        </w:tc>
      </w:tr>
      <w:tr w:rsidR="00000000">
        <w:tblPrEx>
          <w:tblCellMar>
            <w:top w:w="0" w:type="dxa"/>
            <w:bottom w:w="0" w:type="dxa"/>
          </w:tblCellMar>
        </w:tblPrEx>
        <w:tc>
          <w:tcPr>
            <w:tcW w:w="1504" w:type="pct"/>
          </w:tcPr>
          <w:p w:rsidR="00000000" w:rsidRDefault="004D2F83">
            <w:pPr>
              <w:spacing w:line="440" w:lineRule="exact"/>
              <w:rPr>
                <w:rFonts w:hint="eastAsia"/>
                <w:sz w:val="18"/>
              </w:rPr>
            </w:pPr>
            <w:r>
              <w:rPr>
                <w:rFonts w:hint="eastAsia"/>
                <w:sz w:val="18"/>
              </w:rPr>
              <w:t>STF-</w:t>
            </w:r>
            <w:r>
              <w:rPr>
                <w:rFonts w:hint="eastAsia"/>
                <w:sz w:val="18"/>
              </w:rPr>
              <w:t>联邦最高法院</w:t>
            </w:r>
            <w:r>
              <w:rPr>
                <w:rStyle w:val="FootnoteReference"/>
                <w:sz w:val="18"/>
              </w:rPr>
              <w:sym w:font="Symbol" w:char="F02A"/>
            </w:r>
          </w:p>
        </w:tc>
        <w:tc>
          <w:tcPr>
            <w:tcW w:w="699" w:type="pct"/>
          </w:tcPr>
          <w:p w:rsidR="00000000" w:rsidRDefault="004D2F83">
            <w:pPr>
              <w:spacing w:line="440" w:lineRule="exact"/>
              <w:jc w:val="center"/>
              <w:rPr>
                <w:sz w:val="18"/>
              </w:rPr>
            </w:pPr>
            <w:r>
              <w:rPr>
                <w:sz w:val="18"/>
              </w:rPr>
              <w:t>01</w:t>
            </w:r>
          </w:p>
        </w:tc>
        <w:tc>
          <w:tcPr>
            <w:tcW w:w="700" w:type="pct"/>
          </w:tcPr>
          <w:p w:rsidR="00000000" w:rsidRDefault="004D2F83">
            <w:pPr>
              <w:spacing w:line="440" w:lineRule="exact"/>
              <w:jc w:val="center"/>
              <w:rPr>
                <w:sz w:val="18"/>
              </w:rPr>
            </w:pPr>
            <w:r>
              <w:rPr>
                <w:sz w:val="18"/>
              </w:rPr>
              <w:t>9.09</w:t>
            </w:r>
          </w:p>
        </w:tc>
        <w:tc>
          <w:tcPr>
            <w:tcW w:w="700" w:type="pct"/>
          </w:tcPr>
          <w:p w:rsidR="00000000" w:rsidRDefault="004D2F83">
            <w:pPr>
              <w:spacing w:line="440" w:lineRule="exact"/>
              <w:jc w:val="center"/>
              <w:rPr>
                <w:sz w:val="18"/>
              </w:rPr>
            </w:pPr>
            <w:r>
              <w:rPr>
                <w:sz w:val="18"/>
              </w:rPr>
              <w:t>10</w:t>
            </w:r>
          </w:p>
        </w:tc>
        <w:tc>
          <w:tcPr>
            <w:tcW w:w="700" w:type="pct"/>
          </w:tcPr>
          <w:p w:rsidR="00000000" w:rsidRDefault="004D2F83">
            <w:pPr>
              <w:spacing w:line="440" w:lineRule="exact"/>
              <w:jc w:val="center"/>
              <w:rPr>
                <w:sz w:val="18"/>
              </w:rPr>
            </w:pPr>
            <w:r>
              <w:rPr>
                <w:sz w:val="18"/>
              </w:rPr>
              <w:t>90.91</w:t>
            </w:r>
          </w:p>
        </w:tc>
        <w:tc>
          <w:tcPr>
            <w:tcW w:w="699" w:type="pct"/>
          </w:tcPr>
          <w:p w:rsidR="00000000" w:rsidRDefault="004D2F83">
            <w:pPr>
              <w:spacing w:line="440" w:lineRule="exact"/>
              <w:jc w:val="center"/>
              <w:rPr>
                <w:sz w:val="18"/>
              </w:rPr>
            </w:pPr>
            <w:r>
              <w:rPr>
                <w:sz w:val="18"/>
              </w:rPr>
              <w:t>11</w:t>
            </w:r>
          </w:p>
        </w:tc>
      </w:tr>
      <w:tr w:rsidR="00000000">
        <w:tblPrEx>
          <w:tblCellMar>
            <w:top w:w="0" w:type="dxa"/>
            <w:bottom w:w="0" w:type="dxa"/>
          </w:tblCellMar>
        </w:tblPrEx>
        <w:tc>
          <w:tcPr>
            <w:tcW w:w="1504" w:type="pct"/>
          </w:tcPr>
          <w:p w:rsidR="00000000" w:rsidRDefault="004D2F83">
            <w:pPr>
              <w:spacing w:line="440" w:lineRule="exact"/>
              <w:rPr>
                <w:rFonts w:hint="eastAsia"/>
                <w:sz w:val="18"/>
              </w:rPr>
            </w:pPr>
            <w:r>
              <w:rPr>
                <w:rFonts w:hint="eastAsia"/>
                <w:sz w:val="18"/>
              </w:rPr>
              <w:t>STJ-</w:t>
            </w:r>
            <w:r>
              <w:rPr>
                <w:rFonts w:hint="eastAsia"/>
                <w:sz w:val="18"/>
              </w:rPr>
              <w:t>最高法院</w:t>
            </w:r>
            <w:r>
              <w:rPr>
                <w:rStyle w:val="FootnoteReference"/>
                <w:sz w:val="18"/>
              </w:rPr>
              <w:sym w:font="Symbol" w:char="F02A"/>
            </w:r>
            <w:r>
              <w:rPr>
                <w:rStyle w:val="FootnoteReference"/>
                <w:sz w:val="18"/>
              </w:rPr>
              <w:sym w:font="Symbol" w:char="F02A"/>
            </w:r>
          </w:p>
        </w:tc>
        <w:tc>
          <w:tcPr>
            <w:tcW w:w="699" w:type="pct"/>
          </w:tcPr>
          <w:p w:rsidR="00000000" w:rsidRDefault="004D2F83">
            <w:pPr>
              <w:spacing w:line="440" w:lineRule="exact"/>
              <w:jc w:val="center"/>
              <w:rPr>
                <w:sz w:val="18"/>
              </w:rPr>
            </w:pPr>
            <w:r>
              <w:rPr>
                <w:sz w:val="18"/>
              </w:rPr>
              <w:t>03</w:t>
            </w:r>
          </w:p>
        </w:tc>
        <w:tc>
          <w:tcPr>
            <w:tcW w:w="700" w:type="pct"/>
          </w:tcPr>
          <w:p w:rsidR="00000000" w:rsidRDefault="004D2F83">
            <w:pPr>
              <w:spacing w:line="440" w:lineRule="exact"/>
              <w:jc w:val="center"/>
              <w:rPr>
                <w:sz w:val="18"/>
              </w:rPr>
            </w:pPr>
            <w:r>
              <w:rPr>
                <w:sz w:val="18"/>
              </w:rPr>
              <w:t>9.09</w:t>
            </w:r>
          </w:p>
        </w:tc>
        <w:tc>
          <w:tcPr>
            <w:tcW w:w="700" w:type="pct"/>
          </w:tcPr>
          <w:p w:rsidR="00000000" w:rsidRDefault="004D2F83">
            <w:pPr>
              <w:spacing w:line="440" w:lineRule="exact"/>
              <w:jc w:val="center"/>
              <w:rPr>
                <w:sz w:val="18"/>
              </w:rPr>
            </w:pPr>
            <w:r>
              <w:rPr>
                <w:sz w:val="18"/>
              </w:rPr>
              <w:t>30</w:t>
            </w:r>
          </w:p>
        </w:tc>
        <w:tc>
          <w:tcPr>
            <w:tcW w:w="700" w:type="pct"/>
          </w:tcPr>
          <w:p w:rsidR="00000000" w:rsidRDefault="004D2F83">
            <w:pPr>
              <w:spacing w:line="440" w:lineRule="exact"/>
              <w:jc w:val="center"/>
              <w:rPr>
                <w:sz w:val="18"/>
              </w:rPr>
            </w:pPr>
            <w:r>
              <w:rPr>
                <w:sz w:val="18"/>
              </w:rPr>
              <w:t>90.91</w:t>
            </w:r>
          </w:p>
        </w:tc>
        <w:tc>
          <w:tcPr>
            <w:tcW w:w="699" w:type="pct"/>
          </w:tcPr>
          <w:p w:rsidR="00000000" w:rsidRDefault="004D2F83">
            <w:pPr>
              <w:spacing w:line="440" w:lineRule="exact"/>
              <w:jc w:val="center"/>
              <w:rPr>
                <w:sz w:val="18"/>
              </w:rPr>
            </w:pPr>
            <w:r>
              <w:rPr>
                <w:sz w:val="18"/>
              </w:rPr>
              <w:t>33</w:t>
            </w:r>
          </w:p>
        </w:tc>
      </w:tr>
      <w:tr w:rsidR="00000000">
        <w:tblPrEx>
          <w:tblCellMar>
            <w:top w:w="0" w:type="dxa"/>
            <w:bottom w:w="0" w:type="dxa"/>
          </w:tblCellMar>
        </w:tblPrEx>
        <w:tc>
          <w:tcPr>
            <w:tcW w:w="1504" w:type="pct"/>
          </w:tcPr>
          <w:p w:rsidR="00000000" w:rsidRDefault="004D2F83">
            <w:pPr>
              <w:spacing w:line="440" w:lineRule="exact"/>
              <w:rPr>
                <w:rFonts w:hint="eastAsia"/>
                <w:sz w:val="18"/>
              </w:rPr>
            </w:pPr>
            <w:r>
              <w:rPr>
                <w:rFonts w:hint="eastAsia"/>
                <w:sz w:val="18"/>
              </w:rPr>
              <w:t>TST-</w:t>
            </w:r>
            <w:r>
              <w:rPr>
                <w:rFonts w:hint="eastAsia"/>
                <w:sz w:val="18"/>
              </w:rPr>
              <w:t>最高劳资争议法庭</w:t>
            </w:r>
            <w:r>
              <w:rPr>
                <w:rStyle w:val="FootnoteReference"/>
                <w:sz w:val="18"/>
              </w:rPr>
              <w:sym w:font="Symbol" w:char="F02A"/>
            </w:r>
            <w:r>
              <w:rPr>
                <w:rStyle w:val="FootnoteReference"/>
                <w:sz w:val="18"/>
              </w:rPr>
              <w:sym w:font="Symbol" w:char="F02A"/>
            </w:r>
            <w:r>
              <w:rPr>
                <w:rStyle w:val="FootnoteReference"/>
                <w:sz w:val="18"/>
              </w:rPr>
              <w:sym w:font="Symbol" w:char="F02A"/>
            </w:r>
          </w:p>
        </w:tc>
        <w:tc>
          <w:tcPr>
            <w:tcW w:w="699" w:type="pct"/>
          </w:tcPr>
          <w:p w:rsidR="00000000" w:rsidRDefault="004D2F83">
            <w:pPr>
              <w:spacing w:line="440" w:lineRule="exact"/>
              <w:jc w:val="center"/>
              <w:rPr>
                <w:sz w:val="18"/>
              </w:rPr>
            </w:pPr>
            <w:r>
              <w:rPr>
                <w:sz w:val="18"/>
              </w:rPr>
              <w:t>01</w:t>
            </w:r>
          </w:p>
        </w:tc>
        <w:tc>
          <w:tcPr>
            <w:tcW w:w="700" w:type="pct"/>
          </w:tcPr>
          <w:p w:rsidR="00000000" w:rsidRDefault="004D2F83">
            <w:pPr>
              <w:spacing w:line="440" w:lineRule="exact"/>
              <w:jc w:val="center"/>
              <w:rPr>
                <w:sz w:val="18"/>
              </w:rPr>
            </w:pPr>
            <w:r>
              <w:rPr>
                <w:sz w:val="18"/>
              </w:rPr>
              <w:t>5.88</w:t>
            </w:r>
          </w:p>
        </w:tc>
        <w:tc>
          <w:tcPr>
            <w:tcW w:w="700" w:type="pct"/>
          </w:tcPr>
          <w:p w:rsidR="00000000" w:rsidRDefault="004D2F83">
            <w:pPr>
              <w:spacing w:line="440" w:lineRule="exact"/>
              <w:jc w:val="center"/>
              <w:rPr>
                <w:sz w:val="18"/>
              </w:rPr>
            </w:pPr>
            <w:r>
              <w:rPr>
                <w:sz w:val="18"/>
              </w:rPr>
              <w:t>16</w:t>
            </w:r>
          </w:p>
        </w:tc>
        <w:tc>
          <w:tcPr>
            <w:tcW w:w="700" w:type="pct"/>
          </w:tcPr>
          <w:p w:rsidR="00000000" w:rsidRDefault="004D2F83">
            <w:pPr>
              <w:spacing w:line="440" w:lineRule="exact"/>
              <w:jc w:val="center"/>
              <w:rPr>
                <w:sz w:val="18"/>
              </w:rPr>
            </w:pPr>
            <w:r>
              <w:rPr>
                <w:sz w:val="18"/>
              </w:rPr>
              <w:t>94.12</w:t>
            </w:r>
          </w:p>
        </w:tc>
        <w:tc>
          <w:tcPr>
            <w:tcW w:w="699" w:type="pct"/>
          </w:tcPr>
          <w:p w:rsidR="00000000" w:rsidRDefault="004D2F83">
            <w:pPr>
              <w:spacing w:line="440" w:lineRule="exact"/>
              <w:jc w:val="center"/>
              <w:rPr>
                <w:sz w:val="18"/>
              </w:rPr>
            </w:pPr>
            <w:r>
              <w:rPr>
                <w:sz w:val="18"/>
              </w:rPr>
              <w:t>17</w:t>
            </w:r>
          </w:p>
        </w:tc>
      </w:tr>
      <w:tr w:rsidR="00000000">
        <w:tblPrEx>
          <w:tblCellMar>
            <w:top w:w="0" w:type="dxa"/>
            <w:bottom w:w="0" w:type="dxa"/>
          </w:tblCellMar>
        </w:tblPrEx>
        <w:tc>
          <w:tcPr>
            <w:tcW w:w="1504" w:type="pct"/>
          </w:tcPr>
          <w:p w:rsidR="00000000" w:rsidRDefault="004D2F83">
            <w:pPr>
              <w:spacing w:line="440" w:lineRule="exact"/>
              <w:rPr>
                <w:rFonts w:hint="eastAsia"/>
                <w:sz w:val="18"/>
              </w:rPr>
            </w:pPr>
            <w:r>
              <w:rPr>
                <w:rFonts w:hint="eastAsia"/>
                <w:sz w:val="18"/>
              </w:rPr>
              <w:t>总数</w:t>
            </w:r>
          </w:p>
        </w:tc>
        <w:tc>
          <w:tcPr>
            <w:tcW w:w="699" w:type="pct"/>
          </w:tcPr>
          <w:p w:rsidR="00000000" w:rsidRDefault="004D2F83">
            <w:pPr>
              <w:spacing w:line="440" w:lineRule="exact"/>
              <w:jc w:val="center"/>
              <w:rPr>
                <w:sz w:val="18"/>
              </w:rPr>
            </w:pPr>
            <w:r>
              <w:rPr>
                <w:sz w:val="18"/>
              </w:rPr>
              <w:t>05</w:t>
            </w:r>
          </w:p>
        </w:tc>
        <w:tc>
          <w:tcPr>
            <w:tcW w:w="700" w:type="pct"/>
          </w:tcPr>
          <w:p w:rsidR="00000000" w:rsidRDefault="004D2F83">
            <w:pPr>
              <w:spacing w:line="440" w:lineRule="exact"/>
              <w:jc w:val="center"/>
              <w:rPr>
                <w:sz w:val="18"/>
              </w:rPr>
            </w:pPr>
            <w:r>
              <w:rPr>
                <w:sz w:val="18"/>
              </w:rPr>
              <w:t>8.20</w:t>
            </w:r>
          </w:p>
        </w:tc>
        <w:tc>
          <w:tcPr>
            <w:tcW w:w="700" w:type="pct"/>
          </w:tcPr>
          <w:p w:rsidR="00000000" w:rsidRDefault="004D2F83">
            <w:pPr>
              <w:spacing w:line="440" w:lineRule="exact"/>
              <w:jc w:val="center"/>
              <w:rPr>
                <w:sz w:val="18"/>
              </w:rPr>
            </w:pPr>
            <w:r>
              <w:rPr>
                <w:sz w:val="18"/>
              </w:rPr>
              <w:t>56</w:t>
            </w:r>
          </w:p>
        </w:tc>
        <w:tc>
          <w:tcPr>
            <w:tcW w:w="700" w:type="pct"/>
          </w:tcPr>
          <w:p w:rsidR="00000000" w:rsidRDefault="004D2F83">
            <w:pPr>
              <w:spacing w:line="440" w:lineRule="exact"/>
              <w:jc w:val="center"/>
              <w:rPr>
                <w:sz w:val="18"/>
              </w:rPr>
            </w:pPr>
            <w:r>
              <w:rPr>
                <w:sz w:val="18"/>
              </w:rPr>
              <w:t>91.80</w:t>
            </w:r>
          </w:p>
        </w:tc>
        <w:tc>
          <w:tcPr>
            <w:tcW w:w="699" w:type="pct"/>
          </w:tcPr>
          <w:p w:rsidR="00000000" w:rsidRDefault="004D2F83">
            <w:pPr>
              <w:spacing w:line="440" w:lineRule="exact"/>
              <w:jc w:val="center"/>
              <w:rPr>
                <w:sz w:val="18"/>
              </w:rPr>
            </w:pPr>
            <w:r>
              <w:rPr>
                <w:sz w:val="18"/>
              </w:rPr>
              <w:t>61</w:t>
            </w:r>
          </w:p>
        </w:tc>
      </w:tr>
    </w:tbl>
    <w:p w:rsidR="00000000" w:rsidRDefault="004D2F83">
      <w:pPr>
        <w:spacing w:line="360" w:lineRule="exact"/>
        <w:rPr>
          <w:rFonts w:hint="eastAsia"/>
          <w:sz w:val="18"/>
        </w:rPr>
      </w:pPr>
      <w:r>
        <w:rPr>
          <w:rFonts w:eastAsia="SimHei" w:hint="eastAsia"/>
          <w:sz w:val="18"/>
        </w:rPr>
        <w:t>资</w:t>
      </w:r>
      <w:r>
        <w:rPr>
          <w:rFonts w:eastAsia="SimHei" w:hint="eastAsia"/>
          <w:sz w:val="18"/>
        </w:rPr>
        <w:t>料来源</w:t>
      </w:r>
      <w:r>
        <w:rPr>
          <w:rFonts w:hint="eastAsia"/>
          <w:sz w:val="18"/>
        </w:rPr>
        <w:t>：男女平等研究与咨询中心，</w:t>
      </w:r>
      <w:r>
        <w:rPr>
          <w:rFonts w:hint="eastAsia"/>
          <w:sz w:val="18"/>
        </w:rPr>
        <w:t>2001</w:t>
      </w:r>
      <w:r>
        <w:rPr>
          <w:rFonts w:hint="eastAsia"/>
          <w:sz w:val="18"/>
        </w:rPr>
        <w:t>年</w:t>
      </w:r>
      <w:r>
        <w:rPr>
          <w:rFonts w:hint="eastAsia"/>
          <w:sz w:val="18"/>
        </w:rPr>
        <w:t>8</w:t>
      </w:r>
      <w:r>
        <w:rPr>
          <w:rFonts w:hint="eastAsia"/>
          <w:sz w:val="18"/>
        </w:rPr>
        <w:t>月。</w:t>
      </w:r>
    </w:p>
    <w:p w:rsidR="00000000" w:rsidRDefault="004D2F83">
      <w:pPr>
        <w:spacing w:line="360" w:lineRule="exact"/>
        <w:rPr>
          <w:rFonts w:hint="eastAsia"/>
          <w:sz w:val="18"/>
        </w:rPr>
      </w:pPr>
      <w:r>
        <w:rPr>
          <w:rStyle w:val="FootnoteReference"/>
          <w:sz w:val="18"/>
        </w:rPr>
        <w:sym w:font="Symbol" w:char="F02A"/>
      </w:r>
      <w:r>
        <w:rPr>
          <w:rFonts w:hint="eastAsia"/>
          <w:sz w:val="18"/>
        </w:rPr>
        <w:t xml:space="preserve">  </w:t>
      </w:r>
      <w:r>
        <w:rPr>
          <w:rFonts w:hint="eastAsia"/>
          <w:sz w:val="18"/>
        </w:rPr>
        <w:t>陪审法官埃伦·格雷丝·诺思弗里特。</w:t>
      </w:r>
    </w:p>
    <w:p w:rsidR="00000000" w:rsidRDefault="004D2F83">
      <w:pPr>
        <w:spacing w:line="360" w:lineRule="exact"/>
        <w:rPr>
          <w:rFonts w:hint="eastAsia"/>
          <w:sz w:val="18"/>
        </w:rPr>
      </w:pPr>
      <w:r>
        <w:rPr>
          <w:rStyle w:val="FootnoteReference"/>
          <w:sz w:val="18"/>
        </w:rPr>
        <w:sym w:font="Symbol" w:char="F02A"/>
      </w:r>
      <w:r>
        <w:rPr>
          <w:rStyle w:val="FootnoteReference"/>
          <w:sz w:val="18"/>
        </w:rPr>
        <w:sym w:font="Symbol" w:char="F02A"/>
      </w:r>
      <w:r>
        <w:rPr>
          <w:rFonts w:hint="eastAsia"/>
          <w:sz w:val="18"/>
        </w:rPr>
        <w:t xml:space="preserve"> </w:t>
      </w:r>
      <w:r>
        <w:rPr>
          <w:rFonts w:hint="eastAsia"/>
          <w:sz w:val="18"/>
        </w:rPr>
        <w:t>陪审法官埃利安娜·卡尔蒙、法蒂玛·南希·安德里基和劳里塔·伊拉里奥·瓦斯。</w:t>
      </w:r>
    </w:p>
    <w:p w:rsidR="00000000" w:rsidRDefault="004D2F83">
      <w:pPr>
        <w:spacing w:after="240" w:line="360" w:lineRule="exact"/>
        <w:rPr>
          <w:rFonts w:hint="eastAsia"/>
        </w:rPr>
      </w:pPr>
      <w:r>
        <w:rPr>
          <w:rStyle w:val="FootnoteReference"/>
          <w:sz w:val="18"/>
        </w:rPr>
        <w:sym w:font="Symbol" w:char="F02A"/>
      </w:r>
      <w:r>
        <w:rPr>
          <w:rStyle w:val="FootnoteReference"/>
          <w:sz w:val="18"/>
        </w:rPr>
        <w:sym w:font="Symbol" w:char="F02A"/>
      </w:r>
      <w:r>
        <w:rPr>
          <w:rStyle w:val="FootnoteReference"/>
          <w:sz w:val="18"/>
        </w:rPr>
        <w:sym w:font="Symbol" w:char="F02A"/>
      </w:r>
      <w:r>
        <w:rPr>
          <w:rFonts w:hint="eastAsia"/>
          <w:sz w:val="18"/>
        </w:rPr>
        <w:t xml:space="preserve"> </w:t>
      </w:r>
      <w:r>
        <w:rPr>
          <w:rFonts w:hint="eastAsia"/>
          <w:sz w:val="18"/>
        </w:rPr>
        <w:t>陪审法官玛丽亚·克里斯蒂娜·伊里戈延。</w:t>
      </w:r>
    </w:p>
    <w:p w:rsidR="00000000" w:rsidRDefault="004D2F83" w:rsidP="004D2F83">
      <w:pPr>
        <w:spacing w:after="240" w:line="380" w:lineRule="exact"/>
        <w:ind w:firstLineChars="200" w:firstLine="31680"/>
        <w:rPr>
          <w:rFonts w:hint="eastAsia"/>
        </w:rPr>
      </w:pPr>
      <w:r>
        <w:rPr>
          <w:rFonts w:hint="eastAsia"/>
        </w:rPr>
        <w:t>以上几个表格没有说明在立法机构中任职的黑人妇女的人数。迄今没有一位妇女当选为联邦或州行政机构的首脑。担任市级行政部门领导的黑人妇女的人数也不得而知。上述三位首席法官都不是黑人。</w:t>
      </w:r>
    </w:p>
    <w:p w:rsidR="00000000" w:rsidRDefault="004D2F83" w:rsidP="004D2F83">
      <w:pPr>
        <w:spacing w:after="240" w:line="380" w:lineRule="exact"/>
        <w:ind w:firstLineChars="200" w:firstLine="31680"/>
        <w:rPr>
          <w:rFonts w:hint="eastAsia"/>
          <w:spacing w:val="4"/>
        </w:rPr>
      </w:pPr>
      <w:r>
        <w:rPr>
          <w:rFonts w:hint="eastAsia"/>
          <w:spacing w:val="4"/>
        </w:rPr>
        <w:t>立法措施虽然必不可少，但这些措施本身无法消除巴西社会中的白人妇女、特别是黑人妇女和其他民族</w:t>
      </w:r>
      <w:r>
        <w:rPr>
          <w:rFonts w:hint="eastAsia"/>
          <w:spacing w:val="4"/>
        </w:rPr>
        <w:t>/</w:t>
      </w:r>
      <w:r>
        <w:rPr>
          <w:rFonts w:hint="eastAsia"/>
          <w:spacing w:val="4"/>
        </w:rPr>
        <w:t>种族的妇女所遇到的歧</w:t>
      </w:r>
      <w:r>
        <w:rPr>
          <w:rFonts w:hint="eastAsia"/>
          <w:spacing w:val="4"/>
        </w:rPr>
        <w:t>视问题。首先，现行法律必须得到遵守；其次，需要制定并执行将性别和种族问题考虑在内的新的法律和公共政策，以便妇女能够切实获得权力。赋予妇女权力，必须要考虑到多样性问题。</w:t>
      </w:r>
    </w:p>
    <w:p w:rsidR="00000000" w:rsidRDefault="004D2F83" w:rsidP="004D2F83">
      <w:pPr>
        <w:spacing w:after="240" w:line="380" w:lineRule="exact"/>
        <w:ind w:firstLineChars="200" w:firstLine="31680"/>
        <w:rPr>
          <w:rFonts w:hint="eastAsia"/>
          <w:spacing w:val="4"/>
        </w:rPr>
      </w:pPr>
      <w:r>
        <w:rPr>
          <w:rFonts w:hint="eastAsia"/>
          <w:spacing w:val="4"/>
        </w:rPr>
        <w:t>妇女在政党中的任职情况同立法机构内部的情况很类似。目前没有按性别统计的参与政党情况的数据，在政党内担任高级职务的女性的比例非常低：在</w:t>
      </w:r>
      <w:r>
        <w:rPr>
          <w:rFonts w:hint="eastAsia"/>
          <w:spacing w:val="4"/>
        </w:rPr>
        <w:t>30</w:t>
      </w:r>
      <w:r>
        <w:rPr>
          <w:rFonts w:hint="eastAsia"/>
          <w:spacing w:val="4"/>
        </w:rPr>
        <w:t>个注册政党中，只有</w:t>
      </w:r>
      <w:r>
        <w:rPr>
          <w:rFonts w:hint="eastAsia"/>
          <w:spacing w:val="4"/>
        </w:rPr>
        <w:t>12</w:t>
      </w:r>
      <w:r>
        <w:rPr>
          <w:rFonts w:hint="eastAsia"/>
          <w:spacing w:val="4"/>
        </w:rPr>
        <w:t>个政党建立了女性中心或团体。只有少数几个政党在其纲领中强调了性别和种族</w:t>
      </w:r>
      <w:r>
        <w:rPr>
          <w:rFonts w:hint="eastAsia"/>
          <w:spacing w:val="4"/>
        </w:rPr>
        <w:t>/</w:t>
      </w:r>
      <w:r>
        <w:rPr>
          <w:rFonts w:hint="eastAsia"/>
          <w:spacing w:val="4"/>
        </w:rPr>
        <w:t>民族问题或是同样遭到歧视的其他社会阶层的问题。</w:t>
      </w:r>
    </w:p>
    <w:p w:rsidR="00000000" w:rsidRDefault="004D2F83" w:rsidP="004D2F83">
      <w:pPr>
        <w:spacing w:after="240" w:line="380" w:lineRule="exact"/>
        <w:ind w:firstLineChars="200" w:firstLine="31680"/>
        <w:rPr>
          <w:rFonts w:hint="eastAsia"/>
          <w:spacing w:val="4"/>
        </w:rPr>
      </w:pPr>
      <w:r>
        <w:rPr>
          <w:rFonts w:hint="eastAsia"/>
          <w:spacing w:val="4"/>
        </w:rPr>
        <w:t>没有妇女（无论白人或黑人，而且尤其是后者）能够进入各政党的高级领导</w:t>
      </w:r>
      <w:r>
        <w:rPr>
          <w:rFonts w:hint="eastAsia"/>
          <w:spacing w:val="4"/>
        </w:rPr>
        <w:t>层，同样是一个现实问题。只有少数几个政党为改变这种状况而采用了性别限额政策：劳工党（</w:t>
      </w:r>
      <w:r>
        <w:rPr>
          <w:rFonts w:hint="eastAsia"/>
          <w:spacing w:val="4"/>
        </w:rPr>
        <w:t>PT</w:t>
      </w:r>
      <w:r>
        <w:rPr>
          <w:rFonts w:hint="eastAsia"/>
          <w:spacing w:val="4"/>
        </w:rPr>
        <w:t>）；社会主义人民党（</w:t>
      </w:r>
      <w:r>
        <w:rPr>
          <w:rFonts w:hint="eastAsia"/>
          <w:spacing w:val="4"/>
        </w:rPr>
        <w:t>PPS</w:t>
      </w:r>
      <w:r>
        <w:rPr>
          <w:rFonts w:hint="eastAsia"/>
          <w:spacing w:val="4"/>
        </w:rPr>
        <w:t>）；绿党；民主工党（</w:t>
      </w:r>
      <w:r>
        <w:rPr>
          <w:rFonts w:hint="eastAsia"/>
          <w:spacing w:val="4"/>
        </w:rPr>
        <w:t>PDT</w:t>
      </w:r>
      <w:r>
        <w:rPr>
          <w:rFonts w:hint="eastAsia"/>
          <w:spacing w:val="4"/>
        </w:rPr>
        <w:t>）。从下表中可以看出执行此项政策所产生的效果，从妇女在各政党的全国理事会和执行委员会中担任高级职务的比例来看，在政党内部实行了限额制度的劳工党和民主工党显然领先于其他党派。</w:t>
      </w:r>
    </w:p>
    <w:p w:rsidR="00000000" w:rsidRDefault="004D2F83">
      <w:pPr>
        <w:spacing w:after="120" w:line="360" w:lineRule="exact"/>
        <w:jc w:val="center"/>
        <w:rPr>
          <w:rFonts w:ascii="SimHei" w:eastAsia="SimHei" w:hint="eastAsia"/>
        </w:rPr>
      </w:pPr>
      <w:r>
        <w:rPr>
          <w:rFonts w:ascii="SimHei" w:eastAsia="SimHei"/>
        </w:rPr>
        <w:br w:type="page"/>
      </w:r>
      <w:r>
        <w:rPr>
          <w:rFonts w:ascii="SimHei" w:eastAsia="SimHei" w:hint="eastAsia"/>
        </w:rPr>
        <w:t>表</w:t>
      </w:r>
      <w:r>
        <w:rPr>
          <w:rFonts w:ascii="SimHei" w:eastAsia="SimHei" w:hint="eastAsia"/>
        </w:rPr>
        <w:t>24</w:t>
      </w:r>
      <w:r>
        <w:rPr>
          <w:rFonts w:ascii="SimHei" w:eastAsia="SimHei" w:hint="eastAsia"/>
        </w:rPr>
        <w:t>．巴西各主要政党高级职位的妇女任职情况，</w:t>
      </w:r>
      <w:r>
        <w:rPr>
          <w:rFonts w:ascii="SimHei" w:eastAsia="SimHei" w:hint="eastAsia"/>
        </w:rPr>
        <w:t>2000</w:t>
      </w:r>
      <w:r>
        <w:rPr>
          <w:rFonts w:ascii="SimHei" w:eastAsia="SimHei" w:hint="eastAsia"/>
        </w:rPr>
        <w:t>年</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59"/>
        <w:gridCol w:w="2070"/>
        <w:gridCol w:w="1875"/>
        <w:gridCol w:w="1875"/>
        <w:gridCol w:w="1877"/>
      </w:tblGrid>
      <w:tr w:rsidR="00000000">
        <w:tblPrEx>
          <w:tblCellMar>
            <w:top w:w="0" w:type="dxa"/>
            <w:bottom w:w="0" w:type="dxa"/>
          </w:tblCellMar>
        </w:tblPrEx>
        <w:tc>
          <w:tcPr>
            <w:tcW w:w="1096" w:type="pct"/>
            <w:vAlign w:val="center"/>
          </w:tcPr>
          <w:p w:rsidR="00000000" w:rsidRDefault="004D2F83">
            <w:pPr>
              <w:spacing w:line="340" w:lineRule="exact"/>
              <w:jc w:val="center"/>
              <w:rPr>
                <w:rFonts w:eastAsia="SimHei" w:hint="eastAsia"/>
                <w:sz w:val="18"/>
              </w:rPr>
            </w:pPr>
            <w:r>
              <w:rPr>
                <w:rFonts w:eastAsia="SimHei" w:hint="eastAsia"/>
                <w:sz w:val="18"/>
              </w:rPr>
              <w:t>政党</w:t>
            </w:r>
          </w:p>
        </w:tc>
        <w:tc>
          <w:tcPr>
            <w:tcW w:w="1050" w:type="pct"/>
            <w:vAlign w:val="center"/>
          </w:tcPr>
          <w:p w:rsidR="00000000" w:rsidRDefault="004D2F83">
            <w:pPr>
              <w:pStyle w:val="Header"/>
              <w:pBdr>
                <w:bottom w:val="none" w:sz="0" w:space="0" w:color="auto"/>
              </w:pBdr>
              <w:tabs>
                <w:tab w:val="clear" w:pos="4320"/>
                <w:tab w:val="clear" w:pos="8640"/>
              </w:tabs>
              <w:spacing w:line="340" w:lineRule="exact"/>
              <w:rPr>
                <w:rFonts w:eastAsia="SimHei" w:hint="eastAsia"/>
              </w:rPr>
            </w:pPr>
          </w:p>
        </w:tc>
        <w:tc>
          <w:tcPr>
            <w:tcW w:w="951" w:type="pct"/>
            <w:vAlign w:val="center"/>
          </w:tcPr>
          <w:p w:rsidR="00000000" w:rsidRDefault="004D2F83">
            <w:pPr>
              <w:spacing w:line="340" w:lineRule="exact"/>
              <w:jc w:val="center"/>
              <w:rPr>
                <w:rFonts w:eastAsia="SimHei" w:hint="eastAsia"/>
                <w:sz w:val="18"/>
              </w:rPr>
            </w:pPr>
            <w:r>
              <w:rPr>
                <w:rFonts w:eastAsia="SimHei" w:hint="eastAsia"/>
                <w:sz w:val="18"/>
              </w:rPr>
              <w:t>成员人数</w:t>
            </w:r>
          </w:p>
        </w:tc>
        <w:tc>
          <w:tcPr>
            <w:tcW w:w="951" w:type="pct"/>
            <w:vAlign w:val="center"/>
          </w:tcPr>
          <w:p w:rsidR="00000000" w:rsidRDefault="004D2F83">
            <w:pPr>
              <w:spacing w:line="340" w:lineRule="exact"/>
              <w:jc w:val="center"/>
              <w:rPr>
                <w:rFonts w:eastAsia="SimHei" w:hint="eastAsia"/>
                <w:sz w:val="18"/>
              </w:rPr>
            </w:pPr>
            <w:r>
              <w:rPr>
                <w:rFonts w:eastAsia="SimHei" w:hint="eastAsia"/>
                <w:sz w:val="18"/>
              </w:rPr>
              <w:t>妇女人数</w:t>
            </w:r>
          </w:p>
        </w:tc>
        <w:tc>
          <w:tcPr>
            <w:tcW w:w="952" w:type="pct"/>
            <w:vAlign w:val="center"/>
          </w:tcPr>
          <w:p w:rsidR="00000000" w:rsidRDefault="004D2F83">
            <w:pPr>
              <w:spacing w:line="340" w:lineRule="exact"/>
              <w:jc w:val="center"/>
              <w:rPr>
                <w:rFonts w:eastAsia="SimHei" w:hint="eastAsia"/>
                <w:sz w:val="18"/>
              </w:rPr>
            </w:pPr>
            <w:r>
              <w:rPr>
                <w:rFonts w:eastAsia="SimHei" w:hint="eastAsia"/>
                <w:sz w:val="18"/>
              </w:rPr>
              <w:t>妇女所占比例</w:t>
            </w:r>
          </w:p>
        </w:tc>
      </w:tr>
      <w:tr w:rsidR="00000000">
        <w:tblPrEx>
          <w:tblCellMar>
            <w:top w:w="0" w:type="dxa"/>
            <w:bottom w:w="0" w:type="dxa"/>
          </w:tblCellMar>
        </w:tblPrEx>
        <w:trPr>
          <w:cantSplit/>
        </w:trPr>
        <w:tc>
          <w:tcPr>
            <w:tcW w:w="1096" w:type="pct"/>
            <w:vMerge w:val="restart"/>
            <w:vAlign w:val="center"/>
          </w:tcPr>
          <w:p w:rsidR="00000000" w:rsidRDefault="004D2F83">
            <w:pPr>
              <w:spacing w:line="340" w:lineRule="exact"/>
              <w:rPr>
                <w:rFonts w:hint="eastAsia"/>
                <w:sz w:val="18"/>
              </w:rPr>
            </w:pPr>
            <w:r>
              <w:rPr>
                <w:rFonts w:hint="eastAsia"/>
                <w:sz w:val="18"/>
              </w:rPr>
              <w:t>劳工党（</w:t>
            </w:r>
            <w:r>
              <w:rPr>
                <w:sz w:val="18"/>
              </w:rPr>
              <w:t>PT</w:t>
            </w:r>
            <w:r>
              <w:rPr>
                <w:rFonts w:hint="eastAsia"/>
                <w:sz w:val="18"/>
              </w:rPr>
              <w:t>）</w:t>
            </w:r>
          </w:p>
        </w:tc>
        <w:tc>
          <w:tcPr>
            <w:tcW w:w="1050" w:type="pct"/>
            <w:vAlign w:val="center"/>
          </w:tcPr>
          <w:p w:rsidR="00000000" w:rsidRDefault="004D2F83">
            <w:pPr>
              <w:spacing w:line="340" w:lineRule="exact"/>
              <w:rPr>
                <w:rFonts w:hint="eastAsia"/>
                <w:sz w:val="18"/>
              </w:rPr>
            </w:pPr>
            <w:r>
              <w:rPr>
                <w:rFonts w:hint="eastAsia"/>
                <w:sz w:val="18"/>
              </w:rPr>
              <w:t>全国理事会</w:t>
            </w:r>
          </w:p>
        </w:tc>
        <w:tc>
          <w:tcPr>
            <w:tcW w:w="951" w:type="pct"/>
            <w:vAlign w:val="center"/>
          </w:tcPr>
          <w:p w:rsidR="00000000" w:rsidRDefault="004D2F83" w:rsidP="004D2F83">
            <w:pPr>
              <w:spacing w:line="340" w:lineRule="exact"/>
              <w:ind w:rightChars="283" w:right="31680"/>
              <w:jc w:val="right"/>
              <w:rPr>
                <w:rFonts w:hint="eastAsia"/>
                <w:sz w:val="18"/>
              </w:rPr>
            </w:pPr>
            <w:r>
              <w:rPr>
                <w:rFonts w:hint="eastAsia"/>
                <w:sz w:val="18"/>
              </w:rPr>
              <w:t>90</w:t>
            </w:r>
          </w:p>
        </w:tc>
        <w:tc>
          <w:tcPr>
            <w:tcW w:w="951" w:type="pct"/>
            <w:vAlign w:val="center"/>
          </w:tcPr>
          <w:p w:rsidR="00000000" w:rsidRDefault="004D2F83" w:rsidP="004D2F83">
            <w:pPr>
              <w:spacing w:line="340" w:lineRule="exact"/>
              <w:ind w:rightChars="283" w:right="31680"/>
              <w:jc w:val="right"/>
              <w:rPr>
                <w:rFonts w:hint="eastAsia"/>
                <w:sz w:val="18"/>
              </w:rPr>
            </w:pPr>
            <w:r>
              <w:rPr>
                <w:rFonts w:hint="eastAsia"/>
                <w:sz w:val="18"/>
              </w:rPr>
              <w:t>25</w:t>
            </w:r>
          </w:p>
        </w:tc>
        <w:tc>
          <w:tcPr>
            <w:tcW w:w="952" w:type="pct"/>
            <w:vAlign w:val="center"/>
          </w:tcPr>
          <w:p w:rsidR="00000000" w:rsidRDefault="004D2F83" w:rsidP="004D2F83">
            <w:pPr>
              <w:spacing w:line="340" w:lineRule="exact"/>
              <w:ind w:rightChars="283" w:right="31680"/>
              <w:jc w:val="right"/>
              <w:rPr>
                <w:sz w:val="18"/>
              </w:rPr>
            </w:pPr>
            <w:r>
              <w:rPr>
                <w:sz w:val="18"/>
              </w:rPr>
              <w:t>27.78</w:t>
            </w:r>
          </w:p>
        </w:tc>
      </w:tr>
      <w:tr w:rsidR="00000000">
        <w:tblPrEx>
          <w:tblCellMar>
            <w:top w:w="0" w:type="dxa"/>
            <w:bottom w:w="0" w:type="dxa"/>
          </w:tblCellMar>
        </w:tblPrEx>
        <w:trPr>
          <w:cantSplit/>
        </w:trPr>
        <w:tc>
          <w:tcPr>
            <w:tcW w:w="1096" w:type="pct"/>
            <w:vMerge/>
            <w:vAlign w:val="center"/>
          </w:tcPr>
          <w:p w:rsidR="00000000" w:rsidRDefault="004D2F83">
            <w:pPr>
              <w:spacing w:line="340" w:lineRule="exact"/>
              <w:rPr>
                <w:rFonts w:hint="eastAsia"/>
                <w:sz w:val="18"/>
              </w:rPr>
            </w:pPr>
          </w:p>
        </w:tc>
        <w:tc>
          <w:tcPr>
            <w:tcW w:w="1050" w:type="pct"/>
            <w:vAlign w:val="center"/>
          </w:tcPr>
          <w:p w:rsidR="00000000" w:rsidRDefault="004D2F83">
            <w:pPr>
              <w:spacing w:line="340" w:lineRule="exact"/>
              <w:rPr>
                <w:rFonts w:hint="eastAsia"/>
                <w:sz w:val="18"/>
              </w:rPr>
            </w:pPr>
            <w:r>
              <w:rPr>
                <w:rFonts w:hint="eastAsia"/>
                <w:sz w:val="18"/>
              </w:rPr>
              <w:t>全国执行委员会</w:t>
            </w:r>
          </w:p>
        </w:tc>
        <w:tc>
          <w:tcPr>
            <w:tcW w:w="951" w:type="pct"/>
            <w:vAlign w:val="center"/>
          </w:tcPr>
          <w:p w:rsidR="00000000" w:rsidRDefault="004D2F83" w:rsidP="004D2F83">
            <w:pPr>
              <w:spacing w:line="340" w:lineRule="exact"/>
              <w:ind w:rightChars="283" w:right="31680"/>
              <w:jc w:val="right"/>
              <w:rPr>
                <w:rFonts w:hint="eastAsia"/>
                <w:sz w:val="18"/>
              </w:rPr>
            </w:pPr>
            <w:r>
              <w:rPr>
                <w:rFonts w:hint="eastAsia"/>
                <w:sz w:val="18"/>
              </w:rPr>
              <w:t>21</w:t>
            </w:r>
          </w:p>
        </w:tc>
        <w:tc>
          <w:tcPr>
            <w:tcW w:w="951" w:type="pct"/>
            <w:vAlign w:val="center"/>
          </w:tcPr>
          <w:p w:rsidR="00000000" w:rsidRDefault="004D2F83" w:rsidP="004D2F83">
            <w:pPr>
              <w:spacing w:line="340" w:lineRule="exact"/>
              <w:ind w:rightChars="283" w:right="31680"/>
              <w:jc w:val="right"/>
              <w:rPr>
                <w:rFonts w:hint="eastAsia"/>
                <w:sz w:val="18"/>
              </w:rPr>
            </w:pPr>
            <w:r>
              <w:rPr>
                <w:rFonts w:hint="eastAsia"/>
                <w:sz w:val="18"/>
              </w:rPr>
              <w:t>07</w:t>
            </w:r>
          </w:p>
        </w:tc>
        <w:tc>
          <w:tcPr>
            <w:tcW w:w="952" w:type="pct"/>
            <w:vAlign w:val="center"/>
          </w:tcPr>
          <w:p w:rsidR="00000000" w:rsidRDefault="004D2F83" w:rsidP="004D2F83">
            <w:pPr>
              <w:spacing w:line="340" w:lineRule="exact"/>
              <w:ind w:rightChars="283" w:right="31680"/>
              <w:jc w:val="right"/>
              <w:rPr>
                <w:sz w:val="18"/>
              </w:rPr>
            </w:pPr>
            <w:r>
              <w:rPr>
                <w:sz w:val="18"/>
              </w:rPr>
              <w:t>33.4</w:t>
            </w:r>
          </w:p>
        </w:tc>
      </w:tr>
      <w:tr w:rsidR="00000000">
        <w:tblPrEx>
          <w:tblCellMar>
            <w:top w:w="0" w:type="dxa"/>
            <w:bottom w:w="0" w:type="dxa"/>
          </w:tblCellMar>
        </w:tblPrEx>
        <w:trPr>
          <w:cantSplit/>
        </w:trPr>
        <w:tc>
          <w:tcPr>
            <w:tcW w:w="1096" w:type="pct"/>
            <w:vMerge w:val="restart"/>
            <w:vAlign w:val="center"/>
          </w:tcPr>
          <w:p w:rsidR="00000000" w:rsidRDefault="004D2F83">
            <w:pPr>
              <w:spacing w:line="340" w:lineRule="exact"/>
              <w:jc w:val="left"/>
              <w:rPr>
                <w:rFonts w:hint="eastAsia"/>
                <w:sz w:val="18"/>
              </w:rPr>
            </w:pPr>
            <w:r>
              <w:rPr>
                <w:rFonts w:hint="eastAsia"/>
                <w:sz w:val="18"/>
              </w:rPr>
              <w:t>巴西民主社会党（</w:t>
            </w:r>
            <w:r>
              <w:rPr>
                <w:sz w:val="18"/>
              </w:rPr>
              <w:t>PSDB</w:t>
            </w:r>
            <w:r>
              <w:rPr>
                <w:rFonts w:hint="eastAsia"/>
                <w:sz w:val="18"/>
              </w:rPr>
              <w:t>）</w:t>
            </w:r>
          </w:p>
        </w:tc>
        <w:tc>
          <w:tcPr>
            <w:tcW w:w="1050" w:type="pct"/>
            <w:vAlign w:val="center"/>
          </w:tcPr>
          <w:p w:rsidR="00000000" w:rsidRDefault="004D2F83">
            <w:pPr>
              <w:spacing w:line="340" w:lineRule="exact"/>
              <w:rPr>
                <w:rFonts w:hint="eastAsia"/>
                <w:sz w:val="18"/>
              </w:rPr>
            </w:pPr>
            <w:r>
              <w:rPr>
                <w:rFonts w:hint="eastAsia"/>
                <w:sz w:val="18"/>
              </w:rPr>
              <w:t>全国理事会</w:t>
            </w:r>
          </w:p>
        </w:tc>
        <w:tc>
          <w:tcPr>
            <w:tcW w:w="951" w:type="pct"/>
            <w:vAlign w:val="center"/>
          </w:tcPr>
          <w:p w:rsidR="00000000" w:rsidRDefault="004D2F83" w:rsidP="004D2F83">
            <w:pPr>
              <w:spacing w:line="340" w:lineRule="exact"/>
              <w:ind w:rightChars="283" w:right="31680"/>
              <w:jc w:val="right"/>
              <w:rPr>
                <w:rFonts w:hint="eastAsia"/>
                <w:sz w:val="18"/>
              </w:rPr>
            </w:pPr>
            <w:r>
              <w:rPr>
                <w:rFonts w:hint="eastAsia"/>
                <w:sz w:val="18"/>
              </w:rPr>
              <w:t>128</w:t>
            </w:r>
          </w:p>
        </w:tc>
        <w:tc>
          <w:tcPr>
            <w:tcW w:w="951" w:type="pct"/>
            <w:vAlign w:val="center"/>
          </w:tcPr>
          <w:p w:rsidR="00000000" w:rsidRDefault="004D2F83" w:rsidP="004D2F83">
            <w:pPr>
              <w:spacing w:line="340" w:lineRule="exact"/>
              <w:ind w:rightChars="283" w:right="31680"/>
              <w:jc w:val="right"/>
              <w:rPr>
                <w:rFonts w:hint="eastAsia"/>
                <w:sz w:val="18"/>
              </w:rPr>
            </w:pPr>
            <w:r>
              <w:rPr>
                <w:rFonts w:hint="eastAsia"/>
                <w:sz w:val="18"/>
              </w:rPr>
              <w:t>08</w:t>
            </w:r>
          </w:p>
        </w:tc>
        <w:tc>
          <w:tcPr>
            <w:tcW w:w="952" w:type="pct"/>
            <w:vAlign w:val="center"/>
          </w:tcPr>
          <w:p w:rsidR="00000000" w:rsidRDefault="004D2F83" w:rsidP="004D2F83">
            <w:pPr>
              <w:spacing w:line="340" w:lineRule="exact"/>
              <w:ind w:rightChars="283" w:right="31680"/>
              <w:jc w:val="right"/>
              <w:rPr>
                <w:sz w:val="18"/>
              </w:rPr>
            </w:pPr>
            <w:r>
              <w:rPr>
                <w:sz w:val="18"/>
              </w:rPr>
              <w:t>6.25</w:t>
            </w:r>
          </w:p>
        </w:tc>
      </w:tr>
      <w:tr w:rsidR="00000000">
        <w:tblPrEx>
          <w:tblCellMar>
            <w:top w:w="0" w:type="dxa"/>
            <w:bottom w:w="0" w:type="dxa"/>
          </w:tblCellMar>
        </w:tblPrEx>
        <w:trPr>
          <w:cantSplit/>
        </w:trPr>
        <w:tc>
          <w:tcPr>
            <w:tcW w:w="1096" w:type="pct"/>
            <w:vMerge/>
            <w:vAlign w:val="center"/>
          </w:tcPr>
          <w:p w:rsidR="00000000" w:rsidRDefault="004D2F83">
            <w:pPr>
              <w:spacing w:line="340" w:lineRule="exact"/>
              <w:rPr>
                <w:rFonts w:hint="eastAsia"/>
                <w:sz w:val="18"/>
              </w:rPr>
            </w:pPr>
          </w:p>
        </w:tc>
        <w:tc>
          <w:tcPr>
            <w:tcW w:w="1050" w:type="pct"/>
            <w:vAlign w:val="center"/>
          </w:tcPr>
          <w:p w:rsidR="00000000" w:rsidRDefault="004D2F83">
            <w:pPr>
              <w:spacing w:line="340" w:lineRule="exact"/>
              <w:rPr>
                <w:rFonts w:hint="eastAsia"/>
                <w:sz w:val="18"/>
              </w:rPr>
            </w:pPr>
            <w:r>
              <w:rPr>
                <w:rFonts w:hint="eastAsia"/>
                <w:sz w:val="18"/>
              </w:rPr>
              <w:t>全国执行委员会</w:t>
            </w:r>
          </w:p>
        </w:tc>
        <w:tc>
          <w:tcPr>
            <w:tcW w:w="951" w:type="pct"/>
            <w:vAlign w:val="center"/>
          </w:tcPr>
          <w:p w:rsidR="00000000" w:rsidRDefault="004D2F83" w:rsidP="004D2F83">
            <w:pPr>
              <w:spacing w:line="340" w:lineRule="exact"/>
              <w:ind w:rightChars="283" w:right="31680"/>
              <w:jc w:val="right"/>
              <w:rPr>
                <w:rFonts w:hint="eastAsia"/>
                <w:sz w:val="18"/>
              </w:rPr>
            </w:pPr>
            <w:r>
              <w:rPr>
                <w:rFonts w:hint="eastAsia"/>
                <w:sz w:val="18"/>
              </w:rPr>
              <w:t>25</w:t>
            </w:r>
          </w:p>
        </w:tc>
        <w:tc>
          <w:tcPr>
            <w:tcW w:w="951" w:type="pct"/>
            <w:vAlign w:val="center"/>
          </w:tcPr>
          <w:p w:rsidR="00000000" w:rsidRDefault="004D2F83" w:rsidP="004D2F83">
            <w:pPr>
              <w:spacing w:line="340" w:lineRule="exact"/>
              <w:ind w:rightChars="283" w:right="31680"/>
              <w:jc w:val="right"/>
              <w:rPr>
                <w:rFonts w:hint="eastAsia"/>
                <w:sz w:val="18"/>
              </w:rPr>
            </w:pPr>
            <w:r>
              <w:rPr>
                <w:rFonts w:hint="eastAsia"/>
                <w:sz w:val="18"/>
              </w:rPr>
              <w:t>05</w:t>
            </w:r>
          </w:p>
        </w:tc>
        <w:tc>
          <w:tcPr>
            <w:tcW w:w="952" w:type="pct"/>
            <w:vAlign w:val="center"/>
          </w:tcPr>
          <w:p w:rsidR="00000000" w:rsidRDefault="004D2F83" w:rsidP="004D2F83">
            <w:pPr>
              <w:spacing w:line="340" w:lineRule="exact"/>
              <w:ind w:rightChars="283" w:right="31680"/>
              <w:jc w:val="right"/>
              <w:rPr>
                <w:sz w:val="18"/>
              </w:rPr>
            </w:pPr>
            <w:r>
              <w:rPr>
                <w:sz w:val="18"/>
              </w:rPr>
              <w:t>20</w:t>
            </w:r>
          </w:p>
        </w:tc>
      </w:tr>
      <w:tr w:rsidR="00000000">
        <w:tblPrEx>
          <w:tblCellMar>
            <w:top w:w="0" w:type="dxa"/>
            <w:bottom w:w="0" w:type="dxa"/>
          </w:tblCellMar>
        </w:tblPrEx>
        <w:trPr>
          <w:cantSplit/>
        </w:trPr>
        <w:tc>
          <w:tcPr>
            <w:tcW w:w="1096" w:type="pct"/>
            <w:vMerge w:val="restart"/>
            <w:vAlign w:val="center"/>
          </w:tcPr>
          <w:p w:rsidR="00000000" w:rsidRDefault="004D2F83">
            <w:pPr>
              <w:spacing w:line="340" w:lineRule="exact"/>
              <w:rPr>
                <w:rFonts w:hint="eastAsia"/>
                <w:sz w:val="18"/>
              </w:rPr>
            </w:pPr>
            <w:r>
              <w:rPr>
                <w:rFonts w:hint="eastAsia"/>
                <w:sz w:val="18"/>
              </w:rPr>
              <w:t>自由阵线党（</w:t>
            </w:r>
            <w:r>
              <w:rPr>
                <w:sz w:val="18"/>
              </w:rPr>
              <w:t>PFL</w:t>
            </w:r>
            <w:r>
              <w:rPr>
                <w:rFonts w:hint="eastAsia"/>
                <w:sz w:val="18"/>
              </w:rPr>
              <w:t>）</w:t>
            </w:r>
          </w:p>
        </w:tc>
        <w:tc>
          <w:tcPr>
            <w:tcW w:w="1050" w:type="pct"/>
            <w:vAlign w:val="center"/>
          </w:tcPr>
          <w:p w:rsidR="00000000" w:rsidRDefault="004D2F83">
            <w:pPr>
              <w:spacing w:line="340" w:lineRule="exact"/>
              <w:rPr>
                <w:rFonts w:hint="eastAsia"/>
                <w:sz w:val="18"/>
              </w:rPr>
            </w:pPr>
            <w:r>
              <w:rPr>
                <w:rFonts w:hint="eastAsia"/>
                <w:sz w:val="18"/>
              </w:rPr>
              <w:t>全国理事会</w:t>
            </w:r>
          </w:p>
        </w:tc>
        <w:tc>
          <w:tcPr>
            <w:tcW w:w="951" w:type="pct"/>
            <w:vAlign w:val="center"/>
          </w:tcPr>
          <w:p w:rsidR="00000000" w:rsidRDefault="004D2F83" w:rsidP="004D2F83">
            <w:pPr>
              <w:spacing w:line="340" w:lineRule="exact"/>
              <w:ind w:rightChars="283" w:right="31680"/>
              <w:jc w:val="right"/>
              <w:rPr>
                <w:rFonts w:hint="eastAsia"/>
                <w:sz w:val="18"/>
              </w:rPr>
            </w:pPr>
            <w:r>
              <w:rPr>
                <w:rFonts w:hint="eastAsia"/>
                <w:sz w:val="18"/>
              </w:rPr>
              <w:t>200</w:t>
            </w:r>
          </w:p>
        </w:tc>
        <w:tc>
          <w:tcPr>
            <w:tcW w:w="951" w:type="pct"/>
            <w:vAlign w:val="center"/>
          </w:tcPr>
          <w:p w:rsidR="00000000" w:rsidRDefault="004D2F83" w:rsidP="004D2F83">
            <w:pPr>
              <w:spacing w:line="340" w:lineRule="exact"/>
              <w:ind w:rightChars="283" w:right="31680"/>
              <w:jc w:val="right"/>
              <w:rPr>
                <w:rFonts w:hint="eastAsia"/>
                <w:sz w:val="18"/>
              </w:rPr>
            </w:pPr>
            <w:r>
              <w:rPr>
                <w:rFonts w:hint="eastAsia"/>
                <w:sz w:val="18"/>
              </w:rPr>
              <w:t>10</w:t>
            </w:r>
          </w:p>
        </w:tc>
        <w:tc>
          <w:tcPr>
            <w:tcW w:w="952" w:type="pct"/>
            <w:vAlign w:val="center"/>
          </w:tcPr>
          <w:p w:rsidR="00000000" w:rsidRDefault="004D2F83" w:rsidP="004D2F83">
            <w:pPr>
              <w:spacing w:line="340" w:lineRule="exact"/>
              <w:ind w:rightChars="283" w:right="31680"/>
              <w:jc w:val="right"/>
              <w:rPr>
                <w:sz w:val="18"/>
              </w:rPr>
            </w:pPr>
            <w:r>
              <w:rPr>
                <w:sz w:val="18"/>
              </w:rPr>
              <w:t>05</w:t>
            </w:r>
          </w:p>
        </w:tc>
      </w:tr>
      <w:tr w:rsidR="00000000">
        <w:tblPrEx>
          <w:tblCellMar>
            <w:top w:w="0" w:type="dxa"/>
            <w:bottom w:w="0" w:type="dxa"/>
          </w:tblCellMar>
        </w:tblPrEx>
        <w:trPr>
          <w:cantSplit/>
        </w:trPr>
        <w:tc>
          <w:tcPr>
            <w:tcW w:w="1096" w:type="pct"/>
            <w:vMerge/>
            <w:vAlign w:val="center"/>
          </w:tcPr>
          <w:p w:rsidR="00000000" w:rsidRDefault="004D2F83">
            <w:pPr>
              <w:spacing w:line="340" w:lineRule="exact"/>
              <w:rPr>
                <w:rFonts w:hint="eastAsia"/>
                <w:sz w:val="18"/>
              </w:rPr>
            </w:pPr>
          </w:p>
        </w:tc>
        <w:tc>
          <w:tcPr>
            <w:tcW w:w="1050" w:type="pct"/>
            <w:vAlign w:val="center"/>
          </w:tcPr>
          <w:p w:rsidR="00000000" w:rsidRDefault="004D2F83">
            <w:pPr>
              <w:spacing w:line="340" w:lineRule="exact"/>
              <w:rPr>
                <w:rFonts w:hint="eastAsia"/>
                <w:sz w:val="18"/>
              </w:rPr>
            </w:pPr>
            <w:r>
              <w:rPr>
                <w:rFonts w:hint="eastAsia"/>
                <w:sz w:val="18"/>
              </w:rPr>
              <w:t>全国执行委员会</w:t>
            </w:r>
          </w:p>
        </w:tc>
        <w:tc>
          <w:tcPr>
            <w:tcW w:w="951" w:type="pct"/>
            <w:vAlign w:val="center"/>
          </w:tcPr>
          <w:p w:rsidR="00000000" w:rsidRDefault="004D2F83" w:rsidP="004D2F83">
            <w:pPr>
              <w:spacing w:line="340" w:lineRule="exact"/>
              <w:ind w:rightChars="283" w:right="31680"/>
              <w:jc w:val="right"/>
              <w:rPr>
                <w:rFonts w:hint="eastAsia"/>
                <w:sz w:val="18"/>
              </w:rPr>
            </w:pPr>
            <w:r>
              <w:rPr>
                <w:rFonts w:hint="eastAsia"/>
                <w:sz w:val="18"/>
              </w:rPr>
              <w:t>22</w:t>
            </w:r>
          </w:p>
        </w:tc>
        <w:tc>
          <w:tcPr>
            <w:tcW w:w="951" w:type="pct"/>
            <w:vAlign w:val="center"/>
          </w:tcPr>
          <w:p w:rsidR="00000000" w:rsidRDefault="004D2F83" w:rsidP="004D2F83">
            <w:pPr>
              <w:spacing w:line="340" w:lineRule="exact"/>
              <w:ind w:rightChars="283" w:right="31680"/>
              <w:jc w:val="right"/>
              <w:rPr>
                <w:rFonts w:hint="eastAsia"/>
                <w:sz w:val="18"/>
              </w:rPr>
            </w:pPr>
            <w:r>
              <w:rPr>
                <w:rFonts w:hint="eastAsia"/>
                <w:sz w:val="18"/>
              </w:rPr>
              <w:t>00</w:t>
            </w:r>
          </w:p>
        </w:tc>
        <w:tc>
          <w:tcPr>
            <w:tcW w:w="952" w:type="pct"/>
            <w:vAlign w:val="center"/>
          </w:tcPr>
          <w:p w:rsidR="00000000" w:rsidRDefault="004D2F83" w:rsidP="004D2F83">
            <w:pPr>
              <w:spacing w:line="340" w:lineRule="exact"/>
              <w:ind w:rightChars="283" w:right="31680"/>
              <w:jc w:val="right"/>
              <w:rPr>
                <w:sz w:val="18"/>
              </w:rPr>
            </w:pPr>
            <w:r>
              <w:rPr>
                <w:sz w:val="18"/>
              </w:rPr>
              <w:t>00</w:t>
            </w:r>
          </w:p>
        </w:tc>
      </w:tr>
      <w:tr w:rsidR="00000000">
        <w:tblPrEx>
          <w:tblCellMar>
            <w:top w:w="0" w:type="dxa"/>
            <w:bottom w:w="0" w:type="dxa"/>
          </w:tblCellMar>
        </w:tblPrEx>
        <w:trPr>
          <w:cantSplit/>
        </w:trPr>
        <w:tc>
          <w:tcPr>
            <w:tcW w:w="1096" w:type="pct"/>
            <w:vMerge w:val="restart"/>
            <w:vAlign w:val="center"/>
          </w:tcPr>
          <w:p w:rsidR="00000000" w:rsidRDefault="004D2F83">
            <w:pPr>
              <w:spacing w:line="340" w:lineRule="exact"/>
              <w:rPr>
                <w:rFonts w:hint="eastAsia"/>
                <w:sz w:val="18"/>
              </w:rPr>
            </w:pPr>
            <w:r>
              <w:rPr>
                <w:rFonts w:hint="eastAsia"/>
                <w:sz w:val="18"/>
              </w:rPr>
              <w:t>民主工党（</w:t>
            </w:r>
            <w:r>
              <w:rPr>
                <w:sz w:val="18"/>
              </w:rPr>
              <w:t>PDT</w:t>
            </w:r>
            <w:r>
              <w:rPr>
                <w:rFonts w:hint="eastAsia"/>
                <w:sz w:val="18"/>
              </w:rPr>
              <w:t>）</w:t>
            </w:r>
          </w:p>
        </w:tc>
        <w:tc>
          <w:tcPr>
            <w:tcW w:w="1050" w:type="pct"/>
            <w:vAlign w:val="center"/>
          </w:tcPr>
          <w:p w:rsidR="00000000" w:rsidRDefault="004D2F83">
            <w:pPr>
              <w:spacing w:line="340" w:lineRule="exact"/>
              <w:rPr>
                <w:rFonts w:hint="eastAsia"/>
                <w:sz w:val="18"/>
              </w:rPr>
            </w:pPr>
            <w:r>
              <w:rPr>
                <w:rFonts w:hint="eastAsia"/>
                <w:sz w:val="18"/>
              </w:rPr>
              <w:t>全国理事会</w:t>
            </w:r>
          </w:p>
        </w:tc>
        <w:tc>
          <w:tcPr>
            <w:tcW w:w="951" w:type="pct"/>
            <w:vAlign w:val="center"/>
          </w:tcPr>
          <w:p w:rsidR="00000000" w:rsidRDefault="004D2F83" w:rsidP="004D2F83">
            <w:pPr>
              <w:spacing w:line="340" w:lineRule="exact"/>
              <w:ind w:rightChars="283" w:right="31680"/>
              <w:jc w:val="right"/>
              <w:rPr>
                <w:rFonts w:hint="eastAsia"/>
                <w:sz w:val="18"/>
              </w:rPr>
            </w:pPr>
            <w:r>
              <w:rPr>
                <w:rFonts w:hint="eastAsia"/>
                <w:sz w:val="18"/>
              </w:rPr>
              <w:t>158</w:t>
            </w:r>
          </w:p>
        </w:tc>
        <w:tc>
          <w:tcPr>
            <w:tcW w:w="951" w:type="pct"/>
            <w:vAlign w:val="center"/>
          </w:tcPr>
          <w:p w:rsidR="00000000" w:rsidRDefault="004D2F83" w:rsidP="004D2F83">
            <w:pPr>
              <w:spacing w:line="340" w:lineRule="exact"/>
              <w:ind w:rightChars="283" w:right="31680"/>
              <w:jc w:val="right"/>
              <w:rPr>
                <w:rFonts w:hint="eastAsia"/>
                <w:sz w:val="18"/>
              </w:rPr>
            </w:pPr>
            <w:r>
              <w:rPr>
                <w:rFonts w:hint="eastAsia"/>
                <w:sz w:val="18"/>
              </w:rPr>
              <w:t>32</w:t>
            </w:r>
          </w:p>
        </w:tc>
        <w:tc>
          <w:tcPr>
            <w:tcW w:w="952" w:type="pct"/>
            <w:vAlign w:val="center"/>
          </w:tcPr>
          <w:p w:rsidR="00000000" w:rsidRDefault="004D2F83" w:rsidP="004D2F83">
            <w:pPr>
              <w:spacing w:line="340" w:lineRule="exact"/>
              <w:ind w:rightChars="283" w:right="31680"/>
              <w:jc w:val="right"/>
              <w:rPr>
                <w:sz w:val="18"/>
              </w:rPr>
            </w:pPr>
            <w:r>
              <w:rPr>
                <w:sz w:val="18"/>
              </w:rPr>
              <w:t>20.25</w:t>
            </w:r>
          </w:p>
        </w:tc>
      </w:tr>
      <w:tr w:rsidR="00000000">
        <w:tblPrEx>
          <w:tblCellMar>
            <w:top w:w="0" w:type="dxa"/>
            <w:bottom w:w="0" w:type="dxa"/>
          </w:tblCellMar>
        </w:tblPrEx>
        <w:trPr>
          <w:cantSplit/>
        </w:trPr>
        <w:tc>
          <w:tcPr>
            <w:tcW w:w="1096" w:type="pct"/>
            <w:vMerge/>
            <w:vAlign w:val="center"/>
          </w:tcPr>
          <w:p w:rsidR="00000000" w:rsidRDefault="004D2F83">
            <w:pPr>
              <w:spacing w:line="340" w:lineRule="exact"/>
              <w:rPr>
                <w:rFonts w:hint="eastAsia"/>
                <w:sz w:val="18"/>
              </w:rPr>
            </w:pPr>
          </w:p>
        </w:tc>
        <w:tc>
          <w:tcPr>
            <w:tcW w:w="1050" w:type="pct"/>
            <w:vAlign w:val="center"/>
          </w:tcPr>
          <w:p w:rsidR="00000000" w:rsidRDefault="004D2F83">
            <w:pPr>
              <w:spacing w:line="340" w:lineRule="exact"/>
              <w:rPr>
                <w:rFonts w:hint="eastAsia"/>
                <w:sz w:val="18"/>
              </w:rPr>
            </w:pPr>
            <w:r>
              <w:rPr>
                <w:rFonts w:hint="eastAsia"/>
                <w:sz w:val="18"/>
              </w:rPr>
              <w:t>全国执行委员会</w:t>
            </w:r>
          </w:p>
        </w:tc>
        <w:tc>
          <w:tcPr>
            <w:tcW w:w="951" w:type="pct"/>
            <w:vAlign w:val="center"/>
          </w:tcPr>
          <w:p w:rsidR="00000000" w:rsidRDefault="004D2F83" w:rsidP="004D2F83">
            <w:pPr>
              <w:spacing w:line="340" w:lineRule="exact"/>
              <w:ind w:rightChars="283" w:right="31680"/>
              <w:jc w:val="right"/>
              <w:rPr>
                <w:rFonts w:hint="eastAsia"/>
                <w:sz w:val="18"/>
              </w:rPr>
            </w:pPr>
            <w:r>
              <w:rPr>
                <w:rFonts w:hint="eastAsia"/>
                <w:sz w:val="18"/>
              </w:rPr>
              <w:t>07</w:t>
            </w:r>
          </w:p>
        </w:tc>
        <w:tc>
          <w:tcPr>
            <w:tcW w:w="951" w:type="pct"/>
            <w:vAlign w:val="center"/>
          </w:tcPr>
          <w:p w:rsidR="00000000" w:rsidRDefault="004D2F83" w:rsidP="004D2F83">
            <w:pPr>
              <w:spacing w:line="340" w:lineRule="exact"/>
              <w:ind w:rightChars="283" w:right="31680"/>
              <w:jc w:val="right"/>
              <w:rPr>
                <w:rFonts w:hint="eastAsia"/>
                <w:sz w:val="18"/>
              </w:rPr>
            </w:pPr>
            <w:r>
              <w:rPr>
                <w:rFonts w:hint="eastAsia"/>
                <w:sz w:val="18"/>
              </w:rPr>
              <w:t>01</w:t>
            </w:r>
          </w:p>
        </w:tc>
        <w:tc>
          <w:tcPr>
            <w:tcW w:w="952" w:type="pct"/>
            <w:vAlign w:val="center"/>
          </w:tcPr>
          <w:p w:rsidR="00000000" w:rsidRDefault="004D2F83" w:rsidP="004D2F83">
            <w:pPr>
              <w:spacing w:line="340" w:lineRule="exact"/>
              <w:ind w:rightChars="283" w:right="31680"/>
              <w:jc w:val="right"/>
              <w:rPr>
                <w:sz w:val="18"/>
              </w:rPr>
            </w:pPr>
            <w:r>
              <w:rPr>
                <w:sz w:val="18"/>
              </w:rPr>
              <w:t>14.28</w:t>
            </w:r>
          </w:p>
        </w:tc>
      </w:tr>
      <w:tr w:rsidR="00000000">
        <w:tblPrEx>
          <w:tblCellMar>
            <w:top w:w="0" w:type="dxa"/>
            <w:bottom w:w="0" w:type="dxa"/>
          </w:tblCellMar>
        </w:tblPrEx>
        <w:trPr>
          <w:cantSplit/>
        </w:trPr>
        <w:tc>
          <w:tcPr>
            <w:tcW w:w="1096" w:type="pct"/>
            <w:vMerge w:val="restart"/>
            <w:vAlign w:val="center"/>
          </w:tcPr>
          <w:p w:rsidR="00000000" w:rsidRDefault="004D2F83">
            <w:pPr>
              <w:spacing w:line="340" w:lineRule="exact"/>
              <w:rPr>
                <w:rFonts w:hint="eastAsia"/>
                <w:sz w:val="18"/>
              </w:rPr>
            </w:pPr>
            <w:r>
              <w:rPr>
                <w:rFonts w:hint="eastAsia"/>
                <w:sz w:val="18"/>
              </w:rPr>
              <w:t>巴西民主运动党（</w:t>
            </w:r>
            <w:r>
              <w:rPr>
                <w:sz w:val="18"/>
              </w:rPr>
              <w:t>PMDB</w:t>
            </w:r>
            <w:r>
              <w:rPr>
                <w:rFonts w:hint="eastAsia"/>
                <w:sz w:val="18"/>
              </w:rPr>
              <w:t>）</w:t>
            </w:r>
          </w:p>
        </w:tc>
        <w:tc>
          <w:tcPr>
            <w:tcW w:w="1050" w:type="pct"/>
            <w:vAlign w:val="center"/>
          </w:tcPr>
          <w:p w:rsidR="00000000" w:rsidRDefault="004D2F83">
            <w:pPr>
              <w:spacing w:line="340" w:lineRule="exact"/>
              <w:rPr>
                <w:rFonts w:hint="eastAsia"/>
                <w:sz w:val="18"/>
              </w:rPr>
            </w:pPr>
            <w:r>
              <w:rPr>
                <w:rFonts w:hint="eastAsia"/>
                <w:sz w:val="18"/>
              </w:rPr>
              <w:t>全国理事会</w:t>
            </w:r>
          </w:p>
        </w:tc>
        <w:tc>
          <w:tcPr>
            <w:tcW w:w="951" w:type="pct"/>
            <w:vAlign w:val="center"/>
          </w:tcPr>
          <w:p w:rsidR="00000000" w:rsidRDefault="004D2F83" w:rsidP="004D2F83">
            <w:pPr>
              <w:spacing w:line="340" w:lineRule="exact"/>
              <w:ind w:rightChars="283" w:right="31680"/>
              <w:jc w:val="right"/>
              <w:rPr>
                <w:rFonts w:hint="eastAsia"/>
                <w:sz w:val="18"/>
              </w:rPr>
            </w:pPr>
            <w:r>
              <w:rPr>
                <w:rFonts w:hint="eastAsia"/>
                <w:sz w:val="18"/>
              </w:rPr>
              <w:t>150</w:t>
            </w:r>
          </w:p>
        </w:tc>
        <w:tc>
          <w:tcPr>
            <w:tcW w:w="951" w:type="pct"/>
            <w:vAlign w:val="center"/>
          </w:tcPr>
          <w:p w:rsidR="00000000" w:rsidRDefault="004D2F83" w:rsidP="004D2F83">
            <w:pPr>
              <w:spacing w:line="340" w:lineRule="exact"/>
              <w:ind w:rightChars="283" w:right="31680"/>
              <w:jc w:val="right"/>
              <w:rPr>
                <w:rFonts w:hint="eastAsia"/>
                <w:sz w:val="18"/>
              </w:rPr>
            </w:pPr>
            <w:r>
              <w:rPr>
                <w:rFonts w:hint="eastAsia"/>
                <w:sz w:val="18"/>
              </w:rPr>
              <w:t>09</w:t>
            </w:r>
          </w:p>
        </w:tc>
        <w:tc>
          <w:tcPr>
            <w:tcW w:w="952" w:type="pct"/>
            <w:vAlign w:val="center"/>
          </w:tcPr>
          <w:p w:rsidR="00000000" w:rsidRDefault="004D2F83" w:rsidP="004D2F83">
            <w:pPr>
              <w:spacing w:line="340" w:lineRule="exact"/>
              <w:ind w:rightChars="283" w:right="31680"/>
              <w:jc w:val="right"/>
              <w:rPr>
                <w:sz w:val="18"/>
              </w:rPr>
            </w:pPr>
            <w:r>
              <w:rPr>
                <w:sz w:val="18"/>
              </w:rPr>
              <w:t>06</w:t>
            </w:r>
          </w:p>
        </w:tc>
      </w:tr>
      <w:tr w:rsidR="00000000">
        <w:tblPrEx>
          <w:tblCellMar>
            <w:top w:w="0" w:type="dxa"/>
            <w:bottom w:w="0" w:type="dxa"/>
          </w:tblCellMar>
        </w:tblPrEx>
        <w:trPr>
          <w:cantSplit/>
        </w:trPr>
        <w:tc>
          <w:tcPr>
            <w:tcW w:w="1096" w:type="pct"/>
            <w:vMerge/>
            <w:vAlign w:val="center"/>
          </w:tcPr>
          <w:p w:rsidR="00000000" w:rsidRDefault="004D2F83">
            <w:pPr>
              <w:spacing w:line="340" w:lineRule="exact"/>
              <w:rPr>
                <w:rFonts w:hint="eastAsia"/>
                <w:sz w:val="18"/>
              </w:rPr>
            </w:pPr>
          </w:p>
        </w:tc>
        <w:tc>
          <w:tcPr>
            <w:tcW w:w="1050" w:type="pct"/>
            <w:vAlign w:val="center"/>
          </w:tcPr>
          <w:p w:rsidR="00000000" w:rsidRDefault="004D2F83">
            <w:pPr>
              <w:spacing w:line="340" w:lineRule="exact"/>
              <w:rPr>
                <w:rFonts w:hint="eastAsia"/>
                <w:sz w:val="18"/>
              </w:rPr>
            </w:pPr>
            <w:r>
              <w:rPr>
                <w:rFonts w:hint="eastAsia"/>
                <w:sz w:val="18"/>
              </w:rPr>
              <w:t>全国执行委员会</w:t>
            </w:r>
          </w:p>
        </w:tc>
        <w:tc>
          <w:tcPr>
            <w:tcW w:w="951" w:type="pct"/>
            <w:vAlign w:val="center"/>
          </w:tcPr>
          <w:p w:rsidR="00000000" w:rsidRDefault="004D2F83" w:rsidP="004D2F83">
            <w:pPr>
              <w:spacing w:line="340" w:lineRule="exact"/>
              <w:ind w:rightChars="283" w:right="31680"/>
              <w:jc w:val="right"/>
              <w:rPr>
                <w:rFonts w:hint="eastAsia"/>
                <w:sz w:val="18"/>
              </w:rPr>
            </w:pPr>
            <w:r>
              <w:rPr>
                <w:rFonts w:hint="eastAsia"/>
                <w:sz w:val="18"/>
              </w:rPr>
              <w:t>18</w:t>
            </w:r>
          </w:p>
        </w:tc>
        <w:tc>
          <w:tcPr>
            <w:tcW w:w="951" w:type="pct"/>
            <w:vAlign w:val="center"/>
          </w:tcPr>
          <w:p w:rsidR="00000000" w:rsidRDefault="004D2F83" w:rsidP="004D2F83">
            <w:pPr>
              <w:spacing w:line="340" w:lineRule="exact"/>
              <w:ind w:rightChars="283" w:right="31680"/>
              <w:jc w:val="right"/>
              <w:rPr>
                <w:rFonts w:hint="eastAsia"/>
                <w:sz w:val="18"/>
              </w:rPr>
            </w:pPr>
            <w:r>
              <w:rPr>
                <w:rFonts w:hint="eastAsia"/>
                <w:sz w:val="18"/>
              </w:rPr>
              <w:t>01</w:t>
            </w:r>
          </w:p>
        </w:tc>
        <w:tc>
          <w:tcPr>
            <w:tcW w:w="952" w:type="pct"/>
            <w:vAlign w:val="center"/>
          </w:tcPr>
          <w:p w:rsidR="00000000" w:rsidRDefault="004D2F83" w:rsidP="004D2F83">
            <w:pPr>
              <w:spacing w:line="340" w:lineRule="exact"/>
              <w:ind w:rightChars="283" w:right="31680"/>
              <w:jc w:val="right"/>
              <w:rPr>
                <w:sz w:val="18"/>
              </w:rPr>
            </w:pPr>
            <w:r>
              <w:rPr>
                <w:sz w:val="18"/>
              </w:rPr>
              <w:t>5.56</w:t>
            </w:r>
          </w:p>
        </w:tc>
      </w:tr>
      <w:tr w:rsidR="00000000">
        <w:tblPrEx>
          <w:tblCellMar>
            <w:top w:w="0" w:type="dxa"/>
            <w:bottom w:w="0" w:type="dxa"/>
          </w:tblCellMar>
        </w:tblPrEx>
        <w:trPr>
          <w:cantSplit/>
        </w:trPr>
        <w:tc>
          <w:tcPr>
            <w:tcW w:w="1096" w:type="pct"/>
            <w:vMerge w:val="restart"/>
            <w:vAlign w:val="center"/>
          </w:tcPr>
          <w:p w:rsidR="00000000" w:rsidRDefault="004D2F83">
            <w:pPr>
              <w:spacing w:line="340" w:lineRule="exact"/>
              <w:rPr>
                <w:rFonts w:hint="eastAsia"/>
                <w:sz w:val="18"/>
              </w:rPr>
            </w:pPr>
            <w:r>
              <w:rPr>
                <w:rFonts w:hint="eastAsia"/>
                <w:sz w:val="18"/>
              </w:rPr>
              <w:t>巴西进步党（</w:t>
            </w:r>
            <w:r>
              <w:rPr>
                <w:rFonts w:hint="eastAsia"/>
                <w:sz w:val="18"/>
              </w:rPr>
              <w:t>PPB</w:t>
            </w:r>
            <w:r>
              <w:rPr>
                <w:rFonts w:hint="eastAsia"/>
                <w:sz w:val="18"/>
              </w:rPr>
              <w:t>）</w:t>
            </w:r>
          </w:p>
        </w:tc>
        <w:tc>
          <w:tcPr>
            <w:tcW w:w="1050" w:type="pct"/>
            <w:vAlign w:val="center"/>
          </w:tcPr>
          <w:p w:rsidR="00000000" w:rsidRDefault="004D2F83">
            <w:pPr>
              <w:spacing w:line="340" w:lineRule="exact"/>
              <w:rPr>
                <w:rFonts w:hint="eastAsia"/>
                <w:sz w:val="18"/>
              </w:rPr>
            </w:pPr>
            <w:r>
              <w:rPr>
                <w:rFonts w:hint="eastAsia"/>
                <w:sz w:val="18"/>
              </w:rPr>
              <w:t>全国理事会</w:t>
            </w:r>
          </w:p>
        </w:tc>
        <w:tc>
          <w:tcPr>
            <w:tcW w:w="951" w:type="pct"/>
            <w:vAlign w:val="center"/>
          </w:tcPr>
          <w:p w:rsidR="00000000" w:rsidRDefault="004D2F83" w:rsidP="004D2F83">
            <w:pPr>
              <w:spacing w:line="340" w:lineRule="exact"/>
              <w:ind w:rightChars="283" w:right="31680"/>
              <w:jc w:val="right"/>
              <w:rPr>
                <w:rFonts w:hint="eastAsia"/>
                <w:sz w:val="18"/>
              </w:rPr>
            </w:pPr>
            <w:r>
              <w:rPr>
                <w:rFonts w:hint="eastAsia"/>
                <w:sz w:val="18"/>
              </w:rPr>
              <w:t>250</w:t>
            </w:r>
          </w:p>
        </w:tc>
        <w:tc>
          <w:tcPr>
            <w:tcW w:w="951" w:type="pct"/>
            <w:vAlign w:val="center"/>
          </w:tcPr>
          <w:p w:rsidR="00000000" w:rsidRDefault="004D2F83" w:rsidP="004D2F83">
            <w:pPr>
              <w:spacing w:line="340" w:lineRule="exact"/>
              <w:ind w:rightChars="283" w:right="31680"/>
              <w:jc w:val="right"/>
              <w:rPr>
                <w:rFonts w:hint="eastAsia"/>
                <w:sz w:val="18"/>
              </w:rPr>
            </w:pPr>
            <w:r>
              <w:rPr>
                <w:rFonts w:hint="eastAsia"/>
                <w:sz w:val="18"/>
              </w:rPr>
              <w:t>26</w:t>
            </w:r>
          </w:p>
        </w:tc>
        <w:tc>
          <w:tcPr>
            <w:tcW w:w="952" w:type="pct"/>
            <w:vAlign w:val="center"/>
          </w:tcPr>
          <w:p w:rsidR="00000000" w:rsidRDefault="004D2F83" w:rsidP="004D2F83">
            <w:pPr>
              <w:spacing w:line="340" w:lineRule="exact"/>
              <w:ind w:rightChars="283" w:right="31680"/>
              <w:jc w:val="right"/>
              <w:rPr>
                <w:sz w:val="18"/>
              </w:rPr>
            </w:pPr>
            <w:r>
              <w:rPr>
                <w:sz w:val="18"/>
              </w:rPr>
              <w:t>10.4</w:t>
            </w:r>
          </w:p>
        </w:tc>
      </w:tr>
      <w:tr w:rsidR="00000000">
        <w:tblPrEx>
          <w:tblCellMar>
            <w:top w:w="0" w:type="dxa"/>
            <w:bottom w:w="0" w:type="dxa"/>
          </w:tblCellMar>
        </w:tblPrEx>
        <w:trPr>
          <w:cantSplit/>
        </w:trPr>
        <w:tc>
          <w:tcPr>
            <w:tcW w:w="1096" w:type="pct"/>
            <w:vMerge/>
            <w:vAlign w:val="center"/>
          </w:tcPr>
          <w:p w:rsidR="00000000" w:rsidRDefault="004D2F83">
            <w:pPr>
              <w:spacing w:line="340" w:lineRule="exact"/>
              <w:jc w:val="center"/>
              <w:rPr>
                <w:rFonts w:hint="eastAsia"/>
                <w:sz w:val="18"/>
              </w:rPr>
            </w:pPr>
          </w:p>
        </w:tc>
        <w:tc>
          <w:tcPr>
            <w:tcW w:w="1050" w:type="pct"/>
            <w:vAlign w:val="center"/>
          </w:tcPr>
          <w:p w:rsidR="00000000" w:rsidRDefault="004D2F83">
            <w:pPr>
              <w:spacing w:line="340" w:lineRule="exact"/>
              <w:rPr>
                <w:rFonts w:hint="eastAsia"/>
                <w:sz w:val="18"/>
              </w:rPr>
            </w:pPr>
            <w:r>
              <w:rPr>
                <w:rFonts w:hint="eastAsia"/>
                <w:sz w:val="18"/>
              </w:rPr>
              <w:t>全国执行委员会</w:t>
            </w:r>
          </w:p>
        </w:tc>
        <w:tc>
          <w:tcPr>
            <w:tcW w:w="951" w:type="pct"/>
            <w:vAlign w:val="center"/>
          </w:tcPr>
          <w:p w:rsidR="00000000" w:rsidRDefault="004D2F83" w:rsidP="004D2F83">
            <w:pPr>
              <w:spacing w:line="340" w:lineRule="exact"/>
              <w:ind w:rightChars="283" w:right="31680"/>
              <w:jc w:val="right"/>
              <w:rPr>
                <w:rFonts w:hint="eastAsia"/>
                <w:sz w:val="18"/>
              </w:rPr>
            </w:pPr>
            <w:r>
              <w:rPr>
                <w:rFonts w:hint="eastAsia"/>
                <w:sz w:val="18"/>
              </w:rPr>
              <w:t>22</w:t>
            </w:r>
          </w:p>
        </w:tc>
        <w:tc>
          <w:tcPr>
            <w:tcW w:w="951" w:type="pct"/>
            <w:vAlign w:val="center"/>
          </w:tcPr>
          <w:p w:rsidR="00000000" w:rsidRDefault="004D2F83" w:rsidP="004D2F83">
            <w:pPr>
              <w:spacing w:line="340" w:lineRule="exact"/>
              <w:ind w:rightChars="283" w:right="31680"/>
              <w:jc w:val="right"/>
              <w:rPr>
                <w:rFonts w:hint="eastAsia"/>
                <w:sz w:val="18"/>
              </w:rPr>
            </w:pPr>
            <w:r>
              <w:rPr>
                <w:rFonts w:hint="eastAsia"/>
                <w:sz w:val="18"/>
              </w:rPr>
              <w:t>00</w:t>
            </w:r>
          </w:p>
        </w:tc>
        <w:tc>
          <w:tcPr>
            <w:tcW w:w="952" w:type="pct"/>
            <w:vAlign w:val="center"/>
          </w:tcPr>
          <w:p w:rsidR="00000000" w:rsidRDefault="004D2F83" w:rsidP="004D2F83">
            <w:pPr>
              <w:spacing w:line="340" w:lineRule="exact"/>
              <w:ind w:rightChars="283" w:right="31680"/>
              <w:jc w:val="right"/>
              <w:rPr>
                <w:sz w:val="18"/>
              </w:rPr>
            </w:pPr>
            <w:r>
              <w:rPr>
                <w:sz w:val="18"/>
              </w:rPr>
              <w:t>00</w:t>
            </w:r>
          </w:p>
        </w:tc>
      </w:tr>
    </w:tbl>
    <w:p w:rsidR="00000000" w:rsidRDefault="004D2F83">
      <w:pPr>
        <w:spacing w:after="240" w:line="360" w:lineRule="exact"/>
        <w:rPr>
          <w:rFonts w:hint="eastAsia"/>
          <w:sz w:val="18"/>
        </w:rPr>
      </w:pPr>
      <w:r>
        <w:rPr>
          <w:rFonts w:eastAsia="SimHei" w:hint="eastAsia"/>
          <w:sz w:val="18"/>
        </w:rPr>
        <w:t>资料来</w:t>
      </w:r>
      <w:r>
        <w:rPr>
          <w:rFonts w:eastAsia="SimHei" w:hint="eastAsia"/>
          <w:sz w:val="18"/>
        </w:rPr>
        <w:t>源</w:t>
      </w:r>
      <w:r>
        <w:rPr>
          <w:rFonts w:hint="eastAsia"/>
          <w:sz w:val="18"/>
        </w:rPr>
        <w:t>：政党理事会，</w:t>
      </w:r>
      <w:r>
        <w:rPr>
          <w:rFonts w:hint="eastAsia"/>
          <w:sz w:val="18"/>
        </w:rPr>
        <w:t>2000</w:t>
      </w:r>
      <w:r>
        <w:rPr>
          <w:rFonts w:hint="eastAsia"/>
          <w:sz w:val="18"/>
        </w:rPr>
        <w:t>年</w:t>
      </w:r>
      <w:r>
        <w:rPr>
          <w:rFonts w:hint="eastAsia"/>
          <w:sz w:val="18"/>
        </w:rPr>
        <w:t>12</w:t>
      </w:r>
      <w:r>
        <w:rPr>
          <w:rFonts w:hint="eastAsia"/>
          <w:sz w:val="18"/>
        </w:rPr>
        <w:t>月。</w:t>
      </w:r>
    </w:p>
    <w:p w:rsidR="00000000" w:rsidRDefault="004D2F83" w:rsidP="004D2F83">
      <w:pPr>
        <w:spacing w:after="240" w:line="340" w:lineRule="exact"/>
        <w:ind w:firstLineChars="200" w:firstLine="31680"/>
      </w:pPr>
      <w:r>
        <w:rPr>
          <w:rFonts w:hint="eastAsia"/>
        </w:rPr>
        <w:t>在男女之间重新分配高级职位的需要不只是在国家与政党范围内，在公民社会的各种团体中也有这个必要。</w:t>
      </w:r>
    </w:p>
    <w:p w:rsidR="00000000" w:rsidRDefault="004D2F83" w:rsidP="004D2F83">
      <w:pPr>
        <w:spacing w:after="240" w:line="340" w:lineRule="exact"/>
        <w:ind w:firstLineChars="200" w:firstLine="31680"/>
        <w:rPr>
          <w:rFonts w:hint="eastAsia"/>
        </w:rPr>
      </w:pPr>
      <w:r>
        <w:rPr>
          <w:rFonts w:hint="eastAsia"/>
        </w:rPr>
        <w:t>参与非政府组织、工会和其他政治代表领域的妇女人数非常可观。但在这些组织中担任高级职务的女性人数却大大低于男性。而另一方面，就在私营部门来说，在《观察》杂志上排名在前</w:t>
      </w:r>
      <w:r>
        <w:rPr>
          <w:rFonts w:hint="eastAsia"/>
        </w:rPr>
        <w:t>500</w:t>
      </w:r>
      <w:r>
        <w:rPr>
          <w:rFonts w:hint="eastAsia"/>
        </w:rPr>
        <w:t>位的效益最佳、规模最大的公司中，仅有</w:t>
      </w:r>
      <w:r>
        <w:rPr>
          <w:rFonts w:hint="eastAsia"/>
        </w:rPr>
        <w:t>3</w:t>
      </w:r>
      <w:r>
        <w:rPr>
          <w:rFonts w:hint="eastAsia"/>
        </w:rPr>
        <w:t>家公司的高层职位由女性担任。由《千家最佳公司就业指南》开展的调查表明，妇女仅占经理总数的</w:t>
      </w:r>
      <w:r>
        <w:rPr>
          <w:rFonts w:hint="eastAsia"/>
        </w:rPr>
        <w:t>24%</w:t>
      </w:r>
      <w:r>
        <w:rPr>
          <w:rFonts w:hint="eastAsia"/>
        </w:rPr>
        <w:t>和高级董事的</w:t>
      </w:r>
      <w:r>
        <w:t>7.7</w:t>
      </w:r>
      <w:r>
        <w:rPr>
          <w:rFonts w:hint="eastAsia"/>
        </w:rPr>
        <w:t>%</w:t>
      </w:r>
      <w:r>
        <w:rPr>
          <w:rFonts w:hint="eastAsia"/>
        </w:rPr>
        <w:t>。</w:t>
      </w:r>
    </w:p>
    <w:p w:rsidR="00000000" w:rsidRDefault="004D2F83" w:rsidP="004D2F83">
      <w:pPr>
        <w:spacing w:after="240" w:line="340" w:lineRule="exact"/>
        <w:ind w:firstLineChars="200" w:firstLine="31680"/>
        <w:rPr>
          <w:rFonts w:hint="eastAsia"/>
        </w:rPr>
      </w:pPr>
      <w:r>
        <w:rPr>
          <w:rFonts w:hint="eastAsia"/>
        </w:rPr>
        <w:t>从数字统计来看，妇女已经走进巴西生活的各个方面，而且有</w:t>
      </w:r>
      <w:r>
        <w:rPr>
          <w:rFonts w:hint="eastAsia"/>
        </w:rPr>
        <w:t>很多妇女处于与男子同等的地位。但是从赋予妇女权力的角度来分析，这些数字表现出截然相反的现实情况。</w:t>
      </w:r>
    </w:p>
    <w:p w:rsidR="00000000" w:rsidRDefault="004D2F83">
      <w:pPr>
        <w:spacing w:after="240" w:line="360" w:lineRule="exact"/>
        <w:jc w:val="center"/>
        <w:rPr>
          <w:rFonts w:ascii="SimHei" w:eastAsia="SimHei" w:hint="eastAsia"/>
        </w:rPr>
      </w:pPr>
      <w:r>
        <w:rPr>
          <w:rFonts w:ascii="SimHei" w:eastAsia="SimHei" w:hint="eastAsia"/>
        </w:rPr>
        <w:t>表</w:t>
      </w:r>
      <w:r>
        <w:rPr>
          <w:rFonts w:ascii="SimHei" w:eastAsia="SimHei" w:hint="eastAsia"/>
        </w:rPr>
        <w:t>25</w:t>
      </w:r>
      <w:r>
        <w:rPr>
          <w:rFonts w:ascii="SimHei" w:eastAsia="SimHei" w:hint="eastAsia"/>
        </w:rPr>
        <w:t>．巴西直接与间接行政部门中的联邦公务员，</w:t>
      </w:r>
      <w:r>
        <w:rPr>
          <w:rFonts w:ascii="SimHei" w:eastAsia="SimHei" w:hint="eastAsia"/>
        </w:rPr>
        <w:t>1998</w:t>
      </w:r>
      <w:r>
        <w:rPr>
          <w:rFonts w:ascii="SimHei" w:eastAsia="SimHei" w:hint="eastAsia"/>
        </w:rPr>
        <w:t>年</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1589"/>
        <w:gridCol w:w="1589"/>
        <w:gridCol w:w="1589"/>
        <w:gridCol w:w="1589"/>
        <w:gridCol w:w="1587"/>
      </w:tblGrid>
      <w:tr w:rsidR="00000000">
        <w:tblPrEx>
          <w:tblCellMar>
            <w:top w:w="0" w:type="dxa"/>
            <w:bottom w:w="0" w:type="dxa"/>
          </w:tblCellMar>
        </w:tblPrEx>
        <w:tc>
          <w:tcPr>
            <w:tcW w:w="971" w:type="pct"/>
          </w:tcPr>
          <w:p w:rsidR="00000000" w:rsidRDefault="004D2F83">
            <w:pPr>
              <w:spacing w:line="360" w:lineRule="exact"/>
              <w:jc w:val="center"/>
              <w:rPr>
                <w:rFonts w:ascii="SimHei" w:eastAsia="SimHei" w:hint="eastAsia"/>
                <w:sz w:val="18"/>
              </w:rPr>
            </w:pPr>
          </w:p>
        </w:tc>
        <w:tc>
          <w:tcPr>
            <w:tcW w:w="806" w:type="pct"/>
          </w:tcPr>
          <w:p w:rsidR="00000000" w:rsidRDefault="004D2F83">
            <w:pPr>
              <w:spacing w:line="360" w:lineRule="exact"/>
              <w:jc w:val="center"/>
              <w:rPr>
                <w:rFonts w:ascii="SimHei" w:eastAsia="SimHei" w:hint="eastAsia"/>
                <w:sz w:val="18"/>
              </w:rPr>
            </w:pPr>
            <w:r>
              <w:rPr>
                <w:rFonts w:ascii="SimHei" w:eastAsia="SimHei" w:hint="eastAsia"/>
                <w:sz w:val="18"/>
              </w:rPr>
              <w:t>男</w:t>
            </w:r>
          </w:p>
        </w:tc>
        <w:tc>
          <w:tcPr>
            <w:tcW w:w="806" w:type="pct"/>
          </w:tcPr>
          <w:p w:rsidR="00000000" w:rsidRDefault="004D2F83">
            <w:pPr>
              <w:spacing w:line="360" w:lineRule="exact"/>
              <w:jc w:val="center"/>
              <w:rPr>
                <w:rFonts w:ascii="SimHei" w:eastAsia="SimHei" w:hint="eastAsia"/>
                <w:sz w:val="18"/>
              </w:rPr>
            </w:pPr>
            <w:r>
              <w:rPr>
                <w:rFonts w:ascii="SimHei" w:eastAsia="SimHei" w:hint="eastAsia"/>
                <w:sz w:val="18"/>
              </w:rPr>
              <w:t>%</w:t>
            </w:r>
          </w:p>
        </w:tc>
        <w:tc>
          <w:tcPr>
            <w:tcW w:w="806" w:type="pct"/>
          </w:tcPr>
          <w:p w:rsidR="00000000" w:rsidRDefault="004D2F83">
            <w:pPr>
              <w:spacing w:line="360" w:lineRule="exact"/>
              <w:jc w:val="center"/>
              <w:rPr>
                <w:rFonts w:ascii="SimHei" w:eastAsia="SimHei" w:hint="eastAsia"/>
                <w:sz w:val="18"/>
              </w:rPr>
            </w:pPr>
            <w:r>
              <w:rPr>
                <w:rFonts w:ascii="SimHei" w:eastAsia="SimHei" w:hint="eastAsia"/>
                <w:sz w:val="18"/>
              </w:rPr>
              <w:t>女</w:t>
            </w:r>
          </w:p>
        </w:tc>
        <w:tc>
          <w:tcPr>
            <w:tcW w:w="806" w:type="pct"/>
          </w:tcPr>
          <w:p w:rsidR="00000000" w:rsidRDefault="004D2F83">
            <w:pPr>
              <w:spacing w:line="360" w:lineRule="exact"/>
              <w:jc w:val="center"/>
              <w:rPr>
                <w:rFonts w:ascii="SimHei" w:eastAsia="SimHei" w:hint="eastAsia"/>
                <w:sz w:val="18"/>
              </w:rPr>
            </w:pPr>
            <w:r>
              <w:rPr>
                <w:rFonts w:ascii="SimHei" w:eastAsia="SimHei" w:hint="eastAsia"/>
                <w:sz w:val="18"/>
              </w:rPr>
              <w:t>%</w:t>
            </w:r>
          </w:p>
        </w:tc>
        <w:tc>
          <w:tcPr>
            <w:tcW w:w="806" w:type="pct"/>
          </w:tcPr>
          <w:p w:rsidR="00000000" w:rsidRDefault="004D2F83">
            <w:pPr>
              <w:spacing w:line="360" w:lineRule="exact"/>
              <w:jc w:val="center"/>
              <w:rPr>
                <w:rFonts w:ascii="SimHei" w:eastAsia="SimHei" w:hint="eastAsia"/>
                <w:sz w:val="18"/>
              </w:rPr>
            </w:pPr>
            <w:r>
              <w:rPr>
                <w:rFonts w:ascii="SimHei" w:eastAsia="SimHei" w:hint="eastAsia"/>
                <w:sz w:val="18"/>
              </w:rPr>
              <w:t>总数</w:t>
            </w:r>
          </w:p>
        </w:tc>
      </w:tr>
      <w:tr w:rsidR="00000000">
        <w:tblPrEx>
          <w:tblCellMar>
            <w:top w:w="0" w:type="dxa"/>
            <w:bottom w:w="0" w:type="dxa"/>
          </w:tblCellMar>
        </w:tblPrEx>
        <w:tc>
          <w:tcPr>
            <w:tcW w:w="971" w:type="pct"/>
          </w:tcPr>
          <w:p w:rsidR="00000000" w:rsidRDefault="004D2F83">
            <w:pPr>
              <w:spacing w:line="360" w:lineRule="exact"/>
              <w:jc w:val="center"/>
              <w:rPr>
                <w:rFonts w:hint="eastAsia"/>
                <w:sz w:val="18"/>
              </w:rPr>
            </w:pPr>
            <w:r>
              <w:rPr>
                <w:rFonts w:hint="eastAsia"/>
                <w:sz w:val="18"/>
              </w:rPr>
              <w:t>直接行政机构</w:t>
            </w:r>
          </w:p>
        </w:tc>
        <w:tc>
          <w:tcPr>
            <w:tcW w:w="806" w:type="pct"/>
          </w:tcPr>
          <w:p w:rsidR="00000000" w:rsidRDefault="004D2F83" w:rsidP="004D2F83">
            <w:pPr>
              <w:spacing w:line="360" w:lineRule="exact"/>
              <w:ind w:rightChars="245" w:right="31680"/>
              <w:jc w:val="right"/>
              <w:rPr>
                <w:sz w:val="18"/>
              </w:rPr>
            </w:pPr>
            <w:r>
              <w:rPr>
                <w:sz w:val="18"/>
              </w:rPr>
              <w:t>93 646</w:t>
            </w:r>
          </w:p>
        </w:tc>
        <w:tc>
          <w:tcPr>
            <w:tcW w:w="806" w:type="pct"/>
          </w:tcPr>
          <w:p w:rsidR="00000000" w:rsidRDefault="004D2F83" w:rsidP="004D2F83">
            <w:pPr>
              <w:spacing w:line="360" w:lineRule="exact"/>
              <w:ind w:rightChars="245" w:right="31680"/>
              <w:jc w:val="right"/>
              <w:rPr>
                <w:sz w:val="18"/>
              </w:rPr>
            </w:pPr>
            <w:r>
              <w:rPr>
                <w:sz w:val="18"/>
              </w:rPr>
              <w:t>52.14</w:t>
            </w:r>
          </w:p>
        </w:tc>
        <w:tc>
          <w:tcPr>
            <w:tcW w:w="806" w:type="pct"/>
          </w:tcPr>
          <w:p w:rsidR="00000000" w:rsidRDefault="004D2F83" w:rsidP="004D2F83">
            <w:pPr>
              <w:spacing w:line="360" w:lineRule="exact"/>
              <w:ind w:rightChars="245" w:right="31680"/>
              <w:jc w:val="right"/>
              <w:rPr>
                <w:sz w:val="18"/>
              </w:rPr>
            </w:pPr>
            <w:r>
              <w:rPr>
                <w:sz w:val="18"/>
              </w:rPr>
              <w:t>85 954</w:t>
            </w:r>
          </w:p>
        </w:tc>
        <w:tc>
          <w:tcPr>
            <w:tcW w:w="806" w:type="pct"/>
          </w:tcPr>
          <w:p w:rsidR="00000000" w:rsidRDefault="004D2F83" w:rsidP="004D2F83">
            <w:pPr>
              <w:spacing w:line="360" w:lineRule="exact"/>
              <w:ind w:rightChars="245" w:right="31680"/>
              <w:jc w:val="right"/>
              <w:rPr>
                <w:sz w:val="18"/>
              </w:rPr>
            </w:pPr>
            <w:r>
              <w:rPr>
                <w:sz w:val="18"/>
              </w:rPr>
              <w:t>47.86</w:t>
            </w:r>
          </w:p>
        </w:tc>
        <w:tc>
          <w:tcPr>
            <w:tcW w:w="806" w:type="pct"/>
          </w:tcPr>
          <w:p w:rsidR="00000000" w:rsidRDefault="004D2F83" w:rsidP="004D2F83">
            <w:pPr>
              <w:spacing w:line="360" w:lineRule="exact"/>
              <w:ind w:rightChars="245" w:right="31680"/>
              <w:jc w:val="right"/>
              <w:rPr>
                <w:sz w:val="18"/>
              </w:rPr>
            </w:pPr>
            <w:r>
              <w:rPr>
                <w:sz w:val="18"/>
              </w:rPr>
              <w:t>179 600</w:t>
            </w:r>
          </w:p>
        </w:tc>
      </w:tr>
      <w:tr w:rsidR="00000000">
        <w:tblPrEx>
          <w:tblCellMar>
            <w:top w:w="0" w:type="dxa"/>
            <w:bottom w:w="0" w:type="dxa"/>
          </w:tblCellMar>
        </w:tblPrEx>
        <w:tc>
          <w:tcPr>
            <w:tcW w:w="971" w:type="pct"/>
          </w:tcPr>
          <w:p w:rsidR="00000000" w:rsidRDefault="004D2F83">
            <w:pPr>
              <w:spacing w:line="360" w:lineRule="exact"/>
              <w:jc w:val="center"/>
              <w:rPr>
                <w:rFonts w:hint="eastAsia"/>
                <w:sz w:val="18"/>
              </w:rPr>
            </w:pPr>
            <w:r>
              <w:rPr>
                <w:rFonts w:hint="eastAsia"/>
                <w:sz w:val="18"/>
              </w:rPr>
              <w:t>政府机构</w:t>
            </w:r>
          </w:p>
        </w:tc>
        <w:tc>
          <w:tcPr>
            <w:tcW w:w="806" w:type="pct"/>
          </w:tcPr>
          <w:p w:rsidR="00000000" w:rsidRDefault="004D2F83" w:rsidP="004D2F83">
            <w:pPr>
              <w:spacing w:line="360" w:lineRule="exact"/>
              <w:ind w:rightChars="245" w:right="31680"/>
              <w:jc w:val="right"/>
              <w:rPr>
                <w:sz w:val="18"/>
              </w:rPr>
            </w:pPr>
            <w:r>
              <w:rPr>
                <w:sz w:val="18"/>
              </w:rPr>
              <w:t>31 454</w:t>
            </w:r>
          </w:p>
        </w:tc>
        <w:tc>
          <w:tcPr>
            <w:tcW w:w="806" w:type="pct"/>
          </w:tcPr>
          <w:p w:rsidR="00000000" w:rsidRDefault="004D2F83" w:rsidP="004D2F83">
            <w:pPr>
              <w:spacing w:line="360" w:lineRule="exact"/>
              <w:ind w:rightChars="245" w:right="31680"/>
              <w:jc w:val="right"/>
              <w:rPr>
                <w:sz w:val="18"/>
              </w:rPr>
            </w:pPr>
            <w:r>
              <w:rPr>
                <w:sz w:val="18"/>
              </w:rPr>
              <w:t>49.07</w:t>
            </w:r>
          </w:p>
        </w:tc>
        <w:tc>
          <w:tcPr>
            <w:tcW w:w="806" w:type="pct"/>
          </w:tcPr>
          <w:p w:rsidR="00000000" w:rsidRDefault="004D2F83" w:rsidP="004D2F83">
            <w:pPr>
              <w:spacing w:line="360" w:lineRule="exact"/>
              <w:ind w:rightChars="245" w:right="31680"/>
              <w:jc w:val="right"/>
              <w:rPr>
                <w:sz w:val="18"/>
              </w:rPr>
            </w:pPr>
            <w:r>
              <w:rPr>
                <w:sz w:val="18"/>
              </w:rPr>
              <w:t>32 641</w:t>
            </w:r>
          </w:p>
        </w:tc>
        <w:tc>
          <w:tcPr>
            <w:tcW w:w="806" w:type="pct"/>
          </w:tcPr>
          <w:p w:rsidR="00000000" w:rsidRDefault="004D2F83" w:rsidP="004D2F83">
            <w:pPr>
              <w:spacing w:line="360" w:lineRule="exact"/>
              <w:ind w:rightChars="245" w:right="31680"/>
              <w:jc w:val="right"/>
              <w:rPr>
                <w:sz w:val="18"/>
              </w:rPr>
            </w:pPr>
            <w:r>
              <w:rPr>
                <w:sz w:val="18"/>
              </w:rPr>
              <w:t>50.93</w:t>
            </w:r>
          </w:p>
        </w:tc>
        <w:tc>
          <w:tcPr>
            <w:tcW w:w="806" w:type="pct"/>
          </w:tcPr>
          <w:p w:rsidR="00000000" w:rsidRDefault="004D2F83" w:rsidP="004D2F83">
            <w:pPr>
              <w:spacing w:line="360" w:lineRule="exact"/>
              <w:ind w:rightChars="245" w:right="31680"/>
              <w:jc w:val="right"/>
              <w:rPr>
                <w:sz w:val="18"/>
              </w:rPr>
            </w:pPr>
            <w:r>
              <w:rPr>
                <w:sz w:val="18"/>
              </w:rPr>
              <w:t>64 095</w:t>
            </w:r>
          </w:p>
        </w:tc>
      </w:tr>
      <w:tr w:rsidR="00000000">
        <w:tblPrEx>
          <w:tblCellMar>
            <w:top w:w="0" w:type="dxa"/>
            <w:bottom w:w="0" w:type="dxa"/>
          </w:tblCellMar>
        </w:tblPrEx>
        <w:tc>
          <w:tcPr>
            <w:tcW w:w="971" w:type="pct"/>
          </w:tcPr>
          <w:p w:rsidR="00000000" w:rsidRDefault="004D2F83">
            <w:pPr>
              <w:spacing w:line="360" w:lineRule="exact"/>
              <w:jc w:val="center"/>
              <w:rPr>
                <w:rFonts w:hint="eastAsia"/>
                <w:sz w:val="18"/>
              </w:rPr>
            </w:pPr>
            <w:r>
              <w:rPr>
                <w:rFonts w:hint="eastAsia"/>
                <w:sz w:val="18"/>
              </w:rPr>
              <w:t>基金会</w:t>
            </w:r>
          </w:p>
        </w:tc>
        <w:tc>
          <w:tcPr>
            <w:tcW w:w="806" w:type="pct"/>
          </w:tcPr>
          <w:p w:rsidR="00000000" w:rsidRDefault="004D2F83" w:rsidP="004D2F83">
            <w:pPr>
              <w:spacing w:line="360" w:lineRule="exact"/>
              <w:ind w:rightChars="245" w:right="31680"/>
              <w:jc w:val="right"/>
              <w:rPr>
                <w:sz w:val="18"/>
              </w:rPr>
            </w:pPr>
            <w:r>
              <w:rPr>
                <w:sz w:val="18"/>
              </w:rPr>
              <w:t>44 157</w:t>
            </w:r>
          </w:p>
        </w:tc>
        <w:tc>
          <w:tcPr>
            <w:tcW w:w="806" w:type="pct"/>
          </w:tcPr>
          <w:p w:rsidR="00000000" w:rsidRDefault="004D2F83" w:rsidP="004D2F83">
            <w:pPr>
              <w:spacing w:line="360" w:lineRule="exact"/>
              <w:ind w:rightChars="245" w:right="31680"/>
              <w:jc w:val="right"/>
              <w:rPr>
                <w:sz w:val="18"/>
              </w:rPr>
            </w:pPr>
            <w:r>
              <w:rPr>
                <w:sz w:val="18"/>
              </w:rPr>
              <w:t>72.59</w:t>
            </w:r>
          </w:p>
        </w:tc>
        <w:tc>
          <w:tcPr>
            <w:tcW w:w="806" w:type="pct"/>
          </w:tcPr>
          <w:p w:rsidR="00000000" w:rsidRDefault="004D2F83" w:rsidP="004D2F83">
            <w:pPr>
              <w:spacing w:line="360" w:lineRule="exact"/>
              <w:ind w:rightChars="245" w:right="31680"/>
              <w:jc w:val="right"/>
              <w:rPr>
                <w:sz w:val="18"/>
              </w:rPr>
            </w:pPr>
            <w:r>
              <w:rPr>
                <w:sz w:val="18"/>
              </w:rPr>
              <w:t>16 671</w:t>
            </w:r>
          </w:p>
        </w:tc>
        <w:tc>
          <w:tcPr>
            <w:tcW w:w="806" w:type="pct"/>
          </w:tcPr>
          <w:p w:rsidR="00000000" w:rsidRDefault="004D2F83" w:rsidP="004D2F83">
            <w:pPr>
              <w:spacing w:line="360" w:lineRule="exact"/>
              <w:ind w:rightChars="245" w:right="31680"/>
              <w:jc w:val="right"/>
              <w:rPr>
                <w:sz w:val="18"/>
              </w:rPr>
            </w:pPr>
            <w:r>
              <w:rPr>
                <w:sz w:val="18"/>
              </w:rPr>
              <w:t>27.41</w:t>
            </w:r>
          </w:p>
        </w:tc>
        <w:tc>
          <w:tcPr>
            <w:tcW w:w="806" w:type="pct"/>
          </w:tcPr>
          <w:p w:rsidR="00000000" w:rsidRDefault="004D2F83" w:rsidP="004D2F83">
            <w:pPr>
              <w:spacing w:line="360" w:lineRule="exact"/>
              <w:ind w:rightChars="245" w:right="31680"/>
              <w:jc w:val="right"/>
              <w:rPr>
                <w:sz w:val="18"/>
              </w:rPr>
            </w:pPr>
            <w:r>
              <w:rPr>
                <w:sz w:val="18"/>
              </w:rPr>
              <w:t>60 828</w:t>
            </w:r>
          </w:p>
        </w:tc>
      </w:tr>
      <w:tr w:rsidR="00000000">
        <w:tblPrEx>
          <w:tblCellMar>
            <w:top w:w="0" w:type="dxa"/>
            <w:bottom w:w="0" w:type="dxa"/>
          </w:tblCellMar>
        </w:tblPrEx>
        <w:tc>
          <w:tcPr>
            <w:tcW w:w="971" w:type="pct"/>
          </w:tcPr>
          <w:p w:rsidR="00000000" w:rsidRDefault="004D2F83">
            <w:pPr>
              <w:spacing w:line="360" w:lineRule="exact"/>
              <w:jc w:val="center"/>
              <w:rPr>
                <w:rFonts w:hint="eastAsia"/>
                <w:sz w:val="18"/>
              </w:rPr>
            </w:pPr>
            <w:r>
              <w:rPr>
                <w:rFonts w:hint="eastAsia"/>
                <w:sz w:val="18"/>
              </w:rPr>
              <w:t>总数</w:t>
            </w:r>
          </w:p>
        </w:tc>
        <w:tc>
          <w:tcPr>
            <w:tcW w:w="806" w:type="pct"/>
          </w:tcPr>
          <w:p w:rsidR="00000000" w:rsidRDefault="004D2F83" w:rsidP="004D2F83">
            <w:pPr>
              <w:spacing w:line="360" w:lineRule="exact"/>
              <w:ind w:rightChars="245" w:right="31680"/>
              <w:jc w:val="right"/>
              <w:rPr>
                <w:sz w:val="18"/>
              </w:rPr>
            </w:pPr>
            <w:r>
              <w:rPr>
                <w:sz w:val="18"/>
              </w:rPr>
              <w:t>169 257</w:t>
            </w:r>
          </w:p>
        </w:tc>
        <w:tc>
          <w:tcPr>
            <w:tcW w:w="806" w:type="pct"/>
          </w:tcPr>
          <w:p w:rsidR="00000000" w:rsidRDefault="004D2F83" w:rsidP="004D2F83">
            <w:pPr>
              <w:spacing w:line="360" w:lineRule="exact"/>
              <w:ind w:rightChars="245" w:right="31680"/>
              <w:jc w:val="right"/>
              <w:rPr>
                <w:sz w:val="18"/>
              </w:rPr>
            </w:pPr>
            <w:r>
              <w:rPr>
                <w:sz w:val="18"/>
              </w:rPr>
              <w:t>55.58</w:t>
            </w:r>
          </w:p>
        </w:tc>
        <w:tc>
          <w:tcPr>
            <w:tcW w:w="806" w:type="pct"/>
          </w:tcPr>
          <w:p w:rsidR="00000000" w:rsidRDefault="004D2F83" w:rsidP="004D2F83">
            <w:pPr>
              <w:spacing w:line="360" w:lineRule="exact"/>
              <w:ind w:rightChars="245" w:right="31680"/>
              <w:jc w:val="right"/>
              <w:rPr>
                <w:sz w:val="18"/>
              </w:rPr>
            </w:pPr>
            <w:r>
              <w:rPr>
                <w:sz w:val="18"/>
              </w:rPr>
              <w:t>135 266</w:t>
            </w:r>
          </w:p>
        </w:tc>
        <w:tc>
          <w:tcPr>
            <w:tcW w:w="806" w:type="pct"/>
          </w:tcPr>
          <w:p w:rsidR="00000000" w:rsidRDefault="004D2F83" w:rsidP="004D2F83">
            <w:pPr>
              <w:spacing w:line="360" w:lineRule="exact"/>
              <w:ind w:rightChars="245" w:right="31680"/>
              <w:jc w:val="right"/>
              <w:rPr>
                <w:sz w:val="18"/>
              </w:rPr>
            </w:pPr>
            <w:r>
              <w:rPr>
                <w:sz w:val="18"/>
              </w:rPr>
              <w:t>44.42</w:t>
            </w:r>
          </w:p>
        </w:tc>
        <w:tc>
          <w:tcPr>
            <w:tcW w:w="806" w:type="pct"/>
          </w:tcPr>
          <w:p w:rsidR="00000000" w:rsidRDefault="004D2F83" w:rsidP="004D2F83">
            <w:pPr>
              <w:spacing w:line="360" w:lineRule="exact"/>
              <w:ind w:rightChars="245" w:right="31680"/>
              <w:jc w:val="right"/>
              <w:rPr>
                <w:sz w:val="18"/>
              </w:rPr>
            </w:pPr>
            <w:r>
              <w:rPr>
                <w:sz w:val="18"/>
              </w:rPr>
              <w:t>304 523</w:t>
            </w:r>
          </w:p>
        </w:tc>
      </w:tr>
    </w:tbl>
    <w:p w:rsidR="00000000" w:rsidRDefault="004D2F83">
      <w:pPr>
        <w:spacing w:line="360" w:lineRule="exact"/>
        <w:rPr>
          <w:rFonts w:hint="eastAsia"/>
          <w:sz w:val="18"/>
        </w:rPr>
      </w:pPr>
      <w:r>
        <w:rPr>
          <w:rFonts w:eastAsia="SimHei" w:hint="eastAsia"/>
          <w:sz w:val="18"/>
        </w:rPr>
        <w:t>资料来源</w:t>
      </w:r>
      <w:r>
        <w:rPr>
          <w:rFonts w:hint="eastAsia"/>
          <w:sz w:val="18"/>
        </w:rPr>
        <w:t>：人</w:t>
      </w:r>
      <w:r>
        <w:rPr>
          <w:rFonts w:hint="eastAsia"/>
          <w:sz w:val="18"/>
        </w:rPr>
        <w:t>力资源秘书处</w:t>
      </w:r>
      <w:r>
        <w:rPr>
          <w:rFonts w:hint="eastAsia"/>
          <w:sz w:val="18"/>
        </w:rPr>
        <w:t>/</w:t>
      </w:r>
      <w:r>
        <w:rPr>
          <w:rFonts w:hint="eastAsia"/>
          <w:sz w:val="18"/>
        </w:rPr>
        <w:t>联邦行政与州改革事务部。</w:t>
      </w:r>
    </w:p>
    <w:p w:rsidR="00000000" w:rsidRDefault="004D2F83">
      <w:pPr>
        <w:spacing w:after="240" w:line="360" w:lineRule="exact"/>
        <w:rPr>
          <w:rFonts w:hint="eastAsia"/>
          <w:sz w:val="18"/>
        </w:rPr>
      </w:pPr>
      <w:r>
        <w:rPr>
          <w:rFonts w:hint="eastAsia"/>
          <w:sz w:val="18"/>
        </w:rPr>
        <w:t>注：上表不包括州立公司、综合性企业和大学基金会。</w:t>
      </w:r>
    </w:p>
    <w:p w:rsidR="00000000" w:rsidRDefault="004D2F83">
      <w:pPr>
        <w:spacing w:after="120" w:line="360" w:lineRule="exact"/>
        <w:jc w:val="center"/>
        <w:rPr>
          <w:rFonts w:ascii="SimHei" w:eastAsia="SimHei" w:hint="eastAsia"/>
        </w:rPr>
      </w:pPr>
      <w:r>
        <w:rPr>
          <w:rFonts w:ascii="SimHei" w:eastAsia="SimHei" w:hint="eastAsia"/>
        </w:rPr>
        <w:t>表</w:t>
      </w:r>
      <w:r>
        <w:rPr>
          <w:rFonts w:ascii="SimHei" w:eastAsia="SimHei" w:hint="eastAsia"/>
        </w:rPr>
        <w:t>26</w:t>
      </w:r>
      <w:r>
        <w:rPr>
          <w:rFonts w:ascii="SimHei" w:eastAsia="SimHei" w:hint="eastAsia"/>
        </w:rPr>
        <w:t>．高级管理和助理（</w:t>
      </w:r>
      <w:r>
        <w:rPr>
          <w:rFonts w:ascii="SimHei" w:eastAsia="SimHei" w:hint="eastAsia"/>
        </w:rPr>
        <w:t>DAS</w:t>
      </w:r>
      <w:r>
        <w:rPr>
          <w:rFonts w:ascii="SimHei" w:eastAsia="SimHei" w:hint="eastAsia"/>
        </w:rPr>
        <w:t>）级别联邦公务员</w:t>
      </w:r>
    </w:p>
    <w:p w:rsidR="00000000" w:rsidRDefault="004D2F83">
      <w:pPr>
        <w:spacing w:after="240" w:line="360" w:lineRule="exact"/>
        <w:jc w:val="center"/>
        <w:rPr>
          <w:rFonts w:ascii="SimHei" w:eastAsia="SimHei" w:hint="eastAsia"/>
        </w:rPr>
      </w:pPr>
      <w:r>
        <w:rPr>
          <w:rFonts w:ascii="SimHei" w:eastAsia="SimHei" w:hint="eastAsia"/>
        </w:rPr>
        <w:t>巴西，</w:t>
      </w:r>
      <w:r>
        <w:rPr>
          <w:rFonts w:ascii="SimHei" w:eastAsia="SimHei" w:hint="eastAsia"/>
        </w:rPr>
        <w:t>1998</w:t>
      </w:r>
      <w:r>
        <w:rPr>
          <w:rFonts w:ascii="SimHei" w:eastAsia="SimHei" w:hint="eastAsia"/>
        </w:rPr>
        <w:t>年</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2"/>
        <w:gridCol w:w="1660"/>
        <w:gridCol w:w="1660"/>
        <w:gridCol w:w="1660"/>
        <w:gridCol w:w="1662"/>
        <w:gridCol w:w="1662"/>
      </w:tblGrid>
      <w:tr w:rsidR="00000000">
        <w:tblPrEx>
          <w:tblCellMar>
            <w:top w:w="0" w:type="dxa"/>
            <w:bottom w:w="0" w:type="dxa"/>
          </w:tblCellMar>
        </w:tblPrEx>
        <w:tc>
          <w:tcPr>
            <w:tcW w:w="787" w:type="pct"/>
          </w:tcPr>
          <w:p w:rsidR="00000000" w:rsidRDefault="004D2F83">
            <w:pPr>
              <w:spacing w:line="360" w:lineRule="exact"/>
              <w:jc w:val="center"/>
              <w:rPr>
                <w:rFonts w:ascii="SimHei" w:eastAsia="SimHei" w:hint="eastAsia"/>
                <w:sz w:val="18"/>
              </w:rPr>
            </w:pPr>
            <w:r>
              <w:rPr>
                <w:rFonts w:ascii="SimHei" w:eastAsia="SimHei" w:hint="eastAsia"/>
                <w:sz w:val="18"/>
              </w:rPr>
              <w:t>级别</w:t>
            </w:r>
            <w:r>
              <w:rPr>
                <w:rFonts w:ascii="SimHei" w:eastAsia="SimHei" w:hint="eastAsia"/>
                <w:sz w:val="18"/>
              </w:rPr>
              <w:t>/</w:t>
            </w:r>
            <w:r>
              <w:rPr>
                <w:rFonts w:ascii="SimHei" w:eastAsia="SimHei" w:hint="eastAsia"/>
                <w:sz w:val="18"/>
              </w:rPr>
              <w:t>职位</w:t>
            </w:r>
          </w:p>
        </w:tc>
        <w:tc>
          <w:tcPr>
            <w:tcW w:w="842" w:type="pct"/>
          </w:tcPr>
          <w:p w:rsidR="00000000" w:rsidRDefault="004D2F83">
            <w:pPr>
              <w:spacing w:line="360" w:lineRule="exact"/>
              <w:jc w:val="center"/>
              <w:rPr>
                <w:rFonts w:ascii="SimHei" w:eastAsia="SimHei" w:hint="eastAsia"/>
                <w:sz w:val="18"/>
              </w:rPr>
            </w:pPr>
            <w:r>
              <w:rPr>
                <w:rFonts w:ascii="SimHei" w:eastAsia="SimHei" w:hint="eastAsia"/>
                <w:sz w:val="18"/>
              </w:rPr>
              <w:t>男</w:t>
            </w:r>
          </w:p>
        </w:tc>
        <w:tc>
          <w:tcPr>
            <w:tcW w:w="842" w:type="pct"/>
          </w:tcPr>
          <w:p w:rsidR="00000000" w:rsidRDefault="004D2F83">
            <w:pPr>
              <w:spacing w:line="360" w:lineRule="exact"/>
              <w:jc w:val="center"/>
              <w:rPr>
                <w:rFonts w:ascii="SimHei" w:eastAsia="SimHei" w:hint="eastAsia"/>
                <w:sz w:val="18"/>
              </w:rPr>
            </w:pPr>
            <w:r>
              <w:rPr>
                <w:rFonts w:ascii="SimHei" w:eastAsia="SimHei" w:hint="eastAsia"/>
                <w:sz w:val="18"/>
              </w:rPr>
              <w:t>%</w:t>
            </w:r>
          </w:p>
        </w:tc>
        <w:tc>
          <w:tcPr>
            <w:tcW w:w="842" w:type="pct"/>
          </w:tcPr>
          <w:p w:rsidR="00000000" w:rsidRDefault="004D2F83">
            <w:pPr>
              <w:spacing w:line="360" w:lineRule="exact"/>
              <w:jc w:val="center"/>
              <w:rPr>
                <w:rFonts w:ascii="SimHei" w:eastAsia="SimHei" w:hint="eastAsia"/>
                <w:sz w:val="18"/>
              </w:rPr>
            </w:pPr>
            <w:r>
              <w:rPr>
                <w:rFonts w:ascii="SimHei" w:eastAsia="SimHei" w:hint="eastAsia"/>
                <w:sz w:val="18"/>
              </w:rPr>
              <w:t>女</w:t>
            </w:r>
          </w:p>
        </w:tc>
        <w:tc>
          <w:tcPr>
            <w:tcW w:w="843" w:type="pct"/>
          </w:tcPr>
          <w:p w:rsidR="00000000" w:rsidRDefault="004D2F83">
            <w:pPr>
              <w:spacing w:line="360" w:lineRule="exact"/>
              <w:jc w:val="center"/>
              <w:rPr>
                <w:rFonts w:ascii="SimHei" w:eastAsia="SimHei" w:hint="eastAsia"/>
                <w:sz w:val="18"/>
              </w:rPr>
            </w:pPr>
            <w:r>
              <w:rPr>
                <w:rFonts w:ascii="SimHei" w:eastAsia="SimHei" w:hint="eastAsia"/>
                <w:sz w:val="18"/>
              </w:rPr>
              <w:t>%</w:t>
            </w:r>
          </w:p>
        </w:tc>
        <w:tc>
          <w:tcPr>
            <w:tcW w:w="843" w:type="pct"/>
          </w:tcPr>
          <w:p w:rsidR="00000000" w:rsidRDefault="004D2F83">
            <w:pPr>
              <w:spacing w:line="360" w:lineRule="exact"/>
              <w:jc w:val="center"/>
              <w:rPr>
                <w:rFonts w:ascii="SimHei" w:eastAsia="SimHei" w:hint="eastAsia"/>
                <w:sz w:val="18"/>
              </w:rPr>
            </w:pPr>
            <w:r>
              <w:rPr>
                <w:rFonts w:ascii="SimHei" w:eastAsia="SimHei" w:hint="eastAsia"/>
                <w:sz w:val="18"/>
              </w:rPr>
              <w:t>总数</w:t>
            </w:r>
          </w:p>
        </w:tc>
      </w:tr>
      <w:tr w:rsidR="00000000">
        <w:tblPrEx>
          <w:tblCellMar>
            <w:top w:w="0" w:type="dxa"/>
            <w:bottom w:w="0" w:type="dxa"/>
          </w:tblCellMar>
        </w:tblPrEx>
        <w:tc>
          <w:tcPr>
            <w:tcW w:w="787" w:type="pct"/>
          </w:tcPr>
          <w:p w:rsidR="00000000" w:rsidRDefault="004D2F83">
            <w:pPr>
              <w:spacing w:line="360" w:lineRule="exact"/>
              <w:jc w:val="center"/>
              <w:rPr>
                <w:rFonts w:hint="eastAsia"/>
                <w:sz w:val="18"/>
              </w:rPr>
            </w:pPr>
            <w:r>
              <w:rPr>
                <w:rFonts w:hint="eastAsia"/>
                <w:sz w:val="18"/>
              </w:rPr>
              <w:t>SAD1</w:t>
            </w:r>
          </w:p>
        </w:tc>
        <w:tc>
          <w:tcPr>
            <w:tcW w:w="842" w:type="pct"/>
          </w:tcPr>
          <w:p w:rsidR="00000000" w:rsidRDefault="004D2F83">
            <w:pPr>
              <w:spacing w:line="360" w:lineRule="exact"/>
              <w:jc w:val="center"/>
              <w:rPr>
                <w:sz w:val="18"/>
              </w:rPr>
            </w:pPr>
            <w:r>
              <w:rPr>
                <w:sz w:val="18"/>
              </w:rPr>
              <w:t>3 641</w:t>
            </w:r>
          </w:p>
        </w:tc>
        <w:tc>
          <w:tcPr>
            <w:tcW w:w="842" w:type="pct"/>
          </w:tcPr>
          <w:p w:rsidR="00000000" w:rsidRDefault="004D2F83">
            <w:pPr>
              <w:spacing w:line="360" w:lineRule="exact"/>
              <w:jc w:val="center"/>
              <w:rPr>
                <w:sz w:val="18"/>
              </w:rPr>
            </w:pPr>
            <w:r>
              <w:rPr>
                <w:sz w:val="18"/>
              </w:rPr>
              <w:t>54.47</w:t>
            </w:r>
          </w:p>
        </w:tc>
        <w:tc>
          <w:tcPr>
            <w:tcW w:w="842" w:type="pct"/>
          </w:tcPr>
          <w:p w:rsidR="00000000" w:rsidRDefault="004D2F83">
            <w:pPr>
              <w:spacing w:line="360" w:lineRule="exact"/>
              <w:jc w:val="center"/>
              <w:rPr>
                <w:sz w:val="18"/>
              </w:rPr>
            </w:pPr>
            <w:r>
              <w:rPr>
                <w:sz w:val="18"/>
              </w:rPr>
              <w:t>3 043</w:t>
            </w:r>
          </w:p>
        </w:tc>
        <w:tc>
          <w:tcPr>
            <w:tcW w:w="843" w:type="pct"/>
          </w:tcPr>
          <w:p w:rsidR="00000000" w:rsidRDefault="004D2F83">
            <w:pPr>
              <w:spacing w:line="360" w:lineRule="exact"/>
              <w:jc w:val="center"/>
              <w:rPr>
                <w:sz w:val="18"/>
              </w:rPr>
            </w:pPr>
            <w:r>
              <w:rPr>
                <w:sz w:val="18"/>
              </w:rPr>
              <w:t>45.53</w:t>
            </w:r>
          </w:p>
        </w:tc>
        <w:tc>
          <w:tcPr>
            <w:tcW w:w="843" w:type="pct"/>
          </w:tcPr>
          <w:p w:rsidR="00000000" w:rsidRDefault="004D2F83">
            <w:pPr>
              <w:spacing w:line="360" w:lineRule="exact"/>
              <w:jc w:val="center"/>
              <w:rPr>
                <w:sz w:val="18"/>
              </w:rPr>
            </w:pPr>
            <w:r>
              <w:rPr>
                <w:sz w:val="18"/>
              </w:rPr>
              <w:t>6 684</w:t>
            </w:r>
          </w:p>
        </w:tc>
      </w:tr>
      <w:tr w:rsidR="00000000">
        <w:tblPrEx>
          <w:tblCellMar>
            <w:top w:w="0" w:type="dxa"/>
            <w:bottom w:w="0" w:type="dxa"/>
          </w:tblCellMar>
        </w:tblPrEx>
        <w:tc>
          <w:tcPr>
            <w:tcW w:w="787" w:type="pct"/>
          </w:tcPr>
          <w:p w:rsidR="00000000" w:rsidRDefault="004D2F83">
            <w:pPr>
              <w:spacing w:line="360" w:lineRule="exact"/>
              <w:jc w:val="center"/>
              <w:rPr>
                <w:rFonts w:hint="eastAsia"/>
                <w:sz w:val="18"/>
              </w:rPr>
            </w:pPr>
            <w:r>
              <w:rPr>
                <w:rFonts w:hint="eastAsia"/>
                <w:sz w:val="18"/>
              </w:rPr>
              <w:t>DAS2</w:t>
            </w:r>
          </w:p>
        </w:tc>
        <w:tc>
          <w:tcPr>
            <w:tcW w:w="842" w:type="pct"/>
          </w:tcPr>
          <w:p w:rsidR="00000000" w:rsidRDefault="004D2F83">
            <w:pPr>
              <w:spacing w:line="360" w:lineRule="exact"/>
              <w:jc w:val="center"/>
              <w:rPr>
                <w:sz w:val="18"/>
              </w:rPr>
            </w:pPr>
            <w:r>
              <w:rPr>
                <w:sz w:val="18"/>
              </w:rPr>
              <w:t>3 519</w:t>
            </w:r>
          </w:p>
        </w:tc>
        <w:tc>
          <w:tcPr>
            <w:tcW w:w="842" w:type="pct"/>
          </w:tcPr>
          <w:p w:rsidR="00000000" w:rsidRDefault="004D2F83">
            <w:pPr>
              <w:spacing w:line="360" w:lineRule="exact"/>
              <w:jc w:val="center"/>
              <w:rPr>
                <w:sz w:val="18"/>
              </w:rPr>
            </w:pPr>
            <w:r>
              <w:rPr>
                <w:sz w:val="18"/>
              </w:rPr>
              <w:t>60.14</w:t>
            </w:r>
          </w:p>
        </w:tc>
        <w:tc>
          <w:tcPr>
            <w:tcW w:w="842" w:type="pct"/>
          </w:tcPr>
          <w:p w:rsidR="00000000" w:rsidRDefault="004D2F83">
            <w:pPr>
              <w:spacing w:line="360" w:lineRule="exact"/>
              <w:jc w:val="center"/>
              <w:rPr>
                <w:sz w:val="18"/>
              </w:rPr>
            </w:pPr>
            <w:r>
              <w:rPr>
                <w:sz w:val="18"/>
              </w:rPr>
              <w:t>2 332</w:t>
            </w:r>
          </w:p>
        </w:tc>
        <w:tc>
          <w:tcPr>
            <w:tcW w:w="843" w:type="pct"/>
          </w:tcPr>
          <w:p w:rsidR="00000000" w:rsidRDefault="004D2F83">
            <w:pPr>
              <w:spacing w:line="360" w:lineRule="exact"/>
              <w:jc w:val="center"/>
              <w:rPr>
                <w:sz w:val="18"/>
              </w:rPr>
            </w:pPr>
            <w:r>
              <w:rPr>
                <w:sz w:val="18"/>
              </w:rPr>
              <w:t>39.86</w:t>
            </w:r>
          </w:p>
        </w:tc>
        <w:tc>
          <w:tcPr>
            <w:tcW w:w="843" w:type="pct"/>
          </w:tcPr>
          <w:p w:rsidR="00000000" w:rsidRDefault="004D2F83">
            <w:pPr>
              <w:spacing w:line="360" w:lineRule="exact"/>
              <w:jc w:val="center"/>
              <w:rPr>
                <w:sz w:val="18"/>
              </w:rPr>
            </w:pPr>
            <w:r>
              <w:rPr>
                <w:sz w:val="18"/>
              </w:rPr>
              <w:t>5 581</w:t>
            </w:r>
          </w:p>
        </w:tc>
      </w:tr>
      <w:tr w:rsidR="00000000">
        <w:tblPrEx>
          <w:tblCellMar>
            <w:top w:w="0" w:type="dxa"/>
            <w:bottom w:w="0" w:type="dxa"/>
          </w:tblCellMar>
        </w:tblPrEx>
        <w:tc>
          <w:tcPr>
            <w:tcW w:w="787" w:type="pct"/>
          </w:tcPr>
          <w:p w:rsidR="00000000" w:rsidRDefault="004D2F83">
            <w:pPr>
              <w:spacing w:line="360" w:lineRule="exact"/>
              <w:jc w:val="center"/>
              <w:rPr>
                <w:rFonts w:hint="eastAsia"/>
                <w:sz w:val="18"/>
              </w:rPr>
            </w:pPr>
            <w:r>
              <w:rPr>
                <w:rFonts w:hint="eastAsia"/>
                <w:sz w:val="18"/>
              </w:rPr>
              <w:t>DAS3</w:t>
            </w:r>
          </w:p>
        </w:tc>
        <w:tc>
          <w:tcPr>
            <w:tcW w:w="842" w:type="pct"/>
          </w:tcPr>
          <w:p w:rsidR="00000000" w:rsidRDefault="004D2F83">
            <w:pPr>
              <w:spacing w:line="360" w:lineRule="exact"/>
              <w:jc w:val="center"/>
              <w:rPr>
                <w:sz w:val="18"/>
              </w:rPr>
            </w:pPr>
            <w:r>
              <w:rPr>
                <w:sz w:val="18"/>
              </w:rPr>
              <w:t>1 508</w:t>
            </w:r>
          </w:p>
        </w:tc>
        <w:tc>
          <w:tcPr>
            <w:tcW w:w="842" w:type="pct"/>
          </w:tcPr>
          <w:p w:rsidR="00000000" w:rsidRDefault="004D2F83">
            <w:pPr>
              <w:spacing w:line="360" w:lineRule="exact"/>
              <w:jc w:val="center"/>
              <w:rPr>
                <w:sz w:val="18"/>
              </w:rPr>
            </w:pPr>
            <w:r>
              <w:rPr>
                <w:sz w:val="18"/>
              </w:rPr>
              <w:t>62.16</w:t>
            </w:r>
          </w:p>
        </w:tc>
        <w:tc>
          <w:tcPr>
            <w:tcW w:w="842" w:type="pct"/>
          </w:tcPr>
          <w:p w:rsidR="00000000" w:rsidRDefault="004D2F83">
            <w:pPr>
              <w:spacing w:line="360" w:lineRule="exact"/>
              <w:jc w:val="center"/>
              <w:rPr>
                <w:sz w:val="18"/>
              </w:rPr>
            </w:pPr>
            <w:r>
              <w:rPr>
                <w:sz w:val="18"/>
              </w:rPr>
              <w:t>918</w:t>
            </w:r>
          </w:p>
        </w:tc>
        <w:tc>
          <w:tcPr>
            <w:tcW w:w="843" w:type="pct"/>
          </w:tcPr>
          <w:p w:rsidR="00000000" w:rsidRDefault="004D2F83">
            <w:pPr>
              <w:spacing w:line="360" w:lineRule="exact"/>
              <w:jc w:val="center"/>
              <w:rPr>
                <w:sz w:val="18"/>
              </w:rPr>
            </w:pPr>
            <w:r>
              <w:rPr>
                <w:sz w:val="18"/>
              </w:rPr>
              <w:t>3.84</w:t>
            </w:r>
          </w:p>
        </w:tc>
        <w:tc>
          <w:tcPr>
            <w:tcW w:w="843" w:type="pct"/>
          </w:tcPr>
          <w:p w:rsidR="00000000" w:rsidRDefault="004D2F83">
            <w:pPr>
              <w:spacing w:line="360" w:lineRule="exact"/>
              <w:jc w:val="center"/>
              <w:rPr>
                <w:sz w:val="18"/>
              </w:rPr>
            </w:pPr>
            <w:r>
              <w:rPr>
                <w:sz w:val="18"/>
              </w:rPr>
              <w:t>2 426</w:t>
            </w:r>
          </w:p>
        </w:tc>
      </w:tr>
      <w:tr w:rsidR="00000000">
        <w:tblPrEx>
          <w:tblCellMar>
            <w:top w:w="0" w:type="dxa"/>
            <w:bottom w:w="0" w:type="dxa"/>
          </w:tblCellMar>
        </w:tblPrEx>
        <w:tc>
          <w:tcPr>
            <w:tcW w:w="787" w:type="pct"/>
          </w:tcPr>
          <w:p w:rsidR="00000000" w:rsidRDefault="004D2F83">
            <w:pPr>
              <w:spacing w:line="360" w:lineRule="exact"/>
              <w:jc w:val="center"/>
              <w:rPr>
                <w:rFonts w:hint="eastAsia"/>
                <w:sz w:val="18"/>
              </w:rPr>
            </w:pPr>
            <w:r>
              <w:rPr>
                <w:rFonts w:hint="eastAsia"/>
                <w:sz w:val="18"/>
              </w:rPr>
              <w:t>DAS4</w:t>
            </w:r>
          </w:p>
        </w:tc>
        <w:tc>
          <w:tcPr>
            <w:tcW w:w="842" w:type="pct"/>
          </w:tcPr>
          <w:p w:rsidR="00000000" w:rsidRDefault="004D2F83">
            <w:pPr>
              <w:spacing w:line="360" w:lineRule="exact"/>
              <w:jc w:val="center"/>
              <w:rPr>
                <w:sz w:val="18"/>
              </w:rPr>
            </w:pPr>
            <w:r>
              <w:rPr>
                <w:sz w:val="18"/>
              </w:rPr>
              <w:t>1 173</w:t>
            </w:r>
          </w:p>
        </w:tc>
        <w:tc>
          <w:tcPr>
            <w:tcW w:w="842" w:type="pct"/>
          </w:tcPr>
          <w:p w:rsidR="00000000" w:rsidRDefault="004D2F83">
            <w:pPr>
              <w:spacing w:line="360" w:lineRule="exact"/>
              <w:jc w:val="center"/>
              <w:rPr>
                <w:sz w:val="18"/>
              </w:rPr>
            </w:pPr>
            <w:r>
              <w:rPr>
                <w:sz w:val="18"/>
              </w:rPr>
              <w:t>70.58</w:t>
            </w:r>
          </w:p>
        </w:tc>
        <w:tc>
          <w:tcPr>
            <w:tcW w:w="842" w:type="pct"/>
          </w:tcPr>
          <w:p w:rsidR="00000000" w:rsidRDefault="004D2F83">
            <w:pPr>
              <w:spacing w:line="360" w:lineRule="exact"/>
              <w:jc w:val="center"/>
              <w:rPr>
                <w:sz w:val="18"/>
              </w:rPr>
            </w:pPr>
            <w:r>
              <w:rPr>
                <w:sz w:val="18"/>
              </w:rPr>
              <w:t>489</w:t>
            </w:r>
          </w:p>
        </w:tc>
        <w:tc>
          <w:tcPr>
            <w:tcW w:w="843" w:type="pct"/>
          </w:tcPr>
          <w:p w:rsidR="00000000" w:rsidRDefault="004D2F83">
            <w:pPr>
              <w:spacing w:line="360" w:lineRule="exact"/>
              <w:jc w:val="center"/>
              <w:rPr>
                <w:sz w:val="18"/>
              </w:rPr>
            </w:pPr>
            <w:r>
              <w:rPr>
                <w:sz w:val="18"/>
              </w:rPr>
              <w:t>29.42</w:t>
            </w:r>
          </w:p>
        </w:tc>
        <w:tc>
          <w:tcPr>
            <w:tcW w:w="843" w:type="pct"/>
          </w:tcPr>
          <w:p w:rsidR="00000000" w:rsidRDefault="004D2F83">
            <w:pPr>
              <w:spacing w:line="360" w:lineRule="exact"/>
              <w:jc w:val="center"/>
              <w:rPr>
                <w:sz w:val="18"/>
              </w:rPr>
            </w:pPr>
            <w:r>
              <w:rPr>
                <w:sz w:val="18"/>
              </w:rPr>
              <w:t>1 662</w:t>
            </w:r>
          </w:p>
        </w:tc>
      </w:tr>
      <w:tr w:rsidR="00000000">
        <w:tblPrEx>
          <w:tblCellMar>
            <w:top w:w="0" w:type="dxa"/>
            <w:bottom w:w="0" w:type="dxa"/>
          </w:tblCellMar>
        </w:tblPrEx>
        <w:tc>
          <w:tcPr>
            <w:tcW w:w="787" w:type="pct"/>
          </w:tcPr>
          <w:p w:rsidR="00000000" w:rsidRDefault="004D2F83">
            <w:pPr>
              <w:spacing w:line="360" w:lineRule="exact"/>
              <w:jc w:val="center"/>
              <w:rPr>
                <w:rFonts w:hint="eastAsia"/>
                <w:sz w:val="18"/>
              </w:rPr>
            </w:pPr>
            <w:r>
              <w:rPr>
                <w:rFonts w:hint="eastAsia"/>
                <w:sz w:val="18"/>
              </w:rPr>
              <w:t>DAS5</w:t>
            </w:r>
          </w:p>
        </w:tc>
        <w:tc>
          <w:tcPr>
            <w:tcW w:w="842" w:type="pct"/>
          </w:tcPr>
          <w:p w:rsidR="00000000" w:rsidRDefault="004D2F83">
            <w:pPr>
              <w:spacing w:line="360" w:lineRule="exact"/>
              <w:jc w:val="center"/>
              <w:rPr>
                <w:sz w:val="18"/>
              </w:rPr>
            </w:pPr>
            <w:r>
              <w:rPr>
                <w:sz w:val="18"/>
              </w:rPr>
              <w:t>456</w:t>
            </w:r>
          </w:p>
        </w:tc>
        <w:tc>
          <w:tcPr>
            <w:tcW w:w="842" w:type="pct"/>
          </w:tcPr>
          <w:p w:rsidR="00000000" w:rsidRDefault="004D2F83">
            <w:pPr>
              <w:spacing w:line="360" w:lineRule="exact"/>
              <w:jc w:val="center"/>
              <w:rPr>
                <w:sz w:val="18"/>
              </w:rPr>
            </w:pPr>
            <w:r>
              <w:rPr>
                <w:sz w:val="18"/>
              </w:rPr>
              <w:t>83.52</w:t>
            </w:r>
          </w:p>
        </w:tc>
        <w:tc>
          <w:tcPr>
            <w:tcW w:w="842" w:type="pct"/>
          </w:tcPr>
          <w:p w:rsidR="00000000" w:rsidRDefault="004D2F83">
            <w:pPr>
              <w:spacing w:line="360" w:lineRule="exact"/>
              <w:jc w:val="center"/>
              <w:rPr>
                <w:sz w:val="18"/>
              </w:rPr>
            </w:pPr>
            <w:r>
              <w:rPr>
                <w:sz w:val="18"/>
              </w:rPr>
              <w:t>90</w:t>
            </w:r>
          </w:p>
        </w:tc>
        <w:tc>
          <w:tcPr>
            <w:tcW w:w="843" w:type="pct"/>
          </w:tcPr>
          <w:p w:rsidR="00000000" w:rsidRDefault="004D2F83">
            <w:pPr>
              <w:spacing w:line="360" w:lineRule="exact"/>
              <w:jc w:val="center"/>
              <w:rPr>
                <w:sz w:val="18"/>
              </w:rPr>
            </w:pPr>
            <w:r>
              <w:rPr>
                <w:sz w:val="18"/>
              </w:rPr>
              <w:t>163</w:t>
            </w:r>
            <w:r>
              <w:rPr>
                <w:sz w:val="18"/>
              </w:rPr>
              <w:t>.48</w:t>
            </w:r>
          </w:p>
        </w:tc>
        <w:tc>
          <w:tcPr>
            <w:tcW w:w="843" w:type="pct"/>
          </w:tcPr>
          <w:p w:rsidR="00000000" w:rsidRDefault="004D2F83">
            <w:pPr>
              <w:spacing w:line="360" w:lineRule="exact"/>
              <w:jc w:val="center"/>
              <w:rPr>
                <w:sz w:val="18"/>
              </w:rPr>
            </w:pPr>
            <w:r>
              <w:rPr>
                <w:sz w:val="18"/>
              </w:rPr>
              <w:t>546</w:t>
            </w:r>
          </w:p>
        </w:tc>
      </w:tr>
      <w:tr w:rsidR="00000000">
        <w:tblPrEx>
          <w:tblCellMar>
            <w:top w:w="0" w:type="dxa"/>
            <w:bottom w:w="0" w:type="dxa"/>
          </w:tblCellMar>
        </w:tblPrEx>
        <w:tc>
          <w:tcPr>
            <w:tcW w:w="787" w:type="pct"/>
          </w:tcPr>
          <w:p w:rsidR="00000000" w:rsidRDefault="004D2F83">
            <w:pPr>
              <w:spacing w:line="360" w:lineRule="exact"/>
              <w:jc w:val="center"/>
              <w:rPr>
                <w:rFonts w:hint="eastAsia"/>
                <w:sz w:val="18"/>
              </w:rPr>
            </w:pPr>
            <w:r>
              <w:rPr>
                <w:rFonts w:hint="eastAsia"/>
                <w:sz w:val="18"/>
              </w:rPr>
              <w:t>DAS6</w:t>
            </w:r>
          </w:p>
        </w:tc>
        <w:tc>
          <w:tcPr>
            <w:tcW w:w="842" w:type="pct"/>
          </w:tcPr>
          <w:p w:rsidR="00000000" w:rsidRDefault="004D2F83">
            <w:pPr>
              <w:spacing w:line="360" w:lineRule="exact"/>
              <w:jc w:val="center"/>
              <w:rPr>
                <w:sz w:val="18"/>
              </w:rPr>
            </w:pPr>
            <w:r>
              <w:rPr>
                <w:sz w:val="18"/>
              </w:rPr>
              <w:t>118</w:t>
            </w:r>
          </w:p>
        </w:tc>
        <w:tc>
          <w:tcPr>
            <w:tcW w:w="842" w:type="pct"/>
          </w:tcPr>
          <w:p w:rsidR="00000000" w:rsidRDefault="004D2F83">
            <w:pPr>
              <w:spacing w:line="360" w:lineRule="exact"/>
              <w:jc w:val="center"/>
              <w:rPr>
                <w:sz w:val="18"/>
              </w:rPr>
            </w:pPr>
            <w:r>
              <w:rPr>
                <w:sz w:val="18"/>
              </w:rPr>
              <w:t>86.78</w:t>
            </w:r>
          </w:p>
        </w:tc>
        <w:tc>
          <w:tcPr>
            <w:tcW w:w="842" w:type="pct"/>
          </w:tcPr>
          <w:p w:rsidR="00000000" w:rsidRDefault="004D2F83">
            <w:pPr>
              <w:spacing w:line="360" w:lineRule="exact"/>
              <w:jc w:val="center"/>
              <w:rPr>
                <w:sz w:val="18"/>
              </w:rPr>
            </w:pPr>
            <w:r>
              <w:rPr>
                <w:sz w:val="18"/>
              </w:rPr>
              <w:t>18</w:t>
            </w:r>
          </w:p>
        </w:tc>
        <w:tc>
          <w:tcPr>
            <w:tcW w:w="843" w:type="pct"/>
          </w:tcPr>
          <w:p w:rsidR="00000000" w:rsidRDefault="004D2F83">
            <w:pPr>
              <w:spacing w:line="360" w:lineRule="exact"/>
              <w:jc w:val="center"/>
              <w:rPr>
                <w:sz w:val="18"/>
              </w:rPr>
            </w:pPr>
            <w:r>
              <w:rPr>
                <w:sz w:val="18"/>
              </w:rPr>
              <w:t>13.24</w:t>
            </w:r>
          </w:p>
        </w:tc>
        <w:tc>
          <w:tcPr>
            <w:tcW w:w="843" w:type="pct"/>
          </w:tcPr>
          <w:p w:rsidR="00000000" w:rsidRDefault="004D2F83">
            <w:pPr>
              <w:spacing w:line="360" w:lineRule="exact"/>
              <w:jc w:val="center"/>
              <w:rPr>
                <w:sz w:val="18"/>
              </w:rPr>
            </w:pPr>
            <w:r>
              <w:rPr>
                <w:sz w:val="18"/>
              </w:rPr>
              <w:t>136</w:t>
            </w:r>
          </w:p>
        </w:tc>
      </w:tr>
      <w:tr w:rsidR="00000000">
        <w:tblPrEx>
          <w:tblCellMar>
            <w:top w:w="0" w:type="dxa"/>
            <w:bottom w:w="0" w:type="dxa"/>
          </w:tblCellMar>
        </w:tblPrEx>
        <w:tc>
          <w:tcPr>
            <w:tcW w:w="787" w:type="pct"/>
          </w:tcPr>
          <w:p w:rsidR="00000000" w:rsidRDefault="004D2F83">
            <w:pPr>
              <w:spacing w:line="360" w:lineRule="exact"/>
              <w:jc w:val="center"/>
              <w:rPr>
                <w:rFonts w:hint="eastAsia"/>
                <w:sz w:val="18"/>
              </w:rPr>
            </w:pPr>
            <w:r>
              <w:rPr>
                <w:rFonts w:hint="eastAsia"/>
                <w:sz w:val="18"/>
              </w:rPr>
              <w:t>总数</w:t>
            </w:r>
          </w:p>
        </w:tc>
        <w:tc>
          <w:tcPr>
            <w:tcW w:w="842" w:type="pct"/>
          </w:tcPr>
          <w:p w:rsidR="00000000" w:rsidRDefault="004D2F83">
            <w:pPr>
              <w:spacing w:line="360" w:lineRule="exact"/>
              <w:jc w:val="center"/>
              <w:rPr>
                <w:sz w:val="18"/>
              </w:rPr>
            </w:pPr>
            <w:r>
              <w:rPr>
                <w:sz w:val="18"/>
              </w:rPr>
              <w:t>10 415</w:t>
            </w:r>
          </w:p>
        </w:tc>
        <w:tc>
          <w:tcPr>
            <w:tcW w:w="842" w:type="pct"/>
          </w:tcPr>
          <w:p w:rsidR="00000000" w:rsidRDefault="004D2F83">
            <w:pPr>
              <w:spacing w:line="360" w:lineRule="exact"/>
              <w:jc w:val="center"/>
              <w:rPr>
                <w:sz w:val="18"/>
              </w:rPr>
            </w:pPr>
            <w:r>
              <w:rPr>
                <w:sz w:val="18"/>
              </w:rPr>
              <w:t>60.18</w:t>
            </w:r>
          </w:p>
        </w:tc>
        <w:tc>
          <w:tcPr>
            <w:tcW w:w="842" w:type="pct"/>
          </w:tcPr>
          <w:p w:rsidR="00000000" w:rsidRDefault="004D2F83">
            <w:pPr>
              <w:spacing w:line="360" w:lineRule="exact"/>
              <w:jc w:val="center"/>
              <w:rPr>
                <w:sz w:val="18"/>
              </w:rPr>
            </w:pPr>
            <w:r>
              <w:rPr>
                <w:sz w:val="18"/>
              </w:rPr>
              <w:t>6 890</w:t>
            </w:r>
          </w:p>
        </w:tc>
        <w:tc>
          <w:tcPr>
            <w:tcW w:w="843" w:type="pct"/>
          </w:tcPr>
          <w:p w:rsidR="00000000" w:rsidRDefault="004D2F83">
            <w:pPr>
              <w:spacing w:line="360" w:lineRule="exact"/>
              <w:jc w:val="center"/>
              <w:rPr>
                <w:sz w:val="18"/>
              </w:rPr>
            </w:pPr>
            <w:r>
              <w:rPr>
                <w:sz w:val="18"/>
              </w:rPr>
              <w:t>39.82</w:t>
            </w:r>
          </w:p>
        </w:tc>
        <w:tc>
          <w:tcPr>
            <w:tcW w:w="843" w:type="pct"/>
          </w:tcPr>
          <w:p w:rsidR="00000000" w:rsidRDefault="004D2F83">
            <w:pPr>
              <w:spacing w:line="360" w:lineRule="exact"/>
              <w:jc w:val="center"/>
              <w:rPr>
                <w:sz w:val="18"/>
              </w:rPr>
            </w:pPr>
            <w:r>
              <w:rPr>
                <w:sz w:val="18"/>
              </w:rPr>
              <w:t>17 305</w:t>
            </w:r>
          </w:p>
        </w:tc>
      </w:tr>
    </w:tbl>
    <w:p w:rsidR="00000000" w:rsidRDefault="004D2F83">
      <w:pPr>
        <w:spacing w:after="240" w:line="360" w:lineRule="exact"/>
        <w:rPr>
          <w:rFonts w:hint="eastAsia"/>
          <w:sz w:val="18"/>
        </w:rPr>
      </w:pPr>
      <w:r>
        <w:rPr>
          <w:rFonts w:eastAsia="SimHei" w:hint="eastAsia"/>
          <w:sz w:val="18"/>
        </w:rPr>
        <w:t>资料来源</w:t>
      </w:r>
      <w:r>
        <w:rPr>
          <w:rFonts w:hint="eastAsia"/>
          <w:sz w:val="18"/>
        </w:rPr>
        <w:t>：人力资源秘书处</w:t>
      </w:r>
      <w:r>
        <w:rPr>
          <w:rFonts w:hint="eastAsia"/>
          <w:sz w:val="18"/>
        </w:rPr>
        <w:t>/</w:t>
      </w:r>
      <w:r>
        <w:rPr>
          <w:rFonts w:hint="eastAsia"/>
          <w:sz w:val="18"/>
        </w:rPr>
        <w:t>联邦行政与州改革事务部。</w:t>
      </w:r>
    </w:p>
    <w:p w:rsidR="00000000" w:rsidRDefault="004D2F83" w:rsidP="004D2F83">
      <w:pPr>
        <w:pStyle w:val="1"/>
        <w:adjustRightInd w:val="0"/>
        <w:spacing w:after="240" w:line="360" w:lineRule="exact"/>
        <w:ind w:firstLine="31680"/>
        <w:textAlignment w:val="baseline"/>
        <w:rPr>
          <w:rFonts w:hint="eastAsia"/>
          <w:kern w:val="0"/>
          <w:szCs w:val="20"/>
        </w:rPr>
      </w:pPr>
      <w:r>
        <w:rPr>
          <w:rFonts w:hint="eastAsia"/>
          <w:kern w:val="0"/>
          <w:szCs w:val="20"/>
        </w:rPr>
        <w:t>在上文的例子中，关于直接行政机构、政府机构和基金会的数据表明其男女雇员的数量相当均衡。所有其他领域的情况也一样。但在政府高级管理和助理职位上任职的男女人数却没有体现出同样的均衡：随着高级管理和助理薪金的增长，在这些职位上任职的女性人数呈下降趋势。</w:t>
      </w:r>
    </w:p>
    <w:p w:rsidR="00000000" w:rsidRDefault="004D2F83" w:rsidP="004D2F83">
      <w:pPr>
        <w:spacing w:after="240" w:line="360" w:lineRule="exact"/>
        <w:ind w:firstLineChars="200" w:firstLine="31680"/>
        <w:rPr>
          <w:rFonts w:hint="eastAsia"/>
        </w:rPr>
      </w:pPr>
      <w:r>
        <w:rPr>
          <w:rFonts w:hint="eastAsia"/>
        </w:rPr>
        <w:t>对报告提供的数据的分析表明，当今妇女在巴西社会中发挥着重要的作用</w:t>
      </w:r>
      <w:r>
        <w:rPr>
          <w:rFonts w:hint="eastAsia"/>
        </w:rPr>
        <w:t>：在学校、大学以及各行各业。然而在大多数部门和机构中，掌握着高层实权职位的妇女仍然是少数。造成这种局面的原因是多方面的，比如长期以来始终将政治空间作为男性特权的文化的存在。</w:t>
      </w:r>
    </w:p>
    <w:p w:rsidR="00000000" w:rsidRDefault="004D2F83" w:rsidP="004D2F83">
      <w:pPr>
        <w:spacing w:after="240" w:line="360" w:lineRule="exact"/>
        <w:ind w:firstLineChars="200" w:firstLine="31680"/>
        <w:rPr>
          <w:rFonts w:hint="eastAsia"/>
        </w:rPr>
      </w:pPr>
      <w:r>
        <w:rPr>
          <w:rFonts w:hint="eastAsia"/>
        </w:rPr>
        <w:t>值得注意的是，女性直到</w:t>
      </w:r>
      <w:r>
        <w:rPr>
          <w:rFonts w:hint="eastAsia"/>
        </w:rPr>
        <w:t>1932</w:t>
      </w:r>
      <w:r>
        <w:rPr>
          <w:rFonts w:hint="eastAsia"/>
        </w:rPr>
        <w:t>年才争取到了选举权。女性参与民选职位的竞选更是最近才出现的事：第一位当选女参议员（玛卢斯·平托—民主社会党</w:t>
      </w:r>
      <w:r>
        <w:rPr>
          <w:rFonts w:hint="eastAsia"/>
        </w:rPr>
        <w:t>/</w:t>
      </w:r>
      <w:r>
        <w:rPr>
          <w:rFonts w:hint="eastAsia"/>
        </w:rPr>
        <w:t>自由阵线党</w:t>
      </w:r>
      <w:r>
        <w:rPr>
          <w:rFonts w:hint="eastAsia"/>
        </w:rPr>
        <w:t>/RR</w:t>
      </w:r>
      <w:r>
        <w:rPr>
          <w:rFonts w:hint="eastAsia"/>
        </w:rPr>
        <w:t>）的任期为</w:t>
      </w:r>
      <w:r>
        <w:rPr>
          <w:rFonts w:hint="eastAsia"/>
        </w:rPr>
        <w:t>1991</w:t>
      </w:r>
      <w:r>
        <w:rPr>
          <w:rFonts w:hint="eastAsia"/>
        </w:rPr>
        <w:t>到</w:t>
      </w:r>
      <w:r>
        <w:rPr>
          <w:rFonts w:hint="eastAsia"/>
        </w:rPr>
        <w:t>1995</w:t>
      </w:r>
      <w:r>
        <w:rPr>
          <w:rFonts w:hint="eastAsia"/>
        </w:rPr>
        <w:t>年；</w:t>
      </w:r>
      <w:r>
        <w:rPr>
          <w:rStyle w:val="FootnoteReference"/>
        </w:rPr>
        <w:footnoteReference w:customMarkFollows="1" w:id="87"/>
        <w:t>87</w:t>
      </w:r>
      <w:r>
        <w:rPr>
          <w:rFonts w:hint="eastAsia"/>
        </w:rPr>
        <w:t xml:space="preserve"> </w:t>
      </w:r>
      <w:r>
        <w:rPr>
          <w:rFonts w:hint="eastAsia"/>
        </w:rPr>
        <w:t>第一位、也是唯一一位女州长于</w:t>
      </w:r>
      <w:r>
        <w:rPr>
          <w:rFonts w:hint="eastAsia"/>
        </w:rPr>
        <w:t>1994</w:t>
      </w:r>
      <w:r>
        <w:rPr>
          <w:rFonts w:hint="eastAsia"/>
        </w:rPr>
        <w:t>年当选，并在</w:t>
      </w:r>
      <w:r>
        <w:rPr>
          <w:rFonts w:hint="eastAsia"/>
        </w:rPr>
        <w:t>1998</w:t>
      </w:r>
      <w:r>
        <w:rPr>
          <w:rFonts w:hint="eastAsia"/>
        </w:rPr>
        <w:t>年再次当选。</w:t>
      </w:r>
      <w:r>
        <w:rPr>
          <w:rStyle w:val="FootnoteReference"/>
        </w:rPr>
        <w:footnoteReference w:customMarkFollows="1" w:id="88"/>
        <w:t>88</w:t>
      </w:r>
      <w:r>
        <w:rPr>
          <w:rFonts w:hint="eastAsia"/>
        </w:rPr>
        <w:t xml:space="preserve"> </w:t>
      </w:r>
      <w:r>
        <w:rPr>
          <w:rFonts w:hint="eastAsia"/>
        </w:rPr>
        <w:t>但在另一方面，由于男子工作不稳定，也由于国家在这个问题上重视不够，照顾家</w:t>
      </w:r>
      <w:r>
        <w:rPr>
          <w:rFonts w:hint="eastAsia"/>
        </w:rPr>
        <w:t>庭和孩子的责任仍然落在妇女肩上。</w:t>
      </w:r>
    </w:p>
    <w:p w:rsidR="00000000" w:rsidRDefault="004D2F83" w:rsidP="004D2F83">
      <w:pPr>
        <w:spacing w:after="240" w:line="360" w:lineRule="exact"/>
        <w:ind w:firstLineChars="200" w:firstLine="31680"/>
        <w:rPr>
          <w:rFonts w:hint="eastAsia"/>
        </w:rPr>
      </w:pPr>
      <w:r>
        <w:rPr>
          <w:rFonts w:hint="eastAsia"/>
        </w:rPr>
        <w:t>迄今执行的政策需要拓展政策范围。有些政府部门已经采取积极措施来消除种族和性别歧视，但这还不够。这些政策应体现出政府指导原则，每一部委、基金会、政府机构及立法和司法部门都必须遵照执行。</w:t>
      </w:r>
    </w:p>
    <w:p w:rsidR="00000000" w:rsidRDefault="004D2F83" w:rsidP="004D2F83">
      <w:pPr>
        <w:spacing w:after="240" w:line="360" w:lineRule="exact"/>
        <w:ind w:firstLineChars="200" w:firstLine="31680"/>
        <w:rPr>
          <w:rFonts w:hint="eastAsia"/>
        </w:rPr>
      </w:pPr>
      <w:r>
        <w:rPr>
          <w:rFonts w:hint="eastAsia"/>
        </w:rPr>
        <w:t>同样重要的是，要制订并执行着眼于性别和种族</w:t>
      </w:r>
      <w:r>
        <w:rPr>
          <w:rFonts w:hint="eastAsia"/>
        </w:rPr>
        <w:t>/</w:t>
      </w:r>
      <w:r>
        <w:rPr>
          <w:rFonts w:hint="eastAsia"/>
        </w:rPr>
        <w:t>民族问题的公共政策，需要将各种问题都考虑在内：教育、暴力、卫生和权力。最后，各种计划、项目和服务都可以在巴西国内各州和城市照搬执行和传播，这一点也很重要。同样值得强调指出的还有，必须为实行和强制执行这些着眼于性别和</w:t>
      </w:r>
      <w:r>
        <w:rPr>
          <w:rFonts w:hint="eastAsia"/>
        </w:rPr>
        <w:t>/</w:t>
      </w:r>
      <w:r>
        <w:rPr>
          <w:rFonts w:hint="eastAsia"/>
        </w:rPr>
        <w:t>或种族</w:t>
      </w:r>
      <w:r>
        <w:rPr>
          <w:rFonts w:hint="eastAsia"/>
        </w:rPr>
        <w:t>/</w:t>
      </w:r>
      <w:r>
        <w:rPr>
          <w:rFonts w:hint="eastAsia"/>
        </w:rPr>
        <w:t>民族问题的政策划拨专项公共</w:t>
      </w:r>
      <w:r>
        <w:rPr>
          <w:rFonts w:hint="eastAsia"/>
        </w:rPr>
        <w:t>预算资金。</w:t>
      </w:r>
    </w:p>
    <w:p w:rsidR="00000000" w:rsidRDefault="004D2F83" w:rsidP="004D2F83">
      <w:pPr>
        <w:spacing w:after="240" w:line="360" w:lineRule="exact"/>
        <w:ind w:firstLineChars="200" w:firstLine="31680"/>
        <w:rPr>
          <w:rFonts w:hint="eastAsia"/>
        </w:rPr>
      </w:pPr>
    </w:p>
    <w:p w:rsidR="00000000" w:rsidRDefault="004D2F83" w:rsidP="004D2F83">
      <w:pPr>
        <w:spacing w:line="360" w:lineRule="exact"/>
        <w:ind w:firstLineChars="200" w:firstLine="31680"/>
        <w:jc w:val="center"/>
        <w:rPr>
          <w:rFonts w:eastAsia="KaiTi_GB2312"/>
          <w:b/>
          <w:bCs/>
          <w:sz w:val="24"/>
        </w:rPr>
      </w:pPr>
      <w:r>
        <w:rPr>
          <w:rFonts w:eastAsia="KaiTi_GB2312"/>
          <w:b/>
          <w:bCs/>
          <w:sz w:val="24"/>
        </w:rPr>
        <w:br w:type="page"/>
      </w:r>
    </w:p>
    <w:p w:rsidR="00000000" w:rsidRDefault="004D2F83">
      <w:pPr>
        <w:pStyle w:val="Heading3"/>
        <w:numPr>
          <w:ilvl w:val="0"/>
          <w:numId w:val="0"/>
        </w:numPr>
        <w:spacing w:before="0"/>
        <w:jc w:val="center"/>
        <w:rPr>
          <w:rFonts w:ascii="KaiTi_GB2312" w:eastAsia="KaiTi_GB2312" w:hint="eastAsia"/>
          <w:b/>
          <w:bCs/>
          <w:u w:val="none"/>
        </w:rPr>
      </w:pPr>
      <w:bookmarkStart w:id="14" w:name="_Toc36367084"/>
      <w:r>
        <w:rPr>
          <w:rFonts w:ascii="KaiTi_GB2312" w:eastAsia="KaiTi_GB2312" w:hint="eastAsia"/>
          <w:b/>
          <w:bCs/>
          <w:u w:val="none"/>
        </w:rPr>
        <w:t>第</w:t>
      </w:r>
      <w:r>
        <w:rPr>
          <w:rFonts w:ascii="KaiTi_GB2312" w:eastAsia="KaiTi_GB2312" w:hint="eastAsia"/>
          <w:b/>
          <w:bCs/>
          <w:u w:val="none"/>
        </w:rPr>
        <w:t>8</w:t>
      </w:r>
      <w:r>
        <w:rPr>
          <w:rFonts w:ascii="KaiTi_GB2312" w:eastAsia="KaiTi_GB2312" w:hint="eastAsia"/>
          <w:b/>
          <w:bCs/>
          <w:u w:val="none"/>
        </w:rPr>
        <w:t>条</w:t>
      </w:r>
      <w:bookmarkEnd w:id="14"/>
    </w:p>
    <w:p w:rsidR="00000000" w:rsidRDefault="004D2F83" w:rsidP="004D2F83">
      <w:pPr>
        <w:spacing w:after="240" w:line="360" w:lineRule="exact"/>
        <w:ind w:firstLineChars="200" w:firstLine="31680"/>
        <w:rPr>
          <w:rFonts w:eastAsia="KaiTi_GB2312" w:hint="eastAsia"/>
          <w:b/>
          <w:bCs/>
        </w:rPr>
      </w:pPr>
      <w:r>
        <w:rPr>
          <w:rFonts w:eastAsia="KaiTi_GB2312" w:hint="eastAsia"/>
          <w:b/>
          <w:bCs/>
        </w:rPr>
        <w:t>缔约各国应采取一切适当措施，保证妇女在与男子平等不受任何歧视的条件下，有机会在国际上代表本国政府参加各国际组织的工作。</w:t>
      </w:r>
    </w:p>
    <w:p w:rsidR="00000000" w:rsidRDefault="004D2F83" w:rsidP="004D2F83">
      <w:pPr>
        <w:spacing w:after="240" w:line="360" w:lineRule="exact"/>
        <w:ind w:firstLineChars="200" w:firstLine="31680"/>
        <w:rPr>
          <w:rFonts w:hint="eastAsia"/>
        </w:rPr>
      </w:pPr>
      <w:r>
        <w:rPr>
          <w:rFonts w:hint="eastAsia"/>
        </w:rPr>
        <w:t>1918</w:t>
      </w:r>
      <w:r>
        <w:rPr>
          <w:rFonts w:hint="eastAsia"/>
        </w:rPr>
        <w:t>年以来，巴西妇女一直在努力争取上文条约第八条所规定的平等权利。但这方面的进展相当缓慢。目前在巴西的海外代表机构中工作的女性比例仍然很低：只有</w:t>
      </w:r>
      <w:r>
        <w:t>18.2%</w:t>
      </w:r>
      <w:r>
        <w:rPr>
          <w:rFonts w:hint="eastAsia"/>
        </w:rPr>
        <w:t>，而且由于</w:t>
      </w:r>
      <w:r>
        <w:rPr>
          <w:rFonts w:hint="eastAsia"/>
        </w:rPr>
        <w:t>1938</w:t>
      </w:r>
      <w:r>
        <w:rPr>
          <w:rFonts w:hint="eastAsia"/>
        </w:rPr>
        <w:t>到</w:t>
      </w:r>
      <w:r>
        <w:rPr>
          <w:rFonts w:hint="eastAsia"/>
        </w:rPr>
        <w:t>1954</w:t>
      </w:r>
      <w:r>
        <w:rPr>
          <w:rFonts w:hint="eastAsia"/>
        </w:rPr>
        <w:t>年期间禁止女性进入外交界，甚至还出现了倒退。</w:t>
      </w:r>
    </w:p>
    <w:p w:rsidR="00000000" w:rsidRDefault="004D2F83">
      <w:pPr>
        <w:spacing w:after="240" w:line="360" w:lineRule="exact"/>
        <w:rPr>
          <w:rFonts w:eastAsia="SimHei" w:hint="eastAsia"/>
          <w:sz w:val="24"/>
        </w:rPr>
      </w:pPr>
      <w:r>
        <w:rPr>
          <w:rFonts w:eastAsia="SimHei" w:hint="eastAsia"/>
          <w:sz w:val="24"/>
        </w:rPr>
        <w:t>立法措施</w:t>
      </w:r>
    </w:p>
    <w:p w:rsidR="00000000" w:rsidRDefault="004D2F83" w:rsidP="004D2F83">
      <w:pPr>
        <w:spacing w:after="240" w:line="360" w:lineRule="exact"/>
        <w:ind w:firstLineChars="200" w:firstLine="31680"/>
        <w:rPr>
          <w:rFonts w:hint="eastAsia"/>
        </w:rPr>
      </w:pPr>
      <w:r>
        <w:rPr>
          <w:rFonts w:hint="eastAsia"/>
        </w:rPr>
        <w:t>1918</w:t>
      </w:r>
      <w:r>
        <w:rPr>
          <w:rFonts w:hint="eastAsia"/>
        </w:rPr>
        <w:t>年，玛丽亚·若泽·德·卡斯特罗·拉贝洛·门德斯通过公开选拔考试，成为第一位获准进入对外关系部（</w:t>
      </w:r>
      <w:r>
        <w:rPr>
          <w:rFonts w:hint="eastAsia"/>
        </w:rPr>
        <w:t>MRE</w:t>
      </w:r>
      <w:r>
        <w:rPr>
          <w:rFonts w:hint="eastAsia"/>
        </w:rPr>
        <w:t>）的女性。她还是</w:t>
      </w:r>
      <w:r>
        <w:rPr>
          <w:rFonts w:hint="eastAsia"/>
        </w:rPr>
        <w:t>巴西政府的一名公务员。</w:t>
      </w:r>
      <w:r>
        <w:rPr>
          <w:rStyle w:val="FootnoteReference"/>
        </w:rPr>
        <w:footnoteReference w:customMarkFollows="1" w:id="89"/>
        <w:t>89</w:t>
      </w:r>
      <w:r>
        <w:rPr>
          <w:rFonts w:hint="eastAsia"/>
        </w:rPr>
        <w:t xml:space="preserve"> </w:t>
      </w:r>
      <w:r>
        <w:rPr>
          <w:rFonts w:hint="eastAsia"/>
        </w:rPr>
        <w:t>她获准参加考试，是基于一种理解，即</w:t>
      </w:r>
      <w:r>
        <w:rPr>
          <w:rFonts w:hint="eastAsia"/>
        </w:rPr>
        <w:t>1891</w:t>
      </w:r>
      <w:r>
        <w:rPr>
          <w:rFonts w:hint="eastAsia"/>
        </w:rPr>
        <w:t>年宪法中提及的“每一名巴西人”并没有将女性排除在外，而是将男女都包括在内。</w:t>
      </w:r>
      <w:r>
        <w:rPr>
          <w:rStyle w:val="FootnoteReference"/>
        </w:rPr>
        <w:footnoteReference w:customMarkFollows="1" w:id="90"/>
        <w:t>90</w:t>
      </w:r>
    </w:p>
    <w:p w:rsidR="00000000" w:rsidRDefault="004D2F83" w:rsidP="004D2F83">
      <w:pPr>
        <w:spacing w:after="240" w:line="360" w:lineRule="exact"/>
        <w:ind w:firstLineChars="200" w:firstLine="31680"/>
        <w:rPr>
          <w:rFonts w:hint="eastAsia"/>
        </w:rPr>
      </w:pPr>
      <w:r>
        <w:rPr>
          <w:rFonts w:hint="eastAsia"/>
        </w:rPr>
        <w:t>对外关系部的雇员当时分为三类：外交团，领事团和国务秘书处官员。玛丽亚·若泽·德·卡斯特罗·拉贝洛·门德斯属于第三类雇员。在她之后，又有其他妇女进入这一领域。</w:t>
      </w:r>
    </w:p>
    <w:p w:rsidR="00000000" w:rsidRDefault="004D2F83" w:rsidP="004D2F83">
      <w:pPr>
        <w:spacing w:after="240" w:line="360" w:lineRule="exact"/>
        <w:ind w:firstLineChars="200" w:firstLine="31680"/>
        <w:rPr>
          <w:rFonts w:hint="eastAsia"/>
        </w:rPr>
      </w:pPr>
      <w:r>
        <w:rPr>
          <w:rFonts w:hint="eastAsia"/>
        </w:rPr>
        <w:t>1931</w:t>
      </w:r>
      <w:r>
        <w:rPr>
          <w:rFonts w:hint="eastAsia"/>
        </w:rPr>
        <w:t>年</w:t>
      </w:r>
      <w:r>
        <w:rPr>
          <w:rFonts w:hint="eastAsia"/>
        </w:rPr>
        <w:t>1</w:t>
      </w:r>
      <w:r>
        <w:rPr>
          <w:rFonts w:hint="eastAsia"/>
        </w:rPr>
        <w:t>月</w:t>
      </w:r>
      <w:r>
        <w:rPr>
          <w:rFonts w:hint="eastAsia"/>
        </w:rPr>
        <w:t>15</w:t>
      </w:r>
      <w:r>
        <w:rPr>
          <w:rFonts w:hint="eastAsia"/>
        </w:rPr>
        <w:t>日颁布的第</w:t>
      </w:r>
      <w:r>
        <w:t>19.952</w:t>
      </w:r>
      <w:r>
        <w:rPr>
          <w:rFonts w:hint="eastAsia"/>
        </w:rPr>
        <w:t>号法令（阿弗拉尼奥·德·梅洛·弗朗哥改革）拉开了对外关系部改革的序幕，此次改革起源于一项原则——对外关系部的全体雇员都必须轮流在国外和巴西国内工作。这使得国务秘书处</w:t>
      </w:r>
      <w:r>
        <w:rPr>
          <w:rFonts w:hint="eastAsia"/>
        </w:rPr>
        <w:t>的职位被取消，原本担任这些职务的妇女被调入领事团，但没有一人被调入外交团。</w:t>
      </w:r>
      <w:r>
        <w:rPr>
          <w:rFonts w:hint="eastAsia"/>
        </w:rPr>
        <w:t>1938</w:t>
      </w:r>
      <w:r>
        <w:rPr>
          <w:rFonts w:hint="eastAsia"/>
        </w:rPr>
        <w:t>年</w:t>
      </w:r>
      <w:r>
        <w:rPr>
          <w:rFonts w:hint="eastAsia"/>
        </w:rPr>
        <w:t>10</w:t>
      </w:r>
      <w:r>
        <w:rPr>
          <w:rFonts w:hint="eastAsia"/>
        </w:rPr>
        <w:t>月</w:t>
      </w:r>
      <w:r>
        <w:rPr>
          <w:rFonts w:hint="eastAsia"/>
        </w:rPr>
        <w:t>14</w:t>
      </w:r>
      <w:r>
        <w:rPr>
          <w:rFonts w:hint="eastAsia"/>
        </w:rPr>
        <w:t>日颁布的第</w:t>
      </w:r>
      <w:r>
        <w:rPr>
          <w:rFonts w:hint="eastAsia"/>
        </w:rPr>
        <w:t>791</w:t>
      </w:r>
      <w:r>
        <w:rPr>
          <w:rFonts w:hint="eastAsia"/>
        </w:rPr>
        <w:t>号法令（奥斯瓦尔多·阿拉尼亚改革）启动了对外关系部的新一轮改革，将外交团与领事团合并，“外交职业”应运而生。这项具有法律效力的法令第</w:t>
      </w:r>
      <w:r>
        <w:rPr>
          <w:rFonts w:hint="eastAsia"/>
        </w:rPr>
        <w:t>30</w:t>
      </w:r>
      <w:r>
        <w:rPr>
          <w:rFonts w:hint="eastAsia"/>
        </w:rPr>
        <w:t>条中的单立款规定，只有“男性”巴西人才可以进入外交职业，明确地表达出对女性外交人员的歧视。</w:t>
      </w:r>
    </w:p>
    <w:p w:rsidR="00000000" w:rsidRDefault="004D2F83" w:rsidP="004D2F83">
      <w:pPr>
        <w:spacing w:after="240" w:line="360" w:lineRule="exact"/>
        <w:ind w:firstLineChars="200" w:firstLine="31680"/>
        <w:rPr>
          <w:rFonts w:hint="eastAsia"/>
        </w:rPr>
      </w:pPr>
      <w:r>
        <w:rPr>
          <w:rFonts w:hint="eastAsia"/>
        </w:rPr>
        <w:t>在</w:t>
      </w:r>
      <w:r>
        <w:rPr>
          <w:rFonts w:hint="eastAsia"/>
        </w:rPr>
        <w:t>1918</w:t>
      </w:r>
      <w:r>
        <w:rPr>
          <w:rFonts w:hint="eastAsia"/>
        </w:rPr>
        <w:t>至</w:t>
      </w:r>
      <w:r>
        <w:rPr>
          <w:rFonts w:hint="eastAsia"/>
        </w:rPr>
        <w:t>1938</w:t>
      </w:r>
      <w:r>
        <w:rPr>
          <w:rFonts w:hint="eastAsia"/>
        </w:rPr>
        <w:t>年间进入对外关系部工作的大约</w:t>
      </w:r>
      <w:r>
        <w:rPr>
          <w:rFonts w:hint="eastAsia"/>
        </w:rPr>
        <w:t>20</w:t>
      </w:r>
      <w:r>
        <w:rPr>
          <w:rFonts w:hint="eastAsia"/>
        </w:rPr>
        <w:t>名妇女当中，只有三人分别在</w:t>
      </w:r>
      <w:r>
        <w:rPr>
          <w:rFonts w:hint="eastAsia"/>
        </w:rPr>
        <w:t>1957</w:t>
      </w:r>
      <w:r>
        <w:rPr>
          <w:rFonts w:hint="eastAsia"/>
        </w:rPr>
        <w:t>、</w:t>
      </w:r>
      <w:r>
        <w:rPr>
          <w:rFonts w:hint="eastAsia"/>
        </w:rPr>
        <w:t>1960</w:t>
      </w:r>
      <w:r>
        <w:rPr>
          <w:rFonts w:hint="eastAsia"/>
        </w:rPr>
        <w:t>和</w:t>
      </w:r>
      <w:r>
        <w:rPr>
          <w:rFonts w:hint="eastAsia"/>
        </w:rPr>
        <w:t>1972</w:t>
      </w:r>
      <w:r>
        <w:rPr>
          <w:rFonts w:hint="eastAsia"/>
        </w:rPr>
        <w:t>年担任最高层的职位。首先是奥黛特·德·卡瓦略·索萨女士，她是到目前为</w:t>
      </w:r>
      <w:r>
        <w:rPr>
          <w:rFonts w:hint="eastAsia"/>
        </w:rPr>
        <w:t>止在对外关系部国务秘书处中职位最显赫的女性。</w:t>
      </w:r>
      <w:r>
        <w:rPr>
          <w:rStyle w:val="FootnoteReference"/>
        </w:rPr>
        <w:footnoteReference w:customMarkFollows="1" w:id="91"/>
        <w:t>91</w:t>
      </w:r>
      <w:r>
        <w:rPr>
          <w:rFonts w:hint="eastAsia"/>
        </w:rPr>
        <w:t>1984</w:t>
      </w:r>
      <w:r>
        <w:rPr>
          <w:rFonts w:hint="eastAsia"/>
        </w:rPr>
        <w:t>年巴西批准了《消除对妇女一切形式歧视公约》，此时最初的三位女大使已经退休，巴西没有一名在任的女大使。</w:t>
      </w:r>
    </w:p>
    <w:p w:rsidR="00000000" w:rsidRDefault="004D2F83" w:rsidP="004D2F83">
      <w:pPr>
        <w:spacing w:after="240" w:line="360" w:lineRule="exact"/>
        <w:ind w:firstLineChars="200" w:firstLine="31680"/>
        <w:rPr>
          <w:rFonts w:hint="eastAsia"/>
        </w:rPr>
      </w:pPr>
      <w:r>
        <w:rPr>
          <w:rFonts w:hint="eastAsia"/>
        </w:rPr>
        <w:t>直到</w:t>
      </w:r>
      <w:r>
        <w:rPr>
          <w:rFonts w:hint="eastAsia"/>
        </w:rPr>
        <w:t>1954</w:t>
      </w:r>
      <w:r>
        <w:rPr>
          <w:rFonts w:hint="eastAsia"/>
        </w:rPr>
        <w:t>年</w:t>
      </w:r>
      <w:r>
        <w:rPr>
          <w:rFonts w:hint="eastAsia"/>
        </w:rPr>
        <w:t>1</w:t>
      </w:r>
      <w:r>
        <w:rPr>
          <w:rFonts w:hint="eastAsia"/>
        </w:rPr>
        <w:t>月</w:t>
      </w:r>
      <w:r>
        <w:rPr>
          <w:rFonts w:hint="eastAsia"/>
        </w:rPr>
        <w:t>18</w:t>
      </w:r>
      <w:r>
        <w:rPr>
          <w:rFonts w:hint="eastAsia"/>
        </w:rPr>
        <w:t>日第</w:t>
      </w:r>
      <w:r>
        <w:t>2.171</w:t>
      </w:r>
      <w:r>
        <w:rPr>
          <w:rFonts w:hint="eastAsia"/>
        </w:rPr>
        <w:t>号法律得到批准，法律才允许女性进入外交职业。该项法律第</w:t>
      </w:r>
      <w:r>
        <w:rPr>
          <w:rFonts w:hint="eastAsia"/>
        </w:rPr>
        <w:t>1</w:t>
      </w:r>
      <w:r>
        <w:rPr>
          <w:rFonts w:hint="eastAsia"/>
        </w:rPr>
        <w:t>条规定，巴西人可以进入外交职业，“不受性别歧视”。</w:t>
      </w:r>
    </w:p>
    <w:p w:rsidR="00000000" w:rsidRDefault="004D2F83" w:rsidP="004D2F83">
      <w:pPr>
        <w:spacing w:after="240" w:line="360" w:lineRule="exact"/>
        <w:ind w:firstLineChars="200" w:firstLine="31680"/>
        <w:rPr>
          <w:rFonts w:hint="eastAsia"/>
        </w:rPr>
      </w:pPr>
      <w:r>
        <w:rPr>
          <w:rFonts w:hint="eastAsia"/>
        </w:rPr>
        <w:t>但在此之前，通向外交职业的大门——报名参加并通过里约布兰科外交职业学院的入学考试——在</w:t>
      </w:r>
      <w:r>
        <w:rPr>
          <w:rFonts w:hint="eastAsia"/>
        </w:rPr>
        <w:t>1952</w:t>
      </w:r>
      <w:r>
        <w:rPr>
          <w:rFonts w:hint="eastAsia"/>
        </w:rPr>
        <w:t>年就已经从法律上敞开了。当时，联邦最高法院接受了玛丽亚·桑德拉·科代罗·德·梅洛提交的书面陈词，梅洛得以报名参加考试</w:t>
      </w:r>
      <w:r>
        <w:rPr>
          <w:rFonts w:hint="eastAsia"/>
        </w:rPr>
        <w:t>。</w:t>
      </w:r>
    </w:p>
    <w:p w:rsidR="00000000" w:rsidRDefault="004D2F83" w:rsidP="004D2F83">
      <w:pPr>
        <w:spacing w:after="240" w:line="360" w:lineRule="exact"/>
        <w:ind w:firstLineChars="200" w:firstLine="31680"/>
        <w:rPr>
          <w:rFonts w:hint="eastAsia"/>
        </w:rPr>
      </w:pPr>
      <w:r>
        <w:rPr>
          <w:rFonts w:hint="eastAsia"/>
        </w:rPr>
        <w:t>如果说阻碍女性进入外交界的障碍已经被清除，但在另一方面，夫妇两人遇到的阻碍虽然在大体上经过一番艰苦的努力也可以克服，但却仍然存在。针对外交官夫妇的第一条规定是</w:t>
      </w:r>
      <w:r>
        <w:rPr>
          <w:rFonts w:hint="eastAsia"/>
        </w:rPr>
        <w:t>1946</w:t>
      </w:r>
      <w:r>
        <w:rPr>
          <w:rFonts w:hint="eastAsia"/>
        </w:rPr>
        <w:t>年</w:t>
      </w:r>
      <w:r>
        <w:rPr>
          <w:rFonts w:hint="eastAsia"/>
        </w:rPr>
        <w:t>4</w:t>
      </w:r>
      <w:r>
        <w:rPr>
          <w:rFonts w:hint="eastAsia"/>
        </w:rPr>
        <w:t>月</w:t>
      </w:r>
      <w:r>
        <w:rPr>
          <w:rFonts w:hint="eastAsia"/>
        </w:rPr>
        <w:t>26</w:t>
      </w:r>
      <w:r>
        <w:rPr>
          <w:rFonts w:hint="eastAsia"/>
        </w:rPr>
        <w:t>日第</w:t>
      </w:r>
      <w:r>
        <w:t>9</w:t>
      </w:r>
      <w:r>
        <w:rPr>
          <w:rFonts w:hint="eastAsia"/>
        </w:rPr>
        <w:t xml:space="preserve"> </w:t>
      </w:r>
      <w:r>
        <w:t>202</w:t>
      </w:r>
      <w:r>
        <w:rPr>
          <w:rFonts w:hint="eastAsia"/>
        </w:rPr>
        <w:t>号行政法的第</w:t>
      </w:r>
      <w:r>
        <w:rPr>
          <w:rFonts w:hint="eastAsia"/>
        </w:rPr>
        <w:t>3</w:t>
      </w:r>
      <w:r>
        <w:rPr>
          <w:rFonts w:hint="eastAsia"/>
        </w:rPr>
        <w:t>条第</w:t>
      </w:r>
      <w:r>
        <w:rPr>
          <w:rFonts w:hint="eastAsia"/>
        </w:rPr>
        <w:t>2</w:t>
      </w:r>
      <w:r>
        <w:rPr>
          <w:rFonts w:hint="eastAsia"/>
        </w:rPr>
        <w:t>段，该项法律规定，与同事结婚的女性外交人员必须辞职。这条规定阻止女性外交人员与同事结合（而这在以前是允许的），因为一旦出现这种情况，女性就必须放弃自己的职业。对外关系部的法律顾问对规定了新的《政府各部人事章程》的第</w:t>
      </w:r>
      <w:r>
        <w:t>3917</w:t>
      </w:r>
      <w:r>
        <w:rPr>
          <w:rFonts w:hint="eastAsia"/>
        </w:rPr>
        <w:t>号法律进行了解释之后，才重新允许外交人员之间联姻。但法律不允许外交官夫妻二人</w:t>
      </w:r>
      <w:r>
        <w:rPr>
          <w:rFonts w:hint="eastAsia"/>
        </w:rPr>
        <w:t>同时在海外工作。</w:t>
      </w:r>
      <w:r>
        <w:rPr>
          <w:rFonts w:hint="eastAsia"/>
        </w:rPr>
        <w:t>1966</w:t>
      </w:r>
      <w:r>
        <w:rPr>
          <w:rFonts w:hint="eastAsia"/>
        </w:rPr>
        <w:t>年</w:t>
      </w:r>
      <w:r>
        <w:rPr>
          <w:rFonts w:hint="eastAsia"/>
        </w:rPr>
        <w:t>11</w:t>
      </w:r>
      <w:r>
        <w:rPr>
          <w:rFonts w:hint="eastAsia"/>
        </w:rPr>
        <w:t>月</w:t>
      </w:r>
      <w:r>
        <w:rPr>
          <w:rFonts w:hint="eastAsia"/>
        </w:rPr>
        <w:t>21</w:t>
      </w:r>
      <w:r>
        <w:rPr>
          <w:rFonts w:hint="eastAsia"/>
        </w:rPr>
        <w:t>日第</w:t>
      </w:r>
      <w:r>
        <w:rPr>
          <w:rFonts w:hint="eastAsia"/>
        </w:rPr>
        <w:t>69</w:t>
      </w:r>
      <w:r>
        <w:rPr>
          <w:rFonts w:hint="eastAsia"/>
        </w:rPr>
        <w:t>号法律第</w:t>
      </w:r>
      <w:r>
        <w:rPr>
          <w:rFonts w:hint="eastAsia"/>
        </w:rPr>
        <w:t>6</w:t>
      </w:r>
      <w:r>
        <w:rPr>
          <w:rFonts w:hint="eastAsia"/>
        </w:rPr>
        <w:t>条第</w:t>
      </w:r>
      <w:r>
        <w:rPr>
          <w:rFonts w:hint="eastAsia"/>
        </w:rPr>
        <w:t>8</w:t>
      </w:r>
      <w:r>
        <w:rPr>
          <w:rFonts w:hint="eastAsia"/>
        </w:rPr>
        <w:t>项规定，外交官夫妇可以“暂时解除他或她的职务”（作为停薪留职，以便陪伴尚未被列入退休名单的另一方）。《行政法》并未规定配偶中的哪一方应休假，但在实际情况中，由于文化习俗认为丈夫的事业总是重于妻子的事业、因而妻子应该为丈夫牺牲自己的事业，休假的总是女性外交人员。造成这种情况的原因之一是</w:t>
      </w:r>
      <w:r>
        <w:rPr>
          <w:rFonts w:hint="eastAsia"/>
        </w:rPr>
        <w:t>1973</w:t>
      </w:r>
      <w:r>
        <w:rPr>
          <w:rFonts w:hint="eastAsia"/>
        </w:rPr>
        <w:t>年</w:t>
      </w:r>
      <w:r>
        <w:rPr>
          <w:rFonts w:hint="eastAsia"/>
        </w:rPr>
        <w:t>5</w:t>
      </w:r>
      <w:r>
        <w:rPr>
          <w:rFonts w:hint="eastAsia"/>
        </w:rPr>
        <w:t>月</w:t>
      </w:r>
      <w:r>
        <w:rPr>
          <w:rFonts w:hint="eastAsia"/>
        </w:rPr>
        <w:t>31</w:t>
      </w:r>
      <w:r>
        <w:rPr>
          <w:rFonts w:hint="eastAsia"/>
        </w:rPr>
        <w:t>日第</w:t>
      </w:r>
      <w:r>
        <w:t>58</w:t>
      </w:r>
      <w:r>
        <w:rPr>
          <w:rFonts w:hint="eastAsia"/>
        </w:rPr>
        <w:t>8</w:t>
      </w:r>
      <w:r>
        <w:t>7</w:t>
      </w:r>
      <w:r>
        <w:rPr>
          <w:rFonts w:hint="eastAsia"/>
        </w:rPr>
        <w:t>号法律，该法律规定了上述休假，同时在第</w:t>
      </w:r>
      <w:r>
        <w:rPr>
          <w:rFonts w:hint="eastAsia"/>
        </w:rPr>
        <w:t>7</w:t>
      </w:r>
      <w:r>
        <w:rPr>
          <w:rFonts w:hint="eastAsia"/>
        </w:rPr>
        <w:t>段中规定，在涉及退休和其他福利时应适当地考虑到休假时间的长短。直到</w:t>
      </w:r>
      <w:r>
        <w:rPr>
          <w:rFonts w:hint="eastAsia"/>
        </w:rPr>
        <w:t>1986</w:t>
      </w:r>
      <w:r>
        <w:rPr>
          <w:rFonts w:hint="eastAsia"/>
        </w:rPr>
        <w:t>年</w:t>
      </w:r>
      <w:r>
        <w:rPr>
          <w:rFonts w:hint="eastAsia"/>
        </w:rPr>
        <w:t>6</w:t>
      </w:r>
      <w:r>
        <w:rPr>
          <w:rFonts w:hint="eastAsia"/>
        </w:rPr>
        <w:t>月</w:t>
      </w:r>
      <w:r>
        <w:rPr>
          <w:rFonts w:hint="eastAsia"/>
        </w:rPr>
        <w:t>27</w:t>
      </w:r>
      <w:r>
        <w:rPr>
          <w:rFonts w:hint="eastAsia"/>
        </w:rPr>
        <w:t>日颁布了第</w:t>
      </w:r>
      <w:r>
        <w:t>75</w:t>
      </w:r>
      <w:r>
        <w:t>01</w:t>
      </w:r>
      <w:r>
        <w:rPr>
          <w:rFonts w:hint="eastAsia"/>
        </w:rPr>
        <w:t>号法律，才允许外交官夫妇同时被派往海外工作。法律允许外交官夫妇在以下两种方案中选择其一：停薪留职（为退休和其他福利起见，可以考虑这一方案）；夫妇二人同时被派往同一个外交代表机构或是同一城市的另一个职位。</w:t>
      </w:r>
    </w:p>
    <w:p w:rsidR="00000000" w:rsidRDefault="004D2F83" w:rsidP="004D2F83">
      <w:pPr>
        <w:spacing w:after="240" w:line="360" w:lineRule="exact"/>
        <w:ind w:firstLineChars="200" w:firstLine="31680"/>
        <w:rPr>
          <w:rFonts w:hint="eastAsia"/>
        </w:rPr>
      </w:pPr>
      <w:r>
        <w:rPr>
          <w:rFonts w:hint="eastAsia"/>
        </w:rPr>
        <w:t>1996</w:t>
      </w:r>
      <w:r>
        <w:rPr>
          <w:rFonts w:hint="eastAsia"/>
        </w:rPr>
        <w:t>年</w:t>
      </w:r>
      <w:r>
        <w:rPr>
          <w:rFonts w:hint="eastAsia"/>
        </w:rPr>
        <w:t>12</w:t>
      </w:r>
      <w:r>
        <w:rPr>
          <w:rFonts w:hint="eastAsia"/>
        </w:rPr>
        <w:t>月</w:t>
      </w:r>
      <w:r>
        <w:rPr>
          <w:rFonts w:hint="eastAsia"/>
        </w:rPr>
        <w:t>19</w:t>
      </w:r>
      <w:r>
        <w:rPr>
          <w:rFonts w:hint="eastAsia"/>
        </w:rPr>
        <w:t>日第</w:t>
      </w:r>
      <w:r>
        <w:t>9392</w:t>
      </w:r>
      <w:r>
        <w:rPr>
          <w:rFonts w:hint="eastAsia"/>
        </w:rPr>
        <w:t>号法律取消了最后一项消极规定——派驻海外的外交官夫妇的薪水不平等。薪金被削减了</w:t>
      </w:r>
      <w:r>
        <w:rPr>
          <w:rFonts w:hint="eastAsia"/>
        </w:rPr>
        <w:t>40%</w:t>
      </w:r>
      <w:r>
        <w:rPr>
          <w:rFonts w:hint="eastAsia"/>
        </w:rPr>
        <w:t>。</w:t>
      </w:r>
    </w:p>
    <w:p w:rsidR="00000000" w:rsidRDefault="004D2F83" w:rsidP="004D2F83">
      <w:pPr>
        <w:spacing w:after="240" w:line="360" w:lineRule="exact"/>
        <w:ind w:firstLineChars="200" w:firstLine="31680"/>
        <w:rPr>
          <w:rFonts w:hint="eastAsia"/>
        </w:rPr>
      </w:pPr>
      <w:r>
        <w:rPr>
          <w:rFonts w:hint="eastAsia"/>
        </w:rPr>
        <w:t>外交职业中目前已经没有了性别歧视性法规。但上述偏见与障碍阻碍了某些与同事结合的女性外交人员的事业发展，减少了女性外交人员、特别是身居高位的女性外交人员的人数。从升职的决定中就可以看出这</w:t>
      </w:r>
      <w:r>
        <w:rPr>
          <w:rFonts w:hint="eastAsia"/>
        </w:rPr>
        <w:t>一点。正如下表所示，大多数女性外交人员最高也只能达到中级职位，即一秘或参赞。</w:t>
      </w:r>
    </w:p>
    <w:p w:rsidR="00000000" w:rsidRDefault="004D2F83" w:rsidP="004D2F83">
      <w:pPr>
        <w:spacing w:after="240" w:line="360" w:lineRule="exact"/>
        <w:ind w:firstLineChars="200" w:firstLine="31680"/>
        <w:rPr>
          <w:rFonts w:hint="eastAsia"/>
        </w:rPr>
      </w:pPr>
      <w:r>
        <w:rPr>
          <w:rFonts w:hint="eastAsia"/>
        </w:rPr>
        <w:t>1981</w:t>
      </w:r>
      <w:r>
        <w:rPr>
          <w:rFonts w:hint="eastAsia"/>
        </w:rPr>
        <w:t>年</w:t>
      </w:r>
      <w:r>
        <w:rPr>
          <w:rFonts w:hint="eastAsia"/>
        </w:rPr>
        <w:t>3</w:t>
      </w:r>
      <w:r>
        <w:rPr>
          <w:rFonts w:hint="eastAsia"/>
        </w:rPr>
        <w:t>月，在第</w:t>
      </w:r>
      <w:r>
        <w:t>2.071/56</w:t>
      </w:r>
      <w:r>
        <w:rPr>
          <w:rFonts w:hint="eastAsia"/>
        </w:rPr>
        <w:t>号法律颁布</w:t>
      </w:r>
      <w:r>
        <w:rPr>
          <w:rFonts w:hint="eastAsia"/>
        </w:rPr>
        <w:t>27</w:t>
      </w:r>
      <w:r>
        <w:rPr>
          <w:rFonts w:hint="eastAsia"/>
        </w:rPr>
        <w:t>年之后，进入外交职业的女性人数仍非常少：在</w:t>
      </w:r>
      <w:r>
        <w:rPr>
          <w:rFonts w:hint="eastAsia"/>
        </w:rPr>
        <w:t>707</w:t>
      </w:r>
      <w:r>
        <w:rPr>
          <w:rFonts w:hint="eastAsia"/>
        </w:rPr>
        <w:t>个职位中，只有</w:t>
      </w:r>
      <w:r>
        <w:rPr>
          <w:rFonts w:hint="eastAsia"/>
        </w:rPr>
        <w:t>91</w:t>
      </w:r>
      <w:r>
        <w:rPr>
          <w:rFonts w:hint="eastAsia"/>
        </w:rPr>
        <w:t>个职位（</w:t>
      </w:r>
      <w:r>
        <w:t>12.8</w:t>
      </w:r>
      <w:r>
        <w:rPr>
          <w:rFonts w:hint="eastAsia"/>
        </w:rPr>
        <w:t>%</w:t>
      </w:r>
      <w:r>
        <w:rPr>
          <w:rFonts w:hint="eastAsia"/>
        </w:rPr>
        <w:t>）由妇女担任。在总共</w:t>
      </w:r>
      <w:r>
        <w:rPr>
          <w:rFonts w:hint="eastAsia"/>
        </w:rPr>
        <w:t>204</w:t>
      </w:r>
      <w:r>
        <w:rPr>
          <w:rFonts w:hint="eastAsia"/>
        </w:rPr>
        <w:t>名一等公使（大使）和二等公使——等级最高的两个职位——中，女性只有两席（而且并无一名大使），占</w:t>
      </w:r>
      <w:r>
        <w:t>1.0%</w:t>
      </w:r>
      <w:r>
        <w:rPr>
          <w:rFonts w:hint="eastAsia"/>
        </w:rPr>
        <w:t>。这种情况近来略有改善。</w:t>
      </w:r>
    </w:p>
    <w:p w:rsidR="00000000" w:rsidRDefault="004D2F83" w:rsidP="004D2F83">
      <w:pPr>
        <w:spacing w:after="240" w:line="360" w:lineRule="exact"/>
        <w:ind w:firstLineChars="200" w:firstLine="31680"/>
        <w:jc w:val="center"/>
        <w:rPr>
          <w:rFonts w:eastAsia="SimHei"/>
        </w:rPr>
      </w:pPr>
    </w:p>
    <w:p w:rsidR="00000000" w:rsidRDefault="004D2F83" w:rsidP="004D2F83">
      <w:pPr>
        <w:spacing w:after="240" w:line="360" w:lineRule="exact"/>
        <w:ind w:firstLineChars="200" w:firstLine="31680"/>
        <w:jc w:val="center"/>
        <w:rPr>
          <w:rFonts w:eastAsia="SimHei" w:hint="eastAsia"/>
        </w:rPr>
      </w:pPr>
      <w:r>
        <w:rPr>
          <w:rFonts w:eastAsia="SimHei" w:hint="eastAsia"/>
        </w:rPr>
        <w:t>当前巴西外交人员的级别与性别分布情况</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46"/>
        <w:gridCol w:w="1681"/>
        <w:gridCol w:w="1683"/>
        <w:gridCol w:w="1683"/>
        <w:gridCol w:w="2263"/>
      </w:tblGrid>
      <w:tr w:rsidR="00000000">
        <w:tblPrEx>
          <w:tblCellMar>
            <w:top w:w="0" w:type="dxa"/>
            <w:bottom w:w="0" w:type="dxa"/>
          </w:tblCellMar>
        </w:tblPrEx>
        <w:tc>
          <w:tcPr>
            <w:tcW w:w="1291" w:type="pct"/>
          </w:tcPr>
          <w:p w:rsidR="00000000" w:rsidRDefault="004D2F83">
            <w:pPr>
              <w:spacing w:line="360" w:lineRule="exact"/>
              <w:jc w:val="center"/>
              <w:rPr>
                <w:rFonts w:eastAsia="SimHei" w:hint="eastAsia"/>
                <w:sz w:val="18"/>
              </w:rPr>
            </w:pPr>
            <w:r>
              <w:rPr>
                <w:rFonts w:eastAsia="SimHei" w:hint="eastAsia"/>
                <w:sz w:val="18"/>
              </w:rPr>
              <w:t>级别</w:t>
            </w:r>
          </w:p>
        </w:tc>
        <w:tc>
          <w:tcPr>
            <w:tcW w:w="853" w:type="pct"/>
          </w:tcPr>
          <w:p w:rsidR="00000000" w:rsidRDefault="004D2F83">
            <w:pPr>
              <w:spacing w:line="360" w:lineRule="exact"/>
              <w:jc w:val="center"/>
              <w:rPr>
                <w:rFonts w:eastAsia="SimHei" w:hint="eastAsia"/>
                <w:sz w:val="18"/>
              </w:rPr>
            </w:pPr>
            <w:r>
              <w:rPr>
                <w:rFonts w:eastAsia="SimHei" w:hint="eastAsia"/>
                <w:sz w:val="18"/>
              </w:rPr>
              <w:t>男</w:t>
            </w:r>
          </w:p>
        </w:tc>
        <w:tc>
          <w:tcPr>
            <w:tcW w:w="854" w:type="pct"/>
          </w:tcPr>
          <w:p w:rsidR="00000000" w:rsidRDefault="004D2F83">
            <w:pPr>
              <w:spacing w:line="360" w:lineRule="exact"/>
              <w:jc w:val="center"/>
              <w:rPr>
                <w:rFonts w:eastAsia="SimHei" w:hint="eastAsia"/>
                <w:sz w:val="18"/>
              </w:rPr>
            </w:pPr>
            <w:r>
              <w:rPr>
                <w:rFonts w:eastAsia="SimHei" w:hint="eastAsia"/>
                <w:sz w:val="18"/>
              </w:rPr>
              <w:t>女</w:t>
            </w:r>
          </w:p>
        </w:tc>
        <w:tc>
          <w:tcPr>
            <w:tcW w:w="854" w:type="pct"/>
          </w:tcPr>
          <w:p w:rsidR="00000000" w:rsidRDefault="004D2F83">
            <w:pPr>
              <w:spacing w:line="360" w:lineRule="exact"/>
              <w:jc w:val="center"/>
              <w:rPr>
                <w:rFonts w:eastAsia="SimHei" w:hint="eastAsia"/>
                <w:sz w:val="18"/>
              </w:rPr>
            </w:pPr>
            <w:r>
              <w:rPr>
                <w:rFonts w:eastAsia="SimHei" w:hint="eastAsia"/>
                <w:sz w:val="18"/>
              </w:rPr>
              <w:t>总数</w:t>
            </w:r>
          </w:p>
        </w:tc>
        <w:tc>
          <w:tcPr>
            <w:tcW w:w="1148" w:type="pct"/>
          </w:tcPr>
          <w:p w:rsidR="00000000" w:rsidRDefault="004D2F83">
            <w:pPr>
              <w:spacing w:line="360" w:lineRule="exact"/>
              <w:jc w:val="center"/>
              <w:rPr>
                <w:rFonts w:eastAsia="SimHei" w:hint="eastAsia"/>
                <w:sz w:val="18"/>
              </w:rPr>
            </w:pPr>
            <w:r>
              <w:rPr>
                <w:rFonts w:eastAsia="SimHei" w:hint="eastAsia"/>
                <w:sz w:val="18"/>
              </w:rPr>
              <w:t>女性所占百分比</w:t>
            </w:r>
          </w:p>
        </w:tc>
      </w:tr>
      <w:tr w:rsidR="00000000">
        <w:tblPrEx>
          <w:tblCellMar>
            <w:top w:w="0" w:type="dxa"/>
            <w:bottom w:w="0" w:type="dxa"/>
          </w:tblCellMar>
        </w:tblPrEx>
        <w:tc>
          <w:tcPr>
            <w:tcW w:w="1291" w:type="pct"/>
            <w:vAlign w:val="center"/>
          </w:tcPr>
          <w:p w:rsidR="00000000" w:rsidRDefault="004D2F83">
            <w:pPr>
              <w:spacing w:line="360" w:lineRule="exact"/>
              <w:rPr>
                <w:rFonts w:hint="eastAsia"/>
                <w:sz w:val="18"/>
              </w:rPr>
            </w:pPr>
            <w:r>
              <w:rPr>
                <w:rFonts w:hint="eastAsia"/>
                <w:sz w:val="18"/>
              </w:rPr>
              <w:t>一等公使</w:t>
            </w:r>
          </w:p>
        </w:tc>
        <w:tc>
          <w:tcPr>
            <w:tcW w:w="853" w:type="pct"/>
          </w:tcPr>
          <w:p w:rsidR="00000000" w:rsidRDefault="004D2F83" w:rsidP="004D2F83">
            <w:pPr>
              <w:spacing w:line="360" w:lineRule="exact"/>
              <w:ind w:rightChars="246" w:right="31680"/>
              <w:jc w:val="right"/>
              <w:rPr>
                <w:rFonts w:hint="eastAsia"/>
                <w:sz w:val="18"/>
              </w:rPr>
            </w:pPr>
            <w:r>
              <w:rPr>
                <w:rFonts w:hint="eastAsia"/>
                <w:sz w:val="18"/>
              </w:rPr>
              <w:t>91</w:t>
            </w:r>
          </w:p>
        </w:tc>
        <w:tc>
          <w:tcPr>
            <w:tcW w:w="854" w:type="pct"/>
          </w:tcPr>
          <w:p w:rsidR="00000000" w:rsidRDefault="004D2F83" w:rsidP="004D2F83">
            <w:pPr>
              <w:spacing w:line="360" w:lineRule="exact"/>
              <w:ind w:rightChars="246" w:right="31680"/>
              <w:jc w:val="right"/>
              <w:rPr>
                <w:rFonts w:hint="eastAsia"/>
                <w:sz w:val="18"/>
              </w:rPr>
            </w:pPr>
            <w:r>
              <w:rPr>
                <w:rFonts w:hint="eastAsia"/>
                <w:sz w:val="18"/>
              </w:rPr>
              <w:t>5</w:t>
            </w:r>
          </w:p>
        </w:tc>
        <w:tc>
          <w:tcPr>
            <w:tcW w:w="854" w:type="pct"/>
          </w:tcPr>
          <w:p w:rsidR="00000000" w:rsidRDefault="004D2F83" w:rsidP="004D2F83">
            <w:pPr>
              <w:spacing w:line="360" w:lineRule="exact"/>
              <w:ind w:rightChars="246" w:right="31680"/>
              <w:jc w:val="right"/>
              <w:rPr>
                <w:rFonts w:hint="eastAsia"/>
                <w:sz w:val="18"/>
              </w:rPr>
            </w:pPr>
            <w:r>
              <w:rPr>
                <w:rFonts w:hint="eastAsia"/>
                <w:sz w:val="18"/>
              </w:rPr>
              <w:t>96</w:t>
            </w:r>
          </w:p>
        </w:tc>
        <w:tc>
          <w:tcPr>
            <w:tcW w:w="1148" w:type="pct"/>
          </w:tcPr>
          <w:p w:rsidR="00000000" w:rsidRDefault="004D2F83" w:rsidP="004D2F83">
            <w:pPr>
              <w:spacing w:line="360" w:lineRule="exact"/>
              <w:ind w:rightChars="246" w:right="31680"/>
              <w:jc w:val="right"/>
              <w:rPr>
                <w:sz w:val="18"/>
              </w:rPr>
            </w:pPr>
            <w:r>
              <w:rPr>
                <w:sz w:val="18"/>
              </w:rPr>
              <w:t>5.1</w:t>
            </w:r>
          </w:p>
        </w:tc>
      </w:tr>
      <w:tr w:rsidR="00000000">
        <w:tblPrEx>
          <w:tblCellMar>
            <w:top w:w="0" w:type="dxa"/>
            <w:bottom w:w="0" w:type="dxa"/>
          </w:tblCellMar>
        </w:tblPrEx>
        <w:tc>
          <w:tcPr>
            <w:tcW w:w="1291" w:type="pct"/>
            <w:vAlign w:val="center"/>
          </w:tcPr>
          <w:p w:rsidR="00000000" w:rsidRDefault="004D2F83">
            <w:pPr>
              <w:spacing w:line="360" w:lineRule="exact"/>
              <w:rPr>
                <w:rFonts w:hint="eastAsia"/>
                <w:sz w:val="18"/>
              </w:rPr>
            </w:pPr>
            <w:r>
              <w:rPr>
                <w:rFonts w:hint="eastAsia"/>
                <w:sz w:val="18"/>
              </w:rPr>
              <w:t>一等公使——特使</w:t>
            </w:r>
          </w:p>
        </w:tc>
        <w:tc>
          <w:tcPr>
            <w:tcW w:w="853" w:type="pct"/>
          </w:tcPr>
          <w:p w:rsidR="00000000" w:rsidRDefault="004D2F83" w:rsidP="004D2F83">
            <w:pPr>
              <w:spacing w:line="360" w:lineRule="exact"/>
              <w:ind w:rightChars="246" w:right="31680"/>
              <w:jc w:val="right"/>
              <w:rPr>
                <w:rFonts w:hint="eastAsia"/>
                <w:sz w:val="18"/>
              </w:rPr>
            </w:pPr>
            <w:r>
              <w:rPr>
                <w:rFonts w:hint="eastAsia"/>
                <w:sz w:val="18"/>
              </w:rPr>
              <w:t>59</w:t>
            </w:r>
          </w:p>
        </w:tc>
        <w:tc>
          <w:tcPr>
            <w:tcW w:w="854" w:type="pct"/>
          </w:tcPr>
          <w:p w:rsidR="00000000" w:rsidRDefault="004D2F83" w:rsidP="004D2F83">
            <w:pPr>
              <w:spacing w:line="360" w:lineRule="exact"/>
              <w:ind w:rightChars="246" w:right="31680"/>
              <w:jc w:val="right"/>
              <w:rPr>
                <w:rFonts w:hint="eastAsia"/>
                <w:sz w:val="18"/>
              </w:rPr>
            </w:pPr>
            <w:r>
              <w:rPr>
                <w:rFonts w:hint="eastAsia"/>
                <w:sz w:val="18"/>
              </w:rPr>
              <w:t>2</w:t>
            </w:r>
          </w:p>
        </w:tc>
        <w:tc>
          <w:tcPr>
            <w:tcW w:w="854" w:type="pct"/>
          </w:tcPr>
          <w:p w:rsidR="00000000" w:rsidRDefault="004D2F83" w:rsidP="004D2F83">
            <w:pPr>
              <w:spacing w:line="360" w:lineRule="exact"/>
              <w:ind w:rightChars="246" w:right="31680"/>
              <w:jc w:val="right"/>
              <w:rPr>
                <w:rFonts w:hint="eastAsia"/>
                <w:sz w:val="18"/>
              </w:rPr>
            </w:pPr>
            <w:r>
              <w:rPr>
                <w:rFonts w:hint="eastAsia"/>
                <w:sz w:val="18"/>
              </w:rPr>
              <w:t>61</w:t>
            </w:r>
          </w:p>
        </w:tc>
        <w:tc>
          <w:tcPr>
            <w:tcW w:w="1148" w:type="pct"/>
          </w:tcPr>
          <w:p w:rsidR="00000000" w:rsidRDefault="004D2F83" w:rsidP="004D2F83">
            <w:pPr>
              <w:spacing w:line="360" w:lineRule="exact"/>
              <w:ind w:rightChars="246" w:right="31680"/>
              <w:jc w:val="right"/>
              <w:rPr>
                <w:sz w:val="18"/>
              </w:rPr>
            </w:pPr>
            <w:r>
              <w:rPr>
                <w:sz w:val="18"/>
              </w:rPr>
              <w:t>3.3</w:t>
            </w:r>
          </w:p>
        </w:tc>
      </w:tr>
      <w:tr w:rsidR="00000000">
        <w:tblPrEx>
          <w:tblCellMar>
            <w:top w:w="0" w:type="dxa"/>
            <w:bottom w:w="0" w:type="dxa"/>
          </w:tblCellMar>
        </w:tblPrEx>
        <w:tc>
          <w:tcPr>
            <w:tcW w:w="1291" w:type="pct"/>
            <w:vAlign w:val="center"/>
          </w:tcPr>
          <w:p w:rsidR="00000000" w:rsidRDefault="004D2F83">
            <w:pPr>
              <w:spacing w:line="360" w:lineRule="exact"/>
              <w:rPr>
                <w:rFonts w:hint="eastAsia"/>
                <w:sz w:val="18"/>
              </w:rPr>
            </w:pPr>
            <w:r>
              <w:rPr>
                <w:rFonts w:hint="eastAsia"/>
                <w:sz w:val="18"/>
              </w:rPr>
              <w:t>二等公使</w:t>
            </w:r>
          </w:p>
        </w:tc>
        <w:tc>
          <w:tcPr>
            <w:tcW w:w="853" w:type="pct"/>
          </w:tcPr>
          <w:p w:rsidR="00000000" w:rsidRDefault="004D2F83" w:rsidP="004D2F83">
            <w:pPr>
              <w:spacing w:line="360" w:lineRule="exact"/>
              <w:ind w:rightChars="246" w:right="31680"/>
              <w:jc w:val="right"/>
              <w:rPr>
                <w:rFonts w:hint="eastAsia"/>
                <w:sz w:val="18"/>
              </w:rPr>
            </w:pPr>
            <w:r>
              <w:rPr>
                <w:rFonts w:hint="eastAsia"/>
                <w:sz w:val="18"/>
              </w:rPr>
              <w:t>111</w:t>
            </w:r>
          </w:p>
        </w:tc>
        <w:tc>
          <w:tcPr>
            <w:tcW w:w="854" w:type="pct"/>
          </w:tcPr>
          <w:p w:rsidR="00000000" w:rsidRDefault="004D2F83" w:rsidP="004D2F83">
            <w:pPr>
              <w:spacing w:line="360" w:lineRule="exact"/>
              <w:ind w:rightChars="246" w:right="31680"/>
              <w:jc w:val="right"/>
              <w:rPr>
                <w:rFonts w:hint="eastAsia"/>
                <w:sz w:val="18"/>
              </w:rPr>
            </w:pPr>
            <w:r>
              <w:rPr>
                <w:rFonts w:hint="eastAsia"/>
                <w:sz w:val="18"/>
              </w:rPr>
              <w:t>18</w:t>
            </w:r>
          </w:p>
        </w:tc>
        <w:tc>
          <w:tcPr>
            <w:tcW w:w="854" w:type="pct"/>
          </w:tcPr>
          <w:p w:rsidR="00000000" w:rsidRDefault="004D2F83" w:rsidP="004D2F83">
            <w:pPr>
              <w:spacing w:line="360" w:lineRule="exact"/>
              <w:ind w:rightChars="246" w:right="31680"/>
              <w:jc w:val="right"/>
              <w:rPr>
                <w:rFonts w:hint="eastAsia"/>
                <w:sz w:val="18"/>
              </w:rPr>
            </w:pPr>
            <w:r>
              <w:rPr>
                <w:rFonts w:hint="eastAsia"/>
                <w:sz w:val="18"/>
              </w:rPr>
              <w:t>129</w:t>
            </w:r>
          </w:p>
        </w:tc>
        <w:tc>
          <w:tcPr>
            <w:tcW w:w="1148" w:type="pct"/>
          </w:tcPr>
          <w:p w:rsidR="00000000" w:rsidRDefault="004D2F83" w:rsidP="004D2F83">
            <w:pPr>
              <w:spacing w:line="360" w:lineRule="exact"/>
              <w:ind w:rightChars="246" w:right="31680"/>
              <w:jc w:val="right"/>
              <w:rPr>
                <w:sz w:val="18"/>
              </w:rPr>
            </w:pPr>
            <w:r>
              <w:rPr>
                <w:sz w:val="18"/>
              </w:rPr>
              <w:t>13.9</w:t>
            </w:r>
          </w:p>
        </w:tc>
      </w:tr>
      <w:tr w:rsidR="00000000">
        <w:tblPrEx>
          <w:tblCellMar>
            <w:top w:w="0" w:type="dxa"/>
            <w:bottom w:w="0" w:type="dxa"/>
          </w:tblCellMar>
        </w:tblPrEx>
        <w:tc>
          <w:tcPr>
            <w:tcW w:w="1291" w:type="pct"/>
            <w:vAlign w:val="center"/>
          </w:tcPr>
          <w:p w:rsidR="00000000" w:rsidRDefault="004D2F83">
            <w:pPr>
              <w:spacing w:line="360" w:lineRule="exact"/>
              <w:rPr>
                <w:rFonts w:hint="eastAsia"/>
                <w:sz w:val="18"/>
              </w:rPr>
            </w:pPr>
            <w:r>
              <w:rPr>
                <w:rFonts w:hint="eastAsia"/>
                <w:sz w:val="18"/>
              </w:rPr>
              <w:t>二等公使——特使</w:t>
            </w:r>
          </w:p>
        </w:tc>
        <w:tc>
          <w:tcPr>
            <w:tcW w:w="853" w:type="pct"/>
          </w:tcPr>
          <w:p w:rsidR="00000000" w:rsidRDefault="004D2F83" w:rsidP="004D2F83">
            <w:pPr>
              <w:spacing w:line="360" w:lineRule="exact"/>
              <w:ind w:rightChars="246" w:right="31680"/>
              <w:jc w:val="right"/>
              <w:rPr>
                <w:rFonts w:hint="eastAsia"/>
                <w:sz w:val="18"/>
              </w:rPr>
            </w:pPr>
            <w:r>
              <w:rPr>
                <w:rFonts w:hint="eastAsia"/>
                <w:sz w:val="18"/>
              </w:rPr>
              <w:t>15</w:t>
            </w:r>
          </w:p>
        </w:tc>
        <w:tc>
          <w:tcPr>
            <w:tcW w:w="854" w:type="pct"/>
          </w:tcPr>
          <w:p w:rsidR="00000000" w:rsidRDefault="004D2F83" w:rsidP="004D2F83">
            <w:pPr>
              <w:spacing w:line="360" w:lineRule="exact"/>
              <w:ind w:rightChars="246" w:right="31680"/>
              <w:jc w:val="right"/>
              <w:rPr>
                <w:rFonts w:hint="eastAsia"/>
                <w:sz w:val="18"/>
              </w:rPr>
            </w:pPr>
            <w:r>
              <w:rPr>
                <w:rFonts w:hint="eastAsia"/>
                <w:sz w:val="18"/>
              </w:rPr>
              <w:t>-</w:t>
            </w:r>
          </w:p>
        </w:tc>
        <w:tc>
          <w:tcPr>
            <w:tcW w:w="854" w:type="pct"/>
          </w:tcPr>
          <w:p w:rsidR="00000000" w:rsidRDefault="004D2F83" w:rsidP="004D2F83">
            <w:pPr>
              <w:spacing w:line="360" w:lineRule="exact"/>
              <w:ind w:rightChars="246" w:right="31680"/>
              <w:jc w:val="right"/>
              <w:rPr>
                <w:rFonts w:hint="eastAsia"/>
                <w:sz w:val="18"/>
              </w:rPr>
            </w:pPr>
            <w:r>
              <w:rPr>
                <w:rFonts w:hint="eastAsia"/>
                <w:sz w:val="18"/>
              </w:rPr>
              <w:t>15</w:t>
            </w:r>
          </w:p>
        </w:tc>
        <w:tc>
          <w:tcPr>
            <w:tcW w:w="1148" w:type="pct"/>
          </w:tcPr>
          <w:p w:rsidR="00000000" w:rsidRDefault="004D2F83" w:rsidP="004D2F83">
            <w:pPr>
              <w:spacing w:line="360" w:lineRule="exact"/>
              <w:ind w:rightChars="246" w:right="31680"/>
              <w:jc w:val="right"/>
              <w:rPr>
                <w:sz w:val="18"/>
              </w:rPr>
            </w:pPr>
            <w:r>
              <w:rPr>
                <w:sz w:val="18"/>
              </w:rPr>
              <w:t>-</w:t>
            </w:r>
          </w:p>
        </w:tc>
      </w:tr>
      <w:tr w:rsidR="00000000">
        <w:tblPrEx>
          <w:tblCellMar>
            <w:top w:w="0" w:type="dxa"/>
            <w:bottom w:w="0" w:type="dxa"/>
          </w:tblCellMar>
        </w:tblPrEx>
        <w:tc>
          <w:tcPr>
            <w:tcW w:w="1291" w:type="pct"/>
            <w:vAlign w:val="center"/>
          </w:tcPr>
          <w:p w:rsidR="00000000" w:rsidRDefault="004D2F83">
            <w:pPr>
              <w:spacing w:line="360" w:lineRule="exact"/>
              <w:rPr>
                <w:rFonts w:hint="eastAsia"/>
                <w:sz w:val="18"/>
              </w:rPr>
            </w:pPr>
            <w:r>
              <w:rPr>
                <w:rFonts w:hint="eastAsia"/>
                <w:sz w:val="18"/>
              </w:rPr>
              <w:t>参赞</w:t>
            </w:r>
          </w:p>
        </w:tc>
        <w:tc>
          <w:tcPr>
            <w:tcW w:w="853" w:type="pct"/>
          </w:tcPr>
          <w:p w:rsidR="00000000" w:rsidRDefault="004D2F83" w:rsidP="004D2F83">
            <w:pPr>
              <w:spacing w:line="360" w:lineRule="exact"/>
              <w:ind w:rightChars="246" w:right="31680"/>
              <w:jc w:val="right"/>
              <w:rPr>
                <w:rFonts w:hint="eastAsia"/>
                <w:sz w:val="18"/>
              </w:rPr>
            </w:pPr>
            <w:r>
              <w:rPr>
                <w:rFonts w:hint="eastAsia"/>
                <w:sz w:val="18"/>
              </w:rPr>
              <w:t>130</w:t>
            </w:r>
          </w:p>
        </w:tc>
        <w:tc>
          <w:tcPr>
            <w:tcW w:w="854" w:type="pct"/>
          </w:tcPr>
          <w:p w:rsidR="00000000" w:rsidRDefault="004D2F83" w:rsidP="004D2F83">
            <w:pPr>
              <w:spacing w:line="360" w:lineRule="exact"/>
              <w:ind w:rightChars="246" w:right="31680"/>
              <w:jc w:val="right"/>
              <w:rPr>
                <w:rFonts w:hint="eastAsia"/>
                <w:sz w:val="18"/>
              </w:rPr>
            </w:pPr>
            <w:r>
              <w:rPr>
                <w:rFonts w:hint="eastAsia"/>
                <w:sz w:val="18"/>
              </w:rPr>
              <w:t>40</w:t>
            </w:r>
          </w:p>
        </w:tc>
        <w:tc>
          <w:tcPr>
            <w:tcW w:w="854" w:type="pct"/>
          </w:tcPr>
          <w:p w:rsidR="00000000" w:rsidRDefault="004D2F83" w:rsidP="004D2F83">
            <w:pPr>
              <w:spacing w:line="360" w:lineRule="exact"/>
              <w:ind w:rightChars="246" w:right="31680"/>
              <w:jc w:val="right"/>
              <w:rPr>
                <w:rFonts w:hint="eastAsia"/>
                <w:sz w:val="18"/>
              </w:rPr>
            </w:pPr>
            <w:r>
              <w:rPr>
                <w:rFonts w:hint="eastAsia"/>
                <w:sz w:val="18"/>
              </w:rPr>
              <w:t>170</w:t>
            </w:r>
          </w:p>
        </w:tc>
        <w:tc>
          <w:tcPr>
            <w:tcW w:w="1148" w:type="pct"/>
          </w:tcPr>
          <w:p w:rsidR="00000000" w:rsidRDefault="004D2F83" w:rsidP="004D2F83">
            <w:pPr>
              <w:spacing w:line="360" w:lineRule="exact"/>
              <w:ind w:rightChars="246" w:right="31680"/>
              <w:jc w:val="right"/>
              <w:rPr>
                <w:sz w:val="18"/>
              </w:rPr>
            </w:pPr>
            <w:r>
              <w:rPr>
                <w:sz w:val="18"/>
              </w:rPr>
              <w:t>23.5</w:t>
            </w:r>
          </w:p>
        </w:tc>
      </w:tr>
      <w:tr w:rsidR="00000000">
        <w:tblPrEx>
          <w:tblCellMar>
            <w:top w:w="0" w:type="dxa"/>
            <w:bottom w:w="0" w:type="dxa"/>
          </w:tblCellMar>
        </w:tblPrEx>
        <w:tc>
          <w:tcPr>
            <w:tcW w:w="1291" w:type="pct"/>
            <w:vAlign w:val="center"/>
          </w:tcPr>
          <w:p w:rsidR="00000000" w:rsidRDefault="004D2F83">
            <w:pPr>
              <w:spacing w:line="360" w:lineRule="exact"/>
              <w:rPr>
                <w:rFonts w:hint="eastAsia"/>
                <w:sz w:val="18"/>
              </w:rPr>
            </w:pPr>
            <w:r>
              <w:rPr>
                <w:rFonts w:hint="eastAsia"/>
                <w:sz w:val="18"/>
              </w:rPr>
              <w:t>参赞——特使</w:t>
            </w:r>
          </w:p>
        </w:tc>
        <w:tc>
          <w:tcPr>
            <w:tcW w:w="853" w:type="pct"/>
          </w:tcPr>
          <w:p w:rsidR="00000000" w:rsidRDefault="004D2F83" w:rsidP="004D2F83">
            <w:pPr>
              <w:spacing w:line="360" w:lineRule="exact"/>
              <w:ind w:rightChars="246" w:right="31680"/>
              <w:jc w:val="right"/>
              <w:rPr>
                <w:rFonts w:hint="eastAsia"/>
                <w:sz w:val="18"/>
              </w:rPr>
            </w:pPr>
            <w:r>
              <w:rPr>
                <w:rFonts w:hint="eastAsia"/>
                <w:sz w:val="18"/>
              </w:rPr>
              <w:t>32</w:t>
            </w:r>
          </w:p>
        </w:tc>
        <w:tc>
          <w:tcPr>
            <w:tcW w:w="854" w:type="pct"/>
          </w:tcPr>
          <w:p w:rsidR="00000000" w:rsidRDefault="004D2F83" w:rsidP="004D2F83">
            <w:pPr>
              <w:spacing w:line="360" w:lineRule="exact"/>
              <w:ind w:rightChars="246" w:right="31680"/>
              <w:jc w:val="right"/>
              <w:rPr>
                <w:rFonts w:hint="eastAsia"/>
                <w:sz w:val="18"/>
              </w:rPr>
            </w:pPr>
            <w:r>
              <w:rPr>
                <w:rFonts w:hint="eastAsia"/>
                <w:sz w:val="18"/>
              </w:rPr>
              <w:t>7</w:t>
            </w:r>
          </w:p>
        </w:tc>
        <w:tc>
          <w:tcPr>
            <w:tcW w:w="854" w:type="pct"/>
          </w:tcPr>
          <w:p w:rsidR="00000000" w:rsidRDefault="004D2F83" w:rsidP="004D2F83">
            <w:pPr>
              <w:spacing w:line="360" w:lineRule="exact"/>
              <w:ind w:rightChars="246" w:right="31680"/>
              <w:jc w:val="right"/>
              <w:rPr>
                <w:rFonts w:hint="eastAsia"/>
                <w:sz w:val="18"/>
              </w:rPr>
            </w:pPr>
            <w:r>
              <w:rPr>
                <w:rFonts w:hint="eastAsia"/>
                <w:sz w:val="18"/>
              </w:rPr>
              <w:t>39</w:t>
            </w:r>
          </w:p>
        </w:tc>
        <w:tc>
          <w:tcPr>
            <w:tcW w:w="1148" w:type="pct"/>
          </w:tcPr>
          <w:p w:rsidR="00000000" w:rsidRDefault="004D2F83" w:rsidP="004D2F83">
            <w:pPr>
              <w:spacing w:line="360" w:lineRule="exact"/>
              <w:ind w:rightChars="246" w:right="31680"/>
              <w:jc w:val="right"/>
              <w:rPr>
                <w:sz w:val="18"/>
              </w:rPr>
            </w:pPr>
            <w:r>
              <w:rPr>
                <w:sz w:val="18"/>
              </w:rPr>
              <w:t>17.9</w:t>
            </w:r>
          </w:p>
        </w:tc>
      </w:tr>
      <w:tr w:rsidR="00000000">
        <w:tblPrEx>
          <w:tblCellMar>
            <w:top w:w="0" w:type="dxa"/>
            <w:bottom w:w="0" w:type="dxa"/>
          </w:tblCellMar>
        </w:tblPrEx>
        <w:tc>
          <w:tcPr>
            <w:tcW w:w="1291" w:type="pct"/>
            <w:vAlign w:val="center"/>
          </w:tcPr>
          <w:p w:rsidR="00000000" w:rsidRDefault="004D2F83">
            <w:pPr>
              <w:spacing w:line="360" w:lineRule="exact"/>
              <w:rPr>
                <w:rFonts w:hint="eastAsia"/>
                <w:sz w:val="18"/>
              </w:rPr>
            </w:pPr>
            <w:r>
              <w:rPr>
                <w:rFonts w:hint="eastAsia"/>
                <w:sz w:val="18"/>
              </w:rPr>
              <w:t>一秘</w:t>
            </w:r>
          </w:p>
        </w:tc>
        <w:tc>
          <w:tcPr>
            <w:tcW w:w="853" w:type="pct"/>
          </w:tcPr>
          <w:p w:rsidR="00000000" w:rsidRDefault="004D2F83" w:rsidP="004D2F83">
            <w:pPr>
              <w:spacing w:line="360" w:lineRule="exact"/>
              <w:ind w:rightChars="246" w:right="31680"/>
              <w:jc w:val="right"/>
              <w:rPr>
                <w:rFonts w:hint="eastAsia"/>
                <w:sz w:val="18"/>
              </w:rPr>
            </w:pPr>
            <w:r>
              <w:rPr>
                <w:rFonts w:hint="eastAsia"/>
                <w:sz w:val="18"/>
              </w:rPr>
              <w:t>143</w:t>
            </w:r>
          </w:p>
        </w:tc>
        <w:tc>
          <w:tcPr>
            <w:tcW w:w="854" w:type="pct"/>
          </w:tcPr>
          <w:p w:rsidR="00000000" w:rsidRDefault="004D2F83" w:rsidP="004D2F83">
            <w:pPr>
              <w:spacing w:line="360" w:lineRule="exact"/>
              <w:ind w:rightChars="246" w:right="31680"/>
              <w:jc w:val="right"/>
              <w:rPr>
                <w:rFonts w:hint="eastAsia"/>
                <w:sz w:val="18"/>
              </w:rPr>
            </w:pPr>
            <w:r>
              <w:rPr>
                <w:rFonts w:hint="eastAsia"/>
                <w:sz w:val="18"/>
              </w:rPr>
              <w:t>46</w:t>
            </w:r>
          </w:p>
        </w:tc>
        <w:tc>
          <w:tcPr>
            <w:tcW w:w="854" w:type="pct"/>
          </w:tcPr>
          <w:p w:rsidR="00000000" w:rsidRDefault="004D2F83" w:rsidP="004D2F83">
            <w:pPr>
              <w:spacing w:line="360" w:lineRule="exact"/>
              <w:ind w:rightChars="246" w:right="31680"/>
              <w:jc w:val="right"/>
              <w:rPr>
                <w:rFonts w:hint="eastAsia"/>
                <w:sz w:val="18"/>
              </w:rPr>
            </w:pPr>
            <w:r>
              <w:rPr>
                <w:rFonts w:hint="eastAsia"/>
                <w:sz w:val="18"/>
              </w:rPr>
              <w:t>189</w:t>
            </w:r>
          </w:p>
        </w:tc>
        <w:tc>
          <w:tcPr>
            <w:tcW w:w="1148" w:type="pct"/>
          </w:tcPr>
          <w:p w:rsidR="00000000" w:rsidRDefault="004D2F83" w:rsidP="004D2F83">
            <w:pPr>
              <w:spacing w:line="360" w:lineRule="exact"/>
              <w:ind w:rightChars="246" w:right="31680"/>
              <w:jc w:val="right"/>
              <w:rPr>
                <w:sz w:val="18"/>
              </w:rPr>
            </w:pPr>
            <w:r>
              <w:rPr>
                <w:sz w:val="18"/>
              </w:rPr>
              <w:t>24.8</w:t>
            </w:r>
          </w:p>
        </w:tc>
      </w:tr>
      <w:tr w:rsidR="00000000">
        <w:tblPrEx>
          <w:tblCellMar>
            <w:top w:w="0" w:type="dxa"/>
            <w:bottom w:w="0" w:type="dxa"/>
          </w:tblCellMar>
        </w:tblPrEx>
        <w:tc>
          <w:tcPr>
            <w:tcW w:w="1291" w:type="pct"/>
            <w:vAlign w:val="center"/>
          </w:tcPr>
          <w:p w:rsidR="00000000" w:rsidRDefault="004D2F83">
            <w:pPr>
              <w:spacing w:line="360" w:lineRule="exact"/>
              <w:rPr>
                <w:rFonts w:hint="eastAsia"/>
                <w:sz w:val="18"/>
              </w:rPr>
            </w:pPr>
            <w:r>
              <w:rPr>
                <w:rFonts w:hint="eastAsia"/>
                <w:sz w:val="18"/>
              </w:rPr>
              <w:t>二秘</w:t>
            </w:r>
          </w:p>
        </w:tc>
        <w:tc>
          <w:tcPr>
            <w:tcW w:w="853" w:type="pct"/>
          </w:tcPr>
          <w:p w:rsidR="00000000" w:rsidRDefault="004D2F83" w:rsidP="004D2F83">
            <w:pPr>
              <w:spacing w:line="360" w:lineRule="exact"/>
              <w:ind w:rightChars="246" w:right="31680"/>
              <w:jc w:val="right"/>
              <w:rPr>
                <w:rFonts w:hint="eastAsia"/>
                <w:sz w:val="18"/>
              </w:rPr>
            </w:pPr>
            <w:r>
              <w:rPr>
                <w:rFonts w:hint="eastAsia"/>
                <w:sz w:val="18"/>
              </w:rPr>
              <w:t>147</w:t>
            </w:r>
          </w:p>
        </w:tc>
        <w:tc>
          <w:tcPr>
            <w:tcW w:w="854" w:type="pct"/>
          </w:tcPr>
          <w:p w:rsidR="00000000" w:rsidRDefault="004D2F83" w:rsidP="004D2F83">
            <w:pPr>
              <w:spacing w:line="360" w:lineRule="exact"/>
              <w:ind w:rightChars="246" w:right="31680"/>
              <w:jc w:val="right"/>
              <w:rPr>
                <w:rFonts w:hint="eastAsia"/>
                <w:sz w:val="18"/>
              </w:rPr>
            </w:pPr>
            <w:r>
              <w:rPr>
                <w:rFonts w:hint="eastAsia"/>
                <w:sz w:val="18"/>
              </w:rPr>
              <w:t>37</w:t>
            </w:r>
          </w:p>
        </w:tc>
        <w:tc>
          <w:tcPr>
            <w:tcW w:w="854" w:type="pct"/>
          </w:tcPr>
          <w:p w:rsidR="00000000" w:rsidRDefault="004D2F83" w:rsidP="004D2F83">
            <w:pPr>
              <w:spacing w:line="360" w:lineRule="exact"/>
              <w:ind w:rightChars="246" w:right="31680"/>
              <w:jc w:val="right"/>
              <w:rPr>
                <w:rFonts w:hint="eastAsia"/>
                <w:sz w:val="18"/>
              </w:rPr>
            </w:pPr>
            <w:r>
              <w:rPr>
                <w:rFonts w:hint="eastAsia"/>
                <w:sz w:val="18"/>
              </w:rPr>
              <w:t>184</w:t>
            </w:r>
          </w:p>
        </w:tc>
        <w:tc>
          <w:tcPr>
            <w:tcW w:w="1148" w:type="pct"/>
          </w:tcPr>
          <w:p w:rsidR="00000000" w:rsidRDefault="004D2F83" w:rsidP="004D2F83">
            <w:pPr>
              <w:spacing w:line="360" w:lineRule="exact"/>
              <w:ind w:rightChars="246" w:right="31680"/>
              <w:jc w:val="right"/>
              <w:rPr>
                <w:sz w:val="18"/>
              </w:rPr>
            </w:pPr>
            <w:r>
              <w:rPr>
                <w:sz w:val="18"/>
              </w:rPr>
              <w:t>20.1</w:t>
            </w:r>
          </w:p>
        </w:tc>
      </w:tr>
      <w:tr w:rsidR="00000000">
        <w:tblPrEx>
          <w:tblCellMar>
            <w:top w:w="0" w:type="dxa"/>
            <w:bottom w:w="0" w:type="dxa"/>
          </w:tblCellMar>
        </w:tblPrEx>
        <w:tc>
          <w:tcPr>
            <w:tcW w:w="1291" w:type="pct"/>
            <w:vAlign w:val="center"/>
          </w:tcPr>
          <w:p w:rsidR="00000000" w:rsidRDefault="004D2F83">
            <w:pPr>
              <w:spacing w:line="360" w:lineRule="exact"/>
              <w:rPr>
                <w:rFonts w:hint="eastAsia"/>
                <w:sz w:val="18"/>
              </w:rPr>
            </w:pPr>
            <w:r>
              <w:rPr>
                <w:rFonts w:hint="eastAsia"/>
                <w:sz w:val="18"/>
              </w:rPr>
              <w:t>三秘</w:t>
            </w:r>
          </w:p>
        </w:tc>
        <w:tc>
          <w:tcPr>
            <w:tcW w:w="853" w:type="pct"/>
          </w:tcPr>
          <w:p w:rsidR="00000000" w:rsidRDefault="004D2F83" w:rsidP="004D2F83">
            <w:pPr>
              <w:spacing w:line="360" w:lineRule="exact"/>
              <w:ind w:rightChars="246" w:right="31680"/>
              <w:jc w:val="right"/>
              <w:rPr>
                <w:rFonts w:hint="eastAsia"/>
                <w:sz w:val="18"/>
              </w:rPr>
            </w:pPr>
            <w:r>
              <w:rPr>
                <w:rFonts w:hint="eastAsia"/>
                <w:sz w:val="18"/>
              </w:rPr>
              <w:t>122</w:t>
            </w:r>
          </w:p>
        </w:tc>
        <w:tc>
          <w:tcPr>
            <w:tcW w:w="854" w:type="pct"/>
          </w:tcPr>
          <w:p w:rsidR="00000000" w:rsidRDefault="004D2F83" w:rsidP="004D2F83">
            <w:pPr>
              <w:spacing w:line="360" w:lineRule="exact"/>
              <w:ind w:rightChars="246" w:right="31680"/>
              <w:jc w:val="right"/>
              <w:rPr>
                <w:rFonts w:hint="eastAsia"/>
                <w:sz w:val="18"/>
              </w:rPr>
            </w:pPr>
            <w:r>
              <w:rPr>
                <w:rFonts w:hint="eastAsia"/>
                <w:sz w:val="18"/>
              </w:rPr>
              <w:t>33</w:t>
            </w:r>
          </w:p>
        </w:tc>
        <w:tc>
          <w:tcPr>
            <w:tcW w:w="854" w:type="pct"/>
          </w:tcPr>
          <w:p w:rsidR="00000000" w:rsidRDefault="004D2F83" w:rsidP="004D2F83">
            <w:pPr>
              <w:spacing w:line="360" w:lineRule="exact"/>
              <w:ind w:rightChars="246" w:right="31680"/>
              <w:jc w:val="right"/>
              <w:rPr>
                <w:rFonts w:hint="eastAsia"/>
                <w:sz w:val="18"/>
              </w:rPr>
            </w:pPr>
            <w:r>
              <w:rPr>
                <w:rFonts w:hint="eastAsia"/>
                <w:sz w:val="18"/>
              </w:rPr>
              <w:t>155</w:t>
            </w:r>
          </w:p>
        </w:tc>
        <w:tc>
          <w:tcPr>
            <w:tcW w:w="1148" w:type="pct"/>
          </w:tcPr>
          <w:p w:rsidR="00000000" w:rsidRDefault="004D2F83" w:rsidP="004D2F83">
            <w:pPr>
              <w:spacing w:line="360" w:lineRule="exact"/>
              <w:ind w:rightChars="246" w:right="31680"/>
              <w:jc w:val="right"/>
              <w:rPr>
                <w:sz w:val="18"/>
              </w:rPr>
            </w:pPr>
            <w:r>
              <w:rPr>
                <w:sz w:val="18"/>
              </w:rPr>
              <w:t>21.2</w:t>
            </w:r>
          </w:p>
        </w:tc>
      </w:tr>
      <w:tr w:rsidR="00000000">
        <w:tblPrEx>
          <w:tblCellMar>
            <w:top w:w="0" w:type="dxa"/>
            <w:bottom w:w="0" w:type="dxa"/>
          </w:tblCellMar>
        </w:tblPrEx>
        <w:tc>
          <w:tcPr>
            <w:tcW w:w="1291" w:type="pct"/>
            <w:vAlign w:val="center"/>
          </w:tcPr>
          <w:p w:rsidR="00000000" w:rsidRDefault="004D2F83">
            <w:pPr>
              <w:spacing w:line="360" w:lineRule="exact"/>
              <w:rPr>
                <w:rFonts w:hint="eastAsia"/>
                <w:sz w:val="18"/>
              </w:rPr>
            </w:pPr>
            <w:r>
              <w:rPr>
                <w:rFonts w:hint="eastAsia"/>
                <w:sz w:val="18"/>
              </w:rPr>
              <w:t>总数</w:t>
            </w:r>
          </w:p>
        </w:tc>
        <w:tc>
          <w:tcPr>
            <w:tcW w:w="853" w:type="pct"/>
          </w:tcPr>
          <w:p w:rsidR="00000000" w:rsidRDefault="004D2F83" w:rsidP="004D2F83">
            <w:pPr>
              <w:spacing w:line="360" w:lineRule="exact"/>
              <w:ind w:rightChars="246" w:right="31680"/>
              <w:jc w:val="right"/>
              <w:rPr>
                <w:rFonts w:hint="eastAsia"/>
                <w:sz w:val="18"/>
              </w:rPr>
            </w:pPr>
            <w:r>
              <w:rPr>
                <w:rFonts w:hint="eastAsia"/>
                <w:sz w:val="18"/>
              </w:rPr>
              <w:t>848</w:t>
            </w:r>
          </w:p>
        </w:tc>
        <w:tc>
          <w:tcPr>
            <w:tcW w:w="854" w:type="pct"/>
          </w:tcPr>
          <w:p w:rsidR="00000000" w:rsidRDefault="004D2F83" w:rsidP="004D2F83">
            <w:pPr>
              <w:spacing w:line="360" w:lineRule="exact"/>
              <w:ind w:rightChars="246" w:right="31680"/>
              <w:jc w:val="right"/>
              <w:rPr>
                <w:rFonts w:hint="eastAsia"/>
                <w:sz w:val="18"/>
              </w:rPr>
            </w:pPr>
            <w:r>
              <w:rPr>
                <w:rFonts w:hint="eastAsia"/>
                <w:sz w:val="18"/>
              </w:rPr>
              <w:t>189</w:t>
            </w:r>
          </w:p>
        </w:tc>
        <w:tc>
          <w:tcPr>
            <w:tcW w:w="854" w:type="pct"/>
          </w:tcPr>
          <w:p w:rsidR="00000000" w:rsidRDefault="004D2F83" w:rsidP="004D2F83">
            <w:pPr>
              <w:spacing w:line="360" w:lineRule="exact"/>
              <w:ind w:rightChars="246" w:right="31680"/>
              <w:jc w:val="right"/>
              <w:rPr>
                <w:sz w:val="18"/>
              </w:rPr>
            </w:pPr>
            <w:r>
              <w:rPr>
                <w:sz w:val="18"/>
              </w:rPr>
              <w:t>1 037</w:t>
            </w:r>
          </w:p>
        </w:tc>
        <w:tc>
          <w:tcPr>
            <w:tcW w:w="1148" w:type="pct"/>
          </w:tcPr>
          <w:p w:rsidR="00000000" w:rsidRDefault="004D2F83" w:rsidP="004D2F83">
            <w:pPr>
              <w:spacing w:line="360" w:lineRule="exact"/>
              <w:ind w:rightChars="246" w:right="31680"/>
              <w:jc w:val="right"/>
              <w:rPr>
                <w:sz w:val="18"/>
              </w:rPr>
            </w:pPr>
            <w:r>
              <w:rPr>
                <w:sz w:val="18"/>
              </w:rPr>
              <w:t>18.2</w:t>
            </w:r>
          </w:p>
        </w:tc>
      </w:tr>
    </w:tbl>
    <w:p w:rsidR="00000000" w:rsidRDefault="004D2F83">
      <w:pPr>
        <w:spacing w:after="240" w:line="360" w:lineRule="exact"/>
        <w:rPr>
          <w:rFonts w:hint="eastAsia"/>
          <w:sz w:val="18"/>
        </w:rPr>
      </w:pPr>
      <w:r>
        <w:rPr>
          <w:rFonts w:eastAsia="SimHei" w:hint="eastAsia"/>
          <w:sz w:val="18"/>
        </w:rPr>
        <w:t>资料来源</w:t>
      </w:r>
      <w:r>
        <w:rPr>
          <w:rFonts w:hint="eastAsia"/>
          <w:sz w:val="18"/>
        </w:rPr>
        <w:t>：对外关系部人事司。</w:t>
      </w:r>
    </w:p>
    <w:p w:rsidR="00000000" w:rsidRDefault="004D2F83" w:rsidP="004D2F83">
      <w:pPr>
        <w:spacing w:after="240" w:line="360" w:lineRule="exact"/>
        <w:ind w:firstLineChars="200" w:firstLine="31680"/>
        <w:rPr>
          <w:rFonts w:hint="eastAsia"/>
        </w:rPr>
      </w:pPr>
      <w:r>
        <w:rPr>
          <w:rFonts w:hint="eastAsia"/>
        </w:rPr>
        <w:t>将对外关系部的全部职业与工作种类都考虑在内，女性所占的比例更多些。</w:t>
      </w:r>
    </w:p>
    <w:p w:rsidR="00000000" w:rsidRDefault="004D2F83" w:rsidP="004D2F83">
      <w:pPr>
        <w:spacing w:after="240" w:line="360" w:lineRule="exact"/>
        <w:ind w:firstLineChars="200" w:firstLine="31680"/>
        <w:jc w:val="center"/>
        <w:rPr>
          <w:rFonts w:eastAsia="SimHei" w:hint="eastAsia"/>
        </w:rPr>
      </w:pPr>
      <w:r>
        <w:rPr>
          <w:rFonts w:eastAsia="SimHei" w:hint="eastAsia"/>
        </w:rPr>
        <w:t>对外关系部雇员的职业或类别分布情况</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85"/>
        <w:gridCol w:w="1903"/>
        <w:gridCol w:w="1903"/>
        <w:gridCol w:w="1902"/>
        <w:gridCol w:w="2263"/>
      </w:tblGrid>
      <w:tr w:rsidR="00000000">
        <w:tblPrEx>
          <w:tblCellMar>
            <w:top w:w="0" w:type="dxa"/>
            <w:bottom w:w="0" w:type="dxa"/>
          </w:tblCellMar>
        </w:tblPrEx>
        <w:tc>
          <w:tcPr>
            <w:tcW w:w="956" w:type="pct"/>
            <w:vAlign w:val="center"/>
          </w:tcPr>
          <w:p w:rsidR="00000000" w:rsidRDefault="004D2F83">
            <w:pPr>
              <w:spacing w:line="360" w:lineRule="exact"/>
              <w:jc w:val="center"/>
              <w:rPr>
                <w:rFonts w:ascii="SimHei" w:eastAsia="SimHei" w:hint="eastAsia"/>
                <w:sz w:val="18"/>
              </w:rPr>
            </w:pPr>
            <w:r>
              <w:rPr>
                <w:rFonts w:ascii="SimHei" w:eastAsia="SimHei" w:hint="eastAsia"/>
                <w:sz w:val="18"/>
              </w:rPr>
              <w:t>职业</w:t>
            </w:r>
            <w:r>
              <w:rPr>
                <w:rFonts w:ascii="SimHei" w:eastAsia="SimHei" w:hint="eastAsia"/>
                <w:sz w:val="18"/>
              </w:rPr>
              <w:t>/</w:t>
            </w:r>
            <w:r>
              <w:rPr>
                <w:rFonts w:ascii="SimHei" w:eastAsia="SimHei" w:hint="eastAsia"/>
                <w:sz w:val="18"/>
              </w:rPr>
              <w:t>类别</w:t>
            </w:r>
          </w:p>
        </w:tc>
        <w:tc>
          <w:tcPr>
            <w:tcW w:w="965" w:type="pct"/>
            <w:vAlign w:val="center"/>
          </w:tcPr>
          <w:p w:rsidR="00000000" w:rsidRDefault="004D2F83">
            <w:pPr>
              <w:spacing w:line="360" w:lineRule="exact"/>
              <w:jc w:val="center"/>
              <w:rPr>
                <w:rFonts w:ascii="SimHei" w:eastAsia="SimHei" w:hint="eastAsia"/>
                <w:sz w:val="18"/>
              </w:rPr>
            </w:pPr>
            <w:r>
              <w:rPr>
                <w:rFonts w:ascii="SimHei" w:eastAsia="SimHei" w:hint="eastAsia"/>
                <w:sz w:val="18"/>
              </w:rPr>
              <w:t>男性</w:t>
            </w:r>
          </w:p>
        </w:tc>
        <w:tc>
          <w:tcPr>
            <w:tcW w:w="965" w:type="pct"/>
            <w:vAlign w:val="center"/>
          </w:tcPr>
          <w:p w:rsidR="00000000" w:rsidRDefault="004D2F83">
            <w:pPr>
              <w:spacing w:line="360" w:lineRule="exact"/>
              <w:jc w:val="center"/>
              <w:rPr>
                <w:rFonts w:ascii="SimHei" w:eastAsia="SimHei" w:hint="eastAsia"/>
                <w:sz w:val="18"/>
              </w:rPr>
            </w:pPr>
            <w:r>
              <w:rPr>
                <w:rFonts w:ascii="SimHei" w:eastAsia="SimHei" w:hint="eastAsia"/>
                <w:sz w:val="18"/>
              </w:rPr>
              <w:t>女性</w:t>
            </w:r>
          </w:p>
        </w:tc>
        <w:tc>
          <w:tcPr>
            <w:tcW w:w="965" w:type="pct"/>
            <w:vAlign w:val="center"/>
          </w:tcPr>
          <w:p w:rsidR="00000000" w:rsidRDefault="004D2F83">
            <w:pPr>
              <w:spacing w:line="360" w:lineRule="exact"/>
              <w:jc w:val="center"/>
              <w:rPr>
                <w:rFonts w:ascii="SimHei" w:eastAsia="SimHei" w:hint="eastAsia"/>
                <w:sz w:val="18"/>
              </w:rPr>
            </w:pPr>
            <w:r>
              <w:rPr>
                <w:rFonts w:ascii="SimHei" w:eastAsia="SimHei" w:hint="eastAsia"/>
                <w:sz w:val="18"/>
              </w:rPr>
              <w:t>总数</w:t>
            </w:r>
          </w:p>
        </w:tc>
        <w:tc>
          <w:tcPr>
            <w:tcW w:w="1148" w:type="pct"/>
            <w:vAlign w:val="center"/>
          </w:tcPr>
          <w:p w:rsidR="00000000" w:rsidRDefault="004D2F83">
            <w:pPr>
              <w:spacing w:line="360" w:lineRule="exact"/>
              <w:jc w:val="center"/>
              <w:rPr>
                <w:rFonts w:ascii="SimHei" w:eastAsia="SimHei" w:hint="eastAsia"/>
                <w:sz w:val="18"/>
              </w:rPr>
            </w:pPr>
            <w:r>
              <w:rPr>
                <w:rFonts w:ascii="SimHei" w:eastAsia="SimHei" w:hint="eastAsia"/>
                <w:sz w:val="18"/>
              </w:rPr>
              <w:t>女性</w:t>
            </w:r>
            <w:r>
              <w:rPr>
                <w:rFonts w:ascii="SimHei" w:eastAsia="SimHei" w:hint="eastAsia"/>
                <w:sz w:val="18"/>
              </w:rPr>
              <w:t>所占百分比</w:t>
            </w:r>
          </w:p>
        </w:tc>
      </w:tr>
      <w:tr w:rsidR="00000000">
        <w:tblPrEx>
          <w:tblCellMar>
            <w:top w:w="0" w:type="dxa"/>
            <w:bottom w:w="0" w:type="dxa"/>
          </w:tblCellMar>
        </w:tblPrEx>
        <w:tc>
          <w:tcPr>
            <w:tcW w:w="956" w:type="pct"/>
            <w:vAlign w:val="center"/>
          </w:tcPr>
          <w:p w:rsidR="00000000" w:rsidRDefault="004D2F83">
            <w:pPr>
              <w:spacing w:line="360" w:lineRule="exact"/>
              <w:rPr>
                <w:rFonts w:hint="eastAsia"/>
                <w:sz w:val="18"/>
              </w:rPr>
            </w:pPr>
            <w:r>
              <w:rPr>
                <w:rFonts w:hint="eastAsia"/>
                <w:sz w:val="18"/>
              </w:rPr>
              <w:t>外交人员</w:t>
            </w:r>
          </w:p>
        </w:tc>
        <w:tc>
          <w:tcPr>
            <w:tcW w:w="965" w:type="pct"/>
          </w:tcPr>
          <w:p w:rsidR="00000000" w:rsidRDefault="004D2F83" w:rsidP="004D2F83">
            <w:pPr>
              <w:spacing w:line="360" w:lineRule="exact"/>
              <w:ind w:rightChars="295" w:right="31680"/>
              <w:jc w:val="right"/>
              <w:rPr>
                <w:sz w:val="18"/>
              </w:rPr>
            </w:pPr>
            <w:r>
              <w:rPr>
                <w:sz w:val="18"/>
              </w:rPr>
              <w:t>848</w:t>
            </w:r>
          </w:p>
        </w:tc>
        <w:tc>
          <w:tcPr>
            <w:tcW w:w="965" w:type="pct"/>
          </w:tcPr>
          <w:p w:rsidR="00000000" w:rsidRDefault="004D2F83" w:rsidP="004D2F83">
            <w:pPr>
              <w:spacing w:line="360" w:lineRule="exact"/>
              <w:ind w:rightChars="295" w:right="31680"/>
              <w:jc w:val="right"/>
              <w:rPr>
                <w:sz w:val="18"/>
              </w:rPr>
            </w:pPr>
            <w:r>
              <w:rPr>
                <w:sz w:val="18"/>
              </w:rPr>
              <w:t>189</w:t>
            </w:r>
          </w:p>
        </w:tc>
        <w:tc>
          <w:tcPr>
            <w:tcW w:w="965" w:type="pct"/>
          </w:tcPr>
          <w:p w:rsidR="00000000" w:rsidRDefault="004D2F83" w:rsidP="004D2F83">
            <w:pPr>
              <w:spacing w:line="360" w:lineRule="exact"/>
              <w:ind w:rightChars="295" w:right="31680"/>
              <w:jc w:val="right"/>
              <w:rPr>
                <w:sz w:val="18"/>
              </w:rPr>
            </w:pPr>
            <w:r>
              <w:rPr>
                <w:sz w:val="18"/>
              </w:rPr>
              <w:t>1 037</w:t>
            </w:r>
          </w:p>
        </w:tc>
        <w:tc>
          <w:tcPr>
            <w:tcW w:w="1148" w:type="pct"/>
          </w:tcPr>
          <w:p w:rsidR="00000000" w:rsidRDefault="004D2F83" w:rsidP="004D2F83">
            <w:pPr>
              <w:spacing w:line="360" w:lineRule="exact"/>
              <w:ind w:rightChars="295" w:right="31680"/>
              <w:jc w:val="right"/>
              <w:rPr>
                <w:sz w:val="18"/>
              </w:rPr>
            </w:pPr>
            <w:r>
              <w:rPr>
                <w:sz w:val="18"/>
              </w:rPr>
              <w:t>18.2</w:t>
            </w:r>
          </w:p>
        </w:tc>
      </w:tr>
      <w:tr w:rsidR="00000000">
        <w:tblPrEx>
          <w:tblCellMar>
            <w:top w:w="0" w:type="dxa"/>
            <w:bottom w:w="0" w:type="dxa"/>
          </w:tblCellMar>
        </w:tblPrEx>
        <w:tc>
          <w:tcPr>
            <w:tcW w:w="956" w:type="pct"/>
            <w:vAlign w:val="center"/>
          </w:tcPr>
          <w:p w:rsidR="00000000" w:rsidRDefault="004D2F83">
            <w:pPr>
              <w:spacing w:line="360" w:lineRule="exact"/>
              <w:rPr>
                <w:rFonts w:hint="eastAsia"/>
                <w:sz w:val="18"/>
              </w:rPr>
            </w:pPr>
            <w:r>
              <w:rPr>
                <w:rFonts w:hint="eastAsia"/>
                <w:sz w:val="18"/>
              </w:rPr>
              <w:t>办公室官员</w:t>
            </w:r>
          </w:p>
        </w:tc>
        <w:tc>
          <w:tcPr>
            <w:tcW w:w="965" w:type="pct"/>
          </w:tcPr>
          <w:p w:rsidR="00000000" w:rsidRDefault="004D2F83" w:rsidP="004D2F83">
            <w:pPr>
              <w:spacing w:line="360" w:lineRule="exact"/>
              <w:ind w:rightChars="295" w:right="31680"/>
              <w:jc w:val="right"/>
              <w:rPr>
                <w:sz w:val="18"/>
              </w:rPr>
            </w:pPr>
            <w:r>
              <w:rPr>
                <w:sz w:val="18"/>
              </w:rPr>
              <w:t>274</w:t>
            </w:r>
          </w:p>
        </w:tc>
        <w:tc>
          <w:tcPr>
            <w:tcW w:w="965" w:type="pct"/>
          </w:tcPr>
          <w:p w:rsidR="00000000" w:rsidRDefault="004D2F83" w:rsidP="004D2F83">
            <w:pPr>
              <w:spacing w:line="360" w:lineRule="exact"/>
              <w:ind w:rightChars="295" w:right="31680"/>
              <w:jc w:val="right"/>
              <w:rPr>
                <w:sz w:val="18"/>
              </w:rPr>
            </w:pPr>
            <w:r>
              <w:rPr>
                <w:sz w:val="18"/>
              </w:rPr>
              <w:t>456</w:t>
            </w:r>
          </w:p>
        </w:tc>
        <w:tc>
          <w:tcPr>
            <w:tcW w:w="965" w:type="pct"/>
          </w:tcPr>
          <w:p w:rsidR="00000000" w:rsidRDefault="004D2F83" w:rsidP="004D2F83">
            <w:pPr>
              <w:spacing w:line="360" w:lineRule="exact"/>
              <w:ind w:rightChars="295" w:right="31680"/>
              <w:jc w:val="right"/>
              <w:rPr>
                <w:sz w:val="18"/>
              </w:rPr>
            </w:pPr>
            <w:r>
              <w:rPr>
                <w:sz w:val="18"/>
              </w:rPr>
              <w:t>730</w:t>
            </w:r>
          </w:p>
        </w:tc>
        <w:tc>
          <w:tcPr>
            <w:tcW w:w="1148" w:type="pct"/>
          </w:tcPr>
          <w:p w:rsidR="00000000" w:rsidRDefault="004D2F83" w:rsidP="004D2F83">
            <w:pPr>
              <w:spacing w:line="360" w:lineRule="exact"/>
              <w:ind w:rightChars="295" w:right="31680"/>
              <w:jc w:val="right"/>
              <w:rPr>
                <w:sz w:val="18"/>
              </w:rPr>
            </w:pPr>
            <w:r>
              <w:rPr>
                <w:sz w:val="18"/>
              </w:rPr>
              <w:t>62.4</w:t>
            </w:r>
          </w:p>
        </w:tc>
      </w:tr>
      <w:tr w:rsidR="00000000">
        <w:tblPrEx>
          <w:tblCellMar>
            <w:top w:w="0" w:type="dxa"/>
            <w:bottom w:w="0" w:type="dxa"/>
          </w:tblCellMar>
        </w:tblPrEx>
        <w:tc>
          <w:tcPr>
            <w:tcW w:w="956" w:type="pct"/>
            <w:vAlign w:val="center"/>
          </w:tcPr>
          <w:p w:rsidR="00000000" w:rsidRDefault="004D2F83">
            <w:pPr>
              <w:spacing w:line="360" w:lineRule="exact"/>
              <w:rPr>
                <w:rFonts w:hint="eastAsia"/>
                <w:sz w:val="18"/>
              </w:rPr>
            </w:pPr>
            <w:r>
              <w:rPr>
                <w:rFonts w:hint="eastAsia"/>
                <w:sz w:val="18"/>
              </w:rPr>
              <w:t>办公室助理</w:t>
            </w:r>
          </w:p>
        </w:tc>
        <w:tc>
          <w:tcPr>
            <w:tcW w:w="965" w:type="pct"/>
          </w:tcPr>
          <w:p w:rsidR="00000000" w:rsidRDefault="004D2F83" w:rsidP="004D2F83">
            <w:pPr>
              <w:spacing w:line="360" w:lineRule="exact"/>
              <w:ind w:rightChars="295" w:right="31680"/>
              <w:jc w:val="right"/>
              <w:rPr>
                <w:sz w:val="18"/>
              </w:rPr>
            </w:pPr>
            <w:r>
              <w:rPr>
                <w:sz w:val="18"/>
              </w:rPr>
              <w:t>279</w:t>
            </w:r>
          </w:p>
        </w:tc>
        <w:tc>
          <w:tcPr>
            <w:tcW w:w="965" w:type="pct"/>
          </w:tcPr>
          <w:p w:rsidR="00000000" w:rsidRDefault="004D2F83" w:rsidP="004D2F83">
            <w:pPr>
              <w:spacing w:line="360" w:lineRule="exact"/>
              <w:ind w:rightChars="295" w:right="31680"/>
              <w:jc w:val="right"/>
              <w:rPr>
                <w:sz w:val="18"/>
              </w:rPr>
            </w:pPr>
            <w:r>
              <w:rPr>
                <w:sz w:val="18"/>
              </w:rPr>
              <w:t>372</w:t>
            </w:r>
          </w:p>
        </w:tc>
        <w:tc>
          <w:tcPr>
            <w:tcW w:w="965" w:type="pct"/>
          </w:tcPr>
          <w:p w:rsidR="00000000" w:rsidRDefault="004D2F83" w:rsidP="004D2F83">
            <w:pPr>
              <w:spacing w:line="360" w:lineRule="exact"/>
              <w:ind w:rightChars="295" w:right="31680"/>
              <w:jc w:val="right"/>
              <w:rPr>
                <w:sz w:val="18"/>
              </w:rPr>
            </w:pPr>
            <w:r>
              <w:rPr>
                <w:sz w:val="18"/>
              </w:rPr>
              <w:t>651</w:t>
            </w:r>
          </w:p>
        </w:tc>
        <w:tc>
          <w:tcPr>
            <w:tcW w:w="1148" w:type="pct"/>
          </w:tcPr>
          <w:p w:rsidR="00000000" w:rsidRDefault="004D2F83" w:rsidP="004D2F83">
            <w:pPr>
              <w:spacing w:line="360" w:lineRule="exact"/>
              <w:ind w:rightChars="295" w:right="31680"/>
              <w:jc w:val="right"/>
              <w:rPr>
                <w:sz w:val="18"/>
              </w:rPr>
            </w:pPr>
            <w:r>
              <w:rPr>
                <w:sz w:val="18"/>
              </w:rPr>
              <w:t>57.1</w:t>
            </w:r>
          </w:p>
        </w:tc>
      </w:tr>
      <w:tr w:rsidR="00000000">
        <w:tblPrEx>
          <w:tblCellMar>
            <w:top w:w="0" w:type="dxa"/>
            <w:bottom w:w="0" w:type="dxa"/>
          </w:tblCellMar>
        </w:tblPrEx>
        <w:tc>
          <w:tcPr>
            <w:tcW w:w="956" w:type="pct"/>
            <w:vAlign w:val="center"/>
          </w:tcPr>
          <w:p w:rsidR="00000000" w:rsidRDefault="004D2F83">
            <w:pPr>
              <w:spacing w:line="360" w:lineRule="exact"/>
              <w:rPr>
                <w:rFonts w:hint="eastAsia"/>
                <w:sz w:val="18"/>
              </w:rPr>
            </w:pPr>
            <w:r>
              <w:rPr>
                <w:rFonts w:hint="eastAsia"/>
                <w:sz w:val="18"/>
              </w:rPr>
              <w:t>其他</w:t>
            </w:r>
          </w:p>
        </w:tc>
        <w:tc>
          <w:tcPr>
            <w:tcW w:w="965" w:type="pct"/>
          </w:tcPr>
          <w:p w:rsidR="00000000" w:rsidRDefault="004D2F83" w:rsidP="004D2F83">
            <w:pPr>
              <w:spacing w:line="360" w:lineRule="exact"/>
              <w:ind w:rightChars="295" w:right="31680"/>
              <w:jc w:val="right"/>
              <w:rPr>
                <w:sz w:val="18"/>
              </w:rPr>
            </w:pPr>
            <w:r>
              <w:rPr>
                <w:sz w:val="18"/>
              </w:rPr>
              <w:t>501</w:t>
            </w:r>
          </w:p>
        </w:tc>
        <w:tc>
          <w:tcPr>
            <w:tcW w:w="965" w:type="pct"/>
          </w:tcPr>
          <w:p w:rsidR="00000000" w:rsidRDefault="004D2F83" w:rsidP="004D2F83">
            <w:pPr>
              <w:spacing w:line="360" w:lineRule="exact"/>
              <w:ind w:rightChars="295" w:right="31680"/>
              <w:jc w:val="right"/>
              <w:rPr>
                <w:sz w:val="18"/>
              </w:rPr>
            </w:pPr>
            <w:r>
              <w:rPr>
                <w:sz w:val="18"/>
              </w:rPr>
              <w:t>233</w:t>
            </w:r>
          </w:p>
        </w:tc>
        <w:tc>
          <w:tcPr>
            <w:tcW w:w="965" w:type="pct"/>
          </w:tcPr>
          <w:p w:rsidR="00000000" w:rsidRDefault="004D2F83" w:rsidP="004D2F83">
            <w:pPr>
              <w:spacing w:line="360" w:lineRule="exact"/>
              <w:ind w:rightChars="295" w:right="31680"/>
              <w:jc w:val="right"/>
              <w:rPr>
                <w:sz w:val="18"/>
              </w:rPr>
            </w:pPr>
            <w:r>
              <w:rPr>
                <w:sz w:val="18"/>
              </w:rPr>
              <w:t>734</w:t>
            </w:r>
          </w:p>
        </w:tc>
        <w:tc>
          <w:tcPr>
            <w:tcW w:w="1148" w:type="pct"/>
          </w:tcPr>
          <w:p w:rsidR="00000000" w:rsidRDefault="004D2F83" w:rsidP="004D2F83">
            <w:pPr>
              <w:spacing w:line="360" w:lineRule="exact"/>
              <w:ind w:rightChars="295" w:right="31680"/>
              <w:jc w:val="right"/>
              <w:rPr>
                <w:sz w:val="18"/>
              </w:rPr>
            </w:pPr>
            <w:r>
              <w:rPr>
                <w:sz w:val="18"/>
              </w:rPr>
              <w:t>31.7</w:t>
            </w:r>
          </w:p>
        </w:tc>
      </w:tr>
      <w:tr w:rsidR="00000000">
        <w:tblPrEx>
          <w:tblCellMar>
            <w:top w:w="0" w:type="dxa"/>
            <w:bottom w:w="0" w:type="dxa"/>
          </w:tblCellMar>
        </w:tblPrEx>
        <w:tc>
          <w:tcPr>
            <w:tcW w:w="956" w:type="pct"/>
            <w:vAlign w:val="center"/>
          </w:tcPr>
          <w:p w:rsidR="00000000" w:rsidRDefault="004D2F83">
            <w:pPr>
              <w:spacing w:line="360" w:lineRule="exact"/>
              <w:rPr>
                <w:rFonts w:hint="eastAsia"/>
                <w:sz w:val="18"/>
              </w:rPr>
            </w:pPr>
            <w:r>
              <w:rPr>
                <w:rFonts w:hint="eastAsia"/>
                <w:sz w:val="18"/>
              </w:rPr>
              <w:t>总数</w:t>
            </w:r>
          </w:p>
        </w:tc>
        <w:tc>
          <w:tcPr>
            <w:tcW w:w="965" w:type="pct"/>
          </w:tcPr>
          <w:p w:rsidR="00000000" w:rsidRDefault="004D2F83" w:rsidP="004D2F83">
            <w:pPr>
              <w:spacing w:line="360" w:lineRule="exact"/>
              <w:ind w:rightChars="295" w:right="31680"/>
              <w:jc w:val="right"/>
              <w:rPr>
                <w:sz w:val="18"/>
              </w:rPr>
            </w:pPr>
            <w:r>
              <w:rPr>
                <w:sz w:val="18"/>
              </w:rPr>
              <w:t>1 902</w:t>
            </w:r>
          </w:p>
        </w:tc>
        <w:tc>
          <w:tcPr>
            <w:tcW w:w="965" w:type="pct"/>
          </w:tcPr>
          <w:p w:rsidR="00000000" w:rsidRDefault="004D2F83" w:rsidP="004D2F83">
            <w:pPr>
              <w:spacing w:line="360" w:lineRule="exact"/>
              <w:ind w:rightChars="295" w:right="31680"/>
              <w:jc w:val="right"/>
              <w:rPr>
                <w:sz w:val="18"/>
              </w:rPr>
            </w:pPr>
            <w:r>
              <w:rPr>
                <w:sz w:val="18"/>
              </w:rPr>
              <w:t>1 250</w:t>
            </w:r>
          </w:p>
        </w:tc>
        <w:tc>
          <w:tcPr>
            <w:tcW w:w="965" w:type="pct"/>
          </w:tcPr>
          <w:p w:rsidR="00000000" w:rsidRDefault="004D2F83" w:rsidP="004D2F83">
            <w:pPr>
              <w:spacing w:line="360" w:lineRule="exact"/>
              <w:ind w:rightChars="295" w:right="31680"/>
              <w:jc w:val="right"/>
              <w:rPr>
                <w:sz w:val="18"/>
              </w:rPr>
            </w:pPr>
            <w:r>
              <w:rPr>
                <w:sz w:val="18"/>
              </w:rPr>
              <w:t>3 152</w:t>
            </w:r>
          </w:p>
        </w:tc>
        <w:tc>
          <w:tcPr>
            <w:tcW w:w="1148" w:type="pct"/>
          </w:tcPr>
          <w:p w:rsidR="00000000" w:rsidRDefault="004D2F83" w:rsidP="004D2F83">
            <w:pPr>
              <w:spacing w:line="360" w:lineRule="exact"/>
              <w:ind w:rightChars="295" w:right="31680"/>
              <w:jc w:val="right"/>
              <w:rPr>
                <w:sz w:val="18"/>
              </w:rPr>
            </w:pPr>
            <w:r>
              <w:rPr>
                <w:sz w:val="18"/>
              </w:rPr>
              <w:t>39.6</w:t>
            </w:r>
          </w:p>
        </w:tc>
      </w:tr>
    </w:tbl>
    <w:p w:rsidR="00000000" w:rsidRDefault="004D2F83">
      <w:pPr>
        <w:spacing w:after="240" w:line="360" w:lineRule="exact"/>
        <w:rPr>
          <w:rFonts w:hint="eastAsia"/>
          <w:sz w:val="18"/>
        </w:rPr>
      </w:pPr>
      <w:r>
        <w:rPr>
          <w:rFonts w:eastAsia="SimHei" w:hint="eastAsia"/>
          <w:sz w:val="18"/>
        </w:rPr>
        <w:t>资料来源</w:t>
      </w:r>
      <w:r>
        <w:rPr>
          <w:rFonts w:hint="eastAsia"/>
          <w:sz w:val="18"/>
        </w:rPr>
        <w:t>：对外关系部人事司。</w:t>
      </w:r>
    </w:p>
    <w:p w:rsidR="00000000" w:rsidRDefault="004D2F83" w:rsidP="004D2F83">
      <w:pPr>
        <w:spacing w:after="240" w:line="360" w:lineRule="exact"/>
        <w:ind w:firstLineChars="200" w:firstLine="31680"/>
        <w:rPr>
          <w:rFonts w:hint="eastAsia"/>
        </w:rPr>
      </w:pPr>
      <w:r>
        <w:rPr>
          <w:rFonts w:hint="eastAsia"/>
        </w:rPr>
        <w:t>外交人员、办公室官员和办公室助理这三种职业构成了“巴西外交界”。在这其中，外交职业的责任最大，声望最响，报酬最高，但女性只占外交人员总数的</w:t>
      </w:r>
      <w:r>
        <w:t>18.2%</w:t>
      </w:r>
      <w:r>
        <w:rPr>
          <w:rFonts w:hint="eastAsia"/>
        </w:rPr>
        <w:t>。反观其他两种职业，女性占了绝大多数，在这些岗位上的工作人员甚至要向级别最低的</w:t>
      </w:r>
      <w:r>
        <w:rPr>
          <w:rFonts w:hint="eastAsia"/>
        </w:rPr>
        <w:t>外交人员打报告。</w:t>
      </w:r>
    </w:p>
    <w:p w:rsidR="00000000" w:rsidRDefault="004D2F83" w:rsidP="004D2F83">
      <w:pPr>
        <w:spacing w:after="240" w:line="360" w:lineRule="exact"/>
        <w:ind w:firstLineChars="200" w:firstLine="31680"/>
        <w:rPr>
          <w:rFonts w:hint="eastAsia"/>
        </w:rPr>
      </w:pPr>
      <w:r>
        <w:rPr>
          <w:rFonts w:hint="eastAsia"/>
        </w:rPr>
        <w:t>巴西妇女对国际组织的各项活动的参与，同其在外交职业和公共行政管理工作中的普遍参与有关，不受任何限制。关键要取决于女性在其所属的公共机构等级体系中所处的地位。这些妇女出席维护人权或有关其他社会问题的国际会议，非政府雇员、但致力于此类社会问题的妇女也可以参加这些会议。</w:t>
      </w:r>
    </w:p>
    <w:p w:rsidR="00000000" w:rsidRDefault="004D2F83">
      <w:pPr>
        <w:spacing w:after="240" w:line="360" w:lineRule="exact"/>
        <w:rPr>
          <w:rFonts w:eastAsia="SimHei" w:hint="eastAsia"/>
          <w:sz w:val="24"/>
        </w:rPr>
      </w:pPr>
      <w:r>
        <w:rPr>
          <w:rFonts w:eastAsia="SimHei" w:hint="eastAsia"/>
          <w:sz w:val="24"/>
        </w:rPr>
        <w:t>因素与困难</w:t>
      </w:r>
    </w:p>
    <w:p w:rsidR="00000000" w:rsidRDefault="004D2F83">
      <w:pPr>
        <w:pStyle w:val="BodyTextIndent"/>
        <w:ind w:firstLine="420"/>
        <w:rPr>
          <w:rFonts w:hint="eastAsia"/>
        </w:rPr>
      </w:pPr>
      <w:r>
        <w:rPr>
          <w:rFonts w:hint="eastAsia"/>
        </w:rPr>
        <w:t>妇女在外交职业和国际会议中的参与程度较低，反映出抵制女性权力的文化的影响力。外交职业的要求对此也有影响，根据要求，外交人员要想升职，就必须到海外工作一段时间，时间长短由其职位级别决定。身为女性外交人员的配偶、如果本人</w:t>
      </w:r>
      <w:r>
        <w:rPr>
          <w:rFonts w:hint="eastAsia"/>
        </w:rPr>
        <w:t>不是外交人员，他们的专业活动因此受到限制。</w:t>
      </w:r>
    </w:p>
    <w:p w:rsidR="00000000" w:rsidRDefault="004D2F83" w:rsidP="004D2F83">
      <w:pPr>
        <w:spacing w:after="240" w:line="360" w:lineRule="exact"/>
        <w:ind w:firstLineChars="200" w:firstLine="31680"/>
        <w:rPr>
          <w:rFonts w:hint="eastAsia"/>
        </w:rPr>
      </w:pPr>
      <w:r>
        <w:rPr>
          <w:rFonts w:hint="eastAsia"/>
        </w:rPr>
        <w:t>政府一直没有执行任何鼓励性政策来消除男女外交人员之间的不平等，直到不久以前，情况才有了改变。报名参加考试的女性人数几乎同男性相等，但进入外交职业的女性比例却相当低，对这其中的原因从未开展过全面研究。</w:t>
      </w:r>
    </w:p>
    <w:p w:rsidR="00000000" w:rsidRDefault="004D2F83" w:rsidP="004D2F83">
      <w:pPr>
        <w:spacing w:after="240" w:line="360" w:lineRule="exact"/>
        <w:ind w:firstLineChars="200" w:firstLine="31680"/>
      </w:pPr>
      <w:r>
        <w:rPr>
          <w:rFonts w:hint="eastAsia"/>
        </w:rPr>
        <w:t>里约布兰科学院（负责培养巴西外交官的学院）的现代化改造过程包括一项肯定行动项目，该项目向参加外交职业入学考试（</w:t>
      </w:r>
      <w:r>
        <w:rPr>
          <w:rFonts w:hint="eastAsia"/>
        </w:rPr>
        <w:t>CACD</w:t>
      </w:r>
      <w:r>
        <w:rPr>
          <w:rFonts w:hint="eastAsia"/>
        </w:rPr>
        <w:t>）的少数群体考生及女性考生提供奖学金，帮助他们进入外交职业。此项措施拉近了这些考生同教授或课程之间的距离，让他们可以做好更充分的准备，同其他考生在外交</w:t>
      </w:r>
      <w:r>
        <w:rPr>
          <w:rFonts w:hint="eastAsia"/>
        </w:rPr>
        <w:t>入学考试中一争高下。</w:t>
      </w:r>
    </w:p>
    <w:p w:rsidR="00000000" w:rsidRDefault="004D2F83">
      <w:pPr>
        <w:spacing w:line="360" w:lineRule="exact"/>
        <w:jc w:val="center"/>
        <w:rPr>
          <w:rFonts w:eastAsia="KaiTi_GB2312"/>
          <w:b/>
          <w:bCs/>
          <w:sz w:val="24"/>
        </w:rPr>
      </w:pPr>
      <w:r>
        <w:rPr>
          <w:rFonts w:eastAsia="KaiTi_GB2312"/>
          <w:b/>
          <w:bCs/>
          <w:sz w:val="24"/>
        </w:rPr>
        <w:br w:type="page"/>
      </w:r>
    </w:p>
    <w:p w:rsidR="00000000" w:rsidRDefault="004D2F83">
      <w:pPr>
        <w:pStyle w:val="Heading3"/>
        <w:numPr>
          <w:ilvl w:val="0"/>
          <w:numId w:val="0"/>
        </w:numPr>
        <w:spacing w:before="0"/>
        <w:jc w:val="center"/>
        <w:rPr>
          <w:rFonts w:ascii="KaiTi_GB2312" w:eastAsia="KaiTi_GB2312" w:hint="eastAsia"/>
          <w:b/>
          <w:bCs/>
          <w:u w:val="none"/>
        </w:rPr>
      </w:pPr>
      <w:bookmarkStart w:id="15" w:name="_Toc36367085"/>
      <w:r>
        <w:rPr>
          <w:rFonts w:ascii="KaiTi_GB2312" w:eastAsia="KaiTi_GB2312" w:hint="eastAsia"/>
          <w:b/>
          <w:bCs/>
          <w:u w:val="none"/>
        </w:rPr>
        <w:t>第</w:t>
      </w:r>
      <w:r>
        <w:rPr>
          <w:rFonts w:ascii="KaiTi_GB2312" w:eastAsia="KaiTi_GB2312" w:hint="eastAsia"/>
          <w:b/>
          <w:bCs/>
          <w:u w:val="none"/>
        </w:rPr>
        <w:t>9</w:t>
      </w:r>
      <w:r>
        <w:rPr>
          <w:rFonts w:ascii="KaiTi_GB2312" w:eastAsia="KaiTi_GB2312" w:hint="eastAsia"/>
          <w:b/>
          <w:bCs/>
          <w:u w:val="none"/>
        </w:rPr>
        <w:t>条</w:t>
      </w:r>
      <w:bookmarkEnd w:id="15"/>
    </w:p>
    <w:p w:rsidR="00000000" w:rsidRDefault="004D2F83">
      <w:pPr>
        <w:numPr>
          <w:ilvl w:val="0"/>
          <w:numId w:val="716"/>
        </w:numPr>
        <w:spacing w:after="240" w:line="360" w:lineRule="exact"/>
        <w:rPr>
          <w:rFonts w:eastAsia="KaiTi_GB2312" w:hint="eastAsia"/>
          <w:b/>
          <w:bCs/>
        </w:rPr>
      </w:pPr>
      <w:r>
        <w:rPr>
          <w:rFonts w:eastAsia="KaiTi_GB2312" w:hint="eastAsia"/>
          <w:b/>
          <w:bCs/>
        </w:rPr>
        <w:t>缔约各国应给予妇女与男子有取得、改变或保留国籍的同等权利。缔约各国应特别保证，与外国人结婚或于婚姻存续期间丈夫改变国籍均不当然改变妻子的国籍，使她成为无国籍人，或把丈夫的国籍强加于她。</w:t>
      </w:r>
    </w:p>
    <w:p w:rsidR="00000000" w:rsidRDefault="004D2F83">
      <w:pPr>
        <w:numPr>
          <w:ilvl w:val="0"/>
          <w:numId w:val="716"/>
        </w:numPr>
        <w:spacing w:after="240" w:line="360" w:lineRule="exact"/>
        <w:rPr>
          <w:rFonts w:eastAsia="KaiTi_GB2312" w:hint="eastAsia"/>
          <w:b/>
          <w:bCs/>
        </w:rPr>
      </w:pPr>
      <w:r>
        <w:rPr>
          <w:rFonts w:eastAsia="KaiTi_GB2312" w:hint="eastAsia"/>
          <w:b/>
          <w:bCs/>
        </w:rPr>
        <w:t>缔约各国在关于子女的国籍方面，应给予妇女与男子平等的权利。</w:t>
      </w:r>
    </w:p>
    <w:p w:rsidR="00000000" w:rsidRDefault="004D2F83">
      <w:pPr>
        <w:tabs>
          <w:tab w:val="left" w:pos="3060"/>
        </w:tabs>
        <w:spacing w:after="240" w:line="360" w:lineRule="exact"/>
        <w:rPr>
          <w:rFonts w:eastAsia="SimHei" w:hint="eastAsia"/>
          <w:sz w:val="24"/>
        </w:rPr>
      </w:pPr>
      <w:r>
        <w:rPr>
          <w:rFonts w:eastAsia="SimHei" w:hint="eastAsia"/>
          <w:sz w:val="24"/>
        </w:rPr>
        <w:t>立法措施</w:t>
      </w:r>
    </w:p>
    <w:p w:rsidR="00000000" w:rsidRDefault="004D2F83" w:rsidP="004D2F83">
      <w:pPr>
        <w:spacing w:after="240" w:line="360" w:lineRule="exact"/>
        <w:ind w:firstLineChars="200" w:firstLine="31680"/>
        <w:rPr>
          <w:rFonts w:hint="eastAsia"/>
        </w:rPr>
      </w:pPr>
      <w:r>
        <w:rPr>
          <w:rFonts w:hint="eastAsia"/>
        </w:rPr>
        <w:t>《巴西联邦宪法》第</w:t>
      </w:r>
      <w:r>
        <w:rPr>
          <w:rFonts w:hint="eastAsia"/>
        </w:rPr>
        <w:t>5</w:t>
      </w:r>
      <w:r>
        <w:rPr>
          <w:rFonts w:hint="eastAsia"/>
        </w:rPr>
        <w:t>条第一项所规定的男女平等在事关个人、社会和集体权利的一切问题上都得到整个法律系统的保障。因此，巴西法律平等地保护男女公民，并且平等地对待男女移民。</w:t>
      </w:r>
    </w:p>
    <w:p w:rsidR="00000000" w:rsidRDefault="004D2F83" w:rsidP="004D2F83">
      <w:pPr>
        <w:spacing w:after="240" w:line="360" w:lineRule="exact"/>
        <w:ind w:firstLineChars="200" w:firstLine="31680"/>
        <w:rPr>
          <w:rFonts w:hint="eastAsia"/>
        </w:rPr>
      </w:pPr>
      <w:r>
        <w:rPr>
          <w:rFonts w:hint="eastAsia"/>
        </w:rPr>
        <w:t>巴西已经签署并批准了一切旨在普遍保护国籍</w:t>
      </w:r>
      <w:r>
        <w:rPr>
          <w:rFonts w:hint="eastAsia"/>
        </w:rPr>
        <w:t xml:space="preserve"> </w:t>
      </w:r>
      <w:r>
        <w:rPr>
          <w:rFonts w:hint="eastAsia"/>
        </w:rPr>
        <w:t>、特别是保护</w:t>
      </w:r>
      <w:r>
        <w:rPr>
          <w:rFonts w:hint="eastAsia"/>
        </w:rPr>
        <w:t>妇女国籍的国际公约与条约</w:t>
      </w:r>
      <w:r>
        <w:rPr>
          <w:rFonts w:hint="eastAsia"/>
        </w:rPr>
        <w:t xml:space="preserve"> </w:t>
      </w:r>
      <w:r>
        <w:rPr>
          <w:rFonts w:hint="eastAsia"/>
        </w:rPr>
        <w:t>，其中包括《消除对妇女一切形式歧视公约》。</w:t>
      </w:r>
    </w:p>
    <w:p w:rsidR="00000000" w:rsidRDefault="004D2F83" w:rsidP="004D2F83">
      <w:pPr>
        <w:spacing w:after="240" w:line="360" w:lineRule="exact"/>
        <w:ind w:firstLineChars="200" w:firstLine="31680"/>
        <w:rPr>
          <w:rFonts w:hint="eastAsia"/>
        </w:rPr>
      </w:pPr>
      <w:r>
        <w:rPr>
          <w:rFonts w:hint="eastAsia"/>
        </w:rPr>
        <w:t>在国籍问题上，巴西的司法传统采用“地缘”原则，但同时也采用“血缘”原则。在历史上，巴西历来是欧洲和亚洲国家大规模自愿移民的接纳国，巴西在</w:t>
      </w:r>
      <w:r>
        <w:rPr>
          <w:rFonts w:hint="eastAsia"/>
        </w:rPr>
        <w:t>19</w:t>
      </w:r>
      <w:r>
        <w:rPr>
          <w:rFonts w:hint="eastAsia"/>
        </w:rPr>
        <w:t>世纪废除奴隶制之前，还接纳过来自非洲的被迫移民。</w:t>
      </w:r>
    </w:p>
    <w:p w:rsidR="00000000" w:rsidRDefault="004D2F83" w:rsidP="004D2F83">
      <w:pPr>
        <w:spacing w:after="240" w:line="360" w:lineRule="exact"/>
        <w:ind w:firstLineChars="200" w:firstLine="31680"/>
        <w:rPr>
          <w:rFonts w:hint="eastAsia"/>
        </w:rPr>
      </w:pPr>
      <w:r>
        <w:rPr>
          <w:rFonts w:hint="eastAsia"/>
        </w:rPr>
        <w:t>在国籍问题上，巴西宪法标题二第三章提出了关于平等规则的规定。第</w:t>
      </w:r>
      <w:r>
        <w:t>12</w:t>
      </w:r>
      <w:r>
        <w:rPr>
          <w:rFonts w:hint="eastAsia"/>
        </w:rPr>
        <w:t>条第一项规定：</w:t>
      </w:r>
    </w:p>
    <w:p w:rsidR="00000000" w:rsidRDefault="004D2F83" w:rsidP="004D2F83">
      <w:pPr>
        <w:spacing w:after="240" w:line="360" w:lineRule="exact"/>
        <w:ind w:firstLineChars="200" w:firstLine="31680"/>
        <w:rPr>
          <w:rFonts w:ascii="KaiTi_GB2312" w:eastAsia="KaiTi_GB2312" w:hint="eastAsia"/>
        </w:rPr>
      </w:pPr>
      <w:r>
        <w:rPr>
          <w:rFonts w:ascii="KaiTi_GB2312" w:eastAsia="KaiTi_GB2312" w:hint="eastAsia"/>
        </w:rPr>
        <w:t>第</w:t>
      </w:r>
      <w:r>
        <w:rPr>
          <w:rFonts w:ascii="KaiTi_GB2312" w:eastAsia="KaiTi_GB2312" w:hint="eastAsia"/>
        </w:rPr>
        <w:t>12</w:t>
      </w:r>
      <w:r>
        <w:rPr>
          <w:rFonts w:ascii="KaiTi_GB2312" w:eastAsia="KaiTi_GB2312" w:hint="eastAsia"/>
        </w:rPr>
        <w:t>条</w:t>
      </w:r>
      <w:r>
        <w:rPr>
          <w:rFonts w:ascii="KaiTi_GB2312" w:eastAsia="KaiTi_GB2312" w:hint="eastAsia"/>
        </w:rPr>
        <w:t xml:space="preserve"> </w:t>
      </w:r>
      <w:r>
        <w:rPr>
          <w:rFonts w:ascii="KaiTi_GB2312" w:eastAsia="KaiTi_GB2312" w:hint="eastAsia"/>
        </w:rPr>
        <w:t>—</w:t>
      </w:r>
      <w:r>
        <w:rPr>
          <w:rFonts w:ascii="KaiTi_GB2312" w:eastAsia="KaiTi_GB2312" w:hint="eastAsia"/>
        </w:rPr>
        <w:t xml:space="preserve"> </w:t>
      </w:r>
      <w:r>
        <w:rPr>
          <w:rFonts w:ascii="KaiTi_GB2312" w:eastAsia="KaiTi_GB2312" w:hint="eastAsia"/>
        </w:rPr>
        <w:t>以下人等为巴西公民：</w:t>
      </w:r>
    </w:p>
    <w:p w:rsidR="00000000" w:rsidRDefault="004D2F83" w:rsidP="004D2F83">
      <w:pPr>
        <w:spacing w:after="240" w:line="360" w:lineRule="exact"/>
        <w:ind w:firstLineChars="200" w:firstLine="31680"/>
        <w:rPr>
          <w:rFonts w:ascii="KaiTi_GB2312" w:eastAsia="KaiTi_GB2312" w:hint="eastAsia"/>
        </w:rPr>
      </w:pPr>
      <w:r>
        <w:rPr>
          <w:rFonts w:ascii="KaiTi_GB2312" w:eastAsia="KaiTi_GB2312" w:hint="eastAsia"/>
        </w:rPr>
        <w:t>一、</w:t>
      </w:r>
      <w:r>
        <w:rPr>
          <w:rFonts w:ascii="KaiTi_GB2312" w:eastAsia="KaiTi_GB2312" w:hint="eastAsia"/>
        </w:rPr>
        <w:t xml:space="preserve"> </w:t>
      </w:r>
      <w:r>
        <w:rPr>
          <w:rFonts w:ascii="KaiTi_GB2312" w:eastAsia="KaiTi_GB2312" w:hint="eastAsia"/>
        </w:rPr>
        <w:t>依据血缘：</w:t>
      </w:r>
    </w:p>
    <w:p w:rsidR="00000000" w:rsidRDefault="004D2F83" w:rsidP="004D2F83">
      <w:pPr>
        <w:spacing w:after="240" w:line="360" w:lineRule="exact"/>
        <w:ind w:leftChars="200" w:left="31680" w:hangingChars="200" w:firstLine="31680"/>
        <w:rPr>
          <w:rFonts w:ascii="KaiTi_GB2312" w:eastAsia="KaiTi_GB2312" w:hint="eastAsia"/>
        </w:rPr>
      </w:pPr>
      <w:r>
        <w:rPr>
          <w:rFonts w:ascii="KaiTi_GB2312" w:eastAsia="KaiTi_GB2312"/>
        </w:rPr>
        <w:t>a)</w:t>
      </w:r>
      <w:r>
        <w:rPr>
          <w:rFonts w:ascii="KaiTi_GB2312" w:eastAsia="KaiTi_GB2312"/>
        </w:rPr>
        <w:tab/>
      </w:r>
      <w:r>
        <w:rPr>
          <w:rFonts w:ascii="KaiTi_GB2312" w:eastAsia="KaiTi_GB2312" w:hint="eastAsia"/>
        </w:rPr>
        <w:t>在巴西联邦共和国境内出生者，即便其父母为外籍人士、但只要他们不为本国工作即可；</w:t>
      </w:r>
    </w:p>
    <w:p w:rsidR="00000000" w:rsidRDefault="004D2F83" w:rsidP="004D2F83">
      <w:pPr>
        <w:spacing w:after="240" w:line="360" w:lineRule="exact"/>
        <w:ind w:leftChars="200" w:left="31680" w:hangingChars="200" w:firstLine="31680"/>
        <w:rPr>
          <w:rFonts w:ascii="KaiTi_GB2312" w:eastAsia="KaiTi_GB2312" w:hint="eastAsia"/>
        </w:rPr>
      </w:pPr>
      <w:r>
        <w:rPr>
          <w:rFonts w:ascii="KaiTi_GB2312" w:eastAsia="KaiTi_GB2312"/>
        </w:rPr>
        <w:t>b)</w:t>
      </w:r>
      <w:r>
        <w:rPr>
          <w:rFonts w:ascii="KaiTi_GB2312" w:eastAsia="KaiTi_GB2312"/>
        </w:rPr>
        <w:tab/>
      </w:r>
      <w:r>
        <w:rPr>
          <w:rFonts w:ascii="KaiTi_GB2312" w:eastAsia="KaiTi_GB2312" w:hint="eastAsia"/>
        </w:rPr>
        <w:t>在巴西联邦共和国境外出生</w:t>
      </w:r>
      <w:r>
        <w:rPr>
          <w:rFonts w:ascii="KaiTi_GB2312" w:eastAsia="KaiTi_GB2312" w:hint="eastAsia"/>
        </w:rPr>
        <w:t>，父母中有一人为巴西公民，条件是父母中有一方为巴西联邦共和国工作；</w:t>
      </w:r>
    </w:p>
    <w:p w:rsidR="00000000" w:rsidRDefault="004D2F83" w:rsidP="004D2F83">
      <w:pPr>
        <w:spacing w:after="240" w:line="360" w:lineRule="exact"/>
        <w:ind w:leftChars="200" w:left="31680" w:hangingChars="200" w:firstLine="31680"/>
        <w:rPr>
          <w:rFonts w:ascii="KaiTi_GB2312" w:eastAsia="KaiTi_GB2312" w:hint="eastAsia"/>
        </w:rPr>
      </w:pPr>
      <w:r>
        <w:rPr>
          <w:rFonts w:ascii="KaiTi_GB2312" w:eastAsia="KaiTi_GB2312"/>
        </w:rPr>
        <w:t>c)</w:t>
      </w:r>
      <w:r>
        <w:rPr>
          <w:rFonts w:ascii="KaiTi_GB2312" w:eastAsia="KaiTi_GB2312"/>
        </w:rPr>
        <w:tab/>
      </w:r>
      <w:r>
        <w:rPr>
          <w:rFonts w:ascii="KaiTi_GB2312" w:eastAsia="KaiTi_GB2312" w:hint="eastAsia"/>
        </w:rPr>
        <w:t>在巴西联邦共和国境外出生，父母中有一人为巴西公民，条件是父母来到巴西联邦共和国定居，并在任一时刻选择加入巴西国籍。</w:t>
      </w:r>
    </w:p>
    <w:p w:rsidR="00000000" w:rsidRDefault="004D2F83" w:rsidP="004D2F83">
      <w:pPr>
        <w:spacing w:after="240" w:line="360" w:lineRule="exact"/>
        <w:ind w:firstLineChars="200" w:firstLine="31680"/>
        <w:rPr>
          <w:rFonts w:hint="eastAsia"/>
        </w:rPr>
      </w:pPr>
      <w:r>
        <w:rPr>
          <w:rFonts w:hint="eastAsia"/>
        </w:rPr>
        <w:t>由此可见，宪法在巴西国籍问题上全面保障男女平等。</w:t>
      </w:r>
    </w:p>
    <w:p w:rsidR="00000000" w:rsidRDefault="004D2F83" w:rsidP="004D2F83">
      <w:pPr>
        <w:spacing w:after="240" w:line="360" w:lineRule="exact"/>
        <w:ind w:firstLineChars="200" w:firstLine="31680"/>
        <w:rPr>
          <w:spacing w:val="4"/>
        </w:rPr>
      </w:pPr>
      <w:r>
        <w:rPr>
          <w:rFonts w:hint="eastAsia"/>
          <w:spacing w:val="4"/>
        </w:rPr>
        <w:t>对于巴西国籍的保障平等地适用于符合法律要求的所有人，并且法律中没有歧视性规定会导致巴西妇女因与外国人缔结婚姻或因丈夫国籍的改变而丧失国籍，因为巴西已婚妇女的国籍与其丈夫的国籍没有联系。</w:t>
      </w:r>
    </w:p>
    <w:p w:rsidR="00000000" w:rsidRDefault="004D2F83" w:rsidP="004D2F83">
      <w:pPr>
        <w:spacing w:after="240" w:line="360" w:lineRule="exact"/>
        <w:ind w:firstLineChars="200" w:firstLine="31680"/>
        <w:rPr>
          <w:rFonts w:hint="eastAsia"/>
        </w:rPr>
      </w:pPr>
      <w:r>
        <w:rPr>
          <w:rFonts w:hint="eastAsia"/>
        </w:rPr>
        <w:t>1942</w:t>
      </w:r>
      <w:r>
        <w:rPr>
          <w:rFonts w:hint="eastAsia"/>
        </w:rPr>
        <w:t>年</w:t>
      </w:r>
      <w:r>
        <w:rPr>
          <w:rFonts w:hint="eastAsia"/>
        </w:rPr>
        <w:t>9</w:t>
      </w:r>
      <w:r>
        <w:rPr>
          <w:rFonts w:hint="eastAsia"/>
        </w:rPr>
        <w:t>月</w:t>
      </w:r>
      <w:r>
        <w:rPr>
          <w:rFonts w:hint="eastAsia"/>
        </w:rPr>
        <w:t>4</w:t>
      </w:r>
      <w:r>
        <w:rPr>
          <w:rFonts w:hint="eastAsia"/>
        </w:rPr>
        <w:t>日第</w:t>
      </w:r>
      <w:r>
        <w:t>4657</w:t>
      </w:r>
      <w:r>
        <w:rPr>
          <w:rFonts w:hint="eastAsia"/>
        </w:rPr>
        <w:t>号法令——《巴西民法绪论法》提出了有关国籍的法规，其中规定</w:t>
      </w:r>
      <w:r>
        <w:rPr>
          <w:rFonts w:hint="eastAsia"/>
        </w:rPr>
        <w:t>：</w:t>
      </w:r>
    </w:p>
    <w:p w:rsidR="00000000" w:rsidRDefault="004D2F83" w:rsidP="004D2F83">
      <w:pPr>
        <w:spacing w:after="240" w:line="360" w:lineRule="exact"/>
        <w:ind w:leftChars="200" w:left="31680" w:firstLineChars="200" w:firstLine="31680"/>
        <w:rPr>
          <w:rFonts w:ascii="KaiTi_GB2312" w:eastAsia="KaiTi_GB2312" w:hint="eastAsia"/>
        </w:rPr>
      </w:pPr>
      <w:r>
        <w:rPr>
          <w:rFonts w:ascii="KaiTi_GB2312" w:eastAsia="KaiTi_GB2312" w:hint="eastAsia"/>
        </w:rPr>
        <w:t>第</w:t>
      </w:r>
      <w:r>
        <w:rPr>
          <w:rFonts w:ascii="KaiTi_GB2312" w:eastAsia="KaiTi_GB2312" w:hint="eastAsia"/>
        </w:rPr>
        <w:t>7</w:t>
      </w:r>
      <w:r>
        <w:rPr>
          <w:rFonts w:ascii="KaiTi_GB2312" w:eastAsia="KaiTi_GB2312" w:hint="eastAsia"/>
        </w:rPr>
        <w:t>条</w:t>
      </w:r>
      <w:r>
        <w:rPr>
          <w:rFonts w:ascii="KaiTi_GB2312" w:eastAsia="KaiTi_GB2312" w:hint="eastAsia"/>
        </w:rPr>
        <w:t xml:space="preserve"> </w:t>
      </w:r>
      <w:r>
        <w:rPr>
          <w:rFonts w:ascii="KaiTi_GB2312" w:eastAsia="KaiTi_GB2312" w:hint="eastAsia"/>
        </w:rPr>
        <w:t>—</w:t>
      </w:r>
      <w:r>
        <w:rPr>
          <w:rFonts w:ascii="KaiTi_GB2312" w:eastAsia="KaiTi_GB2312" w:hint="eastAsia"/>
        </w:rPr>
        <w:t xml:space="preserve"> </w:t>
      </w:r>
      <w:r>
        <w:rPr>
          <w:rFonts w:ascii="KaiTi_GB2312" w:eastAsia="KaiTi_GB2312" w:hint="eastAsia"/>
        </w:rPr>
        <w:t>本人居住国的法律将规定涉及其家庭成员的出生和死亡、以及其姓名、地位和权利的法规。</w:t>
      </w:r>
    </w:p>
    <w:p w:rsidR="00000000" w:rsidRDefault="004D2F83" w:rsidP="004D2F83">
      <w:pPr>
        <w:spacing w:after="240" w:line="360" w:lineRule="exact"/>
        <w:ind w:firstLineChars="200" w:firstLine="31680"/>
        <w:rPr>
          <w:rFonts w:hint="eastAsia"/>
        </w:rPr>
      </w:pPr>
      <w:r>
        <w:rPr>
          <w:rFonts w:hint="eastAsia"/>
        </w:rPr>
        <w:t>因此，巴西妇女不会因居住在国外或缔结异国婚姻而丧失自己的国籍。此外，按照</w:t>
      </w:r>
      <w:r>
        <w:rPr>
          <w:rFonts w:hint="eastAsia"/>
        </w:rPr>
        <w:t>1988</w:t>
      </w:r>
      <w:r>
        <w:rPr>
          <w:rFonts w:hint="eastAsia"/>
        </w:rPr>
        <w:t>年《联邦宪法》的规定，她们的子女将有权获得巴西国籍。但值得强调指出的是，在国外与外国人结婚并居住在国外的巴西妇女应遵守该国婚姻制度的约束。该国的法律如果带有歧视性，在巴西妇女定居该国期间，可能会剥夺其作为母亲的权利、地位和权力。</w:t>
      </w:r>
    </w:p>
    <w:p w:rsidR="00000000" w:rsidRDefault="004D2F83" w:rsidP="004D2F83">
      <w:pPr>
        <w:spacing w:line="360" w:lineRule="exact"/>
        <w:ind w:firstLineChars="200" w:firstLine="31680"/>
        <w:jc w:val="center"/>
      </w:pPr>
      <w:r>
        <w:br w:type="page"/>
      </w:r>
    </w:p>
    <w:p w:rsidR="00000000" w:rsidRDefault="004D2F83">
      <w:pPr>
        <w:pStyle w:val="Heading3"/>
        <w:numPr>
          <w:ilvl w:val="0"/>
          <w:numId w:val="0"/>
        </w:numPr>
        <w:spacing w:before="0"/>
        <w:jc w:val="center"/>
        <w:rPr>
          <w:rFonts w:ascii="KaiTi_GB2312" w:eastAsia="KaiTi_GB2312" w:hint="eastAsia"/>
          <w:b/>
          <w:bCs/>
          <w:u w:val="none"/>
        </w:rPr>
      </w:pPr>
      <w:bookmarkStart w:id="16" w:name="_Toc36367086"/>
      <w:r>
        <w:rPr>
          <w:rFonts w:ascii="KaiTi_GB2312" w:eastAsia="KaiTi_GB2312" w:hint="eastAsia"/>
          <w:b/>
          <w:bCs/>
          <w:u w:val="none"/>
        </w:rPr>
        <w:t>第</w:t>
      </w:r>
      <w:r>
        <w:rPr>
          <w:rFonts w:ascii="KaiTi_GB2312" w:eastAsia="KaiTi_GB2312" w:hint="eastAsia"/>
          <w:b/>
          <w:bCs/>
          <w:u w:val="none"/>
        </w:rPr>
        <w:t>10</w:t>
      </w:r>
      <w:r>
        <w:rPr>
          <w:rFonts w:ascii="KaiTi_GB2312" w:eastAsia="KaiTi_GB2312" w:hint="eastAsia"/>
          <w:b/>
          <w:bCs/>
          <w:u w:val="none"/>
        </w:rPr>
        <w:t>条</w:t>
      </w:r>
      <w:bookmarkEnd w:id="16"/>
    </w:p>
    <w:p w:rsidR="00000000" w:rsidRDefault="004D2F83" w:rsidP="004D2F83">
      <w:pPr>
        <w:spacing w:after="240" w:line="340" w:lineRule="exact"/>
        <w:ind w:firstLineChars="200" w:firstLine="31680"/>
        <w:rPr>
          <w:rFonts w:eastAsia="KaiTi_GB2312" w:hint="eastAsia"/>
          <w:b/>
          <w:bCs/>
        </w:rPr>
      </w:pPr>
      <w:r>
        <w:rPr>
          <w:rFonts w:eastAsia="KaiTi_GB2312" w:hint="eastAsia"/>
          <w:b/>
          <w:bCs/>
        </w:rPr>
        <w:t>缔约各国应采取一切适当措施以消除对妇女的歧视，并保证妇女在教育方面享有与男子平等的权利，特</w:t>
      </w:r>
      <w:r>
        <w:rPr>
          <w:rFonts w:eastAsia="KaiTi_GB2312" w:hint="eastAsia"/>
          <w:b/>
          <w:bCs/>
        </w:rPr>
        <w:t>别是在男女平等的基础上，保证：</w:t>
      </w:r>
    </w:p>
    <w:p w:rsidR="00000000" w:rsidRDefault="004D2F83" w:rsidP="004D2F83">
      <w:pPr>
        <w:spacing w:after="240" w:line="340" w:lineRule="exact"/>
        <w:ind w:leftChars="200" w:left="31680" w:hangingChars="200" w:firstLine="31680"/>
        <w:rPr>
          <w:rFonts w:eastAsia="KaiTi_GB2312" w:hint="eastAsia"/>
          <w:b/>
          <w:bCs/>
        </w:rPr>
      </w:pPr>
      <w:r>
        <w:rPr>
          <w:rFonts w:eastAsia="KaiTi_GB2312"/>
          <w:b/>
          <w:bCs/>
        </w:rPr>
        <w:t>(a)</w:t>
      </w:r>
      <w:r>
        <w:rPr>
          <w:rFonts w:eastAsia="KaiTi_GB2312"/>
          <w:b/>
          <w:bCs/>
        </w:rPr>
        <w:tab/>
      </w:r>
      <w:r>
        <w:rPr>
          <w:rFonts w:eastAsia="KaiTi_GB2312" w:hint="eastAsia"/>
          <w:b/>
          <w:bCs/>
        </w:rPr>
        <w:t>在各类教育机构，不论其在农村或城市，职业和行业辅导、学习的机会和文凭的取得，条件相同。在学前教育、普通教育、技术、专业和高等技术教育以及各种职业训练方面，都应保证这种平等；</w:t>
      </w:r>
    </w:p>
    <w:p w:rsidR="00000000" w:rsidRDefault="004D2F83" w:rsidP="004D2F83">
      <w:pPr>
        <w:spacing w:after="240" w:line="340" w:lineRule="exact"/>
        <w:ind w:leftChars="200" w:left="31680" w:hangingChars="200" w:firstLine="31680"/>
        <w:rPr>
          <w:rFonts w:eastAsia="KaiTi_GB2312" w:hint="eastAsia"/>
          <w:b/>
          <w:bCs/>
        </w:rPr>
      </w:pPr>
      <w:r>
        <w:rPr>
          <w:rFonts w:eastAsia="KaiTi_GB2312"/>
          <w:b/>
          <w:bCs/>
        </w:rPr>
        <w:t>(b)</w:t>
      </w:r>
      <w:r>
        <w:rPr>
          <w:rFonts w:eastAsia="KaiTi_GB2312"/>
          <w:b/>
          <w:bCs/>
        </w:rPr>
        <w:tab/>
      </w:r>
      <w:r>
        <w:rPr>
          <w:rFonts w:eastAsia="KaiTi_GB2312" w:hint="eastAsia"/>
          <w:b/>
          <w:bCs/>
        </w:rPr>
        <w:t>课程、考试、师资的标准、校舍和设备的质量一律相同；</w:t>
      </w:r>
    </w:p>
    <w:p w:rsidR="00000000" w:rsidRDefault="004D2F83" w:rsidP="004D2F83">
      <w:pPr>
        <w:spacing w:after="240" w:line="340" w:lineRule="exact"/>
        <w:ind w:leftChars="200" w:left="31680" w:hangingChars="200" w:firstLine="31680"/>
        <w:rPr>
          <w:rFonts w:eastAsia="KaiTi_GB2312" w:hint="eastAsia"/>
          <w:b/>
          <w:bCs/>
        </w:rPr>
      </w:pPr>
      <w:r>
        <w:rPr>
          <w:rFonts w:eastAsia="KaiTi_GB2312"/>
          <w:b/>
          <w:bCs/>
        </w:rPr>
        <w:t>(c)</w:t>
      </w:r>
      <w:r>
        <w:rPr>
          <w:rFonts w:eastAsia="KaiTi_GB2312"/>
          <w:b/>
          <w:bCs/>
        </w:rPr>
        <w:tab/>
      </w:r>
      <w:r>
        <w:rPr>
          <w:rFonts w:eastAsia="KaiTi_GB2312" w:hint="eastAsia"/>
          <w:b/>
          <w:bCs/>
        </w:rPr>
        <w:t>为消除在各级和各种方式的教育中对男女任务的任何定型观念，应鼓励实行男女同校和其他有助于实现这个目的的教育形式，并特别应修订教科书和课程以及相应地修改教学方法；</w:t>
      </w:r>
    </w:p>
    <w:p w:rsidR="00000000" w:rsidRDefault="004D2F83" w:rsidP="004D2F83">
      <w:pPr>
        <w:spacing w:after="240" w:line="340" w:lineRule="exact"/>
        <w:ind w:leftChars="200" w:left="31680" w:hangingChars="200" w:firstLine="31680"/>
        <w:rPr>
          <w:rFonts w:eastAsia="KaiTi_GB2312" w:hint="eastAsia"/>
          <w:b/>
          <w:bCs/>
        </w:rPr>
      </w:pPr>
      <w:r>
        <w:rPr>
          <w:rFonts w:eastAsia="KaiTi_GB2312"/>
          <w:b/>
          <w:bCs/>
        </w:rPr>
        <w:t>(d)</w:t>
      </w:r>
      <w:r>
        <w:rPr>
          <w:rFonts w:eastAsia="KaiTi_GB2312"/>
          <w:b/>
          <w:bCs/>
        </w:rPr>
        <w:tab/>
      </w:r>
      <w:r>
        <w:rPr>
          <w:rFonts w:eastAsia="KaiTi_GB2312" w:hint="eastAsia"/>
          <w:b/>
          <w:bCs/>
        </w:rPr>
        <w:t>领受奖学金和其他研究性补助金的机会相同；</w:t>
      </w:r>
    </w:p>
    <w:p w:rsidR="00000000" w:rsidRDefault="004D2F83" w:rsidP="004D2F83">
      <w:pPr>
        <w:spacing w:after="240" w:line="340" w:lineRule="exact"/>
        <w:ind w:leftChars="200" w:left="31680" w:hangingChars="200" w:firstLine="31680"/>
        <w:rPr>
          <w:rFonts w:eastAsia="KaiTi_GB2312" w:hint="eastAsia"/>
          <w:b/>
          <w:bCs/>
        </w:rPr>
      </w:pPr>
      <w:r>
        <w:rPr>
          <w:rFonts w:eastAsia="KaiTi_GB2312"/>
          <w:b/>
          <w:bCs/>
        </w:rPr>
        <w:t>(e)</w:t>
      </w:r>
      <w:r>
        <w:rPr>
          <w:rFonts w:eastAsia="KaiTi_GB2312"/>
          <w:b/>
          <w:bCs/>
        </w:rPr>
        <w:tab/>
      </w:r>
      <w:r>
        <w:rPr>
          <w:rFonts w:eastAsia="KaiTi_GB2312" w:hint="eastAsia"/>
          <w:b/>
          <w:bCs/>
        </w:rPr>
        <w:t>接受成人教育</w:t>
      </w:r>
      <w:r>
        <w:rPr>
          <w:rFonts w:eastAsia="KaiTi_GB2312" w:hint="eastAsia"/>
          <w:b/>
          <w:bCs/>
        </w:rPr>
        <w:t>、包括成人识字和实用识字教育的机会相同，特别是为了尽早缩短男女之间存在的教育水平上的一切差距；</w:t>
      </w:r>
    </w:p>
    <w:p w:rsidR="00000000" w:rsidRDefault="004D2F83" w:rsidP="004D2F83">
      <w:pPr>
        <w:spacing w:after="240" w:line="340" w:lineRule="exact"/>
        <w:ind w:leftChars="200" w:left="31680" w:hangingChars="200" w:firstLine="31680"/>
        <w:rPr>
          <w:rFonts w:eastAsia="KaiTi_GB2312" w:hint="eastAsia"/>
          <w:b/>
          <w:bCs/>
        </w:rPr>
      </w:pPr>
      <w:r>
        <w:rPr>
          <w:rFonts w:eastAsia="KaiTi_GB2312"/>
          <w:b/>
          <w:bCs/>
        </w:rPr>
        <w:t>(f)</w:t>
      </w:r>
      <w:r>
        <w:rPr>
          <w:rFonts w:eastAsia="KaiTi_GB2312"/>
          <w:b/>
          <w:bCs/>
        </w:rPr>
        <w:tab/>
      </w:r>
      <w:r>
        <w:rPr>
          <w:rFonts w:eastAsia="KaiTi_GB2312" w:hint="eastAsia"/>
          <w:b/>
          <w:bCs/>
        </w:rPr>
        <w:t>减少女生退学率，并为过早离校的少女和妇女办理各种方案；</w:t>
      </w:r>
    </w:p>
    <w:p w:rsidR="00000000" w:rsidRDefault="004D2F83" w:rsidP="004D2F83">
      <w:pPr>
        <w:spacing w:after="240" w:line="340" w:lineRule="exact"/>
        <w:ind w:leftChars="200" w:left="31680" w:hangingChars="200" w:firstLine="31680"/>
        <w:rPr>
          <w:rFonts w:eastAsia="KaiTi_GB2312" w:hint="eastAsia"/>
          <w:b/>
          <w:bCs/>
        </w:rPr>
      </w:pPr>
      <w:r>
        <w:rPr>
          <w:rFonts w:eastAsia="KaiTi_GB2312"/>
          <w:b/>
          <w:bCs/>
        </w:rPr>
        <w:t>(g)</w:t>
      </w:r>
      <w:r>
        <w:rPr>
          <w:rFonts w:eastAsia="KaiTi_GB2312"/>
          <w:b/>
          <w:bCs/>
        </w:rPr>
        <w:tab/>
      </w:r>
      <w:r>
        <w:rPr>
          <w:rFonts w:eastAsia="KaiTi_GB2312" w:hint="eastAsia"/>
          <w:b/>
          <w:bCs/>
        </w:rPr>
        <w:t>积极参加运动和体育的机会相同；</w:t>
      </w:r>
    </w:p>
    <w:p w:rsidR="00000000" w:rsidRDefault="004D2F83" w:rsidP="004D2F83">
      <w:pPr>
        <w:spacing w:after="240" w:line="340" w:lineRule="exact"/>
        <w:ind w:leftChars="200" w:left="31680" w:hangingChars="200" w:firstLine="31680"/>
        <w:rPr>
          <w:rFonts w:eastAsia="KaiTi_GB2312" w:hint="eastAsia"/>
          <w:b/>
          <w:bCs/>
        </w:rPr>
      </w:pPr>
      <w:r>
        <w:rPr>
          <w:rFonts w:eastAsia="KaiTi_GB2312"/>
          <w:b/>
          <w:bCs/>
        </w:rPr>
        <w:t>(h)</w:t>
      </w:r>
      <w:r>
        <w:rPr>
          <w:rFonts w:eastAsia="KaiTi_GB2312"/>
          <w:b/>
          <w:bCs/>
        </w:rPr>
        <w:tab/>
      </w:r>
      <w:r>
        <w:rPr>
          <w:rFonts w:eastAsia="KaiTi_GB2312" w:hint="eastAsia"/>
          <w:b/>
          <w:bCs/>
        </w:rPr>
        <w:t>有接受特殊教育性辅导的机会，以保障家庭健康和幸福，包括关于计划生育的知识和辅导在内。</w:t>
      </w:r>
    </w:p>
    <w:p w:rsidR="00000000" w:rsidRDefault="004D2F83">
      <w:pPr>
        <w:spacing w:after="240" w:line="340" w:lineRule="exact"/>
        <w:rPr>
          <w:rFonts w:eastAsia="SimHei" w:hint="eastAsia"/>
          <w:sz w:val="24"/>
        </w:rPr>
      </w:pPr>
      <w:r>
        <w:rPr>
          <w:rFonts w:eastAsia="SimHei" w:hint="eastAsia"/>
          <w:sz w:val="24"/>
        </w:rPr>
        <w:t>立法措施</w:t>
      </w:r>
    </w:p>
    <w:p w:rsidR="00000000" w:rsidRDefault="004D2F83">
      <w:pPr>
        <w:spacing w:after="240" w:line="340" w:lineRule="exact"/>
        <w:rPr>
          <w:rFonts w:eastAsia="SimHei" w:hint="eastAsia"/>
          <w:sz w:val="24"/>
        </w:rPr>
      </w:pPr>
      <w:r>
        <w:rPr>
          <w:rFonts w:eastAsia="SimHei" w:hint="eastAsia"/>
          <w:sz w:val="24"/>
        </w:rPr>
        <w:t>联邦宪法</w:t>
      </w:r>
    </w:p>
    <w:p w:rsidR="00000000" w:rsidRDefault="004D2F83" w:rsidP="004D2F83">
      <w:pPr>
        <w:spacing w:after="240" w:line="340" w:lineRule="exact"/>
        <w:ind w:firstLineChars="200" w:firstLine="31680"/>
        <w:rPr>
          <w:rFonts w:hint="eastAsia"/>
        </w:rPr>
      </w:pPr>
      <w:r>
        <w:rPr>
          <w:rFonts w:hint="eastAsia"/>
        </w:rPr>
        <w:t>1988</w:t>
      </w:r>
      <w:r>
        <w:rPr>
          <w:rFonts w:hint="eastAsia"/>
        </w:rPr>
        <w:t>年《联邦宪法》在巴西宪法的历史上首次将社会权利写入了《基本权利宣言》，从而极大地促进了社会权利的普及。</w:t>
      </w:r>
    </w:p>
    <w:p w:rsidR="00000000" w:rsidRDefault="004D2F83" w:rsidP="004D2F83">
      <w:pPr>
        <w:spacing w:after="240" w:line="340" w:lineRule="exact"/>
        <w:ind w:firstLineChars="200" w:firstLine="31680"/>
        <w:rPr>
          <w:rFonts w:hint="eastAsia"/>
        </w:rPr>
      </w:pPr>
      <w:r>
        <w:rPr>
          <w:rFonts w:hint="eastAsia"/>
        </w:rPr>
        <w:t>经</w:t>
      </w:r>
      <w:r>
        <w:rPr>
          <w:rFonts w:hint="eastAsia"/>
        </w:rPr>
        <w:t>2000</w:t>
      </w:r>
      <w:r>
        <w:rPr>
          <w:rFonts w:hint="eastAsia"/>
        </w:rPr>
        <w:t>年</w:t>
      </w:r>
      <w:r>
        <w:rPr>
          <w:rFonts w:hint="eastAsia"/>
        </w:rPr>
        <w:t>2</w:t>
      </w:r>
      <w:r>
        <w:rPr>
          <w:rFonts w:hint="eastAsia"/>
        </w:rPr>
        <w:t>月</w:t>
      </w:r>
      <w:r>
        <w:rPr>
          <w:rFonts w:hint="eastAsia"/>
        </w:rPr>
        <w:t>14</w:t>
      </w:r>
      <w:r>
        <w:rPr>
          <w:rFonts w:hint="eastAsia"/>
        </w:rPr>
        <w:t>日第</w:t>
      </w:r>
      <w:r>
        <w:rPr>
          <w:rFonts w:hint="eastAsia"/>
        </w:rPr>
        <w:t>26</w:t>
      </w:r>
      <w:r>
        <w:rPr>
          <w:rFonts w:hint="eastAsia"/>
        </w:rPr>
        <w:t>号宪法修订案的修正，宪法第</w:t>
      </w:r>
      <w:r>
        <w:rPr>
          <w:rFonts w:hint="eastAsia"/>
        </w:rPr>
        <w:t>6</w:t>
      </w:r>
      <w:r>
        <w:rPr>
          <w:rFonts w:hint="eastAsia"/>
        </w:rPr>
        <w:t>条规定：“本宪法规定的社会权利</w:t>
      </w:r>
      <w:r>
        <w:rPr>
          <w:rFonts w:hint="eastAsia"/>
        </w:rPr>
        <w:t>有：受教育权、健康权、工作权、住房权、休息权、安全权、社会保障权、母亲与儿童受保护权和贫困受援助权。”</w:t>
      </w:r>
    </w:p>
    <w:p w:rsidR="00000000" w:rsidRDefault="004D2F83" w:rsidP="004D2F83">
      <w:pPr>
        <w:spacing w:after="240" w:line="340" w:lineRule="exact"/>
        <w:ind w:firstLineChars="200" w:firstLine="31680"/>
        <w:rPr>
          <w:rFonts w:hint="eastAsia"/>
        </w:rPr>
      </w:pPr>
      <w:r>
        <w:rPr>
          <w:rFonts w:hint="eastAsia"/>
        </w:rPr>
        <w:t>在《社会秩序》标题下，巴西宪法用了整整一章论述教育、文化和体育权利，而且没有以性别为由而限制这些权利的行使。</w:t>
      </w:r>
    </w:p>
    <w:p w:rsidR="00000000" w:rsidRDefault="004D2F83" w:rsidP="004D2F83">
      <w:pPr>
        <w:spacing w:after="240" w:line="340" w:lineRule="exact"/>
        <w:ind w:firstLineChars="200" w:firstLine="31680"/>
        <w:rPr>
          <w:rFonts w:hint="eastAsia"/>
        </w:rPr>
      </w:pPr>
      <w:r>
        <w:rPr>
          <w:rFonts w:hint="eastAsia"/>
        </w:rPr>
        <w:t>巴西宪法第</w:t>
      </w:r>
      <w:r>
        <w:rPr>
          <w:rFonts w:hint="eastAsia"/>
        </w:rPr>
        <w:t>205</w:t>
      </w:r>
      <w:r>
        <w:rPr>
          <w:rFonts w:hint="eastAsia"/>
        </w:rPr>
        <w:t>条规定，教育是所有人的权利，是国家与家庭的义务。根据巴西宪法，教育的主要目标是实现个人的充分发展，做好行使公民权的准备，并取得工作的资格。</w:t>
      </w:r>
    </w:p>
    <w:p w:rsidR="00000000" w:rsidRDefault="004D2F83" w:rsidP="004D2F83">
      <w:pPr>
        <w:spacing w:after="240" w:line="340" w:lineRule="exact"/>
        <w:ind w:firstLineChars="200" w:firstLine="31680"/>
        <w:rPr>
          <w:rFonts w:hint="eastAsia"/>
        </w:rPr>
      </w:pPr>
      <w:r>
        <w:rPr>
          <w:rFonts w:hint="eastAsia"/>
        </w:rPr>
        <w:t>宪法第</w:t>
      </w:r>
      <w:r>
        <w:rPr>
          <w:rFonts w:hint="eastAsia"/>
        </w:rPr>
        <w:t>206</w:t>
      </w:r>
      <w:r>
        <w:rPr>
          <w:rFonts w:hint="eastAsia"/>
        </w:rPr>
        <w:t>条规定了提供教育的基本原则，强调必须确保入学和在校读书期间的平等条件。</w:t>
      </w:r>
    </w:p>
    <w:p w:rsidR="00000000" w:rsidRDefault="004D2F83" w:rsidP="004D2F83">
      <w:pPr>
        <w:spacing w:after="240" w:line="340" w:lineRule="exact"/>
        <w:ind w:firstLineChars="200" w:firstLine="31680"/>
        <w:rPr>
          <w:rFonts w:hint="eastAsia"/>
        </w:rPr>
      </w:pPr>
      <w:r>
        <w:rPr>
          <w:rFonts w:hint="eastAsia"/>
        </w:rPr>
        <w:t>宪法强调了国家所承担的教育职责，宪法第</w:t>
      </w:r>
      <w:r>
        <w:rPr>
          <w:rFonts w:hint="eastAsia"/>
        </w:rPr>
        <w:t>208</w:t>
      </w:r>
      <w:r>
        <w:rPr>
          <w:rFonts w:hint="eastAsia"/>
        </w:rPr>
        <w:t>条规定：义务性</w:t>
      </w:r>
      <w:r>
        <w:rPr>
          <w:rFonts w:hint="eastAsia"/>
        </w:rPr>
        <w:t>的免费初等教育；逐步升入全民免费中等教育；为身体残疾者开办特殊教育，最好是在正规教育系统内部；为托儿所和学前教育中零至六岁的儿童提供援助；依据个人能力进入高等教育、研究和艺术机构；根据学生条件，提供适当的夜校课程；以辅助性课程和提供学校教材、交通工具、食物和卫生援助等手段为小学生提供帮助。</w:t>
      </w:r>
    </w:p>
    <w:p w:rsidR="00000000" w:rsidRDefault="004D2F83" w:rsidP="004D2F83">
      <w:pPr>
        <w:spacing w:after="240" w:line="340" w:lineRule="exact"/>
        <w:ind w:firstLineChars="200" w:firstLine="31680"/>
        <w:rPr>
          <w:rFonts w:hint="eastAsia"/>
        </w:rPr>
      </w:pPr>
      <w:r>
        <w:rPr>
          <w:rFonts w:hint="eastAsia"/>
        </w:rPr>
        <w:t>根据巴西《联邦宪法》第</w:t>
      </w:r>
      <w:r>
        <w:rPr>
          <w:rFonts w:hint="eastAsia"/>
        </w:rPr>
        <w:t>208</w:t>
      </w:r>
      <w:r>
        <w:rPr>
          <w:rFonts w:hint="eastAsia"/>
        </w:rPr>
        <w:t>条第</w:t>
      </w:r>
      <w:r>
        <w:rPr>
          <w:rFonts w:hint="eastAsia"/>
        </w:rPr>
        <w:t>1</w:t>
      </w:r>
      <w:r>
        <w:rPr>
          <w:rFonts w:hint="eastAsia"/>
        </w:rPr>
        <w:t>款，接受免费义务教育是公民的个人权利。该条法律第</w:t>
      </w:r>
      <w:r>
        <w:rPr>
          <w:rFonts w:hint="eastAsia"/>
        </w:rPr>
        <w:t>2</w:t>
      </w:r>
      <w:r>
        <w:rPr>
          <w:rFonts w:hint="eastAsia"/>
        </w:rPr>
        <w:t>款规定，如果巴西政府没有提供义务教育或是未能定期提供义务教育，有关部门将承担法律责任。</w:t>
      </w:r>
    </w:p>
    <w:p w:rsidR="00000000" w:rsidRDefault="004D2F83" w:rsidP="004D2F83">
      <w:pPr>
        <w:spacing w:after="240" w:line="340" w:lineRule="exact"/>
        <w:ind w:firstLineChars="200" w:firstLine="31680"/>
        <w:rPr>
          <w:rFonts w:hint="eastAsia"/>
        </w:rPr>
      </w:pPr>
      <w:r>
        <w:rPr>
          <w:rFonts w:hint="eastAsia"/>
        </w:rPr>
        <w:t>宪法还制定了基础教育的指导原则，这些原则只规定了</w:t>
      </w:r>
      <w:r>
        <w:rPr>
          <w:rFonts w:hint="eastAsia"/>
        </w:rPr>
        <w:t>最基本的内容，目的是确保在充分尊重各民族和地区的文化与艺术价值观的基础上建立普遍的基础教育（第</w:t>
      </w:r>
      <w:r>
        <w:rPr>
          <w:rFonts w:hint="eastAsia"/>
        </w:rPr>
        <w:t>210</w:t>
      </w:r>
      <w:r>
        <w:rPr>
          <w:rFonts w:hint="eastAsia"/>
        </w:rPr>
        <w:t>条）。</w:t>
      </w:r>
    </w:p>
    <w:p w:rsidR="00000000" w:rsidRDefault="004D2F83" w:rsidP="004D2F83">
      <w:pPr>
        <w:spacing w:after="240" w:line="340" w:lineRule="exact"/>
        <w:ind w:firstLineChars="200" w:firstLine="31680"/>
        <w:rPr>
          <w:rFonts w:hint="eastAsia"/>
        </w:rPr>
      </w:pPr>
      <w:r>
        <w:rPr>
          <w:rFonts w:hint="eastAsia"/>
        </w:rPr>
        <w:t>为了确保教育发展与支持得到充足的资金，</w:t>
      </w:r>
      <w:r>
        <w:rPr>
          <w:rFonts w:hint="eastAsia"/>
        </w:rPr>
        <w:t>1988</w:t>
      </w:r>
      <w:r>
        <w:rPr>
          <w:rFonts w:hint="eastAsia"/>
        </w:rPr>
        <w:t>年宪法第</w:t>
      </w:r>
      <w:r>
        <w:rPr>
          <w:rFonts w:hint="eastAsia"/>
        </w:rPr>
        <w:t>212</w:t>
      </w:r>
      <w:r>
        <w:rPr>
          <w:rFonts w:hint="eastAsia"/>
        </w:rPr>
        <w:t>条规定，联邦每年用于维持和发展教育的资金不得少于税收的</w:t>
      </w:r>
      <w:r>
        <w:rPr>
          <w:rFonts w:hint="eastAsia"/>
        </w:rPr>
        <w:t>18%</w:t>
      </w:r>
      <w:r>
        <w:rPr>
          <w:rFonts w:hint="eastAsia"/>
        </w:rPr>
        <w:t>，各州、联邦区和各市用于发展教育的资金不得少于其收入（包括转帐所得）的</w:t>
      </w:r>
      <w:r>
        <w:rPr>
          <w:rFonts w:hint="eastAsia"/>
        </w:rPr>
        <w:t>25%</w:t>
      </w:r>
      <w:r>
        <w:rPr>
          <w:rFonts w:hint="eastAsia"/>
        </w:rPr>
        <w:t>。宪法还规定，公立初等教育应得到商业企业提供的社会教育捐助，作为额外的资金来源（第</w:t>
      </w:r>
      <w:r>
        <w:rPr>
          <w:rFonts w:hint="eastAsia"/>
        </w:rPr>
        <w:t>5</w:t>
      </w:r>
      <w:r>
        <w:rPr>
          <w:rFonts w:hint="eastAsia"/>
        </w:rPr>
        <w:t>款，经</w:t>
      </w:r>
      <w:r>
        <w:rPr>
          <w:rFonts w:hint="eastAsia"/>
        </w:rPr>
        <w:t>1996</w:t>
      </w:r>
      <w:r>
        <w:rPr>
          <w:rFonts w:hint="eastAsia"/>
        </w:rPr>
        <w:t>年</w:t>
      </w:r>
      <w:r>
        <w:rPr>
          <w:rFonts w:hint="eastAsia"/>
        </w:rPr>
        <w:t>9</w:t>
      </w:r>
      <w:r>
        <w:rPr>
          <w:rFonts w:hint="eastAsia"/>
        </w:rPr>
        <w:t>月</w:t>
      </w:r>
      <w:r>
        <w:rPr>
          <w:rFonts w:hint="eastAsia"/>
        </w:rPr>
        <w:t>12</w:t>
      </w:r>
      <w:r>
        <w:rPr>
          <w:rFonts w:hint="eastAsia"/>
        </w:rPr>
        <w:t>日第</w:t>
      </w:r>
      <w:r>
        <w:rPr>
          <w:rFonts w:hint="eastAsia"/>
        </w:rPr>
        <w:t>14</w:t>
      </w:r>
      <w:r>
        <w:rPr>
          <w:rFonts w:hint="eastAsia"/>
        </w:rPr>
        <w:t>号《宪法修订案》修正）。</w:t>
      </w:r>
    </w:p>
    <w:p w:rsidR="00000000" w:rsidRDefault="004D2F83" w:rsidP="004D2F83">
      <w:pPr>
        <w:spacing w:after="240" w:line="340" w:lineRule="exact"/>
        <w:ind w:firstLineChars="200" w:firstLine="31680"/>
        <w:rPr>
          <w:rFonts w:hint="eastAsia"/>
        </w:rPr>
      </w:pPr>
      <w:r>
        <w:rPr>
          <w:rFonts w:hint="eastAsia"/>
        </w:rPr>
        <w:t>在文化方面</w:t>
      </w:r>
      <w:r>
        <w:rPr>
          <w:rFonts w:hint="eastAsia"/>
        </w:rPr>
        <w:t xml:space="preserve"> </w:t>
      </w:r>
      <w:r>
        <w:rPr>
          <w:rFonts w:hint="eastAsia"/>
        </w:rPr>
        <w:t>，宪法第</w:t>
      </w:r>
      <w:r>
        <w:rPr>
          <w:rFonts w:hint="eastAsia"/>
        </w:rPr>
        <w:t>205</w:t>
      </w:r>
      <w:r>
        <w:rPr>
          <w:rFonts w:hint="eastAsia"/>
        </w:rPr>
        <w:t>条保证所有人均可充分行使文化权利并可获得</w:t>
      </w:r>
      <w:r>
        <w:rPr>
          <w:rFonts w:hint="eastAsia"/>
        </w:rPr>
        <w:t>民族文化的相关信息。</w:t>
      </w:r>
    </w:p>
    <w:p w:rsidR="00000000" w:rsidRDefault="004D2F83" w:rsidP="004D2F83">
      <w:pPr>
        <w:spacing w:after="240" w:line="340" w:lineRule="exact"/>
        <w:ind w:firstLineChars="200" w:firstLine="31680"/>
        <w:rPr>
          <w:rFonts w:hint="eastAsia"/>
        </w:rPr>
      </w:pPr>
      <w:r>
        <w:rPr>
          <w:rFonts w:hint="eastAsia"/>
        </w:rPr>
        <w:t>在关于体育运动的章节里，</w:t>
      </w:r>
      <w:r>
        <w:rPr>
          <w:rFonts w:hint="eastAsia"/>
        </w:rPr>
        <w:t>1988</w:t>
      </w:r>
      <w:r>
        <w:rPr>
          <w:rFonts w:hint="eastAsia"/>
        </w:rPr>
        <w:t>年《联邦宪法》规定，国家有责任鼓励开展各项正规和非正规体育活动，这是每个人的个人权利（第</w:t>
      </w:r>
      <w:r>
        <w:rPr>
          <w:rFonts w:hint="eastAsia"/>
        </w:rPr>
        <w:t>217</w:t>
      </w:r>
      <w:r>
        <w:rPr>
          <w:rFonts w:hint="eastAsia"/>
        </w:rPr>
        <w:t>条）。</w:t>
      </w:r>
    </w:p>
    <w:p w:rsidR="00000000" w:rsidRDefault="004D2F83" w:rsidP="004D2F83">
      <w:pPr>
        <w:spacing w:after="240" w:line="340" w:lineRule="exact"/>
        <w:ind w:firstLineChars="200" w:firstLine="31680"/>
        <w:rPr>
          <w:rFonts w:hint="eastAsia"/>
        </w:rPr>
      </w:pPr>
      <w:r>
        <w:rPr>
          <w:rFonts w:hint="eastAsia"/>
        </w:rPr>
        <w:t>1990</w:t>
      </w:r>
      <w:r>
        <w:rPr>
          <w:rFonts w:hint="eastAsia"/>
        </w:rPr>
        <w:t>年代进行的改革有几个最为重要的组成部分，其中包括：执行《教育指导方针新法》（</w:t>
      </w:r>
      <w:r>
        <w:rPr>
          <w:rFonts w:hint="eastAsia"/>
        </w:rPr>
        <w:t>LDB</w:t>
      </w:r>
      <w:r>
        <w:rPr>
          <w:rFonts w:hint="eastAsia"/>
        </w:rPr>
        <w:t>，第</w:t>
      </w:r>
      <w:r>
        <w:t>9394</w:t>
      </w:r>
      <w:r>
        <w:rPr>
          <w:rFonts w:hint="eastAsia"/>
        </w:rPr>
        <w:t>号法律，</w:t>
      </w:r>
      <w:r>
        <w:rPr>
          <w:rFonts w:hint="eastAsia"/>
        </w:rPr>
        <w:t>1996</w:t>
      </w:r>
      <w:r>
        <w:rPr>
          <w:rFonts w:hint="eastAsia"/>
        </w:rPr>
        <w:t>年</w:t>
      </w:r>
      <w:r>
        <w:rPr>
          <w:rFonts w:hint="eastAsia"/>
        </w:rPr>
        <w:t>12</w:t>
      </w:r>
      <w:r>
        <w:rPr>
          <w:rFonts w:hint="eastAsia"/>
        </w:rPr>
        <w:t>月通过）；进行课程改革，为各级教育制订课程参数或参考；建立基础教育（</w:t>
      </w:r>
      <w:r>
        <w:rPr>
          <w:rFonts w:hint="eastAsia"/>
        </w:rPr>
        <w:t>SAEB</w:t>
      </w:r>
      <w:r>
        <w:rPr>
          <w:rFonts w:hint="eastAsia"/>
        </w:rPr>
        <w:t>和</w:t>
      </w:r>
      <w:r>
        <w:rPr>
          <w:rFonts w:hint="eastAsia"/>
        </w:rPr>
        <w:t>ENEM</w:t>
      </w:r>
      <w:r>
        <w:rPr>
          <w:rFonts w:hint="eastAsia"/>
        </w:rPr>
        <w:t>）和高等教育国家评估系统（</w:t>
      </w:r>
      <w:r>
        <w:rPr>
          <w:rFonts w:hint="eastAsia"/>
        </w:rPr>
        <w:t>ENC</w:t>
      </w:r>
      <w:r>
        <w:rPr>
          <w:rFonts w:hint="eastAsia"/>
        </w:rPr>
        <w:t>）；制订教材评估和分发政策；制订教育筹资法则，特别是要借助创建了初等教育和教师深造维持与发展基金（</w:t>
      </w:r>
      <w:r>
        <w:rPr>
          <w:rFonts w:hint="eastAsia"/>
        </w:rPr>
        <w:t>FUNDEF</w:t>
      </w:r>
      <w:r>
        <w:rPr>
          <w:rFonts w:hint="eastAsia"/>
        </w:rPr>
        <w:t>）的</w:t>
      </w:r>
      <w:r>
        <w:rPr>
          <w:rFonts w:hint="eastAsia"/>
        </w:rPr>
        <w:t>法律。</w:t>
      </w:r>
    </w:p>
    <w:p w:rsidR="00000000" w:rsidRDefault="004D2F83" w:rsidP="004D2F83">
      <w:pPr>
        <w:spacing w:after="240" w:line="340" w:lineRule="exact"/>
        <w:ind w:firstLineChars="200" w:firstLine="31680"/>
        <w:rPr>
          <w:rFonts w:hint="eastAsia"/>
        </w:rPr>
      </w:pPr>
      <w:r>
        <w:rPr>
          <w:rFonts w:hint="eastAsia"/>
        </w:rPr>
        <w:t>巴西签署了全民教育会议（宗天会议和达喀尔会议）做出的承诺，并且积极参与全民教育——九国集团（集中了全球人口最多的九个发展中国家）的活动。根据</w:t>
      </w:r>
      <w:r>
        <w:rPr>
          <w:rFonts w:hint="eastAsia"/>
        </w:rPr>
        <w:t>1990</w:t>
      </w:r>
      <w:r>
        <w:rPr>
          <w:rFonts w:hint="eastAsia"/>
        </w:rPr>
        <w:t>年代在由联合国发起的一些国际会议上签署的多边协定，巴西还参加了规定男女教育机会平等的所有各项国际承诺。</w:t>
      </w:r>
    </w:p>
    <w:p w:rsidR="00000000" w:rsidRDefault="004D2F83" w:rsidP="004D2F83">
      <w:pPr>
        <w:spacing w:after="240" w:line="340" w:lineRule="exact"/>
        <w:ind w:firstLineChars="200" w:firstLine="31680"/>
        <w:rPr>
          <w:rFonts w:hint="eastAsia"/>
        </w:rPr>
      </w:pPr>
      <w:r>
        <w:rPr>
          <w:rFonts w:hint="eastAsia"/>
        </w:rPr>
        <w:t>官方文件一再证实，巴西教育系统内不存在对女性的歧视和性别歧视（劳动就业部，</w:t>
      </w:r>
      <w:r>
        <w:rPr>
          <w:rFonts w:hint="eastAsia"/>
        </w:rPr>
        <w:t>1998</w:t>
      </w:r>
      <w:r>
        <w:rPr>
          <w:rFonts w:hint="eastAsia"/>
        </w:rPr>
        <w:t>年；教育部</w:t>
      </w:r>
      <w:r>
        <w:rPr>
          <w:rFonts w:hint="eastAsia"/>
        </w:rPr>
        <w:t>/</w:t>
      </w:r>
      <w:r>
        <w:rPr>
          <w:rFonts w:hint="eastAsia"/>
        </w:rPr>
        <w:t>国家教育研究所，</w:t>
      </w:r>
      <w:r>
        <w:rPr>
          <w:rFonts w:hint="eastAsia"/>
        </w:rPr>
        <w:t>1990</w:t>
      </w:r>
      <w:r>
        <w:rPr>
          <w:rFonts w:hint="eastAsia"/>
        </w:rPr>
        <w:t>和</w:t>
      </w:r>
      <w:r>
        <w:rPr>
          <w:rFonts w:hint="eastAsia"/>
        </w:rPr>
        <w:t>2000</w:t>
      </w:r>
      <w:r>
        <w:rPr>
          <w:rFonts w:hint="eastAsia"/>
        </w:rPr>
        <w:t>年</w:t>
      </w:r>
      <w:r>
        <w:t>b</w:t>
      </w:r>
      <w:r>
        <w:rPr>
          <w:rFonts w:hint="eastAsia"/>
        </w:rPr>
        <w:t>），下文摘自向达喀尔会议提交的《国家报告》，从中也可以看出巴西教育系统的这一特点。</w:t>
      </w:r>
    </w:p>
    <w:p w:rsidR="00000000" w:rsidRDefault="004D2F83" w:rsidP="004D2F83">
      <w:pPr>
        <w:spacing w:after="240" w:line="340" w:lineRule="exact"/>
        <w:ind w:firstLineChars="200" w:firstLine="31680"/>
        <w:rPr>
          <w:rFonts w:ascii="KaiTi_GB2312" w:eastAsia="KaiTi_GB2312" w:hint="eastAsia"/>
        </w:rPr>
      </w:pPr>
      <w:r>
        <w:rPr>
          <w:rFonts w:ascii="KaiTi_GB2312" w:eastAsia="KaiTi_GB2312" w:hint="eastAsia"/>
        </w:rPr>
        <w:t>“在安曼和伊斯兰堡确立的指导原则已经</w:t>
      </w:r>
      <w:r>
        <w:rPr>
          <w:rFonts w:ascii="KaiTi_GB2312" w:eastAsia="KaiTi_GB2312" w:hint="eastAsia"/>
        </w:rPr>
        <w:t>被纳入巴西政府的教育政策，特别是对教师的培训、地位、报酬和动力具有重要意义的指导原则。另一方面，国家教育计划主要关注第五届国际成人教育会议（汉堡，</w:t>
      </w:r>
      <w:r>
        <w:rPr>
          <w:rFonts w:ascii="KaiTi_GB2312" w:eastAsia="KaiTi_GB2312" w:hint="eastAsia"/>
        </w:rPr>
        <w:t>1997</w:t>
      </w:r>
      <w:r>
        <w:rPr>
          <w:rFonts w:ascii="KaiTi_GB2312" w:eastAsia="KaiTi_GB2312" w:hint="eastAsia"/>
        </w:rPr>
        <w:t>年）提出的各项建议。在全民教育</w:t>
      </w:r>
      <w:r>
        <w:rPr>
          <w:rFonts w:ascii="SimHei" w:eastAsia="SimHei" w:hint="eastAsia"/>
        </w:rPr>
        <w:t>——</w:t>
      </w:r>
      <w:r>
        <w:rPr>
          <w:rFonts w:ascii="KaiTi_GB2312" w:eastAsia="KaiTi_GB2312" w:hint="eastAsia"/>
        </w:rPr>
        <w:t>九国集团会议制订的各项宗旨和目标当中，唯一没有被巴西采纳的是将妇女与女童教育列为重点的目标，因为巴西国内不存在这个问题。在巴西，女性的入学率、毕业率和平均学习年数都高于男性。如果照此趋势发展下去，巴西将会从相反的角度来关注性别问题。”（教育部</w:t>
      </w:r>
      <w:r>
        <w:rPr>
          <w:rFonts w:ascii="KaiTi_GB2312" w:eastAsia="KaiTi_GB2312" w:hint="eastAsia"/>
        </w:rPr>
        <w:t>/</w:t>
      </w:r>
      <w:r>
        <w:rPr>
          <w:rFonts w:ascii="KaiTi_GB2312" w:eastAsia="KaiTi_GB2312" w:hint="eastAsia"/>
        </w:rPr>
        <w:t>国家教育研究所，</w:t>
      </w:r>
      <w:r>
        <w:rPr>
          <w:rFonts w:ascii="KaiTi_GB2312" w:eastAsia="KaiTi_GB2312" w:hint="eastAsia"/>
        </w:rPr>
        <w:t>2000</w:t>
      </w:r>
      <w:r>
        <w:rPr>
          <w:rFonts w:ascii="KaiTi_GB2312" w:eastAsia="KaiTi_GB2312" w:hint="eastAsia"/>
        </w:rPr>
        <w:t>年</w:t>
      </w:r>
      <w:r>
        <w:rPr>
          <w:rFonts w:ascii="KaiTi_GB2312" w:eastAsia="KaiTi_GB2312"/>
        </w:rPr>
        <w:t>b</w:t>
      </w:r>
      <w:r>
        <w:rPr>
          <w:rFonts w:ascii="KaiTi_GB2312" w:eastAsia="KaiTi_GB2312"/>
        </w:rPr>
        <w:t>，</w:t>
      </w:r>
      <w:r>
        <w:rPr>
          <w:rFonts w:ascii="KaiTi_GB2312" w:eastAsia="KaiTi_GB2312" w:hint="eastAsia"/>
        </w:rPr>
        <w:t>第</w:t>
      </w:r>
      <w:r>
        <w:rPr>
          <w:rFonts w:ascii="KaiTi_GB2312" w:eastAsia="KaiTi_GB2312" w:hint="eastAsia"/>
        </w:rPr>
        <w:t>5-15</w:t>
      </w:r>
      <w:r>
        <w:rPr>
          <w:rFonts w:ascii="KaiTi_GB2312" w:eastAsia="KaiTi_GB2312" w:hint="eastAsia"/>
        </w:rPr>
        <w:t>页）</w:t>
      </w:r>
    </w:p>
    <w:p w:rsidR="00000000" w:rsidRDefault="004D2F83">
      <w:pPr>
        <w:spacing w:after="240" w:line="340" w:lineRule="exact"/>
        <w:rPr>
          <w:rFonts w:eastAsia="SimHei" w:hint="eastAsia"/>
          <w:sz w:val="24"/>
        </w:rPr>
      </w:pPr>
      <w:r>
        <w:rPr>
          <w:rFonts w:eastAsia="SimHei" w:hint="eastAsia"/>
          <w:sz w:val="24"/>
        </w:rPr>
        <w:t>联邦法律</w:t>
      </w:r>
    </w:p>
    <w:p w:rsidR="00000000" w:rsidRDefault="004D2F83" w:rsidP="004D2F83">
      <w:pPr>
        <w:spacing w:after="240" w:line="340" w:lineRule="exact"/>
        <w:ind w:firstLineChars="200" w:firstLine="31680"/>
        <w:rPr>
          <w:rFonts w:hint="eastAsia"/>
        </w:rPr>
      </w:pPr>
      <w:r>
        <w:rPr>
          <w:rFonts w:hint="eastAsia"/>
        </w:rPr>
        <w:t>根据宪法规则，</w:t>
      </w:r>
      <w:r>
        <w:rPr>
          <w:rFonts w:hint="eastAsia"/>
        </w:rPr>
        <w:t>1996</w:t>
      </w:r>
      <w:r>
        <w:rPr>
          <w:rFonts w:hint="eastAsia"/>
        </w:rPr>
        <w:t>年</w:t>
      </w:r>
      <w:r>
        <w:rPr>
          <w:rFonts w:hint="eastAsia"/>
        </w:rPr>
        <w:t>12</w:t>
      </w:r>
      <w:r>
        <w:rPr>
          <w:rFonts w:hint="eastAsia"/>
        </w:rPr>
        <w:t>月</w:t>
      </w:r>
      <w:r>
        <w:rPr>
          <w:rFonts w:hint="eastAsia"/>
        </w:rPr>
        <w:t>20</w:t>
      </w:r>
      <w:r>
        <w:rPr>
          <w:rFonts w:hint="eastAsia"/>
        </w:rPr>
        <w:t>日第</w:t>
      </w:r>
      <w:r>
        <w:t>9343</w:t>
      </w:r>
      <w:r>
        <w:rPr>
          <w:rFonts w:hint="eastAsia"/>
        </w:rPr>
        <w:t>号法律规定了国家教育的指导原则和基础，保证平等的入学和学习条件。</w:t>
      </w:r>
    </w:p>
    <w:p w:rsidR="00000000" w:rsidRDefault="004D2F83" w:rsidP="004D2F83">
      <w:pPr>
        <w:spacing w:after="240" w:line="340" w:lineRule="exact"/>
        <w:ind w:firstLineChars="200" w:firstLine="31680"/>
        <w:rPr>
          <w:rFonts w:hint="eastAsia"/>
        </w:rPr>
      </w:pPr>
      <w:r>
        <w:rPr>
          <w:rFonts w:hint="eastAsia"/>
        </w:rPr>
        <w:t>《国家人权计划》（</w:t>
      </w:r>
      <w:r>
        <w:rPr>
          <w:rFonts w:hint="eastAsia"/>
        </w:rPr>
        <w:t>1996</w:t>
      </w:r>
      <w:r>
        <w:rPr>
          <w:rFonts w:hint="eastAsia"/>
        </w:rPr>
        <w:t>年</w:t>
      </w:r>
      <w:r>
        <w:rPr>
          <w:rFonts w:hint="eastAsia"/>
        </w:rPr>
        <w:t>5</w:t>
      </w:r>
      <w:r>
        <w:rPr>
          <w:rFonts w:hint="eastAsia"/>
        </w:rPr>
        <w:t>月</w:t>
      </w:r>
      <w:r>
        <w:rPr>
          <w:rFonts w:hint="eastAsia"/>
        </w:rPr>
        <w:t>13</w:t>
      </w:r>
      <w:r>
        <w:rPr>
          <w:rFonts w:hint="eastAsia"/>
        </w:rPr>
        <w:t>日第</w:t>
      </w:r>
      <w:r>
        <w:t>1 904</w:t>
      </w:r>
      <w:r>
        <w:rPr>
          <w:rFonts w:hint="eastAsia"/>
        </w:rPr>
        <w:t>号联邦法令）旨在执行可以推广和保卫人权的各种短期、中期和长期措施，在妇女教育方面，计划制订了以下几项行动：</w:t>
      </w:r>
    </w:p>
    <w:p w:rsidR="00000000" w:rsidRDefault="004D2F83">
      <w:pPr>
        <w:numPr>
          <w:ilvl w:val="0"/>
          <w:numId w:val="719"/>
        </w:numPr>
        <w:tabs>
          <w:tab w:val="clear" w:pos="420"/>
          <w:tab w:val="num" w:pos="960"/>
        </w:tabs>
        <w:spacing w:after="240" w:line="340" w:lineRule="exact"/>
        <w:ind w:left="960" w:hanging="480"/>
        <w:rPr>
          <w:rFonts w:hint="eastAsia"/>
        </w:rPr>
      </w:pPr>
      <w:r>
        <w:rPr>
          <w:rFonts w:hint="eastAsia"/>
        </w:rPr>
        <w:t>短期：鼓励研究并传播有关对妇女的暴力行为和歧视妇女的信息以及保护和增进妇女权利的各种形式；</w:t>
      </w:r>
    </w:p>
    <w:p w:rsidR="00000000" w:rsidRDefault="004D2F83">
      <w:pPr>
        <w:numPr>
          <w:ilvl w:val="0"/>
          <w:numId w:val="719"/>
        </w:numPr>
        <w:tabs>
          <w:tab w:val="clear" w:pos="420"/>
          <w:tab w:val="num" w:pos="960"/>
        </w:tabs>
        <w:spacing w:after="240" w:line="340" w:lineRule="exact"/>
        <w:ind w:left="960" w:hanging="480"/>
        <w:rPr>
          <w:rFonts w:hint="eastAsia"/>
        </w:rPr>
      </w:pPr>
      <w:r>
        <w:rPr>
          <w:rFonts w:hint="eastAsia"/>
        </w:rPr>
        <w:t>中期：鼓励将性别公平观纳入政府军职人员和文职人员的教育与培训，以及基础教育和中等教育的课程指导原则，以期促进人们的观念和态度的转变，并承认妇女享有的平等权利不仅局限于公民权利</w:t>
      </w:r>
      <w:r>
        <w:rPr>
          <w:rFonts w:hint="eastAsia"/>
        </w:rPr>
        <w:t>和政治权利，还应体现在经济、社会和文化权利中；</w:t>
      </w:r>
    </w:p>
    <w:p w:rsidR="00000000" w:rsidRDefault="004D2F83">
      <w:pPr>
        <w:numPr>
          <w:ilvl w:val="0"/>
          <w:numId w:val="719"/>
        </w:numPr>
        <w:tabs>
          <w:tab w:val="clear" w:pos="420"/>
          <w:tab w:val="num" w:pos="960"/>
        </w:tabs>
        <w:spacing w:after="240" w:line="340" w:lineRule="exact"/>
        <w:ind w:left="960" w:hanging="480"/>
        <w:rPr>
          <w:rFonts w:hint="eastAsia"/>
        </w:rPr>
      </w:pPr>
      <w:r>
        <w:rPr>
          <w:rFonts w:hint="eastAsia"/>
        </w:rPr>
        <w:t>长期：联邦、州和市各级政府制订政策，执行那些可以确保各个领域中的男女平等权利的法律，这些领域包括：卫生、教育和职业培训、工作、社会保障、财产和农村贷款、文化、政治和司法。</w:t>
      </w:r>
    </w:p>
    <w:p w:rsidR="00000000" w:rsidRDefault="004D2F83" w:rsidP="004D2F83">
      <w:pPr>
        <w:spacing w:after="240" w:line="340" w:lineRule="exact"/>
        <w:ind w:left="31680" w:hangingChars="200" w:firstLine="31680"/>
        <w:rPr>
          <w:rFonts w:eastAsia="SimHei" w:hint="eastAsia"/>
          <w:sz w:val="24"/>
        </w:rPr>
      </w:pPr>
      <w:r>
        <w:rPr>
          <w:rFonts w:eastAsia="SimHei" w:hint="eastAsia"/>
          <w:sz w:val="24"/>
        </w:rPr>
        <w:t>州级宪法</w:t>
      </w:r>
    </w:p>
    <w:p w:rsidR="00000000" w:rsidRDefault="004D2F83" w:rsidP="004D2F83">
      <w:pPr>
        <w:snapToGrid w:val="0"/>
        <w:spacing w:after="240" w:line="340" w:lineRule="exact"/>
        <w:ind w:firstLineChars="200" w:firstLine="31680"/>
        <w:rPr>
          <w:rFonts w:hint="eastAsia"/>
        </w:rPr>
      </w:pPr>
      <w:r>
        <w:rPr>
          <w:rFonts w:hint="eastAsia"/>
        </w:rPr>
        <w:t>几乎所有州的宪法</w:t>
      </w:r>
      <w:r>
        <w:rPr>
          <w:rStyle w:val="FootnoteReference"/>
        </w:rPr>
        <w:footnoteReference w:customMarkFollows="1" w:id="92"/>
        <w:t>92</w:t>
      </w:r>
      <w:r>
        <w:rPr>
          <w:rFonts w:hint="eastAsia"/>
        </w:rPr>
        <w:t>都采纳了《联邦宪法》第</w:t>
      </w:r>
      <w:r>
        <w:rPr>
          <w:rFonts w:hint="eastAsia"/>
        </w:rPr>
        <w:t>205</w:t>
      </w:r>
      <w:r>
        <w:rPr>
          <w:rFonts w:hint="eastAsia"/>
        </w:rPr>
        <w:t>条的规定，这条法律规定，教育是所有人的权利，同时也是州和家庭的责任，此外，《联邦宪法》第</w:t>
      </w:r>
      <w:r>
        <w:rPr>
          <w:rFonts w:hint="eastAsia"/>
        </w:rPr>
        <w:t>206</w:t>
      </w:r>
      <w:r>
        <w:rPr>
          <w:rFonts w:hint="eastAsia"/>
        </w:rPr>
        <w:t>条规定，应在平等入学和平等地在校读书的原则的基础上提供教育。圣埃斯皮里图、马托格罗索、朗多尼亚、罗赖马、圣保罗等州的宪法和《联邦区组织法》在</w:t>
      </w:r>
      <w:r>
        <w:rPr>
          <w:rFonts w:hint="eastAsia"/>
        </w:rPr>
        <w:t>入学和在校学习的问题上没有明确提及这项原则。</w:t>
      </w:r>
    </w:p>
    <w:p w:rsidR="00000000" w:rsidRDefault="004D2F83" w:rsidP="004D2F83">
      <w:pPr>
        <w:snapToGrid w:val="0"/>
        <w:spacing w:after="240" w:line="340" w:lineRule="exact"/>
        <w:ind w:firstLineChars="200" w:firstLine="31680"/>
        <w:rPr>
          <w:rFonts w:hint="eastAsia"/>
        </w:rPr>
      </w:pPr>
      <w:r>
        <w:rPr>
          <w:rFonts w:hint="eastAsia"/>
        </w:rPr>
        <w:t>阿帕马、巴伊亚、塞阿拉、戈亚斯、里约热内卢和圣保罗等州的宪法和《联邦区组织法》规定，各州应对教育工作者进行教育能力和教材内容两方面的培训，以保证无差别的教育，不在教育中歧视女性。</w:t>
      </w:r>
    </w:p>
    <w:p w:rsidR="00000000" w:rsidRDefault="004D2F83" w:rsidP="004D2F83">
      <w:pPr>
        <w:snapToGrid w:val="0"/>
        <w:spacing w:after="240" w:line="340" w:lineRule="exact"/>
        <w:ind w:firstLineChars="200" w:firstLine="31680"/>
        <w:rPr>
          <w:rFonts w:hint="eastAsia"/>
        </w:rPr>
      </w:pPr>
      <w:r>
        <w:rPr>
          <w:rFonts w:hint="eastAsia"/>
        </w:rPr>
        <w:t>在各州的教育指导原则中，阿拉戈斯州宪法规定，应适当地对教育过程加以指导，以便在公民中培养平等意识，不论其性别、肤色、种族或出身，并使公众认识到妇女作为母亲和劳动者，对于国家的发展有着特殊的贡献。《联邦区组织法》规定，在小学、中学及大学的各种科目和学科中应增加有关妇女、黑人、土著人民在人</w:t>
      </w:r>
      <w:r>
        <w:rPr>
          <w:rFonts w:hint="eastAsia"/>
        </w:rPr>
        <w:t>类历史和巴西社会中的奋斗经历的教学内容。</w:t>
      </w:r>
    </w:p>
    <w:p w:rsidR="00000000" w:rsidRDefault="004D2F83" w:rsidP="004D2F83">
      <w:pPr>
        <w:snapToGrid w:val="0"/>
        <w:spacing w:after="240" w:line="340" w:lineRule="exact"/>
        <w:ind w:firstLineChars="200" w:firstLine="31680"/>
        <w:rPr>
          <w:rFonts w:hint="eastAsia"/>
        </w:rPr>
      </w:pPr>
      <w:r>
        <w:rPr>
          <w:rFonts w:hint="eastAsia"/>
        </w:rPr>
        <w:t>《塞阿拉州宪法》规定的消除教育领域中性别歧视的措施最多。这些措施符合《消除对妇女一切形式歧视公约》就这个问题作出的规定，表明当地立法机构有意调整本州的法律，以遵守公约。为尽早消除塞阿拉州的男女教育差距，该州宪法还规定了应当采取的肯定措施，并规定在州教育秘书处的组织框架内，设立一个“妇女与教育”部门，同塞阿拉州妇女权利委员会（</w:t>
      </w:r>
      <w:r>
        <w:rPr>
          <w:rFonts w:hint="eastAsia"/>
        </w:rPr>
        <w:t>CCDM</w:t>
      </w:r>
      <w:r>
        <w:rPr>
          <w:rFonts w:hint="eastAsia"/>
        </w:rPr>
        <w:t>）合作，采取适当措施来保证妇女的平等权利，比如取消课本、教学大纲和教学方法中有关男女作用的、带有歧视性的陈旧观点，以此来鼓励男女合校教育</w:t>
      </w:r>
      <w:r>
        <w:rPr>
          <w:rFonts w:hint="eastAsia"/>
        </w:rPr>
        <w:t>；参与补充教育的平等机会，其中包括功能扫盲课程和成人扫盲课程；职业指导和专业资格，有机会进入任何一级教育机构就读，无论在城市或乡村；降低辍学率，为过早辍学的年轻女性开办继续教育课程；积极参与各项体育活动和体育教育的机会。</w:t>
      </w:r>
    </w:p>
    <w:p w:rsidR="00000000" w:rsidRDefault="004D2F83" w:rsidP="004D2F83">
      <w:pPr>
        <w:snapToGrid w:val="0"/>
        <w:spacing w:after="240" w:line="340" w:lineRule="exact"/>
        <w:ind w:firstLineChars="200" w:firstLine="31680"/>
        <w:rPr>
          <w:rFonts w:hint="eastAsia"/>
        </w:rPr>
      </w:pPr>
      <w:r>
        <w:rPr>
          <w:rFonts w:hint="eastAsia"/>
        </w:rPr>
        <w:t>阿马帕、塞阿拉、伯南布哥、罗赖马、圣保罗、托坎廷斯等州的宪法和《联邦区组织法》都将性教育写进了初等教育和中等教育课程。其中，塞阿拉、伯南布哥和罗赖马三个州的宪法还将人权内容纳入了学校课程。</w:t>
      </w:r>
    </w:p>
    <w:p w:rsidR="00000000" w:rsidRDefault="004D2F83" w:rsidP="004D2F83">
      <w:pPr>
        <w:spacing w:after="240" w:line="340" w:lineRule="exact"/>
        <w:ind w:left="31680" w:hangingChars="200" w:firstLine="31680"/>
        <w:rPr>
          <w:rFonts w:eastAsia="SimHei" w:hint="eastAsia"/>
          <w:sz w:val="24"/>
        </w:rPr>
      </w:pPr>
      <w:r>
        <w:rPr>
          <w:rFonts w:eastAsia="SimHei" w:hint="eastAsia"/>
          <w:sz w:val="24"/>
        </w:rPr>
        <w:t>州级法律</w:t>
      </w:r>
    </w:p>
    <w:p w:rsidR="00000000" w:rsidRDefault="004D2F83" w:rsidP="004D2F83">
      <w:pPr>
        <w:spacing w:after="240" w:line="340" w:lineRule="exact"/>
        <w:ind w:firstLineChars="200" w:firstLine="31680"/>
        <w:rPr>
          <w:rFonts w:hint="eastAsia"/>
        </w:rPr>
      </w:pPr>
      <w:r>
        <w:rPr>
          <w:rFonts w:hint="eastAsia"/>
        </w:rPr>
        <w:t>圣保罗州</w:t>
      </w:r>
      <w:r>
        <w:rPr>
          <w:rFonts w:hint="eastAsia"/>
        </w:rPr>
        <w:t>1986</w:t>
      </w:r>
      <w:r>
        <w:rPr>
          <w:rFonts w:hint="eastAsia"/>
        </w:rPr>
        <w:t>年</w:t>
      </w:r>
      <w:r>
        <w:rPr>
          <w:rFonts w:hint="eastAsia"/>
        </w:rPr>
        <w:t>12</w:t>
      </w:r>
      <w:r>
        <w:rPr>
          <w:rFonts w:hint="eastAsia"/>
        </w:rPr>
        <w:t>月</w:t>
      </w:r>
      <w:r>
        <w:rPr>
          <w:rFonts w:hint="eastAsia"/>
        </w:rPr>
        <w:t>19</w:t>
      </w:r>
      <w:r>
        <w:rPr>
          <w:rFonts w:hint="eastAsia"/>
        </w:rPr>
        <w:t>日第</w:t>
      </w:r>
      <w:r>
        <w:t>5447</w:t>
      </w:r>
      <w:r>
        <w:rPr>
          <w:rFonts w:hint="eastAsia"/>
        </w:rPr>
        <w:t>号法律创建了州妇女理事会，该法律第</w:t>
      </w:r>
      <w:r>
        <w:rPr>
          <w:rFonts w:hint="eastAsia"/>
        </w:rPr>
        <w:t>1</w:t>
      </w:r>
      <w:r>
        <w:rPr>
          <w:rFonts w:hint="eastAsia"/>
        </w:rPr>
        <w:t>条规定，理事会</w:t>
      </w:r>
      <w:r>
        <w:rPr>
          <w:rFonts w:hint="eastAsia"/>
        </w:rPr>
        <w:t>的职责之一是制订指导原则，并在各级直接与间接行政机构中推广旨在维护妇女权利、消除对妇女歧视的各项活动，从而确保妇女可以充分融入社会经济和政治文化生活（第一项）。</w:t>
      </w:r>
    </w:p>
    <w:p w:rsidR="00000000" w:rsidRDefault="004D2F83" w:rsidP="004D2F83">
      <w:pPr>
        <w:spacing w:after="240" w:line="340" w:lineRule="exact"/>
        <w:ind w:firstLineChars="200" w:firstLine="31680"/>
        <w:rPr>
          <w:rFonts w:hint="eastAsia"/>
        </w:rPr>
      </w:pPr>
      <w:r>
        <w:rPr>
          <w:rFonts w:hint="eastAsia"/>
        </w:rPr>
        <w:t>《州人权计划》（圣保罗州</w:t>
      </w:r>
      <w:r>
        <w:rPr>
          <w:rFonts w:hint="eastAsia"/>
        </w:rPr>
        <w:t>1997</w:t>
      </w:r>
      <w:r>
        <w:rPr>
          <w:rFonts w:hint="eastAsia"/>
        </w:rPr>
        <w:t>年</w:t>
      </w:r>
      <w:r>
        <w:rPr>
          <w:rFonts w:hint="eastAsia"/>
        </w:rPr>
        <w:t>9</w:t>
      </w:r>
      <w:r>
        <w:rPr>
          <w:rFonts w:hint="eastAsia"/>
        </w:rPr>
        <w:t>月</w:t>
      </w:r>
      <w:r>
        <w:rPr>
          <w:rFonts w:hint="eastAsia"/>
        </w:rPr>
        <w:t>15</w:t>
      </w:r>
      <w:r>
        <w:rPr>
          <w:rFonts w:hint="eastAsia"/>
        </w:rPr>
        <w:t>日第</w:t>
      </w:r>
      <w:r>
        <w:t>42.209</w:t>
      </w:r>
      <w:r>
        <w:rPr>
          <w:rFonts w:hint="eastAsia"/>
        </w:rPr>
        <w:t>号州法令）规定了一系列保护妇女权利的措施，其中包括：鼓励研究并传播关于对妇女的暴力行为与歧视的信息、以及促进与保护妇女权利的方法。</w:t>
      </w:r>
    </w:p>
    <w:p w:rsidR="00000000" w:rsidRDefault="004D2F83" w:rsidP="004D2F83">
      <w:pPr>
        <w:spacing w:after="240" w:line="340" w:lineRule="exact"/>
        <w:ind w:left="31680" w:hangingChars="200" w:firstLine="31680"/>
        <w:rPr>
          <w:rFonts w:eastAsia="SimHei" w:hint="eastAsia"/>
          <w:sz w:val="24"/>
        </w:rPr>
      </w:pPr>
      <w:r>
        <w:rPr>
          <w:rFonts w:eastAsia="SimHei" w:hint="eastAsia"/>
          <w:sz w:val="24"/>
        </w:rPr>
        <w:t>因素与困难</w:t>
      </w:r>
    </w:p>
    <w:p w:rsidR="00000000" w:rsidRDefault="004D2F83" w:rsidP="004D2F83">
      <w:pPr>
        <w:spacing w:after="240" w:line="340" w:lineRule="exact"/>
        <w:ind w:firstLineChars="200" w:firstLine="31680"/>
        <w:rPr>
          <w:rFonts w:hint="eastAsia"/>
        </w:rPr>
      </w:pPr>
      <w:r>
        <w:rPr>
          <w:rFonts w:hint="eastAsia"/>
        </w:rPr>
        <w:t>在</w:t>
      </w:r>
      <w:r>
        <w:rPr>
          <w:rFonts w:hint="eastAsia"/>
        </w:rPr>
        <w:t>1990</w:t>
      </w:r>
      <w:r>
        <w:rPr>
          <w:rFonts w:hint="eastAsia"/>
        </w:rPr>
        <w:t>年代，由于</w:t>
      </w:r>
      <w:r>
        <w:rPr>
          <w:rFonts w:hint="eastAsia"/>
        </w:rPr>
        <w:t>1988</w:t>
      </w:r>
      <w:r>
        <w:rPr>
          <w:rFonts w:hint="eastAsia"/>
        </w:rPr>
        <w:t>年宪法的制订和新的国际形势的出现，巴西在教育政策方面采取了大刀阔斧的行动，对教育界提出了扩大教育提供、提高教育质量、同时</w:t>
      </w:r>
      <w:r>
        <w:rPr>
          <w:rFonts w:hint="eastAsia"/>
        </w:rPr>
        <w:t>减少对公共资金的利用等要求。这些改革并不是巴西和拉丁美洲独有的改革。实际上，这是一场国际运动，将教育提升到减少国内和国际两级经济与社会不平等的根本战略这一高度。</w:t>
      </w:r>
    </w:p>
    <w:p w:rsidR="00000000" w:rsidRDefault="004D2F83" w:rsidP="004D2F83">
      <w:pPr>
        <w:spacing w:after="240" w:line="340" w:lineRule="exact"/>
        <w:ind w:firstLineChars="200" w:firstLine="31680"/>
        <w:rPr>
          <w:rFonts w:hint="eastAsia"/>
        </w:rPr>
      </w:pPr>
      <w:r>
        <w:rPr>
          <w:rFonts w:hint="eastAsia"/>
        </w:rPr>
        <w:t>巴西国内有三家机构负责收集和整理有关教育的统计数据：教育部（</w:t>
      </w:r>
      <w:r>
        <w:rPr>
          <w:rFonts w:hint="eastAsia"/>
        </w:rPr>
        <w:t>MEC</w:t>
      </w:r>
      <w:r>
        <w:rPr>
          <w:rFonts w:hint="eastAsia"/>
        </w:rPr>
        <w:t>），通过国家教育研究所（</w:t>
      </w:r>
      <w:r>
        <w:rPr>
          <w:rFonts w:hint="eastAsia"/>
        </w:rPr>
        <w:t>INEP</w:t>
      </w:r>
      <w:r>
        <w:rPr>
          <w:rFonts w:hint="eastAsia"/>
        </w:rPr>
        <w:t>）和各州的教育秘书处开展工作，州教育秘书处所属的教育机构是收集数据的主要目标；巴西地理统计局（</w:t>
      </w:r>
      <w:r>
        <w:rPr>
          <w:rFonts w:hint="eastAsia"/>
        </w:rPr>
        <w:t>IBGE</w:t>
      </w:r>
      <w:r>
        <w:rPr>
          <w:rFonts w:hint="eastAsia"/>
        </w:rPr>
        <w:t>），负责开展住户调查工作；劳动部，通过社会信息年度登一览表（</w:t>
      </w:r>
      <w:r>
        <w:rPr>
          <w:rFonts w:hint="eastAsia"/>
        </w:rPr>
        <w:t>RAIS</w:t>
      </w:r>
      <w:r>
        <w:rPr>
          <w:rFonts w:hint="eastAsia"/>
        </w:rPr>
        <w:t>）收集在正规教育系统中工作的教师和教授的相关信息。劳动部开展的调查仅限于商业公司（</w:t>
      </w:r>
      <w:r>
        <w:rPr>
          <w:rFonts w:hint="eastAsia"/>
        </w:rPr>
        <w:t>这里指教学机构）。</w:t>
      </w:r>
    </w:p>
    <w:p w:rsidR="00000000" w:rsidRDefault="004D2F83" w:rsidP="004D2F83">
      <w:pPr>
        <w:spacing w:after="240" w:line="340" w:lineRule="exact"/>
        <w:ind w:firstLineChars="200" w:firstLine="31680"/>
        <w:rPr>
          <w:rFonts w:hint="eastAsia"/>
        </w:rPr>
      </w:pPr>
      <w:r>
        <w:rPr>
          <w:rFonts w:hint="eastAsia"/>
        </w:rPr>
        <w:t>这些机构的特性各有不同，每一家机构在收集数据时均使用独特的方法，锁定各自的目标群体，因此，它们提出的分析结果也不尽相同。举例来说，巴西地理统计局（</w:t>
      </w:r>
      <w:r>
        <w:rPr>
          <w:rFonts w:hint="eastAsia"/>
        </w:rPr>
        <w:t>IBGE</w:t>
      </w:r>
      <w:r>
        <w:rPr>
          <w:rFonts w:hint="eastAsia"/>
        </w:rPr>
        <w:t>）的统计数据注重学生人数，教育部（</w:t>
      </w:r>
      <w:r>
        <w:rPr>
          <w:rFonts w:hint="eastAsia"/>
        </w:rPr>
        <w:t>MEC</w:t>
      </w:r>
      <w:r>
        <w:rPr>
          <w:rFonts w:hint="eastAsia"/>
        </w:rPr>
        <w:t>）收集的数据注重入学率；入学人数和学生人数不一定完全一致。突显各个机构特点所用的变量也可能不相同。</w:t>
      </w:r>
    </w:p>
    <w:p w:rsidR="00000000" w:rsidRDefault="004D2F83" w:rsidP="004D2F83">
      <w:pPr>
        <w:spacing w:after="240" w:line="340" w:lineRule="exact"/>
        <w:ind w:firstLineChars="200" w:firstLine="31680"/>
        <w:rPr>
          <w:rFonts w:hint="eastAsia"/>
        </w:rPr>
      </w:pPr>
      <w:r>
        <w:rPr>
          <w:rFonts w:hint="eastAsia"/>
        </w:rPr>
        <w:t>巴西的教育统计数据已经有所改进，本届联邦政府工作期间的改进尤为显著。过去几年来，国际机构（比如经合组织、教科文组织、儿童基金会以及妇女运动）始终坚持必须按性别来分析教育统计资料（博尼诺，</w:t>
      </w:r>
      <w:r>
        <w:rPr>
          <w:rFonts w:hint="eastAsia"/>
        </w:rPr>
        <w:t>1998</w:t>
      </w:r>
      <w:r>
        <w:rPr>
          <w:rFonts w:hint="eastAsia"/>
        </w:rPr>
        <w:t>年）</w:t>
      </w:r>
      <w:r>
        <w:rPr>
          <w:rFonts w:hint="eastAsia"/>
        </w:rPr>
        <w:t>。巴西地理统计局（</w:t>
      </w:r>
      <w:r>
        <w:rPr>
          <w:rFonts w:hint="eastAsia"/>
        </w:rPr>
        <w:t>IBGE</w:t>
      </w:r>
      <w:r>
        <w:rPr>
          <w:rFonts w:hint="eastAsia"/>
        </w:rPr>
        <w:t>）和教育部（</w:t>
      </w:r>
      <w:r>
        <w:rPr>
          <w:rFonts w:hint="eastAsia"/>
        </w:rPr>
        <w:t>MEC</w:t>
      </w:r>
      <w:r>
        <w:rPr>
          <w:rFonts w:hint="eastAsia"/>
        </w:rPr>
        <w:t>）一直以来使用的这种方法已经得到了拓展：举例来说，在评估学生成绩的工具中近来也加入了关于性别和肤色</w:t>
      </w:r>
      <w:r>
        <w:rPr>
          <w:rFonts w:hint="eastAsia"/>
        </w:rPr>
        <w:t>/</w:t>
      </w:r>
      <w:r>
        <w:rPr>
          <w:rFonts w:hint="eastAsia"/>
        </w:rPr>
        <w:t>种族的信息。</w:t>
      </w:r>
    </w:p>
    <w:p w:rsidR="00000000" w:rsidRDefault="004D2F83" w:rsidP="004D2F83">
      <w:pPr>
        <w:spacing w:after="240" w:line="340" w:lineRule="exact"/>
        <w:ind w:firstLineChars="200" w:firstLine="31680"/>
        <w:rPr>
          <w:rFonts w:hint="eastAsia"/>
        </w:rPr>
      </w:pPr>
      <w:r>
        <w:rPr>
          <w:rFonts w:hint="eastAsia"/>
        </w:rPr>
        <w:t>由此可见，巴西在以下一些问题上掌握了大量复杂的统计资料：识字情况，学校教育，学校出勤率，入学率，课程完成情况，教学机构的种类与质量，学生成绩及格</w:t>
      </w:r>
      <w:r>
        <w:rPr>
          <w:rFonts w:hint="eastAsia"/>
        </w:rPr>
        <w:t>/</w:t>
      </w:r>
      <w:r>
        <w:rPr>
          <w:rFonts w:hint="eastAsia"/>
        </w:rPr>
        <w:t>不及格情况，全国性测验结果，教师发展，以及参与经济活动的教师的情况。然而，按性别分列的数据的传播工作、特别是由国家教育研究所</w:t>
      </w:r>
      <w:r>
        <w:rPr>
          <w:rFonts w:hint="eastAsia"/>
        </w:rPr>
        <w:t>/</w:t>
      </w:r>
      <w:r>
        <w:rPr>
          <w:rFonts w:hint="eastAsia"/>
        </w:rPr>
        <w:t>教育部开展的教育普查的数据传播工作还很不足，与收集到的丰富信息相比不成比例，从而阻</w:t>
      </w:r>
      <w:r>
        <w:rPr>
          <w:rFonts w:hint="eastAsia"/>
        </w:rPr>
        <w:t>碍了为近年来启动的教育改革开展后续行动。</w:t>
      </w:r>
    </w:p>
    <w:p w:rsidR="00000000" w:rsidRDefault="004D2F83" w:rsidP="004D2F83">
      <w:pPr>
        <w:spacing w:after="240" w:line="340" w:lineRule="exact"/>
        <w:ind w:firstLineChars="200" w:firstLine="31680"/>
      </w:pPr>
      <w:r>
        <w:rPr>
          <w:rFonts w:hint="eastAsia"/>
        </w:rPr>
        <w:t>巴西的文盲率虽然有所下降，但比率依然很高：</w:t>
      </w:r>
      <w:r>
        <w:rPr>
          <w:rFonts w:hint="eastAsia"/>
        </w:rPr>
        <w:t>5</w:t>
      </w:r>
      <w:r>
        <w:rPr>
          <w:rFonts w:hint="eastAsia"/>
        </w:rPr>
        <w:t>岁以上人口的文盲率在</w:t>
      </w:r>
      <w:r>
        <w:rPr>
          <w:rFonts w:hint="eastAsia"/>
        </w:rPr>
        <w:t>1985</w:t>
      </w:r>
      <w:r>
        <w:rPr>
          <w:rFonts w:hint="eastAsia"/>
        </w:rPr>
        <w:t>年为</w:t>
      </w:r>
      <w:r>
        <w:t>26.6%</w:t>
      </w:r>
      <w:r>
        <w:rPr>
          <w:rFonts w:hint="eastAsia"/>
        </w:rPr>
        <w:t>，</w:t>
      </w:r>
      <w:r>
        <w:rPr>
          <w:rFonts w:hint="eastAsia"/>
        </w:rPr>
        <w:t>1999</w:t>
      </w:r>
      <w:r>
        <w:rPr>
          <w:rFonts w:hint="eastAsia"/>
        </w:rPr>
        <w:t>年为</w:t>
      </w:r>
      <w:r>
        <w:t>15.7</w:t>
      </w:r>
      <w:r>
        <w:rPr>
          <w:rFonts w:hint="eastAsia"/>
        </w:rPr>
        <w:t>%</w:t>
      </w:r>
      <w:r>
        <w:rPr>
          <w:rFonts w:hint="eastAsia"/>
        </w:rPr>
        <w:t>；</w:t>
      </w:r>
      <w:r>
        <w:rPr>
          <w:rFonts w:hint="eastAsia"/>
        </w:rPr>
        <w:t>7</w:t>
      </w:r>
      <w:r>
        <w:rPr>
          <w:rFonts w:hint="eastAsia"/>
        </w:rPr>
        <w:t>岁以上人口的文盲率在</w:t>
      </w:r>
      <w:r>
        <w:rPr>
          <w:rFonts w:hint="eastAsia"/>
        </w:rPr>
        <w:t>1985</w:t>
      </w:r>
      <w:r>
        <w:rPr>
          <w:rFonts w:hint="eastAsia"/>
        </w:rPr>
        <w:t>年为</w:t>
      </w:r>
      <w:r>
        <w:t>21.2</w:t>
      </w:r>
      <w:r>
        <w:rPr>
          <w:rFonts w:hint="eastAsia"/>
        </w:rPr>
        <w:t>%</w:t>
      </w:r>
      <w:r>
        <w:rPr>
          <w:rFonts w:hint="eastAsia"/>
        </w:rPr>
        <w:t>，</w:t>
      </w:r>
      <w:r>
        <w:rPr>
          <w:rFonts w:hint="eastAsia"/>
        </w:rPr>
        <w:t>1999</w:t>
      </w:r>
      <w:r>
        <w:rPr>
          <w:rFonts w:hint="eastAsia"/>
        </w:rPr>
        <w:t>年为</w:t>
      </w:r>
      <w:r>
        <w:t>13.0</w:t>
      </w:r>
      <w:r>
        <w:rPr>
          <w:rFonts w:hint="eastAsia"/>
        </w:rPr>
        <w:t>%</w:t>
      </w:r>
      <w:r>
        <w:rPr>
          <w:rFonts w:hint="eastAsia"/>
        </w:rPr>
        <w:t>（</w:t>
      </w:r>
      <w:r>
        <w:rPr>
          <w:rFonts w:hint="eastAsia"/>
        </w:rPr>
        <w:t>1985</w:t>
      </w:r>
      <w:r>
        <w:rPr>
          <w:rFonts w:hint="eastAsia"/>
        </w:rPr>
        <w:t>和</w:t>
      </w:r>
      <w:r>
        <w:rPr>
          <w:rFonts w:hint="eastAsia"/>
        </w:rPr>
        <w:t>1999</w:t>
      </w:r>
      <w:r>
        <w:rPr>
          <w:rFonts w:hint="eastAsia"/>
        </w:rPr>
        <w:t>年全国住户抽样调查）。</w:t>
      </w:r>
    </w:p>
    <w:p w:rsidR="00000000" w:rsidRDefault="004D2F83" w:rsidP="004D2F83">
      <w:pPr>
        <w:spacing w:after="240" w:line="340" w:lineRule="exact"/>
        <w:ind w:firstLineChars="200" w:firstLine="31680"/>
        <w:rPr>
          <w:rFonts w:hint="eastAsia"/>
        </w:rPr>
      </w:pPr>
      <w:r>
        <w:rPr>
          <w:rFonts w:hint="eastAsia"/>
        </w:rPr>
        <w:t>将</w:t>
      </w:r>
      <w:r>
        <w:rPr>
          <w:rFonts w:hint="eastAsia"/>
        </w:rPr>
        <w:t>1872</w:t>
      </w:r>
      <w:r>
        <w:rPr>
          <w:rFonts w:hint="eastAsia"/>
        </w:rPr>
        <w:t>年人口普查和</w:t>
      </w:r>
      <w:r>
        <w:rPr>
          <w:rFonts w:hint="eastAsia"/>
        </w:rPr>
        <w:t>1999</w:t>
      </w:r>
      <w:r>
        <w:rPr>
          <w:rFonts w:hint="eastAsia"/>
        </w:rPr>
        <w:t>年全国住户抽样调查收集到的男女文盲数据进行比较，可以发现两条几乎完全平行的发展轨迹，直到</w:t>
      </w:r>
      <w:r>
        <w:rPr>
          <w:rFonts w:hint="eastAsia"/>
        </w:rPr>
        <w:t>1940</w:t>
      </w:r>
      <w:r>
        <w:rPr>
          <w:rFonts w:hint="eastAsia"/>
        </w:rPr>
        <w:t>年代才出现明显的趋同迹象（表</w:t>
      </w:r>
      <w:r>
        <w:rPr>
          <w:rFonts w:hint="eastAsia"/>
        </w:rPr>
        <w:t>27</w:t>
      </w:r>
      <w:r>
        <w:rPr>
          <w:rFonts w:hint="eastAsia"/>
        </w:rPr>
        <w:t>）。</w:t>
      </w:r>
    </w:p>
    <w:p w:rsidR="00000000" w:rsidRDefault="004D2F83">
      <w:pPr>
        <w:spacing w:line="320" w:lineRule="exact"/>
        <w:jc w:val="center"/>
        <w:rPr>
          <w:rFonts w:ascii="SimHei" w:eastAsia="SimHei" w:hint="eastAsia"/>
        </w:rPr>
      </w:pPr>
      <w:r>
        <w:rPr>
          <w:rFonts w:ascii="SimHei" w:eastAsia="SimHei" w:hint="eastAsia"/>
        </w:rPr>
        <w:t>表</w:t>
      </w:r>
      <w:r>
        <w:rPr>
          <w:rFonts w:ascii="SimHei" w:eastAsia="SimHei" w:hint="eastAsia"/>
        </w:rPr>
        <w:t>27</w:t>
      </w:r>
      <w:r>
        <w:rPr>
          <w:rFonts w:ascii="SimHei" w:eastAsia="SimHei" w:hint="eastAsia"/>
        </w:rPr>
        <w:t>．历年男女人口总数与文盲人数（</w:t>
      </w:r>
      <w:r>
        <w:rPr>
          <w:rFonts w:ascii="SimHei" w:eastAsia="SimHei" w:hint="eastAsia"/>
        </w:rPr>
        <w:t>5</w:t>
      </w:r>
      <w:r>
        <w:rPr>
          <w:rFonts w:ascii="SimHei" w:eastAsia="SimHei" w:hint="eastAsia"/>
        </w:rPr>
        <w:t>岁以上人群）</w:t>
      </w:r>
    </w:p>
    <w:p w:rsidR="00000000" w:rsidRDefault="004D2F83">
      <w:pPr>
        <w:spacing w:after="240" w:line="360" w:lineRule="exact"/>
        <w:jc w:val="center"/>
        <w:rPr>
          <w:rFonts w:ascii="SimHei" w:eastAsia="SimHei" w:hint="eastAsia"/>
        </w:rPr>
      </w:pPr>
      <w:r>
        <w:rPr>
          <w:rFonts w:ascii="SimHei" w:eastAsia="SimHei" w:hint="eastAsia"/>
        </w:rPr>
        <w:t>巴西，</w:t>
      </w:r>
      <w:r>
        <w:rPr>
          <w:rFonts w:ascii="SimHei" w:eastAsia="SimHei" w:hint="eastAsia"/>
        </w:rPr>
        <w:t>1872</w:t>
      </w:r>
      <w:r>
        <w:rPr>
          <w:rFonts w:ascii="SimHei" w:eastAsia="SimHei" w:hint="eastAsia"/>
        </w:rPr>
        <w:t>至</w:t>
      </w:r>
      <w:r>
        <w:rPr>
          <w:rFonts w:ascii="SimHei" w:eastAsia="SimHei" w:hint="eastAsia"/>
        </w:rPr>
        <w:t>1999</w:t>
      </w:r>
      <w:r>
        <w:rPr>
          <w:rFonts w:ascii="SimHei" w:eastAsia="SimHei" w:hint="eastAsia"/>
        </w:rPr>
        <w:t>年</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6"/>
        <w:gridCol w:w="1423"/>
        <w:gridCol w:w="1423"/>
        <w:gridCol w:w="1423"/>
        <w:gridCol w:w="1425"/>
        <w:gridCol w:w="1425"/>
        <w:gridCol w:w="1421"/>
      </w:tblGrid>
      <w:tr w:rsidR="00000000">
        <w:tblPrEx>
          <w:tblCellMar>
            <w:top w:w="0" w:type="dxa"/>
            <w:bottom w:w="0" w:type="dxa"/>
          </w:tblCellMar>
        </w:tblPrEx>
        <w:trPr>
          <w:cantSplit/>
        </w:trPr>
        <w:tc>
          <w:tcPr>
            <w:tcW w:w="667" w:type="pct"/>
            <w:tcBorders>
              <w:top w:val="nil"/>
              <w:left w:val="nil"/>
              <w:bottom w:val="single" w:sz="4" w:space="0" w:color="auto"/>
              <w:right w:val="single" w:sz="4" w:space="0" w:color="auto"/>
            </w:tcBorders>
          </w:tcPr>
          <w:p w:rsidR="00000000" w:rsidRDefault="004D2F83">
            <w:pPr>
              <w:spacing w:line="320" w:lineRule="exact"/>
              <w:jc w:val="center"/>
              <w:rPr>
                <w:rFonts w:ascii="SimHei" w:eastAsia="SimHei" w:hint="eastAsia"/>
                <w:sz w:val="18"/>
              </w:rPr>
            </w:pPr>
          </w:p>
        </w:tc>
        <w:tc>
          <w:tcPr>
            <w:tcW w:w="2166" w:type="pct"/>
            <w:gridSpan w:val="3"/>
            <w:tcBorders>
              <w:left w:val="single" w:sz="4" w:space="0" w:color="auto"/>
            </w:tcBorders>
          </w:tcPr>
          <w:p w:rsidR="00000000" w:rsidRDefault="004D2F83">
            <w:pPr>
              <w:spacing w:line="320" w:lineRule="exact"/>
              <w:jc w:val="center"/>
              <w:rPr>
                <w:rFonts w:ascii="SimHei" w:eastAsia="SimHei" w:hint="eastAsia"/>
                <w:sz w:val="18"/>
              </w:rPr>
            </w:pPr>
            <w:r>
              <w:rPr>
                <w:rFonts w:ascii="SimHei" w:eastAsia="SimHei" w:hint="eastAsia"/>
                <w:sz w:val="18"/>
              </w:rPr>
              <w:t>男</w:t>
            </w:r>
          </w:p>
        </w:tc>
        <w:tc>
          <w:tcPr>
            <w:tcW w:w="2168" w:type="pct"/>
            <w:gridSpan w:val="3"/>
          </w:tcPr>
          <w:p w:rsidR="00000000" w:rsidRDefault="004D2F83">
            <w:pPr>
              <w:spacing w:line="320" w:lineRule="exact"/>
              <w:jc w:val="center"/>
              <w:rPr>
                <w:rFonts w:ascii="SimHei" w:eastAsia="SimHei" w:hint="eastAsia"/>
                <w:sz w:val="18"/>
              </w:rPr>
            </w:pPr>
            <w:r>
              <w:rPr>
                <w:rFonts w:ascii="SimHei" w:eastAsia="SimHei" w:hint="eastAsia"/>
                <w:sz w:val="18"/>
              </w:rPr>
              <w:t>女</w:t>
            </w:r>
          </w:p>
        </w:tc>
      </w:tr>
      <w:tr w:rsidR="00000000">
        <w:tblPrEx>
          <w:tblCellMar>
            <w:top w:w="0" w:type="dxa"/>
            <w:bottom w:w="0" w:type="dxa"/>
          </w:tblCellMar>
        </w:tblPrEx>
        <w:tc>
          <w:tcPr>
            <w:tcW w:w="667" w:type="pct"/>
            <w:tcBorders>
              <w:top w:val="single" w:sz="4" w:space="0" w:color="auto"/>
            </w:tcBorders>
          </w:tcPr>
          <w:p w:rsidR="00000000" w:rsidRDefault="004D2F83">
            <w:pPr>
              <w:spacing w:line="320" w:lineRule="exact"/>
              <w:jc w:val="center"/>
              <w:rPr>
                <w:rFonts w:ascii="SimHei" w:eastAsia="SimHei" w:hint="eastAsia"/>
                <w:sz w:val="18"/>
              </w:rPr>
            </w:pPr>
            <w:r>
              <w:rPr>
                <w:rFonts w:ascii="SimHei" w:eastAsia="SimHei" w:hint="eastAsia"/>
                <w:sz w:val="18"/>
              </w:rPr>
              <w:t>普查</w:t>
            </w:r>
          </w:p>
        </w:tc>
        <w:tc>
          <w:tcPr>
            <w:tcW w:w="722" w:type="pct"/>
          </w:tcPr>
          <w:p w:rsidR="00000000" w:rsidRDefault="004D2F83">
            <w:pPr>
              <w:spacing w:line="320" w:lineRule="exact"/>
              <w:jc w:val="center"/>
              <w:rPr>
                <w:rFonts w:ascii="SimHei" w:eastAsia="SimHei" w:hint="eastAsia"/>
                <w:sz w:val="18"/>
              </w:rPr>
            </w:pPr>
            <w:r>
              <w:rPr>
                <w:rFonts w:ascii="SimHei" w:eastAsia="SimHei" w:hint="eastAsia"/>
                <w:sz w:val="18"/>
              </w:rPr>
              <w:t>人口总数</w:t>
            </w:r>
          </w:p>
        </w:tc>
        <w:tc>
          <w:tcPr>
            <w:tcW w:w="722" w:type="pct"/>
          </w:tcPr>
          <w:p w:rsidR="00000000" w:rsidRDefault="004D2F83">
            <w:pPr>
              <w:spacing w:line="320" w:lineRule="exact"/>
              <w:jc w:val="center"/>
              <w:rPr>
                <w:rFonts w:ascii="SimHei" w:eastAsia="SimHei" w:hint="eastAsia"/>
                <w:sz w:val="18"/>
              </w:rPr>
            </w:pPr>
            <w:r>
              <w:rPr>
                <w:rFonts w:ascii="SimHei" w:eastAsia="SimHei" w:hint="eastAsia"/>
                <w:sz w:val="18"/>
              </w:rPr>
              <w:t>文盲人数</w:t>
            </w:r>
          </w:p>
        </w:tc>
        <w:tc>
          <w:tcPr>
            <w:tcW w:w="722" w:type="pct"/>
          </w:tcPr>
          <w:p w:rsidR="00000000" w:rsidRDefault="004D2F83">
            <w:pPr>
              <w:spacing w:line="320" w:lineRule="exact"/>
              <w:jc w:val="center"/>
              <w:rPr>
                <w:rFonts w:ascii="SimHei" w:eastAsia="SimHei" w:hint="eastAsia"/>
                <w:sz w:val="18"/>
              </w:rPr>
            </w:pPr>
            <w:r>
              <w:rPr>
                <w:rFonts w:ascii="SimHei" w:eastAsia="SimHei" w:hint="eastAsia"/>
                <w:sz w:val="18"/>
              </w:rPr>
              <w:t>%</w:t>
            </w:r>
          </w:p>
        </w:tc>
        <w:tc>
          <w:tcPr>
            <w:tcW w:w="723" w:type="pct"/>
          </w:tcPr>
          <w:p w:rsidR="00000000" w:rsidRDefault="004D2F83">
            <w:pPr>
              <w:spacing w:line="320" w:lineRule="exact"/>
              <w:jc w:val="center"/>
              <w:rPr>
                <w:rFonts w:ascii="SimHei" w:eastAsia="SimHei" w:hint="eastAsia"/>
                <w:sz w:val="18"/>
              </w:rPr>
            </w:pPr>
            <w:r>
              <w:rPr>
                <w:rFonts w:ascii="SimHei" w:eastAsia="SimHei" w:hint="eastAsia"/>
                <w:sz w:val="18"/>
              </w:rPr>
              <w:t>人口总数</w:t>
            </w:r>
          </w:p>
        </w:tc>
        <w:tc>
          <w:tcPr>
            <w:tcW w:w="723" w:type="pct"/>
          </w:tcPr>
          <w:p w:rsidR="00000000" w:rsidRDefault="004D2F83">
            <w:pPr>
              <w:spacing w:line="320" w:lineRule="exact"/>
              <w:jc w:val="center"/>
              <w:rPr>
                <w:rFonts w:ascii="SimHei" w:eastAsia="SimHei" w:hint="eastAsia"/>
                <w:sz w:val="18"/>
              </w:rPr>
            </w:pPr>
            <w:r>
              <w:rPr>
                <w:rFonts w:ascii="SimHei" w:eastAsia="SimHei" w:hint="eastAsia"/>
                <w:sz w:val="18"/>
              </w:rPr>
              <w:t>文盲人数</w:t>
            </w:r>
          </w:p>
        </w:tc>
        <w:tc>
          <w:tcPr>
            <w:tcW w:w="722" w:type="pct"/>
          </w:tcPr>
          <w:p w:rsidR="00000000" w:rsidRDefault="004D2F83">
            <w:pPr>
              <w:spacing w:line="320" w:lineRule="exact"/>
              <w:jc w:val="center"/>
              <w:rPr>
                <w:rFonts w:ascii="SimHei" w:eastAsia="SimHei" w:hint="eastAsia"/>
                <w:sz w:val="18"/>
              </w:rPr>
            </w:pPr>
            <w:r>
              <w:rPr>
                <w:rFonts w:ascii="SimHei" w:eastAsia="SimHei" w:hint="eastAsia"/>
                <w:sz w:val="18"/>
              </w:rPr>
              <w:t>%</w:t>
            </w:r>
          </w:p>
        </w:tc>
      </w:tr>
      <w:tr w:rsidR="00000000">
        <w:tblPrEx>
          <w:tblCellMar>
            <w:top w:w="0" w:type="dxa"/>
            <w:bottom w:w="0" w:type="dxa"/>
          </w:tblCellMar>
        </w:tblPrEx>
        <w:tc>
          <w:tcPr>
            <w:tcW w:w="667" w:type="pct"/>
          </w:tcPr>
          <w:p w:rsidR="00000000" w:rsidRDefault="004D2F83">
            <w:pPr>
              <w:spacing w:line="320" w:lineRule="exact"/>
              <w:jc w:val="center"/>
              <w:rPr>
                <w:rFonts w:hint="eastAsia"/>
                <w:sz w:val="18"/>
              </w:rPr>
            </w:pPr>
            <w:r>
              <w:rPr>
                <w:rFonts w:hint="eastAsia"/>
                <w:sz w:val="18"/>
              </w:rPr>
              <w:t>1872</w:t>
            </w:r>
          </w:p>
        </w:tc>
        <w:tc>
          <w:tcPr>
            <w:tcW w:w="722" w:type="pct"/>
          </w:tcPr>
          <w:p w:rsidR="00000000" w:rsidRDefault="004D2F83">
            <w:pPr>
              <w:spacing w:line="320" w:lineRule="exact"/>
              <w:jc w:val="center"/>
              <w:rPr>
                <w:sz w:val="18"/>
              </w:rPr>
            </w:pPr>
            <w:r>
              <w:rPr>
                <w:sz w:val="18"/>
              </w:rPr>
              <w:t>5</w:t>
            </w:r>
            <w:r>
              <w:rPr>
                <w:rFonts w:hint="eastAsia"/>
                <w:sz w:val="18"/>
              </w:rPr>
              <w:t xml:space="preserve"> </w:t>
            </w:r>
            <w:r>
              <w:rPr>
                <w:sz w:val="18"/>
              </w:rPr>
              <w:t>123</w:t>
            </w:r>
            <w:r>
              <w:rPr>
                <w:rFonts w:hint="eastAsia"/>
                <w:sz w:val="18"/>
              </w:rPr>
              <w:t xml:space="preserve"> </w:t>
            </w:r>
            <w:r>
              <w:rPr>
                <w:sz w:val="18"/>
              </w:rPr>
              <w:t>869</w:t>
            </w:r>
          </w:p>
        </w:tc>
        <w:tc>
          <w:tcPr>
            <w:tcW w:w="722" w:type="pct"/>
          </w:tcPr>
          <w:p w:rsidR="00000000" w:rsidRDefault="004D2F83">
            <w:pPr>
              <w:spacing w:line="320" w:lineRule="exact"/>
              <w:jc w:val="center"/>
              <w:rPr>
                <w:sz w:val="18"/>
              </w:rPr>
            </w:pPr>
            <w:r>
              <w:rPr>
                <w:sz w:val="18"/>
              </w:rPr>
              <w:t>4</w:t>
            </w:r>
            <w:r>
              <w:rPr>
                <w:rFonts w:hint="eastAsia"/>
                <w:sz w:val="18"/>
              </w:rPr>
              <w:t xml:space="preserve"> </w:t>
            </w:r>
            <w:r>
              <w:rPr>
                <w:sz w:val="18"/>
              </w:rPr>
              <w:t>110</w:t>
            </w:r>
            <w:r>
              <w:rPr>
                <w:rFonts w:hint="eastAsia"/>
                <w:sz w:val="18"/>
              </w:rPr>
              <w:t xml:space="preserve"> </w:t>
            </w:r>
            <w:r>
              <w:rPr>
                <w:sz w:val="18"/>
              </w:rPr>
              <w:t>814</w:t>
            </w:r>
          </w:p>
        </w:tc>
        <w:tc>
          <w:tcPr>
            <w:tcW w:w="722" w:type="pct"/>
          </w:tcPr>
          <w:p w:rsidR="00000000" w:rsidRDefault="004D2F83">
            <w:pPr>
              <w:spacing w:line="320" w:lineRule="exact"/>
              <w:jc w:val="center"/>
              <w:rPr>
                <w:sz w:val="18"/>
              </w:rPr>
            </w:pPr>
            <w:r>
              <w:rPr>
                <w:sz w:val="18"/>
              </w:rPr>
              <w:t>80.2</w:t>
            </w:r>
          </w:p>
        </w:tc>
        <w:tc>
          <w:tcPr>
            <w:tcW w:w="723" w:type="pct"/>
          </w:tcPr>
          <w:p w:rsidR="00000000" w:rsidRDefault="004D2F83">
            <w:pPr>
              <w:spacing w:line="320" w:lineRule="exact"/>
              <w:jc w:val="center"/>
              <w:rPr>
                <w:sz w:val="18"/>
              </w:rPr>
            </w:pPr>
            <w:r>
              <w:rPr>
                <w:sz w:val="18"/>
              </w:rPr>
              <w:t>4</w:t>
            </w:r>
            <w:r>
              <w:rPr>
                <w:rFonts w:hint="eastAsia"/>
                <w:sz w:val="18"/>
              </w:rPr>
              <w:t xml:space="preserve"> </w:t>
            </w:r>
            <w:r>
              <w:rPr>
                <w:sz w:val="18"/>
              </w:rPr>
              <w:t>806</w:t>
            </w:r>
            <w:r>
              <w:rPr>
                <w:rFonts w:hint="eastAsia"/>
                <w:sz w:val="18"/>
              </w:rPr>
              <w:t xml:space="preserve"> </w:t>
            </w:r>
            <w:r>
              <w:rPr>
                <w:sz w:val="18"/>
              </w:rPr>
              <w:t>609</w:t>
            </w:r>
          </w:p>
        </w:tc>
        <w:tc>
          <w:tcPr>
            <w:tcW w:w="723" w:type="pct"/>
          </w:tcPr>
          <w:p w:rsidR="00000000" w:rsidRDefault="004D2F83">
            <w:pPr>
              <w:spacing w:line="320" w:lineRule="exact"/>
              <w:jc w:val="center"/>
              <w:rPr>
                <w:sz w:val="18"/>
              </w:rPr>
            </w:pPr>
            <w:r>
              <w:rPr>
                <w:sz w:val="18"/>
              </w:rPr>
              <w:t>4</w:t>
            </w:r>
            <w:r>
              <w:rPr>
                <w:rFonts w:hint="eastAsia"/>
                <w:sz w:val="18"/>
              </w:rPr>
              <w:t xml:space="preserve"> </w:t>
            </w:r>
            <w:r>
              <w:rPr>
                <w:sz w:val="18"/>
              </w:rPr>
              <w:t>255</w:t>
            </w:r>
            <w:r>
              <w:rPr>
                <w:rFonts w:hint="eastAsia"/>
                <w:sz w:val="18"/>
              </w:rPr>
              <w:t xml:space="preserve"> </w:t>
            </w:r>
            <w:r>
              <w:rPr>
                <w:sz w:val="18"/>
              </w:rPr>
              <w:t>183</w:t>
            </w:r>
          </w:p>
        </w:tc>
        <w:tc>
          <w:tcPr>
            <w:tcW w:w="722" w:type="pct"/>
          </w:tcPr>
          <w:p w:rsidR="00000000" w:rsidRDefault="004D2F83">
            <w:pPr>
              <w:spacing w:line="320" w:lineRule="exact"/>
              <w:jc w:val="center"/>
              <w:rPr>
                <w:sz w:val="18"/>
              </w:rPr>
            </w:pPr>
            <w:r>
              <w:rPr>
                <w:sz w:val="18"/>
              </w:rPr>
              <w:t>88.5</w:t>
            </w:r>
          </w:p>
        </w:tc>
      </w:tr>
      <w:tr w:rsidR="00000000">
        <w:tblPrEx>
          <w:tblCellMar>
            <w:top w:w="0" w:type="dxa"/>
            <w:bottom w:w="0" w:type="dxa"/>
          </w:tblCellMar>
        </w:tblPrEx>
        <w:tc>
          <w:tcPr>
            <w:tcW w:w="667" w:type="pct"/>
          </w:tcPr>
          <w:p w:rsidR="00000000" w:rsidRDefault="004D2F83">
            <w:pPr>
              <w:spacing w:line="320" w:lineRule="exact"/>
              <w:jc w:val="center"/>
              <w:rPr>
                <w:rFonts w:hint="eastAsia"/>
                <w:sz w:val="18"/>
              </w:rPr>
            </w:pPr>
            <w:r>
              <w:rPr>
                <w:rFonts w:hint="eastAsia"/>
                <w:sz w:val="18"/>
              </w:rPr>
              <w:t>1890</w:t>
            </w:r>
          </w:p>
        </w:tc>
        <w:tc>
          <w:tcPr>
            <w:tcW w:w="722" w:type="pct"/>
          </w:tcPr>
          <w:p w:rsidR="00000000" w:rsidRDefault="004D2F83">
            <w:pPr>
              <w:spacing w:line="320" w:lineRule="exact"/>
              <w:jc w:val="center"/>
              <w:rPr>
                <w:sz w:val="18"/>
              </w:rPr>
            </w:pPr>
            <w:r>
              <w:rPr>
                <w:sz w:val="18"/>
              </w:rPr>
              <w:t>7</w:t>
            </w:r>
            <w:r>
              <w:rPr>
                <w:rFonts w:hint="eastAsia"/>
                <w:sz w:val="18"/>
              </w:rPr>
              <w:t xml:space="preserve"> </w:t>
            </w:r>
            <w:r>
              <w:rPr>
                <w:sz w:val="18"/>
              </w:rPr>
              <w:t>237</w:t>
            </w:r>
            <w:r>
              <w:rPr>
                <w:rFonts w:hint="eastAsia"/>
                <w:sz w:val="18"/>
              </w:rPr>
              <w:t xml:space="preserve"> </w:t>
            </w:r>
            <w:r>
              <w:rPr>
                <w:sz w:val="18"/>
              </w:rPr>
              <w:t>932</w:t>
            </w:r>
          </w:p>
        </w:tc>
        <w:tc>
          <w:tcPr>
            <w:tcW w:w="722" w:type="pct"/>
          </w:tcPr>
          <w:p w:rsidR="00000000" w:rsidRDefault="004D2F83">
            <w:pPr>
              <w:spacing w:line="320" w:lineRule="exact"/>
              <w:jc w:val="center"/>
              <w:rPr>
                <w:sz w:val="18"/>
              </w:rPr>
            </w:pPr>
            <w:r>
              <w:rPr>
                <w:sz w:val="18"/>
              </w:rPr>
              <w:t>5</w:t>
            </w:r>
            <w:r>
              <w:rPr>
                <w:rFonts w:hint="eastAsia"/>
                <w:sz w:val="18"/>
              </w:rPr>
              <w:t xml:space="preserve"> </w:t>
            </w:r>
            <w:r>
              <w:rPr>
                <w:sz w:val="18"/>
              </w:rPr>
              <w:t>852</w:t>
            </w:r>
            <w:r>
              <w:rPr>
                <w:rFonts w:hint="eastAsia"/>
                <w:sz w:val="18"/>
              </w:rPr>
              <w:t xml:space="preserve"> </w:t>
            </w:r>
            <w:r>
              <w:rPr>
                <w:sz w:val="18"/>
              </w:rPr>
              <w:t>078</w:t>
            </w:r>
          </w:p>
        </w:tc>
        <w:tc>
          <w:tcPr>
            <w:tcW w:w="722" w:type="pct"/>
          </w:tcPr>
          <w:p w:rsidR="00000000" w:rsidRDefault="004D2F83">
            <w:pPr>
              <w:spacing w:line="320" w:lineRule="exact"/>
              <w:jc w:val="center"/>
              <w:rPr>
                <w:sz w:val="18"/>
              </w:rPr>
            </w:pPr>
            <w:r>
              <w:rPr>
                <w:sz w:val="18"/>
              </w:rPr>
              <w:t>80.8</w:t>
            </w:r>
          </w:p>
        </w:tc>
        <w:tc>
          <w:tcPr>
            <w:tcW w:w="723" w:type="pct"/>
          </w:tcPr>
          <w:p w:rsidR="00000000" w:rsidRDefault="004D2F83">
            <w:pPr>
              <w:spacing w:line="320" w:lineRule="exact"/>
              <w:jc w:val="center"/>
              <w:rPr>
                <w:sz w:val="18"/>
              </w:rPr>
            </w:pPr>
            <w:r>
              <w:rPr>
                <w:sz w:val="18"/>
              </w:rPr>
              <w:t>7</w:t>
            </w:r>
            <w:r>
              <w:rPr>
                <w:rFonts w:hint="eastAsia"/>
                <w:sz w:val="18"/>
              </w:rPr>
              <w:t xml:space="preserve"> </w:t>
            </w:r>
            <w:r>
              <w:rPr>
                <w:sz w:val="18"/>
              </w:rPr>
              <w:t>095</w:t>
            </w:r>
            <w:r>
              <w:rPr>
                <w:rFonts w:hint="eastAsia"/>
                <w:sz w:val="18"/>
              </w:rPr>
              <w:t xml:space="preserve"> </w:t>
            </w:r>
            <w:r>
              <w:rPr>
                <w:sz w:val="18"/>
              </w:rPr>
              <w:t>893</w:t>
            </w:r>
          </w:p>
        </w:tc>
        <w:tc>
          <w:tcPr>
            <w:tcW w:w="723" w:type="pct"/>
          </w:tcPr>
          <w:p w:rsidR="00000000" w:rsidRDefault="004D2F83">
            <w:pPr>
              <w:spacing w:line="320" w:lineRule="exact"/>
              <w:jc w:val="center"/>
              <w:rPr>
                <w:sz w:val="18"/>
              </w:rPr>
            </w:pPr>
            <w:r>
              <w:rPr>
                <w:sz w:val="18"/>
              </w:rPr>
              <w:t>6</w:t>
            </w:r>
            <w:r>
              <w:rPr>
                <w:rFonts w:hint="eastAsia"/>
                <w:sz w:val="18"/>
              </w:rPr>
              <w:t xml:space="preserve"> </w:t>
            </w:r>
            <w:r>
              <w:rPr>
                <w:sz w:val="18"/>
              </w:rPr>
              <w:t>361</w:t>
            </w:r>
            <w:r>
              <w:rPr>
                <w:rFonts w:hint="eastAsia"/>
                <w:sz w:val="18"/>
              </w:rPr>
              <w:t xml:space="preserve"> </w:t>
            </w:r>
            <w:r>
              <w:rPr>
                <w:sz w:val="18"/>
              </w:rPr>
              <w:t>278</w:t>
            </w:r>
          </w:p>
        </w:tc>
        <w:tc>
          <w:tcPr>
            <w:tcW w:w="722" w:type="pct"/>
          </w:tcPr>
          <w:p w:rsidR="00000000" w:rsidRDefault="004D2F83">
            <w:pPr>
              <w:spacing w:line="320" w:lineRule="exact"/>
              <w:jc w:val="center"/>
              <w:rPr>
                <w:sz w:val="18"/>
              </w:rPr>
            </w:pPr>
            <w:r>
              <w:rPr>
                <w:sz w:val="18"/>
              </w:rPr>
              <w:t>89.6</w:t>
            </w:r>
          </w:p>
        </w:tc>
      </w:tr>
      <w:tr w:rsidR="00000000">
        <w:tblPrEx>
          <w:tblCellMar>
            <w:top w:w="0" w:type="dxa"/>
            <w:bottom w:w="0" w:type="dxa"/>
          </w:tblCellMar>
        </w:tblPrEx>
        <w:tc>
          <w:tcPr>
            <w:tcW w:w="667" w:type="pct"/>
          </w:tcPr>
          <w:p w:rsidR="00000000" w:rsidRDefault="004D2F83">
            <w:pPr>
              <w:spacing w:line="320" w:lineRule="exact"/>
              <w:jc w:val="center"/>
              <w:rPr>
                <w:rFonts w:hint="eastAsia"/>
                <w:sz w:val="18"/>
              </w:rPr>
            </w:pPr>
            <w:r>
              <w:rPr>
                <w:rFonts w:hint="eastAsia"/>
                <w:sz w:val="18"/>
              </w:rPr>
              <w:t>1920</w:t>
            </w:r>
          </w:p>
        </w:tc>
        <w:tc>
          <w:tcPr>
            <w:tcW w:w="722" w:type="pct"/>
          </w:tcPr>
          <w:p w:rsidR="00000000" w:rsidRDefault="004D2F83">
            <w:pPr>
              <w:spacing w:line="320" w:lineRule="exact"/>
              <w:jc w:val="center"/>
              <w:rPr>
                <w:sz w:val="18"/>
              </w:rPr>
            </w:pPr>
            <w:r>
              <w:rPr>
                <w:sz w:val="18"/>
              </w:rPr>
              <w:t>15</w:t>
            </w:r>
            <w:r>
              <w:rPr>
                <w:rFonts w:hint="eastAsia"/>
                <w:sz w:val="18"/>
              </w:rPr>
              <w:t xml:space="preserve"> </w:t>
            </w:r>
            <w:r>
              <w:rPr>
                <w:sz w:val="18"/>
              </w:rPr>
              <w:t>443</w:t>
            </w:r>
            <w:r>
              <w:rPr>
                <w:rFonts w:hint="eastAsia"/>
                <w:sz w:val="18"/>
              </w:rPr>
              <w:t xml:space="preserve"> </w:t>
            </w:r>
            <w:r>
              <w:rPr>
                <w:sz w:val="18"/>
              </w:rPr>
              <w:t>818</w:t>
            </w:r>
          </w:p>
        </w:tc>
        <w:tc>
          <w:tcPr>
            <w:tcW w:w="722" w:type="pct"/>
          </w:tcPr>
          <w:p w:rsidR="00000000" w:rsidRDefault="004D2F83">
            <w:pPr>
              <w:spacing w:line="320" w:lineRule="exact"/>
              <w:jc w:val="center"/>
              <w:rPr>
                <w:sz w:val="18"/>
              </w:rPr>
            </w:pPr>
            <w:r>
              <w:rPr>
                <w:sz w:val="18"/>
              </w:rPr>
              <w:t>10</w:t>
            </w:r>
            <w:r>
              <w:rPr>
                <w:rFonts w:hint="eastAsia"/>
                <w:sz w:val="18"/>
              </w:rPr>
              <w:t xml:space="preserve"> </w:t>
            </w:r>
            <w:r>
              <w:rPr>
                <w:sz w:val="18"/>
              </w:rPr>
              <w:t>615</w:t>
            </w:r>
            <w:r>
              <w:rPr>
                <w:rFonts w:hint="eastAsia"/>
                <w:sz w:val="18"/>
              </w:rPr>
              <w:t xml:space="preserve"> </w:t>
            </w:r>
            <w:r>
              <w:rPr>
                <w:sz w:val="18"/>
              </w:rPr>
              <w:t>039</w:t>
            </w:r>
          </w:p>
        </w:tc>
        <w:tc>
          <w:tcPr>
            <w:tcW w:w="722" w:type="pct"/>
          </w:tcPr>
          <w:p w:rsidR="00000000" w:rsidRDefault="004D2F83">
            <w:pPr>
              <w:spacing w:line="320" w:lineRule="exact"/>
              <w:jc w:val="center"/>
              <w:rPr>
                <w:sz w:val="18"/>
              </w:rPr>
            </w:pPr>
            <w:r>
              <w:rPr>
                <w:sz w:val="18"/>
              </w:rPr>
              <w:t>68.7</w:t>
            </w:r>
          </w:p>
        </w:tc>
        <w:tc>
          <w:tcPr>
            <w:tcW w:w="723" w:type="pct"/>
          </w:tcPr>
          <w:p w:rsidR="00000000" w:rsidRDefault="004D2F83">
            <w:pPr>
              <w:spacing w:line="320" w:lineRule="exact"/>
              <w:jc w:val="center"/>
              <w:rPr>
                <w:sz w:val="18"/>
              </w:rPr>
            </w:pPr>
            <w:r>
              <w:rPr>
                <w:sz w:val="18"/>
              </w:rPr>
              <w:t>15</w:t>
            </w:r>
            <w:r>
              <w:rPr>
                <w:rFonts w:hint="eastAsia"/>
                <w:sz w:val="18"/>
              </w:rPr>
              <w:t xml:space="preserve"> </w:t>
            </w:r>
            <w:r>
              <w:rPr>
                <w:sz w:val="18"/>
              </w:rPr>
              <w:t>191</w:t>
            </w:r>
            <w:r>
              <w:rPr>
                <w:rFonts w:hint="eastAsia"/>
                <w:sz w:val="18"/>
              </w:rPr>
              <w:t xml:space="preserve"> </w:t>
            </w:r>
            <w:r>
              <w:rPr>
                <w:sz w:val="18"/>
              </w:rPr>
              <w:t>787</w:t>
            </w:r>
          </w:p>
        </w:tc>
        <w:tc>
          <w:tcPr>
            <w:tcW w:w="723" w:type="pct"/>
          </w:tcPr>
          <w:p w:rsidR="00000000" w:rsidRDefault="004D2F83">
            <w:pPr>
              <w:spacing w:line="320" w:lineRule="exact"/>
              <w:jc w:val="center"/>
              <w:rPr>
                <w:sz w:val="18"/>
              </w:rPr>
            </w:pPr>
            <w:r>
              <w:rPr>
                <w:sz w:val="18"/>
              </w:rPr>
              <w:t>11</w:t>
            </w:r>
            <w:r>
              <w:rPr>
                <w:rFonts w:hint="eastAsia"/>
                <w:sz w:val="18"/>
              </w:rPr>
              <w:t xml:space="preserve"> </w:t>
            </w:r>
            <w:r>
              <w:rPr>
                <w:sz w:val="18"/>
              </w:rPr>
              <w:t>764 222</w:t>
            </w:r>
          </w:p>
        </w:tc>
        <w:tc>
          <w:tcPr>
            <w:tcW w:w="722" w:type="pct"/>
          </w:tcPr>
          <w:p w:rsidR="00000000" w:rsidRDefault="004D2F83">
            <w:pPr>
              <w:spacing w:line="320" w:lineRule="exact"/>
              <w:jc w:val="center"/>
              <w:rPr>
                <w:sz w:val="18"/>
              </w:rPr>
            </w:pPr>
            <w:r>
              <w:rPr>
                <w:sz w:val="18"/>
              </w:rPr>
              <w:t>77.4</w:t>
            </w:r>
          </w:p>
        </w:tc>
      </w:tr>
      <w:tr w:rsidR="00000000">
        <w:tblPrEx>
          <w:tblCellMar>
            <w:top w:w="0" w:type="dxa"/>
            <w:bottom w:w="0" w:type="dxa"/>
          </w:tblCellMar>
        </w:tblPrEx>
        <w:tc>
          <w:tcPr>
            <w:tcW w:w="667" w:type="pct"/>
          </w:tcPr>
          <w:p w:rsidR="00000000" w:rsidRDefault="004D2F83">
            <w:pPr>
              <w:spacing w:line="320" w:lineRule="exact"/>
              <w:jc w:val="center"/>
              <w:rPr>
                <w:rFonts w:hint="eastAsia"/>
                <w:sz w:val="18"/>
              </w:rPr>
            </w:pPr>
            <w:r>
              <w:rPr>
                <w:rFonts w:hint="eastAsia"/>
                <w:sz w:val="18"/>
              </w:rPr>
              <w:t>1940</w:t>
            </w:r>
          </w:p>
        </w:tc>
        <w:tc>
          <w:tcPr>
            <w:tcW w:w="722" w:type="pct"/>
          </w:tcPr>
          <w:p w:rsidR="00000000" w:rsidRDefault="004D2F83">
            <w:pPr>
              <w:spacing w:line="320" w:lineRule="exact"/>
              <w:jc w:val="center"/>
              <w:rPr>
                <w:sz w:val="18"/>
              </w:rPr>
            </w:pPr>
            <w:r>
              <w:rPr>
                <w:sz w:val="18"/>
              </w:rPr>
              <w:t>20</w:t>
            </w:r>
            <w:r>
              <w:rPr>
                <w:rFonts w:hint="eastAsia"/>
                <w:sz w:val="18"/>
              </w:rPr>
              <w:t xml:space="preserve"> </w:t>
            </w:r>
            <w:r>
              <w:rPr>
                <w:sz w:val="18"/>
              </w:rPr>
              <w:t>614</w:t>
            </w:r>
            <w:r>
              <w:rPr>
                <w:rFonts w:hint="eastAsia"/>
                <w:sz w:val="18"/>
              </w:rPr>
              <w:t xml:space="preserve"> </w:t>
            </w:r>
            <w:r>
              <w:rPr>
                <w:sz w:val="18"/>
              </w:rPr>
              <w:t>088</w:t>
            </w:r>
          </w:p>
        </w:tc>
        <w:tc>
          <w:tcPr>
            <w:tcW w:w="722" w:type="pct"/>
          </w:tcPr>
          <w:p w:rsidR="00000000" w:rsidRDefault="004D2F83">
            <w:pPr>
              <w:spacing w:line="320" w:lineRule="exact"/>
              <w:jc w:val="center"/>
              <w:rPr>
                <w:sz w:val="18"/>
              </w:rPr>
            </w:pPr>
            <w:r>
              <w:rPr>
                <w:sz w:val="18"/>
              </w:rPr>
              <w:t>12</w:t>
            </w:r>
            <w:r>
              <w:rPr>
                <w:rFonts w:hint="eastAsia"/>
                <w:sz w:val="18"/>
              </w:rPr>
              <w:t xml:space="preserve"> </w:t>
            </w:r>
            <w:r>
              <w:rPr>
                <w:sz w:val="18"/>
              </w:rPr>
              <w:t>890</w:t>
            </w:r>
            <w:r>
              <w:rPr>
                <w:rFonts w:hint="eastAsia"/>
                <w:sz w:val="18"/>
              </w:rPr>
              <w:t xml:space="preserve"> </w:t>
            </w:r>
            <w:r>
              <w:rPr>
                <w:sz w:val="18"/>
              </w:rPr>
              <w:t>56</w:t>
            </w:r>
          </w:p>
        </w:tc>
        <w:tc>
          <w:tcPr>
            <w:tcW w:w="722" w:type="pct"/>
          </w:tcPr>
          <w:p w:rsidR="00000000" w:rsidRDefault="004D2F83">
            <w:pPr>
              <w:spacing w:line="320" w:lineRule="exact"/>
              <w:jc w:val="center"/>
              <w:rPr>
                <w:sz w:val="18"/>
              </w:rPr>
            </w:pPr>
            <w:r>
              <w:rPr>
                <w:sz w:val="18"/>
              </w:rPr>
              <w:t>62.5</w:t>
            </w:r>
          </w:p>
        </w:tc>
        <w:tc>
          <w:tcPr>
            <w:tcW w:w="723" w:type="pct"/>
          </w:tcPr>
          <w:p w:rsidR="00000000" w:rsidRDefault="004D2F83">
            <w:pPr>
              <w:spacing w:line="320" w:lineRule="exact"/>
              <w:jc w:val="center"/>
              <w:rPr>
                <w:sz w:val="18"/>
              </w:rPr>
            </w:pPr>
            <w:r>
              <w:rPr>
                <w:sz w:val="18"/>
              </w:rPr>
              <w:t>20</w:t>
            </w:r>
            <w:r>
              <w:rPr>
                <w:rFonts w:hint="eastAsia"/>
                <w:sz w:val="18"/>
              </w:rPr>
              <w:t xml:space="preserve"> </w:t>
            </w:r>
            <w:r>
              <w:rPr>
                <w:sz w:val="18"/>
              </w:rPr>
              <w:t>062</w:t>
            </w:r>
            <w:r>
              <w:rPr>
                <w:rFonts w:hint="eastAsia"/>
                <w:sz w:val="18"/>
              </w:rPr>
              <w:t xml:space="preserve"> </w:t>
            </w:r>
            <w:r>
              <w:rPr>
                <w:sz w:val="18"/>
              </w:rPr>
              <w:t>227</w:t>
            </w:r>
          </w:p>
        </w:tc>
        <w:tc>
          <w:tcPr>
            <w:tcW w:w="723" w:type="pct"/>
          </w:tcPr>
          <w:p w:rsidR="00000000" w:rsidRDefault="004D2F83">
            <w:pPr>
              <w:spacing w:line="320" w:lineRule="exact"/>
              <w:jc w:val="center"/>
              <w:rPr>
                <w:sz w:val="18"/>
              </w:rPr>
            </w:pPr>
            <w:r>
              <w:rPr>
                <w:sz w:val="18"/>
              </w:rPr>
              <w:t>14</w:t>
            </w:r>
            <w:r>
              <w:rPr>
                <w:rFonts w:hint="eastAsia"/>
                <w:sz w:val="18"/>
              </w:rPr>
              <w:t xml:space="preserve"> </w:t>
            </w:r>
            <w:r>
              <w:rPr>
                <w:sz w:val="18"/>
              </w:rPr>
              <w:t>571</w:t>
            </w:r>
            <w:r>
              <w:rPr>
                <w:rFonts w:hint="eastAsia"/>
                <w:sz w:val="18"/>
              </w:rPr>
              <w:t xml:space="preserve"> </w:t>
            </w:r>
            <w:r>
              <w:rPr>
                <w:sz w:val="18"/>
              </w:rPr>
              <w:t>38</w:t>
            </w:r>
            <w:r>
              <w:rPr>
                <w:sz w:val="18"/>
              </w:rPr>
              <w:t>4</w:t>
            </w:r>
          </w:p>
        </w:tc>
        <w:tc>
          <w:tcPr>
            <w:tcW w:w="722" w:type="pct"/>
          </w:tcPr>
          <w:p w:rsidR="00000000" w:rsidRDefault="004D2F83">
            <w:pPr>
              <w:spacing w:line="320" w:lineRule="exact"/>
              <w:jc w:val="center"/>
              <w:rPr>
                <w:sz w:val="18"/>
              </w:rPr>
            </w:pPr>
            <w:r>
              <w:rPr>
                <w:sz w:val="18"/>
              </w:rPr>
              <w:t>70.6</w:t>
            </w:r>
          </w:p>
        </w:tc>
      </w:tr>
      <w:tr w:rsidR="00000000">
        <w:tblPrEx>
          <w:tblCellMar>
            <w:top w:w="0" w:type="dxa"/>
            <w:bottom w:w="0" w:type="dxa"/>
          </w:tblCellMar>
        </w:tblPrEx>
        <w:tc>
          <w:tcPr>
            <w:tcW w:w="667" w:type="pct"/>
          </w:tcPr>
          <w:p w:rsidR="00000000" w:rsidRDefault="004D2F83">
            <w:pPr>
              <w:spacing w:line="320" w:lineRule="exact"/>
              <w:jc w:val="center"/>
              <w:rPr>
                <w:rFonts w:hint="eastAsia"/>
                <w:sz w:val="18"/>
              </w:rPr>
            </w:pPr>
            <w:r>
              <w:rPr>
                <w:rFonts w:hint="eastAsia"/>
                <w:sz w:val="18"/>
              </w:rPr>
              <w:t>1950</w:t>
            </w:r>
          </w:p>
        </w:tc>
        <w:tc>
          <w:tcPr>
            <w:tcW w:w="722" w:type="pct"/>
          </w:tcPr>
          <w:p w:rsidR="00000000" w:rsidRDefault="004D2F83">
            <w:pPr>
              <w:spacing w:line="320" w:lineRule="exact"/>
              <w:jc w:val="center"/>
              <w:rPr>
                <w:sz w:val="18"/>
              </w:rPr>
            </w:pPr>
            <w:r>
              <w:rPr>
                <w:sz w:val="18"/>
              </w:rPr>
              <w:t>25</w:t>
            </w:r>
            <w:r>
              <w:rPr>
                <w:rFonts w:hint="eastAsia"/>
                <w:sz w:val="18"/>
              </w:rPr>
              <w:t xml:space="preserve"> </w:t>
            </w:r>
            <w:r>
              <w:rPr>
                <w:sz w:val="18"/>
              </w:rPr>
              <w:t>885</w:t>
            </w:r>
            <w:r>
              <w:rPr>
                <w:rFonts w:hint="eastAsia"/>
                <w:sz w:val="18"/>
              </w:rPr>
              <w:t xml:space="preserve"> </w:t>
            </w:r>
            <w:r>
              <w:rPr>
                <w:sz w:val="18"/>
              </w:rPr>
              <w:t>001</w:t>
            </w:r>
          </w:p>
        </w:tc>
        <w:tc>
          <w:tcPr>
            <w:tcW w:w="722" w:type="pct"/>
          </w:tcPr>
          <w:p w:rsidR="00000000" w:rsidRDefault="004D2F83">
            <w:pPr>
              <w:spacing w:line="320" w:lineRule="exact"/>
              <w:jc w:val="center"/>
              <w:rPr>
                <w:sz w:val="18"/>
              </w:rPr>
            </w:pPr>
            <w:r>
              <w:rPr>
                <w:sz w:val="18"/>
              </w:rPr>
              <w:t>15</w:t>
            </w:r>
            <w:r>
              <w:rPr>
                <w:rFonts w:hint="eastAsia"/>
                <w:sz w:val="18"/>
              </w:rPr>
              <w:t xml:space="preserve"> </w:t>
            </w:r>
            <w:r>
              <w:rPr>
                <w:sz w:val="18"/>
              </w:rPr>
              <w:t>881</w:t>
            </w:r>
            <w:r>
              <w:rPr>
                <w:rFonts w:hint="eastAsia"/>
                <w:sz w:val="18"/>
              </w:rPr>
              <w:t xml:space="preserve"> </w:t>
            </w:r>
            <w:r>
              <w:rPr>
                <w:sz w:val="18"/>
              </w:rPr>
              <w:t>449</w:t>
            </w:r>
          </w:p>
        </w:tc>
        <w:tc>
          <w:tcPr>
            <w:tcW w:w="722" w:type="pct"/>
          </w:tcPr>
          <w:p w:rsidR="00000000" w:rsidRDefault="004D2F83">
            <w:pPr>
              <w:spacing w:line="320" w:lineRule="exact"/>
              <w:jc w:val="center"/>
              <w:rPr>
                <w:sz w:val="18"/>
              </w:rPr>
            </w:pPr>
            <w:r>
              <w:rPr>
                <w:sz w:val="18"/>
              </w:rPr>
              <w:t>61.3</w:t>
            </w:r>
          </w:p>
        </w:tc>
        <w:tc>
          <w:tcPr>
            <w:tcW w:w="723" w:type="pct"/>
          </w:tcPr>
          <w:p w:rsidR="00000000" w:rsidRDefault="004D2F83">
            <w:pPr>
              <w:spacing w:line="320" w:lineRule="exact"/>
              <w:jc w:val="center"/>
              <w:rPr>
                <w:sz w:val="18"/>
              </w:rPr>
            </w:pPr>
            <w:r>
              <w:rPr>
                <w:sz w:val="18"/>
              </w:rPr>
              <w:t>26</w:t>
            </w:r>
            <w:r>
              <w:rPr>
                <w:rFonts w:hint="eastAsia"/>
                <w:sz w:val="18"/>
              </w:rPr>
              <w:t xml:space="preserve"> </w:t>
            </w:r>
            <w:r>
              <w:rPr>
                <w:sz w:val="18"/>
              </w:rPr>
              <w:t>059</w:t>
            </w:r>
            <w:r>
              <w:rPr>
                <w:rFonts w:hint="eastAsia"/>
                <w:sz w:val="18"/>
              </w:rPr>
              <w:t xml:space="preserve"> </w:t>
            </w:r>
            <w:r>
              <w:rPr>
                <w:sz w:val="18"/>
              </w:rPr>
              <w:t>396</w:t>
            </w:r>
          </w:p>
        </w:tc>
        <w:tc>
          <w:tcPr>
            <w:tcW w:w="723" w:type="pct"/>
          </w:tcPr>
          <w:p w:rsidR="00000000" w:rsidRDefault="004D2F83">
            <w:pPr>
              <w:spacing w:line="320" w:lineRule="exact"/>
              <w:jc w:val="center"/>
              <w:rPr>
                <w:sz w:val="18"/>
              </w:rPr>
            </w:pPr>
            <w:r>
              <w:rPr>
                <w:sz w:val="18"/>
              </w:rPr>
              <w:t>17</w:t>
            </w:r>
            <w:r>
              <w:rPr>
                <w:rFonts w:hint="eastAsia"/>
                <w:sz w:val="18"/>
              </w:rPr>
              <w:t xml:space="preserve"> </w:t>
            </w:r>
            <w:r>
              <w:rPr>
                <w:sz w:val="18"/>
              </w:rPr>
              <w:t>397</w:t>
            </w:r>
            <w:r>
              <w:rPr>
                <w:rFonts w:hint="eastAsia"/>
                <w:sz w:val="18"/>
              </w:rPr>
              <w:t xml:space="preserve"> </w:t>
            </w:r>
            <w:r>
              <w:rPr>
                <w:sz w:val="18"/>
              </w:rPr>
              <w:t>027</w:t>
            </w:r>
          </w:p>
        </w:tc>
        <w:tc>
          <w:tcPr>
            <w:tcW w:w="722" w:type="pct"/>
          </w:tcPr>
          <w:p w:rsidR="00000000" w:rsidRDefault="004D2F83">
            <w:pPr>
              <w:spacing w:line="320" w:lineRule="exact"/>
              <w:jc w:val="center"/>
              <w:rPr>
                <w:sz w:val="18"/>
              </w:rPr>
            </w:pPr>
            <w:r>
              <w:rPr>
                <w:sz w:val="18"/>
              </w:rPr>
              <w:t>66.7</w:t>
            </w:r>
          </w:p>
        </w:tc>
      </w:tr>
      <w:tr w:rsidR="00000000">
        <w:tblPrEx>
          <w:tblCellMar>
            <w:top w:w="0" w:type="dxa"/>
            <w:bottom w:w="0" w:type="dxa"/>
          </w:tblCellMar>
        </w:tblPrEx>
        <w:tc>
          <w:tcPr>
            <w:tcW w:w="667" w:type="pct"/>
          </w:tcPr>
          <w:p w:rsidR="00000000" w:rsidRDefault="004D2F83">
            <w:pPr>
              <w:spacing w:line="320" w:lineRule="exact"/>
              <w:jc w:val="center"/>
              <w:rPr>
                <w:rFonts w:hint="eastAsia"/>
                <w:sz w:val="18"/>
              </w:rPr>
            </w:pPr>
            <w:r>
              <w:rPr>
                <w:rFonts w:hint="eastAsia"/>
                <w:sz w:val="18"/>
              </w:rPr>
              <w:t>1960</w:t>
            </w:r>
          </w:p>
        </w:tc>
        <w:tc>
          <w:tcPr>
            <w:tcW w:w="722" w:type="pct"/>
          </w:tcPr>
          <w:p w:rsidR="00000000" w:rsidRDefault="004D2F83">
            <w:pPr>
              <w:spacing w:line="320" w:lineRule="exact"/>
              <w:jc w:val="center"/>
              <w:rPr>
                <w:sz w:val="18"/>
              </w:rPr>
            </w:pPr>
            <w:r>
              <w:rPr>
                <w:sz w:val="18"/>
              </w:rPr>
              <w:t>35</w:t>
            </w:r>
            <w:r>
              <w:rPr>
                <w:rFonts w:hint="eastAsia"/>
                <w:sz w:val="18"/>
              </w:rPr>
              <w:t xml:space="preserve"> </w:t>
            </w:r>
            <w:r>
              <w:rPr>
                <w:sz w:val="18"/>
              </w:rPr>
              <w:t>059</w:t>
            </w:r>
            <w:r>
              <w:rPr>
                <w:rFonts w:hint="eastAsia"/>
                <w:sz w:val="18"/>
              </w:rPr>
              <w:t xml:space="preserve"> </w:t>
            </w:r>
            <w:r>
              <w:rPr>
                <w:sz w:val="18"/>
              </w:rPr>
              <w:t>546</w:t>
            </w:r>
          </w:p>
        </w:tc>
        <w:tc>
          <w:tcPr>
            <w:tcW w:w="722" w:type="pct"/>
          </w:tcPr>
          <w:p w:rsidR="00000000" w:rsidRDefault="004D2F83">
            <w:pPr>
              <w:spacing w:line="320" w:lineRule="exact"/>
              <w:jc w:val="center"/>
              <w:rPr>
                <w:sz w:val="18"/>
              </w:rPr>
            </w:pPr>
            <w:r>
              <w:rPr>
                <w:sz w:val="18"/>
              </w:rPr>
              <w:t>18</w:t>
            </w:r>
            <w:r>
              <w:rPr>
                <w:rFonts w:hint="eastAsia"/>
                <w:sz w:val="18"/>
              </w:rPr>
              <w:t xml:space="preserve"> </w:t>
            </w:r>
            <w:r>
              <w:rPr>
                <w:sz w:val="18"/>
              </w:rPr>
              <w:t>666</w:t>
            </w:r>
            <w:r>
              <w:rPr>
                <w:rFonts w:hint="eastAsia"/>
                <w:sz w:val="18"/>
              </w:rPr>
              <w:t xml:space="preserve"> </w:t>
            </w:r>
            <w:r>
              <w:rPr>
                <w:sz w:val="18"/>
              </w:rPr>
              <w:t>352</w:t>
            </w:r>
          </w:p>
        </w:tc>
        <w:tc>
          <w:tcPr>
            <w:tcW w:w="722" w:type="pct"/>
          </w:tcPr>
          <w:p w:rsidR="00000000" w:rsidRDefault="004D2F83">
            <w:pPr>
              <w:spacing w:line="320" w:lineRule="exact"/>
              <w:jc w:val="center"/>
              <w:rPr>
                <w:sz w:val="18"/>
              </w:rPr>
            </w:pPr>
            <w:r>
              <w:rPr>
                <w:sz w:val="18"/>
              </w:rPr>
              <w:t>53.2</w:t>
            </w:r>
          </w:p>
        </w:tc>
        <w:tc>
          <w:tcPr>
            <w:tcW w:w="723" w:type="pct"/>
          </w:tcPr>
          <w:p w:rsidR="00000000" w:rsidRDefault="004D2F83">
            <w:pPr>
              <w:spacing w:line="320" w:lineRule="exact"/>
              <w:jc w:val="center"/>
              <w:rPr>
                <w:sz w:val="18"/>
              </w:rPr>
            </w:pPr>
            <w:r>
              <w:rPr>
                <w:sz w:val="18"/>
              </w:rPr>
              <w:t>35</w:t>
            </w:r>
            <w:r>
              <w:rPr>
                <w:rFonts w:hint="eastAsia"/>
                <w:sz w:val="18"/>
              </w:rPr>
              <w:t xml:space="preserve"> </w:t>
            </w:r>
            <w:r>
              <w:rPr>
                <w:sz w:val="18"/>
              </w:rPr>
              <w:t>131</w:t>
            </w:r>
            <w:r>
              <w:rPr>
                <w:rFonts w:hint="eastAsia"/>
                <w:sz w:val="18"/>
              </w:rPr>
              <w:t xml:space="preserve"> </w:t>
            </w:r>
            <w:r>
              <w:rPr>
                <w:sz w:val="18"/>
              </w:rPr>
              <w:t>824</w:t>
            </w:r>
          </w:p>
        </w:tc>
        <w:tc>
          <w:tcPr>
            <w:tcW w:w="723" w:type="pct"/>
          </w:tcPr>
          <w:p w:rsidR="00000000" w:rsidRDefault="004D2F83">
            <w:pPr>
              <w:spacing w:line="320" w:lineRule="exact"/>
              <w:jc w:val="center"/>
              <w:rPr>
                <w:sz w:val="18"/>
              </w:rPr>
            </w:pPr>
            <w:r>
              <w:rPr>
                <w:sz w:val="18"/>
              </w:rPr>
              <w:t>20</w:t>
            </w:r>
            <w:r>
              <w:rPr>
                <w:rFonts w:hint="eastAsia"/>
                <w:sz w:val="18"/>
              </w:rPr>
              <w:t xml:space="preserve"> </w:t>
            </w:r>
            <w:r>
              <w:rPr>
                <w:sz w:val="18"/>
              </w:rPr>
              <w:t>106</w:t>
            </w:r>
            <w:r>
              <w:rPr>
                <w:rFonts w:hint="eastAsia"/>
                <w:sz w:val="18"/>
              </w:rPr>
              <w:t xml:space="preserve"> </w:t>
            </w:r>
            <w:r>
              <w:rPr>
                <w:sz w:val="18"/>
              </w:rPr>
              <w:t>008</w:t>
            </w:r>
          </w:p>
        </w:tc>
        <w:tc>
          <w:tcPr>
            <w:tcW w:w="722" w:type="pct"/>
          </w:tcPr>
          <w:p w:rsidR="00000000" w:rsidRDefault="004D2F83">
            <w:pPr>
              <w:spacing w:line="320" w:lineRule="exact"/>
              <w:jc w:val="center"/>
              <w:rPr>
                <w:sz w:val="18"/>
              </w:rPr>
            </w:pPr>
            <w:r>
              <w:rPr>
                <w:sz w:val="18"/>
              </w:rPr>
              <w:t>57.2</w:t>
            </w:r>
          </w:p>
        </w:tc>
      </w:tr>
      <w:tr w:rsidR="00000000">
        <w:tblPrEx>
          <w:tblCellMar>
            <w:top w:w="0" w:type="dxa"/>
            <w:bottom w:w="0" w:type="dxa"/>
          </w:tblCellMar>
        </w:tblPrEx>
        <w:tc>
          <w:tcPr>
            <w:tcW w:w="667" w:type="pct"/>
          </w:tcPr>
          <w:p w:rsidR="00000000" w:rsidRDefault="004D2F83">
            <w:pPr>
              <w:spacing w:line="320" w:lineRule="exact"/>
              <w:jc w:val="center"/>
              <w:rPr>
                <w:rFonts w:hint="eastAsia"/>
                <w:sz w:val="18"/>
              </w:rPr>
            </w:pPr>
            <w:r>
              <w:rPr>
                <w:rFonts w:hint="eastAsia"/>
                <w:sz w:val="18"/>
              </w:rPr>
              <w:t>1970</w:t>
            </w:r>
          </w:p>
        </w:tc>
        <w:tc>
          <w:tcPr>
            <w:tcW w:w="722" w:type="pct"/>
          </w:tcPr>
          <w:p w:rsidR="00000000" w:rsidRDefault="004D2F83">
            <w:pPr>
              <w:spacing w:line="320" w:lineRule="exact"/>
              <w:jc w:val="center"/>
              <w:rPr>
                <w:sz w:val="18"/>
              </w:rPr>
            </w:pPr>
            <w:r>
              <w:rPr>
                <w:sz w:val="18"/>
              </w:rPr>
              <w:t>46</w:t>
            </w:r>
            <w:r>
              <w:rPr>
                <w:rFonts w:hint="eastAsia"/>
                <w:sz w:val="18"/>
              </w:rPr>
              <w:t xml:space="preserve"> </w:t>
            </w:r>
            <w:r>
              <w:rPr>
                <w:sz w:val="18"/>
              </w:rPr>
              <w:t>331</w:t>
            </w:r>
            <w:r>
              <w:rPr>
                <w:rFonts w:hint="eastAsia"/>
                <w:sz w:val="18"/>
              </w:rPr>
              <w:t xml:space="preserve"> </w:t>
            </w:r>
            <w:r>
              <w:rPr>
                <w:sz w:val="18"/>
              </w:rPr>
              <w:t>343</w:t>
            </w:r>
          </w:p>
        </w:tc>
        <w:tc>
          <w:tcPr>
            <w:tcW w:w="722" w:type="pct"/>
          </w:tcPr>
          <w:p w:rsidR="00000000" w:rsidRDefault="004D2F83">
            <w:pPr>
              <w:spacing w:line="320" w:lineRule="exact"/>
              <w:jc w:val="center"/>
              <w:rPr>
                <w:sz w:val="18"/>
              </w:rPr>
            </w:pPr>
            <w:r>
              <w:rPr>
                <w:sz w:val="18"/>
              </w:rPr>
              <w:t>21</w:t>
            </w:r>
            <w:r>
              <w:rPr>
                <w:rFonts w:hint="eastAsia"/>
                <w:sz w:val="18"/>
              </w:rPr>
              <w:t xml:space="preserve"> </w:t>
            </w:r>
            <w:r>
              <w:rPr>
                <w:sz w:val="18"/>
              </w:rPr>
              <w:t>562</w:t>
            </w:r>
            <w:r>
              <w:rPr>
                <w:rFonts w:hint="eastAsia"/>
                <w:sz w:val="18"/>
              </w:rPr>
              <w:t xml:space="preserve"> </w:t>
            </w:r>
            <w:r>
              <w:rPr>
                <w:sz w:val="18"/>
              </w:rPr>
              <w:t>078</w:t>
            </w:r>
          </w:p>
        </w:tc>
        <w:tc>
          <w:tcPr>
            <w:tcW w:w="722" w:type="pct"/>
          </w:tcPr>
          <w:p w:rsidR="00000000" w:rsidRDefault="004D2F83">
            <w:pPr>
              <w:spacing w:line="320" w:lineRule="exact"/>
              <w:jc w:val="center"/>
              <w:rPr>
                <w:sz w:val="18"/>
              </w:rPr>
            </w:pPr>
            <w:r>
              <w:rPr>
                <w:sz w:val="18"/>
              </w:rPr>
              <w:t>46.5</w:t>
            </w:r>
          </w:p>
        </w:tc>
        <w:tc>
          <w:tcPr>
            <w:tcW w:w="723" w:type="pct"/>
          </w:tcPr>
          <w:p w:rsidR="00000000" w:rsidRDefault="004D2F83">
            <w:pPr>
              <w:spacing w:line="320" w:lineRule="exact"/>
              <w:jc w:val="center"/>
              <w:rPr>
                <w:sz w:val="18"/>
              </w:rPr>
            </w:pPr>
            <w:r>
              <w:rPr>
                <w:sz w:val="18"/>
              </w:rPr>
              <w:t>46</w:t>
            </w:r>
            <w:r>
              <w:rPr>
                <w:rFonts w:hint="eastAsia"/>
                <w:sz w:val="18"/>
              </w:rPr>
              <w:t xml:space="preserve"> </w:t>
            </w:r>
            <w:r>
              <w:rPr>
                <w:sz w:val="18"/>
              </w:rPr>
              <w:t>807</w:t>
            </w:r>
            <w:r>
              <w:rPr>
                <w:rFonts w:hint="eastAsia"/>
                <w:sz w:val="18"/>
              </w:rPr>
              <w:t xml:space="preserve"> </w:t>
            </w:r>
            <w:r>
              <w:rPr>
                <w:sz w:val="18"/>
              </w:rPr>
              <w:t>794</w:t>
            </w:r>
          </w:p>
        </w:tc>
        <w:tc>
          <w:tcPr>
            <w:tcW w:w="723" w:type="pct"/>
          </w:tcPr>
          <w:p w:rsidR="00000000" w:rsidRDefault="004D2F83">
            <w:pPr>
              <w:spacing w:line="320" w:lineRule="exact"/>
              <w:jc w:val="center"/>
              <w:rPr>
                <w:sz w:val="18"/>
              </w:rPr>
            </w:pPr>
            <w:r>
              <w:rPr>
                <w:sz w:val="18"/>
              </w:rPr>
              <w:t>22</w:t>
            </w:r>
            <w:r>
              <w:rPr>
                <w:rFonts w:hint="eastAsia"/>
                <w:sz w:val="18"/>
              </w:rPr>
              <w:t xml:space="preserve"> </w:t>
            </w:r>
            <w:r>
              <w:rPr>
                <w:sz w:val="18"/>
              </w:rPr>
              <w:t>968</w:t>
            </w:r>
            <w:r>
              <w:rPr>
                <w:rFonts w:hint="eastAsia"/>
                <w:sz w:val="18"/>
              </w:rPr>
              <w:t xml:space="preserve"> </w:t>
            </w:r>
            <w:r>
              <w:rPr>
                <w:sz w:val="18"/>
              </w:rPr>
              <w:t>325</w:t>
            </w:r>
          </w:p>
        </w:tc>
        <w:tc>
          <w:tcPr>
            <w:tcW w:w="722" w:type="pct"/>
          </w:tcPr>
          <w:p w:rsidR="00000000" w:rsidRDefault="004D2F83">
            <w:pPr>
              <w:spacing w:line="320" w:lineRule="exact"/>
              <w:jc w:val="center"/>
              <w:rPr>
                <w:sz w:val="18"/>
              </w:rPr>
            </w:pPr>
            <w:r>
              <w:rPr>
                <w:sz w:val="18"/>
              </w:rPr>
              <w:t>49.1</w:t>
            </w:r>
          </w:p>
        </w:tc>
      </w:tr>
      <w:tr w:rsidR="00000000">
        <w:tblPrEx>
          <w:tblCellMar>
            <w:top w:w="0" w:type="dxa"/>
            <w:bottom w:w="0" w:type="dxa"/>
          </w:tblCellMar>
        </w:tblPrEx>
        <w:tc>
          <w:tcPr>
            <w:tcW w:w="667" w:type="pct"/>
          </w:tcPr>
          <w:p w:rsidR="00000000" w:rsidRDefault="004D2F83">
            <w:pPr>
              <w:spacing w:line="320" w:lineRule="exact"/>
              <w:jc w:val="center"/>
              <w:rPr>
                <w:rFonts w:hint="eastAsia"/>
                <w:sz w:val="18"/>
              </w:rPr>
            </w:pPr>
            <w:r>
              <w:rPr>
                <w:rFonts w:hint="eastAsia"/>
                <w:sz w:val="18"/>
              </w:rPr>
              <w:t>1980</w:t>
            </w:r>
          </w:p>
        </w:tc>
        <w:tc>
          <w:tcPr>
            <w:tcW w:w="722" w:type="pct"/>
          </w:tcPr>
          <w:p w:rsidR="00000000" w:rsidRDefault="004D2F83">
            <w:pPr>
              <w:spacing w:line="320" w:lineRule="exact"/>
              <w:jc w:val="center"/>
              <w:rPr>
                <w:sz w:val="18"/>
              </w:rPr>
            </w:pPr>
            <w:r>
              <w:rPr>
                <w:sz w:val="18"/>
              </w:rPr>
              <w:t>59</w:t>
            </w:r>
            <w:r>
              <w:rPr>
                <w:rFonts w:hint="eastAsia"/>
                <w:sz w:val="18"/>
              </w:rPr>
              <w:t xml:space="preserve"> </w:t>
            </w:r>
            <w:r>
              <w:rPr>
                <w:sz w:val="18"/>
              </w:rPr>
              <w:t>123</w:t>
            </w:r>
            <w:r>
              <w:rPr>
                <w:rFonts w:hint="eastAsia"/>
                <w:sz w:val="18"/>
              </w:rPr>
              <w:t xml:space="preserve"> </w:t>
            </w:r>
            <w:r>
              <w:rPr>
                <w:sz w:val="18"/>
              </w:rPr>
              <w:t>361</w:t>
            </w:r>
          </w:p>
        </w:tc>
        <w:tc>
          <w:tcPr>
            <w:tcW w:w="722" w:type="pct"/>
          </w:tcPr>
          <w:p w:rsidR="00000000" w:rsidRDefault="004D2F83">
            <w:pPr>
              <w:spacing w:line="320" w:lineRule="exact"/>
              <w:jc w:val="center"/>
              <w:rPr>
                <w:sz w:val="18"/>
              </w:rPr>
            </w:pPr>
            <w:r>
              <w:rPr>
                <w:sz w:val="18"/>
              </w:rPr>
              <w:t>24</w:t>
            </w:r>
            <w:r>
              <w:rPr>
                <w:rFonts w:hint="eastAsia"/>
                <w:sz w:val="18"/>
              </w:rPr>
              <w:t xml:space="preserve"> </w:t>
            </w:r>
            <w:r>
              <w:rPr>
                <w:sz w:val="18"/>
              </w:rPr>
              <w:t>209</w:t>
            </w:r>
            <w:r>
              <w:rPr>
                <w:rFonts w:hint="eastAsia"/>
                <w:sz w:val="18"/>
              </w:rPr>
              <w:t xml:space="preserve"> </w:t>
            </w:r>
            <w:r>
              <w:rPr>
                <w:sz w:val="18"/>
              </w:rPr>
              <w:t>755</w:t>
            </w:r>
          </w:p>
        </w:tc>
        <w:tc>
          <w:tcPr>
            <w:tcW w:w="722" w:type="pct"/>
          </w:tcPr>
          <w:p w:rsidR="00000000" w:rsidRDefault="004D2F83">
            <w:pPr>
              <w:spacing w:line="320" w:lineRule="exact"/>
              <w:jc w:val="center"/>
              <w:rPr>
                <w:sz w:val="18"/>
              </w:rPr>
            </w:pPr>
            <w:r>
              <w:rPr>
                <w:sz w:val="18"/>
              </w:rPr>
              <w:t>40.9</w:t>
            </w:r>
          </w:p>
        </w:tc>
        <w:tc>
          <w:tcPr>
            <w:tcW w:w="723" w:type="pct"/>
          </w:tcPr>
          <w:p w:rsidR="00000000" w:rsidRDefault="004D2F83">
            <w:pPr>
              <w:spacing w:line="320" w:lineRule="exact"/>
              <w:jc w:val="center"/>
              <w:rPr>
                <w:sz w:val="18"/>
              </w:rPr>
            </w:pPr>
            <w:r>
              <w:rPr>
                <w:sz w:val="18"/>
              </w:rPr>
              <w:t>59</w:t>
            </w:r>
            <w:r>
              <w:rPr>
                <w:rFonts w:hint="eastAsia"/>
                <w:sz w:val="18"/>
              </w:rPr>
              <w:t xml:space="preserve"> </w:t>
            </w:r>
            <w:r>
              <w:rPr>
                <w:sz w:val="18"/>
              </w:rPr>
              <w:t>879</w:t>
            </w:r>
            <w:r>
              <w:rPr>
                <w:rFonts w:hint="eastAsia"/>
                <w:sz w:val="18"/>
              </w:rPr>
              <w:t xml:space="preserve"> </w:t>
            </w:r>
            <w:r>
              <w:rPr>
                <w:sz w:val="18"/>
              </w:rPr>
              <w:t>345</w:t>
            </w:r>
          </w:p>
        </w:tc>
        <w:tc>
          <w:tcPr>
            <w:tcW w:w="723" w:type="pct"/>
          </w:tcPr>
          <w:p w:rsidR="00000000" w:rsidRDefault="004D2F83">
            <w:pPr>
              <w:spacing w:line="320" w:lineRule="exact"/>
              <w:jc w:val="center"/>
              <w:rPr>
                <w:sz w:val="18"/>
              </w:rPr>
            </w:pPr>
            <w:r>
              <w:rPr>
                <w:sz w:val="18"/>
              </w:rPr>
              <w:t>24</w:t>
            </w:r>
            <w:r>
              <w:rPr>
                <w:rFonts w:hint="eastAsia"/>
                <w:sz w:val="18"/>
              </w:rPr>
              <w:t xml:space="preserve"> </w:t>
            </w:r>
            <w:r>
              <w:rPr>
                <w:sz w:val="18"/>
              </w:rPr>
              <w:t>945</w:t>
            </w:r>
            <w:r>
              <w:rPr>
                <w:rFonts w:hint="eastAsia"/>
                <w:sz w:val="18"/>
              </w:rPr>
              <w:t xml:space="preserve"> </w:t>
            </w:r>
            <w:r>
              <w:rPr>
                <w:sz w:val="18"/>
              </w:rPr>
              <w:t>292</w:t>
            </w:r>
          </w:p>
        </w:tc>
        <w:tc>
          <w:tcPr>
            <w:tcW w:w="722" w:type="pct"/>
          </w:tcPr>
          <w:p w:rsidR="00000000" w:rsidRDefault="004D2F83">
            <w:pPr>
              <w:spacing w:line="320" w:lineRule="exact"/>
              <w:jc w:val="center"/>
              <w:rPr>
                <w:sz w:val="18"/>
              </w:rPr>
            </w:pPr>
            <w:r>
              <w:rPr>
                <w:sz w:val="18"/>
              </w:rPr>
              <w:t>41.6</w:t>
            </w:r>
          </w:p>
        </w:tc>
      </w:tr>
      <w:tr w:rsidR="00000000">
        <w:tblPrEx>
          <w:tblCellMar>
            <w:top w:w="0" w:type="dxa"/>
            <w:bottom w:w="0" w:type="dxa"/>
          </w:tblCellMar>
        </w:tblPrEx>
        <w:tc>
          <w:tcPr>
            <w:tcW w:w="667" w:type="pct"/>
          </w:tcPr>
          <w:p w:rsidR="00000000" w:rsidRDefault="004D2F83">
            <w:pPr>
              <w:spacing w:line="320" w:lineRule="exact"/>
              <w:jc w:val="center"/>
              <w:rPr>
                <w:rFonts w:hint="eastAsia"/>
                <w:sz w:val="18"/>
              </w:rPr>
            </w:pPr>
            <w:r>
              <w:rPr>
                <w:rFonts w:hint="eastAsia"/>
                <w:sz w:val="18"/>
              </w:rPr>
              <w:t xml:space="preserve"> 1985</w:t>
            </w:r>
            <w:r>
              <w:rPr>
                <w:rFonts w:hint="eastAsia"/>
                <w:sz w:val="18"/>
              </w:rPr>
              <w:t>﹡</w:t>
            </w:r>
          </w:p>
        </w:tc>
        <w:tc>
          <w:tcPr>
            <w:tcW w:w="722" w:type="pct"/>
          </w:tcPr>
          <w:p w:rsidR="00000000" w:rsidRDefault="004D2F83">
            <w:pPr>
              <w:spacing w:line="320" w:lineRule="exact"/>
              <w:jc w:val="center"/>
              <w:rPr>
                <w:sz w:val="18"/>
              </w:rPr>
            </w:pPr>
            <w:r>
              <w:rPr>
                <w:sz w:val="18"/>
              </w:rPr>
              <w:t>5</w:t>
            </w:r>
            <w:r>
              <w:rPr>
                <w:sz w:val="18"/>
              </w:rPr>
              <w:t>6</w:t>
            </w:r>
            <w:r>
              <w:rPr>
                <w:rFonts w:hint="eastAsia"/>
                <w:sz w:val="18"/>
              </w:rPr>
              <w:t xml:space="preserve"> </w:t>
            </w:r>
            <w:r>
              <w:rPr>
                <w:sz w:val="18"/>
              </w:rPr>
              <w:t>541</w:t>
            </w:r>
            <w:r>
              <w:rPr>
                <w:rFonts w:hint="eastAsia"/>
                <w:sz w:val="18"/>
              </w:rPr>
              <w:t xml:space="preserve"> </w:t>
            </w:r>
            <w:r>
              <w:rPr>
                <w:sz w:val="18"/>
              </w:rPr>
              <w:t>266</w:t>
            </w:r>
          </w:p>
        </w:tc>
        <w:tc>
          <w:tcPr>
            <w:tcW w:w="722" w:type="pct"/>
          </w:tcPr>
          <w:p w:rsidR="00000000" w:rsidRDefault="004D2F83">
            <w:pPr>
              <w:spacing w:line="320" w:lineRule="exact"/>
              <w:jc w:val="center"/>
              <w:rPr>
                <w:sz w:val="18"/>
              </w:rPr>
            </w:pPr>
            <w:r>
              <w:rPr>
                <w:sz w:val="18"/>
              </w:rPr>
              <w:t>15</w:t>
            </w:r>
            <w:r>
              <w:rPr>
                <w:rFonts w:hint="eastAsia"/>
                <w:sz w:val="18"/>
              </w:rPr>
              <w:t xml:space="preserve"> </w:t>
            </w:r>
            <w:r>
              <w:rPr>
                <w:sz w:val="18"/>
              </w:rPr>
              <w:t>048</w:t>
            </w:r>
            <w:r>
              <w:rPr>
                <w:rFonts w:hint="eastAsia"/>
                <w:sz w:val="18"/>
              </w:rPr>
              <w:t xml:space="preserve"> </w:t>
            </w:r>
            <w:r>
              <w:rPr>
                <w:sz w:val="18"/>
              </w:rPr>
              <w:t>308</w:t>
            </w:r>
          </w:p>
        </w:tc>
        <w:tc>
          <w:tcPr>
            <w:tcW w:w="722" w:type="pct"/>
          </w:tcPr>
          <w:p w:rsidR="00000000" w:rsidRDefault="004D2F83">
            <w:pPr>
              <w:spacing w:line="320" w:lineRule="exact"/>
              <w:jc w:val="center"/>
              <w:rPr>
                <w:sz w:val="18"/>
              </w:rPr>
            </w:pPr>
            <w:r>
              <w:rPr>
                <w:sz w:val="18"/>
              </w:rPr>
              <w:t>26.6</w:t>
            </w:r>
          </w:p>
        </w:tc>
        <w:tc>
          <w:tcPr>
            <w:tcW w:w="723" w:type="pct"/>
          </w:tcPr>
          <w:p w:rsidR="00000000" w:rsidRDefault="004D2F83">
            <w:pPr>
              <w:spacing w:line="320" w:lineRule="exact"/>
              <w:jc w:val="center"/>
              <w:rPr>
                <w:sz w:val="18"/>
              </w:rPr>
            </w:pPr>
            <w:r>
              <w:rPr>
                <w:sz w:val="18"/>
              </w:rPr>
              <w:t>58</w:t>
            </w:r>
            <w:r>
              <w:rPr>
                <w:rFonts w:hint="eastAsia"/>
                <w:sz w:val="18"/>
              </w:rPr>
              <w:t xml:space="preserve"> </w:t>
            </w:r>
            <w:r>
              <w:rPr>
                <w:sz w:val="18"/>
              </w:rPr>
              <w:t>076</w:t>
            </w:r>
            <w:r>
              <w:rPr>
                <w:rFonts w:hint="eastAsia"/>
                <w:sz w:val="18"/>
              </w:rPr>
              <w:t xml:space="preserve"> </w:t>
            </w:r>
            <w:r>
              <w:rPr>
                <w:sz w:val="18"/>
              </w:rPr>
              <w:t>361</w:t>
            </w:r>
          </w:p>
        </w:tc>
        <w:tc>
          <w:tcPr>
            <w:tcW w:w="723" w:type="pct"/>
          </w:tcPr>
          <w:p w:rsidR="00000000" w:rsidRDefault="004D2F83">
            <w:pPr>
              <w:spacing w:line="320" w:lineRule="exact"/>
              <w:jc w:val="center"/>
              <w:rPr>
                <w:sz w:val="18"/>
              </w:rPr>
            </w:pPr>
            <w:r>
              <w:rPr>
                <w:sz w:val="18"/>
              </w:rPr>
              <w:t>15</w:t>
            </w:r>
            <w:r>
              <w:rPr>
                <w:rFonts w:hint="eastAsia"/>
                <w:sz w:val="18"/>
              </w:rPr>
              <w:t xml:space="preserve"> </w:t>
            </w:r>
            <w:r>
              <w:rPr>
                <w:sz w:val="18"/>
              </w:rPr>
              <w:t>426</w:t>
            </w:r>
            <w:r>
              <w:rPr>
                <w:rFonts w:hint="eastAsia"/>
                <w:sz w:val="18"/>
              </w:rPr>
              <w:t xml:space="preserve"> </w:t>
            </w:r>
            <w:r>
              <w:rPr>
                <w:sz w:val="18"/>
              </w:rPr>
              <w:t>630</w:t>
            </w:r>
          </w:p>
        </w:tc>
        <w:tc>
          <w:tcPr>
            <w:tcW w:w="722" w:type="pct"/>
          </w:tcPr>
          <w:p w:rsidR="00000000" w:rsidRDefault="004D2F83">
            <w:pPr>
              <w:spacing w:line="320" w:lineRule="exact"/>
              <w:jc w:val="center"/>
              <w:rPr>
                <w:sz w:val="18"/>
              </w:rPr>
            </w:pPr>
            <w:r>
              <w:rPr>
                <w:sz w:val="18"/>
              </w:rPr>
              <w:t>26.6</w:t>
            </w:r>
          </w:p>
        </w:tc>
      </w:tr>
      <w:tr w:rsidR="00000000">
        <w:tblPrEx>
          <w:tblCellMar>
            <w:top w:w="0" w:type="dxa"/>
            <w:bottom w:w="0" w:type="dxa"/>
          </w:tblCellMar>
        </w:tblPrEx>
        <w:tc>
          <w:tcPr>
            <w:tcW w:w="667" w:type="pct"/>
          </w:tcPr>
          <w:p w:rsidR="00000000" w:rsidRDefault="004D2F83">
            <w:pPr>
              <w:spacing w:line="320" w:lineRule="exact"/>
              <w:jc w:val="center"/>
              <w:rPr>
                <w:rFonts w:hint="eastAsia"/>
                <w:sz w:val="18"/>
              </w:rPr>
            </w:pPr>
            <w:r>
              <w:rPr>
                <w:rFonts w:hint="eastAsia"/>
                <w:sz w:val="18"/>
              </w:rPr>
              <w:t>1991</w:t>
            </w:r>
          </w:p>
        </w:tc>
        <w:tc>
          <w:tcPr>
            <w:tcW w:w="722" w:type="pct"/>
          </w:tcPr>
          <w:p w:rsidR="00000000" w:rsidRDefault="004D2F83">
            <w:pPr>
              <w:spacing w:line="320" w:lineRule="exact"/>
              <w:jc w:val="center"/>
              <w:rPr>
                <w:sz w:val="18"/>
              </w:rPr>
            </w:pPr>
            <w:r>
              <w:rPr>
                <w:sz w:val="18"/>
              </w:rPr>
              <w:t>64</w:t>
            </w:r>
            <w:r>
              <w:rPr>
                <w:rFonts w:hint="eastAsia"/>
                <w:sz w:val="18"/>
              </w:rPr>
              <w:t xml:space="preserve"> </w:t>
            </w:r>
            <w:r>
              <w:rPr>
                <w:sz w:val="18"/>
              </w:rPr>
              <w:t>085</w:t>
            </w:r>
            <w:r>
              <w:rPr>
                <w:rFonts w:hint="eastAsia"/>
                <w:sz w:val="18"/>
              </w:rPr>
              <w:t xml:space="preserve"> </w:t>
            </w:r>
            <w:r>
              <w:rPr>
                <w:sz w:val="18"/>
              </w:rPr>
              <w:t>268</w:t>
            </w:r>
          </w:p>
        </w:tc>
        <w:tc>
          <w:tcPr>
            <w:tcW w:w="722" w:type="pct"/>
          </w:tcPr>
          <w:p w:rsidR="00000000" w:rsidRDefault="004D2F83">
            <w:pPr>
              <w:spacing w:line="320" w:lineRule="exact"/>
              <w:jc w:val="center"/>
              <w:rPr>
                <w:sz w:val="18"/>
              </w:rPr>
            </w:pPr>
            <w:r>
              <w:rPr>
                <w:sz w:val="18"/>
              </w:rPr>
              <w:t>15</w:t>
            </w:r>
            <w:r>
              <w:rPr>
                <w:rFonts w:hint="eastAsia"/>
                <w:sz w:val="18"/>
              </w:rPr>
              <w:t xml:space="preserve"> </w:t>
            </w:r>
            <w:r>
              <w:rPr>
                <w:sz w:val="18"/>
              </w:rPr>
              <w:t>921</w:t>
            </w:r>
            <w:r>
              <w:rPr>
                <w:rFonts w:hint="eastAsia"/>
                <w:sz w:val="18"/>
              </w:rPr>
              <w:t xml:space="preserve"> </w:t>
            </w:r>
            <w:r>
              <w:rPr>
                <w:sz w:val="18"/>
              </w:rPr>
              <w:t>527</w:t>
            </w:r>
          </w:p>
        </w:tc>
        <w:tc>
          <w:tcPr>
            <w:tcW w:w="722" w:type="pct"/>
          </w:tcPr>
          <w:p w:rsidR="00000000" w:rsidRDefault="004D2F83">
            <w:pPr>
              <w:spacing w:line="320" w:lineRule="exact"/>
              <w:jc w:val="center"/>
              <w:rPr>
                <w:sz w:val="18"/>
              </w:rPr>
            </w:pPr>
            <w:r>
              <w:rPr>
                <w:sz w:val="18"/>
              </w:rPr>
              <w:t>25.8</w:t>
            </w:r>
          </w:p>
        </w:tc>
        <w:tc>
          <w:tcPr>
            <w:tcW w:w="723" w:type="pct"/>
          </w:tcPr>
          <w:p w:rsidR="00000000" w:rsidRDefault="004D2F83">
            <w:pPr>
              <w:spacing w:line="320" w:lineRule="exact"/>
              <w:jc w:val="center"/>
              <w:rPr>
                <w:sz w:val="18"/>
              </w:rPr>
            </w:pPr>
            <w:r>
              <w:rPr>
                <w:sz w:val="18"/>
              </w:rPr>
              <w:t>66</w:t>
            </w:r>
            <w:r>
              <w:rPr>
                <w:rFonts w:hint="eastAsia"/>
                <w:sz w:val="18"/>
              </w:rPr>
              <w:t xml:space="preserve"> </w:t>
            </w:r>
            <w:r>
              <w:rPr>
                <w:sz w:val="18"/>
              </w:rPr>
              <w:t>198</w:t>
            </w:r>
            <w:r>
              <w:rPr>
                <w:rFonts w:hint="eastAsia"/>
                <w:sz w:val="18"/>
              </w:rPr>
              <w:t xml:space="preserve"> </w:t>
            </w:r>
            <w:r>
              <w:rPr>
                <w:sz w:val="18"/>
              </w:rPr>
              <w:t>134</w:t>
            </w:r>
          </w:p>
        </w:tc>
        <w:tc>
          <w:tcPr>
            <w:tcW w:w="723" w:type="pct"/>
          </w:tcPr>
          <w:p w:rsidR="00000000" w:rsidRDefault="004D2F83">
            <w:pPr>
              <w:spacing w:line="320" w:lineRule="exact"/>
              <w:jc w:val="center"/>
              <w:rPr>
                <w:sz w:val="18"/>
              </w:rPr>
            </w:pPr>
            <w:r>
              <w:rPr>
                <w:sz w:val="18"/>
              </w:rPr>
              <w:t>15</w:t>
            </w:r>
            <w:r>
              <w:rPr>
                <w:rFonts w:hint="eastAsia"/>
                <w:sz w:val="18"/>
              </w:rPr>
              <w:t xml:space="preserve"> </w:t>
            </w:r>
            <w:r>
              <w:rPr>
                <w:sz w:val="18"/>
              </w:rPr>
              <w:t>658</w:t>
            </w:r>
            <w:r>
              <w:rPr>
                <w:rFonts w:hint="eastAsia"/>
                <w:sz w:val="18"/>
              </w:rPr>
              <w:t xml:space="preserve"> </w:t>
            </w:r>
            <w:r>
              <w:rPr>
                <w:sz w:val="18"/>
              </w:rPr>
              <w:t>961</w:t>
            </w:r>
          </w:p>
        </w:tc>
        <w:tc>
          <w:tcPr>
            <w:tcW w:w="722" w:type="pct"/>
          </w:tcPr>
          <w:p w:rsidR="00000000" w:rsidRDefault="004D2F83">
            <w:pPr>
              <w:spacing w:line="320" w:lineRule="exact"/>
              <w:jc w:val="center"/>
              <w:rPr>
                <w:sz w:val="18"/>
              </w:rPr>
            </w:pPr>
            <w:r>
              <w:rPr>
                <w:sz w:val="18"/>
              </w:rPr>
              <w:t>25.0</w:t>
            </w:r>
          </w:p>
        </w:tc>
      </w:tr>
      <w:tr w:rsidR="00000000">
        <w:tblPrEx>
          <w:tblCellMar>
            <w:top w:w="0" w:type="dxa"/>
            <w:bottom w:w="0" w:type="dxa"/>
          </w:tblCellMar>
        </w:tblPrEx>
        <w:tc>
          <w:tcPr>
            <w:tcW w:w="667" w:type="pct"/>
          </w:tcPr>
          <w:p w:rsidR="00000000" w:rsidRDefault="004D2F83">
            <w:pPr>
              <w:spacing w:line="320" w:lineRule="exact"/>
              <w:jc w:val="center"/>
              <w:rPr>
                <w:rFonts w:hint="eastAsia"/>
                <w:sz w:val="18"/>
              </w:rPr>
            </w:pPr>
            <w:r>
              <w:rPr>
                <w:rFonts w:hint="eastAsia"/>
                <w:sz w:val="18"/>
              </w:rPr>
              <w:t xml:space="preserve"> 1999</w:t>
            </w:r>
            <w:r>
              <w:rPr>
                <w:rFonts w:hint="eastAsia"/>
                <w:sz w:val="18"/>
              </w:rPr>
              <w:t>﹡</w:t>
            </w:r>
          </w:p>
        </w:tc>
        <w:tc>
          <w:tcPr>
            <w:tcW w:w="722" w:type="pct"/>
          </w:tcPr>
          <w:p w:rsidR="00000000" w:rsidRDefault="004D2F83">
            <w:pPr>
              <w:spacing w:line="320" w:lineRule="exact"/>
              <w:jc w:val="center"/>
              <w:rPr>
                <w:sz w:val="18"/>
              </w:rPr>
            </w:pPr>
            <w:r>
              <w:rPr>
                <w:sz w:val="18"/>
              </w:rPr>
              <w:t>70</w:t>
            </w:r>
            <w:r>
              <w:rPr>
                <w:rFonts w:hint="eastAsia"/>
                <w:sz w:val="18"/>
              </w:rPr>
              <w:t xml:space="preserve"> </w:t>
            </w:r>
            <w:r>
              <w:rPr>
                <w:sz w:val="18"/>
              </w:rPr>
              <w:t>885</w:t>
            </w:r>
            <w:r>
              <w:rPr>
                <w:rFonts w:hint="eastAsia"/>
                <w:sz w:val="18"/>
              </w:rPr>
              <w:t xml:space="preserve"> </w:t>
            </w:r>
            <w:r>
              <w:rPr>
                <w:sz w:val="18"/>
              </w:rPr>
              <w:t>513</w:t>
            </w:r>
          </w:p>
        </w:tc>
        <w:tc>
          <w:tcPr>
            <w:tcW w:w="722" w:type="pct"/>
          </w:tcPr>
          <w:p w:rsidR="00000000" w:rsidRDefault="004D2F83">
            <w:pPr>
              <w:spacing w:line="320" w:lineRule="exact"/>
              <w:jc w:val="center"/>
              <w:rPr>
                <w:sz w:val="18"/>
              </w:rPr>
            </w:pPr>
            <w:r>
              <w:rPr>
                <w:sz w:val="18"/>
              </w:rPr>
              <w:t>11</w:t>
            </w:r>
            <w:r>
              <w:rPr>
                <w:rFonts w:hint="eastAsia"/>
                <w:sz w:val="18"/>
              </w:rPr>
              <w:t xml:space="preserve"> </w:t>
            </w:r>
            <w:r>
              <w:rPr>
                <w:sz w:val="18"/>
              </w:rPr>
              <w:t>426</w:t>
            </w:r>
            <w:r>
              <w:rPr>
                <w:rFonts w:hint="eastAsia"/>
                <w:sz w:val="18"/>
              </w:rPr>
              <w:t xml:space="preserve"> </w:t>
            </w:r>
            <w:r>
              <w:rPr>
                <w:sz w:val="18"/>
              </w:rPr>
              <w:t>735</w:t>
            </w:r>
          </w:p>
        </w:tc>
        <w:tc>
          <w:tcPr>
            <w:tcW w:w="722" w:type="pct"/>
          </w:tcPr>
          <w:p w:rsidR="00000000" w:rsidRDefault="004D2F83">
            <w:pPr>
              <w:spacing w:line="320" w:lineRule="exact"/>
              <w:jc w:val="center"/>
              <w:rPr>
                <w:sz w:val="18"/>
              </w:rPr>
            </w:pPr>
            <w:r>
              <w:rPr>
                <w:sz w:val="18"/>
              </w:rPr>
              <w:t>16.1</w:t>
            </w:r>
          </w:p>
        </w:tc>
        <w:tc>
          <w:tcPr>
            <w:tcW w:w="723" w:type="pct"/>
          </w:tcPr>
          <w:p w:rsidR="00000000" w:rsidRDefault="004D2F83">
            <w:pPr>
              <w:spacing w:line="320" w:lineRule="exact"/>
              <w:jc w:val="center"/>
              <w:rPr>
                <w:sz w:val="18"/>
              </w:rPr>
            </w:pPr>
            <w:r>
              <w:rPr>
                <w:sz w:val="18"/>
              </w:rPr>
              <w:t>74</w:t>
            </w:r>
            <w:r>
              <w:rPr>
                <w:rFonts w:hint="eastAsia"/>
                <w:sz w:val="18"/>
              </w:rPr>
              <w:t xml:space="preserve"> </w:t>
            </w:r>
            <w:r>
              <w:rPr>
                <w:sz w:val="18"/>
              </w:rPr>
              <w:t>622</w:t>
            </w:r>
            <w:r>
              <w:rPr>
                <w:rFonts w:hint="eastAsia"/>
                <w:sz w:val="18"/>
              </w:rPr>
              <w:t xml:space="preserve"> </w:t>
            </w:r>
            <w:r>
              <w:rPr>
                <w:sz w:val="18"/>
              </w:rPr>
              <w:t>926</w:t>
            </w:r>
          </w:p>
        </w:tc>
        <w:tc>
          <w:tcPr>
            <w:tcW w:w="723" w:type="pct"/>
          </w:tcPr>
          <w:p w:rsidR="00000000" w:rsidRDefault="004D2F83">
            <w:pPr>
              <w:spacing w:line="320" w:lineRule="exact"/>
              <w:jc w:val="center"/>
              <w:rPr>
                <w:sz w:val="18"/>
              </w:rPr>
            </w:pPr>
            <w:r>
              <w:rPr>
                <w:sz w:val="18"/>
              </w:rPr>
              <w:t>11</w:t>
            </w:r>
            <w:r>
              <w:rPr>
                <w:rFonts w:hint="eastAsia"/>
                <w:sz w:val="18"/>
              </w:rPr>
              <w:t xml:space="preserve"> </w:t>
            </w:r>
            <w:r>
              <w:rPr>
                <w:sz w:val="18"/>
              </w:rPr>
              <w:t>404</w:t>
            </w:r>
            <w:r>
              <w:rPr>
                <w:rFonts w:hint="eastAsia"/>
                <w:sz w:val="18"/>
              </w:rPr>
              <w:t xml:space="preserve"> </w:t>
            </w:r>
            <w:r>
              <w:rPr>
                <w:sz w:val="18"/>
              </w:rPr>
              <w:t>609</w:t>
            </w:r>
          </w:p>
        </w:tc>
        <w:tc>
          <w:tcPr>
            <w:tcW w:w="722" w:type="pct"/>
          </w:tcPr>
          <w:p w:rsidR="00000000" w:rsidRDefault="004D2F83">
            <w:pPr>
              <w:spacing w:line="320" w:lineRule="exact"/>
              <w:jc w:val="center"/>
              <w:rPr>
                <w:sz w:val="18"/>
              </w:rPr>
            </w:pPr>
            <w:r>
              <w:rPr>
                <w:sz w:val="18"/>
              </w:rPr>
              <w:t>15.3</w:t>
            </w:r>
          </w:p>
        </w:tc>
      </w:tr>
    </w:tbl>
    <w:p w:rsidR="00000000" w:rsidRDefault="004D2F83">
      <w:pPr>
        <w:spacing w:line="320" w:lineRule="exact"/>
        <w:rPr>
          <w:rFonts w:hint="eastAsia"/>
          <w:sz w:val="18"/>
        </w:rPr>
      </w:pPr>
      <w:r>
        <w:rPr>
          <w:rFonts w:eastAsia="SimHei" w:hint="eastAsia"/>
          <w:sz w:val="18"/>
        </w:rPr>
        <w:t>资料来源</w:t>
      </w:r>
      <w:r>
        <w:rPr>
          <w:rFonts w:hint="eastAsia"/>
          <w:sz w:val="18"/>
        </w:rPr>
        <w:t>：</w:t>
      </w:r>
      <w:r>
        <w:rPr>
          <w:rFonts w:hint="eastAsia"/>
          <w:sz w:val="18"/>
        </w:rPr>
        <w:t>1872</w:t>
      </w:r>
      <w:r>
        <w:rPr>
          <w:rFonts w:hint="eastAsia"/>
          <w:sz w:val="18"/>
        </w:rPr>
        <w:t>、</w:t>
      </w:r>
      <w:r>
        <w:rPr>
          <w:rFonts w:hint="eastAsia"/>
          <w:sz w:val="18"/>
        </w:rPr>
        <w:t>1890</w:t>
      </w:r>
      <w:r>
        <w:rPr>
          <w:rFonts w:hint="eastAsia"/>
          <w:sz w:val="18"/>
        </w:rPr>
        <w:t>、</w:t>
      </w:r>
      <w:r>
        <w:rPr>
          <w:rFonts w:hint="eastAsia"/>
          <w:sz w:val="18"/>
        </w:rPr>
        <w:t>1920</w:t>
      </w:r>
      <w:r>
        <w:rPr>
          <w:rFonts w:hint="eastAsia"/>
          <w:sz w:val="18"/>
        </w:rPr>
        <w:t>、</w:t>
      </w:r>
      <w:r>
        <w:rPr>
          <w:rFonts w:hint="eastAsia"/>
          <w:sz w:val="18"/>
        </w:rPr>
        <w:t>1940</w:t>
      </w:r>
      <w:r>
        <w:rPr>
          <w:rFonts w:hint="eastAsia"/>
          <w:sz w:val="18"/>
        </w:rPr>
        <w:t>、</w:t>
      </w:r>
      <w:r>
        <w:rPr>
          <w:rFonts w:hint="eastAsia"/>
          <w:sz w:val="18"/>
        </w:rPr>
        <w:t>1950</w:t>
      </w:r>
      <w:r>
        <w:rPr>
          <w:rFonts w:hint="eastAsia"/>
          <w:sz w:val="18"/>
        </w:rPr>
        <w:t>、</w:t>
      </w:r>
      <w:r>
        <w:rPr>
          <w:rFonts w:hint="eastAsia"/>
          <w:sz w:val="18"/>
        </w:rPr>
        <w:t>1960</w:t>
      </w:r>
      <w:r>
        <w:rPr>
          <w:rFonts w:hint="eastAsia"/>
          <w:sz w:val="18"/>
        </w:rPr>
        <w:t>、</w:t>
      </w:r>
      <w:r>
        <w:rPr>
          <w:rFonts w:hint="eastAsia"/>
          <w:sz w:val="18"/>
        </w:rPr>
        <w:t>1980</w:t>
      </w:r>
      <w:r>
        <w:rPr>
          <w:rFonts w:hint="eastAsia"/>
          <w:sz w:val="18"/>
        </w:rPr>
        <w:t>和</w:t>
      </w:r>
      <w:r>
        <w:rPr>
          <w:rFonts w:hint="eastAsia"/>
          <w:sz w:val="18"/>
        </w:rPr>
        <w:t>1991</w:t>
      </w:r>
      <w:r>
        <w:rPr>
          <w:rFonts w:hint="eastAsia"/>
          <w:sz w:val="18"/>
        </w:rPr>
        <w:t>年人口普查；</w:t>
      </w:r>
      <w:r>
        <w:rPr>
          <w:rFonts w:hint="eastAsia"/>
          <w:sz w:val="18"/>
        </w:rPr>
        <w:t>1985</w:t>
      </w:r>
      <w:r>
        <w:rPr>
          <w:rFonts w:hint="eastAsia"/>
          <w:sz w:val="18"/>
        </w:rPr>
        <w:t>和</w:t>
      </w:r>
      <w:r>
        <w:rPr>
          <w:rFonts w:hint="eastAsia"/>
          <w:sz w:val="18"/>
        </w:rPr>
        <w:t>1999</w:t>
      </w:r>
      <w:r>
        <w:rPr>
          <w:rFonts w:hint="eastAsia"/>
          <w:sz w:val="18"/>
        </w:rPr>
        <w:t>年全国住户抽样调查。</w:t>
      </w:r>
    </w:p>
    <w:p w:rsidR="00000000" w:rsidRDefault="004D2F83">
      <w:pPr>
        <w:spacing w:after="240" w:line="360" w:lineRule="exact"/>
        <w:rPr>
          <w:rFonts w:hint="eastAsia"/>
          <w:sz w:val="18"/>
        </w:rPr>
      </w:pPr>
      <w:r>
        <w:rPr>
          <w:rFonts w:hint="eastAsia"/>
          <w:sz w:val="18"/>
        </w:rPr>
        <w:t>﹡不包括北部地区的农</w:t>
      </w:r>
      <w:r>
        <w:rPr>
          <w:rFonts w:hint="eastAsia"/>
          <w:sz w:val="18"/>
        </w:rPr>
        <w:t>村人口。</w:t>
      </w:r>
    </w:p>
    <w:p w:rsidR="00000000" w:rsidRDefault="004D2F83" w:rsidP="004D2F83">
      <w:pPr>
        <w:spacing w:after="240" w:line="340" w:lineRule="exact"/>
        <w:ind w:firstLineChars="200" w:firstLine="31680"/>
        <w:rPr>
          <w:rFonts w:hint="eastAsia"/>
        </w:rPr>
      </w:pPr>
      <w:r>
        <w:rPr>
          <w:rFonts w:hint="eastAsia"/>
        </w:rPr>
        <w:t>性别差异在</w:t>
      </w:r>
      <w:r>
        <w:rPr>
          <w:rFonts w:hint="eastAsia"/>
        </w:rPr>
        <w:t>1940</w:t>
      </w:r>
      <w:r>
        <w:rPr>
          <w:rFonts w:hint="eastAsia"/>
        </w:rPr>
        <w:t>年以前一直居高不下（大约为</w:t>
      </w:r>
      <w:r>
        <w:rPr>
          <w:rFonts w:hint="eastAsia"/>
        </w:rPr>
        <w:t>8%</w:t>
      </w:r>
      <w:r>
        <w:rPr>
          <w:rFonts w:hint="eastAsia"/>
        </w:rPr>
        <w:t>），严重损害了妇女权益；从</w:t>
      </w:r>
      <w:r>
        <w:rPr>
          <w:rFonts w:hint="eastAsia"/>
        </w:rPr>
        <w:t>1940</w:t>
      </w:r>
      <w:r>
        <w:rPr>
          <w:rFonts w:hint="eastAsia"/>
        </w:rPr>
        <w:t>年开始，性别差异不断呈下降趋势，即便是考虑到人口总数中的女性人数从</w:t>
      </w:r>
      <w:r>
        <w:rPr>
          <w:rFonts w:hint="eastAsia"/>
        </w:rPr>
        <w:t>1950</w:t>
      </w:r>
      <w:r>
        <w:rPr>
          <w:rFonts w:hint="eastAsia"/>
        </w:rPr>
        <w:t>年开始便超过了男性人数（很可能是由于生育和产后条件的改善）。</w:t>
      </w:r>
    </w:p>
    <w:p w:rsidR="00000000" w:rsidRDefault="004D2F83" w:rsidP="004D2F83">
      <w:pPr>
        <w:spacing w:after="240" w:line="340" w:lineRule="exact"/>
        <w:ind w:firstLineChars="200" w:firstLine="31680"/>
        <w:rPr>
          <w:rFonts w:hint="eastAsia"/>
        </w:rPr>
      </w:pPr>
      <w:r>
        <w:rPr>
          <w:rFonts w:hint="eastAsia"/>
        </w:rPr>
        <w:t>始于</w:t>
      </w:r>
      <w:r>
        <w:rPr>
          <w:rFonts w:hint="eastAsia"/>
        </w:rPr>
        <w:t>1940</w:t>
      </w:r>
      <w:r>
        <w:rPr>
          <w:rFonts w:hint="eastAsia"/>
        </w:rPr>
        <w:t>年的女性学校教育进程的强化，促使巴西在</w:t>
      </w:r>
      <w:r>
        <w:rPr>
          <w:rFonts w:hint="eastAsia"/>
        </w:rPr>
        <w:t>40</w:t>
      </w:r>
      <w:r>
        <w:rPr>
          <w:rFonts w:hint="eastAsia"/>
        </w:rPr>
        <w:t>年代减少了文盲人数。女性文盲的特点几乎与男性文盲毫无二致——居住在巴西东北部农村地区的低收入阶层、黑人和土著民族的男女在识字问题上面临着最严重的障碍（罗森贝格和皮萨，</w:t>
      </w:r>
      <w:r>
        <w:rPr>
          <w:rFonts w:hint="eastAsia"/>
        </w:rPr>
        <w:t>1995</w:t>
      </w:r>
      <w:r>
        <w:rPr>
          <w:rFonts w:hint="eastAsia"/>
        </w:rPr>
        <w:t>年）。</w:t>
      </w:r>
    </w:p>
    <w:p w:rsidR="00000000" w:rsidRDefault="004D2F83" w:rsidP="004D2F83">
      <w:pPr>
        <w:spacing w:after="240" w:line="340" w:lineRule="exact"/>
        <w:ind w:firstLineChars="200" w:firstLine="31680"/>
        <w:rPr>
          <w:rFonts w:hint="eastAsia"/>
          <w:spacing w:val="-4"/>
        </w:rPr>
      </w:pPr>
      <w:r>
        <w:rPr>
          <w:rFonts w:hint="eastAsia"/>
          <w:spacing w:val="-4"/>
        </w:rPr>
        <w:t>扩大女性接受教育的机会，提高她们的学习成绩，在识</w:t>
      </w:r>
      <w:r>
        <w:rPr>
          <w:rFonts w:hint="eastAsia"/>
          <w:spacing w:val="-4"/>
        </w:rPr>
        <w:t>字率中都有所反映。目前，女性识字率已经超过了男性：在</w:t>
      </w:r>
      <w:r>
        <w:rPr>
          <w:rFonts w:hint="eastAsia"/>
          <w:spacing w:val="-4"/>
        </w:rPr>
        <w:t>5</w:t>
      </w:r>
      <w:r>
        <w:rPr>
          <w:rFonts w:hint="eastAsia"/>
          <w:spacing w:val="-4"/>
        </w:rPr>
        <w:t>岁以上人口中，女性识字率为</w:t>
      </w:r>
      <w:r>
        <w:rPr>
          <w:spacing w:val="-4"/>
        </w:rPr>
        <w:t>84.7</w:t>
      </w:r>
      <w:r>
        <w:rPr>
          <w:rFonts w:hint="eastAsia"/>
          <w:spacing w:val="-4"/>
        </w:rPr>
        <w:t>%</w:t>
      </w:r>
      <w:r>
        <w:rPr>
          <w:rFonts w:hint="eastAsia"/>
          <w:spacing w:val="-4"/>
        </w:rPr>
        <w:t>，男性为</w:t>
      </w:r>
      <w:r>
        <w:rPr>
          <w:spacing w:val="-4"/>
        </w:rPr>
        <w:t>83.9</w:t>
      </w:r>
      <w:r>
        <w:rPr>
          <w:rFonts w:hint="eastAsia"/>
          <w:spacing w:val="-4"/>
        </w:rPr>
        <w:t>%</w:t>
      </w:r>
      <w:r>
        <w:rPr>
          <w:rFonts w:hint="eastAsia"/>
          <w:spacing w:val="-4"/>
        </w:rPr>
        <w:t>（资料来源：</w:t>
      </w:r>
      <w:r>
        <w:rPr>
          <w:rFonts w:hint="eastAsia"/>
          <w:spacing w:val="-4"/>
        </w:rPr>
        <w:t>1999</w:t>
      </w:r>
      <w:r>
        <w:rPr>
          <w:rFonts w:hint="eastAsia"/>
          <w:spacing w:val="-4"/>
        </w:rPr>
        <w:t>年全国住户抽样调查）。</w:t>
      </w:r>
    </w:p>
    <w:p w:rsidR="00000000" w:rsidRDefault="004D2F83" w:rsidP="004D2F83">
      <w:pPr>
        <w:spacing w:after="240" w:line="340" w:lineRule="exact"/>
        <w:ind w:firstLineChars="200" w:firstLine="31680"/>
        <w:rPr>
          <w:rFonts w:hint="eastAsia"/>
        </w:rPr>
      </w:pPr>
      <w:r>
        <w:rPr>
          <w:rFonts w:hint="eastAsia"/>
        </w:rPr>
        <w:t>对于识字率中的性别差异只进行了年龄分析：在识字人数最多的</w:t>
      </w:r>
      <w:r>
        <w:rPr>
          <w:rFonts w:hint="eastAsia"/>
        </w:rPr>
        <w:t>15</w:t>
      </w:r>
      <w:r>
        <w:rPr>
          <w:rFonts w:hint="eastAsia"/>
        </w:rPr>
        <w:t>至</w:t>
      </w:r>
      <w:r>
        <w:rPr>
          <w:rFonts w:hint="eastAsia"/>
        </w:rPr>
        <w:t>19</w:t>
      </w:r>
      <w:r>
        <w:rPr>
          <w:rFonts w:hint="eastAsia"/>
        </w:rPr>
        <w:t>岁年龄组，女性识字率高于男性（分别为</w:t>
      </w:r>
      <w:r>
        <w:t>97.3%</w:t>
      </w:r>
      <w:r>
        <w:rPr>
          <w:rFonts w:hint="eastAsia"/>
        </w:rPr>
        <w:t>和</w:t>
      </w:r>
      <w:r>
        <w:t>94.7%</w:t>
      </w:r>
      <w:r>
        <w:rPr>
          <w:rFonts w:hint="eastAsia"/>
        </w:rPr>
        <w:t>）；在识字人数最少的</w:t>
      </w:r>
      <w:r>
        <w:rPr>
          <w:rFonts w:hint="eastAsia"/>
        </w:rPr>
        <w:t>50</w:t>
      </w:r>
      <w:r>
        <w:rPr>
          <w:rFonts w:hint="eastAsia"/>
        </w:rPr>
        <w:t>岁以上年龄组，男性识字率高于女性——分别为</w:t>
      </w:r>
      <w:r>
        <w:t>73.1%</w:t>
      </w:r>
      <w:r>
        <w:rPr>
          <w:rFonts w:hint="eastAsia"/>
        </w:rPr>
        <w:t>和</w:t>
      </w:r>
      <w:r>
        <w:t>68.0%</w:t>
      </w:r>
      <w:r>
        <w:rPr>
          <w:rFonts w:hint="eastAsia"/>
        </w:rPr>
        <w:t>（资料来源：</w:t>
      </w:r>
      <w:r>
        <w:rPr>
          <w:rFonts w:hint="eastAsia"/>
        </w:rPr>
        <w:t>1999</w:t>
      </w:r>
      <w:r>
        <w:rPr>
          <w:rFonts w:hint="eastAsia"/>
        </w:rPr>
        <w:t>年全国住户抽样调查）。</w:t>
      </w:r>
    </w:p>
    <w:p w:rsidR="00000000" w:rsidRDefault="004D2F83" w:rsidP="004D2F83">
      <w:pPr>
        <w:spacing w:after="240" w:line="340" w:lineRule="exact"/>
        <w:ind w:firstLineChars="200" w:firstLine="31680"/>
        <w:rPr>
          <w:rFonts w:hint="eastAsia"/>
        </w:rPr>
      </w:pPr>
      <w:r>
        <w:rPr>
          <w:rFonts w:hint="eastAsia"/>
        </w:rPr>
        <w:t>青年群体中的女性识字率较高，很可能是由于女性入学机会增多，而且在学校中的成绩也较好。老年人口中的男性识字</w:t>
      </w:r>
      <w:r>
        <w:rPr>
          <w:rFonts w:hint="eastAsia"/>
        </w:rPr>
        <w:t>率最高，可以视之为历史的延续，也同目前专门针对成年及老年女性所制订的扫盲课程的匮乏或不足有关。</w:t>
      </w:r>
      <w:r>
        <w:rPr>
          <w:rStyle w:val="FootnoteReference"/>
        </w:rPr>
        <w:footnoteReference w:customMarkFollows="1" w:id="93"/>
        <w:t>93</w:t>
      </w:r>
    </w:p>
    <w:p w:rsidR="00000000" w:rsidRDefault="004D2F83" w:rsidP="004D2F83">
      <w:pPr>
        <w:spacing w:after="240" w:line="340" w:lineRule="exact"/>
        <w:ind w:firstLineChars="200" w:firstLine="31680"/>
        <w:rPr>
          <w:rFonts w:hint="eastAsia"/>
        </w:rPr>
      </w:pPr>
      <w:r>
        <w:rPr>
          <w:rFonts w:hint="eastAsia"/>
        </w:rPr>
        <w:t>巴西正规教育系统中的学生性别差异并不显著，性别差异对于各个年龄组和学校教育各个阶段的影响各不相同，与具体的入学障碍相比，性别差异在升学过程中的体现更为明显。</w:t>
      </w:r>
    </w:p>
    <w:p w:rsidR="00000000" w:rsidRDefault="004D2F83" w:rsidP="004D2F83">
      <w:pPr>
        <w:spacing w:after="240" w:line="340" w:lineRule="exact"/>
        <w:ind w:firstLineChars="200" w:firstLine="31680"/>
        <w:rPr>
          <w:rFonts w:hint="eastAsia"/>
          <w:spacing w:val="-4"/>
        </w:rPr>
      </w:pPr>
      <w:r>
        <w:rPr>
          <w:rFonts w:hint="eastAsia"/>
          <w:spacing w:val="-4"/>
        </w:rPr>
        <w:t>在</w:t>
      </w:r>
      <w:r>
        <w:rPr>
          <w:rFonts w:hint="eastAsia"/>
          <w:spacing w:val="-4"/>
        </w:rPr>
        <w:t>5</w:t>
      </w:r>
      <w:r>
        <w:rPr>
          <w:rFonts w:hint="eastAsia"/>
          <w:spacing w:val="-4"/>
        </w:rPr>
        <w:t>岁以上人口中，女性占</w:t>
      </w:r>
      <w:r>
        <w:rPr>
          <w:spacing w:val="-4"/>
        </w:rPr>
        <w:t>51.3%</w:t>
      </w:r>
      <w:r>
        <w:rPr>
          <w:rFonts w:hint="eastAsia"/>
          <w:spacing w:val="-4"/>
        </w:rPr>
        <w:t>；在这一年龄组的学生中，女生占</w:t>
      </w:r>
      <w:r>
        <w:rPr>
          <w:spacing w:val="-4"/>
        </w:rPr>
        <w:t>50.5%</w:t>
      </w:r>
      <w:r>
        <w:rPr>
          <w:rFonts w:hint="eastAsia"/>
          <w:spacing w:val="-4"/>
        </w:rPr>
        <w:t>（</w:t>
      </w:r>
      <w:r>
        <w:rPr>
          <w:rFonts w:hint="eastAsia"/>
          <w:spacing w:val="-4"/>
        </w:rPr>
        <w:t>1999</w:t>
      </w:r>
      <w:r>
        <w:rPr>
          <w:rFonts w:hint="eastAsia"/>
          <w:spacing w:val="-4"/>
        </w:rPr>
        <w:t>年全国住户抽样调查）。由此可见，男性入学比例略高于女性（</w:t>
      </w:r>
      <w:r>
        <w:rPr>
          <w:rFonts w:hint="eastAsia"/>
          <w:spacing w:val="-4"/>
        </w:rPr>
        <w:t>5</w:t>
      </w:r>
      <w:r>
        <w:rPr>
          <w:rFonts w:hint="eastAsia"/>
          <w:spacing w:val="-4"/>
        </w:rPr>
        <w:t>岁以上年龄组的男女入学率分别为</w:t>
      </w:r>
      <w:r>
        <w:rPr>
          <w:spacing w:val="-4"/>
        </w:rPr>
        <w:t>35.6</w:t>
      </w:r>
      <w:r>
        <w:rPr>
          <w:rFonts w:hint="eastAsia"/>
          <w:spacing w:val="-4"/>
        </w:rPr>
        <w:t>%</w:t>
      </w:r>
      <w:r>
        <w:rPr>
          <w:rFonts w:hint="eastAsia"/>
          <w:spacing w:val="-4"/>
        </w:rPr>
        <w:t>和</w:t>
      </w:r>
      <w:r>
        <w:rPr>
          <w:spacing w:val="-4"/>
        </w:rPr>
        <w:t>32.5</w:t>
      </w:r>
      <w:r>
        <w:rPr>
          <w:rFonts w:hint="eastAsia"/>
          <w:spacing w:val="-4"/>
        </w:rPr>
        <w:t>%</w:t>
      </w:r>
      <w:r>
        <w:rPr>
          <w:rFonts w:hint="eastAsia"/>
          <w:spacing w:val="-4"/>
        </w:rPr>
        <w:t>）。这表明在</w:t>
      </w:r>
      <w:r>
        <w:rPr>
          <w:rFonts w:hint="eastAsia"/>
          <w:spacing w:val="-4"/>
        </w:rPr>
        <w:t>5</w:t>
      </w:r>
      <w:r>
        <w:rPr>
          <w:rFonts w:hint="eastAsia"/>
          <w:spacing w:val="-4"/>
        </w:rPr>
        <w:t>岁以上年龄组中，男生的辍学率（以百分比计算）较</w:t>
      </w:r>
      <w:r>
        <w:rPr>
          <w:rFonts w:hint="eastAsia"/>
          <w:spacing w:val="-4"/>
        </w:rPr>
        <w:t>低。另一方面，女性的平均受教育年限在</w:t>
      </w:r>
      <w:r>
        <w:rPr>
          <w:rFonts w:hint="eastAsia"/>
          <w:spacing w:val="-4"/>
        </w:rPr>
        <w:t>1996</w:t>
      </w:r>
      <w:r>
        <w:rPr>
          <w:rFonts w:hint="eastAsia"/>
          <w:spacing w:val="-4"/>
        </w:rPr>
        <w:t>年超过了男性，说明在过去</w:t>
      </w:r>
      <w:r>
        <w:rPr>
          <w:rFonts w:hint="eastAsia"/>
          <w:spacing w:val="-4"/>
        </w:rPr>
        <w:t>10</w:t>
      </w:r>
      <w:r>
        <w:rPr>
          <w:rFonts w:hint="eastAsia"/>
          <w:spacing w:val="-4"/>
        </w:rPr>
        <w:t>年里，巴西男女公民的受教育程度虽然仍很低，但还是取得了令人瞩目的成绩（表</w:t>
      </w:r>
      <w:r>
        <w:rPr>
          <w:rFonts w:hint="eastAsia"/>
          <w:spacing w:val="-4"/>
        </w:rPr>
        <w:t>28</w:t>
      </w:r>
      <w:r>
        <w:rPr>
          <w:rFonts w:hint="eastAsia"/>
          <w:spacing w:val="-4"/>
        </w:rPr>
        <w:t>）。</w:t>
      </w:r>
    </w:p>
    <w:p w:rsidR="00000000" w:rsidRDefault="004D2F83">
      <w:pPr>
        <w:spacing w:line="360" w:lineRule="exact"/>
        <w:jc w:val="center"/>
        <w:rPr>
          <w:rFonts w:ascii="SimHei" w:eastAsia="SimHei" w:hint="eastAsia"/>
        </w:rPr>
      </w:pPr>
      <w:r>
        <w:rPr>
          <w:rFonts w:ascii="SimHei" w:eastAsia="SimHei" w:hint="eastAsia"/>
        </w:rPr>
        <w:t>表</w:t>
      </w:r>
      <w:r>
        <w:rPr>
          <w:rFonts w:ascii="SimHei" w:eastAsia="SimHei" w:hint="eastAsia"/>
        </w:rPr>
        <w:t>28</w:t>
      </w:r>
      <w:r>
        <w:rPr>
          <w:rFonts w:ascii="SimHei" w:eastAsia="SimHei" w:hint="eastAsia"/>
        </w:rPr>
        <w:t>．</w:t>
      </w:r>
      <w:r>
        <w:rPr>
          <w:rFonts w:ascii="SimHei" w:eastAsia="SimHei" w:hint="eastAsia"/>
        </w:rPr>
        <w:t>5</w:t>
      </w:r>
      <w:r>
        <w:rPr>
          <w:rFonts w:ascii="SimHei" w:eastAsia="SimHei" w:hint="eastAsia"/>
        </w:rPr>
        <w:t>岁以上年龄组男女学生历年平均受教育年限</w:t>
      </w:r>
    </w:p>
    <w:p w:rsidR="00000000" w:rsidRDefault="004D2F83">
      <w:pPr>
        <w:spacing w:after="120" w:line="360" w:lineRule="exact"/>
        <w:jc w:val="center"/>
        <w:rPr>
          <w:rFonts w:ascii="SimHei" w:eastAsia="SimHei" w:hint="eastAsia"/>
        </w:rPr>
      </w:pPr>
      <w:r>
        <w:rPr>
          <w:rFonts w:ascii="SimHei" w:eastAsia="SimHei" w:hint="eastAsia"/>
        </w:rPr>
        <w:t>巴西</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0"/>
        <w:gridCol w:w="1660"/>
        <w:gridCol w:w="1660"/>
        <w:gridCol w:w="1660"/>
        <w:gridCol w:w="1662"/>
        <w:gridCol w:w="1664"/>
      </w:tblGrid>
      <w:tr w:rsidR="00000000">
        <w:tblPrEx>
          <w:tblCellMar>
            <w:top w:w="0" w:type="dxa"/>
            <w:bottom w:w="0" w:type="dxa"/>
          </w:tblCellMar>
        </w:tblPrEx>
        <w:trPr>
          <w:cantSplit/>
        </w:trPr>
        <w:tc>
          <w:tcPr>
            <w:tcW w:w="787" w:type="pct"/>
            <w:tcBorders>
              <w:top w:val="nil"/>
              <w:left w:val="nil"/>
              <w:bottom w:val="single" w:sz="4" w:space="0" w:color="auto"/>
              <w:right w:val="single" w:sz="4" w:space="0" w:color="auto"/>
            </w:tcBorders>
          </w:tcPr>
          <w:p w:rsidR="00000000" w:rsidRDefault="004D2F83">
            <w:pPr>
              <w:spacing w:line="320" w:lineRule="exact"/>
              <w:jc w:val="center"/>
              <w:rPr>
                <w:rFonts w:ascii="SimHei" w:eastAsia="SimHei"/>
                <w:sz w:val="18"/>
              </w:rPr>
            </w:pPr>
          </w:p>
        </w:tc>
        <w:tc>
          <w:tcPr>
            <w:tcW w:w="4213" w:type="pct"/>
            <w:gridSpan w:val="5"/>
            <w:tcBorders>
              <w:left w:val="single" w:sz="4" w:space="0" w:color="auto"/>
            </w:tcBorders>
          </w:tcPr>
          <w:p w:rsidR="00000000" w:rsidRDefault="004D2F83">
            <w:pPr>
              <w:spacing w:line="320" w:lineRule="exact"/>
              <w:jc w:val="center"/>
              <w:rPr>
                <w:rFonts w:ascii="SimHei" w:eastAsia="SimHei" w:hint="eastAsia"/>
                <w:sz w:val="18"/>
              </w:rPr>
            </w:pPr>
            <w:r>
              <w:rPr>
                <w:rFonts w:ascii="SimHei" w:eastAsia="SimHei" w:hint="eastAsia"/>
                <w:sz w:val="18"/>
              </w:rPr>
              <w:t>年份</w:t>
            </w:r>
          </w:p>
        </w:tc>
      </w:tr>
      <w:tr w:rsidR="00000000">
        <w:tblPrEx>
          <w:tblCellMar>
            <w:top w:w="0" w:type="dxa"/>
            <w:bottom w:w="0" w:type="dxa"/>
          </w:tblCellMar>
        </w:tblPrEx>
        <w:tc>
          <w:tcPr>
            <w:tcW w:w="787" w:type="pct"/>
            <w:tcBorders>
              <w:top w:val="single" w:sz="4" w:space="0" w:color="auto"/>
            </w:tcBorders>
          </w:tcPr>
          <w:p w:rsidR="00000000" w:rsidRDefault="004D2F83">
            <w:pPr>
              <w:spacing w:line="320" w:lineRule="exact"/>
              <w:jc w:val="center"/>
              <w:rPr>
                <w:rFonts w:ascii="SimHei" w:eastAsia="SimHei" w:hint="eastAsia"/>
                <w:sz w:val="18"/>
              </w:rPr>
            </w:pPr>
            <w:r>
              <w:rPr>
                <w:rFonts w:ascii="SimHei" w:eastAsia="SimHei" w:hint="eastAsia"/>
                <w:sz w:val="18"/>
              </w:rPr>
              <w:t>性别</w:t>
            </w:r>
          </w:p>
        </w:tc>
        <w:tc>
          <w:tcPr>
            <w:tcW w:w="842" w:type="pct"/>
          </w:tcPr>
          <w:p w:rsidR="00000000" w:rsidRDefault="004D2F83">
            <w:pPr>
              <w:spacing w:line="320" w:lineRule="exact"/>
              <w:jc w:val="center"/>
              <w:rPr>
                <w:rFonts w:eastAsia="SimHei" w:hint="eastAsia"/>
                <w:b/>
                <w:bCs/>
                <w:sz w:val="18"/>
              </w:rPr>
            </w:pPr>
            <w:r>
              <w:rPr>
                <w:rFonts w:eastAsia="SimHei" w:hint="eastAsia"/>
                <w:b/>
                <w:bCs/>
                <w:sz w:val="18"/>
              </w:rPr>
              <w:t>1960</w:t>
            </w:r>
          </w:p>
        </w:tc>
        <w:tc>
          <w:tcPr>
            <w:tcW w:w="842" w:type="pct"/>
          </w:tcPr>
          <w:p w:rsidR="00000000" w:rsidRDefault="004D2F83">
            <w:pPr>
              <w:spacing w:line="320" w:lineRule="exact"/>
              <w:jc w:val="center"/>
              <w:rPr>
                <w:rFonts w:eastAsia="SimHei" w:hint="eastAsia"/>
                <w:b/>
                <w:bCs/>
                <w:sz w:val="18"/>
              </w:rPr>
            </w:pPr>
            <w:r>
              <w:rPr>
                <w:rFonts w:eastAsia="SimHei" w:hint="eastAsia"/>
                <w:b/>
                <w:bCs/>
                <w:sz w:val="18"/>
              </w:rPr>
              <w:t>1970</w:t>
            </w:r>
          </w:p>
        </w:tc>
        <w:tc>
          <w:tcPr>
            <w:tcW w:w="842" w:type="pct"/>
          </w:tcPr>
          <w:p w:rsidR="00000000" w:rsidRDefault="004D2F83">
            <w:pPr>
              <w:spacing w:line="320" w:lineRule="exact"/>
              <w:jc w:val="center"/>
              <w:rPr>
                <w:rFonts w:eastAsia="SimHei" w:hint="eastAsia"/>
                <w:b/>
                <w:bCs/>
                <w:sz w:val="18"/>
              </w:rPr>
            </w:pPr>
            <w:r>
              <w:rPr>
                <w:rFonts w:eastAsia="SimHei" w:hint="eastAsia"/>
                <w:b/>
                <w:bCs/>
                <w:sz w:val="18"/>
              </w:rPr>
              <w:t>1980</w:t>
            </w:r>
          </w:p>
        </w:tc>
        <w:tc>
          <w:tcPr>
            <w:tcW w:w="843" w:type="pct"/>
          </w:tcPr>
          <w:p w:rsidR="00000000" w:rsidRDefault="004D2F83">
            <w:pPr>
              <w:spacing w:line="320" w:lineRule="exact"/>
              <w:jc w:val="center"/>
              <w:rPr>
                <w:rFonts w:eastAsia="SimHei" w:hint="eastAsia"/>
                <w:b/>
                <w:bCs/>
                <w:sz w:val="18"/>
              </w:rPr>
            </w:pPr>
            <w:r>
              <w:rPr>
                <w:rFonts w:eastAsia="SimHei" w:hint="eastAsia"/>
                <w:b/>
                <w:bCs/>
                <w:sz w:val="18"/>
              </w:rPr>
              <w:t>1990</w:t>
            </w:r>
          </w:p>
        </w:tc>
        <w:tc>
          <w:tcPr>
            <w:tcW w:w="843" w:type="pct"/>
          </w:tcPr>
          <w:p w:rsidR="00000000" w:rsidRDefault="004D2F83">
            <w:pPr>
              <w:spacing w:line="320" w:lineRule="exact"/>
              <w:jc w:val="center"/>
              <w:rPr>
                <w:rFonts w:eastAsia="SimHei" w:hint="eastAsia"/>
                <w:b/>
                <w:bCs/>
                <w:sz w:val="18"/>
              </w:rPr>
            </w:pPr>
            <w:r>
              <w:rPr>
                <w:rFonts w:eastAsia="SimHei" w:hint="eastAsia"/>
                <w:b/>
                <w:bCs/>
                <w:sz w:val="18"/>
              </w:rPr>
              <w:t>1996</w:t>
            </w:r>
          </w:p>
        </w:tc>
      </w:tr>
      <w:tr w:rsidR="00000000">
        <w:tblPrEx>
          <w:tblCellMar>
            <w:top w:w="0" w:type="dxa"/>
            <w:bottom w:w="0" w:type="dxa"/>
          </w:tblCellMar>
        </w:tblPrEx>
        <w:tc>
          <w:tcPr>
            <w:tcW w:w="787" w:type="pct"/>
          </w:tcPr>
          <w:p w:rsidR="00000000" w:rsidRDefault="004D2F83">
            <w:pPr>
              <w:spacing w:line="320" w:lineRule="exact"/>
              <w:jc w:val="center"/>
              <w:rPr>
                <w:rFonts w:hint="eastAsia"/>
                <w:sz w:val="18"/>
              </w:rPr>
            </w:pPr>
            <w:r>
              <w:rPr>
                <w:rFonts w:hint="eastAsia"/>
                <w:sz w:val="18"/>
              </w:rPr>
              <w:t>男</w:t>
            </w:r>
          </w:p>
        </w:tc>
        <w:tc>
          <w:tcPr>
            <w:tcW w:w="842" w:type="pct"/>
          </w:tcPr>
          <w:p w:rsidR="00000000" w:rsidRDefault="004D2F83">
            <w:pPr>
              <w:spacing w:line="320" w:lineRule="exact"/>
              <w:jc w:val="center"/>
              <w:rPr>
                <w:sz w:val="18"/>
              </w:rPr>
            </w:pPr>
            <w:r>
              <w:rPr>
                <w:sz w:val="18"/>
              </w:rPr>
              <w:t>2.4</w:t>
            </w:r>
          </w:p>
        </w:tc>
        <w:tc>
          <w:tcPr>
            <w:tcW w:w="842" w:type="pct"/>
          </w:tcPr>
          <w:p w:rsidR="00000000" w:rsidRDefault="004D2F83">
            <w:pPr>
              <w:spacing w:line="320" w:lineRule="exact"/>
              <w:jc w:val="center"/>
              <w:rPr>
                <w:sz w:val="18"/>
              </w:rPr>
            </w:pPr>
            <w:r>
              <w:rPr>
                <w:sz w:val="18"/>
              </w:rPr>
              <w:t>2.5</w:t>
            </w:r>
          </w:p>
        </w:tc>
        <w:tc>
          <w:tcPr>
            <w:tcW w:w="842" w:type="pct"/>
          </w:tcPr>
          <w:p w:rsidR="00000000" w:rsidRDefault="004D2F83">
            <w:pPr>
              <w:spacing w:line="320" w:lineRule="exact"/>
              <w:jc w:val="center"/>
              <w:rPr>
                <w:sz w:val="18"/>
              </w:rPr>
            </w:pPr>
            <w:r>
              <w:rPr>
                <w:sz w:val="18"/>
              </w:rPr>
              <w:t>3.3</w:t>
            </w:r>
          </w:p>
        </w:tc>
        <w:tc>
          <w:tcPr>
            <w:tcW w:w="843" w:type="pct"/>
          </w:tcPr>
          <w:p w:rsidR="00000000" w:rsidRDefault="004D2F83">
            <w:pPr>
              <w:spacing w:line="320" w:lineRule="exact"/>
              <w:jc w:val="center"/>
              <w:rPr>
                <w:sz w:val="18"/>
              </w:rPr>
            </w:pPr>
            <w:r>
              <w:rPr>
                <w:sz w:val="18"/>
              </w:rPr>
              <w:t>5.1</w:t>
            </w:r>
          </w:p>
        </w:tc>
        <w:tc>
          <w:tcPr>
            <w:tcW w:w="843" w:type="pct"/>
          </w:tcPr>
          <w:p w:rsidR="00000000" w:rsidRDefault="004D2F83">
            <w:pPr>
              <w:spacing w:line="320" w:lineRule="exact"/>
              <w:jc w:val="center"/>
              <w:rPr>
                <w:sz w:val="18"/>
              </w:rPr>
            </w:pPr>
            <w:r>
              <w:rPr>
                <w:sz w:val="18"/>
              </w:rPr>
              <w:t>5.7</w:t>
            </w:r>
          </w:p>
        </w:tc>
      </w:tr>
      <w:tr w:rsidR="00000000">
        <w:tblPrEx>
          <w:tblCellMar>
            <w:top w:w="0" w:type="dxa"/>
            <w:bottom w:w="0" w:type="dxa"/>
          </w:tblCellMar>
        </w:tblPrEx>
        <w:tc>
          <w:tcPr>
            <w:tcW w:w="787" w:type="pct"/>
          </w:tcPr>
          <w:p w:rsidR="00000000" w:rsidRDefault="004D2F83">
            <w:pPr>
              <w:spacing w:line="320" w:lineRule="exact"/>
              <w:jc w:val="center"/>
              <w:rPr>
                <w:rFonts w:hint="eastAsia"/>
                <w:sz w:val="18"/>
              </w:rPr>
            </w:pPr>
            <w:r>
              <w:rPr>
                <w:rFonts w:hint="eastAsia"/>
                <w:sz w:val="18"/>
              </w:rPr>
              <w:t>女</w:t>
            </w:r>
          </w:p>
        </w:tc>
        <w:tc>
          <w:tcPr>
            <w:tcW w:w="842" w:type="pct"/>
          </w:tcPr>
          <w:p w:rsidR="00000000" w:rsidRDefault="004D2F83">
            <w:pPr>
              <w:spacing w:line="320" w:lineRule="exact"/>
              <w:jc w:val="center"/>
              <w:rPr>
                <w:sz w:val="18"/>
              </w:rPr>
            </w:pPr>
            <w:r>
              <w:rPr>
                <w:sz w:val="18"/>
              </w:rPr>
              <w:t>1.9</w:t>
            </w:r>
          </w:p>
        </w:tc>
        <w:tc>
          <w:tcPr>
            <w:tcW w:w="842" w:type="pct"/>
          </w:tcPr>
          <w:p w:rsidR="00000000" w:rsidRDefault="004D2F83">
            <w:pPr>
              <w:spacing w:line="320" w:lineRule="exact"/>
              <w:jc w:val="center"/>
              <w:rPr>
                <w:sz w:val="18"/>
              </w:rPr>
            </w:pPr>
            <w:r>
              <w:rPr>
                <w:sz w:val="18"/>
              </w:rPr>
              <w:t>2.4</w:t>
            </w:r>
          </w:p>
        </w:tc>
        <w:tc>
          <w:tcPr>
            <w:tcW w:w="842" w:type="pct"/>
          </w:tcPr>
          <w:p w:rsidR="00000000" w:rsidRDefault="004D2F83">
            <w:pPr>
              <w:spacing w:line="320" w:lineRule="exact"/>
              <w:jc w:val="center"/>
              <w:rPr>
                <w:sz w:val="18"/>
              </w:rPr>
            </w:pPr>
            <w:r>
              <w:rPr>
                <w:sz w:val="18"/>
              </w:rPr>
              <w:t>3.2</w:t>
            </w:r>
          </w:p>
        </w:tc>
        <w:tc>
          <w:tcPr>
            <w:tcW w:w="843" w:type="pct"/>
          </w:tcPr>
          <w:p w:rsidR="00000000" w:rsidRDefault="004D2F83">
            <w:pPr>
              <w:spacing w:line="320" w:lineRule="exact"/>
              <w:jc w:val="center"/>
              <w:rPr>
                <w:sz w:val="18"/>
              </w:rPr>
            </w:pPr>
            <w:r>
              <w:rPr>
                <w:sz w:val="18"/>
              </w:rPr>
              <w:t>4.9</w:t>
            </w:r>
          </w:p>
        </w:tc>
        <w:tc>
          <w:tcPr>
            <w:tcW w:w="843" w:type="pct"/>
          </w:tcPr>
          <w:p w:rsidR="00000000" w:rsidRDefault="004D2F83">
            <w:pPr>
              <w:spacing w:line="320" w:lineRule="exact"/>
              <w:jc w:val="center"/>
              <w:rPr>
                <w:sz w:val="18"/>
              </w:rPr>
            </w:pPr>
            <w:r>
              <w:rPr>
                <w:sz w:val="18"/>
              </w:rPr>
              <w:t>6.0</w:t>
            </w:r>
          </w:p>
        </w:tc>
      </w:tr>
      <w:tr w:rsidR="00000000">
        <w:tblPrEx>
          <w:tblCellMar>
            <w:top w:w="0" w:type="dxa"/>
            <w:bottom w:w="0" w:type="dxa"/>
          </w:tblCellMar>
        </w:tblPrEx>
        <w:tc>
          <w:tcPr>
            <w:tcW w:w="787" w:type="pct"/>
          </w:tcPr>
          <w:p w:rsidR="00000000" w:rsidRDefault="004D2F83">
            <w:pPr>
              <w:spacing w:line="320" w:lineRule="exact"/>
              <w:jc w:val="center"/>
              <w:rPr>
                <w:rFonts w:hint="eastAsia"/>
                <w:sz w:val="18"/>
              </w:rPr>
            </w:pPr>
            <w:r>
              <w:rPr>
                <w:rFonts w:hint="eastAsia"/>
                <w:sz w:val="18"/>
              </w:rPr>
              <w:t>总数</w:t>
            </w:r>
          </w:p>
        </w:tc>
        <w:tc>
          <w:tcPr>
            <w:tcW w:w="842" w:type="pct"/>
          </w:tcPr>
          <w:p w:rsidR="00000000" w:rsidRDefault="004D2F83">
            <w:pPr>
              <w:spacing w:line="320" w:lineRule="exact"/>
              <w:jc w:val="center"/>
              <w:rPr>
                <w:sz w:val="18"/>
              </w:rPr>
            </w:pPr>
          </w:p>
        </w:tc>
        <w:tc>
          <w:tcPr>
            <w:tcW w:w="842" w:type="pct"/>
          </w:tcPr>
          <w:p w:rsidR="00000000" w:rsidRDefault="004D2F83">
            <w:pPr>
              <w:spacing w:line="320" w:lineRule="exact"/>
              <w:jc w:val="center"/>
              <w:rPr>
                <w:sz w:val="18"/>
              </w:rPr>
            </w:pPr>
            <w:r>
              <w:rPr>
                <w:sz w:val="18"/>
              </w:rPr>
              <w:t>2.4</w:t>
            </w:r>
          </w:p>
        </w:tc>
        <w:tc>
          <w:tcPr>
            <w:tcW w:w="842" w:type="pct"/>
          </w:tcPr>
          <w:p w:rsidR="00000000" w:rsidRDefault="004D2F83">
            <w:pPr>
              <w:spacing w:line="320" w:lineRule="exact"/>
              <w:jc w:val="center"/>
              <w:rPr>
                <w:sz w:val="18"/>
              </w:rPr>
            </w:pPr>
            <w:r>
              <w:rPr>
                <w:sz w:val="18"/>
              </w:rPr>
              <w:t>3.3</w:t>
            </w:r>
          </w:p>
        </w:tc>
        <w:tc>
          <w:tcPr>
            <w:tcW w:w="843" w:type="pct"/>
          </w:tcPr>
          <w:p w:rsidR="00000000" w:rsidRDefault="004D2F83">
            <w:pPr>
              <w:spacing w:line="320" w:lineRule="exact"/>
              <w:jc w:val="center"/>
              <w:rPr>
                <w:sz w:val="18"/>
              </w:rPr>
            </w:pPr>
            <w:r>
              <w:rPr>
                <w:sz w:val="18"/>
              </w:rPr>
              <w:t>5.0</w:t>
            </w:r>
          </w:p>
        </w:tc>
        <w:tc>
          <w:tcPr>
            <w:tcW w:w="843" w:type="pct"/>
          </w:tcPr>
          <w:p w:rsidR="00000000" w:rsidRDefault="004D2F83">
            <w:pPr>
              <w:spacing w:line="320" w:lineRule="exact"/>
              <w:jc w:val="center"/>
              <w:rPr>
                <w:sz w:val="18"/>
              </w:rPr>
            </w:pPr>
            <w:r>
              <w:rPr>
                <w:sz w:val="18"/>
              </w:rPr>
              <w:t>5.9</w:t>
            </w:r>
          </w:p>
        </w:tc>
      </w:tr>
    </w:tbl>
    <w:p w:rsidR="00000000" w:rsidRDefault="004D2F83">
      <w:pPr>
        <w:spacing w:line="320" w:lineRule="exact"/>
        <w:rPr>
          <w:rFonts w:hint="eastAsia"/>
          <w:sz w:val="18"/>
        </w:rPr>
      </w:pPr>
      <w:r>
        <w:rPr>
          <w:rFonts w:eastAsia="SimHei" w:hint="eastAsia"/>
          <w:sz w:val="18"/>
        </w:rPr>
        <w:t>资料来源</w:t>
      </w:r>
      <w:r>
        <w:rPr>
          <w:rFonts w:hint="eastAsia"/>
          <w:sz w:val="18"/>
        </w:rPr>
        <w:t>：</w:t>
      </w:r>
      <w:r>
        <w:rPr>
          <w:rFonts w:hint="eastAsia"/>
          <w:sz w:val="18"/>
        </w:rPr>
        <w:t>1960</w:t>
      </w:r>
      <w:r>
        <w:rPr>
          <w:rFonts w:hint="eastAsia"/>
          <w:sz w:val="18"/>
        </w:rPr>
        <w:t>、</w:t>
      </w:r>
      <w:r>
        <w:rPr>
          <w:rFonts w:hint="eastAsia"/>
          <w:sz w:val="18"/>
        </w:rPr>
        <w:t>1970</w:t>
      </w:r>
      <w:r>
        <w:rPr>
          <w:rFonts w:hint="eastAsia"/>
          <w:sz w:val="18"/>
        </w:rPr>
        <w:t>和</w:t>
      </w:r>
      <w:r>
        <w:rPr>
          <w:rFonts w:hint="eastAsia"/>
          <w:sz w:val="18"/>
        </w:rPr>
        <w:t>1980</w:t>
      </w:r>
      <w:r>
        <w:rPr>
          <w:rFonts w:hint="eastAsia"/>
          <w:sz w:val="18"/>
        </w:rPr>
        <w:t>年人口普查；</w:t>
      </w:r>
      <w:r>
        <w:rPr>
          <w:rFonts w:hint="eastAsia"/>
          <w:sz w:val="18"/>
        </w:rPr>
        <w:t>1990</w:t>
      </w:r>
      <w:r>
        <w:rPr>
          <w:rFonts w:hint="eastAsia"/>
          <w:sz w:val="18"/>
        </w:rPr>
        <w:t>和</w:t>
      </w:r>
      <w:r>
        <w:rPr>
          <w:rFonts w:hint="eastAsia"/>
          <w:sz w:val="18"/>
        </w:rPr>
        <w:t>1996</w:t>
      </w:r>
      <w:r>
        <w:rPr>
          <w:rFonts w:hint="eastAsia"/>
          <w:sz w:val="18"/>
        </w:rPr>
        <w:t>年全国住户抽样调查（</w:t>
      </w:r>
      <w:r>
        <w:rPr>
          <w:rFonts w:hint="eastAsia"/>
          <w:sz w:val="18"/>
        </w:rPr>
        <w:t>IPEA/P</w:t>
      </w:r>
      <w:r>
        <w:rPr>
          <w:rFonts w:hint="eastAsia"/>
          <w:sz w:val="18"/>
        </w:rPr>
        <w:t>NUD</w:t>
      </w:r>
      <w:r>
        <w:rPr>
          <w:rFonts w:hint="eastAsia"/>
          <w:sz w:val="18"/>
        </w:rPr>
        <w:t>）。</w:t>
      </w:r>
    </w:p>
    <w:p w:rsidR="00000000" w:rsidRDefault="004D2F83">
      <w:pPr>
        <w:spacing w:after="240" w:line="360" w:lineRule="exact"/>
        <w:rPr>
          <w:rFonts w:hint="eastAsia"/>
          <w:sz w:val="18"/>
        </w:rPr>
      </w:pPr>
      <w:r>
        <w:rPr>
          <w:rFonts w:hint="eastAsia"/>
          <w:sz w:val="18"/>
        </w:rPr>
        <w:t>注：</w:t>
      </w:r>
      <w:r>
        <w:rPr>
          <w:rFonts w:hint="eastAsia"/>
          <w:sz w:val="18"/>
        </w:rPr>
        <w:t>1990</w:t>
      </w:r>
      <w:r>
        <w:rPr>
          <w:rFonts w:hint="eastAsia"/>
          <w:sz w:val="18"/>
        </w:rPr>
        <w:t>和</w:t>
      </w:r>
      <w:r>
        <w:rPr>
          <w:rFonts w:hint="eastAsia"/>
          <w:sz w:val="18"/>
        </w:rPr>
        <w:t>1996</w:t>
      </w:r>
      <w:r>
        <w:rPr>
          <w:rFonts w:hint="eastAsia"/>
          <w:sz w:val="18"/>
        </w:rPr>
        <w:t>年的数据不包括北方地区的农村人口。</w:t>
      </w:r>
    </w:p>
    <w:p w:rsidR="00000000" w:rsidRDefault="004D2F83" w:rsidP="004D2F83">
      <w:pPr>
        <w:spacing w:after="240" w:line="360" w:lineRule="exact"/>
        <w:ind w:firstLineChars="200" w:firstLine="31680"/>
        <w:rPr>
          <w:rFonts w:hint="eastAsia"/>
        </w:rPr>
      </w:pPr>
      <w:r>
        <w:rPr>
          <w:rFonts w:hint="eastAsia"/>
        </w:rPr>
        <w:t>就学率和平均学习年限这两个指标之间的明显矛盾及其在此期间的发展过程，可以用男女学生在升学方面的差异来解释。事实上，女性的升学之路较之男性而言更加规律，形成一座坡度平缓、较少选择性的教育金字塔，这种趋势在</w:t>
      </w:r>
      <w:r>
        <w:rPr>
          <w:rFonts w:hint="eastAsia"/>
        </w:rPr>
        <w:t>1990</w:t>
      </w:r>
      <w:r>
        <w:rPr>
          <w:rFonts w:hint="eastAsia"/>
        </w:rPr>
        <w:t>年代有所增加（表</w:t>
      </w:r>
      <w:r>
        <w:rPr>
          <w:rFonts w:hint="eastAsia"/>
        </w:rPr>
        <w:t>29</w:t>
      </w:r>
      <w:r>
        <w:rPr>
          <w:rFonts w:hint="eastAsia"/>
        </w:rPr>
        <w:t>）。</w:t>
      </w:r>
    </w:p>
    <w:p w:rsidR="00000000" w:rsidRDefault="004D2F83">
      <w:pPr>
        <w:spacing w:after="120" w:line="360" w:lineRule="exact"/>
        <w:jc w:val="center"/>
        <w:rPr>
          <w:rFonts w:ascii="SimHei" w:eastAsia="SimHei" w:hint="eastAsia"/>
        </w:rPr>
      </w:pPr>
      <w:r>
        <w:rPr>
          <w:rFonts w:ascii="SimHei" w:eastAsia="SimHei" w:hint="eastAsia"/>
        </w:rPr>
        <w:t>表</w:t>
      </w:r>
      <w:r>
        <w:rPr>
          <w:rFonts w:ascii="SimHei" w:eastAsia="SimHei" w:hint="eastAsia"/>
        </w:rPr>
        <w:t>29</w:t>
      </w:r>
      <w:r>
        <w:rPr>
          <w:rFonts w:ascii="SimHei" w:eastAsia="SimHei" w:hint="eastAsia"/>
        </w:rPr>
        <w:t>．</w:t>
      </w:r>
      <w:r>
        <w:rPr>
          <w:rFonts w:ascii="SimHei" w:eastAsia="SimHei" w:hint="eastAsia"/>
        </w:rPr>
        <w:t>5</w:t>
      </w:r>
      <w:r>
        <w:rPr>
          <w:rFonts w:ascii="SimHei" w:eastAsia="SimHei" w:hint="eastAsia"/>
        </w:rPr>
        <w:t>岁以上年龄组男女学生的教育程度分布情况</w:t>
      </w:r>
    </w:p>
    <w:p w:rsidR="00000000" w:rsidRDefault="004D2F83">
      <w:pPr>
        <w:spacing w:after="240" w:line="360" w:lineRule="exact"/>
        <w:jc w:val="center"/>
        <w:rPr>
          <w:rFonts w:ascii="SimHei" w:eastAsia="SimHei" w:hint="eastAsia"/>
        </w:rPr>
      </w:pPr>
      <w:r>
        <w:rPr>
          <w:rFonts w:ascii="SimHei" w:eastAsia="SimHei" w:hint="eastAsia"/>
        </w:rPr>
        <w:t>巴西，</w:t>
      </w:r>
      <w:r>
        <w:rPr>
          <w:rFonts w:ascii="SimHei" w:eastAsia="SimHei" w:hint="eastAsia"/>
        </w:rPr>
        <w:t>1985</w:t>
      </w:r>
      <w:r>
        <w:rPr>
          <w:rFonts w:ascii="SimHei" w:eastAsia="SimHei" w:hint="eastAsia"/>
        </w:rPr>
        <w:t>和</w:t>
      </w:r>
      <w:r>
        <w:rPr>
          <w:rFonts w:ascii="SimHei" w:eastAsia="SimHei" w:hint="eastAsia"/>
        </w:rPr>
        <w:t>1999</w:t>
      </w:r>
      <w:r>
        <w:rPr>
          <w:rFonts w:ascii="SimHei" w:eastAsia="SimHei" w:hint="eastAsia"/>
        </w:rPr>
        <w:t>年</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84"/>
        <w:gridCol w:w="1993"/>
        <w:gridCol w:w="1993"/>
        <w:gridCol w:w="1993"/>
        <w:gridCol w:w="1993"/>
      </w:tblGrid>
      <w:tr w:rsidR="00000000">
        <w:tblPrEx>
          <w:tblCellMar>
            <w:top w:w="0" w:type="dxa"/>
            <w:bottom w:w="0" w:type="dxa"/>
          </w:tblCellMar>
        </w:tblPrEx>
        <w:trPr>
          <w:cantSplit/>
        </w:trPr>
        <w:tc>
          <w:tcPr>
            <w:tcW w:w="956" w:type="pct"/>
            <w:vMerge w:val="restart"/>
            <w:vAlign w:val="center"/>
          </w:tcPr>
          <w:p w:rsidR="00000000" w:rsidRDefault="004D2F83">
            <w:pPr>
              <w:spacing w:line="360" w:lineRule="exact"/>
              <w:jc w:val="center"/>
              <w:rPr>
                <w:rFonts w:ascii="SimHei" w:eastAsia="SimHei" w:hint="eastAsia"/>
                <w:sz w:val="18"/>
              </w:rPr>
            </w:pPr>
            <w:r>
              <w:rPr>
                <w:rFonts w:ascii="SimHei" w:eastAsia="SimHei" w:hint="eastAsia"/>
                <w:sz w:val="18"/>
              </w:rPr>
              <w:t>教育程度</w:t>
            </w:r>
          </w:p>
        </w:tc>
        <w:tc>
          <w:tcPr>
            <w:tcW w:w="2022" w:type="pct"/>
            <w:gridSpan w:val="2"/>
          </w:tcPr>
          <w:p w:rsidR="00000000" w:rsidRDefault="004D2F83">
            <w:pPr>
              <w:spacing w:line="360" w:lineRule="exact"/>
              <w:jc w:val="center"/>
              <w:rPr>
                <w:rFonts w:ascii="SimHei" w:eastAsia="SimHei" w:hint="eastAsia"/>
                <w:sz w:val="18"/>
              </w:rPr>
            </w:pPr>
            <w:r>
              <w:rPr>
                <w:rFonts w:ascii="SimHei" w:eastAsia="SimHei" w:hint="eastAsia"/>
                <w:sz w:val="18"/>
              </w:rPr>
              <w:t>性别</w:t>
            </w:r>
            <w:r>
              <w:rPr>
                <w:rFonts w:ascii="SimHei" w:eastAsia="SimHei" w:hint="eastAsia"/>
                <w:sz w:val="18"/>
              </w:rPr>
              <w:t>/</w:t>
            </w:r>
            <w:r>
              <w:rPr>
                <w:rFonts w:ascii="SimHei" w:eastAsia="SimHei" w:hint="eastAsia"/>
                <w:sz w:val="18"/>
              </w:rPr>
              <w:t>年份</w:t>
            </w:r>
          </w:p>
        </w:tc>
        <w:tc>
          <w:tcPr>
            <w:tcW w:w="2022" w:type="pct"/>
            <w:gridSpan w:val="2"/>
          </w:tcPr>
          <w:p w:rsidR="00000000" w:rsidRDefault="004D2F83">
            <w:pPr>
              <w:spacing w:line="360" w:lineRule="exact"/>
              <w:jc w:val="center"/>
              <w:rPr>
                <w:rFonts w:ascii="SimHei" w:eastAsia="SimHei" w:hint="eastAsia"/>
                <w:sz w:val="18"/>
              </w:rPr>
            </w:pPr>
            <w:r>
              <w:rPr>
                <w:rFonts w:ascii="SimHei" w:eastAsia="SimHei" w:hint="eastAsia"/>
                <w:sz w:val="18"/>
              </w:rPr>
              <w:t>性别</w:t>
            </w:r>
            <w:r>
              <w:rPr>
                <w:rFonts w:ascii="SimHei" w:eastAsia="SimHei" w:hint="eastAsia"/>
                <w:sz w:val="18"/>
              </w:rPr>
              <w:t>/</w:t>
            </w:r>
            <w:r>
              <w:rPr>
                <w:rFonts w:ascii="SimHei" w:eastAsia="SimHei" w:hint="eastAsia"/>
                <w:sz w:val="18"/>
              </w:rPr>
              <w:t>年份</w:t>
            </w:r>
          </w:p>
        </w:tc>
      </w:tr>
      <w:tr w:rsidR="00000000">
        <w:tblPrEx>
          <w:tblCellMar>
            <w:top w:w="0" w:type="dxa"/>
            <w:bottom w:w="0" w:type="dxa"/>
          </w:tblCellMar>
        </w:tblPrEx>
        <w:trPr>
          <w:cantSplit/>
        </w:trPr>
        <w:tc>
          <w:tcPr>
            <w:tcW w:w="956" w:type="pct"/>
            <w:vMerge/>
          </w:tcPr>
          <w:p w:rsidR="00000000" w:rsidRDefault="004D2F83">
            <w:pPr>
              <w:spacing w:line="360" w:lineRule="exact"/>
              <w:jc w:val="center"/>
              <w:rPr>
                <w:rFonts w:ascii="SimHei" w:eastAsia="SimHei" w:hint="eastAsia"/>
                <w:sz w:val="18"/>
              </w:rPr>
            </w:pPr>
          </w:p>
        </w:tc>
        <w:tc>
          <w:tcPr>
            <w:tcW w:w="2022" w:type="pct"/>
            <w:gridSpan w:val="2"/>
          </w:tcPr>
          <w:p w:rsidR="00000000" w:rsidRDefault="004D2F83">
            <w:pPr>
              <w:spacing w:line="360" w:lineRule="exact"/>
              <w:jc w:val="center"/>
              <w:rPr>
                <w:rFonts w:ascii="SimHei" w:eastAsia="SimHei" w:hint="eastAsia"/>
                <w:sz w:val="18"/>
              </w:rPr>
            </w:pPr>
            <w:r>
              <w:rPr>
                <w:rFonts w:ascii="SimHei" w:eastAsia="SimHei" w:hint="eastAsia"/>
                <w:sz w:val="18"/>
              </w:rPr>
              <w:t>男生</w:t>
            </w:r>
          </w:p>
        </w:tc>
        <w:tc>
          <w:tcPr>
            <w:tcW w:w="2022" w:type="pct"/>
            <w:gridSpan w:val="2"/>
          </w:tcPr>
          <w:p w:rsidR="00000000" w:rsidRDefault="004D2F83">
            <w:pPr>
              <w:spacing w:line="360" w:lineRule="exact"/>
              <w:jc w:val="center"/>
              <w:rPr>
                <w:rFonts w:ascii="SimHei" w:eastAsia="SimHei" w:hint="eastAsia"/>
                <w:sz w:val="18"/>
              </w:rPr>
            </w:pPr>
            <w:r>
              <w:rPr>
                <w:rFonts w:ascii="SimHei" w:eastAsia="SimHei" w:hint="eastAsia"/>
                <w:sz w:val="18"/>
              </w:rPr>
              <w:t>女生</w:t>
            </w:r>
          </w:p>
        </w:tc>
      </w:tr>
      <w:tr w:rsidR="00000000">
        <w:tblPrEx>
          <w:tblCellMar>
            <w:top w:w="0" w:type="dxa"/>
            <w:bottom w:w="0" w:type="dxa"/>
          </w:tblCellMar>
        </w:tblPrEx>
        <w:trPr>
          <w:cantSplit/>
        </w:trPr>
        <w:tc>
          <w:tcPr>
            <w:tcW w:w="956" w:type="pct"/>
            <w:vMerge/>
          </w:tcPr>
          <w:p w:rsidR="00000000" w:rsidRDefault="004D2F83">
            <w:pPr>
              <w:spacing w:line="360" w:lineRule="exact"/>
              <w:jc w:val="center"/>
              <w:rPr>
                <w:rFonts w:hint="eastAsia"/>
                <w:sz w:val="18"/>
              </w:rPr>
            </w:pPr>
          </w:p>
        </w:tc>
        <w:tc>
          <w:tcPr>
            <w:tcW w:w="1011" w:type="pct"/>
          </w:tcPr>
          <w:p w:rsidR="00000000" w:rsidRDefault="004D2F83">
            <w:pPr>
              <w:spacing w:line="360" w:lineRule="exact"/>
              <w:jc w:val="center"/>
              <w:rPr>
                <w:rFonts w:hint="eastAsia"/>
                <w:b/>
                <w:bCs/>
                <w:sz w:val="18"/>
              </w:rPr>
            </w:pPr>
            <w:r>
              <w:rPr>
                <w:rFonts w:hint="eastAsia"/>
                <w:b/>
                <w:bCs/>
                <w:sz w:val="18"/>
              </w:rPr>
              <w:t>1985</w:t>
            </w:r>
          </w:p>
        </w:tc>
        <w:tc>
          <w:tcPr>
            <w:tcW w:w="1011" w:type="pct"/>
          </w:tcPr>
          <w:p w:rsidR="00000000" w:rsidRDefault="004D2F83">
            <w:pPr>
              <w:spacing w:line="360" w:lineRule="exact"/>
              <w:jc w:val="center"/>
              <w:rPr>
                <w:rFonts w:hint="eastAsia"/>
                <w:b/>
                <w:bCs/>
                <w:sz w:val="18"/>
              </w:rPr>
            </w:pPr>
            <w:r>
              <w:rPr>
                <w:rFonts w:hint="eastAsia"/>
                <w:b/>
                <w:bCs/>
                <w:sz w:val="18"/>
              </w:rPr>
              <w:t>1999</w:t>
            </w:r>
          </w:p>
        </w:tc>
        <w:tc>
          <w:tcPr>
            <w:tcW w:w="1011" w:type="pct"/>
          </w:tcPr>
          <w:p w:rsidR="00000000" w:rsidRDefault="004D2F83">
            <w:pPr>
              <w:spacing w:line="360" w:lineRule="exact"/>
              <w:jc w:val="center"/>
              <w:rPr>
                <w:rFonts w:hint="eastAsia"/>
                <w:b/>
                <w:bCs/>
                <w:sz w:val="18"/>
              </w:rPr>
            </w:pPr>
            <w:r>
              <w:rPr>
                <w:rFonts w:hint="eastAsia"/>
                <w:b/>
                <w:bCs/>
                <w:sz w:val="18"/>
              </w:rPr>
              <w:t>1985</w:t>
            </w:r>
          </w:p>
        </w:tc>
        <w:tc>
          <w:tcPr>
            <w:tcW w:w="1011" w:type="pct"/>
          </w:tcPr>
          <w:p w:rsidR="00000000" w:rsidRDefault="004D2F83">
            <w:pPr>
              <w:spacing w:line="360" w:lineRule="exact"/>
              <w:jc w:val="center"/>
              <w:rPr>
                <w:rFonts w:hint="eastAsia"/>
                <w:b/>
                <w:bCs/>
                <w:sz w:val="18"/>
              </w:rPr>
            </w:pPr>
            <w:r>
              <w:rPr>
                <w:rFonts w:hint="eastAsia"/>
                <w:b/>
                <w:bCs/>
                <w:sz w:val="18"/>
              </w:rPr>
              <w:t>1999</w:t>
            </w:r>
          </w:p>
        </w:tc>
      </w:tr>
      <w:tr w:rsidR="00000000">
        <w:tblPrEx>
          <w:tblCellMar>
            <w:top w:w="0" w:type="dxa"/>
            <w:bottom w:w="0" w:type="dxa"/>
          </w:tblCellMar>
        </w:tblPrEx>
        <w:tc>
          <w:tcPr>
            <w:tcW w:w="956" w:type="pct"/>
          </w:tcPr>
          <w:p w:rsidR="00000000" w:rsidRDefault="004D2F83">
            <w:pPr>
              <w:spacing w:line="360" w:lineRule="exact"/>
              <w:jc w:val="center"/>
              <w:rPr>
                <w:rFonts w:hint="eastAsia"/>
                <w:sz w:val="18"/>
              </w:rPr>
            </w:pPr>
            <w:r>
              <w:rPr>
                <w:rFonts w:hint="eastAsia"/>
                <w:sz w:val="18"/>
              </w:rPr>
              <w:t>学前教育</w:t>
            </w:r>
          </w:p>
        </w:tc>
        <w:tc>
          <w:tcPr>
            <w:tcW w:w="1011" w:type="pct"/>
          </w:tcPr>
          <w:p w:rsidR="00000000" w:rsidRDefault="004D2F83">
            <w:pPr>
              <w:spacing w:line="360" w:lineRule="exact"/>
              <w:jc w:val="center"/>
              <w:rPr>
                <w:sz w:val="18"/>
              </w:rPr>
            </w:pPr>
            <w:r>
              <w:rPr>
                <w:sz w:val="18"/>
              </w:rPr>
              <w:t>7.7</w:t>
            </w:r>
          </w:p>
        </w:tc>
        <w:tc>
          <w:tcPr>
            <w:tcW w:w="1011" w:type="pct"/>
          </w:tcPr>
          <w:p w:rsidR="00000000" w:rsidRDefault="004D2F83">
            <w:pPr>
              <w:spacing w:line="360" w:lineRule="exact"/>
              <w:jc w:val="center"/>
              <w:rPr>
                <w:sz w:val="18"/>
              </w:rPr>
            </w:pPr>
            <w:r>
              <w:rPr>
                <w:sz w:val="18"/>
              </w:rPr>
              <w:t>9.4</w:t>
            </w:r>
          </w:p>
        </w:tc>
        <w:tc>
          <w:tcPr>
            <w:tcW w:w="1011" w:type="pct"/>
          </w:tcPr>
          <w:p w:rsidR="00000000" w:rsidRDefault="004D2F83">
            <w:pPr>
              <w:spacing w:line="360" w:lineRule="exact"/>
              <w:jc w:val="center"/>
              <w:rPr>
                <w:sz w:val="18"/>
              </w:rPr>
            </w:pPr>
            <w:r>
              <w:rPr>
                <w:sz w:val="18"/>
              </w:rPr>
              <w:t>7.3</w:t>
            </w:r>
          </w:p>
        </w:tc>
        <w:tc>
          <w:tcPr>
            <w:tcW w:w="1011" w:type="pct"/>
          </w:tcPr>
          <w:p w:rsidR="00000000" w:rsidRDefault="004D2F83">
            <w:pPr>
              <w:spacing w:line="360" w:lineRule="exact"/>
              <w:jc w:val="center"/>
              <w:rPr>
                <w:sz w:val="18"/>
              </w:rPr>
            </w:pPr>
            <w:r>
              <w:rPr>
                <w:sz w:val="18"/>
              </w:rPr>
              <w:t>8.6</w:t>
            </w:r>
          </w:p>
        </w:tc>
      </w:tr>
      <w:tr w:rsidR="00000000">
        <w:tblPrEx>
          <w:tblCellMar>
            <w:top w:w="0" w:type="dxa"/>
            <w:bottom w:w="0" w:type="dxa"/>
          </w:tblCellMar>
        </w:tblPrEx>
        <w:tc>
          <w:tcPr>
            <w:tcW w:w="956" w:type="pct"/>
          </w:tcPr>
          <w:p w:rsidR="00000000" w:rsidRDefault="004D2F83">
            <w:pPr>
              <w:spacing w:line="360" w:lineRule="exact"/>
              <w:jc w:val="center"/>
              <w:rPr>
                <w:rFonts w:hint="eastAsia"/>
                <w:sz w:val="18"/>
              </w:rPr>
            </w:pPr>
            <w:r>
              <w:rPr>
                <w:rFonts w:hint="eastAsia"/>
                <w:sz w:val="18"/>
              </w:rPr>
              <w:t>基础教育</w:t>
            </w:r>
          </w:p>
        </w:tc>
        <w:tc>
          <w:tcPr>
            <w:tcW w:w="1011" w:type="pct"/>
          </w:tcPr>
          <w:p w:rsidR="00000000" w:rsidRDefault="004D2F83">
            <w:pPr>
              <w:spacing w:line="360" w:lineRule="exact"/>
              <w:jc w:val="center"/>
              <w:rPr>
                <w:sz w:val="18"/>
              </w:rPr>
            </w:pPr>
            <w:r>
              <w:rPr>
                <w:sz w:val="18"/>
              </w:rPr>
              <w:t>79.4</w:t>
            </w:r>
          </w:p>
        </w:tc>
        <w:tc>
          <w:tcPr>
            <w:tcW w:w="1011" w:type="pct"/>
          </w:tcPr>
          <w:p w:rsidR="00000000" w:rsidRDefault="004D2F83">
            <w:pPr>
              <w:spacing w:line="360" w:lineRule="exact"/>
              <w:jc w:val="center"/>
              <w:rPr>
                <w:sz w:val="18"/>
              </w:rPr>
            </w:pPr>
            <w:r>
              <w:rPr>
                <w:sz w:val="18"/>
              </w:rPr>
              <w:t>70.1</w:t>
            </w:r>
          </w:p>
        </w:tc>
        <w:tc>
          <w:tcPr>
            <w:tcW w:w="1011" w:type="pct"/>
          </w:tcPr>
          <w:p w:rsidR="00000000" w:rsidRDefault="004D2F83">
            <w:pPr>
              <w:spacing w:line="360" w:lineRule="exact"/>
              <w:jc w:val="center"/>
              <w:rPr>
                <w:sz w:val="18"/>
              </w:rPr>
            </w:pPr>
            <w:r>
              <w:rPr>
                <w:sz w:val="18"/>
              </w:rPr>
              <w:t>77.9</w:t>
            </w:r>
          </w:p>
        </w:tc>
        <w:tc>
          <w:tcPr>
            <w:tcW w:w="1011" w:type="pct"/>
          </w:tcPr>
          <w:p w:rsidR="00000000" w:rsidRDefault="004D2F83">
            <w:pPr>
              <w:spacing w:line="360" w:lineRule="exact"/>
              <w:jc w:val="center"/>
              <w:rPr>
                <w:sz w:val="18"/>
              </w:rPr>
            </w:pPr>
            <w:r>
              <w:rPr>
                <w:sz w:val="18"/>
              </w:rPr>
              <w:t>66.8</w:t>
            </w:r>
          </w:p>
        </w:tc>
      </w:tr>
      <w:tr w:rsidR="00000000">
        <w:tblPrEx>
          <w:tblCellMar>
            <w:top w:w="0" w:type="dxa"/>
            <w:bottom w:w="0" w:type="dxa"/>
          </w:tblCellMar>
        </w:tblPrEx>
        <w:tc>
          <w:tcPr>
            <w:tcW w:w="956" w:type="pct"/>
          </w:tcPr>
          <w:p w:rsidR="00000000" w:rsidRDefault="004D2F83">
            <w:pPr>
              <w:spacing w:line="360" w:lineRule="exact"/>
              <w:jc w:val="center"/>
              <w:rPr>
                <w:rFonts w:hint="eastAsia"/>
                <w:sz w:val="18"/>
              </w:rPr>
            </w:pPr>
            <w:r>
              <w:rPr>
                <w:rFonts w:hint="eastAsia"/>
                <w:sz w:val="18"/>
              </w:rPr>
              <w:t>中等教育</w:t>
            </w:r>
          </w:p>
        </w:tc>
        <w:tc>
          <w:tcPr>
            <w:tcW w:w="1011" w:type="pct"/>
          </w:tcPr>
          <w:p w:rsidR="00000000" w:rsidRDefault="004D2F83">
            <w:pPr>
              <w:spacing w:line="360" w:lineRule="exact"/>
              <w:jc w:val="center"/>
              <w:rPr>
                <w:sz w:val="18"/>
              </w:rPr>
            </w:pPr>
            <w:r>
              <w:rPr>
                <w:sz w:val="18"/>
              </w:rPr>
              <w:t>8.5</w:t>
            </w:r>
          </w:p>
        </w:tc>
        <w:tc>
          <w:tcPr>
            <w:tcW w:w="1011" w:type="pct"/>
          </w:tcPr>
          <w:p w:rsidR="00000000" w:rsidRDefault="004D2F83">
            <w:pPr>
              <w:spacing w:line="360" w:lineRule="exact"/>
              <w:jc w:val="center"/>
              <w:rPr>
                <w:sz w:val="18"/>
              </w:rPr>
            </w:pPr>
            <w:r>
              <w:rPr>
                <w:sz w:val="18"/>
              </w:rPr>
              <w:t>15.0</w:t>
            </w:r>
          </w:p>
        </w:tc>
        <w:tc>
          <w:tcPr>
            <w:tcW w:w="1011" w:type="pct"/>
          </w:tcPr>
          <w:p w:rsidR="00000000" w:rsidRDefault="004D2F83">
            <w:pPr>
              <w:spacing w:line="360" w:lineRule="exact"/>
              <w:jc w:val="center"/>
              <w:rPr>
                <w:sz w:val="18"/>
              </w:rPr>
            </w:pPr>
            <w:r>
              <w:rPr>
                <w:sz w:val="18"/>
              </w:rPr>
              <w:t>10.5</w:t>
            </w:r>
          </w:p>
        </w:tc>
        <w:tc>
          <w:tcPr>
            <w:tcW w:w="1011" w:type="pct"/>
          </w:tcPr>
          <w:p w:rsidR="00000000" w:rsidRDefault="004D2F83">
            <w:pPr>
              <w:spacing w:line="360" w:lineRule="exact"/>
              <w:jc w:val="center"/>
              <w:rPr>
                <w:sz w:val="18"/>
              </w:rPr>
            </w:pPr>
            <w:r>
              <w:rPr>
                <w:sz w:val="18"/>
              </w:rPr>
              <w:t>18.2</w:t>
            </w:r>
          </w:p>
        </w:tc>
      </w:tr>
      <w:tr w:rsidR="00000000">
        <w:tblPrEx>
          <w:tblCellMar>
            <w:top w:w="0" w:type="dxa"/>
            <w:bottom w:w="0" w:type="dxa"/>
          </w:tblCellMar>
        </w:tblPrEx>
        <w:tc>
          <w:tcPr>
            <w:tcW w:w="956" w:type="pct"/>
          </w:tcPr>
          <w:p w:rsidR="00000000" w:rsidRDefault="004D2F83">
            <w:pPr>
              <w:spacing w:line="360" w:lineRule="exact"/>
              <w:jc w:val="center"/>
              <w:rPr>
                <w:rFonts w:hint="eastAsia"/>
                <w:sz w:val="18"/>
              </w:rPr>
            </w:pPr>
            <w:r>
              <w:rPr>
                <w:rFonts w:hint="eastAsia"/>
                <w:sz w:val="18"/>
              </w:rPr>
              <w:t>高等教育</w:t>
            </w:r>
          </w:p>
        </w:tc>
        <w:tc>
          <w:tcPr>
            <w:tcW w:w="1011" w:type="pct"/>
          </w:tcPr>
          <w:p w:rsidR="00000000" w:rsidRDefault="004D2F83">
            <w:pPr>
              <w:spacing w:line="360" w:lineRule="exact"/>
              <w:jc w:val="center"/>
              <w:rPr>
                <w:sz w:val="18"/>
              </w:rPr>
            </w:pPr>
            <w:r>
              <w:rPr>
                <w:sz w:val="18"/>
              </w:rPr>
              <w:t>4.4</w:t>
            </w:r>
          </w:p>
        </w:tc>
        <w:tc>
          <w:tcPr>
            <w:tcW w:w="1011" w:type="pct"/>
          </w:tcPr>
          <w:p w:rsidR="00000000" w:rsidRDefault="004D2F83">
            <w:pPr>
              <w:spacing w:line="360" w:lineRule="exact"/>
              <w:jc w:val="center"/>
              <w:rPr>
                <w:sz w:val="18"/>
              </w:rPr>
            </w:pPr>
            <w:r>
              <w:rPr>
                <w:sz w:val="18"/>
              </w:rPr>
              <w:t>4.9</w:t>
            </w:r>
          </w:p>
        </w:tc>
        <w:tc>
          <w:tcPr>
            <w:tcW w:w="1011" w:type="pct"/>
          </w:tcPr>
          <w:p w:rsidR="00000000" w:rsidRDefault="004D2F83">
            <w:pPr>
              <w:spacing w:line="360" w:lineRule="exact"/>
              <w:jc w:val="center"/>
              <w:rPr>
                <w:sz w:val="18"/>
              </w:rPr>
            </w:pPr>
            <w:r>
              <w:rPr>
                <w:sz w:val="18"/>
              </w:rPr>
              <w:t>4.3</w:t>
            </w:r>
          </w:p>
        </w:tc>
        <w:tc>
          <w:tcPr>
            <w:tcW w:w="1011" w:type="pct"/>
          </w:tcPr>
          <w:p w:rsidR="00000000" w:rsidRDefault="004D2F83">
            <w:pPr>
              <w:spacing w:line="360" w:lineRule="exact"/>
              <w:jc w:val="center"/>
              <w:rPr>
                <w:sz w:val="18"/>
              </w:rPr>
            </w:pPr>
            <w:r>
              <w:rPr>
                <w:sz w:val="18"/>
              </w:rPr>
              <w:t>6.4</w:t>
            </w:r>
          </w:p>
        </w:tc>
      </w:tr>
      <w:tr w:rsidR="00000000">
        <w:tblPrEx>
          <w:tblCellMar>
            <w:top w:w="0" w:type="dxa"/>
            <w:bottom w:w="0" w:type="dxa"/>
          </w:tblCellMar>
        </w:tblPrEx>
        <w:tc>
          <w:tcPr>
            <w:tcW w:w="956" w:type="pct"/>
          </w:tcPr>
          <w:p w:rsidR="00000000" w:rsidRDefault="004D2F83">
            <w:pPr>
              <w:spacing w:line="360" w:lineRule="exact"/>
              <w:jc w:val="center"/>
              <w:rPr>
                <w:rFonts w:hint="eastAsia"/>
                <w:sz w:val="18"/>
              </w:rPr>
            </w:pPr>
            <w:r>
              <w:rPr>
                <w:rFonts w:hint="eastAsia"/>
                <w:sz w:val="18"/>
              </w:rPr>
              <w:t>总数﹡</w:t>
            </w:r>
          </w:p>
        </w:tc>
        <w:tc>
          <w:tcPr>
            <w:tcW w:w="1011" w:type="pct"/>
          </w:tcPr>
          <w:p w:rsidR="00000000" w:rsidRDefault="004D2F83">
            <w:pPr>
              <w:spacing w:line="360" w:lineRule="exact"/>
              <w:jc w:val="center"/>
              <w:rPr>
                <w:sz w:val="18"/>
              </w:rPr>
            </w:pPr>
            <w:r>
              <w:rPr>
                <w:sz w:val="18"/>
              </w:rPr>
              <w:t>100.0</w:t>
            </w:r>
          </w:p>
        </w:tc>
        <w:tc>
          <w:tcPr>
            <w:tcW w:w="1011" w:type="pct"/>
          </w:tcPr>
          <w:p w:rsidR="00000000" w:rsidRDefault="004D2F83">
            <w:pPr>
              <w:spacing w:line="360" w:lineRule="exact"/>
              <w:jc w:val="center"/>
              <w:rPr>
                <w:sz w:val="18"/>
              </w:rPr>
            </w:pPr>
            <w:r>
              <w:rPr>
                <w:sz w:val="18"/>
              </w:rPr>
              <w:t>100.0</w:t>
            </w:r>
          </w:p>
        </w:tc>
        <w:tc>
          <w:tcPr>
            <w:tcW w:w="1011" w:type="pct"/>
          </w:tcPr>
          <w:p w:rsidR="00000000" w:rsidRDefault="004D2F83">
            <w:pPr>
              <w:spacing w:line="360" w:lineRule="exact"/>
              <w:jc w:val="center"/>
              <w:rPr>
                <w:sz w:val="18"/>
              </w:rPr>
            </w:pPr>
            <w:r>
              <w:rPr>
                <w:sz w:val="18"/>
              </w:rPr>
              <w:t>100.0</w:t>
            </w:r>
          </w:p>
        </w:tc>
        <w:tc>
          <w:tcPr>
            <w:tcW w:w="1011" w:type="pct"/>
          </w:tcPr>
          <w:p w:rsidR="00000000" w:rsidRDefault="004D2F83">
            <w:pPr>
              <w:spacing w:line="360" w:lineRule="exact"/>
              <w:jc w:val="center"/>
              <w:rPr>
                <w:sz w:val="18"/>
              </w:rPr>
            </w:pPr>
            <w:r>
              <w:rPr>
                <w:sz w:val="18"/>
              </w:rPr>
              <w:t>100.0</w:t>
            </w:r>
          </w:p>
        </w:tc>
      </w:tr>
    </w:tbl>
    <w:p w:rsidR="00000000" w:rsidRDefault="004D2F83">
      <w:pPr>
        <w:spacing w:line="360" w:lineRule="exact"/>
        <w:rPr>
          <w:rFonts w:hint="eastAsia"/>
          <w:sz w:val="18"/>
        </w:rPr>
      </w:pPr>
      <w:r>
        <w:rPr>
          <w:rFonts w:eastAsia="SimHei" w:hint="eastAsia"/>
          <w:sz w:val="18"/>
        </w:rPr>
        <w:t>资料来源</w:t>
      </w:r>
      <w:r>
        <w:rPr>
          <w:rFonts w:hint="eastAsia"/>
          <w:sz w:val="18"/>
        </w:rPr>
        <w:t>：</w:t>
      </w:r>
      <w:r>
        <w:rPr>
          <w:rFonts w:hint="eastAsia"/>
          <w:sz w:val="18"/>
        </w:rPr>
        <w:t>1985</w:t>
      </w:r>
      <w:r>
        <w:rPr>
          <w:rFonts w:hint="eastAsia"/>
          <w:sz w:val="18"/>
        </w:rPr>
        <w:t>和</w:t>
      </w:r>
      <w:r>
        <w:rPr>
          <w:rFonts w:hint="eastAsia"/>
          <w:sz w:val="18"/>
        </w:rPr>
        <w:t>1999</w:t>
      </w:r>
      <w:r>
        <w:rPr>
          <w:rFonts w:hint="eastAsia"/>
          <w:sz w:val="18"/>
        </w:rPr>
        <w:t>年全国住户抽样调查。</w:t>
      </w:r>
    </w:p>
    <w:p w:rsidR="00000000" w:rsidRDefault="004D2F83">
      <w:pPr>
        <w:spacing w:line="360" w:lineRule="exact"/>
        <w:rPr>
          <w:rFonts w:hint="eastAsia"/>
          <w:sz w:val="18"/>
        </w:rPr>
      </w:pPr>
      <w:r>
        <w:rPr>
          <w:rFonts w:hint="eastAsia"/>
          <w:sz w:val="18"/>
        </w:rPr>
        <w:t>﹡包括教育程度不详者。</w:t>
      </w:r>
    </w:p>
    <w:p w:rsidR="00000000" w:rsidRDefault="004D2F83">
      <w:pPr>
        <w:spacing w:after="240" w:line="360" w:lineRule="exact"/>
        <w:rPr>
          <w:rFonts w:hint="eastAsia"/>
          <w:sz w:val="18"/>
        </w:rPr>
      </w:pPr>
      <w:r>
        <w:rPr>
          <w:rFonts w:hint="eastAsia"/>
          <w:sz w:val="18"/>
        </w:rPr>
        <w:t>注：不包括北部地区的农村人口。</w:t>
      </w:r>
    </w:p>
    <w:p w:rsidR="00000000" w:rsidRDefault="004D2F83" w:rsidP="004D2F83">
      <w:pPr>
        <w:spacing w:after="240" w:line="360" w:lineRule="exact"/>
        <w:ind w:firstLineChars="200" w:firstLine="31680"/>
      </w:pPr>
      <w:r>
        <w:rPr>
          <w:rFonts w:hint="eastAsia"/>
        </w:rPr>
        <w:t>由于学业不及格、辍学、被开除等原因，男女学生在升学时都会遇到同样的障碍，而且男生面临的情况更严重些。在巴西，男女平均要用</w:t>
      </w:r>
      <w:r>
        <w:t>10.4</w:t>
      </w:r>
      <w:r>
        <w:rPr>
          <w:rFonts w:hint="eastAsia"/>
        </w:rPr>
        <w:t>年的时间来读完</w:t>
      </w:r>
      <w:r>
        <w:rPr>
          <w:rFonts w:hint="eastAsia"/>
        </w:rPr>
        <w:t>8</w:t>
      </w:r>
      <w:r>
        <w:rPr>
          <w:rFonts w:hint="eastAsia"/>
        </w:rPr>
        <w:t>年的基础教育，效率为</w:t>
      </w:r>
      <w:r>
        <w:t>0.78</w:t>
      </w:r>
      <w:r>
        <w:rPr>
          <w:rFonts w:hint="eastAsia"/>
        </w:rPr>
        <w:t>（教育部</w:t>
      </w:r>
      <w:r>
        <w:rPr>
          <w:rFonts w:hint="eastAsia"/>
        </w:rPr>
        <w:t>/</w:t>
      </w:r>
      <w:r>
        <w:rPr>
          <w:rFonts w:hint="eastAsia"/>
        </w:rPr>
        <w:t>国家教育</w:t>
      </w:r>
      <w:r>
        <w:rPr>
          <w:rFonts w:hint="eastAsia"/>
        </w:rPr>
        <w:t>研究所，</w:t>
      </w:r>
      <w:r>
        <w:rPr>
          <w:rFonts w:hint="eastAsia"/>
        </w:rPr>
        <w:t>2000</w:t>
      </w:r>
      <w:r>
        <w:t>a</w:t>
      </w:r>
      <w:r>
        <w:rPr>
          <w:rFonts w:hint="eastAsia"/>
        </w:rPr>
        <w:t>，第</w:t>
      </w:r>
      <w:r>
        <w:rPr>
          <w:rFonts w:hint="eastAsia"/>
        </w:rPr>
        <w:t>82</w:t>
      </w:r>
      <w:r>
        <w:rPr>
          <w:rFonts w:hint="eastAsia"/>
        </w:rPr>
        <w:t>页）。</w:t>
      </w:r>
    </w:p>
    <w:p w:rsidR="00000000" w:rsidRDefault="004D2F83" w:rsidP="004D2F83">
      <w:pPr>
        <w:spacing w:after="240" w:line="360" w:lineRule="exact"/>
        <w:ind w:firstLineChars="200" w:firstLine="31680"/>
        <w:rPr>
          <w:rFonts w:hint="eastAsia"/>
        </w:rPr>
      </w:pPr>
      <w:r>
        <w:rPr>
          <w:rFonts w:hint="eastAsia"/>
        </w:rPr>
        <w:t>从种族和家庭收入两方面来分析，女生的年级—年龄差距都要小于男生（罗森贝格，</w:t>
      </w:r>
      <w:r>
        <w:rPr>
          <w:rFonts w:hint="eastAsia"/>
        </w:rPr>
        <w:t>2001</w:t>
      </w:r>
      <w:r>
        <w:rPr>
          <w:rFonts w:hint="eastAsia"/>
        </w:rPr>
        <w:t>年）。种族比较显示，黑人男女学生（包括黑白混血儿）的年级—年龄差距大于白人男女学生，黑人男生在这方面的差距大于黑人女生，白人男生的差距也大于白人女生。调查表明，几乎所有年龄组的黑人女生的教育指标都好于黑人男生。同样，白人女生的教育指标也强过白人男生（巴塞洛斯，</w:t>
      </w:r>
      <w:r>
        <w:rPr>
          <w:rFonts w:hint="eastAsia"/>
        </w:rPr>
        <w:t>1999</w:t>
      </w:r>
      <w:r>
        <w:rPr>
          <w:rFonts w:hint="eastAsia"/>
        </w:rPr>
        <w:t>年）。</w:t>
      </w:r>
    </w:p>
    <w:p w:rsidR="00000000" w:rsidRDefault="004D2F83" w:rsidP="004D2F83">
      <w:pPr>
        <w:spacing w:after="240" w:line="360" w:lineRule="exact"/>
        <w:ind w:firstLineChars="200" w:firstLine="31680"/>
        <w:rPr>
          <w:rFonts w:hint="eastAsia"/>
        </w:rPr>
      </w:pPr>
      <w:r>
        <w:rPr>
          <w:rFonts w:hint="eastAsia"/>
        </w:rPr>
        <w:t>在某一特定学年中，完成基础教育、中等教育和高等教育的女性人数多于男性。“在完成基础教育的毕业生中，</w:t>
      </w:r>
      <w:r>
        <w:rPr>
          <w:rFonts w:hint="eastAsia"/>
        </w:rPr>
        <w:t>53%</w:t>
      </w:r>
      <w:r>
        <w:rPr>
          <w:rFonts w:hint="eastAsia"/>
        </w:rPr>
        <w:t>是女生，</w:t>
      </w:r>
      <w:r>
        <w:t>46.4</w:t>
      </w:r>
      <w:r>
        <w:rPr>
          <w:rFonts w:hint="eastAsia"/>
        </w:rPr>
        <w:t>%</w:t>
      </w:r>
      <w:r>
        <w:rPr>
          <w:rFonts w:hint="eastAsia"/>
        </w:rPr>
        <w:t>是男生。中等教育的情况类似：女生占毕业生总数的</w:t>
      </w:r>
      <w:r>
        <w:t>58.3%</w:t>
      </w:r>
      <w:r>
        <w:rPr>
          <w:rFonts w:hint="eastAsia"/>
        </w:rPr>
        <w:t>，男生占</w:t>
      </w:r>
      <w:r>
        <w:t>41.5%</w:t>
      </w:r>
      <w:r>
        <w:rPr>
          <w:rFonts w:hint="eastAsia"/>
        </w:rPr>
        <w:t>。完成高等教育的女性人数甚至更多——在全体大学毕业生中，女生占了</w:t>
      </w:r>
      <w:r>
        <w:t>61.4%</w:t>
      </w:r>
      <w:r>
        <w:rPr>
          <w:rFonts w:hint="eastAsia"/>
        </w:rPr>
        <w:t>。”（教育部</w:t>
      </w:r>
      <w:r>
        <w:rPr>
          <w:rFonts w:hint="eastAsia"/>
        </w:rPr>
        <w:t>/</w:t>
      </w:r>
      <w:r>
        <w:rPr>
          <w:rFonts w:hint="eastAsia"/>
        </w:rPr>
        <w:t>国家教育研究所，</w:t>
      </w:r>
      <w:r>
        <w:rPr>
          <w:rFonts w:hint="eastAsia"/>
        </w:rPr>
        <w:t>2000</w:t>
      </w:r>
      <w:r>
        <w:t>a</w:t>
      </w:r>
      <w:r>
        <w:rPr>
          <w:rFonts w:hint="eastAsia"/>
        </w:rPr>
        <w:t>，第</w:t>
      </w:r>
      <w:r>
        <w:rPr>
          <w:rFonts w:hint="eastAsia"/>
        </w:rPr>
        <w:t>5</w:t>
      </w:r>
      <w:r>
        <w:rPr>
          <w:rFonts w:hint="eastAsia"/>
        </w:rPr>
        <w:t>页）</w:t>
      </w:r>
    </w:p>
    <w:p w:rsidR="00000000" w:rsidRDefault="004D2F83" w:rsidP="004D2F83">
      <w:pPr>
        <w:spacing w:after="240" w:line="360" w:lineRule="exact"/>
        <w:ind w:firstLineChars="200" w:firstLine="31680"/>
        <w:rPr>
          <w:rFonts w:hint="eastAsia"/>
        </w:rPr>
      </w:pPr>
      <w:r>
        <w:rPr>
          <w:rFonts w:hint="eastAsia"/>
        </w:rPr>
        <w:t>参加补习课程学习的女生比例略高一些：参加基础教育和中等教育补习课程的女生比例分别为</w:t>
      </w:r>
      <w:r>
        <w:t>50.4%</w:t>
      </w:r>
      <w:r>
        <w:rPr>
          <w:rFonts w:hint="eastAsia"/>
        </w:rPr>
        <w:t>和</w:t>
      </w:r>
      <w:r>
        <w:t>51.4%</w:t>
      </w:r>
      <w:r>
        <w:rPr>
          <w:rFonts w:hint="eastAsia"/>
        </w:rPr>
        <w:t>（全国住户抽样调查，</w:t>
      </w:r>
      <w:r>
        <w:rPr>
          <w:rFonts w:hint="eastAsia"/>
        </w:rPr>
        <w:t>1999</w:t>
      </w:r>
      <w:r>
        <w:rPr>
          <w:rFonts w:hint="eastAsia"/>
        </w:rPr>
        <w:t>年）。这既表明相关年龄组的女性人数较多（性别比率），也说明女性人口积极寻求教育，另一个指标也证明了这一点：在私立大学就读的女生比例略高。</w:t>
      </w:r>
    </w:p>
    <w:p w:rsidR="00000000" w:rsidRDefault="004D2F83" w:rsidP="004D2F83">
      <w:pPr>
        <w:spacing w:after="240" w:line="360" w:lineRule="exact"/>
        <w:ind w:firstLineChars="200" w:firstLine="31680"/>
        <w:rPr>
          <w:rFonts w:hint="eastAsia"/>
        </w:rPr>
      </w:pPr>
      <w:r>
        <w:rPr>
          <w:rFonts w:hint="eastAsia"/>
        </w:rPr>
        <w:t>总而言之，在本章开头部分提及的男生比例略</w:t>
      </w:r>
      <w:r>
        <w:rPr>
          <w:rFonts w:hint="eastAsia"/>
        </w:rPr>
        <w:t>高的现象，可能是由于男生升学速度较慢造成的，因为要读完同样一个教育阶段，男生所用的时间要长于女生。</w:t>
      </w:r>
    </w:p>
    <w:p w:rsidR="00000000" w:rsidRDefault="004D2F83" w:rsidP="004D2F83">
      <w:pPr>
        <w:spacing w:after="240" w:line="360" w:lineRule="exact"/>
        <w:ind w:firstLineChars="200" w:firstLine="31680"/>
        <w:rPr>
          <w:rFonts w:hint="eastAsia"/>
        </w:rPr>
      </w:pPr>
      <w:r>
        <w:rPr>
          <w:rFonts w:hint="eastAsia"/>
        </w:rPr>
        <w:t>1985</w:t>
      </w:r>
      <w:r>
        <w:rPr>
          <w:rFonts w:hint="eastAsia"/>
        </w:rPr>
        <w:t>至</w:t>
      </w:r>
      <w:r>
        <w:rPr>
          <w:rFonts w:hint="eastAsia"/>
        </w:rPr>
        <w:t>1999</w:t>
      </w:r>
      <w:r>
        <w:rPr>
          <w:rFonts w:hint="eastAsia"/>
        </w:rPr>
        <w:t>年间，男女人口增长均受到控制，对这一时期男女学生总就学率的增长情况的分析表明，巴西教育系统可以保证男生享有较多的受教育机会、女生享有较多的升学机会。这一趋势如果能够得到其他更为精确的研究的证实，可以将它同私立高等教育网络中女性人数较多的现象联系起来（表</w:t>
      </w:r>
      <w:r>
        <w:rPr>
          <w:rFonts w:hint="eastAsia"/>
        </w:rPr>
        <w:t>30</w:t>
      </w:r>
      <w:r>
        <w:rPr>
          <w:rFonts w:hint="eastAsia"/>
        </w:rPr>
        <w:t>）。</w:t>
      </w:r>
    </w:p>
    <w:p w:rsidR="00000000" w:rsidRDefault="004D2F83">
      <w:pPr>
        <w:spacing w:after="120" w:line="360" w:lineRule="exact"/>
        <w:jc w:val="center"/>
        <w:rPr>
          <w:rFonts w:ascii="SimHei" w:eastAsia="SimHei" w:hint="eastAsia"/>
        </w:rPr>
      </w:pPr>
      <w:r>
        <w:rPr>
          <w:rFonts w:ascii="SimHei" w:eastAsia="SimHei" w:hint="eastAsia"/>
        </w:rPr>
        <w:t>表</w:t>
      </w:r>
      <w:r>
        <w:rPr>
          <w:rFonts w:ascii="SimHei" w:eastAsia="SimHei" w:hint="eastAsia"/>
        </w:rPr>
        <w:t>30</w:t>
      </w:r>
      <w:r>
        <w:rPr>
          <w:rFonts w:ascii="SimHei" w:eastAsia="SimHei" w:hint="eastAsia"/>
        </w:rPr>
        <w:t>．</w:t>
      </w:r>
      <w:r>
        <w:rPr>
          <w:rFonts w:ascii="SimHei" w:eastAsia="SimHei" w:hint="eastAsia"/>
        </w:rPr>
        <w:t>1985</w:t>
      </w:r>
      <w:r>
        <w:rPr>
          <w:rFonts w:ascii="SimHei" w:eastAsia="SimHei" w:hint="eastAsia"/>
        </w:rPr>
        <w:t>至</w:t>
      </w:r>
      <w:r>
        <w:rPr>
          <w:rFonts w:ascii="SimHei" w:eastAsia="SimHei" w:hint="eastAsia"/>
        </w:rPr>
        <w:t>1999</w:t>
      </w:r>
      <w:r>
        <w:rPr>
          <w:rFonts w:ascii="SimHei" w:eastAsia="SimHei" w:hint="eastAsia"/>
        </w:rPr>
        <w:t>年间选定的男女学生教育指标的增长率（</w:t>
      </w:r>
      <w:r>
        <w:rPr>
          <w:rFonts w:ascii="SimHei" w:eastAsia="SimHei" w:hint="eastAsia"/>
        </w:rPr>
        <w:t>%</w:t>
      </w:r>
      <w:r>
        <w:rPr>
          <w:rFonts w:ascii="SimHei" w:eastAsia="SimHei" w:hint="eastAsia"/>
        </w:rPr>
        <w:t>）</w:t>
      </w:r>
    </w:p>
    <w:p w:rsidR="00000000" w:rsidRDefault="004D2F83">
      <w:pPr>
        <w:spacing w:after="120" w:line="360" w:lineRule="exact"/>
        <w:jc w:val="center"/>
        <w:rPr>
          <w:rFonts w:ascii="SimHei" w:eastAsia="SimHei" w:hint="eastAsia"/>
        </w:rPr>
      </w:pPr>
      <w:r>
        <w:rPr>
          <w:rFonts w:ascii="SimHei" w:eastAsia="SimHei" w:hint="eastAsia"/>
        </w:rPr>
        <w:t>巴西</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06"/>
        <w:gridCol w:w="2947"/>
        <w:gridCol w:w="3103"/>
      </w:tblGrid>
      <w:tr w:rsidR="00000000">
        <w:tblPrEx>
          <w:tblCellMar>
            <w:top w:w="0" w:type="dxa"/>
            <w:bottom w:w="0" w:type="dxa"/>
          </w:tblCellMar>
        </w:tblPrEx>
        <w:trPr>
          <w:cantSplit/>
        </w:trPr>
        <w:tc>
          <w:tcPr>
            <w:tcW w:w="1931" w:type="pct"/>
          </w:tcPr>
          <w:p w:rsidR="00000000" w:rsidRDefault="004D2F83">
            <w:pPr>
              <w:spacing w:line="320" w:lineRule="exact"/>
              <w:rPr>
                <w:rFonts w:eastAsia="SimHei" w:hint="eastAsia"/>
                <w:sz w:val="18"/>
              </w:rPr>
            </w:pPr>
            <w:r>
              <w:rPr>
                <w:rFonts w:eastAsia="SimHei" w:hint="eastAsia"/>
                <w:sz w:val="18"/>
              </w:rPr>
              <w:t>指标</w:t>
            </w:r>
          </w:p>
        </w:tc>
        <w:tc>
          <w:tcPr>
            <w:tcW w:w="3069" w:type="pct"/>
            <w:gridSpan w:val="2"/>
          </w:tcPr>
          <w:p w:rsidR="00000000" w:rsidRDefault="004D2F83">
            <w:pPr>
              <w:spacing w:line="320" w:lineRule="exact"/>
              <w:jc w:val="center"/>
              <w:rPr>
                <w:rFonts w:eastAsia="SimHei" w:hint="eastAsia"/>
                <w:sz w:val="18"/>
              </w:rPr>
            </w:pPr>
            <w:r>
              <w:rPr>
                <w:rFonts w:eastAsia="SimHei" w:hint="eastAsia"/>
                <w:sz w:val="18"/>
              </w:rPr>
              <w:t>增长率﹡</w:t>
            </w:r>
          </w:p>
        </w:tc>
      </w:tr>
      <w:tr w:rsidR="00000000">
        <w:tblPrEx>
          <w:tblCellMar>
            <w:top w:w="0" w:type="dxa"/>
            <w:bottom w:w="0" w:type="dxa"/>
          </w:tblCellMar>
        </w:tblPrEx>
        <w:tc>
          <w:tcPr>
            <w:tcW w:w="1931" w:type="pct"/>
          </w:tcPr>
          <w:p w:rsidR="00000000" w:rsidRDefault="004D2F83">
            <w:pPr>
              <w:spacing w:line="320" w:lineRule="exact"/>
              <w:rPr>
                <w:rFonts w:hint="eastAsia"/>
                <w:sz w:val="18"/>
              </w:rPr>
            </w:pPr>
            <w:r>
              <w:rPr>
                <w:rFonts w:hint="eastAsia"/>
                <w:sz w:val="18"/>
              </w:rPr>
              <w:t>5</w:t>
            </w:r>
            <w:r>
              <w:rPr>
                <w:rFonts w:hint="eastAsia"/>
                <w:sz w:val="18"/>
              </w:rPr>
              <w:t>岁以上年龄组</w:t>
            </w:r>
          </w:p>
        </w:tc>
        <w:tc>
          <w:tcPr>
            <w:tcW w:w="1495" w:type="pct"/>
          </w:tcPr>
          <w:p w:rsidR="00000000" w:rsidRDefault="004D2F83">
            <w:pPr>
              <w:spacing w:line="320" w:lineRule="exact"/>
              <w:jc w:val="center"/>
              <w:rPr>
                <w:rFonts w:hint="eastAsia"/>
                <w:sz w:val="18"/>
              </w:rPr>
            </w:pPr>
            <w:r>
              <w:rPr>
                <w:rFonts w:hint="eastAsia"/>
                <w:sz w:val="18"/>
              </w:rPr>
              <w:t>男</w:t>
            </w:r>
          </w:p>
        </w:tc>
        <w:tc>
          <w:tcPr>
            <w:tcW w:w="1574" w:type="pct"/>
          </w:tcPr>
          <w:p w:rsidR="00000000" w:rsidRDefault="004D2F83">
            <w:pPr>
              <w:spacing w:line="320" w:lineRule="exact"/>
              <w:jc w:val="center"/>
              <w:rPr>
                <w:rFonts w:hint="eastAsia"/>
                <w:sz w:val="18"/>
              </w:rPr>
            </w:pPr>
            <w:r>
              <w:rPr>
                <w:rFonts w:hint="eastAsia"/>
                <w:sz w:val="18"/>
              </w:rPr>
              <w:t>女</w:t>
            </w:r>
          </w:p>
        </w:tc>
      </w:tr>
      <w:tr w:rsidR="00000000">
        <w:tblPrEx>
          <w:tblCellMar>
            <w:top w:w="0" w:type="dxa"/>
            <w:bottom w:w="0" w:type="dxa"/>
          </w:tblCellMar>
        </w:tblPrEx>
        <w:tc>
          <w:tcPr>
            <w:tcW w:w="1931" w:type="pct"/>
          </w:tcPr>
          <w:p w:rsidR="00000000" w:rsidRDefault="004D2F83">
            <w:pPr>
              <w:spacing w:line="320" w:lineRule="exact"/>
              <w:rPr>
                <w:rFonts w:hint="eastAsia"/>
                <w:sz w:val="18"/>
              </w:rPr>
            </w:pPr>
            <w:r>
              <w:rPr>
                <w:rFonts w:hint="eastAsia"/>
                <w:sz w:val="18"/>
              </w:rPr>
              <w:t>总数</w:t>
            </w:r>
          </w:p>
        </w:tc>
        <w:tc>
          <w:tcPr>
            <w:tcW w:w="1495" w:type="pct"/>
          </w:tcPr>
          <w:p w:rsidR="00000000" w:rsidRDefault="004D2F83" w:rsidP="004D2F83">
            <w:pPr>
              <w:spacing w:line="320" w:lineRule="exact"/>
              <w:ind w:rightChars="592" w:right="31680"/>
              <w:jc w:val="right"/>
              <w:rPr>
                <w:sz w:val="18"/>
              </w:rPr>
            </w:pPr>
            <w:r>
              <w:rPr>
                <w:sz w:val="18"/>
              </w:rPr>
              <w:t>25.4</w:t>
            </w:r>
          </w:p>
        </w:tc>
        <w:tc>
          <w:tcPr>
            <w:tcW w:w="1574" w:type="pct"/>
          </w:tcPr>
          <w:p w:rsidR="00000000" w:rsidRDefault="004D2F83" w:rsidP="004D2F83">
            <w:pPr>
              <w:spacing w:line="320" w:lineRule="exact"/>
              <w:ind w:rightChars="592" w:right="31680"/>
              <w:jc w:val="right"/>
              <w:rPr>
                <w:sz w:val="18"/>
              </w:rPr>
            </w:pPr>
            <w:r>
              <w:rPr>
                <w:sz w:val="18"/>
              </w:rPr>
              <w:t>28.5</w:t>
            </w:r>
          </w:p>
        </w:tc>
      </w:tr>
      <w:tr w:rsidR="00000000">
        <w:tblPrEx>
          <w:tblCellMar>
            <w:top w:w="0" w:type="dxa"/>
            <w:bottom w:w="0" w:type="dxa"/>
          </w:tblCellMar>
        </w:tblPrEx>
        <w:tc>
          <w:tcPr>
            <w:tcW w:w="1931" w:type="pct"/>
          </w:tcPr>
          <w:p w:rsidR="00000000" w:rsidRDefault="004D2F83">
            <w:pPr>
              <w:spacing w:line="320" w:lineRule="exact"/>
              <w:rPr>
                <w:rFonts w:hint="eastAsia"/>
                <w:sz w:val="18"/>
              </w:rPr>
            </w:pPr>
            <w:r>
              <w:rPr>
                <w:rFonts w:hint="eastAsia"/>
                <w:sz w:val="18"/>
              </w:rPr>
              <w:t>城市</w:t>
            </w:r>
          </w:p>
        </w:tc>
        <w:tc>
          <w:tcPr>
            <w:tcW w:w="1495" w:type="pct"/>
          </w:tcPr>
          <w:p w:rsidR="00000000" w:rsidRDefault="004D2F83" w:rsidP="004D2F83">
            <w:pPr>
              <w:spacing w:line="320" w:lineRule="exact"/>
              <w:ind w:rightChars="592" w:right="31680"/>
              <w:jc w:val="right"/>
              <w:rPr>
                <w:sz w:val="18"/>
              </w:rPr>
            </w:pPr>
            <w:r>
              <w:rPr>
                <w:sz w:val="18"/>
              </w:rPr>
              <w:t>37.2</w:t>
            </w:r>
          </w:p>
        </w:tc>
        <w:tc>
          <w:tcPr>
            <w:tcW w:w="1574" w:type="pct"/>
          </w:tcPr>
          <w:p w:rsidR="00000000" w:rsidRDefault="004D2F83" w:rsidP="004D2F83">
            <w:pPr>
              <w:spacing w:line="320" w:lineRule="exact"/>
              <w:ind w:rightChars="592" w:right="31680"/>
              <w:jc w:val="right"/>
              <w:rPr>
                <w:sz w:val="18"/>
              </w:rPr>
            </w:pPr>
            <w:r>
              <w:rPr>
                <w:sz w:val="18"/>
              </w:rPr>
              <w:t>40.0</w:t>
            </w:r>
          </w:p>
        </w:tc>
      </w:tr>
      <w:tr w:rsidR="00000000">
        <w:tblPrEx>
          <w:tblCellMar>
            <w:top w:w="0" w:type="dxa"/>
            <w:bottom w:w="0" w:type="dxa"/>
          </w:tblCellMar>
        </w:tblPrEx>
        <w:tc>
          <w:tcPr>
            <w:tcW w:w="1931" w:type="pct"/>
          </w:tcPr>
          <w:p w:rsidR="00000000" w:rsidRDefault="004D2F83">
            <w:pPr>
              <w:spacing w:line="320" w:lineRule="exact"/>
              <w:rPr>
                <w:rFonts w:hint="eastAsia"/>
                <w:sz w:val="18"/>
              </w:rPr>
            </w:pPr>
            <w:r>
              <w:rPr>
                <w:rFonts w:hint="eastAsia"/>
                <w:sz w:val="18"/>
              </w:rPr>
              <w:t>乡村</w:t>
            </w:r>
          </w:p>
        </w:tc>
        <w:tc>
          <w:tcPr>
            <w:tcW w:w="1495" w:type="pct"/>
          </w:tcPr>
          <w:p w:rsidR="00000000" w:rsidRDefault="004D2F83" w:rsidP="004D2F83">
            <w:pPr>
              <w:spacing w:line="320" w:lineRule="exact"/>
              <w:ind w:rightChars="592" w:right="31680"/>
              <w:jc w:val="right"/>
              <w:rPr>
                <w:sz w:val="18"/>
              </w:rPr>
            </w:pPr>
            <w:r>
              <w:rPr>
                <w:sz w:val="18"/>
              </w:rPr>
              <w:t>-5.1</w:t>
            </w:r>
          </w:p>
        </w:tc>
        <w:tc>
          <w:tcPr>
            <w:tcW w:w="1574" w:type="pct"/>
          </w:tcPr>
          <w:p w:rsidR="00000000" w:rsidRDefault="004D2F83" w:rsidP="004D2F83">
            <w:pPr>
              <w:spacing w:line="320" w:lineRule="exact"/>
              <w:ind w:rightChars="592" w:right="31680"/>
              <w:jc w:val="right"/>
              <w:rPr>
                <w:sz w:val="18"/>
              </w:rPr>
            </w:pPr>
            <w:r>
              <w:rPr>
                <w:sz w:val="18"/>
              </w:rPr>
              <w:t>-5.5</w:t>
            </w:r>
          </w:p>
        </w:tc>
      </w:tr>
      <w:tr w:rsidR="00000000">
        <w:tblPrEx>
          <w:tblCellMar>
            <w:top w:w="0" w:type="dxa"/>
            <w:bottom w:w="0" w:type="dxa"/>
          </w:tblCellMar>
        </w:tblPrEx>
        <w:tc>
          <w:tcPr>
            <w:tcW w:w="1931" w:type="pct"/>
          </w:tcPr>
          <w:p w:rsidR="00000000" w:rsidRDefault="004D2F83">
            <w:pPr>
              <w:spacing w:line="320" w:lineRule="exact"/>
              <w:rPr>
                <w:rFonts w:hint="eastAsia"/>
                <w:sz w:val="18"/>
              </w:rPr>
            </w:pPr>
            <w:r>
              <w:rPr>
                <w:rFonts w:hint="eastAsia"/>
                <w:sz w:val="18"/>
              </w:rPr>
              <w:t>识字率（</w:t>
            </w:r>
            <w:r>
              <w:rPr>
                <w:rFonts w:hint="eastAsia"/>
                <w:sz w:val="18"/>
              </w:rPr>
              <w:t>5</w:t>
            </w:r>
            <w:r>
              <w:rPr>
                <w:rFonts w:hint="eastAsia"/>
                <w:sz w:val="18"/>
              </w:rPr>
              <w:t>岁以上）</w:t>
            </w:r>
          </w:p>
        </w:tc>
        <w:tc>
          <w:tcPr>
            <w:tcW w:w="1495" w:type="pct"/>
          </w:tcPr>
          <w:p w:rsidR="00000000" w:rsidRDefault="004D2F83" w:rsidP="004D2F83">
            <w:pPr>
              <w:spacing w:line="320" w:lineRule="exact"/>
              <w:ind w:rightChars="592" w:right="31680"/>
              <w:jc w:val="right"/>
              <w:rPr>
                <w:sz w:val="18"/>
              </w:rPr>
            </w:pPr>
          </w:p>
        </w:tc>
        <w:tc>
          <w:tcPr>
            <w:tcW w:w="1574" w:type="pct"/>
          </w:tcPr>
          <w:p w:rsidR="00000000" w:rsidRDefault="004D2F83" w:rsidP="004D2F83">
            <w:pPr>
              <w:spacing w:line="320" w:lineRule="exact"/>
              <w:ind w:rightChars="592" w:right="31680"/>
              <w:jc w:val="right"/>
              <w:rPr>
                <w:rFonts w:hint="eastAsia"/>
                <w:sz w:val="18"/>
              </w:rPr>
            </w:pPr>
          </w:p>
        </w:tc>
      </w:tr>
      <w:tr w:rsidR="00000000">
        <w:tblPrEx>
          <w:tblCellMar>
            <w:top w:w="0" w:type="dxa"/>
            <w:bottom w:w="0" w:type="dxa"/>
          </w:tblCellMar>
        </w:tblPrEx>
        <w:tc>
          <w:tcPr>
            <w:tcW w:w="1931" w:type="pct"/>
          </w:tcPr>
          <w:p w:rsidR="00000000" w:rsidRDefault="004D2F83">
            <w:pPr>
              <w:spacing w:line="320" w:lineRule="exact"/>
              <w:rPr>
                <w:rFonts w:hint="eastAsia"/>
                <w:sz w:val="18"/>
              </w:rPr>
            </w:pPr>
            <w:r>
              <w:rPr>
                <w:rFonts w:hint="eastAsia"/>
                <w:sz w:val="18"/>
              </w:rPr>
              <w:t>总数</w:t>
            </w:r>
          </w:p>
        </w:tc>
        <w:tc>
          <w:tcPr>
            <w:tcW w:w="1495" w:type="pct"/>
          </w:tcPr>
          <w:p w:rsidR="00000000" w:rsidRDefault="004D2F83" w:rsidP="004D2F83">
            <w:pPr>
              <w:spacing w:line="320" w:lineRule="exact"/>
              <w:ind w:rightChars="592" w:right="31680"/>
              <w:jc w:val="right"/>
              <w:rPr>
                <w:sz w:val="18"/>
              </w:rPr>
            </w:pPr>
            <w:r>
              <w:rPr>
                <w:sz w:val="18"/>
              </w:rPr>
              <w:t>43.3</w:t>
            </w:r>
          </w:p>
        </w:tc>
        <w:tc>
          <w:tcPr>
            <w:tcW w:w="1574" w:type="pct"/>
          </w:tcPr>
          <w:p w:rsidR="00000000" w:rsidRDefault="004D2F83" w:rsidP="004D2F83">
            <w:pPr>
              <w:spacing w:line="320" w:lineRule="exact"/>
              <w:ind w:rightChars="592" w:right="31680"/>
              <w:jc w:val="right"/>
              <w:rPr>
                <w:sz w:val="18"/>
              </w:rPr>
            </w:pPr>
            <w:r>
              <w:rPr>
                <w:sz w:val="18"/>
              </w:rPr>
              <w:t>48.2</w:t>
            </w:r>
          </w:p>
        </w:tc>
      </w:tr>
      <w:tr w:rsidR="00000000">
        <w:tblPrEx>
          <w:tblCellMar>
            <w:top w:w="0" w:type="dxa"/>
            <w:bottom w:w="0" w:type="dxa"/>
          </w:tblCellMar>
        </w:tblPrEx>
        <w:tc>
          <w:tcPr>
            <w:tcW w:w="1931" w:type="pct"/>
          </w:tcPr>
          <w:p w:rsidR="00000000" w:rsidRDefault="004D2F83">
            <w:pPr>
              <w:spacing w:line="320" w:lineRule="exact"/>
              <w:rPr>
                <w:rFonts w:hint="eastAsia"/>
                <w:sz w:val="18"/>
              </w:rPr>
            </w:pPr>
            <w:r>
              <w:rPr>
                <w:rFonts w:hint="eastAsia"/>
                <w:sz w:val="18"/>
              </w:rPr>
              <w:t>城市</w:t>
            </w:r>
          </w:p>
        </w:tc>
        <w:tc>
          <w:tcPr>
            <w:tcW w:w="1495" w:type="pct"/>
          </w:tcPr>
          <w:p w:rsidR="00000000" w:rsidRDefault="004D2F83" w:rsidP="004D2F83">
            <w:pPr>
              <w:spacing w:line="320" w:lineRule="exact"/>
              <w:ind w:rightChars="592" w:right="31680"/>
              <w:jc w:val="right"/>
              <w:rPr>
                <w:sz w:val="18"/>
              </w:rPr>
            </w:pPr>
            <w:r>
              <w:rPr>
                <w:sz w:val="18"/>
              </w:rPr>
              <w:t>49.4</w:t>
            </w:r>
          </w:p>
        </w:tc>
        <w:tc>
          <w:tcPr>
            <w:tcW w:w="1574" w:type="pct"/>
          </w:tcPr>
          <w:p w:rsidR="00000000" w:rsidRDefault="004D2F83" w:rsidP="004D2F83">
            <w:pPr>
              <w:spacing w:line="320" w:lineRule="exact"/>
              <w:ind w:rightChars="592" w:right="31680"/>
              <w:jc w:val="right"/>
              <w:rPr>
                <w:sz w:val="18"/>
              </w:rPr>
            </w:pPr>
            <w:r>
              <w:rPr>
                <w:sz w:val="18"/>
              </w:rPr>
              <w:t>54.1</w:t>
            </w:r>
          </w:p>
        </w:tc>
      </w:tr>
      <w:tr w:rsidR="00000000">
        <w:tblPrEx>
          <w:tblCellMar>
            <w:top w:w="0" w:type="dxa"/>
            <w:bottom w:w="0" w:type="dxa"/>
          </w:tblCellMar>
        </w:tblPrEx>
        <w:tc>
          <w:tcPr>
            <w:tcW w:w="1931" w:type="pct"/>
          </w:tcPr>
          <w:p w:rsidR="00000000" w:rsidRDefault="004D2F83">
            <w:pPr>
              <w:spacing w:line="320" w:lineRule="exact"/>
              <w:rPr>
                <w:rFonts w:hint="eastAsia"/>
                <w:sz w:val="18"/>
              </w:rPr>
            </w:pPr>
            <w:r>
              <w:rPr>
                <w:rFonts w:hint="eastAsia"/>
                <w:sz w:val="18"/>
              </w:rPr>
              <w:t>乡村</w:t>
            </w:r>
          </w:p>
        </w:tc>
        <w:tc>
          <w:tcPr>
            <w:tcW w:w="1495" w:type="pct"/>
          </w:tcPr>
          <w:p w:rsidR="00000000" w:rsidRDefault="004D2F83" w:rsidP="004D2F83">
            <w:pPr>
              <w:spacing w:line="320" w:lineRule="exact"/>
              <w:ind w:rightChars="592" w:right="31680"/>
              <w:jc w:val="right"/>
              <w:rPr>
                <w:sz w:val="18"/>
              </w:rPr>
            </w:pPr>
            <w:r>
              <w:rPr>
                <w:sz w:val="18"/>
              </w:rPr>
              <w:t>19.8</w:t>
            </w:r>
          </w:p>
        </w:tc>
        <w:tc>
          <w:tcPr>
            <w:tcW w:w="1574" w:type="pct"/>
          </w:tcPr>
          <w:p w:rsidR="00000000" w:rsidRDefault="004D2F83" w:rsidP="004D2F83">
            <w:pPr>
              <w:spacing w:line="320" w:lineRule="exact"/>
              <w:ind w:rightChars="592" w:right="31680"/>
              <w:jc w:val="right"/>
              <w:rPr>
                <w:sz w:val="18"/>
              </w:rPr>
            </w:pPr>
            <w:r>
              <w:rPr>
                <w:sz w:val="18"/>
              </w:rPr>
              <w:t>23.0</w:t>
            </w:r>
          </w:p>
        </w:tc>
      </w:tr>
      <w:tr w:rsidR="00000000">
        <w:tblPrEx>
          <w:tblCellMar>
            <w:top w:w="0" w:type="dxa"/>
            <w:bottom w:w="0" w:type="dxa"/>
          </w:tblCellMar>
        </w:tblPrEx>
        <w:tc>
          <w:tcPr>
            <w:tcW w:w="1931" w:type="pct"/>
          </w:tcPr>
          <w:p w:rsidR="00000000" w:rsidRDefault="004D2F83">
            <w:pPr>
              <w:spacing w:line="320" w:lineRule="exact"/>
              <w:rPr>
                <w:rFonts w:hint="eastAsia"/>
                <w:sz w:val="18"/>
              </w:rPr>
            </w:pPr>
            <w:r>
              <w:rPr>
                <w:rFonts w:hint="eastAsia"/>
                <w:sz w:val="18"/>
              </w:rPr>
              <w:t>学生（</w:t>
            </w:r>
            <w:r>
              <w:rPr>
                <w:rFonts w:hint="eastAsia"/>
                <w:sz w:val="18"/>
              </w:rPr>
              <w:t>5</w:t>
            </w:r>
            <w:r>
              <w:rPr>
                <w:rFonts w:hint="eastAsia"/>
                <w:sz w:val="18"/>
              </w:rPr>
              <w:t>岁以上）</w:t>
            </w:r>
          </w:p>
        </w:tc>
        <w:tc>
          <w:tcPr>
            <w:tcW w:w="1495" w:type="pct"/>
          </w:tcPr>
          <w:p w:rsidR="00000000" w:rsidRDefault="004D2F83" w:rsidP="004D2F83">
            <w:pPr>
              <w:spacing w:line="320" w:lineRule="exact"/>
              <w:ind w:rightChars="592" w:right="31680"/>
              <w:jc w:val="right"/>
              <w:rPr>
                <w:rFonts w:hint="eastAsia"/>
                <w:sz w:val="18"/>
              </w:rPr>
            </w:pPr>
          </w:p>
        </w:tc>
        <w:tc>
          <w:tcPr>
            <w:tcW w:w="1574" w:type="pct"/>
          </w:tcPr>
          <w:p w:rsidR="00000000" w:rsidRDefault="004D2F83" w:rsidP="004D2F83">
            <w:pPr>
              <w:spacing w:line="320" w:lineRule="exact"/>
              <w:ind w:rightChars="592" w:right="31680"/>
              <w:jc w:val="right"/>
              <w:rPr>
                <w:rFonts w:hint="eastAsia"/>
                <w:sz w:val="18"/>
              </w:rPr>
            </w:pPr>
          </w:p>
        </w:tc>
      </w:tr>
      <w:tr w:rsidR="00000000">
        <w:tblPrEx>
          <w:tblCellMar>
            <w:top w:w="0" w:type="dxa"/>
            <w:bottom w:w="0" w:type="dxa"/>
          </w:tblCellMar>
        </w:tblPrEx>
        <w:tc>
          <w:tcPr>
            <w:tcW w:w="1931" w:type="pct"/>
          </w:tcPr>
          <w:p w:rsidR="00000000" w:rsidRDefault="004D2F83">
            <w:pPr>
              <w:spacing w:line="320" w:lineRule="exact"/>
              <w:rPr>
                <w:rFonts w:hint="eastAsia"/>
                <w:sz w:val="18"/>
              </w:rPr>
            </w:pPr>
            <w:r>
              <w:rPr>
                <w:rFonts w:hint="eastAsia"/>
                <w:sz w:val="18"/>
              </w:rPr>
              <w:t>总数</w:t>
            </w:r>
          </w:p>
        </w:tc>
        <w:tc>
          <w:tcPr>
            <w:tcW w:w="1495" w:type="pct"/>
          </w:tcPr>
          <w:p w:rsidR="00000000" w:rsidRDefault="004D2F83" w:rsidP="004D2F83">
            <w:pPr>
              <w:spacing w:line="320" w:lineRule="exact"/>
              <w:ind w:rightChars="592" w:right="31680"/>
              <w:jc w:val="right"/>
              <w:rPr>
                <w:sz w:val="18"/>
              </w:rPr>
            </w:pPr>
            <w:r>
              <w:rPr>
                <w:sz w:val="18"/>
              </w:rPr>
              <w:t>51.4</w:t>
            </w:r>
          </w:p>
        </w:tc>
        <w:tc>
          <w:tcPr>
            <w:tcW w:w="1574" w:type="pct"/>
          </w:tcPr>
          <w:p w:rsidR="00000000" w:rsidRDefault="004D2F83" w:rsidP="004D2F83">
            <w:pPr>
              <w:spacing w:line="320" w:lineRule="exact"/>
              <w:ind w:rightChars="592" w:right="31680"/>
              <w:jc w:val="right"/>
              <w:rPr>
                <w:sz w:val="18"/>
              </w:rPr>
            </w:pPr>
            <w:r>
              <w:rPr>
                <w:sz w:val="18"/>
              </w:rPr>
              <w:t>50.2</w:t>
            </w:r>
          </w:p>
        </w:tc>
      </w:tr>
      <w:tr w:rsidR="00000000">
        <w:tblPrEx>
          <w:tblCellMar>
            <w:top w:w="0" w:type="dxa"/>
            <w:bottom w:w="0" w:type="dxa"/>
          </w:tblCellMar>
        </w:tblPrEx>
        <w:tc>
          <w:tcPr>
            <w:tcW w:w="1931" w:type="pct"/>
          </w:tcPr>
          <w:p w:rsidR="00000000" w:rsidRDefault="004D2F83">
            <w:pPr>
              <w:spacing w:line="320" w:lineRule="exact"/>
              <w:rPr>
                <w:rFonts w:hint="eastAsia"/>
                <w:sz w:val="18"/>
              </w:rPr>
            </w:pPr>
            <w:r>
              <w:rPr>
                <w:rFonts w:hint="eastAsia"/>
                <w:sz w:val="18"/>
              </w:rPr>
              <w:t>学前教育</w:t>
            </w:r>
          </w:p>
        </w:tc>
        <w:tc>
          <w:tcPr>
            <w:tcW w:w="1495" w:type="pct"/>
          </w:tcPr>
          <w:p w:rsidR="00000000" w:rsidRDefault="004D2F83" w:rsidP="004D2F83">
            <w:pPr>
              <w:spacing w:line="320" w:lineRule="exact"/>
              <w:ind w:rightChars="592" w:right="31680"/>
              <w:jc w:val="right"/>
              <w:rPr>
                <w:sz w:val="18"/>
              </w:rPr>
            </w:pPr>
            <w:r>
              <w:rPr>
                <w:sz w:val="18"/>
              </w:rPr>
              <w:t>84.1</w:t>
            </w:r>
          </w:p>
        </w:tc>
        <w:tc>
          <w:tcPr>
            <w:tcW w:w="1574" w:type="pct"/>
          </w:tcPr>
          <w:p w:rsidR="00000000" w:rsidRDefault="004D2F83" w:rsidP="004D2F83">
            <w:pPr>
              <w:spacing w:line="320" w:lineRule="exact"/>
              <w:ind w:rightChars="592" w:right="31680"/>
              <w:jc w:val="right"/>
              <w:rPr>
                <w:sz w:val="18"/>
              </w:rPr>
            </w:pPr>
            <w:r>
              <w:rPr>
                <w:sz w:val="18"/>
              </w:rPr>
              <w:t>78.4</w:t>
            </w:r>
          </w:p>
        </w:tc>
      </w:tr>
      <w:tr w:rsidR="00000000">
        <w:tblPrEx>
          <w:tblCellMar>
            <w:top w:w="0" w:type="dxa"/>
            <w:bottom w:w="0" w:type="dxa"/>
          </w:tblCellMar>
        </w:tblPrEx>
        <w:tc>
          <w:tcPr>
            <w:tcW w:w="1931" w:type="pct"/>
          </w:tcPr>
          <w:p w:rsidR="00000000" w:rsidRDefault="004D2F83">
            <w:pPr>
              <w:spacing w:line="320" w:lineRule="exact"/>
              <w:rPr>
                <w:rFonts w:hint="eastAsia"/>
                <w:sz w:val="18"/>
              </w:rPr>
            </w:pPr>
            <w:r>
              <w:rPr>
                <w:rFonts w:hint="eastAsia"/>
                <w:sz w:val="18"/>
              </w:rPr>
              <w:t>基础教育</w:t>
            </w:r>
          </w:p>
        </w:tc>
        <w:tc>
          <w:tcPr>
            <w:tcW w:w="1495" w:type="pct"/>
          </w:tcPr>
          <w:p w:rsidR="00000000" w:rsidRDefault="004D2F83" w:rsidP="004D2F83">
            <w:pPr>
              <w:spacing w:line="320" w:lineRule="exact"/>
              <w:ind w:rightChars="592" w:right="31680"/>
              <w:jc w:val="right"/>
              <w:rPr>
                <w:sz w:val="18"/>
              </w:rPr>
            </w:pPr>
            <w:r>
              <w:rPr>
                <w:sz w:val="18"/>
              </w:rPr>
              <w:t>34.9</w:t>
            </w:r>
          </w:p>
        </w:tc>
        <w:tc>
          <w:tcPr>
            <w:tcW w:w="1574" w:type="pct"/>
          </w:tcPr>
          <w:p w:rsidR="00000000" w:rsidRDefault="004D2F83" w:rsidP="004D2F83">
            <w:pPr>
              <w:spacing w:line="320" w:lineRule="exact"/>
              <w:ind w:rightChars="592" w:right="31680"/>
              <w:jc w:val="right"/>
              <w:rPr>
                <w:sz w:val="18"/>
              </w:rPr>
            </w:pPr>
            <w:r>
              <w:rPr>
                <w:sz w:val="18"/>
              </w:rPr>
              <w:t>28.9</w:t>
            </w:r>
          </w:p>
        </w:tc>
      </w:tr>
      <w:tr w:rsidR="00000000">
        <w:tblPrEx>
          <w:tblCellMar>
            <w:top w:w="0" w:type="dxa"/>
            <w:bottom w:w="0" w:type="dxa"/>
          </w:tblCellMar>
        </w:tblPrEx>
        <w:tc>
          <w:tcPr>
            <w:tcW w:w="1931" w:type="pct"/>
          </w:tcPr>
          <w:p w:rsidR="00000000" w:rsidRDefault="004D2F83">
            <w:pPr>
              <w:spacing w:line="320" w:lineRule="exact"/>
              <w:rPr>
                <w:rFonts w:hint="eastAsia"/>
                <w:sz w:val="18"/>
              </w:rPr>
            </w:pPr>
            <w:r>
              <w:rPr>
                <w:rFonts w:hint="eastAsia"/>
                <w:sz w:val="18"/>
              </w:rPr>
              <w:t>中等教育</w:t>
            </w:r>
          </w:p>
        </w:tc>
        <w:tc>
          <w:tcPr>
            <w:tcW w:w="1495" w:type="pct"/>
          </w:tcPr>
          <w:p w:rsidR="00000000" w:rsidRDefault="004D2F83" w:rsidP="004D2F83">
            <w:pPr>
              <w:spacing w:line="320" w:lineRule="exact"/>
              <w:ind w:rightChars="592" w:right="31680"/>
              <w:jc w:val="right"/>
              <w:rPr>
                <w:sz w:val="18"/>
              </w:rPr>
            </w:pPr>
            <w:r>
              <w:rPr>
                <w:sz w:val="18"/>
              </w:rPr>
              <w:t>167.2</w:t>
            </w:r>
          </w:p>
        </w:tc>
        <w:tc>
          <w:tcPr>
            <w:tcW w:w="1574" w:type="pct"/>
          </w:tcPr>
          <w:p w:rsidR="00000000" w:rsidRDefault="004D2F83" w:rsidP="004D2F83">
            <w:pPr>
              <w:spacing w:line="320" w:lineRule="exact"/>
              <w:ind w:rightChars="592" w:right="31680"/>
              <w:jc w:val="right"/>
              <w:rPr>
                <w:sz w:val="18"/>
              </w:rPr>
            </w:pPr>
            <w:r>
              <w:rPr>
                <w:sz w:val="18"/>
              </w:rPr>
              <w:t>159.9</w:t>
            </w:r>
          </w:p>
        </w:tc>
      </w:tr>
      <w:tr w:rsidR="00000000">
        <w:tblPrEx>
          <w:tblCellMar>
            <w:top w:w="0" w:type="dxa"/>
            <w:bottom w:w="0" w:type="dxa"/>
          </w:tblCellMar>
        </w:tblPrEx>
        <w:tc>
          <w:tcPr>
            <w:tcW w:w="1931" w:type="pct"/>
          </w:tcPr>
          <w:p w:rsidR="00000000" w:rsidRDefault="004D2F83">
            <w:pPr>
              <w:spacing w:line="320" w:lineRule="exact"/>
              <w:rPr>
                <w:rFonts w:hint="eastAsia"/>
                <w:sz w:val="18"/>
              </w:rPr>
            </w:pPr>
            <w:r>
              <w:rPr>
                <w:rFonts w:hint="eastAsia"/>
                <w:sz w:val="18"/>
              </w:rPr>
              <w:t>高等教育</w:t>
            </w:r>
          </w:p>
        </w:tc>
        <w:tc>
          <w:tcPr>
            <w:tcW w:w="1495" w:type="pct"/>
          </w:tcPr>
          <w:p w:rsidR="00000000" w:rsidRDefault="004D2F83" w:rsidP="004D2F83">
            <w:pPr>
              <w:spacing w:line="320" w:lineRule="exact"/>
              <w:ind w:rightChars="592" w:right="31680"/>
              <w:jc w:val="right"/>
              <w:rPr>
                <w:sz w:val="18"/>
              </w:rPr>
            </w:pPr>
            <w:r>
              <w:rPr>
                <w:sz w:val="18"/>
              </w:rPr>
              <w:t>69.9</w:t>
            </w:r>
          </w:p>
        </w:tc>
        <w:tc>
          <w:tcPr>
            <w:tcW w:w="1574" w:type="pct"/>
          </w:tcPr>
          <w:p w:rsidR="00000000" w:rsidRDefault="004D2F83" w:rsidP="004D2F83">
            <w:pPr>
              <w:spacing w:line="320" w:lineRule="exact"/>
              <w:ind w:rightChars="592" w:right="31680"/>
              <w:jc w:val="right"/>
              <w:rPr>
                <w:sz w:val="18"/>
              </w:rPr>
            </w:pPr>
            <w:r>
              <w:rPr>
                <w:sz w:val="18"/>
              </w:rPr>
              <w:t>123.4</w:t>
            </w:r>
          </w:p>
        </w:tc>
      </w:tr>
      <w:tr w:rsidR="00000000">
        <w:tblPrEx>
          <w:tblCellMar>
            <w:top w:w="0" w:type="dxa"/>
            <w:bottom w:w="0" w:type="dxa"/>
          </w:tblCellMar>
        </w:tblPrEx>
        <w:tc>
          <w:tcPr>
            <w:tcW w:w="1931" w:type="pct"/>
          </w:tcPr>
          <w:p w:rsidR="00000000" w:rsidRDefault="004D2F83">
            <w:pPr>
              <w:spacing w:line="320" w:lineRule="exact"/>
              <w:rPr>
                <w:rFonts w:hint="eastAsia"/>
                <w:sz w:val="18"/>
              </w:rPr>
            </w:pPr>
            <w:r>
              <w:rPr>
                <w:rFonts w:hint="eastAsia"/>
                <w:sz w:val="18"/>
              </w:rPr>
              <w:t>教育年限（</w:t>
            </w:r>
            <w:r>
              <w:rPr>
                <w:rFonts w:hint="eastAsia"/>
                <w:sz w:val="18"/>
              </w:rPr>
              <w:t>10</w:t>
            </w:r>
            <w:r>
              <w:rPr>
                <w:rFonts w:hint="eastAsia"/>
                <w:sz w:val="18"/>
              </w:rPr>
              <w:t>岁以上）</w:t>
            </w:r>
          </w:p>
        </w:tc>
        <w:tc>
          <w:tcPr>
            <w:tcW w:w="1495" w:type="pct"/>
          </w:tcPr>
          <w:p w:rsidR="00000000" w:rsidRDefault="004D2F83" w:rsidP="004D2F83">
            <w:pPr>
              <w:spacing w:line="320" w:lineRule="exact"/>
              <w:ind w:rightChars="592" w:right="31680"/>
              <w:jc w:val="right"/>
              <w:rPr>
                <w:rFonts w:hint="eastAsia"/>
                <w:sz w:val="18"/>
              </w:rPr>
            </w:pPr>
          </w:p>
        </w:tc>
        <w:tc>
          <w:tcPr>
            <w:tcW w:w="1574" w:type="pct"/>
          </w:tcPr>
          <w:p w:rsidR="00000000" w:rsidRDefault="004D2F83" w:rsidP="004D2F83">
            <w:pPr>
              <w:spacing w:line="320" w:lineRule="exact"/>
              <w:ind w:rightChars="592" w:right="31680"/>
              <w:jc w:val="right"/>
              <w:rPr>
                <w:rFonts w:hint="eastAsia"/>
                <w:sz w:val="18"/>
              </w:rPr>
            </w:pPr>
          </w:p>
        </w:tc>
      </w:tr>
      <w:tr w:rsidR="00000000">
        <w:tblPrEx>
          <w:tblCellMar>
            <w:top w:w="0" w:type="dxa"/>
            <w:bottom w:w="0" w:type="dxa"/>
          </w:tblCellMar>
        </w:tblPrEx>
        <w:tc>
          <w:tcPr>
            <w:tcW w:w="1931" w:type="pct"/>
          </w:tcPr>
          <w:p w:rsidR="00000000" w:rsidRDefault="004D2F83">
            <w:pPr>
              <w:spacing w:line="320" w:lineRule="exact"/>
              <w:rPr>
                <w:rFonts w:hint="eastAsia"/>
                <w:sz w:val="18"/>
              </w:rPr>
            </w:pPr>
            <w:r>
              <w:rPr>
                <w:rFonts w:hint="eastAsia"/>
                <w:sz w:val="18"/>
              </w:rPr>
              <w:t>总数</w:t>
            </w:r>
          </w:p>
        </w:tc>
        <w:tc>
          <w:tcPr>
            <w:tcW w:w="1495" w:type="pct"/>
          </w:tcPr>
          <w:p w:rsidR="00000000" w:rsidRDefault="004D2F83" w:rsidP="004D2F83">
            <w:pPr>
              <w:spacing w:line="320" w:lineRule="exact"/>
              <w:ind w:rightChars="592" w:right="31680"/>
              <w:jc w:val="right"/>
              <w:rPr>
                <w:sz w:val="18"/>
              </w:rPr>
            </w:pPr>
            <w:r>
              <w:rPr>
                <w:sz w:val="18"/>
              </w:rPr>
              <w:t>30.8</w:t>
            </w:r>
          </w:p>
        </w:tc>
        <w:tc>
          <w:tcPr>
            <w:tcW w:w="1574" w:type="pct"/>
          </w:tcPr>
          <w:p w:rsidR="00000000" w:rsidRDefault="004D2F83" w:rsidP="004D2F83">
            <w:pPr>
              <w:spacing w:line="320" w:lineRule="exact"/>
              <w:ind w:rightChars="592" w:right="31680"/>
              <w:jc w:val="right"/>
              <w:rPr>
                <w:sz w:val="18"/>
              </w:rPr>
            </w:pPr>
            <w:r>
              <w:rPr>
                <w:sz w:val="18"/>
              </w:rPr>
              <w:t>33.9</w:t>
            </w:r>
          </w:p>
        </w:tc>
      </w:tr>
      <w:tr w:rsidR="00000000">
        <w:tblPrEx>
          <w:tblCellMar>
            <w:top w:w="0" w:type="dxa"/>
            <w:bottom w:w="0" w:type="dxa"/>
          </w:tblCellMar>
        </w:tblPrEx>
        <w:tc>
          <w:tcPr>
            <w:tcW w:w="1931" w:type="pct"/>
          </w:tcPr>
          <w:p w:rsidR="00000000" w:rsidRDefault="004D2F83">
            <w:pPr>
              <w:spacing w:line="320" w:lineRule="exact"/>
              <w:rPr>
                <w:rFonts w:hint="eastAsia"/>
                <w:sz w:val="18"/>
              </w:rPr>
            </w:pPr>
            <w:r>
              <w:rPr>
                <w:rFonts w:hint="eastAsia"/>
                <w:sz w:val="18"/>
              </w:rPr>
              <w:t>学习时间不足</w:t>
            </w:r>
            <w:r>
              <w:rPr>
                <w:rFonts w:hint="eastAsia"/>
                <w:sz w:val="18"/>
              </w:rPr>
              <w:t>1</w:t>
            </w:r>
            <w:r>
              <w:rPr>
                <w:rFonts w:hint="eastAsia"/>
                <w:sz w:val="18"/>
              </w:rPr>
              <w:t>年者</w:t>
            </w:r>
          </w:p>
        </w:tc>
        <w:tc>
          <w:tcPr>
            <w:tcW w:w="1495" w:type="pct"/>
          </w:tcPr>
          <w:p w:rsidR="00000000" w:rsidRDefault="004D2F83" w:rsidP="004D2F83">
            <w:pPr>
              <w:spacing w:line="320" w:lineRule="exact"/>
              <w:ind w:rightChars="592" w:right="31680"/>
              <w:jc w:val="right"/>
              <w:rPr>
                <w:sz w:val="18"/>
              </w:rPr>
            </w:pPr>
            <w:r>
              <w:rPr>
                <w:sz w:val="18"/>
              </w:rPr>
              <w:t>-15.9</w:t>
            </w:r>
          </w:p>
        </w:tc>
        <w:tc>
          <w:tcPr>
            <w:tcW w:w="1574" w:type="pct"/>
          </w:tcPr>
          <w:p w:rsidR="00000000" w:rsidRDefault="004D2F83" w:rsidP="004D2F83">
            <w:pPr>
              <w:spacing w:line="320" w:lineRule="exact"/>
              <w:ind w:rightChars="592" w:right="31680"/>
              <w:jc w:val="right"/>
              <w:rPr>
                <w:sz w:val="18"/>
              </w:rPr>
            </w:pPr>
            <w:r>
              <w:rPr>
                <w:sz w:val="18"/>
              </w:rPr>
              <w:t>-18.8</w:t>
            </w:r>
          </w:p>
        </w:tc>
      </w:tr>
      <w:tr w:rsidR="00000000">
        <w:tblPrEx>
          <w:tblCellMar>
            <w:top w:w="0" w:type="dxa"/>
            <w:bottom w:w="0" w:type="dxa"/>
          </w:tblCellMar>
        </w:tblPrEx>
        <w:tc>
          <w:tcPr>
            <w:tcW w:w="1931" w:type="pct"/>
          </w:tcPr>
          <w:p w:rsidR="00000000" w:rsidRDefault="004D2F83">
            <w:pPr>
              <w:spacing w:line="320" w:lineRule="exact"/>
              <w:rPr>
                <w:rFonts w:hint="eastAsia"/>
                <w:sz w:val="18"/>
              </w:rPr>
            </w:pPr>
            <w:r>
              <w:rPr>
                <w:rFonts w:hint="eastAsia"/>
                <w:sz w:val="18"/>
              </w:rPr>
              <w:t>4</w:t>
            </w:r>
            <w:r>
              <w:rPr>
                <w:rFonts w:hint="eastAsia"/>
                <w:sz w:val="18"/>
              </w:rPr>
              <w:t>年</w:t>
            </w:r>
          </w:p>
        </w:tc>
        <w:tc>
          <w:tcPr>
            <w:tcW w:w="1495" w:type="pct"/>
          </w:tcPr>
          <w:p w:rsidR="00000000" w:rsidRDefault="004D2F83" w:rsidP="004D2F83">
            <w:pPr>
              <w:spacing w:line="320" w:lineRule="exact"/>
              <w:ind w:rightChars="592" w:right="31680"/>
              <w:jc w:val="right"/>
              <w:rPr>
                <w:sz w:val="18"/>
              </w:rPr>
            </w:pPr>
            <w:r>
              <w:rPr>
                <w:sz w:val="18"/>
              </w:rPr>
              <w:t>8.2</w:t>
            </w:r>
          </w:p>
        </w:tc>
        <w:tc>
          <w:tcPr>
            <w:tcW w:w="1574" w:type="pct"/>
          </w:tcPr>
          <w:p w:rsidR="00000000" w:rsidRDefault="004D2F83" w:rsidP="004D2F83">
            <w:pPr>
              <w:spacing w:line="320" w:lineRule="exact"/>
              <w:ind w:rightChars="592" w:right="31680"/>
              <w:jc w:val="right"/>
              <w:rPr>
                <w:sz w:val="18"/>
              </w:rPr>
            </w:pPr>
            <w:r>
              <w:rPr>
                <w:sz w:val="18"/>
              </w:rPr>
              <w:t>9.9</w:t>
            </w:r>
          </w:p>
        </w:tc>
      </w:tr>
      <w:tr w:rsidR="00000000">
        <w:tblPrEx>
          <w:tblCellMar>
            <w:top w:w="0" w:type="dxa"/>
            <w:bottom w:w="0" w:type="dxa"/>
          </w:tblCellMar>
        </w:tblPrEx>
        <w:tc>
          <w:tcPr>
            <w:tcW w:w="1931" w:type="pct"/>
          </w:tcPr>
          <w:p w:rsidR="00000000" w:rsidRDefault="004D2F83">
            <w:pPr>
              <w:spacing w:line="320" w:lineRule="exact"/>
              <w:rPr>
                <w:rFonts w:hint="eastAsia"/>
                <w:sz w:val="18"/>
              </w:rPr>
            </w:pPr>
            <w:r>
              <w:rPr>
                <w:rFonts w:hint="eastAsia"/>
                <w:sz w:val="18"/>
              </w:rPr>
              <w:t>8</w:t>
            </w:r>
            <w:r>
              <w:rPr>
                <w:rFonts w:hint="eastAsia"/>
                <w:sz w:val="18"/>
              </w:rPr>
              <w:t>年</w:t>
            </w:r>
          </w:p>
        </w:tc>
        <w:tc>
          <w:tcPr>
            <w:tcW w:w="1495" w:type="pct"/>
          </w:tcPr>
          <w:p w:rsidR="00000000" w:rsidRDefault="004D2F83" w:rsidP="004D2F83">
            <w:pPr>
              <w:spacing w:line="320" w:lineRule="exact"/>
              <w:ind w:rightChars="592" w:right="31680"/>
              <w:jc w:val="right"/>
              <w:rPr>
                <w:sz w:val="18"/>
              </w:rPr>
            </w:pPr>
            <w:r>
              <w:rPr>
                <w:sz w:val="18"/>
              </w:rPr>
              <w:t>76.9</w:t>
            </w:r>
          </w:p>
        </w:tc>
        <w:tc>
          <w:tcPr>
            <w:tcW w:w="1574" w:type="pct"/>
          </w:tcPr>
          <w:p w:rsidR="00000000" w:rsidRDefault="004D2F83" w:rsidP="004D2F83">
            <w:pPr>
              <w:spacing w:line="320" w:lineRule="exact"/>
              <w:ind w:rightChars="592" w:right="31680"/>
              <w:jc w:val="right"/>
              <w:rPr>
                <w:sz w:val="18"/>
              </w:rPr>
            </w:pPr>
            <w:r>
              <w:rPr>
                <w:sz w:val="18"/>
              </w:rPr>
              <w:t>7</w:t>
            </w:r>
            <w:r>
              <w:rPr>
                <w:sz w:val="18"/>
              </w:rPr>
              <w:t>6.8</w:t>
            </w:r>
          </w:p>
        </w:tc>
      </w:tr>
      <w:tr w:rsidR="00000000">
        <w:tblPrEx>
          <w:tblCellMar>
            <w:top w:w="0" w:type="dxa"/>
            <w:bottom w:w="0" w:type="dxa"/>
          </w:tblCellMar>
        </w:tblPrEx>
        <w:tc>
          <w:tcPr>
            <w:tcW w:w="1931" w:type="pct"/>
          </w:tcPr>
          <w:p w:rsidR="00000000" w:rsidRDefault="004D2F83">
            <w:pPr>
              <w:spacing w:line="320" w:lineRule="exact"/>
              <w:rPr>
                <w:rFonts w:hint="eastAsia"/>
                <w:sz w:val="18"/>
              </w:rPr>
            </w:pPr>
            <w:r>
              <w:rPr>
                <w:rFonts w:hint="eastAsia"/>
                <w:sz w:val="18"/>
              </w:rPr>
              <w:t>9</w:t>
            </w:r>
            <w:r>
              <w:rPr>
                <w:rFonts w:hint="eastAsia"/>
                <w:sz w:val="18"/>
              </w:rPr>
              <w:t>到</w:t>
            </w:r>
            <w:r>
              <w:rPr>
                <w:rFonts w:hint="eastAsia"/>
                <w:sz w:val="18"/>
              </w:rPr>
              <w:t>11</w:t>
            </w:r>
            <w:r>
              <w:rPr>
                <w:rFonts w:hint="eastAsia"/>
                <w:sz w:val="18"/>
              </w:rPr>
              <w:t>年</w:t>
            </w:r>
          </w:p>
        </w:tc>
        <w:tc>
          <w:tcPr>
            <w:tcW w:w="1495" w:type="pct"/>
          </w:tcPr>
          <w:p w:rsidR="00000000" w:rsidRDefault="004D2F83" w:rsidP="004D2F83">
            <w:pPr>
              <w:spacing w:line="320" w:lineRule="exact"/>
              <w:ind w:rightChars="592" w:right="31680"/>
              <w:jc w:val="right"/>
              <w:rPr>
                <w:sz w:val="18"/>
              </w:rPr>
            </w:pPr>
            <w:r>
              <w:rPr>
                <w:sz w:val="18"/>
              </w:rPr>
              <w:t>102.2</w:t>
            </w:r>
          </w:p>
        </w:tc>
        <w:tc>
          <w:tcPr>
            <w:tcW w:w="1574" w:type="pct"/>
          </w:tcPr>
          <w:p w:rsidR="00000000" w:rsidRDefault="004D2F83" w:rsidP="004D2F83">
            <w:pPr>
              <w:spacing w:line="320" w:lineRule="exact"/>
              <w:ind w:rightChars="592" w:right="31680"/>
              <w:jc w:val="right"/>
              <w:rPr>
                <w:sz w:val="18"/>
              </w:rPr>
            </w:pPr>
            <w:r>
              <w:rPr>
                <w:sz w:val="18"/>
              </w:rPr>
              <w:t>133.3</w:t>
            </w:r>
          </w:p>
        </w:tc>
      </w:tr>
      <w:tr w:rsidR="00000000">
        <w:tblPrEx>
          <w:tblCellMar>
            <w:top w:w="0" w:type="dxa"/>
            <w:bottom w:w="0" w:type="dxa"/>
          </w:tblCellMar>
        </w:tblPrEx>
        <w:tc>
          <w:tcPr>
            <w:tcW w:w="1931" w:type="pct"/>
          </w:tcPr>
          <w:p w:rsidR="00000000" w:rsidRDefault="004D2F83">
            <w:pPr>
              <w:spacing w:line="320" w:lineRule="exact"/>
              <w:rPr>
                <w:rFonts w:hint="eastAsia"/>
                <w:sz w:val="18"/>
              </w:rPr>
            </w:pPr>
            <w:r>
              <w:rPr>
                <w:rFonts w:hint="eastAsia"/>
                <w:sz w:val="18"/>
              </w:rPr>
              <w:t>12</w:t>
            </w:r>
            <w:r>
              <w:rPr>
                <w:rFonts w:hint="eastAsia"/>
                <w:sz w:val="18"/>
              </w:rPr>
              <w:t>年以上</w:t>
            </w:r>
          </w:p>
        </w:tc>
        <w:tc>
          <w:tcPr>
            <w:tcW w:w="1495" w:type="pct"/>
          </w:tcPr>
          <w:p w:rsidR="00000000" w:rsidRDefault="004D2F83" w:rsidP="004D2F83">
            <w:pPr>
              <w:spacing w:line="320" w:lineRule="exact"/>
              <w:ind w:rightChars="592" w:right="31680"/>
              <w:jc w:val="right"/>
              <w:rPr>
                <w:sz w:val="18"/>
              </w:rPr>
            </w:pPr>
            <w:r>
              <w:rPr>
                <w:sz w:val="18"/>
              </w:rPr>
              <w:t>73.9</w:t>
            </w:r>
          </w:p>
        </w:tc>
        <w:tc>
          <w:tcPr>
            <w:tcW w:w="1574" w:type="pct"/>
          </w:tcPr>
          <w:p w:rsidR="00000000" w:rsidRDefault="004D2F83" w:rsidP="004D2F83">
            <w:pPr>
              <w:spacing w:line="320" w:lineRule="exact"/>
              <w:ind w:rightChars="592" w:right="31680"/>
              <w:jc w:val="right"/>
              <w:rPr>
                <w:sz w:val="18"/>
              </w:rPr>
            </w:pPr>
            <w:r>
              <w:rPr>
                <w:sz w:val="18"/>
              </w:rPr>
              <w:t>125.8</w:t>
            </w:r>
          </w:p>
        </w:tc>
      </w:tr>
    </w:tbl>
    <w:p w:rsidR="00000000" w:rsidRDefault="004D2F83">
      <w:pPr>
        <w:spacing w:line="360" w:lineRule="exact"/>
        <w:rPr>
          <w:rFonts w:hint="eastAsia"/>
          <w:sz w:val="18"/>
        </w:rPr>
      </w:pPr>
      <w:r>
        <w:rPr>
          <w:rFonts w:eastAsia="SimHei" w:hint="eastAsia"/>
          <w:sz w:val="18"/>
        </w:rPr>
        <w:t>资料来源</w:t>
      </w:r>
      <w:r>
        <w:rPr>
          <w:rFonts w:hint="eastAsia"/>
          <w:sz w:val="18"/>
        </w:rPr>
        <w:t>：</w:t>
      </w:r>
      <w:r>
        <w:rPr>
          <w:rFonts w:hint="eastAsia"/>
          <w:sz w:val="18"/>
        </w:rPr>
        <w:t>1985</w:t>
      </w:r>
      <w:r>
        <w:rPr>
          <w:rFonts w:hint="eastAsia"/>
          <w:sz w:val="18"/>
        </w:rPr>
        <w:t>和</w:t>
      </w:r>
      <w:r>
        <w:rPr>
          <w:rFonts w:hint="eastAsia"/>
          <w:sz w:val="18"/>
        </w:rPr>
        <w:t>1999</w:t>
      </w:r>
      <w:r>
        <w:rPr>
          <w:rFonts w:hint="eastAsia"/>
          <w:sz w:val="18"/>
        </w:rPr>
        <w:t>年全国住户抽样调查。</w:t>
      </w:r>
    </w:p>
    <w:p w:rsidR="00000000" w:rsidRDefault="004D2F83">
      <w:pPr>
        <w:spacing w:line="360" w:lineRule="exact"/>
        <w:rPr>
          <w:rFonts w:hint="eastAsia"/>
          <w:sz w:val="18"/>
        </w:rPr>
      </w:pPr>
      <w:r>
        <w:rPr>
          <w:rFonts w:hint="eastAsia"/>
          <w:sz w:val="18"/>
        </w:rPr>
        <w:t>注：不包括北部地区的农村人口。</w:t>
      </w:r>
    </w:p>
    <w:p w:rsidR="00000000" w:rsidRDefault="004D2F83">
      <w:pPr>
        <w:spacing w:after="240" w:line="360" w:lineRule="exact"/>
        <w:rPr>
          <w:sz w:val="18"/>
        </w:rPr>
      </w:pPr>
      <w:r>
        <w:rPr>
          <w:rFonts w:hint="eastAsia"/>
          <w:sz w:val="18"/>
        </w:rPr>
        <w:t>﹡增长率（</w:t>
      </w:r>
      <w:r>
        <w:rPr>
          <w:rFonts w:hint="eastAsia"/>
          <w:sz w:val="18"/>
        </w:rPr>
        <w:t>%</w:t>
      </w:r>
      <w:r>
        <w:rPr>
          <w:rFonts w:hint="eastAsia"/>
          <w:sz w:val="18"/>
        </w:rPr>
        <w:t>）：</w:t>
      </w:r>
      <w:r>
        <w:rPr>
          <w:rFonts w:hint="eastAsia"/>
          <w:sz w:val="18"/>
        </w:rPr>
        <w:t>1999</w:t>
      </w:r>
      <w:r>
        <w:rPr>
          <w:rFonts w:hint="eastAsia"/>
          <w:sz w:val="18"/>
        </w:rPr>
        <w:t>年总数－</w:t>
      </w:r>
      <w:r>
        <w:rPr>
          <w:rFonts w:hint="eastAsia"/>
          <w:sz w:val="18"/>
        </w:rPr>
        <w:t>1985</w:t>
      </w:r>
      <w:r>
        <w:rPr>
          <w:rFonts w:hint="eastAsia"/>
          <w:sz w:val="18"/>
        </w:rPr>
        <w:t>年总数／较低的总数×</w:t>
      </w:r>
      <w:r>
        <w:rPr>
          <w:rFonts w:hint="eastAsia"/>
          <w:sz w:val="18"/>
        </w:rPr>
        <w:t>100</w:t>
      </w:r>
    </w:p>
    <w:p w:rsidR="00000000" w:rsidRDefault="004D2F83" w:rsidP="004D2F83">
      <w:pPr>
        <w:spacing w:after="240" w:line="340" w:lineRule="exact"/>
        <w:ind w:firstLineChars="200" w:firstLine="31680"/>
        <w:rPr>
          <w:rFonts w:hint="eastAsia"/>
        </w:rPr>
      </w:pPr>
      <w:r>
        <w:rPr>
          <w:rFonts w:hint="eastAsia"/>
        </w:rPr>
        <w:t>这说明有迹象表明（对此还应进一步研究），巴西当代公立教育政策没能像上文提及的报告所希望的那样做到人人平等或是向女性提供某种特权（教育部</w:t>
      </w:r>
      <w:r>
        <w:rPr>
          <w:rFonts w:hint="eastAsia"/>
        </w:rPr>
        <w:t>/</w:t>
      </w:r>
      <w:r>
        <w:rPr>
          <w:rFonts w:hint="eastAsia"/>
        </w:rPr>
        <w:t>国家教育研究所，</w:t>
      </w:r>
      <w:r>
        <w:rPr>
          <w:rFonts w:hint="eastAsia"/>
        </w:rPr>
        <w:t>2000</w:t>
      </w:r>
      <w:r>
        <w:t>b</w:t>
      </w:r>
      <w:r>
        <w:rPr>
          <w:rFonts w:hint="eastAsia"/>
        </w:rPr>
        <w:t>）。相反，这些教育政策表现出男女各自的不同趋势（罗森贝格，</w:t>
      </w:r>
      <w:r>
        <w:rPr>
          <w:rFonts w:hint="eastAsia"/>
        </w:rPr>
        <w:t>2001</w:t>
      </w:r>
      <w:r>
        <w:rPr>
          <w:rFonts w:hint="eastAsia"/>
        </w:rPr>
        <w:t>年）。</w:t>
      </w:r>
    </w:p>
    <w:p w:rsidR="00000000" w:rsidRDefault="004D2F83" w:rsidP="004D2F83">
      <w:pPr>
        <w:spacing w:after="240" w:line="340" w:lineRule="exact"/>
        <w:ind w:firstLineChars="200" w:firstLine="31680"/>
        <w:rPr>
          <w:rFonts w:hint="eastAsia"/>
        </w:rPr>
      </w:pPr>
      <w:r>
        <w:rPr>
          <w:rFonts w:hint="eastAsia"/>
        </w:rPr>
        <w:t>在追求更高的教育程度方面，与男性相比，女性</w:t>
      </w:r>
      <w:r>
        <w:rPr>
          <w:rFonts w:hint="eastAsia"/>
        </w:rPr>
        <w:t>面临的困难较小，表现出的精力也更加旺盛，但巴西教育体制在教育领域中仍然显示出强劲的男女隔离趋势。这意味着女生入学后往往是学习预科课程，而男生则选修专业课程。在高等教育中，女性则多集中在人文学科和社会科学，男性多集中于物理和技术科学。</w:t>
      </w:r>
    </w:p>
    <w:p w:rsidR="00000000" w:rsidRDefault="004D2F83" w:rsidP="004D2F83">
      <w:pPr>
        <w:spacing w:after="240" w:line="340" w:lineRule="exact"/>
        <w:ind w:firstLineChars="200" w:firstLine="31680"/>
        <w:rPr>
          <w:rFonts w:hint="eastAsia"/>
        </w:rPr>
      </w:pPr>
      <w:r>
        <w:rPr>
          <w:rFonts w:hint="eastAsia"/>
        </w:rPr>
        <w:t>教育领域中的男女分布情况呈现出以下三种趋势：一旦教育系统的条件许可，性别差异立刻显露无遗；性别差异在各级教育层次中始终保持相对稳定状态；虽然性别专业化在某些职业中不太明显，但没有迹象表明性别专业化将就此消失（罗森贝格和平托，</w:t>
      </w:r>
      <w:r>
        <w:rPr>
          <w:rFonts w:hint="eastAsia"/>
        </w:rPr>
        <w:t>1985</w:t>
      </w:r>
      <w:r>
        <w:rPr>
          <w:rFonts w:hint="eastAsia"/>
        </w:rPr>
        <w:t>年）。</w:t>
      </w:r>
    </w:p>
    <w:p w:rsidR="00000000" w:rsidRDefault="004D2F83" w:rsidP="004D2F83">
      <w:pPr>
        <w:spacing w:after="240" w:line="340" w:lineRule="exact"/>
        <w:ind w:firstLineChars="200" w:firstLine="31680"/>
        <w:rPr>
          <w:rFonts w:hint="eastAsia"/>
        </w:rPr>
      </w:pPr>
      <w:r>
        <w:rPr>
          <w:rFonts w:hint="eastAsia"/>
        </w:rPr>
        <w:t>据职业教育调查统计（教育部</w:t>
      </w:r>
      <w:r>
        <w:rPr>
          <w:rFonts w:hint="eastAsia"/>
        </w:rPr>
        <w:t>/</w:t>
      </w:r>
      <w:r>
        <w:rPr>
          <w:rFonts w:hint="eastAsia"/>
        </w:rPr>
        <w:t>国家教育研</w:t>
      </w:r>
      <w:r>
        <w:rPr>
          <w:rFonts w:hint="eastAsia"/>
        </w:rPr>
        <w:t>究所，</w:t>
      </w:r>
      <w:r>
        <w:rPr>
          <w:rFonts w:hint="eastAsia"/>
        </w:rPr>
        <w:t>2000</w:t>
      </w:r>
      <w:r>
        <w:t>a</w:t>
      </w:r>
      <w:r>
        <w:rPr>
          <w:rFonts w:hint="eastAsia"/>
        </w:rPr>
        <w:t>，第</w:t>
      </w:r>
      <w:r>
        <w:rPr>
          <w:rFonts w:hint="eastAsia"/>
        </w:rPr>
        <w:t>1</w:t>
      </w:r>
      <w:r>
        <w:rPr>
          <w:rFonts w:hint="eastAsia"/>
        </w:rPr>
        <w:t>页）接受职业教育——着眼于劳动力市场的课程——的女生只占学生总数的</w:t>
      </w:r>
      <w:r>
        <w:t>39.3%</w:t>
      </w:r>
      <w:r>
        <w:rPr>
          <w:rFonts w:hint="eastAsia"/>
        </w:rPr>
        <w:t>。此外，在职业教育领域中也可看到性别隔离现象。</w:t>
      </w:r>
    </w:p>
    <w:p w:rsidR="00000000" w:rsidRDefault="004D2F83" w:rsidP="004D2F83">
      <w:pPr>
        <w:spacing w:after="240" w:line="340" w:lineRule="exact"/>
        <w:ind w:firstLineChars="200" w:firstLine="31680"/>
        <w:rPr>
          <w:rFonts w:hint="eastAsia"/>
          <w:spacing w:val="-4"/>
        </w:rPr>
      </w:pPr>
      <w:r>
        <w:rPr>
          <w:rFonts w:hint="eastAsia"/>
          <w:spacing w:val="-4"/>
        </w:rPr>
        <w:t>从近年来进行的全国课程考试（</w:t>
      </w:r>
      <w:r>
        <w:rPr>
          <w:rFonts w:hint="eastAsia"/>
          <w:spacing w:val="-4"/>
        </w:rPr>
        <w:t>ENC</w:t>
      </w:r>
      <w:r>
        <w:rPr>
          <w:rFonts w:hint="eastAsia"/>
          <w:spacing w:val="-4"/>
        </w:rPr>
        <w:t>）中收集的数据表明，在</w:t>
      </w:r>
      <w:r>
        <w:rPr>
          <w:rFonts w:hint="eastAsia"/>
          <w:spacing w:val="-4"/>
        </w:rPr>
        <w:t>1990</w:t>
      </w:r>
      <w:r>
        <w:rPr>
          <w:rFonts w:hint="eastAsia"/>
          <w:spacing w:val="-4"/>
        </w:rPr>
        <w:t>年代，学习某些大学课程的学生主要以男生为主（民用、电力和机械工程），某些大学课程的学生则主要以女生为主（牙医学、新闻学、语言与文学、数学），学习以下课程的男女学生人数基本相当：商业管理、法律、医学和兽医学。这种趋势表明，女性对于以往被男性控制的职业抱着更大的兴趣，而非相反。但收集到的数据仍有待于进一步</w:t>
      </w:r>
      <w:r>
        <w:rPr>
          <w:rFonts w:hint="eastAsia"/>
          <w:spacing w:val="-4"/>
        </w:rPr>
        <w:t>提炼（表</w:t>
      </w:r>
      <w:r>
        <w:rPr>
          <w:rFonts w:hint="eastAsia"/>
          <w:spacing w:val="-4"/>
        </w:rPr>
        <w:t>31</w:t>
      </w:r>
      <w:r>
        <w:rPr>
          <w:rFonts w:hint="eastAsia"/>
          <w:spacing w:val="-4"/>
        </w:rPr>
        <w:t>）。</w:t>
      </w:r>
    </w:p>
    <w:p w:rsidR="00000000" w:rsidRDefault="004D2F83">
      <w:pPr>
        <w:spacing w:line="360" w:lineRule="exact"/>
        <w:jc w:val="center"/>
        <w:rPr>
          <w:rFonts w:ascii="SimHei" w:eastAsia="SimHei" w:hint="eastAsia"/>
        </w:rPr>
      </w:pPr>
      <w:r>
        <w:rPr>
          <w:rFonts w:ascii="SimHei" w:eastAsia="SimHei" w:hint="eastAsia"/>
        </w:rPr>
        <w:t>表</w:t>
      </w:r>
      <w:r>
        <w:rPr>
          <w:rFonts w:ascii="SimHei" w:eastAsia="SimHei" w:hint="eastAsia"/>
        </w:rPr>
        <w:t>31</w:t>
      </w:r>
      <w:r>
        <w:rPr>
          <w:rFonts w:ascii="SimHei" w:eastAsia="SimHei" w:hint="eastAsia"/>
        </w:rPr>
        <w:t>．参加</w:t>
      </w:r>
      <w:r>
        <w:rPr>
          <w:rFonts w:ascii="SimHei" w:eastAsia="SimHei" w:hint="eastAsia"/>
        </w:rPr>
        <w:t>1999</w:t>
      </w:r>
      <w:r>
        <w:rPr>
          <w:rFonts w:ascii="SimHei" w:eastAsia="SimHei" w:hint="eastAsia"/>
        </w:rPr>
        <w:t>年全国课程考试的毕业生所在地区、年龄及性别比例</w:t>
      </w:r>
    </w:p>
    <w:p w:rsidR="00000000" w:rsidRDefault="004D2F83">
      <w:pPr>
        <w:spacing w:after="120" w:line="360" w:lineRule="exact"/>
        <w:jc w:val="center"/>
        <w:rPr>
          <w:rFonts w:ascii="SimHei" w:eastAsia="SimHei" w:hint="eastAsia"/>
        </w:rPr>
      </w:pPr>
      <w:r>
        <w:rPr>
          <w:rFonts w:ascii="SimHei" w:eastAsia="SimHei" w:hint="eastAsia"/>
        </w:rPr>
        <w:t>巴西，</w:t>
      </w:r>
      <w:r>
        <w:rPr>
          <w:rFonts w:ascii="SimHei" w:eastAsia="SimHei" w:hint="eastAsia"/>
        </w:rPr>
        <w:t>1999</w:t>
      </w:r>
      <w:r>
        <w:rPr>
          <w:rFonts w:ascii="SimHei" w:eastAsia="SimHei" w:hint="eastAsia"/>
        </w:rPr>
        <w:t>年</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2"/>
        <w:gridCol w:w="1017"/>
        <w:gridCol w:w="1023"/>
        <w:gridCol w:w="1019"/>
        <w:gridCol w:w="1021"/>
        <w:gridCol w:w="1017"/>
        <w:gridCol w:w="1021"/>
        <w:gridCol w:w="1019"/>
        <w:gridCol w:w="1017"/>
      </w:tblGrid>
      <w:tr w:rsidR="00000000">
        <w:tblPrEx>
          <w:tblCellMar>
            <w:top w:w="0" w:type="dxa"/>
            <w:bottom w:w="0" w:type="dxa"/>
          </w:tblCellMar>
        </w:tblPrEx>
        <w:trPr>
          <w:cantSplit/>
        </w:trPr>
        <w:tc>
          <w:tcPr>
            <w:tcW w:w="863" w:type="pct"/>
          </w:tcPr>
          <w:p w:rsidR="00000000" w:rsidRDefault="004D2F83">
            <w:pPr>
              <w:spacing w:line="340" w:lineRule="exact"/>
              <w:jc w:val="center"/>
              <w:rPr>
                <w:rFonts w:hint="eastAsia"/>
                <w:sz w:val="18"/>
              </w:rPr>
            </w:pPr>
          </w:p>
        </w:tc>
        <w:tc>
          <w:tcPr>
            <w:tcW w:w="4137" w:type="pct"/>
            <w:gridSpan w:val="8"/>
          </w:tcPr>
          <w:p w:rsidR="00000000" w:rsidRDefault="004D2F83">
            <w:pPr>
              <w:spacing w:line="340" w:lineRule="exact"/>
              <w:jc w:val="center"/>
              <w:rPr>
                <w:rFonts w:hint="eastAsia"/>
                <w:sz w:val="18"/>
              </w:rPr>
            </w:pPr>
            <w:r>
              <w:rPr>
                <w:rFonts w:hint="eastAsia"/>
                <w:sz w:val="18"/>
              </w:rPr>
              <w:t>年龄和性别</w:t>
            </w:r>
          </w:p>
        </w:tc>
      </w:tr>
      <w:tr w:rsidR="00000000">
        <w:tblPrEx>
          <w:tblCellMar>
            <w:top w:w="0" w:type="dxa"/>
            <w:bottom w:w="0" w:type="dxa"/>
          </w:tblCellMar>
        </w:tblPrEx>
        <w:trPr>
          <w:cantSplit/>
        </w:trPr>
        <w:tc>
          <w:tcPr>
            <w:tcW w:w="863" w:type="pct"/>
          </w:tcPr>
          <w:p w:rsidR="00000000" w:rsidRDefault="004D2F83">
            <w:pPr>
              <w:spacing w:line="340" w:lineRule="exact"/>
              <w:jc w:val="center"/>
              <w:rPr>
                <w:rFonts w:hint="eastAsia"/>
                <w:sz w:val="18"/>
              </w:rPr>
            </w:pPr>
          </w:p>
        </w:tc>
        <w:tc>
          <w:tcPr>
            <w:tcW w:w="1035" w:type="pct"/>
            <w:gridSpan w:val="2"/>
          </w:tcPr>
          <w:p w:rsidR="00000000" w:rsidRDefault="004D2F83">
            <w:pPr>
              <w:spacing w:line="340" w:lineRule="exact"/>
              <w:jc w:val="center"/>
              <w:rPr>
                <w:rFonts w:hint="eastAsia"/>
                <w:sz w:val="18"/>
              </w:rPr>
            </w:pPr>
            <w:r>
              <w:rPr>
                <w:sz w:val="18"/>
              </w:rPr>
              <w:t>24</w:t>
            </w:r>
            <w:r>
              <w:rPr>
                <w:rFonts w:hint="eastAsia"/>
                <w:sz w:val="18"/>
              </w:rPr>
              <w:t>岁以下</w:t>
            </w:r>
          </w:p>
        </w:tc>
        <w:tc>
          <w:tcPr>
            <w:tcW w:w="1035" w:type="pct"/>
            <w:gridSpan w:val="2"/>
          </w:tcPr>
          <w:p w:rsidR="00000000" w:rsidRDefault="004D2F83">
            <w:pPr>
              <w:spacing w:line="340" w:lineRule="exact"/>
              <w:jc w:val="center"/>
              <w:rPr>
                <w:rFonts w:hint="eastAsia"/>
                <w:sz w:val="18"/>
              </w:rPr>
            </w:pPr>
            <w:r>
              <w:rPr>
                <w:rFonts w:hint="eastAsia"/>
                <w:sz w:val="18"/>
              </w:rPr>
              <w:t>25</w:t>
            </w:r>
            <w:r>
              <w:rPr>
                <w:rFonts w:hint="eastAsia"/>
                <w:sz w:val="18"/>
              </w:rPr>
              <w:t>至</w:t>
            </w:r>
            <w:r>
              <w:rPr>
                <w:rFonts w:hint="eastAsia"/>
                <w:sz w:val="18"/>
              </w:rPr>
              <w:t>29</w:t>
            </w:r>
            <w:r>
              <w:rPr>
                <w:rFonts w:hint="eastAsia"/>
                <w:sz w:val="18"/>
              </w:rPr>
              <w:t>岁</w:t>
            </w:r>
          </w:p>
        </w:tc>
        <w:tc>
          <w:tcPr>
            <w:tcW w:w="1034" w:type="pct"/>
            <w:gridSpan w:val="2"/>
          </w:tcPr>
          <w:p w:rsidR="00000000" w:rsidRDefault="004D2F83">
            <w:pPr>
              <w:spacing w:line="340" w:lineRule="exact"/>
              <w:jc w:val="center"/>
              <w:rPr>
                <w:rFonts w:hint="eastAsia"/>
                <w:sz w:val="18"/>
              </w:rPr>
            </w:pPr>
            <w:r>
              <w:rPr>
                <w:rFonts w:hint="eastAsia"/>
                <w:sz w:val="18"/>
              </w:rPr>
              <w:t>30</w:t>
            </w:r>
            <w:r>
              <w:rPr>
                <w:rFonts w:hint="eastAsia"/>
                <w:sz w:val="18"/>
              </w:rPr>
              <w:t>至</w:t>
            </w:r>
            <w:r>
              <w:rPr>
                <w:rFonts w:hint="eastAsia"/>
                <w:sz w:val="18"/>
              </w:rPr>
              <w:t>34</w:t>
            </w:r>
            <w:r>
              <w:rPr>
                <w:rFonts w:hint="eastAsia"/>
                <w:sz w:val="18"/>
              </w:rPr>
              <w:t>岁</w:t>
            </w:r>
          </w:p>
        </w:tc>
        <w:tc>
          <w:tcPr>
            <w:tcW w:w="1033" w:type="pct"/>
            <w:gridSpan w:val="2"/>
          </w:tcPr>
          <w:p w:rsidR="00000000" w:rsidRDefault="004D2F83">
            <w:pPr>
              <w:spacing w:line="340" w:lineRule="exact"/>
              <w:jc w:val="center"/>
              <w:rPr>
                <w:rFonts w:hint="eastAsia"/>
                <w:sz w:val="18"/>
              </w:rPr>
            </w:pPr>
            <w:r>
              <w:rPr>
                <w:rFonts w:hint="eastAsia"/>
                <w:sz w:val="18"/>
              </w:rPr>
              <w:t>35</w:t>
            </w:r>
            <w:r>
              <w:rPr>
                <w:rFonts w:hint="eastAsia"/>
                <w:sz w:val="18"/>
              </w:rPr>
              <w:t>岁以上</w:t>
            </w:r>
          </w:p>
        </w:tc>
      </w:tr>
      <w:tr w:rsidR="00000000">
        <w:tblPrEx>
          <w:tblCellMar>
            <w:top w:w="0" w:type="dxa"/>
            <w:bottom w:w="0" w:type="dxa"/>
          </w:tblCellMar>
        </w:tblPrEx>
        <w:tc>
          <w:tcPr>
            <w:tcW w:w="863" w:type="pct"/>
          </w:tcPr>
          <w:p w:rsidR="00000000" w:rsidRDefault="004D2F83">
            <w:pPr>
              <w:spacing w:line="340" w:lineRule="exact"/>
              <w:rPr>
                <w:rFonts w:hint="eastAsia"/>
                <w:sz w:val="18"/>
              </w:rPr>
            </w:pPr>
            <w:r>
              <w:rPr>
                <w:rFonts w:hint="eastAsia"/>
                <w:sz w:val="18"/>
              </w:rPr>
              <w:t>学习科目</w:t>
            </w:r>
          </w:p>
        </w:tc>
        <w:tc>
          <w:tcPr>
            <w:tcW w:w="516" w:type="pct"/>
          </w:tcPr>
          <w:p w:rsidR="00000000" w:rsidRDefault="004D2F83">
            <w:pPr>
              <w:spacing w:line="340" w:lineRule="exact"/>
              <w:jc w:val="center"/>
              <w:rPr>
                <w:rFonts w:hint="eastAsia"/>
                <w:sz w:val="18"/>
              </w:rPr>
            </w:pPr>
            <w:r>
              <w:rPr>
                <w:rFonts w:hint="eastAsia"/>
                <w:sz w:val="18"/>
              </w:rPr>
              <w:t>男</w:t>
            </w:r>
          </w:p>
        </w:tc>
        <w:tc>
          <w:tcPr>
            <w:tcW w:w="519" w:type="pct"/>
          </w:tcPr>
          <w:p w:rsidR="00000000" w:rsidRDefault="004D2F83">
            <w:pPr>
              <w:spacing w:line="340" w:lineRule="exact"/>
              <w:jc w:val="center"/>
              <w:rPr>
                <w:rFonts w:hint="eastAsia"/>
                <w:sz w:val="18"/>
              </w:rPr>
            </w:pPr>
            <w:r>
              <w:rPr>
                <w:rFonts w:hint="eastAsia"/>
                <w:sz w:val="18"/>
              </w:rPr>
              <w:t>女</w:t>
            </w:r>
          </w:p>
        </w:tc>
        <w:tc>
          <w:tcPr>
            <w:tcW w:w="517" w:type="pct"/>
          </w:tcPr>
          <w:p w:rsidR="00000000" w:rsidRDefault="004D2F83">
            <w:pPr>
              <w:spacing w:line="340" w:lineRule="exact"/>
              <w:jc w:val="center"/>
              <w:rPr>
                <w:rFonts w:hint="eastAsia"/>
                <w:sz w:val="18"/>
              </w:rPr>
            </w:pPr>
            <w:r>
              <w:rPr>
                <w:rFonts w:hint="eastAsia"/>
                <w:sz w:val="18"/>
              </w:rPr>
              <w:t>男</w:t>
            </w:r>
          </w:p>
        </w:tc>
        <w:tc>
          <w:tcPr>
            <w:tcW w:w="517" w:type="pct"/>
          </w:tcPr>
          <w:p w:rsidR="00000000" w:rsidRDefault="004D2F83">
            <w:pPr>
              <w:spacing w:line="340" w:lineRule="exact"/>
              <w:jc w:val="center"/>
              <w:rPr>
                <w:rFonts w:hint="eastAsia"/>
                <w:sz w:val="18"/>
              </w:rPr>
            </w:pPr>
            <w:r>
              <w:rPr>
                <w:rFonts w:hint="eastAsia"/>
                <w:sz w:val="18"/>
              </w:rPr>
              <w:t>女</w:t>
            </w:r>
          </w:p>
        </w:tc>
        <w:tc>
          <w:tcPr>
            <w:tcW w:w="516" w:type="pct"/>
          </w:tcPr>
          <w:p w:rsidR="00000000" w:rsidRDefault="004D2F83">
            <w:pPr>
              <w:spacing w:line="340" w:lineRule="exact"/>
              <w:jc w:val="center"/>
              <w:rPr>
                <w:rFonts w:hint="eastAsia"/>
                <w:sz w:val="18"/>
              </w:rPr>
            </w:pPr>
            <w:r>
              <w:rPr>
                <w:rFonts w:hint="eastAsia"/>
                <w:sz w:val="18"/>
              </w:rPr>
              <w:t>男</w:t>
            </w:r>
          </w:p>
        </w:tc>
        <w:tc>
          <w:tcPr>
            <w:tcW w:w="517" w:type="pct"/>
          </w:tcPr>
          <w:p w:rsidR="00000000" w:rsidRDefault="004D2F83">
            <w:pPr>
              <w:spacing w:line="340" w:lineRule="exact"/>
              <w:jc w:val="center"/>
              <w:rPr>
                <w:rFonts w:hint="eastAsia"/>
                <w:sz w:val="18"/>
              </w:rPr>
            </w:pPr>
            <w:r>
              <w:rPr>
                <w:rFonts w:hint="eastAsia"/>
                <w:sz w:val="18"/>
              </w:rPr>
              <w:t>女</w:t>
            </w:r>
          </w:p>
        </w:tc>
        <w:tc>
          <w:tcPr>
            <w:tcW w:w="517" w:type="pct"/>
          </w:tcPr>
          <w:p w:rsidR="00000000" w:rsidRDefault="004D2F83">
            <w:pPr>
              <w:spacing w:line="340" w:lineRule="exact"/>
              <w:jc w:val="center"/>
              <w:rPr>
                <w:rFonts w:hint="eastAsia"/>
                <w:sz w:val="18"/>
              </w:rPr>
            </w:pPr>
            <w:r>
              <w:rPr>
                <w:rFonts w:hint="eastAsia"/>
                <w:sz w:val="18"/>
              </w:rPr>
              <w:t>男</w:t>
            </w:r>
          </w:p>
        </w:tc>
        <w:tc>
          <w:tcPr>
            <w:tcW w:w="515" w:type="pct"/>
          </w:tcPr>
          <w:p w:rsidR="00000000" w:rsidRDefault="004D2F83">
            <w:pPr>
              <w:spacing w:line="340" w:lineRule="exact"/>
              <w:jc w:val="center"/>
              <w:rPr>
                <w:rFonts w:hint="eastAsia"/>
                <w:sz w:val="18"/>
              </w:rPr>
            </w:pPr>
            <w:r>
              <w:rPr>
                <w:rFonts w:hint="eastAsia"/>
                <w:sz w:val="18"/>
              </w:rPr>
              <w:t>女</w:t>
            </w:r>
          </w:p>
        </w:tc>
      </w:tr>
      <w:tr w:rsidR="00000000">
        <w:tblPrEx>
          <w:tblCellMar>
            <w:top w:w="0" w:type="dxa"/>
            <w:bottom w:w="0" w:type="dxa"/>
          </w:tblCellMar>
        </w:tblPrEx>
        <w:tc>
          <w:tcPr>
            <w:tcW w:w="863" w:type="pct"/>
          </w:tcPr>
          <w:p w:rsidR="00000000" w:rsidRDefault="004D2F83">
            <w:pPr>
              <w:spacing w:line="340" w:lineRule="exact"/>
              <w:rPr>
                <w:rFonts w:hint="eastAsia"/>
                <w:sz w:val="18"/>
              </w:rPr>
            </w:pPr>
            <w:r>
              <w:rPr>
                <w:rFonts w:hint="eastAsia"/>
                <w:sz w:val="18"/>
              </w:rPr>
              <w:t>商业管理</w:t>
            </w:r>
          </w:p>
        </w:tc>
        <w:tc>
          <w:tcPr>
            <w:tcW w:w="516" w:type="pct"/>
          </w:tcPr>
          <w:p w:rsidR="00000000" w:rsidRDefault="004D2F83" w:rsidP="004D2F83">
            <w:pPr>
              <w:spacing w:line="340" w:lineRule="exact"/>
              <w:ind w:rightChars="100" w:right="31680"/>
              <w:jc w:val="right"/>
              <w:rPr>
                <w:sz w:val="18"/>
              </w:rPr>
            </w:pPr>
            <w:r>
              <w:rPr>
                <w:sz w:val="18"/>
              </w:rPr>
              <w:t>40.9</w:t>
            </w:r>
          </w:p>
        </w:tc>
        <w:tc>
          <w:tcPr>
            <w:tcW w:w="519" w:type="pct"/>
          </w:tcPr>
          <w:p w:rsidR="00000000" w:rsidRDefault="004D2F83" w:rsidP="004D2F83">
            <w:pPr>
              <w:spacing w:line="340" w:lineRule="exact"/>
              <w:ind w:rightChars="100" w:right="31680"/>
              <w:jc w:val="right"/>
              <w:rPr>
                <w:sz w:val="18"/>
              </w:rPr>
            </w:pPr>
            <w:r>
              <w:rPr>
                <w:sz w:val="18"/>
              </w:rPr>
              <w:t>54.5</w:t>
            </w:r>
          </w:p>
        </w:tc>
        <w:tc>
          <w:tcPr>
            <w:tcW w:w="517" w:type="pct"/>
          </w:tcPr>
          <w:p w:rsidR="00000000" w:rsidRDefault="004D2F83" w:rsidP="004D2F83">
            <w:pPr>
              <w:spacing w:line="340" w:lineRule="exact"/>
              <w:ind w:rightChars="100" w:right="31680"/>
              <w:jc w:val="right"/>
              <w:rPr>
                <w:sz w:val="18"/>
              </w:rPr>
            </w:pPr>
            <w:r>
              <w:rPr>
                <w:sz w:val="18"/>
              </w:rPr>
              <w:t>33.0</w:t>
            </w:r>
          </w:p>
        </w:tc>
        <w:tc>
          <w:tcPr>
            <w:tcW w:w="517" w:type="pct"/>
          </w:tcPr>
          <w:p w:rsidR="00000000" w:rsidRDefault="004D2F83" w:rsidP="004D2F83">
            <w:pPr>
              <w:spacing w:line="340" w:lineRule="exact"/>
              <w:ind w:rightChars="100" w:right="31680"/>
              <w:jc w:val="right"/>
              <w:rPr>
                <w:sz w:val="18"/>
              </w:rPr>
            </w:pPr>
            <w:r>
              <w:rPr>
                <w:sz w:val="18"/>
              </w:rPr>
              <w:t>28.6</w:t>
            </w:r>
          </w:p>
        </w:tc>
        <w:tc>
          <w:tcPr>
            <w:tcW w:w="516" w:type="pct"/>
          </w:tcPr>
          <w:p w:rsidR="00000000" w:rsidRDefault="004D2F83" w:rsidP="004D2F83">
            <w:pPr>
              <w:spacing w:line="340" w:lineRule="exact"/>
              <w:ind w:rightChars="100" w:right="31680"/>
              <w:jc w:val="right"/>
              <w:rPr>
                <w:sz w:val="18"/>
              </w:rPr>
            </w:pPr>
            <w:r>
              <w:rPr>
                <w:sz w:val="18"/>
              </w:rPr>
              <w:t>13.1</w:t>
            </w:r>
          </w:p>
        </w:tc>
        <w:tc>
          <w:tcPr>
            <w:tcW w:w="517" w:type="pct"/>
          </w:tcPr>
          <w:p w:rsidR="00000000" w:rsidRDefault="004D2F83" w:rsidP="004D2F83">
            <w:pPr>
              <w:spacing w:line="340" w:lineRule="exact"/>
              <w:ind w:rightChars="100" w:right="31680"/>
              <w:jc w:val="right"/>
              <w:rPr>
                <w:sz w:val="18"/>
              </w:rPr>
            </w:pPr>
            <w:r>
              <w:rPr>
                <w:sz w:val="18"/>
              </w:rPr>
              <w:t>9.3</w:t>
            </w:r>
          </w:p>
        </w:tc>
        <w:tc>
          <w:tcPr>
            <w:tcW w:w="517" w:type="pct"/>
          </w:tcPr>
          <w:p w:rsidR="00000000" w:rsidRDefault="004D2F83" w:rsidP="004D2F83">
            <w:pPr>
              <w:spacing w:line="340" w:lineRule="exact"/>
              <w:ind w:rightChars="100" w:right="31680"/>
              <w:jc w:val="right"/>
              <w:rPr>
                <w:sz w:val="18"/>
              </w:rPr>
            </w:pPr>
            <w:r>
              <w:rPr>
                <w:sz w:val="18"/>
              </w:rPr>
              <w:t>12.6</w:t>
            </w:r>
          </w:p>
        </w:tc>
        <w:tc>
          <w:tcPr>
            <w:tcW w:w="515" w:type="pct"/>
          </w:tcPr>
          <w:p w:rsidR="00000000" w:rsidRDefault="004D2F83" w:rsidP="004D2F83">
            <w:pPr>
              <w:spacing w:line="340" w:lineRule="exact"/>
              <w:ind w:rightChars="100" w:right="31680"/>
              <w:jc w:val="right"/>
              <w:rPr>
                <w:sz w:val="18"/>
              </w:rPr>
            </w:pPr>
            <w:r>
              <w:rPr>
                <w:sz w:val="18"/>
              </w:rPr>
              <w:t>7.2</w:t>
            </w:r>
          </w:p>
        </w:tc>
      </w:tr>
      <w:tr w:rsidR="00000000">
        <w:tblPrEx>
          <w:tblCellMar>
            <w:top w:w="0" w:type="dxa"/>
            <w:bottom w:w="0" w:type="dxa"/>
          </w:tblCellMar>
        </w:tblPrEx>
        <w:tc>
          <w:tcPr>
            <w:tcW w:w="863" w:type="pct"/>
          </w:tcPr>
          <w:p w:rsidR="00000000" w:rsidRDefault="004D2F83">
            <w:pPr>
              <w:spacing w:line="340" w:lineRule="exact"/>
              <w:rPr>
                <w:rFonts w:hint="eastAsia"/>
                <w:sz w:val="18"/>
              </w:rPr>
            </w:pPr>
            <w:r>
              <w:rPr>
                <w:rFonts w:hint="eastAsia"/>
                <w:sz w:val="18"/>
              </w:rPr>
              <w:t>法律</w:t>
            </w:r>
          </w:p>
        </w:tc>
        <w:tc>
          <w:tcPr>
            <w:tcW w:w="516" w:type="pct"/>
          </w:tcPr>
          <w:p w:rsidR="00000000" w:rsidRDefault="004D2F83" w:rsidP="004D2F83">
            <w:pPr>
              <w:spacing w:line="340" w:lineRule="exact"/>
              <w:ind w:rightChars="100" w:right="31680"/>
              <w:jc w:val="right"/>
              <w:rPr>
                <w:sz w:val="18"/>
              </w:rPr>
            </w:pPr>
            <w:r>
              <w:rPr>
                <w:sz w:val="18"/>
              </w:rPr>
              <w:t>42.1</w:t>
            </w:r>
          </w:p>
        </w:tc>
        <w:tc>
          <w:tcPr>
            <w:tcW w:w="519" w:type="pct"/>
          </w:tcPr>
          <w:p w:rsidR="00000000" w:rsidRDefault="004D2F83" w:rsidP="004D2F83">
            <w:pPr>
              <w:spacing w:line="340" w:lineRule="exact"/>
              <w:ind w:rightChars="100" w:right="31680"/>
              <w:jc w:val="right"/>
              <w:rPr>
                <w:sz w:val="18"/>
              </w:rPr>
            </w:pPr>
            <w:r>
              <w:rPr>
                <w:sz w:val="18"/>
              </w:rPr>
              <w:t>57.4</w:t>
            </w:r>
          </w:p>
        </w:tc>
        <w:tc>
          <w:tcPr>
            <w:tcW w:w="517" w:type="pct"/>
          </w:tcPr>
          <w:p w:rsidR="00000000" w:rsidRDefault="004D2F83" w:rsidP="004D2F83">
            <w:pPr>
              <w:spacing w:line="340" w:lineRule="exact"/>
              <w:ind w:rightChars="100" w:right="31680"/>
              <w:jc w:val="right"/>
              <w:rPr>
                <w:sz w:val="18"/>
              </w:rPr>
            </w:pPr>
            <w:r>
              <w:rPr>
                <w:sz w:val="18"/>
              </w:rPr>
              <w:t>25.3</w:t>
            </w:r>
          </w:p>
        </w:tc>
        <w:tc>
          <w:tcPr>
            <w:tcW w:w="517" w:type="pct"/>
          </w:tcPr>
          <w:p w:rsidR="00000000" w:rsidRDefault="004D2F83" w:rsidP="004D2F83">
            <w:pPr>
              <w:spacing w:line="340" w:lineRule="exact"/>
              <w:ind w:rightChars="100" w:right="31680"/>
              <w:jc w:val="right"/>
              <w:rPr>
                <w:sz w:val="18"/>
              </w:rPr>
            </w:pPr>
            <w:r>
              <w:rPr>
                <w:sz w:val="18"/>
              </w:rPr>
              <w:t>19.6</w:t>
            </w:r>
          </w:p>
        </w:tc>
        <w:tc>
          <w:tcPr>
            <w:tcW w:w="516" w:type="pct"/>
          </w:tcPr>
          <w:p w:rsidR="00000000" w:rsidRDefault="004D2F83" w:rsidP="004D2F83">
            <w:pPr>
              <w:spacing w:line="340" w:lineRule="exact"/>
              <w:ind w:rightChars="100" w:right="31680"/>
              <w:jc w:val="right"/>
              <w:rPr>
                <w:sz w:val="18"/>
              </w:rPr>
            </w:pPr>
            <w:r>
              <w:rPr>
                <w:sz w:val="18"/>
              </w:rPr>
              <w:t>13.0</w:t>
            </w:r>
          </w:p>
        </w:tc>
        <w:tc>
          <w:tcPr>
            <w:tcW w:w="517" w:type="pct"/>
          </w:tcPr>
          <w:p w:rsidR="00000000" w:rsidRDefault="004D2F83" w:rsidP="004D2F83">
            <w:pPr>
              <w:spacing w:line="340" w:lineRule="exact"/>
              <w:ind w:rightChars="100" w:right="31680"/>
              <w:jc w:val="right"/>
              <w:rPr>
                <w:sz w:val="18"/>
              </w:rPr>
            </w:pPr>
            <w:r>
              <w:rPr>
                <w:sz w:val="18"/>
              </w:rPr>
              <w:t>9.2</w:t>
            </w:r>
          </w:p>
        </w:tc>
        <w:tc>
          <w:tcPr>
            <w:tcW w:w="517" w:type="pct"/>
          </w:tcPr>
          <w:p w:rsidR="00000000" w:rsidRDefault="004D2F83" w:rsidP="004D2F83">
            <w:pPr>
              <w:spacing w:line="340" w:lineRule="exact"/>
              <w:ind w:rightChars="100" w:right="31680"/>
              <w:jc w:val="right"/>
              <w:rPr>
                <w:sz w:val="18"/>
              </w:rPr>
            </w:pPr>
            <w:r>
              <w:rPr>
                <w:sz w:val="18"/>
              </w:rPr>
              <w:t>19.7</w:t>
            </w:r>
          </w:p>
        </w:tc>
        <w:tc>
          <w:tcPr>
            <w:tcW w:w="515" w:type="pct"/>
          </w:tcPr>
          <w:p w:rsidR="00000000" w:rsidRDefault="004D2F83" w:rsidP="004D2F83">
            <w:pPr>
              <w:spacing w:line="340" w:lineRule="exact"/>
              <w:ind w:rightChars="100" w:right="31680"/>
              <w:jc w:val="right"/>
              <w:rPr>
                <w:sz w:val="18"/>
              </w:rPr>
            </w:pPr>
            <w:r>
              <w:rPr>
                <w:sz w:val="18"/>
              </w:rPr>
              <w:t>13.9</w:t>
            </w:r>
          </w:p>
        </w:tc>
      </w:tr>
      <w:tr w:rsidR="00000000">
        <w:tblPrEx>
          <w:tblCellMar>
            <w:top w:w="0" w:type="dxa"/>
            <w:bottom w:w="0" w:type="dxa"/>
          </w:tblCellMar>
        </w:tblPrEx>
        <w:tc>
          <w:tcPr>
            <w:tcW w:w="863" w:type="pct"/>
          </w:tcPr>
          <w:p w:rsidR="00000000" w:rsidRDefault="004D2F83">
            <w:pPr>
              <w:spacing w:line="340" w:lineRule="exact"/>
              <w:rPr>
                <w:rFonts w:hint="eastAsia"/>
                <w:sz w:val="18"/>
              </w:rPr>
            </w:pPr>
            <w:r>
              <w:rPr>
                <w:rFonts w:hint="eastAsia"/>
                <w:sz w:val="18"/>
              </w:rPr>
              <w:t>土木工程</w:t>
            </w:r>
          </w:p>
        </w:tc>
        <w:tc>
          <w:tcPr>
            <w:tcW w:w="516" w:type="pct"/>
          </w:tcPr>
          <w:p w:rsidR="00000000" w:rsidRDefault="004D2F83" w:rsidP="004D2F83">
            <w:pPr>
              <w:spacing w:line="340" w:lineRule="exact"/>
              <w:ind w:rightChars="100" w:right="31680"/>
              <w:jc w:val="right"/>
              <w:rPr>
                <w:sz w:val="18"/>
              </w:rPr>
            </w:pPr>
            <w:r>
              <w:rPr>
                <w:sz w:val="18"/>
              </w:rPr>
              <w:t>47.0</w:t>
            </w:r>
          </w:p>
        </w:tc>
        <w:tc>
          <w:tcPr>
            <w:tcW w:w="519" w:type="pct"/>
          </w:tcPr>
          <w:p w:rsidR="00000000" w:rsidRDefault="004D2F83" w:rsidP="004D2F83">
            <w:pPr>
              <w:spacing w:line="340" w:lineRule="exact"/>
              <w:ind w:rightChars="100" w:right="31680"/>
              <w:jc w:val="right"/>
              <w:rPr>
                <w:sz w:val="18"/>
              </w:rPr>
            </w:pPr>
            <w:r>
              <w:rPr>
                <w:sz w:val="18"/>
              </w:rPr>
              <w:t>56.3</w:t>
            </w:r>
          </w:p>
        </w:tc>
        <w:tc>
          <w:tcPr>
            <w:tcW w:w="517" w:type="pct"/>
          </w:tcPr>
          <w:p w:rsidR="00000000" w:rsidRDefault="004D2F83" w:rsidP="004D2F83">
            <w:pPr>
              <w:spacing w:line="340" w:lineRule="exact"/>
              <w:ind w:rightChars="100" w:right="31680"/>
              <w:jc w:val="right"/>
              <w:rPr>
                <w:sz w:val="18"/>
              </w:rPr>
            </w:pPr>
            <w:r>
              <w:rPr>
                <w:sz w:val="18"/>
              </w:rPr>
              <w:t>39.3</w:t>
            </w:r>
          </w:p>
        </w:tc>
        <w:tc>
          <w:tcPr>
            <w:tcW w:w="517" w:type="pct"/>
          </w:tcPr>
          <w:p w:rsidR="00000000" w:rsidRDefault="004D2F83" w:rsidP="004D2F83">
            <w:pPr>
              <w:spacing w:line="340" w:lineRule="exact"/>
              <w:ind w:rightChars="100" w:right="31680"/>
              <w:jc w:val="right"/>
              <w:rPr>
                <w:sz w:val="18"/>
              </w:rPr>
            </w:pPr>
            <w:r>
              <w:rPr>
                <w:sz w:val="18"/>
              </w:rPr>
              <w:t>35.5</w:t>
            </w:r>
          </w:p>
        </w:tc>
        <w:tc>
          <w:tcPr>
            <w:tcW w:w="516" w:type="pct"/>
          </w:tcPr>
          <w:p w:rsidR="00000000" w:rsidRDefault="004D2F83" w:rsidP="004D2F83">
            <w:pPr>
              <w:spacing w:line="340" w:lineRule="exact"/>
              <w:ind w:rightChars="100" w:right="31680"/>
              <w:jc w:val="right"/>
              <w:rPr>
                <w:sz w:val="18"/>
              </w:rPr>
            </w:pPr>
            <w:r>
              <w:rPr>
                <w:sz w:val="18"/>
              </w:rPr>
              <w:t>7.6</w:t>
            </w:r>
          </w:p>
        </w:tc>
        <w:tc>
          <w:tcPr>
            <w:tcW w:w="517" w:type="pct"/>
          </w:tcPr>
          <w:p w:rsidR="00000000" w:rsidRDefault="004D2F83" w:rsidP="004D2F83">
            <w:pPr>
              <w:spacing w:line="340" w:lineRule="exact"/>
              <w:ind w:rightChars="100" w:right="31680"/>
              <w:jc w:val="right"/>
              <w:rPr>
                <w:sz w:val="18"/>
              </w:rPr>
            </w:pPr>
            <w:r>
              <w:rPr>
                <w:sz w:val="18"/>
              </w:rPr>
              <w:t>6.0</w:t>
            </w:r>
          </w:p>
        </w:tc>
        <w:tc>
          <w:tcPr>
            <w:tcW w:w="517" w:type="pct"/>
          </w:tcPr>
          <w:p w:rsidR="00000000" w:rsidRDefault="004D2F83" w:rsidP="004D2F83">
            <w:pPr>
              <w:spacing w:line="340" w:lineRule="exact"/>
              <w:ind w:rightChars="100" w:right="31680"/>
              <w:jc w:val="right"/>
              <w:rPr>
                <w:sz w:val="18"/>
              </w:rPr>
            </w:pPr>
            <w:r>
              <w:rPr>
                <w:sz w:val="18"/>
              </w:rPr>
              <w:t>6.0</w:t>
            </w:r>
          </w:p>
        </w:tc>
        <w:tc>
          <w:tcPr>
            <w:tcW w:w="515" w:type="pct"/>
          </w:tcPr>
          <w:p w:rsidR="00000000" w:rsidRDefault="004D2F83" w:rsidP="004D2F83">
            <w:pPr>
              <w:spacing w:line="340" w:lineRule="exact"/>
              <w:ind w:rightChars="100" w:right="31680"/>
              <w:jc w:val="right"/>
              <w:rPr>
                <w:sz w:val="18"/>
              </w:rPr>
            </w:pPr>
            <w:r>
              <w:rPr>
                <w:sz w:val="18"/>
              </w:rPr>
              <w:t>2.2</w:t>
            </w:r>
          </w:p>
        </w:tc>
      </w:tr>
      <w:tr w:rsidR="00000000">
        <w:tblPrEx>
          <w:tblCellMar>
            <w:top w:w="0" w:type="dxa"/>
            <w:bottom w:w="0" w:type="dxa"/>
          </w:tblCellMar>
        </w:tblPrEx>
        <w:tc>
          <w:tcPr>
            <w:tcW w:w="863" w:type="pct"/>
          </w:tcPr>
          <w:p w:rsidR="00000000" w:rsidRDefault="004D2F83">
            <w:pPr>
              <w:spacing w:line="340" w:lineRule="exact"/>
              <w:rPr>
                <w:rFonts w:hint="eastAsia"/>
                <w:sz w:val="18"/>
              </w:rPr>
            </w:pPr>
            <w:r>
              <w:rPr>
                <w:rFonts w:hint="eastAsia"/>
                <w:sz w:val="18"/>
              </w:rPr>
              <w:t>机械工程</w:t>
            </w:r>
          </w:p>
        </w:tc>
        <w:tc>
          <w:tcPr>
            <w:tcW w:w="516" w:type="pct"/>
          </w:tcPr>
          <w:p w:rsidR="00000000" w:rsidRDefault="004D2F83" w:rsidP="004D2F83">
            <w:pPr>
              <w:spacing w:line="340" w:lineRule="exact"/>
              <w:ind w:rightChars="100" w:right="31680"/>
              <w:jc w:val="right"/>
              <w:rPr>
                <w:sz w:val="18"/>
              </w:rPr>
            </w:pPr>
            <w:r>
              <w:rPr>
                <w:sz w:val="18"/>
              </w:rPr>
              <w:t>42.7</w:t>
            </w:r>
          </w:p>
        </w:tc>
        <w:tc>
          <w:tcPr>
            <w:tcW w:w="519" w:type="pct"/>
          </w:tcPr>
          <w:p w:rsidR="00000000" w:rsidRDefault="004D2F83" w:rsidP="004D2F83">
            <w:pPr>
              <w:spacing w:line="340" w:lineRule="exact"/>
              <w:ind w:rightChars="100" w:right="31680"/>
              <w:jc w:val="right"/>
              <w:rPr>
                <w:sz w:val="18"/>
              </w:rPr>
            </w:pPr>
            <w:r>
              <w:rPr>
                <w:sz w:val="18"/>
              </w:rPr>
              <w:t>51.5</w:t>
            </w:r>
          </w:p>
        </w:tc>
        <w:tc>
          <w:tcPr>
            <w:tcW w:w="517" w:type="pct"/>
          </w:tcPr>
          <w:p w:rsidR="00000000" w:rsidRDefault="004D2F83" w:rsidP="004D2F83">
            <w:pPr>
              <w:spacing w:line="340" w:lineRule="exact"/>
              <w:ind w:rightChars="100" w:right="31680"/>
              <w:jc w:val="right"/>
              <w:rPr>
                <w:sz w:val="18"/>
              </w:rPr>
            </w:pPr>
            <w:r>
              <w:rPr>
                <w:sz w:val="18"/>
              </w:rPr>
              <w:t>43</w:t>
            </w:r>
            <w:r>
              <w:rPr>
                <w:sz w:val="18"/>
              </w:rPr>
              <w:t>.0</w:t>
            </w:r>
          </w:p>
        </w:tc>
        <w:tc>
          <w:tcPr>
            <w:tcW w:w="517" w:type="pct"/>
          </w:tcPr>
          <w:p w:rsidR="00000000" w:rsidRDefault="004D2F83" w:rsidP="004D2F83">
            <w:pPr>
              <w:spacing w:line="340" w:lineRule="exact"/>
              <w:ind w:rightChars="100" w:right="31680"/>
              <w:jc w:val="right"/>
              <w:rPr>
                <w:sz w:val="18"/>
              </w:rPr>
            </w:pPr>
            <w:r>
              <w:rPr>
                <w:sz w:val="18"/>
              </w:rPr>
              <w:t>40.5</w:t>
            </w:r>
          </w:p>
        </w:tc>
        <w:tc>
          <w:tcPr>
            <w:tcW w:w="516" w:type="pct"/>
          </w:tcPr>
          <w:p w:rsidR="00000000" w:rsidRDefault="004D2F83" w:rsidP="004D2F83">
            <w:pPr>
              <w:spacing w:line="340" w:lineRule="exact"/>
              <w:ind w:rightChars="100" w:right="31680"/>
              <w:jc w:val="right"/>
              <w:rPr>
                <w:sz w:val="18"/>
              </w:rPr>
            </w:pPr>
            <w:r>
              <w:rPr>
                <w:sz w:val="18"/>
              </w:rPr>
              <w:t>10.3</w:t>
            </w:r>
          </w:p>
        </w:tc>
        <w:tc>
          <w:tcPr>
            <w:tcW w:w="517" w:type="pct"/>
          </w:tcPr>
          <w:p w:rsidR="00000000" w:rsidRDefault="004D2F83" w:rsidP="004D2F83">
            <w:pPr>
              <w:spacing w:line="340" w:lineRule="exact"/>
              <w:ind w:rightChars="100" w:right="31680"/>
              <w:jc w:val="right"/>
              <w:rPr>
                <w:sz w:val="18"/>
              </w:rPr>
            </w:pPr>
            <w:r>
              <w:rPr>
                <w:sz w:val="18"/>
              </w:rPr>
              <w:t>4.3</w:t>
            </w:r>
          </w:p>
        </w:tc>
        <w:tc>
          <w:tcPr>
            <w:tcW w:w="517" w:type="pct"/>
          </w:tcPr>
          <w:p w:rsidR="00000000" w:rsidRDefault="004D2F83" w:rsidP="004D2F83">
            <w:pPr>
              <w:spacing w:line="340" w:lineRule="exact"/>
              <w:ind w:rightChars="100" w:right="31680"/>
              <w:jc w:val="right"/>
              <w:rPr>
                <w:sz w:val="18"/>
              </w:rPr>
            </w:pPr>
            <w:r>
              <w:rPr>
                <w:sz w:val="18"/>
              </w:rPr>
              <w:t>4.0</w:t>
            </w:r>
          </w:p>
        </w:tc>
        <w:tc>
          <w:tcPr>
            <w:tcW w:w="515" w:type="pct"/>
          </w:tcPr>
          <w:p w:rsidR="00000000" w:rsidRDefault="004D2F83" w:rsidP="004D2F83">
            <w:pPr>
              <w:spacing w:line="340" w:lineRule="exact"/>
              <w:ind w:rightChars="100" w:right="31680"/>
              <w:jc w:val="right"/>
              <w:rPr>
                <w:sz w:val="18"/>
              </w:rPr>
            </w:pPr>
            <w:r>
              <w:rPr>
                <w:sz w:val="18"/>
              </w:rPr>
              <w:t>31.7</w:t>
            </w:r>
          </w:p>
        </w:tc>
      </w:tr>
      <w:tr w:rsidR="00000000">
        <w:tblPrEx>
          <w:tblCellMar>
            <w:top w:w="0" w:type="dxa"/>
            <w:bottom w:w="0" w:type="dxa"/>
          </w:tblCellMar>
        </w:tblPrEx>
        <w:tc>
          <w:tcPr>
            <w:tcW w:w="863" w:type="pct"/>
          </w:tcPr>
          <w:p w:rsidR="00000000" w:rsidRDefault="004D2F83">
            <w:pPr>
              <w:spacing w:line="340" w:lineRule="exact"/>
              <w:rPr>
                <w:rFonts w:hint="eastAsia"/>
                <w:sz w:val="18"/>
              </w:rPr>
            </w:pPr>
            <w:r>
              <w:rPr>
                <w:rFonts w:hint="eastAsia"/>
                <w:sz w:val="18"/>
              </w:rPr>
              <w:t>化学工程</w:t>
            </w:r>
          </w:p>
        </w:tc>
        <w:tc>
          <w:tcPr>
            <w:tcW w:w="516" w:type="pct"/>
          </w:tcPr>
          <w:p w:rsidR="00000000" w:rsidRDefault="004D2F83" w:rsidP="004D2F83">
            <w:pPr>
              <w:spacing w:line="340" w:lineRule="exact"/>
              <w:ind w:rightChars="100" w:right="31680"/>
              <w:jc w:val="right"/>
              <w:rPr>
                <w:sz w:val="18"/>
              </w:rPr>
            </w:pPr>
            <w:r>
              <w:rPr>
                <w:sz w:val="18"/>
              </w:rPr>
              <w:t>50.0</w:t>
            </w:r>
          </w:p>
        </w:tc>
        <w:tc>
          <w:tcPr>
            <w:tcW w:w="519" w:type="pct"/>
          </w:tcPr>
          <w:p w:rsidR="00000000" w:rsidRDefault="004D2F83" w:rsidP="004D2F83">
            <w:pPr>
              <w:spacing w:line="340" w:lineRule="exact"/>
              <w:ind w:rightChars="100" w:right="31680"/>
              <w:jc w:val="right"/>
              <w:rPr>
                <w:sz w:val="18"/>
              </w:rPr>
            </w:pPr>
            <w:r>
              <w:rPr>
                <w:sz w:val="18"/>
              </w:rPr>
              <w:t>30.1</w:t>
            </w:r>
          </w:p>
        </w:tc>
        <w:tc>
          <w:tcPr>
            <w:tcW w:w="517" w:type="pct"/>
          </w:tcPr>
          <w:p w:rsidR="00000000" w:rsidRDefault="004D2F83" w:rsidP="004D2F83">
            <w:pPr>
              <w:spacing w:line="340" w:lineRule="exact"/>
              <w:ind w:rightChars="100" w:right="31680"/>
              <w:jc w:val="right"/>
              <w:rPr>
                <w:sz w:val="18"/>
              </w:rPr>
            </w:pPr>
            <w:r>
              <w:rPr>
                <w:sz w:val="18"/>
              </w:rPr>
              <w:t>40.7</w:t>
            </w:r>
          </w:p>
        </w:tc>
        <w:tc>
          <w:tcPr>
            <w:tcW w:w="517" w:type="pct"/>
          </w:tcPr>
          <w:p w:rsidR="00000000" w:rsidRDefault="004D2F83" w:rsidP="004D2F83">
            <w:pPr>
              <w:spacing w:line="340" w:lineRule="exact"/>
              <w:ind w:rightChars="100" w:right="31680"/>
              <w:jc w:val="right"/>
              <w:rPr>
                <w:sz w:val="18"/>
              </w:rPr>
            </w:pPr>
            <w:r>
              <w:rPr>
                <w:sz w:val="18"/>
              </w:rPr>
              <w:t>36.6</w:t>
            </w:r>
          </w:p>
        </w:tc>
        <w:tc>
          <w:tcPr>
            <w:tcW w:w="516" w:type="pct"/>
          </w:tcPr>
          <w:p w:rsidR="00000000" w:rsidRDefault="004D2F83" w:rsidP="004D2F83">
            <w:pPr>
              <w:spacing w:line="340" w:lineRule="exact"/>
              <w:ind w:rightChars="100" w:right="31680"/>
              <w:jc w:val="right"/>
              <w:rPr>
                <w:sz w:val="18"/>
              </w:rPr>
            </w:pPr>
            <w:r>
              <w:rPr>
                <w:sz w:val="18"/>
              </w:rPr>
              <w:t>6.7</w:t>
            </w:r>
          </w:p>
        </w:tc>
        <w:tc>
          <w:tcPr>
            <w:tcW w:w="517" w:type="pct"/>
          </w:tcPr>
          <w:p w:rsidR="00000000" w:rsidRDefault="004D2F83" w:rsidP="004D2F83">
            <w:pPr>
              <w:spacing w:line="340" w:lineRule="exact"/>
              <w:ind w:rightChars="100" w:right="31680"/>
              <w:jc w:val="right"/>
              <w:rPr>
                <w:sz w:val="18"/>
              </w:rPr>
            </w:pPr>
            <w:r>
              <w:rPr>
                <w:sz w:val="18"/>
              </w:rPr>
              <w:t>2.1</w:t>
            </w:r>
          </w:p>
        </w:tc>
        <w:tc>
          <w:tcPr>
            <w:tcW w:w="517" w:type="pct"/>
          </w:tcPr>
          <w:p w:rsidR="00000000" w:rsidRDefault="004D2F83" w:rsidP="004D2F83">
            <w:pPr>
              <w:spacing w:line="340" w:lineRule="exact"/>
              <w:ind w:rightChars="100" w:right="31680"/>
              <w:jc w:val="right"/>
              <w:rPr>
                <w:sz w:val="18"/>
              </w:rPr>
            </w:pPr>
            <w:r>
              <w:rPr>
                <w:sz w:val="18"/>
              </w:rPr>
              <w:t>2.1</w:t>
            </w:r>
          </w:p>
        </w:tc>
        <w:tc>
          <w:tcPr>
            <w:tcW w:w="515" w:type="pct"/>
          </w:tcPr>
          <w:p w:rsidR="00000000" w:rsidRDefault="004D2F83" w:rsidP="004D2F83">
            <w:pPr>
              <w:spacing w:line="340" w:lineRule="exact"/>
              <w:ind w:rightChars="100" w:right="31680"/>
              <w:jc w:val="right"/>
              <w:rPr>
                <w:sz w:val="18"/>
              </w:rPr>
            </w:pPr>
            <w:r>
              <w:rPr>
                <w:sz w:val="18"/>
              </w:rPr>
              <w:t>1.1</w:t>
            </w:r>
          </w:p>
        </w:tc>
      </w:tr>
      <w:tr w:rsidR="00000000">
        <w:tblPrEx>
          <w:tblCellMar>
            <w:top w:w="0" w:type="dxa"/>
            <w:bottom w:w="0" w:type="dxa"/>
          </w:tblCellMar>
        </w:tblPrEx>
        <w:tc>
          <w:tcPr>
            <w:tcW w:w="863" w:type="pct"/>
          </w:tcPr>
          <w:p w:rsidR="00000000" w:rsidRDefault="004D2F83">
            <w:pPr>
              <w:spacing w:line="340" w:lineRule="exact"/>
              <w:rPr>
                <w:rFonts w:hint="eastAsia"/>
                <w:sz w:val="18"/>
              </w:rPr>
            </w:pPr>
            <w:r>
              <w:rPr>
                <w:rFonts w:hint="eastAsia"/>
                <w:sz w:val="18"/>
              </w:rPr>
              <w:t>新闻</w:t>
            </w:r>
          </w:p>
        </w:tc>
        <w:tc>
          <w:tcPr>
            <w:tcW w:w="516" w:type="pct"/>
          </w:tcPr>
          <w:p w:rsidR="00000000" w:rsidRDefault="004D2F83" w:rsidP="004D2F83">
            <w:pPr>
              <w:spacing w:line="340" w:lineRule="exact"/>
              <w:ind w:rightChars="100" w:right="31680"/>
              <w:jc w:val="right"/>
              <w:rPr>
                <w:sz w:val="18"/>
              </w:rPr>
            </w:pPr>
            <w:r>
              <w:rPr>
                <w:sz w:val="18"/>
              </w:rPr>
              <w:t>54.3</w:t>
            </w:r>
          </w:p>
        </w:tc>
        <w:tc>
          <w:tcPr>
            <w:tcW w:w="519" w:type="pct"/>
          </w:tcPr>
          <w:p w:rsidR="00000000" w:rsidRDefault="004D2F83" w:rsidP="004D2F83">
            <w:pPr>
              <w:spacing w:line="340" w:lineRule="exact"/>
              <w:ind w:rightChars="100" w:right="31680"/>
              <w:jc w:val="right"/>
              <w:rPr>
                <w:sz w:val="18"/>
              </w:rPr>
            </w:pPr>
            <w:r>
              <w:rPr>
                <w:sz w:val="18"/>
              </w:rPr>
              <w:t>67.3</w:t>
            </w:r>
          </w:p>
        </w:tc>
        <w:tc>
          <w:tcPr>
            <w:tcW w:w="517" w:type="pct"/>
          </w:tcPr>
          <w:p w:rsidR="00000000" w:rsidRDefault="004D2F83" w:rsidP="004D2F83">
            <w:pPr>
              <w:spacing w:line="340" w:lineRule="exact"/>
              <w:ind w:rightChars="100" w:right="31680"/>
              <w:jc w:val="right"/>
              <w:rPr>
                <w:sz w:val="18"/>
              </w:rPr>
            </w:pPr>
            <w:r>
              <w:rPr>
                <w:sz w:val="18"/>
              </w:rPr>
              <w:t>28.5</w:t>
            </w:r>
          </w:p>
        </w:tc>
        <w:tc>
          <w:tcPr>
            <w:tcW w:w="517" w:type="pct"/>
          </w:tcPr>
          <w:p w:rsidR="00000000" w:rsidRDefault="004D2F83" w:rsidP="004D2F83">
            <w:pPr>
              <w:spacing w:line="340" w:lineRule="exact"/>
              <w:ind w:rightChars="100" w:right="31680"/>
              <w:jc w:val="right"/>
              <w:rPr>
                <w:sz w:val="18"/>
              </w:rPr>
            </w:pPr>
            <w:r>
              <w:rPr>
                <w:sz w:val="18"/>
              </w:rPr>
              <w:t>23.2</w:t>
            </w:r>
          </w:p>
        </w:tc>
        <w:tc>
          <w:tcPr>
            <w:tcW w:w="516" w:type="pct"/>
          </w:tcPr>
          <w:p w:rsidR="00000000" w:rsidRDefault="004D2F83" w:rsidP="004D2F83">
            <w:pPr>
              <w:spacing w:line="340" w:lineRule="exact"/>
              <w:ind w:rightChars="100" w:right="31680"/>
              <w:jc w:val="right"/>
              <w:rPr>
                <w:sz w:val="18"/>
              </w:rPr>
            </w:pPr>
            <w:r>
              <w:rPr>
                <w:sz w:val="18"/>
              </w:rPr>
              <w:t>9.3</w:t>
            </w:r>
          </w:p>
        </w:tc>
        <w:tc>
          <w:tcPr>
            <w:tcW w:w="517" w:type="pct"/>
          </w:tcPr>
          <w:p w:rsidR="00000000" w:rsidRDefault="004D2F83" w:rsidP="004D2F83">
            <w:pPr>
              <w:spacing w:line="340" w:lineRule="exact"/>
              <w:ind w:rightChars="100" w:right="31680"/>
              <w:jc w:val="right"/>
              <w:rPr>
                <w:sz w:val="18"/>
              </w:rPr>
            </w:pPr>
            <w:r>
              <w:rPr>
                <w:sz w:val="18"/>
              </w:rPr>
              <w:t>5.7</w:t>
            </w:r>
          </w:p>
        </w:tc>
        <w:tc>
          <w:tcPr>
            <w:tcW w:w="517" w:type="pct"/>
          </w:tcPr>
          <w:p w:rsidR="00000000" w:rsidRDefault="004D2F83" w:rsidP="004D2F83">
            <w:pPr>
              <w:spacing w:line="340" w:lineRule="exact"/>
              <w:ind w:rightChars="100" w:right="31680"/>
              <w:jc w:val="right"/>
              <w:rPr>
                <w:sz w:val="18"/>
              </w:rPr>
            </w:pPr>
            <w:r>
              <w:rPr>
                <w:sz w:val="18"/>
              </w:rPr>
              <w:t>7.9</w:t>
            </w:r>
          </w:p>
        </w:tc>
        <w:tc>
          <w:tcPr>
            <w:tcW w:w="515" w:type="pct"/>
          </w:tcPr>
          <w:p w:rsidR="00000000" w:rsidRDefault="004D2F83" w:rsidP="004D2F83">
            <w:pPr>
              <w:spacing w:line="340" w:lineRule="exact"/>
              <w:ind w:rightChars="100" w:right="31680"/>
              <w:jc w:val="right"/>
              <w:rPr>
                <w:sz w:val="18"/>
              </w:rPr>
            </w:pPr>
            <w:r>
              <w:rPr>
                <w:sz w:val="18"/>
              </w:rPr>
              <w:t>3.7</w:t>
            </w:r>
          </w:p>
        </w:tc>
      </w:tr>
      <w:tr w:rsidR="00000000">
        <w:tblPrEx>
          <w:tblCellMar>
            <w:top w:w="0" w:type="dxa"/>
            <w:bottom w:w="0" w:type="dxa"/>
          </w:tblCellMar>
        </w:tblPrEx>
        <w:tc>
          <w:tcPr>
            <w:tcW w:w="863" w:type="pct"/>
          </w:tcPr>
          <w:p w:rsidR="00000000" w:rsidRDefault="004D2F83">
            <w:pPr>
              <w:spacing w:line="340" w:lineRule="exact"/>
              <w:rPr>
                <w:rFonts w:hint="eastAsia"/>
                <w:sz w:val="18"/>
              </w:rPr>
            </w:pPr>
            <w:r>
              <w:rPr>
                <w:rFonts w:hint="eastAsia"/>
                <w:sz w:val="18"/>
              </w:rPr>
              <w:t>语言与文学</w:t>
            </w:r>
          </w:p>
        </w:tc>
        <w:tc>
          <w:tcPr>
            <w:tcW w:w="516" w:type="pct"/>
          </w:tcPr>
          <w:p w:rsidR="00000000" w:rsidRDefault="004D2F83" w:rsidP="004D2F83">
            <w:pPr>
              <w:spacing w:line="340" w:lineRule="exact"/>
              <w:ind w:rightChars="100" w:right="31680"/>
              <w:jc w:val="right"/>
              <w:rPr>
                <w:sz w:val="18"/>
              </w:rPr>
            </w:pPr>
            <w:r>
              <w:rPr>
                <w:sz w:val="18"/>
              </w:rPr>
              <w:t>27.5</w:t>
            </w:r>
          </w:p>
        </w:tc>
        <w:tc>
          <w:tcPr>
            <w:tcW w:w="519" w:type="pct"/>
          </w:tcPr>
          <w:p w:rsidR="00000000" w:rsidRDefault="004D2F83" w:rsidP="004D2F83">
            <w:pPr>
              <w:spacing w:line="340" w:lineRule="exact"/>
              <w:ind w:rightChars="100" w:right="31680"/>
              <w:jc w:val="right"/>
              <w:rPr>
                <w:sz w:val="18"/>
              </w:rPr>
            </w:pPr>
            <w:r>
              <w:rPr>
                <w:sz w:val="18"/>
              </w:rPr>
              <w:t>40.4</w:t>
            </w:r>
          </w:p>
        </w:tc>
        <w:tc>
          <w:tcPr>
            <w:tcW w:w="517" w:type="pct"/>
          </w:tcPr>
          <w:p w:rsidR="00000000" w:rsidRDefault="004D2F83" w:rsidP="004D2F83">
            <w:pPr>
              <w:spacing w:line="340" w:lineRule="exact"/>
              <w:ind w:rightChars="100" w:right="31680"/>
              <w:jc w:val="right"/>
              <w:rPr>
                <w:sz w:val="18"/>
              </w:rPr>
            </w:pPr>
            <w:r>
              <w:rPr>
                <w:sz w:val="18"/>
              </w:rPr>
              <w:t>29.4</w:t>
            </w:r>
          </w:p>
        </w:tc>
        <w:tc>
          <w:tcPr>
            <w:tcW w:w="517" w:type="pct"/>
          </w:tcPr>
          <w:p w:rsidR="00000000" w:rsidRDefault="004D2F83" w:rsidP="004D2F83">
            <w:pPr>
              <w:spacing w:line="340" w:lineRule="exact"/>
              <w:ind w:rightChars="100" w:right="31680"/>
              <w:jc w:val="right"/>
              <w:rPr>
                <w:sz w:val="18"/>
              </w:rPr>
            </w:pPr>
            <w:r>
              <w:rPr>
                <w:sz w:val="18"/>
              </w:rPr>
              <w:t>26.0</w:t>
            </w:r>
          </w:p>
        </w:tc>
        <w:tc>
          <w:tcPr>
            <w:tcW w:w="516" w:type="pct"/>
          </w:tcPr>
          <w:p w:rsidR="00000000" w:rsidRDefault="004D2F83" w:rsidP="004D2F83">
            <w:pPr>
              <w:spacing w:line="340" w:lineRule="exact"/>
              <w:ind w:rightChars="100" w:right="31680"/>
              <w:jc w:val="right"/>
              <w:rPr>
                <w:sz w:val="18"/>
              </w:rPr>
            </w:pPr>
            <w:r>
              <w:rPr>
                <w:sz w:val="18"/>
              </w:rPr>
              <w:t>20.2</w:t>
            </w:r>
          </w:p>
        </w:tc>
        <w:tc>
          <w:tcPr>
            <w:tcW w:w="517" w:type="pct"/>
          </w:tcPr>
          <w:p w:rsidR="00000000" w:rsidRDefault="004D2F83" w:rsidP="004D2F83">
            <w:pPr>
              <w:spacing w:line="340" w:lineRule="exact"/>
              <w:ind w:rightChars="100" w:right="31680"/>
              <w:jc w:val="right"/>
              <w:rPr>
                <w:sz w:val="18"/>
              </w:rPr>
            </w:pPr>
            <w:r>
              <w:rPr>
                <w:sz w:val="18"/>
              </w:rPr>
              <w:t>14.3</w:t>
            </w:r>
          </w:p>
        </w:tc>
        <w:tc>
          <w:tcPr>
            <w:tcW w:w="517" w:type="pct"/>
          </w:tcPr>
          <w:p w:rsidR="00000000" w:rsidRDefault="004D2F83" w:rsidP="004D2F83">
            <w:pPr>
              <w:spacing w:line="340" w:lineRule="exact"/>
              <w:ind w:rightChars="100" w:right="31680"/>
              <w:jc w:val="right"/>
              <w:rPr>
                <w:sz w:val="18"/>
              </w:rPr>
            </w:pPr>
            <w:r>
              <w:rPr>
                <w:sz w:val="18"/>
              </w:rPr>
              <w:t>22.9</w:t>
            </w:r>
          </w:p>
        </w:tc>
        <w:tc>
          <w:tcPr>
            <w:tcW w:w="515" w:type="pct"/>
          </w:tcPr>
          <w:p w:rsidR="00000000" w:rsidRDefault="004D2F83" w:rsidP="004D2F83">
            <w:pPr>
              <w:spacing w:line="340" w:lineRule="exact"/>
              <w:ind w:rightChars="100" w:right="31680"/>
              <w:jc w:val="right"/>
              <w:rPr>
                <w:sz w:val="18"/>
              </w:rPr>
            </w:pPr>
            <w:r>
              <w:rPr>
                <w:sz w:val="18"/>
              </w:rPr>
              <w:t>19.3</w:t>
            </w:r>
          </w:p>
        </w:tc>
      </w:tr>
      <w:tr w:rsidR="00000000">
        <w:tblPrEx>
          <w:tblCellMar>
            <w:top w:w="0" w:type="dxa"/>
            <w:bottom w:w="0" w:type="dxa"/>
          </w:tblCellMar>
        </w:tblPrEx>
        <w:tc>
          <w:tcPr>
            <w:tcW w:w="863" w:type="pct"/>
          </w:tcPr>
          <w:p w:rsidR="00000000" w:rsidRDefault="004D2F83">
            <w:pPr>
              <w:spacing w:line="340" w:lineRule="exact"/>
              <w:rPr>
                <w:rFonts w:hint="eastAsia"/>
                <w:sz w:val="18"/>
              </w:rPr>
            </w:pPr>
            <w:r>
              <w:rPr>
                <w:rFonts w:hint="eastAsia"/>
                <w:sz w:val="18"/>
              </w:rPr>
              <w:t>数学</w:t>
            </w:r>
          </w:p>
        </w:tc>
        <w:tc>
          <w:tcPr>
            <w:tcW w:w="516" w:type="pct"/>
          </w:tcPr>
          <w:p w:rsidR="00000000" w:rsidRDefault="004D2F83" w:rsidP="004D2F83">
            <w:pPr>
              <w:spacing w:line="340" w:lineRule="exact"/>
              <w:ind w:rightChars="100" w:right="31680"/>
              <w:jc w:val="right"/>
              <w:rPr>
                <w:sz w:val="18"/>
              </w:rPr>
            </w:pPr>
            <w:r>
              <w:rPr>
                <w:sz w:val="18"/>
              </w:rPr>
              <w:t>28.2</w:t>
            </w:r>
          </w:p>
        </w:tc>
        <w:tc>
          <w:tcPr>
            <w:tcW w:w="519" w:type="pct"/>
          </w:tcPr>
          <w:p w:rsidR="00000000" w:rsidRDefault="004D2F83" w:rsidP="004D2F83">
            <w:pPr>
              <w:spacing w:line="340" w:lineRule="exact"/>
              <w:ind w:rightChars="100" w:right="31680"/>
              <w:jc w:val="right"/>
              <w:rPr>
                <w:sz w:val="18"/>
              </w:rPr>
            </w:pPr>
            <w:r>
              <w:rPr>
                <w:sz w:val="18"/>
              </w:rPr>
              <w:t>41.5</w:t>
            </w:r>
          </w:p>
        </w:tc>
        <w:tc>
          <w:tcPr>
            <w:tcW w:w="517" w:type="pct"/>
          </w:tcPr>
          <w:p w:rsidR="00000000" w:rsidRDefault="004D2F83" w:rsidP="004D2F83">
            <w:pPr>
              <w:spacing w:line="340" w:lineRule="exact"/>
              <w:ind w:rightChars="100" w:right="31680"/>
              <w:jc w:val="right"/>
              <w:rPr>
                <w:sz w:val="18"/>
              </w:rPr>
            </w:pPr>
            <w:r>
              <w:rPr>
                <w:sz w:val="18"/>
              </w:rPr>
              <w:t>32.3</w:t>
            </w:r>
          </w:p>
        </w:tc>
        <w:tc>
          <w:tcPr>
            <w:tcW w:w="517" w:type="pct"/>
          </w:tcPr>
          <w:p w:rsidR="00000000" w:rsidRDefault="004D2F83" w:rsidP="004D2F83">
            <w:pPr>
              <w:spacing w:line="340" w:lineRule="exact"/>
              <w:ind w:rightChars="100" w:right="31680"/>
              <w:jc w:val="right"/>
              <w:rPr>
                <w:sz w:val="18"/>
              </w:rPr>
            </w:pPr>
            <w:r>
              <w:rPr>
                <w:sz w:val="18"/>
              </w:rPr>
              <w:t>26.2</w:t>
            </w:r>
          </w:p>
        </w:tc>
        <w:tc>
          <w:tcPr>
            <w:tcW w:w="516" w:type="pct"/>
          </w:tcPr>
          <w:p w:rsidR="00000000" w:rsidRDefault="004D2F83" w:rsidP="004D2F83">
            <w:pPr>
              <w:spacing w:line="340" w:lineRule="exact"/>
              <w:ind w:rightChars="100" w:right="31680"/>
              <w:jc w:val="right"/>
              <w:rPr>
                <w:sz w:val="18"/>
              </w:rPr>
            </w:pPr>
            <w:r>
              <w:rPr>
                <w:sz w:val="18"/>
              </w:rPr>
              <w:t>18.0</w:t>
            </w:r>
          </w:p>
        </w:tc>
        <w:tc>
          <w:tcPr>
            <w:tcW w:w="517" w:type="pct"/>
          </w:tcPr>
          <w:p w:rsidR="00000000" w:rsidRDefault="004D2F83" w:rsidP="004D2F83">
            <w:pPr>
              <w:spacing w:line="340" w:lineRule="exact"/>
              <w:ind w:rightChars="100" w:right="31680"/>
              <w:jc w:val="right"/>
              <w:rPr>
                <w:sz w:val="18"/>
              </w:rPr>
            </w:pPr>
            <w:r>
              <w:rPr>
                <w:sz w:val="18"/>
              </w:rPr>
              <w:t>13.9</w:t>
            </w:r>
          </w:p>
        </w:tc>
        <w:tc>
          <w:tcPr>
            <w:tcW w:w="517" w:type="pct"/>
          </w:tcPr>
          <w:p w:rsidR="00000000" w:rsidRDefault="004D2F83" w:rsidP="004D2F83">
            <w:pPr>
              <w:spacing w:line="340" w:lineRule="exact"/>
              <w:ind w:rightChars="100" w:right="31680"/>
              <w:jc w:val="right"/>
              <w:rPr>
                <w:sz w:val="18"/>
              </w:rPr>
            </w:pPr>
            <w:r>
              <w:rPr>
                <w:sz w:val="18"/>
              </w:rPr>
              <w:t>21.4</w:t>
            </w:r>
          </w:p>
        </w:tc>
        <w:tc>
          <w:tcPr>
            <w:tcW w:w="515" w:type="pct"/>
          </w:tcPr>
          <w:p w:rsidR="00000000" w:rsidRDefault="004D2F83" w:rsidP="004D2F83">
            <w:pPr>
              <w:spacing w:line="340" w:lineRule="exact"/>
              <w:ind w:rightChars="100" w:right="31680"/>
              <w:jc w:val="right"/>
              <w:rPr>
                <w:sz w:val="18"/>
              </w:rPr>
            </w:pPr>
            <w:r>
              <w:rPr>
                <w:sz w:val="18"/>
              </w:rPr>
              <w:t>18.5</w:t>
            </w:r>
          </w:p>
        </w:tc>
      </w:tr>
      <w:tr w:rsidR="00000000">
        <w:tblPrEx>
          <w:tblCellMar>
            <w:top w:w="0" w:type="dxa"/>
            <w:bottom w:w="0" w:type="dxa"/>
          </w:tblCellMar>
        </w:tblPrEx>
        <w:tc>
          <w:tcPr>
            <w:tcW w:w="863" w:type="pct"/>
          </w:tcPr>
          <w:p w:rsidR="00000000" w:rsidRDefault="004D2F83">
            <w:pPr>
              <w:spacing w:line="340" w:lineRule="exact"/>
              <w:rPr>
                <w:rFonts w:hint="eastAsia"/>
                <w:sz w:val="18"/>
              </w:rPr>
            </w:pPr>
            <w:r>
              <w:rPr>
                <w:rFonts w:hint="eastAsia"/>
                <w:sz w:val="18"/>
              </w:rPr>
              <w:t>医学</w:t>
            </w:r>
          </w:p>
        </w:tc>
        <w:tc>
          <w:tcPr>
            <w:tcW w:w="516" w:type="pct"/>
          </w:tcPr>
          <w:p w:rsidR="00000000" w:rsidRDefault="004D2F83" w:rsidP="004D2F83">
            <w:pPr>
              <w:spacing w:line="340" w:lineRule="exact"/>
              <w:ind w:rightChars="100" w:right="31680"/>
              <w:jc w:val="right"/>
              <w:rPr>
                <w:sz w:val="18"/>
              </w:rPr>
            </w:pPr>
            <w:r>
              <w:rPr>
                <w:sz w:val="18"/>
              </w:rPr>
              <w:t>60.8</w:t>
            </w:r>
          </w:p>
        </w:tc>
        <w:tc>
          <w:tcPr>
            <w:tcW w:w="519" w:type="pct"/>
          </w:tcPr>
          <w:p w:rsidR="00000000" w:rsidRDefault="004D2F83" w:rsidP="004D2F83">
            <w:pPr>
              <w:spacing w:line="340" w:lineRule="exact"/>
              <w:ind w:rightChars="100" w:right="31680"/>
              <w:jc w:val="right"/>
              <w:rPr>
                <w:sz w:val="18"/>
              </w:rPr>
            </w:pPr>
            <w:r>
              <w:rPr>
                <w:sz w:val="18"/>
              </w:rPr>
              <w:t>67.2</w:t>
            </w:r>
          </w:p>
        </w:tc>
        <w:tc>
          <w:tcPr>
            <w:tcW w:w="517" w:type="pct"/>
          </w:tcPr>
          <w:p w:rsidR="00000000" w:rsidRDefault="004D2F83" w:rsidP="004D2F83">
            <w:pPr>
              <w:spacing w:line="340" w:lineRule="exact"/>
              <w:ind w:rightChars="100" w:right="31680"/>
              <w:jc w:val="right"/>
              <w:rPr>
                <w:sz w:val="18"/>
              </w:rPr>
            </w:pPr>
            <w:r>
              <w:rPr>
                <w:sz w:val="18"/>
              </w:rPr>
              <w:t>34.5</w:t>
            </w:r>
          </w:p>
        </w:tc>
        <w:tc>
          <w:tcPr>
            <w:tcW w:w="517" w:type="pct"/>
          </w:tcPr>
          <w:p w:rsidR="00000000" w:rsidRDefault="004D2F83" w:rsidP="004D2F83">
            <w:pPr>
              <w:spacing w:line="340" w:lineRule="exact"/>
              <w:ind w:rightChars="100" w:right="31680"/>
              <w:jc w:val="right"/>
              <w:rPr>
                <w:sz w:val="18"/>
              </w:rPr>
            </w:pPr>
            <w:r>
              <w:rPr>
                <w:sz w:val="18"/>
              </w:rPr>
              <w:t>29.7</w:t>
            </w:r>
          </w:p>
        </w:tc>
        <w:tc>
          <w:tcPr>
            <w:tcW w:w="516" w:type="pct"/>
          </w:tcPr>
          <w:p w:rsidR="00000000" w:rsidRDefault="004D2F83" w:rsidP="004D2F83">
            <w:pPr>
              <w:spacing w:line="340" w:lineRule="exact"/>
              <w:ind w:rightChars="100" w:right="31680"/>
              <w:jc w:val="right"/>
              <w:rPr>
                <w:sz w:val="18"/>
              </w:rPr>
            </w:pPr>
            <w:r>
              <w:rPr>
                <w:sz w:val="18"/>
              </w:rPr>
              <w:t>3.2</w:t>
            </w:r>
          </w:p>
        </w:tc>
        <w:tc>
          <w:tcPr>
            <w:tcW w:w="517" w:type="pct"/>
          </w:tcPr>
          <w:p w:rsidR="00000000" w:rsidRDefault="004D2F83" w:rsidP="004D2F83">
            <w:pPr>
              <w:spacing w:line="340" w:lineRule="exact"/>
              <w:ind w:rightChars="100" w:right="31680"/>
              <w:jc w:val="right"/>
              <w:rPr>
                <w:sz w:val="18"/>
              </w:rPr>
            </w:pPr>
            <w:r>
              <w:rPr>
                <w:sz w:val="18"/>
              </w:rPr>
              <w:t>1.2</w:t>
            </w:r>
          </w:p>
        </w:tc>
        <w:tc>
          <w:tcPr>
            <w:tcW w:w="517" w:type="pct"/>
          </w:tcPr>
          <w:p w:rsidR="00000000" w:rsidRDefault="004D2F83" w:rsidP="004D2F83">
            <w:pPr>
              <w:spacing w:line="340" w:lineRule="exact"/>
              <w:ind w:rightChars="100" w:right="31680"/>
              <w:jc w:val="right"/>
              <w:rPr>
                <w:sz w:val="18"/>
              </w:rPr>
            </w:pPr>
            <w:r>
              <w:rPr>
                <w:sz w:val="18"/>
              </w:rPr>
              <w:t>1.4</w:t>
            </w:r>
          </w:p>
        </w:tc>
        <w:tc>
          <w:tcPr>
            <w:tcW w:w="515" w:type="pct"/>
          </w:tcPr>
          <w:p w:rsidR="00000000" w:rsidRDefault="004D2F83" w:rsidP="004D2F83">
            <w:pPr>
              <w:spacing w:line="340" w:lineRule="exact"/>
              <w:ind w:rightChars="100" w:right="31680"/>
              <w:jc w:val="right"/>
              <w:rPr>
                <w:sz w:val="18"/>
              </w:rPr>
            </w:pPr>
            <w:r>
              <w:rPr>
                <w:sz w:val="18"/>
              </w:rPr>
              <w:t>1.3</w:t>
            </w:r>
          </w:p>
        </w:tc>
      </w:tr>
    </w:tbl>
    <w:p w:rsidR="00000000" w:rsidRDefault="004D2F83">
      <w:pPr>
        <w:spacing w:after="240" w:line="360" w:lineRule="exact"/>
        <w:rPr>
          <w:rFonts w:hint="eastAsia"/>
          <w:sz w:val="18"/>
        </w:rPr>
      </w:pPr>
      <w:r>
        <w:rPr>
          <w:rFonts w:eastAsia="SimHei" w:hint="eastAsia"/>
          <w:sz w:val="18"/>
        </w:rPr>
        <w:t>资料来源</w:t>
      </w:r>
      <w:r>
        <w:rPr>
          <w:rFonts w:hint="eastAsia"/>
          <w:sz w:val="18"/>
        </w:rPr>
        <w:t>：高等教育统计和评估司</w:t>
      </w:r>
      <w:r>
        <w:rPr>
          <w:rFonts w:hint="eastAsia"/>
          <w:sz w:val="18"/>
        </w:rPr>
        <w:t>/</w:t>
      </w:r>
      <w:r>
        <w:rPr>
          <w:rFonts w:hint="eastAsia"/>
          <w:sz w:val="18"/>
        </w:rPr>
        <w:t>国家教育研究所</w:t>
      </w:r>
      <w:r>
        <w:rPr>
          <w:rFonts w:hint="eastAsia"/>
          <w:sz w:val="18"/>
        </w:rPr>
        <w:t>/</w:t>
      </w:r>
      <w:r>
        <w:rPr>
          <w:rFonts w:hint="eastAsia"/>
          <w:sz w:val="18"/>
        </w:rPr>
        <w:t>教育部—</w:t>
      </w:r>
      <w:r>
        <w:rPr>
          <w:rFonts w:hint="eastAsia"/>
          <w:sz w:val="18"/>
        </w:rPr>
        <w:t>1999</w:t>
      </w:r>
      <w:r>
        <w:rPr>
          <w:rFonts w:hint="eastAsia"/>
          <w:sz w:val="18"/>
        </w:rPr>
        <w:t>年全国课程考试（</w:t>
      </w:r>
      <w:hyperlink r:id="rId9" w:history="1">
        <w:r>
          <w:rPr>
            <w:rStyle w:val="Hyperlink"/>
            <w:sz w:val="18"/>
          </w:rPr>
          <w:t>www.inep.gov.br</w:t>
        </w:r>
      </w:hyperlink>
      <w:r>
        <w:rPr>
          <w:rFonts w:hint="eastAsia"/>
          <w:sz w:val="18"/>
        </w:rPr>
        <w:t>，</w:t>
      </w:r>
      <w:r>
        <w:rPr>
          <w:rFonts w:hint="eastAsia"/>
          <w:sz w:val="18"/>
        </w:rPr>
        <w:t>2001</w:t>
      </w:r>
      <w:r>
        <w:rPr>
          <w:rFonts w:hint="eastAsia"/>
          <w:sz w:val="18"/>
        </w:rPr>
        <w:t>年</w:t>
      </w:r>
      <w:r>
        <w:rPr>
          <w:rFonts w:hint="eastAsia"/>
          <w:sz w:val="18"/>
        </w:rPr>
        <w:t>1</w:t>
      </w:r>
      <w:r>
        <w:rPr>
          <w:rFonts w:hint="eastAsia"/>
          <w:sz w:val="18"/>
        </w:rPr>
        <w:t>月</w:t>
      </w:r>
      <w:r>
        <w:rPr>
          <w:rFonts w:hint="eastAsia"/>
          <w:sz w:val="18"/>
        </w:rPr>
        <w:t>15</w:t>
      </w:r>
      <w:r>
        <w:rPr>
          <w:rFonts w:hint="eastAsia"/>
          <w:sz w:val="18"/>
        </w:rPr>
        <w:t>日晚</w:t>
      </w:r>
      <w:r>
        <w:rPr>
          <w:rFonts w:hint="eastAsia"/>
          <w:sz w:val="18"/>
        </w:rPr>
        <w:t>6</w:t>
      </w:r>
      <w:r>
        <w:rPr>
          <w:sz w:val="18"/>
        </w:rPr>
        <w:t>:2</w:t>
      </w:r>
      <w:r>
        <w:rPr>
          <w:rFonts w:hint="eastAsia"/>
          <w:sz w:val="18"/>
        </w:rPr>
        <w:t>0</w:t>
      </w:r>
      <w:r>
        <w:rPr>
          <w:rFonts w:hint="eastAsia"/>
          <w:sz w:val="18"/>
        </w:rPr>
        <w:t>公布）。</w:t>
      </w:r>
    </w:p>
    <w:p w:rsidR="00000000" w:rsidRDefault="004D2F83" w:rsidP="004D2F83">
      <w:pPr>
        <w:spacing w:after="240" w:line="380" w:lineRule="exact"/>
        <w:ind w:firstLineChars="200" w:firstLine="31680"/>
        <w:rPr>
          <w:rFonts w:hint="eastAsia"/>
        </w:rPr>
      </w:pPr>
      <w:r>
        <w:rPr>
          <w:rFonts w:hint="eastAsia"/>
        </w:rPr>
        <w:t>当代教育改革促使巴西开始对学校能力开展系统的、全面的评估。这些评估的结果表明某些性别差异与发达国家（如美国、加拿大和法国）的情况相同：在语言测试中，女性的表现优于男性，男性的数学和理科成绩则高于女性。但就整个学习过程来说，情况并非始终如此，而且由于某一年级男女学生的社会经济、种族和年龄构成不尽相同，这些评估结果</w:t>
      </w:r>
      <w:r>
        <w:rPr>
          <w:rFonts w:hint="eastAsia"/>
        </w:rPr>
        <w:t>还需要仔细分析。</w:t>
      </w:r>
    </w:p>
    <w:p w:rsidR="00000000" w:rsidRDefault="004D2F83" w:rsidP="004D2F83">
      <w:pPr>
        <w:spacing w:after="240" w:line="380" w:lineRule="exact"/>
        <w:ind w:firstLineChars="200" w:firstLine="31680"/>
        <w:rPr>
          <w:rFonts w:hint="eastAsia"/>
        </w:rPr>
      </w:pPr>
      <w:r>
        <w:rPr>
          <w:rFonts w:hint="eastAsia"/>
        </w:rPr>
        <w:t>综上所述，巴西教育系统与发达国家的教育系统尽管并非完全一致，但有相似之处。一方面，我们看到女性的升学比例略高，这与教育机构中旷日持久的男女隔离现象有关；另一方面，我们也看到社会出身低下和来自种族少数群体的男女学生的升学过程不平衡并时常中断，尤以男生的情况更为明显。</w:t>
      </w:r>
    </w:p>
    <w:p w:rsidR="00000000" w:rsidRDefault="004D2F83" w:rsidP="004D2F83">
      <w:pPr>
        <w:spacing w:after="240" w:line="380" w:lineRule="exact"/>
        <w:ind w:firstLineChars="200" w:firstLine="31680"/>
        <w:rPr>
          <w:rFonts w:hint="eastAsia"/>
        </w:rPr>
      </w:pPr>
      <w:r>
        <w:rPr>
          <w:rFonts w:hint="eastAsia"/>
        </w:rPr>
        <w:t>教育领域中性别差异的变化已远远超出了教育政策的范畴，因为这种变化似乎也是源自性别、媒体、家庭、宗教和同龄人的社会化模式，此外还是劳动力市场中严格的性别隔离的产物（罗森贝格，</w:t>
      </w:r>
      <w:r>
        <w:rPr>
          <w:rFonts w:hint="eastAsia"/>
        </w:rPr>
        <w:t>1994</w:t>
      </w:r>
      <w:r>
        <w:rPr>
          <w:rFonts w:hint="eastAsia"/>
        </w:rPr>
        <w:t>年；布鲁斯基尼，</w:t>
      </w:r>
      <w:r>
        <w:rPr>
          <w:rFonts w:hint="eastAsia"/>
        </w:rPr>
        <w:t>1998</w:t>
      </w:r>
      <w:r>
        <w:rPr>
          <w:rFonts w:hint="eastAsia"/>
        </w:rPr>
        <w:t>年）。由此可见，如果其他</w:t>
      </w:r>
      <w:r>
        <w:rPr>
          <w:rFonts w:hint="eastAsia"/>
        </w:rPr>
        <w:t>各种社会化环境和劳动力市场的发展趋势不有所改变的话，在劳动力高度隔离这一状况下，鼓励为男女学生开展非正规职业教育的建议将毫无作用。另一方面，以更加民主的方式增进获得高质量教育的机会，是从根本上承认教学职业的真正价值的教育政策所肩负的责任，教学职业是一项女性职业——大部分从业者都是女性。</w:t>
      </w:r>
    </w:p>
    <w:p w:rsidR="00000000" w:rsidRDefault="004D2F83" w:rsidP="004D2F83">
      <w:pPr>
        <w:spacing w:after="240" w:line="380" w:lineRule="exact"/>
        <w:ind w:firstLineChars="200" w:firstLine="31680"/>
        <w:rPr>
          <w:rFonts w:hint="eastAsia"/>
        </w:rPr>
      </w:pPr>
      <w:r>
        <w:rPr>
          <w:rFonts w:hint="eastAsia"/>
        </w:rPr>
        <w:t>教育系统至今仍是女性的领域——无论作为教师、雇员或专家，女性占教育工作者总数的</w:t>
      </w:r>
      <w:r>
        <w:rPr>
          <w:rFonts w:hint="eastAsia"/>
        </w:rPr>
        <w:t>80%</w:t>
      </w:r>
      <w:r>
        <w:rPr>
          <w:rFonts w:hint="eastAsia"/>
        </w:rPr>
        <w:t>以上（巴蒂斯塔和科多，</w:t>
      </w:r>
      <w:r>
        <w:rPr>
          <w:rFonts w:hint="eastAsia"/>
        </w:rPr>
        <w:t>1999</w:t>
      </w:r>
      <w:r>
        <w:rPr>
          <w:rFonts w:hint="eastAsia"/>
        </w:rPr>
        <w:t>年，第</w:t>
      </w:r>
      <w:r>
        <w:rPr>
          <w:rFonts w:hint="eastAsia"/>
        </w:rPr>
        <w:t>62</w:t>
      </w:r>
      <w:r>
        <w:rPr>
          <w:rFonts w:hint="eastAsia"/>
        </w:rPr>
        <w:t>页）。教师职业仍是劳动力市场上吸纳妇女就业的主要渠道之一：</w:t>
      </w:r>
      <w:r>
        <w:rPr>
          <w:rFonts w:hint="eastAsia"/>
        </w:rPr>
        <w:t>1980</w:t>
      </w:r>
      <w:r>
        <w:rPr>
          <w:rFonts w:hint="eastAsia"/>
        </w:rPr>
        <w:t>年，女教师占参与经济活动的妇女总数</w:t>
      </w:r>
      <w:r>
        <w:rPr>
          <w:rFonts w:hint="eastAsia"/>
        </w:rPr>
        <w:t>的</w:t>
      </w:r>
      <w:r>
        <w:rPr>
          <w:rFonts w:hint="eastAsia"/>
        </w:rPr>
        <w:t>8%</w:t>
      </w:r>
      <w:r>
        <w:rPr>
          <w:rFonts w:hint="eastAsia"/>
        </w:rPr>
        <w:t>（罗森贝格，</w:t>
      </w:r>
      <w:r>
        <w:rPr>
          <w:rFonts w:hint="eastAsia"/>
        </w:rPr>
        <w:t>1994</w:t>
      </w:r>
      <w:r>
        <w:rPr>
          <w:rFonts w:hint="eastAsia"/>
        </w:rPr>
        <w:t>年）；</w:t>
      </w:r>
      <w:r>
        <w:rPr>
          <w:rFonts w:hint="eastAsia"/>
        </w:rPr>
        <w:t>1991</w:t>
      </w:r>
      <w:r>
        <w:rPr>
          <w:rFonts w:hint="eastAsia"/>
        </w:rPr>
        <w:t>年，这个比例为</w:t>
      </w:r>
      <w:r>
        <w:rPr>
          <w:rFonts w:hint="eastAsia"/>
        </w:rPr>
        <w:t>12%</w:t>
      </w:r>
      <w:r>
        <w:rPr>
          <w:rFonts w:hint="eastAsia"/>
        </w:rPr>
        <w:t>（布鲁斯基尼，</w:t>
      </w:r>
      <w:r>
        <w:rPr>
          <w:rFonts w:hint="eastAsia"/>
        </w:rPr>
        <w:t>1998</w:t>
      </w:r>
      <w:r>
        <w:rPr>
          <w:rFonts w:hint="eastAsia"/>
        </w:rPr>
        <w:t>年）。</w:t>
      </w:r>
    </w:p>
    <w:p w:rsidR="00000000" w:rsidRDefault="004D2F83" w:rsidP="004D2F83">
      <w:pPr>
        <w:spacing w:after="240" w:line="380" w:lineRule="exact"/>
        <w:ind w:firstLineChars="200" w:firstLine="31680"/>
        <w:rPr>
          <w:rFonts w:hint="eastAsia"/>
        </w:rPr>
      </w:pPr>
      <w:r>
        <w:rPr>
          <w:rFonts w:hint="eastAsia"/>
        </w:rPr>
        <w:t>但是，</w:t>
      </w:r>
      <w:r>
        <w:rPr>
          <w:rFonts w:hint="eastAsia"/>
        </w:rPr>
        <w:t>1980</w:t>
      </w:r>
      <w:r>
        <w:rPr>
          <w:rFonts w:hint="eastAsia"/>
        </w:rPr>
        <w:t>至</w:t>
      </w:r>
      <w:r>
        <w:rPr>
          <w:rFonts w:hint="eastAsia"/>
        </w:rPr>
        <w:t>1991</w:t>
      </w:r>
      <w:r>
        <w:rPr>
          <w:rFonts w:hint="eastAsia"/>
        </w:rPr>
        <w:t>年间开展的小规模改革活动没能改变这座金字塔：在与儿童和青少年打交道的各级教育机构中，男教师人数偏少，在高等教育中，男教师人数偏多，从而表现出强烈的性别歧视。在小学四年级以下任教的教师只需完成中等教育即可，他们的薪水大大低于大学教授。</w:t>
      </w:r>
    </w:p>
    <w:p w:rsidR="00000000" w:rsidRDefault="004D2F83" w:rsidP="004D2F83">
      <w:pPr>
        <w:spacing w:after="240" w:line="380" w:lineRule="exact"/>
        <w:ind w:firstLineChars="200" w:firstLine="31680"/>
        <w:rPr>
          <w:rFonts w:hint="eastAsia"/>
        </w:rPr>
      </w:pPr>
      <w:r>
        <w:rPr>
          <w:rFonts w:hint="eastAsia"/>
        </w:rPr>
        <w:t>在教师行业里，各级教育机构的教师之间及男女教师之间都存在着薪金差距。但在两次普查期间，男女教师的薪金差距缩小了，这很可能是由于以下几个因素造成的：教学层次的性别构成</w:t>
      </w:r>
      <w:r>
        <w:rPr>
          <w:rFonts w:hint="eastAsia"/>
        </w:rPr>
        <w:t>状况；基础师资培训的普遍改善；以及公立教育系统所采用的薪资政策。</w:t>
      </w:r>
    </w:p>
    <w:p w:rsidR="00000000" w:rsidRDefault="004D2F83" w:rsidP="004D2F83">
      <w:pPr>
        <w:spacing w:after="240" w:line="380" w:lineRule="exact"/>
        <w:ind w:firstLineChars="200" w:firstLine="31680"/>
      </w:pPr>
      <w:r>
        <w:rPr>
          <w:rFonts w:hint="eastAsia"/>
        </w:rPr>
        <w:t>在基础教育中，女教师的比例越高，平均工资越低。各个教育层次的平均工资之间也存在着悬殊的差距（学生年龄越小，教师工资越低）（表</w:t>
      </w:r>
      <w:r>
        <w:rPr>
          <w:rFonts w:hint="eastAsia"/>
        </w:rPr>
        <w:t>32</w:t>
      </w:r>
      <w:r>
        <w:rPr>
          <w:rFonts w:hint="eastAsia"/>
        </w:rPr>
        <w:t>）。</w:t>
      </w:r>
    </w:p>
    <w:p w:rsidR="00000000" w:rsidRDefault="004D2F83" w:rsidP="004D2F83">
      <w:pPr>
        <w:spacing w:after="120" w:line="360" w:lineRule="exact"/>
        <w:ind w:firstLineChars="200" w:firstLine="31680"/>
        <w:jc w:val="center"/>
        <w:rPr>
          <w:rFonts w:ascii="SimHei" w:eastAsia="SimHei" w:hint="eastAsia"/>
        </w:rPr>
      </w:pPr>
      <w:r>
        <w:rPr>
          <w:rFonts w:ascii="SimHei" w:eastAsia="SimHei"/>
        </w:rPr>
        <w:br w:type="page"/>
      </w:r>
      <w:r>
        <w:rPr>
          <w:rFonts w:ascii="SimHei" w:eastAsia="SimHei" w:hint="eastAsia"/>
        </w:rPr>
        <w:t>表</w:t>
      </w:r>
      <w:r>
        <w:rPr>
          <w:rFonts w:ascii="SimHei" w:eastAsia="SimHei" w:hint="eastAsia"/>
        </w:rPr>
        <w:t>32</w:t>
      </w:r>
      <w:r>
        <w:rPr>
          <w:rFonts w:ascii="SimHei" w:eastAsia="SimHei" w:hint="eastAsia"/>
        </w:rPr>
        <w:t>．各自然地理区域中各级教师的平均工资</w:t>
      </w:r>
    </w:p>
    <w:p w:rsidR="00000000" w:rsidRDefault="004D2F83" w:rsidP="004D2F83">
      <w:pPr>
        <w:spacing w:after="120" w:line="360" w:lineRule="exact"/>
        <w:ind w:firstLineChars="200" w:firstLine="31680"/>
        <w:jc w:val="center"/>
        <w:rPr>
          <w:rFonts w:ascii="SimHei" w:eastAsia="SimHei" w:hint="eastAsia"/>
        </w:rPr>
      </w:pPr>
      <w:r>
        <w:rPr>
          <w:rFonts w:ascii="SimHei" w:eastAsia="SimHei" w:hint="eastAsia"/>
        </w:rPr>
        <w:t>巴西，</w:t>
      </w:r>
      <w:r>
        <w:rPr>
          <w:rFonts w:ascii="SimHei" w:eastAsia="SimHei" w:hint="eastAsia"/>
        </w:rPr>
        <w:t>1997</w:t>
      </w:r>
      <w:r>
        <w:rPr>
          <w:rFonts w:ascii="SimHei" w:eastAsia="SimHei" w:hint="eastAsia"/>
        </w:rPr>
        <w:t>年</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3"/>
        <w:gridCol w:w="1892"/>
        <w:gridCol w:w="2499"/>
        <w:gridCol w:w="1985"/>
        <w:gridCol w:w="1987"/>
      </w:tblGrid>
      <w:tr w:rsidR="00000000">
        <w:tblPrEx>
          <w:tblCellMar>
            <w:top w:w="0" w:type="dxa"/>
            <w:bottom w:w="0" w:type="dxa"/>
          </w:tblCellMar>
        </w:tblPrEx>
        <w:trPr>
          <w:cantSplit/>
        </w:trPr>
        <w:tc>
          <w:tcPr>
            <w:tcW w:w="757" w:type="pct"/>
          </w:tcPr>
          <w:p w:rsidR="00000000" w:rsidRDefault="004D2F83">
            <w:pPr>
              <w:spacing w:line="360" w:lineRule="exact"/>
              <w:jc w:val="center"/>
              <w:rPr>
                <w:rFonts w:hint="eastAsia"/>
                <w:sz w:val="18"/>
              </w:rPr>
            </w:pPr>
            <w:r>
              <w:rPr>
                <w:rFonts w:hint="eastAsia"/>
                <w:sz w:val="18"/>
              </w:rPr>
              <w:t>地区</w:t>
            </w:r>
          </w:p>
        </w:tc>
        <w:tc>
          <w:tcPr>
            <w:tcW w:w="4243" w:type="pct"/>
            <w:gridSpan w:val="4"/>
          </w:tcPr>
          <w:p w:rsidR="00000000" w:rsidRDefault="004D2F83">
            <w:pPr>
              <w:spacing w:line="360" w:lineRule="exact"/>
              <w:jc w:val="center"/>
              <w:rPr>
                <w:rFonts w:hint="eastAsia"/>
                <w:sz w:val="18"/>
              </w:rPr>
            </w:pPr>
            <w:r>
              <w:rPr>
                <w:rFonts w:hint="eastAsia"/>
                <w:sz w:val="18"/>
              </w:rPr>
              <w:t>教育层次</w:t>
            </w:r>
          </w:p>
        </w:tc>
      </w:tr>
      <w:tr w:rsidR="00000000">
        <w:tblPrEx>
          <w:tblCellMar>
            <w:top w:w="0" w:type="dxa"/>
            <w:bottom w:w="0" w:type="dxa"/>
          </w:tblCellMar>
        </w:tblPrEx>
        <w:tc>
          <w:tcPr>
            <w:tcW w:w="757" w:type="pct"/>
          </w:tcPr>
          <w:p w:rsidR="00000000" w:rsidRDefault="004D2F83">
            <w:pPr>
              <w:spacing w:line="360" w:lineRule="exact"/>
              <w:jc w:val="center"/>
              <w:rPr>
                <w:rFonts w:hint="eastAsia"/>
                <w:sz w:val="18"/>
              </w:rPr>
            </w:pPr>
          </w:p>
        </w:tc>
        <w:tc>
          <w:tcPr>
            <w:tcW w:w="960" w:type="pct"/>
          </w:tcPr>
          <w:p w:rsidR="00000000" w:rsidRDefault="004D2F83">
            <w:pPr>
              <w:spacing w:line="360" w:lineRule="exact"/>
              <w:jc w:val="center"/>
              <w:rPr>
                <w:sz w:val="18"/>
              </w:rPr>
            </w:pPr>
            <w:r>
              <w:rPr>
                <w:rFonts w:hint="eastAsia"/>
                <w:sz w:val="18"/>
              </w:rPr>
              <w:t>EI</w:t>
            </w:r>
            <w:r>
              <w:rPr>
                <w:rFonts w:hint="eastAsia"/>
                <w:sz w:val="18"/>
                <w:vertAlign w:val="superscript"/>
              </w:rPr>
              <w:t>﹡</w:t>
            </w:r>
          </w:p>
        </w:tc>
        <w:tc>
          <w:tcPr>
            <w:tcW w:w="1268" w:type="pct"/>
          </w:tcPr>
          <w:p w:rsidR="00000000" w:rsidRDefault="004D2F83">
            <w:pPr>
              <w:spacing w:line="360" w:lineRule="exact"/>
              <w:jc w:val="center"/>
              <w:rPr>
                <w:sz w:val="18"/>
              </w:rPr>
            </w:pPr>
            <w:r>
              <w:rPr>
                <w:rFonts w:hint="eastAsia"/>
                <w:sz w:val="18"/>
                <w:vertAlign w:val="superscript"/>
              </w:rPr>
              <w:t>﹡﹡</w:t>
            </w:r>
            <w:r>
              <w:rPr>
                <w:sz w:val="18"/>
              </w:rPr>
              <w:t>EF 1</w:t>
            </w:r>
            <w:r>
              <w:rPr>
                <w:rFonts w:hint="eastAsia"/>
                <w:sz w:val="18"/>
              </w:rPr>
              <w:t>至</w:t>
            </w:r>
            <w:r>
              <w:rPr>
                <w:sz w:val="18"/>
              </w:rPr>
              <w:t xml:space="preserve"> 4</w:t>
            </w:r>
            <w:r>
              <w:rPr>
                <w:rFonts w:hint="eastAsia"/>
                <w:sz w:val="18"/>
              </w:rPr>
              <w:t>年级</w:t>
            </w:r>
          </w:p>
        </w:tc>
        <w:tc>
          <w:tcPr>
            <w:tcW w:w="1007" w:type="pct"/>
          </w:tcPr>
          <w:p w:rsidR="00000000" w:rsidRDefault="004D2F83">
            <w:pPr>
              <w:spacing w:line="360" w:lineRule="exact"/>
              <w:jc w:val="center"/>
              <w:rPr>
                <w:rFonts w:hint="eastAsia"/>
                <w:sz w:val="18"/>
              </w:rPr>
            </w:pPr>
            <w:r>
              <w:rPr>
                <w:sz w:val="18"/>
              </w:rPr>
              <w:t xml:space="preserve">EF </w:t>
            </w:r>
            <w:r>
              <w:rPr>
                <w:rFonts w:hint="eastAsia"/>
                <w:sz w:val="18"/>
              </w:rPr>
              <w:t>5</w:t>
            </w:r>
            <w:r>
              <w:rPr>
                <w:rFonts w:hint="eastAsia"/>
                <w:sz w:val="18"/>
              </w:rPr>
              <w:t>至</w:t>
            </w:r>
            <w:r>
              <w:rPr>
                <w:rFonts w:hint="eastAsia"/>
                <w:sz w:val="18"/>
              </w:rPr>
              <w:t>8</w:t>
            </w:r>
            <w:r>
              <w:rPr>
                <w:rFonts w:hint="eastAsia"/>
                <w:sz w:val="18"/>
              </w:rPr>
              <w:t>年级</w:t>
            </w:r>
          </w:p>
        </w:tc>
        <w:tc>
          <w:tcPr>
            <w:tcW w:w="1008" w:type="pct"/>
          </w:tcPr>
          <w:p w:rsidR="00000000" w:rsidRDefault="004D2F83">
            <w:pPr>
              <w:spacing w:line="360" w:lineRule="exact"/>
              <w:jc w:val="center"/>
              <w:rPr>
                <w:rFonts w:hint="eastAsia"/>
                <w:sz w:val="18"/>
              </w:rPr>
            </w:pPr>
            <w:r>
              <w:rPr>
                <w:rFonts w:hint="eastAsia"/>
                <w:sz w:val="18"/>
                <w:vertAlign w:val="superscript"/>
              </w:rPr>
              <w:t>﹡﹡﹡</w:t>
            </w:r>
            <w:r>
              <w:rPr>
                <w:sz w:val="18"/>
              </w:rPr>
              <w:t>EM</w:t>
            </w:r>
          </w:p>
        </w:tc>
      </w:tr>
      <w:tr w:rsidR="00000000">
        <w:tblPrEx>
          <w:tblCellMar>
            <w:top w:w="0" w:type="dxa"/>
            <w:bottom w:w="0" w:type="dxa"/>
          </w:tblCellMar>
        </w:tblPrEx>
        <w:tc>
          <w:tcPr>
            <w:tcW w:w="757" w:type="pct"/>
          </w:tcPr>
          <w:p w:rsidR="00000000" w:rsidRDefault="004D2F83">
            <w:pPr>
              <w:spacing w:line="360" w:lineRule="exact"/>
              <w:jc w:val="center"/>
              <w:rPr>
                <w:rFonts w:hint="eastAsia"/>
                <w:sz w:val="18"/>
              </w:rPr>
            </w:pPr>
            <w:r>
              <w:rPr>
                <w:rFonts w:hint="eastAsia"/>
                <w:sz w:val="18"/>
              </w:rPr>
              <w:t>巴西</w:t>
            </w:r>
          </w:p>
        </w:tc>
        <w:tc>
          <w:tcPr>
            <w:tcW w:w="960" w:type="pct"/>
          </w:tcPr>
          <w:p w:rsidR="00000000" w:rsidRDefault="004D2F83">
            <w:pPr>
              <w:spacing w:line="360" w:lineRule="exact"/>
              <w:jc w:val="center"/>
              <w:rPr>
                <w:sz w:val="18"/>
              </w:rPr>
            </w:pPr>
            <w:r>
              <w:rPr>
                <w:sz w:val="18"/>
              </w:rPr>
              <w:t>419.48</w:t>
            </w:r>
          </w:p>
        </w:tc>
        <w:tc>
          <w:tcPr>
            <w:tcW w:w="1268" w:type="pct"/>
          </w:tcPr>
          <w:p w:rsidR="00000000" w:rsidRDefault="004D2F83">
            <w:pPr>
              <w:spacing w:line="360" w:lineRule="exact"/>
              <w:jc w:val="center"/>
              <w:rPr>
                <w:sz w:val="18"/>
              </w:rPr>
            </w:pPr>
            <w:r>
              <w:rPr>
                <w:sz w:val="18"/>
              </w:rPr>
              <w:t>425.60</w:t>
            </w:r>
          </w:p>
        </w:tc>
        <w:tc>
          <w:tcPr>
            <w:tcW w:w="1007" w:type="pct"/>
          </w:tcPr>
          <w:p w:rsidR="00000000" w:rsidRDefault="004D2F83">
            <w:pPr>
              <w:spacing w:line="360" w:lineRule="exact"/>
              <w:jc w:val="center"/>
              <w:rPr>
                <w:sz w:val="18"/>
              </w:rPr>
            </w:pPr>
            <w:r>
              <w:rPr>
                <w:sz w:val="18"/>
              </w:rPr>
              <w:t>605.41</w:t>
            </w:r>
          </w:p>
        </w:tc>
        <w:tc>
          <w:tcPr>
            <w:tcW w:w="1008" w:type="pct"/>
          </w:tcPr>
          <w:p w:rsidR="00000000" w:rsidRDefault="004D2F83">
            <w:pPr>
              <w:spacing w:line="360" w:lineRule="exact"/>
              <w:jc w:val="center"/>
              <w:rPr>
                <w:sz w:val="18"/>
              </w:rPr>
            </w:pPr>
            <w:r>
              <w:rPr>
                <w:sz w:val="18"/>
              </w:rPr>
              <w:t>700.19</w:t>
            </w:r>
          </w:p>
        </w:tc>
      </w:tr>
      <w:tr w:rsidR="00000000">
        <w:tblPrEx>
          <w:tblCellMar>
            <w:top w:w="0" w:type="dxa"/>
            <w:bottom w:w="0" w:type="dxa"/>
          </w:tblCellMar>
        </w:tblPrEx>
        <w:tc>
          <w:tcPr>
            <w:tcW w:w="757" w:type="pct"/>
          </w:tcPr>
          <w:p w:rsidR="00000000" w:rsidRDefault="004D2F83">
            <w:pPr>
              <w:spacing w:line="360" w:lineRule="exact"/>
              <w:jc w:val="center"/>
              <w:rPr>
                <w:rFonts w:hint="eastAsia"/>
                <w:sz w:val="18"/>
              </w:rPr>
            </w:pPr>
            <w:r>
              <w:rPr>
                <w:rFonts w:hint="eastAsia"/>
                <w:sz w:val="18"/>
              </w:rPr>
              <w:t>北部</w:t>
            </w:r>
          </w:p>
        </w:tc>
        <w:tc>
          <w:tcPr>
            <w:tcW w:w="960" w:type="pct"/>
          </w:tcPr>
          <w:p w:rsidR="00000000" w:rsidRDefault="004D2F83">
            <w:pPr>
              <w:spacing w:line="360" w:lineRule="exact"/>
              <w:jc w:val="center"/>
              <w:rPr>
                <w:sz w:val="18"/>
              </w:rPr>
            </w:pPr>
            <w:r>
              <w:rPr>
                <w:sz w:val="18"/>
              </w:rPr>
              <w:t>322.01</w:t>
            </w:r>
          </w:p>
        </w:tc>
        <w:tc>
          <w:tcPr>
            <w:tcW w:w="1268" w:type="pct"/>
          </w:tcPr>
          <w:p w:rsidR="00000000" w:rsidRDefault="004D2F83">
            <w:pPr>
              <w:spacing w:line="360" w:lineRule="exact"/>
              <w:jc w:val="center"/>
              <w:rPr>
                <w:sz w:val="18"/>
              </w:rPr>
            </w:pPr>
            <w:r>
              <w:rPr>
                <w:sz w:val="18"/>
              </w:rPr>
              <w:t>360.77</w:t>
            </w:r>
          </w:p>
        </w:tc>
        <w:tc>
          <w:tcPr>
            <w:tcW w:w="1007" w:type="pct"/>
          </w:tcPr>
          <w:p w:rsidR="00000000" w:rsidRDefault="004D2F83">
            <w:pPr>
              <w:spacing w:line="360" w:lineRule="exact"/>
              <w:jc w:val="center"/>
              <w:rPr>
                <w:sz w:val="18"/>
              </w:rPr>
            </w:pPr>
            <w:r>
              <w:rPr>
                <w:sz w:val="18"/>
              </w:rPr>
              <w:t>586.37</w:t>
            </w:r>
          </w:p>
        </w:tc>
        <w:tc>
          <w:tcPr>
            <w:tcW w:w="1008" w:type="pct"/>
          </w:tcPr>
          <w:p w:rsidR="00000000" w:rsidRDefault="004D2F83">
            <w:pPr>
              <w:spacing w:line="360" w:lineRule="exact"/>
              <w:jc w:val="center"/>
              <w:rPr>
                <w:sz w:val="18"/>
              </w:rPr>
            </w:pPr>
            <w:r>
              <w:rPr>
                <w:sz w:val="18"/>
              </w:rPr>
              <w:t>735.46</w:t>
            </w:r>
          </w:p>
        </w:tc>
      </w:tr>
      <w:tr w:rsidR="00000000">
        <w:tblPrEx>
          <w:tblCellMar>
            <w:top w:w="0" w:type="dxa"/>
            <w:bottom w:w="0" w:type="dxa"/>
          </w:tblCellMar>
        </w:tblPrEx>
        <w:tc>
          <w:tcPr>
            <w:tcW w:w="757" w:type="pct"/>
          </w:tcPr>
          <w:p w:rsidR="00000000" w:rsidRDefault="004D2F83">
            <w:pPr>
              <w:spacing w:line="360" w:lineRule="exact"/>
              <w:jc w:val="center"/>
              <w:rPr>
                <w:rFonts w:hint="eastAsia"/>
                <w:sz w:val="18"/>
              </w:rPr>
            </w:pPr>
            <w:r>
              <w:rPr>
                <w:rFonts w:hint="eastAsia"/>
                <w:sz w:val="18"/>
              </w:rPr>
              <w:t>东北部</w:t>
            </w:r>
          </w:p>
        </w:tc>
        <w:tc>
          <w:tcPr>
            <w:tcW w:w="960" w:type="pct"/>
          </w:tcPr>
          <w:p w:rsidR="00000000" w:rsidRDefault="004D2F83">
            <w:pPr>
              <w:spacing w:line="360" w:lineRule="exact"/>
              <w:jc w:val="center"/>
              <w:rPr>
                <w:sz w:val="18"/>
              </w:rPr>
            </w:pPr>
            <w:r>
              <w:rPr>
                <w:sz w:val="18"/>
              </w:rPr>
              <w:t>195.00</w:t>
            </w:r>
          </w:p>
        </w:tc>
        <w:tc>
          <w:tcPr>
            <w:tcW w:w="1268" w:type="pct"/>
          </w:tcPr>
          <w:p w:rsidR="00000000" w:rsidRDefault="004D2F83">
            <w:pPr>
              <w:spacing w:line="360" w:lineRule="exact"/>
              <w:jc w:val="center"/>
              <w:rPr>
                <w:sz w:val="18"/>
              </w:rPr>
            </w:pPr>
            <w:r>
              <w:rPr>
                <w:sz w:val="18"/>
              </w:rPr>
              <w:t>231.17</w:t>
            </w:r>
          </w:p>
        </w:tc>
        <w:tc>
          <w:tcPr>
            <w:tcW w:w="1007" w:type="pct"/>
          </w:tcPr>
          <w:p w:rsidR="00000000" w:rsidRDefault="004D2F83">
            <w:pPr>
              <w:spacing w:line="360" w:lineRule="exact"/>
              <w:jc w:val="center"/>
              <w:rPr>
                <w:sz w:val="18"/>
              </w:rPr>
            </w:pPr>
            <w:r>
              <w:rPr>
                <w:sz w:val="18"/>
              </w:rPr>
              <w:t>372.41</w:t>
            </w:r>
          </w:p>
        </w:tc>
        <w:tc>
          <w:tcPr>
            <w:tcW w:w="1008" w:type="pct"/>
          </w:tcPr>
          <w:p w:rsidR="00000000" w:rsidRDefault="004D2F83">
            <w:pPr>
              <w:spacing w:line="360" w:lineRule="exact"/>
              <w:jc w:val="center"/>
              <w:rPr>
                <w:sz w:val="18"/>
              </w:rPr>
            </w:pPr>
            <w:r>
              <w:rPr>
                <w:sz w:val="18"/>
              </w:rPr>
              <w:t>507.82</w:t>
            </w:r>
          </w:p>
        </w:tc>
      </w:tr>
      <w:tr w:rsidR="00000000">
        <w:tblPrEx>
          <w:tblCellMar>
            <w:top w:w="0" w:type="dxa"/>
            <w:bottom w:w="0" w:type="dxa"/>
          </w:tblCellMar>
        </w:tblPrEx>
        <w:tc>
          <w:tcPr>
            <w:tcW w:w="757" w:type="pct"/>
          </w:tcPr>
          <w:p w:rsidR="00000000" w:rsidRDefault="004D2F83">
            <w:pPr>
              <w:spacing w:line="360" w:lineRule="exact"/>
              <w:jc w:val="center"/>
              <w:rPr>
                <w:rFonts w:hint="eastAsia"/>
                <w:sz w:val="18"/>
              </w:rPr>
            </w:pPr>
            <w:r>
              <w:rPr>
                <w:rFonts w:hint="eastAsia"/>
                <w:sz w:val="18"/>
              </w:rPr>
              <w:t>东南部</w:t>
            </w:r>
          </w:p>
        </w:tc>
        <w:tc>
          <w:tcPr>
            <w:tcW w:w="960" w:type="pct"/>
          </w:tcPr>
          <w:p w:rsidR="00000000" w:rsidRDefault="004D2F83">
            <w:pPr>
              <w:spacing w:line="360" w:lineRule="exact"/>
              <w:jc w:val="center"/>
              <w:rPr>
                <w:sz w:val="18"/>
              </w:rPr>
            </w:pPr>
            <w:r>
              <w:rPr>
                <w:sz w:val="18"/>
              </w:rPr>
              <w:t>587.00</w:t>
            </w:r>
          </w:p>
        </w:tc>
        <w:tc>
          <w:tcPr>
            <w:tcW w:w="1268" w:type="pct"/>
          </w:tcPr>
          <w:p w:rsidR="00000000" w:rsidRDefault="004D2F83">
            <w:pPr>
              <w:spacing w:line="360" w:lineRule="exact"/>
              <w:jc w:val="center"/>
              <w:rPr>
                <w:sz w:val="18"/>
              </w:rPr>
            </w:pPr>
            <w:r>
              <w:rPr>
                <w:sz w:val="18"/>
              </w:rPr>
              <w:t>613.97</w:t>
            </w:r>
          </w:p>
        </w:tc>
        <w:tc>
          <w:tcPr>
            <w:tcW w:w="1007" w:type="pct"/>
          </w:tcPr>
          <w:p w:rsidR="00000000" w:rsidRDefault="004D2F83">
            <w:pPr>
              <w:spacing w:line="360" w:lineRule="exact"/>
              <w:jc w:val="center"/>
              <w:rPr>
                <w:sz w:val="18"/>
              </w:rPr>
            </w:pPr>
            <w:r>
              <w:rPr>
                <w:sz w:val="18"/>
              </w:rPr>
              <w:t>738.57</w:t>
            </w:r>
          </w:p>
        </w:tc>
        <w:tc>
          <w:tcPr>
            <w:tcW w:w="1008" w:type="pct"/>
          </w:tcPr>
          <w:p w:rsidR="00000000" w:rsidRDefault="004D2F83">
            <w:pPr>
              <w:spacing w:line="360" w:lineRule="exact"/>
              <w:jc w:val="center"/>
              <w:rPr>
                <w:sz w:val="18"/>
              </w:rPr>
            </w:pPr>
            <w:r>
              <w:rPr>
                <w:sz w:val="18"/>
              </w:rPr>
              <w:t>772.09</w:t>
            </w:r>
          </w:p>
        </w:tc>
      </w:tr>
      <w:tr w:rsidR="00000000">
        <w:tblPrEx>
          <w:tblCellMar>
            <w:top w:w="0" w:type="dxa"/>
            <w:bottom w:w="0" w:type="dxa"/>
          </w:tblCellMar>
        </w:tblPrEx>
        <w:tc>
          <w:tcPr>
            <w:tcW w:w="757" w:type="pct"/>
          </w:tcPr>
          <w:p w:rsidR="00000000" w:rsidRDefault="004D2F83">
            <w:pPr>
              <w:spacing w:line="360" w:lineRule="exact"/>
              <w:jc w:val="center"/>
              <w:rPr>
                <w:rFonts w:hint="eastAsia"/>
                <w:sz w:val="18"/>
              </w:rPr>
            </w:pPr>
            <w:r>
              <w:rPr>
                <w:rFonts w:hint="eastAsia"/>
                <w:sz w:val="18"/>
              </w:rPr>
              <w:t>南部</w:t>
            </w:r>
          </w:p>
        </w:tc>
        <w:tc>
          <w:tcPr>
            <w:tcW w:w="960" w:type="pct"/>
          </w:tcPr>
          <w:p w:rsidR="00000000" w:rsidRDefault="004D2F83">
            <w:pPr>
              <w:spacing w:line="360" w:lineRule="exact"/>
              <w:jc w:val="center"/>
              <w:rPr>
                <w:sz w:val="18"/>
              </w:rPr>
            </w:pPr>
            <w:r>
              <w:rPr>
                <w:sz w:val="18"/>
              </w:rPr>
              <w:t>464.96</w:t>
            </w:r>
          </w:p>
        </w:tc>
        <w:tc>
          <w:tcPr>
            <w:tcW w:w="1268" w:type="pct"/>
          </w:tcPr>
          <w:p w:rsidR="00000000" w:rsidRDefault="004D2F83">
            <w:pPr>
              <w:spacing w:line="360" w:lineRule="exact"/>
              <w:jc w:val="center"/>
              <w:rPr>
                <w:sz w:val="18"/>
              </w:rPr>
            </w:pPr>
            <w:r>
              <w:rPr>
                <w:sz w:val="18"/>
              </w:rPr>
              <w:t>460.12</w:t>
            </w:r>
          </w:p>
        </w:tc>
        <w:tc>
          <w:tcPr>
            <w:tcW w:w="1007" w:type="pct"/>
          </w:tcPr>
          <w:p w:rsidR="00000000" w:rsidRDefault="004D2F83">
            <w:pPr>
              <w:spacing w:line="360" w:lineRule="exact"/>
              <w:jc w:val="center"/>
              <w:rPr>
                <w:sz w:val="18"/>
              </w:rPr>
            </w:pPr>
            <w:r>
              <w:rPr>
                <w:sz w:val="18"/>
              </w:rPr>
              <w:t>594.44</w:t>
            </w:r>
          </w:p>
        </w:tc>
        <w:tc>
          <w:tcPr>
            <w:tcW w:w="1008" w:type="pct"/>
          </w:tcPr>
          <w:p w:rsidR="00000000" w:rsidRDefault="004D2F83">
            <w:pPr>
              <w:spacing w:line="360" w:lineRule="exact"/>
              <w:jc w:val="center"/>
              <w:rPr>
                <w:sz w:val="18"/>
              </w:rPr>
            </w:pPr>
            <w:r>
              <w:rPr>
                <w:sz w:val="18"/>
              </w:rPr>
              <w:t>683.03</w:t>
            </w:r>
          </w:p>
        </w:tc>
      </w:tr>
      <w:tr w:rsidR="00000000">
        <w:tblPrEx>
          <w:tblCellMar>
            <w:top w:w="0" w:type="dxa"/>
            <w:bottom w:w="0" w:type="dxa"/>
          </w:tblCellMar>
        </w:tblPrEx>
        <w:tc>
          <w:tcPr>
            <w:tcW w:w="757" w:type="pct"/>
          </w:tcPr>
          <w:p w:rsidR="00000000" w:rsidRDefault="004D2F83">
            <w:pPr>
              <w:spacing w:line="360" w:lineRule="exact"/>
              <w:jc w:val="center"/>
              <w:rPr>
                <w:rFonts w:hint="eastAsia"/>
                <w:sz w:val="18"/>
              </w:rPr>
            </w:pPr>
            <w:r>
              <w:rPr>
                <w:rFonts w:hint="eastAsia"/>
                <w:sz w:val="18"/>
              </w:rPr>
              <w:t>中西部</w:t>
            </w:r>
          </w:p>
        </w:tc>
        <w:tc>
          <w:tcPr>
            <w:tcW w:w="960" w:type="pct"/>
          </w:tcPr>
          <w:p w:rsidR="00000000" w:rsidRDefault="004D2F83">
            <w:pPr>
              <w:spacing w:line="360" w:lineRule="exact"/>
              <w:jc w:val="center"/>
              <w:rPr>
                <w:sz w:val="18"/>
              </w:rPr>
            </w:pPr>
            <w:r>
              <w:rPr>
                <w:sz w:val="18"/>
              </w:rPr>
              <w:t>573.96</w:t>
            </w:r>
          </w:p>
        </w:tc>
        <w:tc>
          <w:tcPr>
            <w:tcW w:w="1268" w:type="pct"/>
          </w:tcPr>
          <w:p w:rsidR="00000000" w:rsidRDefault="004D2F83">
            <w:pPr>
              <w:spacing w:line="360" w:lineRule="exact"/>
              <w:jc w:val="center"/>
              <w:rPr>
                <w:sz w:val="18"/>
              </w:rPr>
            </w:pPr>
            <w:r>
              <w:rPr>
                <w:sz w:val="18"/>
              </w:rPr>
              <w:t>447.55</w:t>
            </w:r>
          </w:p>
        </w:tc>
        <w:tc>
          <w:tcPr>
            <w:tcW w:w="1007" w:type="pct"/>
          </w:tcPr>
          <w:p w:rsidR="00000000" w:rsidRDefault="004D2F83">
            <w:pPr>
              <w:spacing w:line="360" w:lineRule="exact"/>
              <w:jc w:val="center"/>
              <w:rPr>
                <w:sz w:val="18"/>
              </w:rPr>
            </w:pPr>
            <w:r>
              <w:rPr>
                <w:sz w:val="18"/>
              </w:rPr>
              <w:t>584.20</w:t>
            </w:r>
          </w:p>
        </w:tc>
        <w:tc>
          <w:tcPr>
            <w:tcW w:w="1008" w:type="pct"/>
          </w:tcPr>
          <w:p w:rsidR="00000000" w:rsidRDefault="004D2F83">
            <w:pPr>
              <w:spacing w:line="360" w:lineRule="exact"/>
              <w:jc w:val="center"/>
              <w:rPr>
                <w:sz w:val="18"/>
              </w:rPr>
            </w:pPr>
            <w:r>
              <w:rPr>
                <w:sz w:val="18"/>
              </w:rPr>
              <w:t>701.79</w:t>
            </w:r>
          </w:p>
        </w:tc>
      </w:tr>
    </w:tbl>
    <w:p w:rsidR="00000000" w:rsidRDefault="004D2F83">
      <w:pPr>
        <w:spacing w:line="360" w:lineRule="exact"/>
        <w:rPr>
          <w:rFonts w:hint="eastAsia"/>
          <w:sz w:val="18"/>
        </w:rPr>
      </w:pPr>
      <w:r>
        <w:rPr>
          <w:rFonts w:eastAsia="SimHei" w:hint="eastAsia"/>
          <w:sz w:val="18"/>
        </w:rPr>
        <w:t>资料来源</w:t>
      </w:r>
      <w:r>
        <w:rPr>
          <w:rFonts w:hint="eastAsia"/>
          <w:sz w:val="18"/>
        </w:rPr>
        <w:t>：教育部</w:t>
      </w:r>
      <w:r>
        <w:rPr>
          <w:rFonts w:hint="eastAsia"/>
          <w:sz w:val="18"/>
        </w:rPr>
        <w:t>/</w:t>
      </w:r>
      <w:r>
        <w:rPr>
          <w:rFonts w:hint="eastAsia"/>
          <w:sz w:val="18"/>
        </w:rPr>
        <w:t>国家教育研究所（</w:t>
      </w:r>
      <w:r>
        <w:rPr>
          <w:rFonts w:hint="eastAsia"/>
          <w:sz w:val="18"/>
        </w:rPr>
        <w:t>1997</w:t>
      </w:r>
      <w:r>
        <w:rPr>
          <w:rFonts w:hint="eastAsia"/>
          <w:sz w:val="18"/>
        </w:rPr>
        <w:t>年）。</w:t>
      </w:r>
    </w:p>
    <w:p w:rsidR="00000000" w:rsidRDefault="004D2F83">
      <w:pPr>
        <w:spacing w:line="360" w:lineRule="exact"/>
        <w:rPr>
          <w:rFonts w:hint="eastAsia"/>
          <w:sz w:val="18"/>
        </w:rPr>
      </w:pPr>
      <w:r>
        <w:rPr>
          <w:rFonts w:hint="eastAsia"/>
          <w:sz w:val="18"/>
          <w:vertAlign w:val="superscript"/>
        </w:rPr>
        <w:t>﹡</w:t>
      </w:r>
      <w:r>
        <w:rPr>
          <w:rFonts w:hint="eastAsia"/>
          <w:sz w:val="18"/>
        </w:rPr>
        <w:t>EI</w:t>
      </w:r>
      <w:r>
        <w:rPr>
          <w:rFonts w:hint="eastAsia"/>
          <w:sz w:val="18"/>
        </w:rPr>
        <w:t>：学前教育和扫盲班</w:t>
      </w:r>
    </w:p>
    <w:p w:rsidR="00000000" w:rsidRDefault="004D2F83">
      <w:pPr>
        <w:spacing w:line="360" w:lineRule="exact"/>
        <w:rPr>
          <w:rFonts w:hint="eastAsia"/>
          <w:sz w:val="18"/>
        </w:rPr>
      </w:pPr>
      <w:r>
        <w:rPr>
          <w:rFonts w:hint="eastAsia"/>
          <w:sz w:val="18"/>
          <w:vertAlign w:val="superscript"/>
        </w:rPr>
        <w:t>﹡﹡</w:t>
      </w:r>
      <w:r>
        <w:rPr>
          <w:sz w:val="18"/>
        </w:rPr>
        <w:t>EF</w:t>
      </w:r>
      <w:r>
        <w:rPr>
          <w:rFonts w:hint="eastAsia"/>
          <w:sz w:val="18"/>
        </w:rPr>
        <w:t>：基础教育</w:t>
      </w:r>
    </w:p>
    <w:p w:rsidR="00000000" w:rsidRDefault="004D2F83">
      <w:pPr>
        <w:spacing w:after="240" w:line="360" w:lineRule="exact"/>
        <w:rPr>
          <w:rFonts w:hint="eastAsia"/>
          <w:sz w:val="18"/>
        </w:rPr>
      </w:pPr>
      <w:r>
        <w:rPr>
          <w:rFonts w:hint="eastAsia"/>
          <w:sz w:val="18"/>
          <w:vertAlign w:val="superscript"/>
        </w:rPr>
        <w:t>﹡﹡﹡</w:t>
      </w:r>
      <w:r>
        <w:rPr>
          <w:sz w:val="18"/>
        </w:rPr>
        <w:t>EM</w:t>
      </w:r>
      <w:r>
        <w:rPr>
          <w:rFonts w:hint="eastAsia"/>
          <w:sz w:val="18"/>
        </w:rPr>
        <w:t>：中等教育</w:t>
      </w:r>
    </w:p>
    <w:p w:rsidR="00000000" w:rsidRDefault="004D2F83" w:rsidP="004D2F83">
      <w:pPr>
        <w:spacing w:after="240" w:line="360" w:lineRule="exact"/>
        <w:ind w:firstLineChars="200" w:firstLine="31680"/>
        <w:rPr>
          <w:rFonts w:hint="eastAsia"/>
        </w:rPr>
      </w:pPr>
      <w:r>
        <w:rPr>
          <w:rFonts w:hint="eastAsia"/>
        </w:rPr>
        <w:t>因此，可以得出结论认为，学前教育和基础教育教师（占女性正规劳动人口的</w:t>
      </w:r>
      <w:r>
        <w:t>3.6%</w:t>
      </w:r>
      <w:r>
        <w:rPr>
          <w:rFonts w:hint="eastAsia"/>
        </w:rPr>
        <w:t>）的工资偏低，是造成巴西男女劳动者报酬差距悬殊的原因之一。这无疑是巴西教育系统中至今仍然存在</w:t>
      </w:r>
      <w:r>
        <w:rPr>
          <w:rFonts w:hint="eastAsia"/>
        </w:rPr>
        <w:t>的性别歧视趋向：公立教育与私立教育系统作为妇女就业的重要渠道，为主要由女性从事的职业提供低廉的薪水，从而又在制造着性别歧视。</w:t>
      </w:r>
    </w:p>
    <w:p w:rsidR="00000000" w:rsidRDefault="004D2F83" w:rsidP="004D2F83">
      <w:pPr>
        <w:spacing w:after="240" w:line="360" w:lineRule="exact"/>
        <w:ind w:firstLineChars="200" w:firstLine="31680"/>
        <w:rPr>
          <w:rFonts w:hint="eastAsia"/>
        </w:rPr>
      </w:pPr>
      <w:r>
        <w:rPr>
          <w:rFonts w:hint="eastAsia"/>
        </w:rPr>
        <w:t>教师职业是说明劳动力市场上始终存在性别歧视的一个例子，但并非个别现象。女性的受教育程度大幅度提高，并且对从事经济活动人口的受教育水平的改善产生了深远的影响，但即便如此，女性的工资仍然低于同等学历的男性（布鲁斯基尼和隆巴尔迪，</w:t>
      </w:r>
      <w:r>
        <w:rPr>
          <w:rFonts w:hint="eastAsia"/>
        </w:rPr>
        <w:t>2001</w:t>
      </w:r>
      <w:r>
        <w:rPr>
          <w:rFonts w:hint="eastAsia"/>
        </w:rPr>
        <w:t>年）。</w:t>
      </w:r>
    </w:p>
    <w:p w:rsidR="00000000" w:rsidRDefault="004D2F83" w:rsidP="004D2F83">
      <w:pPr>
        <w:spacing w:after="240" w:line="360" w:lineRule="exact"/>
        <w:ind w:firstLineChars="200" w:firstLine="31680"/>
        <w:rPr>
          <w:rFonts w:hint="eastAsia"/>
        </w:rPr>
      </w:pPr>
      <w:r>
        <w:rPr>
          <w:rFonts w:hint="eastAsia"/>
        </w:rPr>
        <w:t>《国家人权计划》（巴西，共和国总统令，</w:t>
      </w:r>
      <w:r>
        <w:rPr>
          <w:rFonts w:hint="eastAsia"/>
        </w:rPr>
        <w:t>1996</w:t>
      </w:r>
      <w:r>
        <w:rPr>
          <w:rFonts w:hint="eastAsia"/>
        </w:rPr>
        <w:t>年）和始于</w:t>
      </w:r>
      <w:r>
        <w:rPr>
          <w:rFonts w:hint="eastAsia"/>
        </w:rPr>
        <w:t>1990</w:t>
      </w:r>
      <w:r>
        <w:rPr>
          <w:rFonts w:hint="eastAsia"/>
        </w:rPr>
        <w:t>年代的教育改革在教育领域开展了妇女运动议程的三个项目，其影响各不相同：将性教育</w:t>
      </w:r>
      <w:r>
        <w:rPr>
          <w:rFonts w:hint="eastAsia"/>
        </w:rPr>
        <w:t>/</w:t>
      </w:r>
      <w:r>
        <w:rPr>
          <w:rFonts w:hint="eastAsia"/>
        </w:rPr>
        <w:t>性</w:t>
      </w:r>
      <w:r>
        <w:rPr>
          <w:rFonts w:hint="eastAsia"/>
        </w:rPr>
        <w:t>取向写入学校课程；消除学校课程、特别是课本中的性别歧视内容；扩大儿童早期教育，作为帮助职业母亲照料和教育儿童的一种途径。</w:t>
      </w:r>
    </w:p>
    <w:p w:rsidR="00000000" w:rsidRDefault="004D2F83" w:rsidP="004D2F83">
      <w:pPr>
        <w:spacing w:after="240" w:line="360" w:lineRule="exact"/>
        <w:ind w:firstLineChars="200" w:firstLine="31680"/>
        <w:rPr>
          <w:rFonts w:hint="eastAsia"/>
        </w:rPr>
      </w:pPr>
      <w:r>
        <w:rPr>
          <w:rFonts w:hint="eastAsia"/>
        </w:rPr>
        <w:t>教育部（</w:t>
      </w:r>
      <w:r>
        <w:rPr>
          <w:rFonts w:hint="eastAsia"/>
        </w:rPr>
        <w:t>MEC</w:t>
      </w:r>
      <w:r>
        <w:rPr>
          <w:rFonts w:hint="eastAsia"/>
        </w:rPr>
        <w:t>）和全国妇女权利委员会（劳动就业部</w:t>
      </w:r>
      <w:r>
        <w:rPr>
          <w:rFonts w:hint="eastAsia"/>
        </w:rPr>
        <w:t>/</w:t>
      </w:r>
      <w:r>
        <w:rPr>
          <w:rFonts w:hint="eastAsia"/>
        </w:rPr>
        <w:t>司法部）在</w:t>
      </w:r>
      <w:r>
        <w:rPr>
          <w:rFonts w:hint="eastAsia"/>
        </w:rPr>
        <w:t>1996</w:t>
      </w:r>
      <w:r>
        <w:rPr>
          <w:rFonts w:hint="eastAsia"/>
        </w:rPr>
        <w:t>年签署的合作议定书规定：</w:t>
      </w:r>
      <w:r>
        <w:rPr>
          <w:rFonts w:ascii="KaiTi_GB2312" w:eastAsia="KaiTi_GB2312" w:hint="eastAsia"/>
        </w:rPr>
        <w:t>“司法部和教育部承诺开展合作，通过推动对妇女尊严、平等和充分公民权的普遍承认，确保教育进程成为消除对妇女一切形式歧视的有效工具。为实现这一承诺，教育部将制订两项行动方案：（</w:t>
      </w:r>
      <w:r>
        <w:rPr>
          <w:rFonts w:ascii="KaiTi_GB2312" w:eastAsia="KaiTi_GB2312" w:hint="eastAsia"/>
        </w:rPr>
        <w:t>1</w:t>
      </w:r>
      <w:r>
        <w:rPr>
          <w:rFonts w:ascii="KaiTi_GB2312" w:eastAsia="KaiTi_GB2312" w:hint="eastAsia"/>
        </w:rPr>
        <w:t>）将促进男女权利平等认识的远程教育主题纳入课程大纲；（</w:t>
      </w:r>
      <w:r>
        <w:rPr>
          <w:rFonts w:ascii="KaiTi_GB2312" w:eastAsia="KaiTi_GB2312" w:hint="eastAsia"/>
        </w:rPr>
        <w:t>2</w:t>
      </w:r>
      <w:r>
        <w:rPr>
          <w:rFonts w:ascii="KaiTi_GB2312" w:eastAsia="KaiTi_GB2312" w:hint="eastAsia"/>
        </w:rPr>
        <w:t>）将没有针对妇女的歧视性内容作为中小学选购教材的标准之一。”</w:t>
      </w:r>
      <w:r>
        <w:rPr>
          <w:rFonts w:hint="eastAsia"/>
        </w:rPr>
        <w:t>（巴西，</w:t>
      </w:r>
      <w:r>
        <w:rPr>
          <w:rFonts w:hint="eastAsia"/>
        </w:rPr>
        <w:t>共和国总统令，</w:t>
      </w:r>
      <w:r>
        <w:rPr>
          <w:rFonts w:hint="eastAsia"/>
        </w:rPr>
        <w:t>1996</w:t>
      </w:r>
      <w:r>
        <w:rPr>
          <w:rFonts w:hint="eastAsia"/>
        </w:rPr>
        <w:t>年；贝西格尔，无日期，第</w:t>
      </w:r>
      <w:r>
        <w:rPr>
          <w:rFonts w:hint="eastAsia"/>
        </w:rPr>
        <w:t>17</w:t>
      </w:r>
      <w:r>
        <w:rPr>
          <w:rFonts w:hint="eastAsia"/>
        </w:rPr>
        <w:t>页）</w:t>
      </w:r>
    </w:p>
    <w:p w:rsidR="00000000" w:rsidRDefault="004D2F83" w:rsidP="004D2F83">
      <w:pPr>
        <w:spacing w:after="240" w:line="360" w:lineRule="exact"/>
        <w:ind w:firstLineChars="200" w:firstLine="31680"/>
        <w:rPr>
          <w:rFonts w:hint="eastAsia"/>
        </w:rPr>
      </w:pPr>
      <w:r>
        <w:rPr>
          <w:rFonts w:hint="eastAsia"/>
        </w:rPr>
        <w:t>议定书所规定的第一项行动的后续活动还有待完成。但教育部的行动已然超出了承诺的范围，将《性教育》作为横向主题之一，写入了《基础教育全国课程框架》（</w:t>
      </w:r>
      <w:r>
        <w:rPr>
          <w:rFonts w:hint="eastAsia"/>
        </w:rPr>
        <w:t>PCN</w:t>
      </w:r>
      <w:r>
        <w:rPr>
          <w:rFonts w:hint="eastAsia"/>
        </w:rPr>
        <w:t>）（巴西，教育部，</w:t>
      </w:r>
      <w:r>
        <w:rPr>
          <w:rFonts w:hint="eastAsia"/>
        </w:rPr>
        <w:t>1998</w:t>
      </w:r>
      <w:r>
        <w:rPr>
          <w:rFonts w:hint="eastAsia"/>
        </w:rPr>
        <w:t>年）。性别关系问题在其他横向主题中也有简略提及（如《劳动和消费主题》），但《性教育》一章还是用三页纸的篇幅来论述这个问题。</w:t>
      </w:r>
    </w:p>
    <w:p w:rsidR="00000000" w:rsidRDefault="004D2F83" w:rsidP="004D2F83">
      <w:pPr>
        <w:spacing w:after="240" w:line="360" w:lineRule="exact"/>
        <w:ind w:firstLineChars="200" w:firstLine="31680"/>
        <w:rPr>
          <w:rFonts w:hint="eastAsia"/>
        </w:rPr>
      </w:pPr>
      <w:r>
        <w:rPr>
          <w:rFonts w:hint="eastAsia"/>
        </w:rPr>
        <w:t>虽然《性教育》主题低调出现，但《全国课程框架》（</w:t>
      </w:r>
      <w:r>
        <w:rPr>
          <w:rFonts w:hint="eastAsia"/>
        </w:rPr>
        <w:t>PCN</w:t>
      </w:r>
      <w:r>
        <w:rPr>
          <w:rFonts w:hint="eastAsia"/>
        </w:rPr>
        <w:t>）绪言中仍可看出培养公民意识与尊重多样性的明确承诺，绪言中指出，基础教育应培养学生“反对任何一种基于文</w:t>
      </w:r>
      <w:r>
        <w:rPr>
          <w:rFonts w:hint="eastAsia"/>
        </w:rPr>
        <w:t>化、社会等级、信仰、性别、种族差异或其他个人与社会特点的歧视”的意识（巴西，教育部，</w:t>
      </w:r>
      <w:r>
        <w:rPr>
          <w:rFonts w:hint="eastAsia"/>
        </w:rPr>
        <w:t>1998</w:t>
      </w:r>
      <w:r>
        <w:rPr>
          <w:rFonts w:hint="eastAsia"/>
        </w:rPr>
        <w:t>年）。</w:t>
      </w:r>
    </w:p>
    <w:p w:rsidR="00000000" w:rsidRDefault="004D2F83" w:rsidP="004D2F83">
      <w:pPr>
        <w:spacing w:after="240" w:line="360" w:lineRule="exact"/>
        <w:ind w:firstLineChars="200" w:firstLine="31680"/>
        <w:rPr>
          <w:rFonts w:hint="eastAsia"/>
        </w:rPr>
      </w:pPr>
      <w:r>
        <w:rPr>
          <w:rFonts w:hint="eastAsia"/>
        </w:rPr>
        <w:t>尽管《全国课程框架》的某些内容受到了批评——比如，推崇异性家庭与性爱模式（</w:t>
      </w:r>
      <w:r>
        <w:rPr>
          <w:rFonts w:hint="eastAsia"/>
        </w:rPr>
        <w:t>AUAD</w:t>
      </w:r>
      <w:r>
        <w:rPr>
          <w:rFonts w:hint="eastAsia"/>
        </w:rPr>
        <w:t>，</w:t>
      </w:r>
      <w:r>
        <w:rPr>
          <w:rFonts w:hint="eastAsia"/>
        </w:rPr>
        <w:t>1999</w:t>
      </w:r>
      <w:r>
        <w:rPr>
          <w:rFonts w:hint="eastAsia"/>
        </w:rPr>
        <w:t>年），但这一框架有史以来首次在面向全国的官方文件里提出了在基础教育中对学生开展性教育的观点。遗憾的是，这个主题尚未被纳入其他教育层次。</w:t>
      </w:r>
    </w:p>
    <w:p w:rsidR="00000000" w:rsidRDefault="004D2F83" w:rsidP="004D2F83">
      <w:pPr>
        <w:spacing w:after="240" w:line="360" w:lineRule="exact"/>
        <w:ind w:firstLineChars="200" w:firstLine="31680"/>
        <w:rPr>
          <w:rFonts w:hint="eastAsia"/>
        </w:rPr>
      </w:pPr>
      <w:r>
        <w:rPr>
          <w:rFonts w:hint="eastAsia"/>
        </w:rPr>
        <w:t>在课本方面，教育部提出的选择方法似乎只适合用来排除那些关于性别歧视和种族主义的粗俗的成人表达方式（贝西格尔，无日期）。分析较为细微变化的研究非常之少。</w:t>
      </w:r>
    </w:p>
    <w:p w:rsidR="00000000" w:rsidRDefault="004D2F83" w:rsidP="004D2F83">
      <w:pPr>
        <w:spacing w:after="240" w:line="360" w:lineRule="exact"/>
        <w:ind w:firstLineChars="200" w:firstLine="31680"/>
        <w:rPr>
          <w:rFonts w:hint="eastAsia"/>
        </w:rPr>
      </w:pPr>
      <w:r>
        <w:rPr>
          <w:rFonts w:hint="eastAsia"/>
        </w:rPr>
        <w:t>针对儿童与青少年读物中存在的性别</w:t>
      </w:r>
      <w:r>
        <w:rPr>
          <w:rFonts w:hint="eastAsia"/>
        </w:rPr>
        <w:t>歧视问题的年度研究（</w:t>
      </w:r>
      <w:r>
        <w:rPr>
          <w:rFonts w:hint="eastAsia"/>
        </w:rPr>
        <w:t>1975</w:t>
      </w:r>
      <w:r>
        <w:rPr>
          <w:rFonts w:hint="eastAsia"/>
        </w:rPr>
        <w:t>和</w:t>
      </w:r>
      <w:r>
        <w:rPr>
          <w:rFonts w:hint="eastAsia"/>
        </w:rPr>
        <w:t>1995</w:t>
      </w:r>
      <w:r>
        <w:rPr>
          <w:rFonts w:hint="eastAsia"/>
        </w:rPr>
        <w:t>年）表明，在这段时间内，对于男女角色的一般性表述没有出现任何变化：在虚构作品中，男性角色总是比较多，而且始终占据着较为显赫的社会地位；女性人物则在家庭关系中占有显著地位。不过，性别歧视的色彩已经淡化（诺盖拉，</w:t>
      </w:r>
      <w:r>
        <w:rPr>
          <w:rFonts w:hint="eastAsia"/>
        </w:rPr>
        <w:t>2001</w:t>
      </w:r>
      <w:r>
        <w:rPr>
          <w:rFonts w:hint="eastAsia"/>
        </w:rPr>
        <w:t>年）。</w:t>
      </w:r>
    </w:p>
    <w:p w:rsidR="00000000" w:rsidRDefault="004D2F83" w:rsidP="004D2F83">
      <w:pPr>
        <w:spacing w:after="240" w:line="360" w:lineRule="exact"/>
        <w:ind w:firstLineChars="200" w:firstLine="31680"/>
        <w:rPr>
          <w:rFonts w:hint="eastAsia"/>
        </w:rPr>
      </w:pPr>
      <w:r>
        <w:rPr>
          <w:rFonts w:hint="eastAsia"/>
        </w:rPr>
        <w:t>值得一提的还有，针对性别歧视的调查和干预更多地集中在基础教育领域，忽略了用于高等教育的各类出版物。</w:t>
      </w:r>
    </w:p>
    <w:p w:rsidR="00000000" w:rsidRDefault="004D2F83" w:rsidP="004D2F83">
      <w:pPr>
        <w:spacing w:after="240" w:line="360" w:lineRule="exact"/>
        <w:ind w:firstLineChars="200" w:firstLine="31680"/>
        <w:rPr>
          <w:rFonts w:hint="eastAsia"/>
        </w:rPr>
      </w:pPr>
      <w:r>
        <w:rPr>
          <w:rFonts w:hint="eastAsia"/>
        </w:rPr>
        <w:t>儿童早期教育作为除母亲照料之外的另一种补充性“监护”手段，被列入了巴西妇女运动议程，特别是对日托中心的需求。</w:t>
      </w:r>
      <w:r>
        <w:rPr>
          <w:rFonts w:hint="eastAsia"/>
        </w:rPr>
        <w:t>1985</w:t>
      </w:r>
      <w:r>
        <w:rPr>
          <w:rFonts w:hint="eastAsia"/>
        </w:rPr>
        <w:t>至</w:t>
      </w:r>
      <w:r>
        <w:rPr>
          <w:rFonts w:hint="eastAsia"/>
        </w:rPr>
        <w:t>1999</w:t>
      </w:r>
      <w:r>
        <w:rPr>
          <w:rFonts w:hint="eastAsia"/>
        </w:rPr>
        <w:t>年的儿童早期教育可以分为</w:t>
      </w:r>
      <w:r>
        <w:rPr>
          <w:rFonts w:hint="eastAsia"/>
        </w:rPr>
        <w:t>两个阶段：一是</w:t>
      </w:r>
      <w:r>
        <w:rPr>
          <w:rFonts w:hint="eastAsia"/>
        </w:rPr>
        <w:t>1996</w:t>
      </w:r>
      <w:r>
        <w:rPr>
          <w:rFonts w:hint="eastAsia"/>
        </w:rPr>
        <w:t>年以前，在这一时期，为早期教育立法的动员工作在巴西社会中紧锣密鼓地展开；二是</w:t>
      </w:r>
      <w:r>
        <w:rPr>
          <w:rFonts w:hint="eastAsia"/>
        </w:rPr>
        <w:t>1996</w:t>
      </w:r>
      <w:r>
        <w:rPr>
          <w:rFonts w:hint="eastAsia"/>
        </w:rPr>
        <w:t>年以后，这一时期刚好赶上近年来重新制订关注基础教育的国家重点工作，使得儿童教育少人问津。</w:t>
      </w:r>
    </w:p>
    <w:p w:rsidR="00000000" w:rsidRDefault="004D2F83" w:rsidP="004D2F83">
      <w:pPr>
        <w:spacing w:after="240" w:line="360" w:lineRule="exact"/>
        <w:ind w:firstLineChars="200" w:firstLine="31680"/>
        <w:rPr>
          <w:rFonts w:hint="eastAsia"/>
        </w:rPr>
      </w:pPr>
      <w:r>
        <w:rPr>
          <w:rFonts w:hint="eastAsia"/>
        </w:rPr>
        <w:t>在法律领域，应当特别提到</w:t>
      </w:r>
      <w:r>
        <w:rPr>
          <w:rFonts w:hint="eastAsia"/>
        </w:rPr>
        <w:t>1988</w:t>
      </w:r>
      <w:r>
        <w:rPr>
          <w:rFonts w:hint="eastAsia"/>
        </w:rPr>
        <w:t>年宪法和</w:t>
      </w:r>
      <w:r>
        <w:rPr>
          <w:rFonts w:hint="eastAsia"/>
        </w:rPr>
        <w:t>1996</w:t>
      </w:r>
      <w:r>
        <w:rPr>
          <w:rFonts w:hint="eastAsia"/>
        </w:rPr>
        <w:t>年《教育指导方针法》。</w:t>
      </w:r>
      <w:r>
        <w:rPr>
          <w:rFonts w:hint="eastAsia"/>
        </w:rPr>
        <w:t>1988</w:t>
      </w:r>
      <w:r>
        <w:rPr>
          <w:rFonts w:hint="eastAsia"/>
        </w:rPr>
        <w:t>年宪法通过对日托中心和学前教育提供援助的方式，在该国历史上首次赋予儿童在家庭以外接受教育的权利。</w:t>
      </w:r>
      <w:r>
        <w:rPr>
          <w:rFonts w:hint="eastAsia"/>
        </w:rPr>
        <w:t>1996</w:t>
      </w:r>
      <w:r>
        <w:rPr>
          <w:rFonts w:hint="eastAsia"/>
        </w:rPr>
        <w:t>年《教育指导方针法》在巴西历史上首次将日托中心纳入了教育系统。自此，教育管理部门开始接管日托中心和学前教育机构。此外，还为日托中心和学</w:t>
      </w:r>
      <w:r>
        <w:rPr>
          <w:rFonts w:hint="eastAsia"/>
        </w:rPr>
        <w:t>前教育制订了目标，设立了研究课程，为从业人员明确规定了最低培训要求，并规定了学前教育在市预算中所占的份额及其在《国家教育计划》中的目标。</w:t>
      </w:r>
    </w:p>
    <w:p w:rsidR="00000000" w:rsidRDefault="004D2F83" w:rsidP="004D2F83">
      <w:pPr>
        <w:spacing w:after="240" w:line="360" w:lineRule="exact"/>
        <w:ind w:firstLineChars="200" w:firstLine="31680"/>
        <w:rPr>
          <w:rFonts w:hint="eastAsia"/>
        </w:rPr>
      </w:pPr>
      <w:r>
        <w:rPr>
          <w:rFonts w:hint="eastAsia"/>
        </w:rPr>
        <w:t>尽管关于这一级教育机构的统计数据存在严重问题，但在</w:t>
      </w:r>
      <w:r>
        <w:rPr>
          <w:rFonts w:hint="eastAsia"/>
        </w:rPr>
        <w:t>1986</w:t>
      </w:r>
      <w:r>
        <w:rPr>
          <w:rFonts w:hint="eastAsia"/>
        </w:rPr>
        <w:t>至</w:t>
      </w:r>
      <w:r>
        <w:rPr>
          <w:rFonts w:hint="eastAsia"/>
        </w:rPr>
        <w:t>2000</w:t>
      </w:r>
      <w:r>
        <w:rPr>
          <w:rFonts w:hint="eastAsia"/>
        </w:rPr>
        <w:t>年间，儿童早期教育的入学人数还是有了大幅度增加：从</w:t>
      </w:r>
      <w:r>
        <w:rPr>
          <w:rFonts w:hint="eastAsia"/>
        </w:rPr>
        <w:t>1986</w:t>
      </w:r>
      <w:r>
        <w:rPr>
          <w:rFonts w:hint="eastAsia"/>
        </w:rPr>
        <w:t>年的</w:t>
      </w:r>
      <w:r>
        <w:t>4 177 302</w:t>
      </w:r>
      <w:r>
        <w:rPr>
          <w:rFonts w:hint="eastAsia"/>
        </w:rPr>
        <w:t>人增加到</w:t>
      </w:r>
      <w:r>
        <w:rPr>
          <w:rFonts w:hint="eastAsia"/>
        </w:rPr>
        <w:t>2000</w:t>
      </w:r>
      <w:r>
        <w:rPr>
          <w:rFonts w:hint="eastAsia"/>
        </w:rPr>
        <w:t>年的</w:t>
      </w:r>
      <w:r>
        <w:t>6 012 240</w:t>
      </w:r>
      <w:r>
        <w:rPr>
          <w:rFonts w:hint="eastAsia"/>
        </w:rPr>
        <w:t>人（增幅</w:t>
      </w:r>
      <w:r>
        <w:t>43.9%</w:t>
      </w:r>
      <w:r>
        <w:rPr>
          <w:rFonts w:hint="eastAsia"/>
        </w:rPr>
        <w:t>）。但这种惊人的增长还只是相对的，从事儿童早期教育的教师有很多人依然是外行，而且教学设备质量低劣（罗森贝格，</w:t>
      </w:r>
      <w:r>
        <w:rPr>
          <w:rFonts w:hint="eastAsia"/>
        </w:rPr>
        <w:t>1999</w:t>
      </w:r>
      <w:r>
        <w:rPr>
          <w:rFonts w:hint="eastAsia"/>
        </w:rPr>
        <w:t>年）。</w:t>
      </w:r>
    </w:p>
    <w:p w:rsidR="00000000" w:rsidRDefault="004D2F83" w:rsidP="004D2F83">
      <w:pPr>
        <w:spacing w:after="240" w:line="360" w:lineRule="exact"/>
        <w:ind w:firstLineChars="200" w:firstLine="31680"/>
        <w:rPr>
          <w:rFonts w:hint="eastAsia"/>
        </w:rPr>
      </w:pPr>
      <w:r>
        <w:rPr>
          <w:rFonts w:hint="eastAsia"/>
        </w:rPr>
        <w:t>由于当今的经济形势要求减少国家的作用，从而对本</w:t>
      </w:r>
      <w:r>
        <w:rPr>
          <w:rFonts w:hint="eastAsia"/>
        </w:rPr>
        <w:t>应巩固的权利构成了威胁，儿童早期教育值得特别关注。举例来说，人们担心政府可能会决定减少全日制儿童早期教育的提供，对于那些年幼孩子的母亲来说，这种教育是她们继续留在劳动力市场上不可或缺的条件。</w:t>
      </w:r>
    </w:p>
    <w:p w:rsidR="00000000" w:rsidRDefault="004D2F83" w:rsidP="004D2F83">
      <w:pPr>
        <w:spacing w:after="240" w:line="360" w:lineRule="exact"/>
        <w:ind w:firstLineChars="200" w:firstLine="31680"/>
      </w:pPr>
      <w:r>
        <w:rPr>
          <w:rFonts w:hint="eastAsia"/>
        </w:rPr>
        <w:t>此外，在教育部和社会保障与福利部近来制订与发布的文件中出现了注重母性的思想复苏的迹象，这种思想将女性禁锢在母亲角色之内（罗森贝格，</w:t>
      </w:r>
      <w:r>
        <w:rPr>
          <w:rFonts w:hint="eastAsia"/>
        </w:rPr>
        <w:t>2001</w:t>
      </w:r>
      <w:r>
        <w:rPr>
          <w:rFonts w:hint="eastAsia"/>
        </w:rPr>
        <w:t>年）。</w:t>
      </w:r>
    </w:p>
    <w:p w:rsidR="00000000" w:rsidRDefault="004D2F83" w:rsidP="004D2F83">
      <w:pPr>
        <w:pStyle w:val="BodyTextIndent"/>
        <w:ind w:firstLineChars="200" w:firstLine="31680"/>
      </w:pPr>
    </w:p>
    <w:p w:rsidR="00000000" w:rsidRDefault="004D2F83" w:rsidP="004D2F83">
      <w:pPr>
        <w:tabs>
          <w:tab w:val="right" w:leader="dot" w:pos="9720"/>
        </w:tabs>
        <w:spacing w:after="120" w:line="360" w:lineRule="exact"/>
        <w:ind w:left="31680" w:rightChars="377" w:right="31680" w:hangingChars="228" w:firstLine="31680"/>
      </w:pPr>
    </w:p>
    <w:p w:rsidR="00000000" w:rsidRDefault="004D2F83" w:rsidP="004D2F83">
      <w:pPr>
        <w:tabs>
          <w:tab w:val="right" w:leader="dot" w:pos="9720"/>
        </w:tabs>
        <w:spacing w:line="300" w:lineRule="exact"/>
        <w:ind w:left="31680" w:rightChars="377" w:right="31680" w:hangingChars="228" w:firstLine="31680"/>
      </w:pPr>
      <w:r>
        <w:br w:type="page"/>
      </w:r>
    </w:p>
    <w:p w:rsidR="00000000" w:rsidRDefault="004D2F83">
      <w:pPr>
        <w:pStyle w:val="Heading3"/>
        <w:numPr>
          <w:ilvl w:val="0"/>
          <w:numId w:val="0"/>
        </w:numPr>
        <w:spacing w:before="0"/>
        <w:jc w:val="center"/>
        <w:rPr>
          <w:rFonts w:ascii="KaiTi_GB2312" w:eastAsia="KaiTi_GB2312"/>
          <w:b/>
          <w:bCs/>
          <w:u w:val="none"/>
        </w:rPr>
      </w:pPr>
      <w:bookmarkStart w:id="17" w:name="_Toc36367087"/>
      <w:r>
        <w:rPr>
          <w:rFonts w:ascii="KaiTi_GB2312" w:eastAsia="KaiTi_GB2312" w:hint="eastAsia"/>
          <w:b/>
          <w:bCs/>
          <w:u w:val="none"/>
        </w:rPr>
        <w:t>第</w:t>
      </w:r>
      <w:r>
        <w:rPr>
          <w:rFonts w:ascii="KaiTi_GB2312" w:eastAsia="KaiTi_GB2312" w:hint="eastAsia"/>
          <w:b/>
          <w:bCs/>
          <w:u w:val="none"/>
        </w:rPr>
        <w:t>11</w:t>
      </w:r>
      <w:r>
        <w:rPr>
          <w:rFonts w:ascii="KaiTi_GB2312" w:eastAsia="KaiTi_GB2312" w:hint="eastAsia"/>
          <w:b/>
          <w:bCs/>
          <w:u w:val="none"/>
        </w:rPr>
        <w:t>条</w:t>
      </w:r>
      <w:bookmarkEnd w:id="17"/>
    </w:p>
    <w:p w:rsidR="00000000" w:rsidRDefault="004D2F83">
      <w:pPr>
        <w:numPr>
          <w:ilvl w:val="0"/>
          <w:numId w:val="709"/>
        </w:numPr>
        <w:spacing w:after="240" w:line="360" w:lineRule="exact"/>
        <w:rPr>
          <w:rFonts w:eastAsia="KaiTi_GB2312"/>
          <w:b/>
          <w:bCs/>
        </w:rPr>
      </w:pPr>
      <w:r>
        <w:rPr>
          <w:rFonts w:eastAsia="KaiTi_GB2312" w:hint="eastAsia"/>
          <w:b/>
          <w:bCs/>
        </w:rPr>
        <w:t>缔约各国应采取一切适当措施，消除在就业方面对妇女的歧视，以保证她们在男女平等的基础上享有相同权利，特别是：</w:t>
      </w:r>
    </w:p>
    <w:p w:rsidR="00000000" w:rsidRDefault="004D2F83">
      <w:pPr>
        <w:numPr>
          <w:ilvl w:val="1"/>
          <w:numId w:val="709"/>
        </w:numPr>
        <w:spacing w:after="240" w:line="360" w:lineRule="exact"/>
        <w:rPr>
          <w:rFonts w:eastAsia="KaiTi_GB2312"/>
          <w:b/>
          <w:bCs/>
        </w:rPr>
      </w:pPr>
      <w:r>
        <w:rPr>
          <w:rFonts w:eastAsia="KaiTi_GB2312" w:hint="eastAsia"/>
          <w:b/>
          <w:bCs/>
        </w:rPr>
        <w:t>人人有不可剥夺的工作权利；</w:t>
      </w:r>
    </w:p>
    <w:p w:rsidR="00000000" w:rsidRDefault="004D2F83">
      <w:pPr>
        <w:numPr>
          <w:ilvl w:val="1"/>
          <w:numId w:val="709"/>
        </w:numPr>
        <w:spacing w:after="240" w:line="360" w:lineRule="exact"/>
        <w:rPr>
          <w:rFonts w:eastAsia="KaiTi_GB2312"/>
          <w:b/>
          <w:bCs/>
        </w:rPr>
      </w:pPr>
      <w:r>
        <w:rPr>
          <w:rFonts w:eastAsia="KaiTi_GB2312" w:hint="eastAsia"/>
          <w:b/>
          <w:bCs/>
        </w:rPr>
        <w:t>享有相同就业机会的权</w:t>
      </w:r>
      <w:r>
        <w:rPr>
          <w:rFonts w:eastAsia="KaiTi_GB2312" w:hint="eastAsia"/>
          <w:b/>
          <w:bCs/>
        </w:rPr>
        <w:t>利，包括在就业方面相同的斟选标准；</w:t>
      </w:r>
    </w:p>
    <w:p w:rsidR="00000000" w:rsidRDefault="004D2F83">
      <w:pPr>
        <w:numPr>
          <w:ilvl w:val="1"/>
          <w:numId w:val="709"/>
        </w:numPr>
        <w:spacing w:after="240" w:line="360" w:lineRule="exact"/>
        <w:rPr>
          <w:rFonts w:eastAsia="KaiTi_GB2312"/>
          <w:b/>
          <w:bCs/>
        </w:rPr>
      </w:pPr>
      <w:r>
        <w:rPr>
          <w:rFonts w:eastAsia="KaiTi_GB2312" w:hint="eastAsia"/>
          <w:b/>
          <w:bCs/>
        </w:rPr>
        <w:t>享有自由选择专业和职能，提升和工作保障，一切服务福利和条件，接受职业训练和再训练，包括实习训练、高等职业训练和经常训练的权利；</w:t>
      </w:r>
    </w:p>
    <w:p w:rsidR="00000000" w:rsidRDefault="004D2F83">
      <w:pPr>
        <w:numPr>
          <w:ilvl w:val="1"/>
          <w:numId w:val="709"/>
        </w:numPr>
        <w:spacing w:after="240" w:line="360" w:lineRule="exact"/>
        <w:rPr>
          <w:rFonts w:eastAsia="KaiTi_GB2312"/>
          <w:b/>
          <w:bCs/>
        </w:rPr>
      </w:pPr>
      <w:r>
        <w:rPr>
          <w:rFonts w:eastAsia="KaiTi_GB2312" w:hint="eastAsia"/>
          <w:b/>
          <w:bCs/>
        </w:rPr>
        <w:t>同样价值的工作享有同等报酬包括福利和享有平等待遇的权利，在评定工作的表现方面，享有平等待遇的权利；</w:t>
      </w:r>
    </w:p>
    <w:p w:rsidR="00000000" w:rsidRDefault="004D2F83">
      <w:pPr>
        <w:numPr>
          <w:ilvl w:val="1"/>
          <w:numId w:val="709"/>
        </w:numPr>
        <w:spacing w:after="240" w:line="360" w:lineRule="exact"/>
        <w:rPr>
          <w:rFonts w:eastAsia="KaiTi_GB2312"/>
          <w:b/>
          <w:bCs/>
        </w:rPr>
      </w:pPr>
      <w:r>
        <w:rPr>
          <w:rFonts w:eastAsia="KaiTi_GB2312" w:hint="eastAsia"/>
          <w:b/>
          <w:bCs/>
        </w:rPr>
        <w:t>享有社会保障的权利，特别是在退休、失业、疾病、残疾和老年或在其他丧失工作能力的情况下，以及享有带薪假的权利；</w:t>
      </w:r>
    </w:p>
    <w:p w:rsidR="00000000" w:rsidRDefault="004D2F83">
      <w:pPr>
        <w:numPr>
          <w:ilvl w:val="1"/>
          <w:numId w:val="709"/>
        </w:numPr>
        <w:spacing w:after="240" w:line="360" w:lineRule="exact"/>
        <w:rPr>
          <w:rFonts w:eastAsia="KaiTi_GB2312"/>
          <w:b/>
          <w:bCs/>
        </w:rPr>
      </w:pPr>
      <w:r>
        <w:rPr>
          <w:rFonts w:eastAsia="KaiTi_GB2312" w:hint="eastAsia"/>
          <w:b/>
          <w:bCs/>
        </w:rPr>
        <w:t>在工作条件中享有健康和安全保障，包括保障生育机能的权利。</w:t>
      </w:r>
    </w:p>
    <w:p w:rsidR="00000000" w:rsidRDefault="004D2F83">
      <w:pPr>
        <w:numPr>
          <w:ilvl w:val="0"/>
          <w:numId w:val="709"/>
        </w:numPr>
        <w:spacing w:after="240" w:line="360" w:lineRule="exact"/>
        <w:rPr>
          <w:rFonts w:eastAsia="KaiTi_GB2312"/>
          <w:b/>
          <w:bCs/>
        </w:rPr>
      </w:pPr>
      <w:r>
        <w:rPr>
          <w:rFonts w:eastAsia="KaiTi_GB2312" w:hint="eastAsia"/>
          <w:b/>
          <w:bCs/>
        </w:rPr>
        <w:t>缔约各国为使妇女不致因结婚或生育而受歧视，又为保障其有效的工作权利起见，应采取适</w:t>
      </w:r>
      <w:r>
        <w:rPr>
          <w:rFonts w:eastAsia="KaiTi_GB2312" w:hint="eastAsia"/>
          <w:b/>
          <w:bCs/>
        </w:rPr>
        <w:t>当措施：</w:t>
      </w:r>
    </w:p>
    <w:p w:rsidR="00000000" w:rsidRDefault="004D2F83">
      <w:pPr>
        <w:numPr>
          <w:ilvl w:val="1"/>
          <w:numId w:val="709"/>
        </w:numPr>
        <w:spacing w:after="240" w:line="360" w:lineRule="exact"/>
        <w:rPr>
          <w:rFonts w:eastAsia="KaiTi_GB2312"/>
          <w:b/>
          <w:bCs/>
        </w:rPr>
      </w:pPr>
      <w:r>
        <w:rPr>
          <w:rFonts w:eastAsia="KaiTi_GB2312" w:hint="eastAsia"/>
          <w:b/>
          <w:bCs/>
        </w:rPr>
        <w:t>禁止以怀孕或产假为理由予以解雇，以及以婚姻状况为理由予以解雇的歧视，违反规定者得受处分；</w:t>
      </w:r>
    </w:p>
    <w:p w:rsidR="00000000" w:rsidRDefault="004D2F83">
      <w:pPr>
        <w:numPr>
          <w:ilvl w:val="1"/>
          <w:numId w:val="709"/>
        </w:numPr>
        <w:spacing w:after="240" w:line="360" w:lineRule="exact"/>
        <w:rPr>
          <w:rFonts w:eastAsia="KaiTi_GB2312"/>
          <w:b/>
          <w:bCs/>
        </w:rPr>
      </w:pPr>
      <w:r>
        <w:rPr>
          <w:rFonts w:eastAsia="KaiTi_GB2312" w:hint="eastAsia"/>
          <w:b/>
          <w:bCs/>
        </w:rPr>
        <w:t>实施带薪产假或具有同等社会福利的产假，不丧失原有工作、年资、或社会津贴；</w:t>
      </w:r>
    </w:p>
    <w:p w:rsidR="00000000" w:rsidRDefault="004D2F83">
      <w:pPr>
        <w:numPr>
          <w:ilvl w:val="1"/>
          <w:numId w:val="709"/>
        </w:numPr>
        <w:spacing w:after="240" w:line="360" w:lineRule="exact"/>
        <w:rPr>
          <w:rFonts w:eastAsia="KaiTi_GB2312"/>
          <w:b/>
          <w:bCs/>
        </w:rPr>
      </w:pPr>
      <w:r>
        <w:rPr>
          <w:rFonts w:eastAsia="KaiTi_GB2312" w:hint="eastAsia"/>
          <w:b/>
          <w:bCs/>
        </w:rPr>
        <w:t>鼓励提供必要的辅助性社会服务，特别是通过促进建立和发展托儿设施系统，使父母得以兼顾家庭义务和工作责任并参与公共事务；</w:t>
      </w:r>
    </w:p>
    <w:p w:rsidR="00000000" w:rsidRDefault="004D2F83">
      <w:pPr>
        <w:numPr>
          <w:ilvl w:val="1"/>
          <w:numId w:val="709"/>
        </w:numPr>
        <w:spacing w:after="240" w:line="360" w:lineRule="exact"/>
        <w:rPr>
          <w:rFonts w:eastAsia="KaiTi_GB2312"/>
          <w:b/>
          <w:bCs/>
        </w:rPr>
      </w:pPr>
      <w:r>
        <w:rPr>
          <w:rFonts w:eastAsia="KaiTi_GB2312" w:hint="eastAsia"/>
          <w:b/>
          <w:bCs/>
        </w:rPr>
        <w:t>对于怀孕期间从事确实有害于健康的工作的妇女，给予特别保护。</w:t>
      </w:r>
    </w:p>
    <w:p w:rsidR="00000000" w:rsidRDefault="004D2F83">
      <w:pPr>
        <w:numPr>
          <w:ilvl w:val="0"/>
          <w:numId w:val="709"/>
        </w:numPr>
        <w:spacing w:after="240" w:line="360" w:lineRule="exact"/>
        <w:rPr>
          <w:rFonts w:eastAsia="KaiTi_GB2312"/>
        </w:rPr>
      </w:pPr>
      <w:r>
        <w:rPr>
          <w:rFonts w:eastAsia="KaiTi_GB2312" w:hint="eastAsia"/>
          <w:b/>
          <w:bCs/>
        </w:rPr>
        <w:t>应参照科技知识，定期审查与本条所包涵的内容有关的保护性法律，必要时应加以修订、废止或推广。</w:t>
      </w:r>
    </w:p>
    <w:p w:rsidR="00000000" w:rsidRDefault="004D2F83">
      <w:pPr>
        <w:spacing w:after="240" w:line="360" w:lineRule="exact"/>
        <w:rPr>
          <w:b/>
          <w:bCs/>
        </w:rPr>
      </w:pPr>
    </w:p>
    <w:p w:rsidR="00000000" w:rsidRDefault="004D2F83">
      <w:pPr>
        <w:spacing w:after="240" w:line="360" w:lineRule="exact"/>
        <w:rPr>
          <w:b/>
          <w:bCs/>
        </w:rPr>
      </w:pPr>
    </w:p>
    <w:p w:rsidR="00000000" w:rsidRDefault="004D2F83">
      <w:pPr>
        <w:spacing w:after="240" w:line="360" w:lineRule="exact"/>
        <w:rPr>
          <w:rFonts w:eastAsia="SimHei"/>
          <w:sz w:val="24"/>
        </w:rPr>
      </w:pPr>
      <w:r>
        <w:rPr>
          <w:rFonts w:eastAsia="SimHei" w:hint="eastAsia"/>
          <w:sz w:val="24"/>
        </w:rPr>
        <w:t>立法措施</w:t>
      </w:r>
    </w:p>
    <w:p w:rsidR="00000000" w:rsidRDefault="004D2F83">
      <w:pPr>
        <w:spacing w:after="240" w:line="360" w:lineRule="exact"/>
        <w:rPr>
          <w:rFonts w:eastAsia="SimHei"/>
          <w:sz w:val="24"/>
        </w:rPr>
      </w:pPr>
      <w:r>
        <w:rPr>
          <w:rFonts w:eastAsia="SimHei" w:hint="eastAsia"/>
          <w:sz w:val="24"/>
        </w:rPr>
        <w:t>联邦宪法</w:t>
      </w:r>
    </w:p>
    <w:p w:rsidR="00000000" w:rsidRDefault="004D2F83" w:rsidP="004D2F83">
      <w:pPr>
        <w:spacing w:after="240" w:line="360" w:lineRule="exact"/>
        <w:ind w:firstLineChars="200" w:firstLine="31680"/>
      </w:pPr>
      <w:r>
        <w:t>1988</w:t>
      </w:r>
      <w:r>
        <w:rPr>
          <w:rFonts w:hint="eastAsia"/>
        </w:rPr>
        <w:t>年宪法的特点是两性平等的原则和谴责一</w:t>
      </w:r>
      <w:r>
        <w:rPr>
          <w:rFonts w:hint="eastAsia"/>
        </w:rPr>
        <w:t>切形式的种族歧视。男女平等的原则特别是在关于家庭、劳动和财产的专门章节中作了规定。宪法确保怀孕妇女的工作稳定、产假、把孩子送入日托中心的权利和哺乳期。</w:t>
      </w:r>
      <w:r>
        <w:t>1988</w:t>
      </w:r>
      <w:r>
        <w:rPr>
          <w:rFonts w:hint="eastAsia"/>
        </w:rPr>
        <w:t>年宪法正式批准了其中的大多数权利，一些权利做了修改</w:t>
      </w:r>
      <w:r>
        <w:rPr>
          <w:rFonts w:hint="eastAsia"/>
        </w:rPr>
        <w:t>,</w:t>
      </w:r>
      <w:r>
        <w:rPr>
          <w:rFonts w:hint="eastAsia"/>
        </w:rPr>
        <w:t>一些权利得到采纳。现在</w:t>
      </w:r>
      <w:r>
        <w:rPr>
          <w:rFonts w:hint="eastAsia"/>
        </w:rPr>
        <w:t>,</w:t>
      </w:r>
      <w:r>
        <w:rPr>
          <w:rFonts w:hint="eastAsia"/>
        </w:rPr>
        <w:t>宪法中关于社会权利的第二章规定所有劳动者享有下述权利：保护劳动者不受任意辞退或无正当理由的辞退；失业保险；解雇金；最低工资；不可扣减的工资；年终双薪；每天不超过八小时的正常工作时数；带薪周休息日；报酬至少比正常工资高三分之一的年假；至少提前三十天发出辞退通知；通过保健、卫生和安</w:t>
      </w:r>
      <w:r>
        <w:rPr>
          <w:rFonts w:hint="eastAsia"/>
        </w:rPr>
        <w:t>全规定降低与就业有关的风险；工伤保险；退休金；以及承认劳资协议和合约，等等。</w:t>
      </w:r>
    </w:p>
    <w:p w:rsidR="00000000" w:rsidRDefault="004D2F83" w:rsidP="004D2F83">
      <w:pPr>
        <w:spacing w:after="240" w:line="360" w:lineRule="exact"/>
        <w:ind w:firstLineChars="200" w:firstLine="31680"/>
      </w:pPr>
      <w:r>
        <w:rPr>
          <w:rFonts w:hint="eastAsia"/>
        </w:rPr>
        <w:t>下面简要叙述与加强劳动法和</w:t>
      </w:r>
      <w:r>
        <w:t>1988</w:t>
      </w:r>
      <w:r>
        <w:rPr>
          <w:rFonts w:hint="eastAsia"/>
        </w:rPr>
        <w:t>年《巴西宪法》有关的一些立法措施；在过去二十年里经过扩充或制订具体规则的法律，以期说明巴西政府在《消除对妇女一切形式歧视公约》生效期间所走过的道路。与下面将要介绍的关于妇女进入劳动力市场的数据的对照说明</w:t>
      </w:r>
      <w:r>
        <w:rPr>
          <w:rFonts w:hint="eastAsia"/>
        </w:rPr>
        <w:t>,</w:t>
      </w:r>
      <w:r>
        <w:rPr>
          <w:rFonts w:hint="eastAsia"/>
        </w:rPr>
        <w:t>将揭示立法和劳动力市场的实际日常做法之间的差距。</w:t>
      </w:r>
      <w:r>
        <w:rPr>
          <w:rStyle w:val="FootnoteReference"/>
        </w:rPr>
        <w:footnoteReference w:customMarkFollows="1" w:id="94"/>
        <w:t>94</w:t>
      </w:r>
    </w:p>
    <w:p w:rsidR="00000000" w:rsidRDefault="004D2F83">
      <w:pPr>
        <w:spacing w:after="240" w:line="360" w:lineRule="exact"/>
        <w:rPr>
          <w:rFonts w:eastAsia="SimHei"/>
          <w:sz w:val="24"/>
        </w:rPr>
      </w:pPr>
      <w:r>
        <w:rPr>
          <w:rFonts w:eastAsia="SimHei" w:hint="eastAsia"/>
          <w:sz w:val="24"/>
        </w:rPr>
        <w:t>联邦律法</w:t>
      </w:r>
    </w:p>
    <w:p w:rsidR="00000000" w:rsidRDefault="004D2F83">
      <w:pPr>
        <w:spacing w:after="240" w:line="360" w:lineRule="exact"/>
        <w:rPr>
          <w:rFonts w:eastAsia="KaiTi_GB2312"/>
          <w:sz w:val="24"/>
        </w:rPr>
      </w:pPr>
      <w:r>
        <w:rPr>
          <w:rFonts w:eastAsia="KaiTi_GB2312" w:hint="eastAsia"/>
          <w:sz w:val="24"/>
        </w:rPr>
        <w:t>在《劳动法》的范围内</w:t>
      </w:r>
    </w:p>
    <w:p w:rsidR="00000000" w:rsidRDefault="004D2F83" w:rsidP="004D2F83">
      <w:pPr>
        <w:spacing w:after="240" w:line="360" w:lineRule="exact"/>
        <w:ind w:firstLineChars="200" w:firstLine="31680"/>
      </w:pPr>
      <w:r>
        <w:rPr>
          <w:rFonts w:hint="eastAsia"/>
        </w:rPr>
        <w:t>从</w:t>
      </w:r>
      <w:r>
        <w:t>1940</w:t>
      </w:r>
      <w:r>
        <w:rPr>
          <w:rFonts w:hint="eastAsia"/>
        </w:rPr>
        <w:t>年代开始，巴西《劳动法》即向拥有正式工作合同或持有官方工作证明文件的劳动者提供多项权利保障。就女性劳</w:t>
      </w:r>
      <w:r>
        <w:rPr>
          <w:rFonts w:hint="eastAsia"/>
        </w:rPr>
        <w:t>动者而言，《劳动法》从一开始就采取了一种保护的态度。在诸如女性脆弱、维护道德规范、保护生育、妇女对家庭事务的天然使命以及妇女工资的补充性等原则的基础上，《劳动法》依据的是以男人为首的父权制家庭的观念，并且其目的是保护劳动妇女作为母亲的作用。因此，它对女性劳动规定了一系列的限制条件。自</w:t>
      </w:r>
      <w:r>
        <w:rPr>
          <w:rFonts w:hint="eastAsia"/>
        </w:rPr>
        <w:t>19</w:t>
      </w:r>
      <w:r>
        <w:t>70</w:t>
      </w:r>
      <w:r>
        <w:rPr>
          <w:rFonts w:hint="eastAsia"/>
        </w:rPr>
        <w:t>年代以来，女权运动议程上的主题之一，就是批评式地重新评价劳动妇女的权利，这一运动在</w:t>
      </w:r>
      <w:r>
        <w:rPr>
          <w:rFonts w:hint="eastAsia"/>
        </w:rPr>
        <w:t>1980</w:t>
      </w:r>
      <w:r>
        <w:rPr>
          <w:rFonts w:hint="eastAsia"/>
        </w:rPr>
        <w:t>年代达到顶峰。当时好些妇女团体提出权利要求：其中部分要求在</w:t>
      </w:r>
      <w:r>
        <w:t>1988</w:t>
      </w:r>
      <w:r>
        <w:rPr>
          <w:rFonts w:hint="eastAsia"/>
        </w:rPr>
        <w:t>年宪法中得到满足。一方面，对妇女劳动实施限制的一些保护性措施被废</w:t>
      </w:r>
      <w:r>
        <w:rPr>
          <w:rFonts w:hint="eastAsia"/>
        </w:rPr>
        <w:t>除了，例如禁止上夜班或从事危险的或不健康的工作。如今这些限制只适用于</w:t>
      </w:r>
      <w:r>
        <w:t>18</w:t>
      </w:r>
      <w:r>
        <w:rPr>
          <w:rFonts w:hint="eastAsia"/>
        </w:rPr>
        <w:t>岁以下的人。另一方面，考虑到男女之间的生理差异并把母性视为一种社会职能，新宪章保留了休产假但不失去工作或工资的规定，把产假延长到</w:t>
      </w:r>
      <w:r>
        <w:t>120</w:t>
      </w:r>
      <w:r>
        <w:rPr>
          <w:rFonts w:hint="eastAsia"/>
        </w:rPr>
        <w:t>天；规定了父亲在婴儿出生后享有</w:t>
      </w:r>
      <w:r>
        <w:t>5</w:t>
      </w:r>
      <w:r>
        <w:rPr>
          <w:rFonts w:hint="eastAsia"/>
        </w:rPr>
        <w:t>天的陪产假，并且建议在日托中心和学前设施向男女劳动者的</w:t>
      </w:r>
      <w:r>
        <w:t>0</w:t>
      </w:r>
      <w:r>
        <w:rPr>
          <w:rFonts w:hint="eastAsia"/>
        </w:rPr>
        <w:t>到</w:t>
      </w:r>
      <w:r>
        <w:t>6</w:t>
      </w:r>
      <w:r>
        <w:rPr>
          <w:rFonts w:hint="eastAsia"/>
        </w:rPr>
        <w:t>岁的儿童和受抚养人提供免费援助。把孩子送入日托中心的应享权利期限被延长并且扩大到农村劳动者和佣仆。下面我们列出了</w:t>
      </w:r>
      <w:r>
        <w:t>1990</w:t>
      </w:r>
      <w:r>
        <w:rPr>
          <w:rFonts w:hint="eastAsia"/>
        </w:rPr>
        <w:t>年代实施的最重要的部分法规条例：</w:t>
      </w:r>
    </w:p>
    <w:p w:rsidR="00000000" w:rsidRDefault="004D2F83">
      <w:pPr>
        <w:spacing w:after="240" w:line="360" w:lineRule="exact"/>
        <w:rPr>
          <w:rFonts w:ascii="KaiTi_GB2312" w:eastAsia="KaiTi_GB2312"/>
          <w:b/>
          <w:bCs/>
          <w:sz w:val="24"/>
        </w:rPr>
      </w:pPr>
      <w:r>
        <w:rPr>
          <w:rFonts w:ascii="KaiTi_GB2312" w:eastAsia="KaiTi_GB2312"/>
          <w:b/>
          <w:bCs/>
          <w:sz w:val="24"/>
        </w:rPr>
        <w:t>1988</w:t>
      </w:r>
      <w:r>
        <w:rPr>
          <w:rFonts w:ascii="KaiTi_GB2312" w:eastAsia="KaiTi_GB2312" w:hint="eastAsia"/>
          <w:b/>
          <w:bCs/>
          <w:sz w:val="24"/>
        </w:rPr>
        <w:t>年宪法之后实施的法律</w:t>
      </w:r>
    </w:p>
    <w:p w:rsidR="00000000" w:rsidRDefault="004D2F83" w:rsidP="004D2F83">
      <w:pPr>
        <w:spacing w:after="240" w:line="360" w:lineRule="exact"/>
        <w:ind w:firstLineChars="200" w:firstLine="31680"/>
      </w:pPr>
      <w:r>
        <w:rPr>
          <w:rFonts w:hint="eastAsia"/>
        </w:rPr>
        <w:t>在</w:t>
      </w:r>
      <w:r>
        <w:t>1988</w:t>
      </w:r>
      <w:r>
        <w:rPr>
          <w:rFonts w:hint="eastAsia"/>
        </w:rPr>
        <w:t>年后这一时期，国民议</w:t>
      </w:r>
      <w:r>
        <w:rPr>
          <w:rFonts w:hint="eastAsia"/>
        </w:rPr>
        <w:t>会通过了引起重大改变的新法律：</w:t>
      </w:r>
    </w:p>
    <w:p w:rsidR="00000000" w:rsidRDefault="004D2F83" w:rsidP="004D2F83">
      <w:pPr>
        <w:spacing w:after="240" w:line="360" w:lineRule="exact"/>
        <w:ind w:firstLineChars="200" w:firstLine="31680"/>
      </w:pPr>
      <w:r>
        <w:rPr>
          <w:rFonts w:ascii="SimHei" w:eastAsia="SimHei"/>
        </w:rPr>
        <w:t>1994</w:t>
      </w:r>
      <w:r>
        <w:rPr>
          <w:rFonts w:ascii="SimHei" w:eastAsia="SimHei" w:hint="eastAsia"/>
        </w:rPr>
        <w:t>年</w:t>
      </w:r>
      <w:r>
        <w:rPr>
          <w:rFonts w:ascii="SimHei" w:eastAsia="SimHei"/>
        </w:rPr>
        <w:t>3</w:t>
      </w:r>
      <w:r>
        <w:rPr>
          <w:rFonts w:ascii="SimHei" w:eastAsia="SimHei" w:hint="eastAsia"/>
        </w:rPr>
        <w:t>月</w:t>
      </w:r>
      <w:r>
        <w:rPr>
          <w:rFonts w:ascii="SimHei" w:eastAsia="SimHei"/>
        </w:rPr>
        <w:t>25</w:t>
      </w:r>
      <w:r>
        <w:rPr>
          <w:rFonts w:ascii="SimHei" w:eastAsia="SimHei" w:hint="eastAsia"/>
        </w:rPr>
        <w:t>日第</w:t>
      </w:r>
      <w:r>
        <w:rPr>
          <w:rFonts w:ascii="SimHei" w:eastAsia="SimHei"/>
        </w:rPr>
        <w:t>8861</w:t>
      </w:r>
      <w:r>
        <w:rPr>
          <w:rFonts w:ascii="SimHei" w:eastAsia="SimHei" w:hint="eastAsia"/>
        </w:rPr>
        <w:t>号法律</w:t>
      </w:r>
      <w:r>
        <w:rPr>
          <w:rFonts w:hint="eastAsia"/>
        </w:rPr>
        <w:t>改变了</w:t>
      </w:r>
      <w:r>
        <w:t>1991</w:t>
      </w:r>
      <w:r>
        <w:rPr>
          <w:rFonts w:hint="eastAsia"/>
        </w:rPr>
        <w:t>年</w:t>
      </w:r>
      <w:r>
        <w:t>7</w:t>
      </w:r>
      <w:r>
        <w:rPr>
          <w:rFonts w:hint="eastAsia"/>
        </w:rPr>
        <w:t>月</w:t>
      </w:r>
      <w:r>
        <w:t>24</w:t>
      </w:r>
      <w:r>
        <w:rPr>
          <w:rFonts w:hint="eastAsia"/>
        </w:rPr>
        <w:t>日第</w:t>
      </w:r>
      <w:r>
        <w:t>8213</w:t>
      </w:r>
      <w:r>
        <w:rPr>
          <w:rFonts w:hint="eastAsia"/>
        </w:rPr>
        <w:t>号法律的措辞并且保障妇女享有带薪产假权。对于那些有权享受特殊保险的妇女，该法律保障她们有权得到最低一个月工资的产假薪金，条件是她们能证明在开始受益之前的十二个月里她们在从事农业活动，即使只是在打零工（第</w:t>
      </w:r>
      <w:r>
        <w:t>39</w:t>
      </w:r>
      <w:r>
        <w:rPr>
          <w:rFonts w:hint="eastAsia"/>
        </w:rPr>
        <w:t>条，单立款）。第</w:t>
      </w:r>
      <w:r>
        <w:t>8213</w:t>
      </w:r>
      <w:r>
        <w:rPr>
          <w:rFonts w:hint="eastAsia"/>
        </w:rPr>
        <w:t>号法律第</w:t>
      </w:r>
      <w:r>
        <w:t>71</w:t>
      </w:r>
      <w:r>
        <w:rPr>
          <w:rFonts w:hint="eastAsia"/>
        </w:rPr>
        <w:t>条规定，参加保险的雇员以及自由职业者、佣仆及根据第</w:t>
      </w:r>
      <w:r>
        <w:t>39</w:t>
      </w:r>
      <w:r>
        <w:rPr>
          <w:rFonts w:hint="eastAsia"/>
        </w:rPr>
        <w:t>条单立款的规定参加特殊保险的人应当享有产假薪金，期限为</w:t>
      </w:r>
      <w:r>
        <w:t>120</w:t>
      </w:r>
      <w:r>
        <w:rPr>
          <w:rFonts w:hint="eastAsia"/>
        </w:rPr>
        <w:t>天，从孩子出生前</w:t>
      </w:r>
      <w:r>
        <w:t>28</w:t>
      </w:r>
      <w:r>
        <w:rPr>
          <w:rFonts w:hint="eastAsia"/>
        </w:rPr>
        <w:t>天到出生之日算起，根据法律对于保</w:t>
      </w:r>
      <w:r>
        <w:rPr>
          <w:rFonts w:hint="eastAsia"/>
        </w:rPr>
        <w:t>护母性所规定的情况和条件而定。在该条单立款中，法律规定特殊的被保险人和佣仆可以申请自孩子出生后最多</w:t>
      </w:r>
      <w:r>
        <w:t>90</w:t>
      </w:r>
      <w:r>
        <w:rPr>
          <w:rFonts w:hint="eastAsia"/>
        </w:rPr>
        <w:t>天的产假薪金。</w:t>
      </w:r>
    </w:p>
    <w:p w:rsidR="00000000" w:rsidRDefault="004D2F83" w:rsidP="004D2F83">
      <w:pPr>
        <w:spacing w:after="240" w:line="360" w:lineRule="exact"/>
        <w:ind w:firstLineChars="200" w:firstLine="31680"/>
      </w:pPr>
      <w:r>
        <w:t>1995</w:t>
      </w:r>
      <w:r>
        <w:rPr>
          <w:rFonts w:hint="eastAsia"/>
        </w:rPr>
        <w:t>年</w:t>
      </w:r>
      <w:r>
        <w:t>4</w:t>
      </w:r>
      <w:r>
        <w:rPr>
          <w:rFonts w:hint="eastAsia"/>
        </w:rPr>
        <w:t>月</w:t>
      </w:r>
      <w:r>
        <w:t>13</w:t>
      </w:r>
      <w:r>
        <w:rPr>
          <w:rFonts w:hint="eastAsia"/>
        </w:rPr>
        <w:t>日第</w:t>
      </w:r>
      <w:r>
        <w:t>9 029</w:t>
      </w:r>
      <w:r>
        <w:rPr>
          <w:rFonts w:hint="eastAsia"/>
        </w:rPr>
        <w:t>号法律禁止以性别、出身、种族、肤色、婚姻状况、家庭情况或年龄为由为缔结工作关系或延续工作关系采取任何歧视性和限制性做法，《联邦宪法》第</w:t>
      </w:r>
      <w:r>
        <w:t>7</w:t>
      </w:r>
      <w:r>
        <w:rPr>
          <w:rFonts w:hint="eastAsia"/>
        </w:rPr>
        <w:t>条第三十三项规定的保护未成年人的情况除外（第</w:t>
      </w:r>
      <w:r>
        <w:t>1</w:t>
      </w:r>
      <w:r>
        <w:rPr>
          <w:rFonts w:hint="eastAsia"/>
        </w:rPr>
        <w:t>条）。</w:t>
      </w:r>
    </w:p>
    <w:p w:rsidR="00000000" w:rsidRDefault="004D2F83" w:rsidP="004D2F83">
      <w:pPr>
        <w:spacing w:after="240" w:line="360" w:lineRule="exact"/>
        <w:ind w:firstLineChars="200" w:firstLine="31680"/>
      </w:pPr>
      <w:r>
        <w:rPr>
          <w:rFonts w:hint="eastAsia"/>
        </w:rPr>
        <w:t>与绝育或怀孕证明有关的化验、体检、报告要求或程序以及诱导或鼓动绝育及促进生育控制的做法，在第</w:t>
      </w:r>
      <w:r>
        <w:t>9029/95</w:t>
      </w:r>
      <w:r>
        <w:rPr>
          <w:rFonts w:hint="eastAsia"/>
        </w:rPr>
        <w:t>号法律第</w:t>
      </w:r>
      <w:r>
        <w:t>2</w:t>
      </w:r>
      <w:r>
        <w:rPr>
          <w:rFonts w:hint="eastAsia"/>
        </w:rPr>
        <w:t>条中一律被定为犯罪，犯罪人要受到</w:t>
      </w:r>
      <w:r>
        <w:t>1</w:t>
      </w:r>
      <w:r>
        <w:rPr>
          <w:rFonts w:hint="eastAsia"/>
        </w:rPr>
        <w:t>至</w:t>
      </w:r>
      <w:r>
        <w:t>2</w:t>
      </w:r>
      <w:r>
        <w:rPr>
          <w:rFonts w:hint="eastAsia"/>
        </w:rPr>
        <w:t>年的监禁，并处以罚</w:t>
      </w:r>
      <w:r>
        <w:rPr>
          <w:rFonts w:hint="eastAsia"/>
        </w:rPr>
        <w:t>金。</w:t>
      </w:r>
    </w:p>
    <w:p w:rsidR="00000000" w:rsidRDefault="004D2F83" w:rsidP="004D2F83">
      <w:pPr>
        <w:spacing w:after="240" w:line="360" w:lineRule="exact"/>
        <w:ind w:firstLineChars="200" w:firstLine="31680"/>
      </w:pPr>
      <w:r>
        <w:rPr>
          <w:rFonts w:hint="eastAsia"/>
        </w:rPr>
        <w:t>在歧视性解雇的情况下，法律确保女雇员有权获得整个失业期的全额赔偿，方式是向她们支付其应得的报酬，报酬金额根据货币贬值情况进行调整，再加上法定利息，或者相当于其失业期间应得报酬两倍付款，根据货币贬值情况进行调整，再加上法定利息（第</w:t>
      </w:r>
      <w:r>
        <w:t>4</w:t>
      </w:r>
      <w:r>
        <w:rPr>
          <w:rFonts w:hint="eastAsia"/>
        </w:rPr>
        <w:t>条）。</w:t>
      </w:r>
    </w:p>
    <w:p w:rsidR="00000000" w:rsidRDefault="004D2F83" w:rsidP="004D2F83">
      <w:pPr>
        <w:spacing w:after="240" w:line="360" w:lineRule="exact"/>
        <w:ind w:firstLineChars="200" w:firstLine="31680"/>
      </w:pPr>
      <w:r>
        <w:rPr>
          <w:rFonts w:ascii="SimHei" w:eastAsia="SimHei" w:hint="eastAsia"/>
        </w:rPr>
        <w:t>国家人权计划（</w:t>
      </w:r>
      <w:r>
        <w:rPr>
          <w:rFonts w:ascii="SimHei" w:eastAsia="SimHei"/>
        </w:rPr>
        <w:t>1996</w:t>
      </w:r>
      <w:r>
        <w:rPr>
          <w:rFonts w:ascii="SimHei" w:eastAsia="SimHei" w:hint="eastAsia"/>
        </w:rPr>
        <w:t>年</w:t>
      </w:r>
      <w:r>
        <w:rPr>
          <w:rFonts w:ascii="SimHei" w:eastAsia="SimHei"/>
        </w:rPr>
        <w:t>5</w:t>
      </w:r>
      <w:r>
        <w:rPr>
          <w:rFonts w:ascii="SimHei" w:eastAsia="SimHei" w:hint="eastAsia"/>
        </w:rPr>
        <w:t>月</w:t>
      </w:r>
      <w:r>
        <w:rPr>
          <w:rFonts w:ascii="SimHei" w:eastAsia="SimHei"/>
        </w:rPr>
        <w:t>13</w:t>
      </w:r>
      <w:r>
        <w:rPr>
          <w:rFonts w:ascii="SimHei" w:eastAsia="SimHei" w:hint="eastAsia"/>
        </w:rPr>
        <w:t>日第</w:t>
      </w:r>
      <w:r>
        <w:rPr>
          <w:rFonts w:ascii="SimHei" w:eastAsia="SimHei"/>
        </w:rPr>
        <w:t>1904</w:t>
      </w:r>
      <w:r>
        <w:rPr>
          <w:rFonts w:ascii="SimHei" w:eastAsia="SimHei" w:hint="eastAsia"/>
        </w:rPr>
        <w:t>号联邦法令）</w:t>
      </w:r>
      <w:r>
        <w:rPr>
          <w:rFonts w:hint="eastAsia"/>
        </w:rPr>
        <w:t>，目前正在进行修订和更新，其主要目标是执行保护妇女就业的中期和长期措施。除其他外，计划提出了以下行动：</w:t>
      </w:r>
    </w:p>
    <w:p w:rsidR="00000000" w:rsidRDefault="004D2F83">
      <w:pPr>
        <w:numPr>
          <w:ilvl w:val="0"/>
          <w:numId w:val="712"/>
        </w:numPr>
        <w:spacing w:after="240" w:line="360" w:lineRule="exact"/>
      </w:pPr>
      <w:r>
        <w:rPr>
          <w:rFonts w:hint="eastAsia"/>
        </w:rPr>
        <w:t>中期行动：规范《联邦宪法》第</w:t>
      </w:r>
      <w:r>
        <w:t>7</w:t>
      </w:r>
      <w:r>
        <w:rPr>
          <w:rFonts w:hint="eastAsia"/>
        </w:rPr>
        <w:t>条第二十项规定，该项规定通过特殊的鼓励措施保护妇女的劳动力市场；鼓励编写表明工</w:t>
      </w:r>
      <w:r>
        <w:rPr>
          <w:rFonts w:hint="eastAsia"/>
        </w:rPr>
        <w:t>资、工作负担、工作环境、职业病和妇女劳动权利的统计资料；</w:t>
      </w:r>
    </w:p>
    <w:p w:rsidR="00000000" w:rsidRDefault="004D2F83">
      <w:pPr>
        <w:numPr>
          <w:ilvl w:val="0"/>
          <w:numId w:val="712"/>
        </w:numPr>
        <w:spacing w:after="240" w:line="360" w:lineRule="exact"/>
        <w:rPr>
          <w:spacing w:val="-2"/>
        </w:rPr>
      </w:pPr>
      <w:r>
        <w:rPr>
          <w:rFonts w:hint="eastAsia"/>
          <w:spacing w:val="-2"/>
        </w:rPr>
        <w:t>长期行动：制订联邦、州和市各级政府政策和计划，以执行确保男女在各个方面权利平等的法律，包括保健、受教育、职业培训、工作、社会保障、农村财产和信贷、文化、政治事务和司法等方面。</w:t>
      </w:r>
    </w:p>
    <w:p w:rsidR="00000000" w:rsidRDefault="004D2F83" w:rsidP="004D2F83">
      <w:pPr>
        <w:spacing w:after="240" w:line="360" w:lineRule="exact"/>
        <w:ind w:firstLineChars="200" w:firstLine="31680"/>
      </w:pPr>
      <w:r>
        <w:rPr>
          <w:rFonts w:ascii="SimHei" w:eastAsia="SimHei"/>
        </w:rPr>
        <w:t>1999</w:t>
      </w:r>
      <w:r>
        <w:rPr>
          <w:rFonts w:ascii="SimHei" w:eastAsia="SimHei" w:hint="eastAsia"/>
        </w:rPr>
        <w:t>年</w:t>
      </w:r>
      <w:r>
        <w:rPr>
          <w:rFonts w:ascii="SimHei" w:eastAsia="SimHei"/>
        </w:rPr>
        <w:t>5</w:t>
      </w:r>
      <w:r>
        <w:rPr>
          <w:rFonts w:ascii="SimHei" w:eastAsia="SimHei" w:hint="eastAsia"/>
        </w:rPr>
        <w:t>月</w:t>
      </w:r>
      <w:r>
        <w:rPr>
          <w:rFonts w:ascii="SimHei" w:eastAsia="SimHei"/>
        </w:rPr>
        <w:t>26</w:t>
      </w:r>
      <w:r>
        <w:rPr>
          <w:rFonts w:ascii="SimHei" w:eastAsia="SimHei" w:hint="eastAsia"/>
        </w:rPr>
        <w:t>日第</w:t>
      </w:r>
      <w:r>
        <w:rPr>
          <w:rFonts w:ascii="SimHei" w:eastAsia="SimHei"/>
        </w:rPr>
        <w:t>9799</w:t>
      </w:r>
      <w:r>
        <w:rPr>
          <w:rFonts w:ascii="SimHei" w:eastAsia="SimHei" w:hint="eastAsia"/>
        </w:rPr>
        <w:t>号法律</w:t>
      </w:r>
      <w:r>
        <w:rPr>
          <w:rFonts w:hint="eastAsia"/>
        </w:rPr>
        <w:t>力图纠正影响妇女进入劳动力市场的不正常现象，将保护妇女工作的规定列入了《劳动法》。第</w:t>
      </w:r>
      <w:r>
        <w:t>9799</w:t>
      </w:r>
      <w:r>
        <w:rPr>
          <w:rFonts w:hint="eastAsia"/>
        </w:rPr>
        <w:t>号法律第</w:t>
      </w:r>
      <w:r>
        <w:t>373A</w:t>
      </w:r>
      <w:r>
        <w:rPr>
          <w:rFonts w:hint="eastAsia"/>
        </w:rPr>
        <w:t>条禁止：发布或命令发布包含有性别、年龄、肤色或家庭情况方面的规定的招工广告，除非众所周知将要从事的工作性质有这些方面的要求（第一项）；</w:t>
      </w:r>
      <w:r>
        <w:rPr>
          <w:rFonts w:hint="eastAsia"/>
        </w:rPr>
        <w:t>以性别、年龄、肤色、家庭情况或怀孕为由拒绝雇用、提升或辞退，除非众所周知这些情况与工作的性质不符（第二项）；把性别、年龄、肤色或家庭情况作为确定工资、职业发展和职业进步机会的决定性变量（第三项）；要求有任何性质的绝育或怀孕检查证明才能录用或长期工作（第四项）；通过采取适用或通过招聘考试方面基于性别、年龄、肤色、家庭情况和怀孕与否的主观标准来阻止进入私营公司（第五项）；以及由雇主或其雇员对女工进行搜身（第六项）。</w:t>
      </w:r>
    </w:p>
    <w:p w:rsidR="00000000" w:rsidRDefault="004D2F83" w:rsidP="004D2F83">
      <w:pPr>
        <w:spacing w:after="240" w:line="360" w:lineRule="exact"/>
        <w:ind w:firstLineChars="200" w:firstLine="31680"/>
      </w:pPr>
      <w:r>
        <w:rPr>
          <w:rFonts w:hint="eastAsia"/>
        </w:rPr>
        <w:t>经</w:t>
      </w:r>
      <w:r>
        <w:t>1999</w:t>
      </w:r>
      <w:r>
        <w:rPr>
          <w:rFonts w:hint="eastAsia"/>
        </w:rPr>
        <w:t>年</w:t>
      </w:r>
      <w:r>
        <w:t>5</w:t>
      </w:r>
      <w:r>
        <w:rPr>
          <w:rFonts w:hint="eastAsia"/>
        </w:rPr>
        <w:t>月</w:t>
      </w:r>
      <w:r>
        <w:t>26</w:t>
      </w:r>
      <w:r>
        <w:rPr>
          <w:rFonts w:hint="eastAsia"/>
        </w:rPr>
        <w:t>日第</w:t>
      </w:r>
      <w:r>
        <w:t>9799</w:t>
      </w:r>
      <w:r>
        <w:rPr>
          <w:rFonts w:hint="eastAsia"/>
        </w:rPr>
        <w:t>号法律修订的《劳动法》第</w:t>
      </w:r>
      <w:r>
        <w:t>309b</w:t>
      </w:r>
      <w:r>
        <w:rPr>
          <w:rFonts w:hint="eastAsia"/>
        </w:rPr>
        <w:t>条规定，政府机构、雇主或任何职业</w:t>
      </w:r>
      <w:r>
        <w:rPr>
          <w:rFonts w:hint="eastAsia"/>
        </w:rPr>
        <w:t>培训机构开设的工作培训班应一视同仁地为男女雇员提供名额。</w:t>
      </w:r>
    </w:p>
    <w:p w:rsidR="00000000" w:rsidRDefault="004D2F83" w:rsidP="004D2F83">
      <w:pPr>
        <w:spacing w:after="240" w:line="360" w:lineRule="exact"/>
        <w:ind w:firstLineChars="200" w:firstLine="31680"/>
      </w:pPr>
      <w:r>
        <w:rPr>
          <w:rFonts w:hint="eastAsia"/>
        </w:rPr>
        <w:t>为了实施以激励女性工作为目的的项目，经</w:t>
      </w:r>
      <w:r>
        <w:t>1999</w:t>
      </w:r>
      <w:r>
        <w:rPr>
          <w:rFonts w:hint="eastAsia"/>
        </w:rPr>
        <w:t>年</w:t>
      </w:r>
      <w:r>
        <w:t>5</w:t>
      </w:r>
      <w:r>
        <w:rPr>
          <w:rFonts w:hint="eastAsia"/>
        </w:rPr>
        <w:t>月</w:t>
      </w:r>
      <w:r>
        <w:t>26</w:t>
      </w:r>
      <w:r>
        <w:rPr>
          <w:rFonts w:hint="eastAsia"/>
        </w:rPr>
        <w:t>日第</w:t>
      </w:r>
      <w:r>
        <w:t>9799</w:t>
      </w:r>
      <w:r>
        <w:rPr>
          <w:rFonts w:hint="eastAsia"/>
        </w:rPr>
        <w:t>号法律修订的《劳动法》规定，合法成立的实体可以与职业发展机构或工会组织建立伙伴关系以及为开展联合行动签订合约。</w:t>
      </w:r>
    </w:p>
    <w:p w:rsidR="00000000" w:rsidRDefault="004D2F83" w:rsidP="004D2F83">
      <w:pPr>
        <w:spacing w:after="240" w:line="360" w:lineRule="exact"/>
        <w:ind w:firstLineChars="200" w:firstLine="31680"/>
      </w:pPr>
      <w:r>
        <w:rPr>
          <w:rFonts w:hint="eastAsia"/>
        </w:rPr>
        <w:t>经第</w:t>
      </w:r>
      <w:r>
        <w:t>9799</w:t>
      </w:r>
      <w:r>
        <w:rPr>
          <w:rFonts w:hint="eastAsia"/>
        </w:rPr>
        <w:t>号法律修订的《劳动法》第</w:t>
      </w:r>
      <w:r>
        <w:t>373-A</w:t>
      </w:r>
      <w:r>
        <w:rPr>
          <w:rFonts w:hint="eastAsia"/>
        </w:rPr>
        <w:t>条单立款规定了采取暂行措施的可能性，目的是制订男女平等政策，特别是纠正影响妇女职业发展、就业和一般工作条件的不正常现象。</w:t>
      </w:r>
    </w:p>
    <w:p w:rsidR="00000000" w:rsidRDefault="004D2F83" w:rsidP="004D2F83">
      <w:pPr>
        <w:spacing w:after="240" w:line="360" w:lineRule="exact"/>
        <w:ind w:firstLineChars="200" w:firstLine="31680"/>
      </w:pPr>
      <w:r>
        <w:rPr>
          <w:rFonts w:hint="eastAsia"/>
        </w:rPr>
        <w:t>《劳动法》第</w:t>
      </w:r>
      <w:r>
        <w:t>391</w:t>
      </w:r>
      <w:r>
        <w:rPr>
          <w:rFonts w:hint="eastAsia"/>
        </w:rPr>
        <w:t>条规定，妇女结婚或怀孕与否不得构成辞退的正当理由。此外，该条的单立款规定，在任何性质的条</w:t>
      </w:r>
      <w:r>
        <w:rPr>
          <w:rFonts w:hint="eastAsia"/>
        </w:rPr>
        <w:t>例和集体或个人工作谈判中，妇女的工作权利不应因为结婚或怀孕而受到限制。关于这一点，第</w:t>
      </w:r>
      <w:r>
        <w:t>9029/95</w:t>
      </w:r>
      <w:r>
        <w:rPr>
          <w:rFonts w:hint="eastAsia"/>
        </w:rPr>
        <w:t>号法律禁止雇主为录用女工或女工长期工作而要求妇女做怀孕检查和提供绝育证明。</w:t>
      </w:r>
    </w:p>
    <w:p w:rsidR="00000000" w:rsidRDefault="004D2F83" w:rsidP="004D2F83">
      <w:pPr>
        <w:spacing w:after="240" w:line="360" w:lineRule="exact"/>
        <w:ind w:firstLineChars="200" w:firstLine="31680"/>
      </w:pPr>
      <w:r>
        <w:rPr>
          <w:rFonts w:hint="eastAsia"/>
        </w:rPr>
        <w:t>经第</w:t>
      </w:r>
      <w:r>
        <w:t>9799/99</w:t>
      </w:r>
      <w:r>
        <w:rPr>
          <w:rFonts w:hint="eastAsia"/>
        </w:rPr>
        <w:t>号法律补充的《劳动法》第</w:t>
      </w:r>
      <w:r>
        <w:t>392</w:t>
      </w:r>
      <w:r>
        <w:rPr>
          <w:rFonts w:hint="eastAsia"/>
        </w:rPr>
        <w:t>条第</w:t>
      </w:r>
      <w:r>
        <w:t>4</w:t>
      </w:r>
      <w:r>
        <w:rPr>
          <w:rFonts w:hint="eastAsia"/>
        </w:rPr>
        <w:t>款确保妇女在怀孕期间享有调换工作的权利，如果她的健康状况需要这样做的话，以及将来回到其原有职位上的权利。法律还确保怀孕妇女有权请假，以便有时间至少六次的医疗检查和其他的补充医疗检查。</w:t>
      </w:r>
    </w:p>
    <w:p w:rsidR="00000000" w:rsidRDefault="004D2F83" w:rsidP="004D2F83">
      <w:pPr>
        <w:spacing w:after="240" w:line="360" w:lineRule="exact"/>
        <w:ind w:firstLineChars="200" w:firstLine="31680"/>
      </w:pPr>
      <w:r>
        <w:rPr>
          <w:rFonts w:hint="eastAsia"/>
        </w:rPr>
        <w:t>《劳动法》第</w:t>
      </w:r>
      <w:r>
        <w:t>393</w:t>
      </w:r>
      <w:r>
        <w:rPr>
          <w:rFonts w:hint="eastAsia"/>
        </w:rPr>
        <w:t>条规定，在产假期间，妇女有权得到全额工资；在工资不固定的情况下，妇女在产假期间有权</w:t>
      </w:r>
      <w:r>
        <w:rPr>
          <w:rFonts w:hint="eastAsia"/>
        </w:rPr>
        <w:t>得到的数额根据其过去工作期间六个月的平均工资计算。该法律第</w:t>
      </w:r>
      <w:r>
        <w:t>395</w:t>
      </w:r>
      <w:r>
        <w:rPr>
          <w:rFonts w:hint="eastAsia"/>
        </w:rPr>
        <w:t>条规定，即使在合乎法律规定的堕胎的情况下，妇女也有权获得两星期的带薪假，并且有权回到休假前担任的职位上。</w:t>
      </w:r>
    </w:p>
    <w:p w:rsidR="00000000" w:rsidRDefault="004D2F83" w:rsidP="004D2F83">
      <w:pPr>
        <w:spacing w:after="240" w:line="360" w:lineRule="exact"/>
        <w:ind w:firstLineChars="200" w:firstLine="31680"/>
      </w:pPr>
      <w:r>
        <w:rPr>
          <w:rFonts w:hint="eastAsia"/>
        </w:rPr>
        <w:t>根据《劳动法》第</w:t>
      </w:r>
      <w:r>
        <w:rPr>
          <w:rFonts w:hint="eastAsia"/>
        </w:rPr>
        <w:t>396</w:t>
      </w:r>
      <w:r>
        <w:rPr>
          <w:rFonts w:hint="eastAsia"/>
        </w:rPr>
        <w:t>条规定，一旦返回工作岗位，妇女有权在正常上班时间获得两个时间段的特殊休息时间，以便给孩子哺乳。</w:t>
      </w:r>
    </w:p>
    <w:p w:rsidR="00000000" w:rsidRDefault="004D2F83" w:rsidP="004D2F83">
      <w:pPr>
        <w:spacing w:after="240" w:line="360" w:lineRule="exact"/>
        <w:ind w:firstLineChars="200" w:firstLine="31680"/>
      </w:pPr>
      <w:r>
        <w:rPr>
          <w:rFonts w:hint="eastAsia"/>
        </w:rPr>
        <w:t>最后，根据《劳动法》第</w:t>
      </w:r>
      <w:r>
        <w:t>399</w:t>
      </w:r>
      <w:r>
        <w:rPr>
          <w:rFonts w:hint="eastAsia"/>
        </w:rPr>
        <w:t>条的规定，劳动部应向在建立和维持日托中心和机构以保护学龄前儿童方面表现突出的雇主予以表彰。关于这一点，将进行一次质量调查，因为众所周知，只有大企业才开设日托中心或向雇员发放日托中心补贴。不过，补贴</w:t>
      </w:r>
      <w:r>
        <w:rPr>
          <w:rFonts w:hint="eastAsia"/>
        </w:rPr>
        <w:t>对象只限于六个月以下的婴儿。</w:t>
      </w:r>
    </w:p>
    <w:p w:rsidR="00000000" w:rsidRDefault="004D2F83" w:rsidP="004D2F83">
      <w:pPr>
        <w:spacing w:after="240" w:line="360" w:lineRule="exact"/>
        <w:ind w:firstLineChars="200" w:firstLine="31680"/>
      </w:pPr>
      <w:r>
        <w:rPr>
          <w:rFonts w:ascii="SimHei" w:eastAsia="SimHei"/>
        </w:rPr>
        <w:t>2001</w:t>
      </w:r>
      <w:r>
        <w:rPr>
          <w:rFonts w:ascii="SimHei" w:eastAsia="SimHei" w:hint="eastAsia"/>
        </w:rPr>
        <w:t>年</w:t>
      </w:r>
      <w:r>
        <w:rPr>
          <w:rFonts w:ascii="SimHei" w:eastAsia="SimHei"/>
        </w:rPr>
        <w:t>6</w:t>
      </w:r>
      <w:r>
        <w:rPr>
          <w:rFonts w:ascii="SimHei" w:eastAsia="SimHei" w:hint="eastAsia"/>
        </w:rPr>
        <w:t>月</w:t>
      </w:r>
      <w:r>
        <w:rPr>
          <w:rFonts w:ascii="SimHei" w:eastAsia="SimHei"/>
        </w:rPr>
        <w:t>27</w:t>
      </w:r>
      <w:r>
        <w:rPr>
          <w:rFonts w:ascii="SimHei" w:eastAsia="SimHei" w:hint="eastAsia"/>
        </w:rPr>
        <w:t>日第</w:t>
      </w:r>
      <w:r>
        <w:rPr>
          <w:rFonts w:ascii="SimHei" w:eastAsia="SimHei"/>
        </w:rPr>
        <w:t>10244</w:t>
      </w:r>
      <w:r>
        <w:rPr>
          <w:rFonts w:ascii="SimHei" w:eastAsia="SimHei" w:hint="eastAsia"/>
        </w:rPr>
        <w:t>号法律</w:t>
      </w:r>
      <w:r>
        <w:rPr>
          <w:rFonts w:hint="eastAsia"/>
        </w:rPr>
        <w:t>，在关于对《劳动法》所作的修正方面，援引该法律文书第</w:t>
      </w:r>
      <w:r>
        <w:t>376</w:t>
      </w:r>
      <w:r>
        <w:rPr>
          <w:rFonts w:hint="eastAsia"/>
        </w:rPr>
        <w:t>条，该条只允许在“不可抗力存在的特殊情况下”延长正常的工作时间，最多时间为</w:t>
      </w:r>
      <w:r>
        <w:t>12</w:t>
      </w:r>
      <w:r>
        <w:rPr>
          <w:rFonts w:hint="eastAsia"/>
        </w:rPr>
        <w:t>小时，小时工资至少要比正常小时工资高</w:t>
      </w:r>
      <w:r>
        <w:t>25%</w:t>
      </w:r>
      <w:r>
        <w:rPr>
          <w:rFonts w:hint="eastAsia"/>
        </w:rPr>
        <w:t>。</w:t>
      </w:r>
    </w:p>
    <w:p w:rsidR="00000000" w:rsidRDefault="004D2F83">
      <w:pPr>
        <w:spacing w:after="240" w:line="360" w:lineRule="exact"/>
        <w:rPr>
          <w:rFonts w:eastAsia="SimHei"/>
          <w:sz w:val="24"/>
        </w:rPr>
      </w:pPr>
      <w:r>
        <w:rPr>
          <w:rFonts w:eastAsia="SimHei" w:hint="eastAsia"/>
          <w:sz w:val="24"/>
        </w:rPr>
        <w:t>州级宪法</w:t>
      </w:r>
    </w:p>
    <w:p w:rsidR="00000000" w:rsidRDefault="004D2F83" w:rsidP="004D2F83">
      <w:pPr>
        <w:spacing w:after="240" w:line="360" w:lineRule="exact"/>
        <w:ind w:firstLineChars="200" w:firstLine="31680"/>
      </w:pPr>
      <w:r>
        <w:rPr>
          <w:rFonts w:hint="eastAsia"/>
        </w:rPr>
        <w:t>事实上，所有州级宪法</w:t>
      </w:r>
      <w:r>
        <w:rPr>
          <w:rStyle w:val="FootnoteReference"/>
        </w:rPr>
        <w:footnoteReference w:customMarkFollows="1" w:id="95"/>
        <w:t>95</w:t>
      </w:r>
      <w:r>
        <w:rPr>
          <w:rFonts w:hint="eastAsia"/>
        </w:rPr>
        <w:t>都采纳了《联邦宪法》中关于公务员的第</w:t>
      </w:r>
      <w:r>
        <w:t>7</w:t>
      </w:r>
      <w:r>
        <w:rPr>
          <w:rFonts w:hint="eastAsia"/>
        </w:rPr>
        <w:t>条和第</w:t>
      </w:r>
      <w:r>
        <w:t>39</w:t>
      </w:r>
      <w:r>
        <w:rPr>
          <w:rFonts w:hint="eastAsia"/>
        </w:rPr>
        <w:t>条规定。</w:t>
      </w:r>
    </w:p>
    <w:p w:rsidR="00000000" w:rsidRDefault="004D2F83" w:rsidP="004D2F83">
      <w:pPr>
        <w:spacing w:after="240" w:line="360" w:lineRule="exact"/>
        <w:ind w:firstLineChars="200" w:firstLine="31680"/>
      </w:pPr>
      <w:r>
        <w:rPr>
          <w:rFonts w:hint="eastAsia"/>
        </w:rPr>
        <w:t>几乎所有州级宪法都规定了产假，以下各州宪法除外：《阿拉戈阿斯州宪法》，它通过在关于社会保障的章节中规定保护母性而间接涉及这一专题；《南马托格罗索州宪法》，在该宪法中只对军</w:t>
      </w:r>
      <w:r>
        <w:rPr>
          <w:rFonts w:hint="eastAsia"/>
        </w:rPr>
        <w:t>职人员的产假作出了规定，因此有待州长为单一法律制度下的劳动者和公务员的职业计划作出规定；《圣埃斯皮里托州宪法》，该宪法笼统地提到了保障《联邦宪法》中规定的社会权利；还有《罗赖马州宪法》，该宪法没有提到联邦宪法中列出的任何权利。陪产假也一样，只有《塞阿拉州宪法》除外，该宪法只规定了产假。</w:t>
      </w:r>
    </w:p>
    <w:p w:rsidR="00000000" w:rsidRDefault="004D2F83" w:rsidP="004D2F83">
      <w:pPr>
        <w:spacing w:after="240" w:line="360" w:lineRule="exact"/>
        <w:ind w:firstLineChars="200" w:firstLine="31680"/>
      </w:pPr>
      <w:r>
        <w:rPr>
          <w:rFonts w:hint="eastAsia"/>
        </w:rPr>
        <w:t>《联邦宪法》第</w:t>
      </w:r>
      <w:r>
        <w:t>7</w:t>
      </w:r>
      <w:r>
        <w:rPr>
          <w:rFonts w:hint="eastAsia"/>
        </w:rPr>
        <w:t>条第二十项中规定的对妇女劳动力市场的特殊保护在二十个州级宪法和《联邦区组织法》中均有提及。不在此列的有塞阿拉、马托格罗索、帕拉伊巴和罗赖马等州的宪法。关于在禁止以性别、年龄、肤色或婚姻状况为由实行不同报酬、职</w:t>
      </w:r>
      <w:r>
        <w:rPr>
          <w:rFonts w:hint="eastAsia"/>
        </w:rPr>
        <w:t>位和招工标准的规定也一样。</w:t>
      </w:r>
    </w:p>
    <w:p w:rsidR="00000000" w:rsidRDefault="004D2F83" w:rsidP="004D2F83">
      <w:pPr>
        <w:spacing w:after="240" w:line="360" w:lineRule="exact"/>
        <w:ind w:firstLineChars="200" w:firstLine="31680"/>
      </w:pPr>
      <w:r>
        <w:rPr>
          <w:rFonts w:hint="eastAsia"/>
        </w:rPr>
        <w:t>阿马帕、戈亚斯、巴拉、伯南布哥、皮奥伊、里约热内卢、塞尔希培和托坎廷斯等州宪法将赋予生母的一些权利扩大到养母，例如产假。</w:t>
      </w:r>
    </w:p>
    <w:p w:rsidR="00000000" w:rsidRDefault="004D2F83" w:rsidP="004D2F83">
      <w:pPr>
        <w:spacing w:after="240" w:line="360" w:lineRule="exact"/>
        <w:ind w:firstLineChars="200" w:firstLine="31680"/>
      </w:pPr>
      <w:r>
        <w:rPr>
          <w:rFonts w:hint="eastAsia"/>
        </w:rPr>
        <w:t>《阿拉戈阿斯州宪法》禁止以政治或意识形态为由或因为任何形式的歧视进行无端解雇或调任。怀孕的公务员有权根据建议被调到其他职位上，但不丧失原来职务或职位的报酬和工资和其他津贴。巴伊亚和圣保罗两州宪法以及《联邦区组织法》中也有这样的规定。</w:t>
      </w:r>
    </w:p>
    <w:p w:rsidR="00000000" w:rsidRDefault="004D2F83" w:rsidP="004D2F83">
      <w:pPr>
        <w:spacing w:after="240" w:line="360" w:lineRule="exact"/>
        <w:ind w:firstLineChars="200" w:firstLine="31680"/>
      </w:pPr>
      <w:r>
        <w:rPr>
          <w:rFonts w:hint="eastAsia"/>
        </w:rPr>
        <w:t>《塞阿拉州宪法》在涉及文职和军职人员时，禁止在为获得军职晋升而参加培训和考试中实行基于婚姻状况的任何形式的歧视。在各州市城乡劳动</w:t>
      </w:r>
      <w:r>
        <w:rPr>
          <w:rFonts w:hint="eastAsia"/>
        </w:rPr>
        <w:t>者享有的各项权利中，包括向日托中心和学前设施中劳动者的到</w:t>
      </w:r>
      <w:r>
        <w:t>6</w:t>
      </w:r>
      <w:r>
        <w:rPr>
          <w:rFonts w:hint="eastAsia"/>
        </w:rPr>
        <w:t>岁的子女和受抚养人提供无偿援助。宪法还规定，在至少有三十名女员工的公共机构或私营机构中，应提供适当的设施，使母亲们可以在哺乳时间帮助和照顾自己的子女。《联邦区组织法》也做了这项规定，规定通过日托中心和学前设施向妇女</w:t>
      </w:r>
      <w:r>
        <w:t>7</w:t>
      </w:r>
      <w:r>
        <w:rPr>
          <w:rFonts w:hint="eastAsia"/>
        </w:rPr>
        <w:t>岁以下的受抚养人提供帮助，最好是在她们所挂靠的机构的设施里，如果这不可能的话，可利用最近的一处设施，使母亲能在孩子出生后的头</w:t>
      </w:r>
      <w:r>
        <w:t>12</w:t>
      </w:r>
      <w:r>
        <w:rPr>
          <w:rFonts w:hint="eastAsia"/>
        </w:rPr>
        <w:t>个月在上班时间给孩子哺乳。《亚马孙州宪法》规定，员工超过</w:t>
      </w:r>
      <w:r>
        <w:t>100</w:t>
      </w:r>
      <w:r>
        <w:rPr>
          <w:rFonts w:hint="eastAsia"/>
        </w:rPr>
        <w:t>人并享受州的税收和财政补贴的公司以及员工超过</w:t>
      </w:r>
      <w:r>
        <w:t>20</w:t>
      </w:r>
      <w:r>
        <w:t>0</w:t>
      </w:r>
      <w:r>
        <w:rPr>
          <w:rFonts w:hint="eastAsia"/>
        </w:rPr>
        <w:t>人的公司，应为员工的子女提供日托中心。</w:t>
      </w:r>
    </w:p>
    <w:p w:rsidR="00000000" w:rsidRDefault="004D2F83" w:rsidP="004D2F83">
      <w:pPr>
        <w:spacing w:after="240" w:line="360" w:lineRule="exact"/>
        <w:ind w:firstLineChars="200" w:firstLine="31680"/>
      </w:pPr>
      <w:r>
        <w:rPr>
          <w:rFonts w:hint="eastAsia"/>
        </w:rPr>
        <w:t>帕拉伊巴和戈亚斯两州宪法规定了根据母性工作问题可调整工作地点。《帕拉伊巴州宪法》为哺乳妇女提供保障，规定公务员在哺乳期每天的工作时间应按法律规定减少四分之一。《戈亚斯州宪法》则保障妇女在连续工作三小时后有三十分钟的休息时间，以便给她们六个月以下的子女哺乳。</w:t>
      </w:r>
    </w:p>
    <w:p w:rsidR="00000000" w:rsidRDefault="004D2F83" w:rsidP="004D2F83">
      <w:pPr>
        <w:spacing w:after="240" w:line="360" w:lineRule="exact"/>
        <w:ind w:firstLineChars="200" w:firstLine="31680"/>
      </w:pPr>
      <w:r>
        <w:rPr>
          <w:rFonts w:hint="eastAsia"/>
        </w:rPr>
        <w:t>《托坎廷斯州宪法》把军职人员同公务员区分开来，因为军职人员只享有产假和陪产假的权利。该宪法既没有提到保护妇女劳动力市场，也没有提到禁止工资差异。</w:t>
      </w:r>
    </w:p>
    <w:p w:rsidR="00000000" w:rsidRDefault="004D2F83" w:rsidP="004D2F83">
      <w:pPr>
        <w:spacing w:after="240" w:line="360" w:lineRule="exact"/>
        <w:ind w:firstLineChars="200" w:firstLine="31680"/>
      </w:pPr>
      <w:r>
        <w:rPr>
          <w:rFonts w:hint="eastAsia"/>
        </w:rPr>
        <w:t>在实践中，关于建立日托中心和学前设施的规定使得职业妇女能协调工作和</w:t>
      </w:r>
      <w:r>
        <w:rPr>
          <w:rFonts w:hint="eastAsia"/>
        </w:rPr>
        <w:t>母亲的职责。然而，应该强调的一点是，这些规定也应该适用于职业父亲。</w:t>
      </w:r>
    </w:p>
    <w:p w:rsidR="00000000" w:rsidRDefault="004D2F83" w:rsidP="004D2F83">
      <w:pPr>
        <w:spacing w:after="240" w:line="360" w:lineRule="exact"/>
        <w:ind w:firstLineChars="200" w:firstLine="31680"/>
      </w:pPr>
      <w:r>
        <w:rPr>
          <w:rFonts w:hint="eastAsia"/>
        </w:rPr>
        <w:t>《戈亚斯州宪法》还规定任何领域或部门在进修和专业培训方面不应存在性别歧视。</w:t>
      </w:r>
    </w:p>
    <w:p w:rsidR="00000000" w:rsidRDefault="004D2F83" w:rsidP="004D2F83">
      <w:pPr>
        <w:spacing w:after="240" w:line="360" w:lineRule="exact"/>
        <w:ind w:firstLineChars="200" w:firstLine="31680"/>
      </w:pPr>
      <w:r>
        <w:rPr>
          <w:rFonts w:hint="eastAsia"/>
        </w:rPr>
        <w:t>《联邦区组织法》规定，位于联邦区内的私人公司和公共机构若在选拔、聘用、提升、职业发展和报酬方面歧视妇女的或者因为婚姻状况而歧视妇女的，应按照法律的规定受到行政处罚。该处罚适用于为控制怀孕和绝育情况而要求出具医疗文件的私人公司和公共机构。阿马帕和巴伊亚两州宪法则明确禁止要求出具绝育和怀孕检查证明。</w:t>
      </w:r>
    </w:p>
    <w:p w:rsidR="00000000" w:rsidRDefault="004D2F83" w:rsidP="004D2F83">
      <w:pPr>
        <w:spacing w:after="240" w:line="360" w:lineRule="exact"/>
        <w:ind w:firstLineChars="200" w:firstLine="31680"/>
      </w:pPr>
      <w:r>
        <w:rPr>
          <w:rFonts w:hint="eastAsia"/>
        </w:rPr>
        <w:t>一些人批评《朗多尼亚州宪法》，因为该宪法确保作为母亲、监护人或负责抚养</w:t>
      </w:r>
      <w:r>
        <w:rPr>
          <w:rFonts w:hint="eastAsia"/>
        </w:rPr>
        <w:t>和保护那些正在接受治疗的残疾儿童的人的公务员有权将每周的工作量减少</w:t>
      </w:r>
      <w:r>
        <w:t>50%</w:t>
      </w:r>
      <w:r>
        <w:rPr>
          <w:rFonts w:hint="eastAsia"/>
        </w:rPr>
        <w:t>而报酬不减。不过，有一点很清楚，那就是抚养子女应该是父母双方共同的责任。因此，该权利也应该赋予情况相同的男子。象这样的规定，尽管动机是好的并且内容很有进步意义，但却是歧视性的，因为在获得该权利方面对男子构成了歧视。这种权利违反平等原则，因此是违宪的，另外，由于只把对子女的责任和抚养子女的负担赋予妇女，这些规定助长了两性分工的长期存在。</w:t>
      </w:r>
    </w:p>
    <w:p w:rsidR="00000000" w:rsidRDefault="004D2F83">
      <w:pPr>
        <w:spacing w:after="240" w:line="360" w:lineRule="exact"/>
        <w:rPr>
          <w:rFonts w:eastAsia="SimHei"/>
          <w:sz w:val="24"/>
        </w:rPr>
      </w:pPr>
      <w:r>
        <w:rPr>
          <w:rFonts w:eastAsia="SimHei" w:hint="eastAsia"/>
          <w:sz w:val="24"/>
        </w:rPr>
        <w:t>国际公约</w:t>
      </w:r>
    </w:p>
    <w:p w:rsidR="00000000" w:rsidRDefault="004D2F83">
      <w:pPr>
        <w:spacing w:after="240" w:line="360" w:lineRule="exact"/>
        <w:ind w:firstLine="480"/>
        <w:rPr>
          <w:rFonts w:eastAsia="KaiTi_GB2312"/>
        </w:rPr>
      </w:pPr>
      <w:r>
        <w:rPr>
          <w:rFonts w:eastAsia="KaiTi_GB2312" w:hint="eastAsia"/>
        </w:rPr>
        <w:t>保护孕产公约</w:t>
      </w:r>
    </w:p>
    <w:p w:rsidR="00000000" w:rsidRDefault="004D2F83" w:rsidP="004D2F83">
      <w:pPr>
        <w:spacing w:after="240" w:line="360" w:lineRule="exact"/>
        <w:ind w:firstLineChars="200" w:firstLine="31680"/>
      </w:pPr>
      <w:r>
        <w:rPr>
          <w:rFonts w:hint="eastAsia"/>
        </w:rPr>
        <w:t>必须强调指出，巴西加入的</w:t>
      </w:r>
      <w:r>
        <w:t>1919</w:t>
      </w:r>
      <w:r>
        <w:rPr>
          <w:rFonts w:hint="eastAsia"/>
        </w:rPr>
        <w:t>年《保护孕产公约》（国际劳工组织第</w:t>
      </w:r>
      <w:r>
        <w:t>3</w:t>
      </w:r>
      <w:r>
        <w:rPr>
          <w:rFonts w:hint="eastAsia"/>
        </w:rPr>
        <w:t>号公约）包</w:t>
      </w:r>
      <w:r>
        <w:rPr>
          <w:rFonts w:hint="eastAsia"/>
        </w:rPr>
        <w:t>括了以下权利：产假、哺乳时间和支付医疗补贴，此外还禁止辞退怀孕和哺乳妇女。</w:t>
      </w:r>
    </w:p>
    <w:p w:rsidR="00000000" w:rsidRDefault="004D2F83" w:rsidP="004D2F83">
      <w:pPr>
        <w:spacing w:after="240" w:line="360" w:lineRule="exact"/>
        <w:ind w:firstLineChars="200" w:firstLine="31680"/>
      </w:pPr>
      <w:r>
        <w:rPr>
          <w:rFonts w:hint="eastAsia"/>
        </w:rPr>
        <w:t>在</w:t>
      </w:r>
      <w:r>
        <w:t>1998</w:t>
      </w:r>
      <w:r>
        <w:rPr>
          <w:rFonts w:hint="eastAsia"/>
        </w:rPr>
        <w:t>年，国际劳工组织决定为重新阐述之目的修订该公约，使尚未批准该公约的国家能够批准该公约。新公约（第</w:t>
      </w:r>
      <w:r>
        <w:t>183</w:t>
      </w:r>
      <w:r>
        <w:rPr>
          <w:rFonts w:hint="eastAsia"/>
        </w:rPr>
        <w:t>号）受到巴西妇女的密切关注，她们担心新文书会包含不符合劳动妇女利益的改动（</w:t>
      </w:r>
      <w:r>
        <w:t>Rea</w:t>
      </w:r>
      <w:r>
        <w:rPr>
          <w:rFonts w:hint="eastAsia"/>
        </w:rPr>
        <w:t>，</w:t>
      </w:r>
      <w:r>
        <w:t>2000</w:t>
      </w:r>
      <w:r>
        <w:rPr>
          <w:rFonts w:hint="eastAsia"/>
        </w:rPr>
        <w:t>）。</w:t>
      </w:r>
    </w:p>
    <w:p w:rsidR="00000000" w:rsidRDefault="004D2F83" w:rsidP="004D2F83">
      <w:pPr>
        <w:spacing w:after="240" w:line="360" w:lineRule="exact"/>
        <w:ind w:firstLineChars="200" w:firstLine="31680"/>
      </w:pPr>
      <w:r>
        <w:rPr>
          <w:rFonts w:hint="eastAsia"/>
        </w:rPr>
        <w:t>关于工作和产假，第</w:t>
      </w:r>
      <w:r>
        <w:t>183</w:t>
      </w:r>
      <w:r>
        <w:rPr>
          <w:rFonts w:hint="eastAsia"/>
        </w:rPr>
        <w:t>号公约具有深远的意义，因为它把权利扩大到所有劳动妇女，包括那些参加“非典型工作”的妇女。产假的期限从</w:t>
      </w:r>
      <w:r>
        <w:rPr>
          <w:rFonts w:hint="eastAsia"/>
        </w:rPr>
        <w:t>12</w:t>
      </w:r>
      <w:r>
        <w:rPr>
          <w:rFonts w:hint="eastAsia"/>
        </w:rPr>
        <w:t>周延长到了至少</w:t>
      </w:r>
      <w:r>
        <w:t>14</w:t>
      </w:r>
      <w:r>
        <w:rPr>
          <w:rFonts w:hint="eastAsia"/>
        </w:rPr>
        <w:t>周，并且在建议书（向各国提供一些指导的任择文书）中，产假从</w:t>
      </w:r>
      <w:r>
        <w:t>16</w:t>
      </w:r>
      <w:r>
        <w:rPr>
          <w:rFonts w:hint="eastAsia"/>
        </w:rPr>
        <w:t>周延长到至少</w:t>
      </w:r>
      <w:r>
        <w:t>18</w:t>
      </w:r>
      <w:r>
        <w:rPr>
          <w:rFonts w:hint="eastAsia"/>
        </w:rPr>
        <w:t>周；</w:t>
      </w:r>
      <w:r>
        <w:rPr>
          <w:rFonts w:hint="eastAsia"/>
        </w:rPr>
        <w:t>分娩后必需的六周产假也得到了保证，产假结束后回到相同的或相当的职位上的权利也得到保证。通过规定一次或多次的每日休息时间，或者减少正常的工作时间，为孩子哺乳的条件也得到了改善。哺乳时间应算作工作时间并得到报酬。产假的时间可以酌情延长。</w:t>
      </w:r>
    </w:p>
    <w:p w:rsidR="00000000" w:rsidRDefault="004D2F83" w:rsidP="004D2F83">
      <w:pPr>
        <w:spacing w:after="240" w:line="360" w:lineRule="exact"/>
        <w:ind w:firstLineChars="200" w:firstLine="31680"/>
        <w:rPr>
          <w:lang w:val="fr-FR"/>
        </w:rPr>
      </w:pPr>
      <w:r>
        <w:rPr>
          <w:rFonts w:hint="eastAsia"/>
        </w:rPr>
        <w:t>在不足方面，</w:t>
      </w:r>
      <w:r>
        <w:t>Marina Réa</w:t>
      </w:r>
      <w:r>
        <w:rPr>
          <w:rFonts w:hint="eastAsia"/>
        </w:rPr>
        <w:t>（</w:t>
      </w:r>
      <w:r>
        <w:t>2000</w:t>
      </w:r>
      <w:r>
        <w:rPr>
          <w:rFonts w:hint="eastAsia"/>
        </w:rPr>
        <w:t>年）</w:t>
      </w:r>
      <w:r>
        <w:rPr>
          <w:rFonts w:hint="eastAsia"/>
          <w:lang w:val="fr-FR"/>
        </w:rPr>
        <w:t>指出</w:t>
      </w:r>
      <w:r>
        <w:rPr>
          <w:rFonts w:hint="eastAsia"/>
        </w:rPr>
        <w:t>：</w:t>
      </w:r>
      <w:r>
        <w:rPr>
          <w:rFonts w:hint="eastAsia"/>
          <w:lang w:val="fr-FR"/>
        </w:rPr>
        <w:t>在辞退保护方面做得不够细</w:t>
      </w:r>
      <w:r>
        <w:rPr>
          <w:rFonts w:hint="eastAsia"/>
        </w:rPr>
        <w:t>，</w:t>
      </w:r>
      <w:r>
        <w:rPr>
          <w:rFonts w:hint="eastAsia"/>
          <w:lang w:val="fr-FR"/>
        </w:rPr>
        <w:t>因为预先规定了例外情况；补贴的数额限制在“以前报酬的至少三分之二”的水平上；关于日托中心和哺乳和送奶问题的修正案没有获得批准；最后一点，陪产假没有获得批准。</w:t>
      </w:r>
    </w:p>
    <w:p w:rsidR="00000000" w:rsidRDefault="004D2F83">
      <w:pPr>
        <w:spacing w:after="240" w:line="360" w:lineRule="exact"/>
        <w:rPr>
          <w:rFonts w:eastAsia="SimHei"/>
          <w:sz w:val="24"/>
        </w:rPr>
      </w:pPr>
      <w:r>
        <w:rPr>
          <w:rFonts w:eastAsia="SimHei" w:hint="eastAsia"/>
          <w:sz w:val="24"/>
        </w:rPr>
        <w:t>关于《劳动法》对女性劳动者的影响的补充数据</w:t>
      </w:r>
    </w:p>
    <w:p w:rsidR="00000000" w:rsidRDefault="004D2F83" w:rsidP="004D2F83">
      <w:pPr>
        <w:spacing w:after="240" w:line="360" w:lineRule="exact"/>
        <w:ind w:firstLineChars="200" w:firstLine="31680"/>
        <w:rPr>
          <w:lang w:val="fr-FR"/>
        </w:rPr>
      </w:pPr>
      <w:r>
        <w:rPr>
          <w:rFonts w:hint="eastAsia"/>
          <w:lang w:val="fr-FR"/>
        </w:rPr>
        <w:t>众所周知，《联邦宪法》禁止基于性别、年龄、肤色或婚姻状况实行不同的工资、职责和录用标准：它提出通过具体的鼓励措施保护妇女的劳动力市场，并且切实确保佣仆获得赋予其他劳动者的所有权利以及将他们纳入社会保障系统。因此，《联邦宪法》被认为是消除对妇女的任何形式的歧视的最重要的文书。（</w:t>
      </w:r>
      <w:r>
        <w:rPr>
          <w:lang w:val="fr-FR"/>
        </w:rPr>
        <w:t>1988</w:t>
      </w:r>
      <w:r>
        <w:rPr>
          <w:rFonts w:hint="eastAsia"/>
          <w:lang w:val="fr-FR"/>
        </w:rPr>
        <w:t>年《巴西联邦共和国宪法》，第二章第</w:t>
      </w:r>
      <w:r>
        <w:rPr>
          <w:lang w:val="fr-FR"/>
        </w:rPr>
        <w:t>7</w:t>
      </w:r>
      <w:r>
        <w:rPr>
          <w:rFonts w:hint="eastAsia"/>
          <w:lang w:val="fr-FR"/>
        </w:rPr>
        <w:t>条）。</w:t>
      </w:r>
    </w:p>
    <w:p w:rsidR="00000000" w:rsidRDefault="004D2F83" w:rsidP="004D2F83">
      <w:pPr>
        <w:spacing w:after="240" w:line="360" w:lineRule="exact"/>
        <w:ind w:firstLineChars="200" w:firstLine="31680"/>
        <w:rPr>
          <w:lang w:val="fr-FR"/>
        </w:rPr>
      </w:pPr>
      <w:r>
        <w:rPr>
          <w:rFonts w:hint="eastAsia"/>
          <w:lang w:val="fr-FR"/>
        </w:rPr>
        <w:t>然而，需要更多的材料来说明妇女的这些权利是否切实得到了保障。本报告根据对女性劳动力的成文规定在这方面做了一些说明。</w:t>
      </w:r>
    </w:p>
    <w:p w:rsidR="00000000" w:rsidRDefault="004D2F83" w:rsidP="004D2F83">
      <w:pPr>
        <w:spacing w:after="240" w:line="360" w:lineRule="exact"/>
        <w:ind w:firstLineChars="200" w:firstLine="31680"/>
        <w:rPr>
          <w:lang w:val="fr-FR"/>
        </w:rPr>
      </w:pPr>
      <w:r>
        <w:rPr>
          <w:rFonts w:hint="eastAsia"/>
          <w:lang w:val="fr-FR"/>
        </w:rPr>
        <w:t>在巴西，受到劳动法律保护的市场占整个市场规模的</w:t>
      </w:r>
      <w:r>
        <w:rPr>
          <w:lang w:val="fr-FR"/>
        </w:rPr>
        <w:t>55%</w:t>
      </w:r>
      <w:r>
        <w:rPr>
          <w:rFonts w:hint="eastAsia"/>
          <w:lang w:val="fr-FR"/>
        </w:rPr>
        <w:t>到</w:t>
      </w:r>
      <w:r>
        <w:rPr>
          <w:lang w:val="fr-FR"/>
        </w:rPr>
        <w:t>56%</w:t>
      </w:r>
      <w:r>
        <w:rPr>
          <w:rFonts w:hint="eastAsia"/>
          <w:lang w:val="fr-FR"/>
        </w:rPr>
        <w:t>，地区</w:t>
      </w:r>
      <w:r>
        <w:rPr>
          <w:rFonts w:hint="eastAsia"/>
          <w:lang w:val="fr-FR"/>
        </w:rPr>
        <w:t>差异很大（</w:t>
      </w:r>
      <w:r>
        <w:rPr>
          <w:lang w:val="fr-FR"/>
        </w:rPr>
        <w:t>Bruschini </w:t>
      </w:r>
      <w:r>
        <w:rPr>
          <w:rFonts w:hint="eastAsia"/>
          <w:lang w:val="fr-FR"/>
        </w:rPr>
        <w:t>，</w:t>
      </w:r>
      <w:r>
        <w:rPr>
          <w:lang w:val="fr-FR"/>
        </w:rPr>
        <w:t>1995</w:t>
      </w:r>
      <w:r>
        <w:rPr>
          <w:rFonts w:hint="eastAsia"/>
          <w:lang w:val="fr-FR"/>
        </w:rPr>
        <w:t>年）。通过劳动部社会信息年度一览表获得的信息揭示了受到制约的工作的另一个方面和经济的正规部门中的职位数量。在劳动力市场中最受保护的部分，即传统上由正式登记的正规工作合同所代表的部分，在所分析的十年中有所下降。在</w:t>
      </w:r>
      <w:r>
        <w:rPr>
          <w:lang w:val="fr-FR"/>
        </w:rPr>
        <w:t>1990</w:t>
      </w:r>
      <w:r>
        <w:rPr>
          <w:rFonts w:hint="eastAsia"/>
          <w:lang w:val="fr-FR"/>
        </w:rPr>
        <w:t>年，劳动者总数中有</w:t>
      </w:r>
      <w:r>
        <w:rPr>
          <w:lang w:val="fr-FR"/>
        </w:rPr>
        <w:t>59%</w:t>
      </w:r>
      <w:r>
        <w:rPr>
          <w:rFonts w:hint="eastAsia"/>
          <w:lang w:val="fr-FR"/>
        </w:rPr>
        <w:t>是正式雇员；在</w:t>
      </w:r>
      <w:r>
        <w:rPr>
          <w:lang w:val="fr-FR"/>
        </w:rPr>
        <w:t>1995</w:t>
      </w:r>
      <w:r>
        <w:rPr>
          <w:rFonts w:hint="eastAsia"/>
          <w:lang w:val="fr-FR"/>
        </w:rPr>
        <w:t>年，这个数字下降到</w:t>
      </w:r>
      <w:r>
        <w:rPr>
          <w:lang w:val="fr-FR"/>
        </w:rPr>
        <w:t>55%</w:t>
      </w:r>
      <w:r>
        <w:rPr>
          <w:rFonts w:hint="eastAsia"/>
          <w:lang w:val="fr-FR"/>
        </w:rPr>
        <w:t>，</w:t>
      </w:r>
      <w:r>
        <w:rPr>
          <w:lang w:val="fr-FR"/>
        </w:rPr>
        <w:t>1998</w:t>
      </w:r>
      <w:r>
        <w:rPr>
          <w:rFonts w:hint="eastAsia"/>
          <w:lang w:val="fr-FR"/>
        </w:rPr>
        <w:t>年降至</w:t>
      </w:r>
      <w:r>
        <w:rPr>
          <w:lang w:val="fr-FR"/>
        </w:rPr>
        <w:t>54%</w:t>
      </w:r>
      <w:r>
        <w:rPr>
          <w:rFonts w:hint="eastAsia"/>
          <w:lang w:val="fr-FR"/>
        </w:rPr>
        <w:t>。在按性别对这些比例进行分解时可以看出，显然男人受到的冲击比妇女更严重，如果说在</w:t>
      </w:r>
      <w:r>
        <w:rPr>
          <w:lang w:val="fr-FR"/>
        </w:rPr>
        <w:t>1990</w:t>
      </w:r>
      <w:r>
        <w:rPr>
          <w:rFonts w:hint="eastAsia"/>
          <w:lang w:val="fr-FR"/>
        </w:rPr>
        <w:t>年所有男性劳动者中有</w:t>
      </w:r>
      <w:r>
        <w:rPr>
          <w:lang w:val="fr-FR"/>
        </w:rPr>
        <w:t>61%</w:t>
      </w:r>
      <w:r>
        <w:rPr>
          <w:rFonts w:hint="eastAsia"/>
          <w:lang w:val="fr-FR"/>
        </w:rPr>
        <w:t>是正式雇员，那么这个数字在</w:t>
      </w:r>
      <w:r>
        <w:rPr>
          <w:lang w:val="fr-FR"/>
        </w:rPr>
        <w:t>1995</w:t>
      </w:r>
      <w:r>
        <w:rPr>
          <w:rFonts w:hint="eastAsia"/>
          <w:lang w:val="fr-FR"/>
        </w:rPr>
        <w:t>年下降到</w:t>
      </w:r>
      <w:r>
        <w:rPr>
          <w:lang w:val="fr-FR"/>
        </w:rPr>
        <w:t>56%</w:t>
      </w:r>
      <w:r>
        <w:rPr>
          <w:rFonts w:hint="eastAsia"/>
          <w:lang w:val="fr-FR"/>
        </w:rPr>
        <w:t>，在</w:t>
      </w:r>
      <w:r>
        <w:rPr>
          <w:lang w:val="fr-FR"/>
        </w:rPr>
        <w:t>1998</w:t>
      </w:r>
      <w:r>
        <w:rPr>
          <w:rFonts w:hint="eastAsia"/>
          <w:lang w:val="fr-FR"/>
        </w:rPr>
        <w:t>年下降到</w:t>
      </w:r>
      <w:r>
        <w:rPr>
          <w:lang w:val="fr-FR"/>
        </w:rPr>
        <w:t>54%</w:t>
      </w:r>
      <w:r>
        <w:rPr>
          <w:rFonts w:hint="eastAsia"/>
          <w:lang w:val="fr-FR"/>
        </w:rPr>
        <w:t>。在妇女中，这些数字分别为</w:t>
      </w:r>
      <w:r>
        <w:rPr>
          <w:lang w:val="fr-FR"/>
        </w:rPr>
        <w:t>55%</w:t>
      </w:r>
      <w:r>
        <w:rPr>
          <w:rFonts w:hint="eastAsia"/>
          <w:lang w:val="fr-FR"/>
        </w:rPr>
        <w:t>，</w:t>
      </w:r>
      <w:r>
        <w:rPr>
          <w:lang w:val="fr-FR"/>
        </w:rPr>
        <w:t>54%</w:t>
      </w:r>
      <w:r>
        <w:rPr>
          <w:rFonts w:hint="eastAsia"/>
          <w:lang w:val="fr-FR"/>
        </w:rPr>
        <w:t>和</w:t>
      </w:r>
      <w:r>
        <w:rPr>
          <w:lang w:val="fr-FR"/>
        </w:rPr>
        <w:t>53%</w:t>
      </w:r>
      <w:r>
        <w:rPr>
          <w:rFonts w:hint="eastAsia"/>
          <w:lang w:val="fr-FR"/>
        </w:rPr>
        <w:t>。</w:t>
      </w:r>
    </w:p>
    <w:p w:rsidR="00000000" w:rsidRDefault="004D2F83" w:rsidP="004D2F83">
      <w:pPr>
        <w:spacing w:after="240" w:line="360" w:lineRule="exact"/>
        <w:ind w:firstLineChars="200" w:firstLine="31680"/>
        <w:rPr>
          <w:lang w:val="fr-FR"/>
        </w:rPr>
      </w:pPr>
      <w:r>
        <w:rPr>
          <w:rFonts w:hint="eastAsia"/>
          <w:lang w:val="fr-FR"/>
        </w:rPr>
        <w:t>根据劳动部</w:t>
      </w:r>
      <w:r>
        <w:rPr>
          <w:lang w:val="fr-FR"/>
        </w:rPr>
        <w:t>1988-1989</w:t>
      </w:r>
      <w:r>
        <w:rPr>
          <w:rFonts w:hint="eastAsia"/>
          <w:lang w:val="fr-FR"/>
        </w:rPr>
        <w:t>年的数据，在私营部门中正规工作的精减导致男女劳动者受《劳动法》管理的合同种类所占比重下降。因此，在正规工作中，与公务员制度的正式联系变得更加密切，而公务员是公共行政中的典型职业。例如，</w:t>
      </w:r>
      <w:r>
        <w:rPr>
          <w:lang w:val="fr-FR"/>
        </w:rPr>
        <w:t>1988</w:t>
      </w:r>
      <w:r>
        <w:rPr>
          <w:rFonts w:hint="eastAsia"/>
          <w:lang w:val="fr-FR"/>
        </w:rPr>
        <w:t>年，</w:t>
      </w:r>
      <w:r>
        <w:rPr>
          <w:lang w:val="fr-FR"/>
        </w:rPr>
        <w:t>87%</w:t>
      </w:r>
      <w:r>
        <w:rPr>
          <w:rFonts w:hint="eastAsia"/>
          <w:lang w:val="fr-FR"/>
        </w:rPr>
        <w:t>的男性工作受《劳动法》的管理，只有</w:t>
      </w:r>
      <w:r>
        <w:rPr>
          <w:lang w:val="fr-FR"/>
        </w:rPr>
        <w:t>8%</w:t>
      </w:r>
      <w:r>
        <w:rPr>
          <w:rFonts w:hint="eastAsia"/>
          <w:lang w:val="fr-FR"/>
        </w:rPr>
        <w:t>受《公务员制度法》管理；</w:t>
      </w:r>
      <w:r>
        <w:rPr>
          <w:lang w:val="fr-FR"/>
        </w:rPr>
        <w:t>1998</w:t>
      </w:r>
      <w:r>
        <w:rPr>
          <w:rFonts w:hint="eastAsia"/>
          <w:lang w:val="fr-FR"/>
        </w:rPr>
        <w:t>年，该比例分别为</w:t>
      </w:r>
      <w:r>
        <w:rPr>
          <w:lang w:val="fr-FR"/>
        </w:rPr>
        <w:t>83%</w:t>
      </w:r>
      <w:r>
        <w:rPr>
          <w:rFonts w:hint="eastAsia"/>
          <w:lang w:val="fr-FR"/>
        </w:rPr>
        <w:t>和</w:t>
      </w:r>
      <w:r>
        <w:rPr>
          <w:lang w:val="fr-FR"/>
        </w:rPr>
        <w:t>15%</w:t>
      </w:r>
      <w:r>
        <w:rPr>
          <w:rFonts w:hint="eastAsia"/>
          <w:lang w:val="fr-FR"/>
        </w:rPr>
        <w:t>。在女性工作中，在此期间受《劳动法》管理的职位的数量大幅减少——从</w:t>
      </w:r>
      <w:r>
        <w:rPr>
          <w:lang w:val="fr-FR"/>
        </w:rPr>
        <w:t>78%</w:t>
      </w:r>
      <w:r>
        <w:rPr>
          <w:rFonts w:hint="eastAsia"/>
          <w:lang w:val="fr-FR"/>
        </w:rPr>
        <w:t>下降到</w:t>
      </w:r>
      <w:r>
        <w:rPr>
          <w:lang w:val="fr-FR"/>
        </w:rPr>
        <w:t>68%</w:t>
      </w:r>
      <w:r>
        <w:rPr>
          <w:rFonts w:hint="eastAsia"/>
          <w:lang w:val="fr-FR"/>
        </w:rPr>
        <w:t>。同时，传统上雇用女</w:t>
      </w:r>
      <w:r>
        <w:rPr>
          <w:rFonts w:hint="eastAsia"/>
          <w:lang w:val="fr-FR"/>
        </w:rPr>
        <w:t>性劳动力的公共部门有了大的扩张：公共行政部门的工作数量从</w:t>
      </w:r>
      <w:r>
        <w:rPr>
          <w:lang w:val="fr-FR"/>
        </w:rPr>
        <w:t>1988</w:t>
      </w:r>
      <w:r>
        <w:rPr>
          <w:rFonts w:hint="eastAsia"/>
          <w:lang w:val="fr-FR"/>
        </w:rPr>
        <w:t>年妇女占所有正规工作的</w:t>
      </w:r>
      <w:r>
        <w:rPr>
          <w:lang w:val="fr-FR"/>
        </w:rPr>
        <w:t>16%</w:t>
      </w:r>
      <w:r>
        <w:rPr>
          <w:rFonts w:hint="eastAsia"/>
          <w:lang w:val="fr-FR"/>
        </w:rPr>
        <w:t>上升到</w:t>
      </w:r>
      <w:r>
        <w:rPr>
          <w:lang w:val="fr-FR"/>
        </w:rPr>
        <w:t>1998</w:t>
      </w:r>
      <w:r>
        <w:rPr>
          <w:rFonts w:hint="eastAsia"/>
          <w:lang w:val="fr-FR"/>
        </w:rPr>
        <w:t>年的</w:t>
      </w:r>
      <w:r>
        <w:rPr>
          <w:lang w:val="fr-FR"/>
        </w:rPr>
        <w:t>31%</w:t>
      </w:r>
      <w:r>
        <w:rPr>
          <w:rFonts w:hint="eastAsia"/>
          <w:lang w:val="fr-FR"/>
        </w:rPr>
        <w:t>。</w:t>
      </w:r>
      <w:r>
        <w:rPr>
          <w:rStyle w:val="FootnoteReference"/>
          <w:lang w:val="fr-FR"/>
        </w:rPr>
        <w:footnoteReference w:customMarkFollows="1" w:id="96"/>
        <w:t>96</w:t>
      </w:r>
    </w:p>
    <w:p w:rsidR="00000000" w:rsidRDefault="004D2F83" w:rsidP="004D2F83">
      <w:pPr>
        <w:spacing w:after="240" w:line="360" w:lineRule="exact"/>
        <w:ind w:firstLineChars="200" w:firstLine="31680"/>
        <w:rPr>
          <w:lang w:val="fr-FR"/>
        </w:rPr>
      </w:pPr>
      <w:r>
        <w:rPr>
          <w:rFonts w:hint="eastAsia"/>
          <w:lang w:val="fr-FR"/>
        </w:rPr>
        <w:t>由于正规工作数量下降，在</w:t>
      </w:r>
      <w:r>
        <w:rPr>
          <w:lang w:val="fr-FR"/>
        </w:rPr>
        <w:t>1985-1990</w:t>
      </w:r>
      <w:r>
        <w:rPr>
          <w:rFonts w:hint="eastAsia"/>
          <w:lang w:val="fr-FR"/>
        </w:rPr>
        <w:t>年扩大了覆盖范围的国家社会保障机构（</w:t>
      </w:r>
      <w:r>
        <w:rPr>
          <w:lang w:val="fr-FR"/>
        </w:rPr>
        <w:t>INSS</w:t>
      </w:r>
      <w:r>
        <w:rPr>
          <w:rFonts w:hint="eastAsia"/>
          <w:lang w:val="fr-FR"/>
        </w:rPr>
        <w:t>）所提供的社会保障在</w:t>
      </w:r>
      <w:r>
        <w:rPr>
          <w:lang w:val="fr-FR"/>
        </w:rPr>
        <w:t>1990</w:t>
      </w:r>
      <w:r>
        <w:rPr>
          <w:rFonts w:hint="eastAsia"/>
          <w:lang w:val="fr-FR"/>
        </w:rPr>
        <w:t>年代急剧下降，尤其是对妇女而言。在所有经济部门中，男女的社会保障缴款普遍减少。仅对男子而言，农业部门是个例外，在农业部门随着</w:t>
      </w:r>
      <w:r>
        <w:rPr>
          <w:lang w:val="fr-FR"/>
        </w:rPr>
        <w:t>1988</w:t>
      </w:r>
      <w:r>
        <w:rPr>
          <w:rFonts w:hint="eastAsia"/>
          <w:lang w:val="fr-FR"/>
        </w:rPr>
        <w:t>年宪法作出新的规定，自</w:t>
      </w:r>
      <w:r>
        <w:rPr>
          <w:lang w:val="fr-FR"/>
        </w:rPr>
        <w:t>1990</w:t>
      </w:r>
      <w:r>
        <w:rPr>
          <w:rFonts w:hint="eastAsia"/>
          <w:lang w:val="fr-FR"/>
        </w:rPr>
        <w:t>年代起开始出现工作正规化扩大的趋势。就妇女而言，工业和商业部门在</w:t>
      </w:r>
      <w:r>
        <w:rPr>
          <w:lang w:val="fr-FR"/>
        </w:rPr>
        <w:t>1990-1995</w:t>
      </w:r>
      <w:r>
        <w:rPr>
          <w:rFonts w:hint="eastAsia"/>
          <w:lang w:val="fr-FR"/>
        </w:rPr>
        <w:t>年期间的损失是巨大的，但传统的</w:t>
      </w:r>
      <w:r>
        <w:rPr>
          <w:rFonts w:hint="eastAsia"/>
          <w:lang w:val="fr-FR"/>
        </w:rPr>
        <w:t>女性部门损失较轻，例如社会工作和公共行政，这两个部门从分析所涉期间的一开始缴款水平就较高。</w:t>
      </w:r>
    </w:p>
    <w:p w:rsidR="00000000" w:rsidRDefault="004D2F83" w:rsidP="004D2F83">
      <w:pPr>
        <w:spacing w:after="240" w:line="360" w:lineRule="exact"/>
        <w:ind w:firstLineChars="200" w:firstLine="31680"/>
        <w:rPr>
          <w:lang w:val="fr-FR"/>
        </w:rPr>
      </w:pPr>
      <w:r>
        <w:rPr>
          <w:rFonts w:hint="eastAsia"/>
          <w:lang w:val="fr-FR"/>
        </w:rPr>
        <w:t>不过，巴西社会安全保障系统提供的覆盖范围相当不稳定，不管是从支付给退休工人和养恤金受益人的微薄的退休金数额还是从获得退休金的工作者总人数看都是如此。为了说明这一不正常现象，可以举一个例子，</w:t>
      </w:r>
      <w:r>
        <w:rPr>
          <w:lang w:val="fr-FR"/>
        </w:rPr>
        <w:t>1995</w:t>
      </w:r>
      <w:r>
        <w:rPr>
          <w:rFonts w:hint="eastAsia"/>
          <w:lang w:val="fr-FR"/>
        </w:rPr>
        <w:t>年，国家社会保障机构只帮助了</w:t>
      </w:r>
      <w:r>
        <w:rPr>
          <w:lang w:val="fr-FR"/>
        </w:rPr>
        <w:t>8 000</w:t>
      </w:r>
      <w:r>
        <w:rPr>
          <w:rFonts w:hint="eastAsia"/>
          <w:lang w:val="fr-FR"/>
        </w:rPr>
        <w:t>名佣仆和农村劳动者获得产假薪金（</w:t>
      </w:r>
      <w:r>
        <w:rPr>
          <w:lang w:val="fr-FR"/>
        </w:rPr>
        <w:t>FIBGE</w:t>
      </w:r>
      <w:r>
        <w:rPr>
          <w:rFonts w:hint="eastAsia"/>
          <w:lang w:val="fr-FR"/>
        </w:rPr>
        <w:t>，《</w:t>
      </w:r>
      <w:r>
        <w:rPr>
          <w:lang w:val="fr-FR"/>
        </w:rPr>
        <w:t>1996</w:t>
      </w:r>
      <w:r>
        <w:rPr>
          <w:rFonts w:hint="eastAsia"/>
          <w:lang w:val="fr-FR"/>
        </w:rPr>
        <w:t>年巴西统计年鉴》，表</w:t>
      </w:r>
      <w:r>
        <w:rPr>
          <w:lang w:val="fr-FR"/>
        </w:rPr>
        <w:t>2.87</w:t>
      </w:r>
      <w:r>
        <w:rPr>
          <w:rFonts w:hint="eastAsia"/>
          <w:lang w:val="fr-FR"/>
        </w:rPr>
        <w:t>）。</w:t>
      </w:r>
    </w:p>
    <w:p w:rsidR="00000000" w:rsidRDefault="004D2F83">
      <w:pPr>
        <w:spacing w:after="240" w:line="360" w:lineRule="exact"/>
        <w:rPr>
          <w:rFonts w:eastAsia="SimHei"/>
          <w:sz w:val="24"/>
          <w:lang w:val="fr-FR"/>
        </w:rPr>
      </w:pPr>
      <w:r>
        <w:rPr>
          <w:rFonts w:eastAsia="SimHei" w:hint="eastAsia"/>
          <w:sz w:val="24"/>
          <w:lang w:val="fr-FR"/>
        </w:rPr>
        <w:t>政府行动</w:t>
      </w:r>
    </w:p>
    <w:p w:rsidR="00000000" w:rsidRDefault="004D2F83" w:rsidP="004D2F83">
      <w:pPr>
        <w:spacing w:after="240" w:line="360" w:lineRule="exact"/>
        <w:ind w:firstLineChars="200" w:firstLine="31680"/>
        <w:rPr>
          <w:lang w:val="fr-FR"/>
        </w:rPr>
      </w:pPr>
      <w:r>
        <w:rPr>
          <w:rFonts w:hint="eastAsia"/>
          <w:lang w:val="fr-FR"/>
        </w:rPr>
        <w:t>应该根除劳动力市场中对妇女的歧视，但</w:t>
      </w:r>
      <w:r>
        <w:rPr>
          <w:lang w:val="fr-FR"/>
        </w:rPr>
        <w:t>1988</w:t>
      </w:r>
      <w:r>
        <w:rPr>
          <w:rFonts w:hint="eastAsia"/>
          <w:lang w:val="fr-FR"/>
        </w:rPr>
        <w:t>年宪法和劳动法律本身规定的权利和保障没有得到</w:t>
      </w:r>
      <w:r>
        <w:rPr>
          <w:rFonts w:hint="eastAsia"/>
          <w:lang w:val="fr-FR"/>
        </w:rPr>
        <w:t>完全落实。因此，对妇女运动和学者以及非政府组织开展了动员活动，以采取旨在消除一些形式歧视的行动。</w:t>
      </w:r>
    </w:p>
    <w:p w:rsidR="00000000" w:rsidRDefault="004D2F83" w:rsidP="004D2F83">
      <w:pPr>
        <w:spacing w:after="240" w:line="360" w:lineRule="exact"/>
        <w:ind w:firstLineChars="200" w:firstLine="31680"/>
        <w:rPr>
          <w:lang w:val="fr-FR"/>
        </w:rPr>
      </w:pPr>
      <w:r>
        <w:rPr>
          <w:rFonts w:hint="eastAsia"/>
          <w:lang w:val="fr-FR"/>
        </w:rPr>
        <w:t>下面我们列举了最近采取的一些行动，表明国家方面为履行巴西政府对国际组织做出的消除对妇女一切形式歧视的承诺所作出的主要努力。</w:t>
      </w:r>
    </w:p>
    <w:p w:rsidR="00000000" w:rsidRDefault="004D2F83">
      <w:pPr>
        <w:numPr>
          <w:ilvl w:val="0"/>
          <w:numId w:val="747"/>
        </w:numPr>
        <w:spacing w:after="240" w:line="360" w:lineRule="exact"/>
        <w:rPr>
          <w:rFonts w:eastAsia="SimHei"/>
          <w:sz w:val="24"/>
          <w:lang w:val="fr-FR"/>
        </w:rPr>
      </w:pPr>
      <w:r>
        <w:rPr>
          <w:rFonts w:eastAsia="SimHei" w:hint="eastAsia"/>
          <w:sz w:val="24"/>
          <w:lang w:val="fr-FR"/>
        </w:rPr>
        <w:t>实施禁止劳动力市场中的歧视的第</w:t>
      </w:r>
      <w:r>
        <w:rPr>
          <w:rFonts w:eastAsia="SimHei" w:hint="eastAsia"/>
          <w:sz w:val="24"/>
          <w:lang w:val="fr-FR"/>
        </w:rPr>
        <w:t>111</w:t>
      </w:r>
      <w:r>
        <w:rPr>
          <w:rFonts w:eastAsia="SimHei" w:hint="eastAsia"/>
          <w:sz w:val="24"/>
          <w:lang w:val="fr-FR"/>
        </w:rPr>
        <w:t>号公约</w:t>
      </w:r>
    </w:p>
    <w:p w:rsidR="00000000" w:rsidRDefault="004D2F83" w:rsidP="004D2F83">
      <w:pPr>
        <w:spacing w:after="240" w:line="360" w:lineRule="exact"/>
        <w:ind w:firstLineChars="200" w:firstLine="31680"/>
        <w:rPr>
          <w:lang w:val="fr-FR"/>
        </w:rPr>
      </w:pPr>
      <w:r>
        <w:rPr>
          <w:rFonts w:hint="eastAsia"/>
          <w:lang w:val="fr-FR"/>
        </w:rPr>
        <w:t>在劳动部网站（</w:t>
      </w:r>
      <w:r>
        <w:rPr>
          <w:lang w:val="fr-FR"/>
        </w:rPr>
        <w:t>http://www.mte.org.br</w:t>
      </w:r>
      <w:r>
        <w:rPr>
          <w:rFonts w:hint="eastAsia"/>
          <w:lang w:val="fr-FR"/>
        </w:rPr>
        <w:t>）上进行的一项调查表明，在</w:t>
      </w:r>
      <w:r>
        <w:rPr>
          <w:lang w:val="fr-FR"/>
        </w:rPr>
        <w:t>1994</w:t>
      </w:r>
      <w:r>
        <w:rPr>
          <w:rFonts w:hint="eastAsia"/>
          <w:lang w:val="fr-FR"/>
        </w:rPr>
        <w:t>年，巴西政府答复了工人代表就政府不执行有关就业和工作中的歧视的第</w:t>
      </w:r>
      <w:r>
        <w:rPr>
          <w:rFonts w:hint="eastAsia"/>
          <w:lang w:val="fr-FR"/>
        </w:rPr>
        <w:t>111</w:t>
      </w:r>
      <w:r>
        <w:rPr>
          <w:rFonts w:hint="eastAsia"/>
          <w:lang w:val="fr-FR"/>
        </w:rPr>
        <w:t>号公约向国际劳工组织提出的指控。指控依据的是劳动力市场数据，该数据表明男女之间以及蓝领</w:t>
      </w:r>
      <w:r>
        <w:rPr>
          <w:rFonts w:hint="eastAsia"/>
          <w:lang w:val="fr-FR"/>
        </w:rPr>
        <w:t>和白领之间存在报酬差异。</w:t>
      </w:r>
      <w:r>
        <w:rPr>
          <w:lang w:val="fr-FR"/>
        </w:rPr>
        <w:t>1995</w:t>
      </w:r>
      <w:r>
        <w:rPr>
          <w:rFonts w:hint="eastAsia"/>
          <w:lang w:val="fr-FR"/>
        </w:rPr>
        <w:t>年</w:t>
      </w:r>
      <w:r>
        <w:rPr>
          <w:lang w:val="fr-FR"/>
        </w:rPr>
        <w:t>6</w:t>
      </w:r>
      <w:r>
        <w:rPr>
          <w:rFonts w:hint="eastAsia"/>
          <w:lang w:val="fr-FR"/>
        </w:rPr>
        <w:t>月，在第</w:t>
      </w:r>
      <w:r>
        <w:rPr>
          <w:lang w:val="fr-FR"/>
        </w:rPr>
        <w:t>83</w:t>
      </w:r>
      <w:r>
        <w:rPr>
          <w:rFonts w:hint="eastAsia"/>
          <w:lang w:val="fr-FR"/>
        </w:rPr>
        <w:t>届国际劳工大会上，巴西政府正式承认存在这种形式的歧视，并且请国际劳工组织提供技术合作以履行它在批准第</w:t>
      </w:r>
      <w:r>
        <w:rPr>
          <w:lang w:val="fr-FR"/>
        </w:rPr>
        <w:t>111</w:t>
      </w:r>
      <w:r>
        <w:rPr>
          <w:rFonts w:hint="eastAsia"/>
          <w:lang w:val="fr-FR"/>
        </w:rPr>
        <w:t>号公约时作出的承诺。</w:t>
      </w:r>
    </w:p>
    <w:p w:rsidR="00000000" w:rsidRDefault="004D2F83" w:rsidP="004D2F83">
      <w:pPr>
        <w:spacing w:after="240" w:line="360" w:lineRule="exact"/>
        <w:ind w:firstLineChars="200" w:firstLine="31680"/>
        <w:rPr>
          <w:lang w:val="fr-FR"/>
        </w:rPr>
      </w:pPr>
      <w:r>
        <w:rPr>
          <w:rFonts w:hint="eastAsia"/>
          <w:lang w:val="fr-FR"/>
        </w:rPr>
        <w:t>劳动部执行第</w:t>
      </w:r>
      <w:r>
        <w:rPr>
          <w:rFonts w:hint="eastAsia"/>
          <w:lang w:val="fr-FR"/>
        </w:rPr>
        <w:t>111</w:t>
      </w:r>
      <w:r>
        <w:rPr>
          <w:rFonts w:hint="eastAsia"/>
          <w:lang w:val="fr-FR"/>
        </w:rPr>
        <w:t>号公约的计划于</w:t>
      </w:r>
      <w:r>
        <w:rPr>
          <w:lang w:val="fr-FR"/>
        </w:rPr>
        <w:t>1999</w:t>
      </w:r>
      <w:r>
        <w:rPr>
          <w:rFonts w:hint="eastAsia"/>
          <w:lang w:val="fr-FR"/>
        </w:rPr>
        <w:t>年开始启动。在该计划范围内开展的活动的主要重点是，通过长期宣传第</w:t>
      </w:r>
      <w:r>
        <w:rPr>
          <w:rFonts w:hint="eastAsia"/>
          <w:lang w:val="fr-FR"/>
        </w:rPr>
        <w:t>111</w:t>
      </w:r>
      <w:r>
        <w:rPr>
          <w:rFonts w:hint="eastAsia"/>
          <w:lang w:val="fr-FR"/>
        </w:rPr>
        <w:t>号公约的概念和原则以及旨在促进机会平等的具体行动的成功经验，提高对劳动力市场中歧视性做法的认识。</w:t>
      </w:r>
    </w:p>
    <w:p w:rsidR="00000000" w:rsidRDefault="004D2F83" w:rsidP="004D2F83">
      <w:pPr>
        <w:spacing w:after="240" w:line="360" w:lineRule="exact"/>
        <w:ind w:firstLineChars="200" w:firstLine="31680"/>
        <w:rPr>
          <w:lang w:val="fr-FR"/>
        </w:rPr>
      </w:pPr>
      <w:r>
        <w:rPr>
          <w:rFonts w:hint="eastAsia"/>
          <w:lang w:val="fr-FR"/>
        </w:rPr>
        <w:t>司法部人权问题国务秘书处自</w:t>
      </w:r>
      <w:r>
        <w:rPr>
          <w:lang w:val="fr-FR"/>
        </w:rPr>
        <w:t>1996</w:t>
      </w:r>
      <w:r>
        <w:rPr>
          <w:rFonts w:hint="eastAsia"/>
          <w:lang w:val="fr-FR"/>
        </w:rPr>
        <w:t>年</w:t>
      </w:r>
      <w:r>
        <w:rPr>
          <w:lang w:val="fr-FR"/>
        </w:rPr>
        <w:t>5</w:t>
      </w:r>
      <w:r>
        <w:rPr>
          <w:rFonts w:hint="eastAsia"/>
          <w:lang w:val="fr-FR"/>
        </w:rPr>
        <w:t>月制订《国家人权计划》以来，一直在协助执行第</w:t>
      </w:r>
      <w:r>
        <w:rPr>
          <w:lang w:val="fr-FR"/>
        </w:rPr>
        <w:t>111</w:t>
      </w:r>
      <w:r>
        <w:rPr>
          <w:rFonts w:hint="eastAsia"/>
          <w:lang w:val="fr-FR"/>
        </w:rPr>
        <w:t>号公约。</w:t>
      </w:r>
    </w:p>
    <w:p w:rsidR="00000000" w:rsidRDefault="004D2F83" w:rsidP="004D2F83">
      <w:pPr>
        <w:spacing w:after="240" w:line="360" w:lineRule="exact"/>
        <w:ind w:firstLineChars="200" w:firstLine="31680"/>
        <w:rPr>
          <w:lang w:val="fr-FR"/>
        </w:rPr>
      </w:pPr>
      <w:r>
        <w:rPr>
          <w:rFonts w:hint="eastAsia"/>
          <w:lang w:val="fr-FR"/>
        </w:rPr>
        <w:t>根据</w:t>
      </w:r>
      <w:r>
        <w:rPr>
          <w:lang w:val="fr-FR"/>
        </w:rPr>
        <w:t>2000</w:t>
      </w:r>
      <w:r>
        <w:rPr>
          <w:rFonts w:hint="eastAsia"/>
          <w:lang w:val="fr-FR"/>
        </w:rPr>
        <w:t>年</w:t>
      </w:r>
      <w:r>
        <w:rPr>
          <w:lang w:val="fr-FR"/>
        </w:rPr>
        <w:t>6</w:t>
      </w:r>
      <w:r>
        <w:rPr>
          <w:rFonts w:hint="eastAsia"/>
          <w:lang w:val="fr-FR"/>
        </w:rPr>
        <w:t>月</w:t>
      </w:r>
      <w:r>
        <w:rPr>
          <w:lang w:val="fr-FR"/>
        </w:rPr>
        <w:t>1</w:t>
      </w:r>
      <w:r>
        <w:rPr>
          <w:rFonts w:hint="eastAsia"/>
          <w:lang w:val="fr-FR"/>
        </w:rPr>
        <w:t>日第</w:t>
      </w:r>
      <w:r>
        <w:rPr>
          <w:lang w:val="fr-FR"/>
        </w:rPr>
        <w:t>604</w:t>
      </w:r>
      <w:r>
        <w:rPr>
          <w:rFonts w:hint="eastAsia"/>
          <w:lang w:val="fr-FR"/>
        </w:rPr>
        <w:t>号行政裁定，在地区劳动秘书处内设立了促进机会平等和消除歧视中心，中心负责协调行动以消除与就业和职业有关的歧视。</w:t>
      </w:r>
    </w:p>
    <w:p w:rsidR="00000000" w:rsidRDefault="004D2F83">
      <w:pPr>
        <w:numPr>
          <w:ilvl w:val="0"/>
          <w:numId w:val="747"/>
        </w:numPr>
        <w:spacing w:after="240" w:line="360" w:lineRule="exact"/>
        <w:rPr>
          <w:rFonts w:eastAsia="SimHei"/>
          <w:sz w:val="24"/>
          <w:lang w:val="fr-FR"/>
        </w:rPr>
      </w:pPr>
      <w:r>
        <w:rPr>
          <w:rFonts w:eastAsia="SimHei" w:hint="eastAsia"/>
          <w:sz w:val="24"/>
          <w:lang w:val="fr-FR"/>
        </w:rPr>
        <w:t>消除就业和职业歧视计划</w:t>
      </w:r>
    </w:p>
    <w:p w:rsidR="00000000" w:rsidRDefault="004D2F83" w:rsidP="004D2F83">
      <w:pPr>
        <w:spacing w:after="240" w:line="360" w:lineRule="exact"/>
        <w:ind w:firstLineChars="200" w:firstLine="31680"/>
        <w:rPr>
          <w:lang w:val="fr-FR"/>
        </w:rPr>
      </w:pPr>
      <w:r>
        <w:rPr>
          <w:rFonts w:hint="eastAsia"/>
          <w:lang w:val="fr-FR"/>
        </w:rPr>
        <w:t>通过</w:t>
      </w:r>
      <w:r>
        <w:rPr>
          <w:lang w:val="fr-FR"/>
        </w:rPr>
        <w:t>1996</w:t>
      </w:r>
      <w:r>
        <w:rPr>
          <w:rFonts w:hint="eastAsia"/>
          <w:lang w:val="fr-FR"/>
        </w:rPr>
        <w:t>年</w:t>
      </w:r>
      <w:r>
        <w:rPr>
          <w:lang w:val="fr-FR"/>
        </w:rPr>
        <w:t>3</w:t>
      </w:r>
      <w:r>
        <w:rPr>
          <w:rFonts w:hint="eastAsia"/>
          <w:lang w:val="fr-FR"/>
        </w:rPr>
        <w:t>月的一项法令，联邦政府在“消除就业和职业歧视计划”的范围内成立了一个消除就业和职业歧视工作组，这是一个由劳动部进行协调的三方工作组，预计将制订一个消除就业和职业歧视的行动计划。该工作组的组成人员有政府代表以及工人和雇员代表。工作组的行动战略包括：将</w:t>
      </w:r>
      <w:r>
        <w:rPr>
          <w:rFonts w:eastAsia="KaiTi_GB2312" w:hint="eastAsia"/>
          <w:lang w:val="fr-FR"/>
        </w:rPr>
        <w:t>就业和职业歧视</w:t>
      </w:r>
      <w:r>
        <w:rPr>
          <w:rFonts w:hint="eastAsia"/>
          <w:lang w:val="fr-FR"/>
        </w:rPr>
        <w:t>的专题列入政府计划</w:t>
      </w:r>
      <w:r>
        <w:rPr>
          <w:lang w:val="fr-FR"/>
        </w:rPr>
        <w:t>/</w:t>
      </w:r>
      <w:r>
        <w:rPr>
          <w:rFonts w:hint="eastAsia"/>
          <w:lang w:val="fr-FR"/>
        </w:rPr>
        <w:t>项目；鼓励在政府和民间社会开展关于这一专题的讨论；宣传关于多样性的经验；确定并</w:t>
      </w:r>
      <w:r>
        <w:rPr>
          <w:rFonts w:hint="eastAsia"/>
          <w:lang w:val="fr-FR"/>
        </w:rPr>
        <w:t>提出关于这一专题的调查和研究；鼓励发展复合型手段；以及制订促进机会平等的计划。</w:t>
      </w:r>
    </w:p>
    <w:p w:rsidR="00000000" w:rsidRDefault="004D2F83" w:rsidP="004D2F83">
      <w:pPr>
        <w:spacing w:after="240" w:line="360" w:lineRule="exact"/>
        <w:ind w:firstLineChars="200" w:firstLine="31680"/>
        <w:rPr>
          <w:lang w:val="fr-FR"/>
        </w:rPr>
      </w:pPr>
      <w:r>
        <w:rPr>
          <w:rFonts w:hint="eastAsia"/>
          <w:lang w:val="fr-FR"/>
        </w:rPr>
        <w:t>“消除就业和职业歧视计划”提议将“歧视”专题和第</w:t>
      </w:r>
      <w:r>
        <w:rPr>
          <w:lang w:val="fr-FR"/>
        </w:rPr>
        <w:t>111</w:t>
      </w:r>
      <w:r>
        <w:rPr>
          <w:rFonts w:hint="eastAsia"/>
          <w:lang w:val="fr-FR"/>
        </w:rPr>
        <w:t>号公约的精神纳入国家就业制度问题工作组的工作范围。</w:t>
      </w:r>
    </w:p>
    <w:p w:rsidR="00000000" w:rsidRDefault="004D2F83" w:rsidP="004D2F83">
      <w:pPr>
        <w:spacing w:after="240" w:line="360" w:lineRule="exact"/>
        <w:ind w:firstLineChars="200" w:firstLine="31680"/>
        <w:rPr>
          <w:lang w:val="fr-FR"/>
        </w:rPr>
      </w:pPr>
      <w:r>
        <w:rPr>
          <w:rFonts w:hint="eastAsia"/>
          <w:lang w:val="fr-FR"/>
        </w:rPr>
        <w:t>还要求对劳动力市场的统计分析（社会信息年度一览表）将性别和肤色观点纳入调查。</w:t>
      </w:r>
      <w:r>
        <w:rPr>
          <w:lang w:val="fr-FR"/>
        </w:rPr>
        <w:t>1999</w:t>
      </w:r>
      <w:r>
        <w:rPr>
          <w:rFonts w:hint="eastAsia"/>
          <w:lang w:val="fr-FR"/>
        </w:rPr>
        <w:t>年</w:t>
      </w:r>
      <w:r>
        <w:rPr>
          <w:lang w:val="fr-FR"/>
        </w:rPr>
        <w:t>10</w:t>
      </w:r>
      <w:r>
        <w:rPr>
          <w:rFonts w:hint="eastAsia"/>
          <w:lang w:val="fr-FR"/>
        </w:rPr>
        <w:t>月</w:t>
      </w:r>
      <w:r>
        <w:rPr>
          <w:lang w:val="fr-FR"/>
        </w:rPr>
        <w:t>26</w:t>
      </w:r>
      <w:r>
        <w:rPr>
          <w:rFonts w:hint="eastAsia"/>
          <w:lang w:val="fr-FR"/>
        </w:rPr>
        <w:t>日第</w:t>
      </w:r>
      <w:r>
        <w:rPr>
          <w:lang w:val="fr-FR"/>
        </w:rPr>
        <w:t>1740</w:t>
      </w:r>
      <w:r>
        <w:rPr>
          <w:rFonts w:hint="eastAsia"/>
          <w:lang w:val="fr-FR"/>
        </w:rPr>
        <w:t>号行政裁定规定将雇员的种族和肤色的信息纳入社会信息年度一览表表格和雇员和失业人员总登记册</w:t>
      </w:r>
      <w:r>
        <w:rPr>
          <w:lang w:val="fr-FR"/>
        </w:rPr>
        <w:t>/CAGED</w:t>
      </w:r>
      <w:r>
        <w:rPr>
          <w:rFonts w:hint="eastAsia"/>
          <w:lang w:val="fr-FR"/>
        </w:rPr>
        <w:t>中，在种族</w:t>
      </w:r>
      <w:r>
        <w:rPr>
          <w:lang w:val="fr-FR"/>
        </w:rPr>
        <w:t>/</w:t>
      </w:r>
      <w:r>
        <w:rPr>
          <w:rFonts w:hint="eastAsia"/>
          <w:lang w:val="fr-FR"/>
        </w:rPr>
        <w:t>肤色一栏中登记，为此采纳巴西地理统计局使用的分类。</w:t>
      </w:r>
    </w:p>
    <w:p w:rsidR="00000000" w:rsidRDefault="004D2F83" w:rsidP="004D2F83">
      <w:pPr>
        <w:spacing w:after="240" w:line="360" w:lineRule="exact"/>
        <w:ind w:firstLineChars="200" w:firstLine="31680"/>
        <w:rPr>
          <w:lang w:val="fr-FR"/>
        </w:rPr>
      </w:pPr>
      <w:r>
        <w:rPr>
          <w:rFonts w:hint="eastAsia"/>
          <w:lang w:val="fr-FR"/>
        </w:rPr>
        <w:t>另一项执行措施是制订和实施全国劳动者资格培训计划（资培</w:t>
      </w:r>
      <w:r>
        <w:rPr>
          <w:rFonts w:hint="eastAsia"/>
          <w:lang w:val="fr-FR"/>
        </w:rPr>
        <w:t>计划），计划的主要重点是性别和种族问题（</w:t>
      </w:r>
      <w:r>
        <w:t>Vogel</w:t>
      </w:r>
      <w:r>
        <w:rPr>
          <w:rFonts w:hint="eastAsia"/>
        </w:rPr>
        <w:t>，</w:t>
      </w:r>
      <w:r>
        <w:t>2001</w:t>
      </w:r>
      <w:r>
        <w:rPr>
          <w:rFonts w:hint="eastAsia"/>
        </w:rPr>
        <w:t>年）。该计划旨在把劳动力市场上最容易受到歧视的人群列为优先对象。在这方面，</w:t>
      </w:r>
      <w:r>
        <w:rPr>
          <w:rFonts w:hint="eastAsia"/>
          <w:lang w:val="fr-FR"/>
        </w:rPr>
        <w:t>工人保护基金议事委员会（保护基金会）第</w:t>
      </w:r>
      <w:r>
        <w:rPr>
          <w:lang w:val="fr-FR"/>
        </w:rPr>
        <w:t>194/98</w:t>
      </w:r>
      <w:r>
        <w:rPr>
          <w:rFonts w:hint="eastAsia"/>
          <w:lang w:val="fr-FR"/>
        </w:rPr>
        <w:t>号决议为工人援助基金所资助的项目确定了优先群体。</w:t>
      </w:r>
    </w:p>
    <w:p w:rsidR="00000000" w:rsidRDefault="004D2F83" w:rsidP="004D2F83">
      <w:pPr>
        <w:spacing w:after="240" w:line="360" w:lineRule="exact"/>
        <w:ind w:firstLineChars="200" w:firstLine="31680"/>
        <w:rPr>
          <w:lang w:val="fr-FR"/>
        </w:rPr>
      </w:pPr>
      <w:r>
        <w:rPr>
          <w:rFonts w:hint="eastAsia"/>
          <w:lang w:val="fr-FR"/>
        </w:rPr>
        <w:t>还与司法部全国妇女权利委员会合作拟订了《妇女、教育和劳动》议定书。</w:t>
      </w:r>
    </w:p>
    <w:p w:rsidR="00000000" w:rsidRDefault="004D2F83">
      <w:pPr>
        <w:numPr>
          <w:ilvl w:val="0"/>
          <w:numId w:val="747"/>
        </w:numPr>
        <w:spacing w:after="240" w:line="360" w:lineRule="exact"/>
        <w:rPr>
          <w:rFonts w:eastAsia="SimHei"/>
          <w:sz w:val="24"/>
          <w:lang w:val="fr-FR"/>
        </w:rPr>
      </w:pPr>
      <w:r>
        <w:rPr>
          <w:rFonts w:eastAsia="SimHei" w:hint="eastAsia"/>
          <w:sz w:val="24"/>
          <w:lang w:val="fr-FR"/>
        </w:rPr>
        <w:t>全国妇女权利委员会——消除歧视与贫穷的战略</w:t>
      </w:r>
    </w:p>
    <w:p w:rsidR="00000000" w:rsidRDefault="004D2F83" w:rsidP="004D2F83">
      <w:pPr>
        <w:spacing w:after="240" w:line="360" w:lineRule="exact"/>
        <w:ind w:firstLineChars="200" w:firstLine="31680"/>
        <w:rPr>
          <w:lang w:val="fr-FR"/>
        </w:rPr>
      </w:pPr>
      <w:r>
        <w:rPr>
          <w:rFonts w:hint="eastAsia"/>
          <w:lang w:val="fr-FR"/>
        </w:rPr>
        <w:t>全国妇女权利委员会最重要的行动战略之一是消除影响到相当一部分巴西人民，特别是妇女的贫穷。在这方面，全国妇女权利委员会建议建立一些机制，以确保妇女平等参与就业和创收的过</w:t>
      </w:r>
      <w:r>
        <w:rPr>
          <w:rFonts w:hint="eastAsia"/>
          <w:lang w:val="fr-FR"/>
        </w:rPr>
        <w:t>程，妇女参与制订具有普遍性的社会政策，以及实施针对弱势群体的特殊计划。这些战略包括支持和促进就业——和创收——的机制，以及制订通过日托中心帮助城乡地区职业母亲和贫穷母亲的</w:t>
      </w:r>
      <w:r>
        <w:rPr>
          <w:lang w:val="fr-FR"/>
        </w:rPr>
        <w:t>6</w:t>
      </w:r>
      <w:r>
        <w:rPr>
          <w:rFonts w:hint="eastAsia"/>
          <w:lang w:val="fr-FR"/>
        </w:rPr>
        <w:t>岁以下子女的计划，包括针对残疾儿童的特殊援助计划。全国妇女权利委员会还支持妇女常设工作组和消除就业歧视工作组的工作，目的是提出、执行和监督劳动领域的政府政策。此外，它还促进与全国农垦和土地改革研究所、全国土著人基金会、劳动部、农业发展秘书处和全国福利理事会等机构开展长期对话。其他行动战略包括：鼓励促进劳动妇女的资格培训和专业发展计划；在应</w:t>
      </w:r>
      <w:r>
        <w:rPr>
          <w:rFonts w:hint="eastAsia"/>
          <w:lang w:val="fr-FR"/>
        </w:rPr>
        <w:t>用经济研究所和巴西地理统计局范围内开展研究和调查，以查明妇女的贫穷情况并监测政府政策对扭转歧视状况的影响；在劳动妇女中开展宣传活动，宣传她们的工作权利、诉诸法院的机制以及母亲及其子女在育儿责任权利方面享有的免费法律援助。</w:t>
      </w:r>
    </w:p>
    <w:p w:rsidR="00000000" w:rsidRDefault="004D2F83">
      <w:pPr>
        <w:spacing w:after="240" w:line="360" w:lineRule="exact"/>
        <w:rPr>
          <w:rFonts w:eastAsia="SimHei"/>
          <w:sz w:val="24"/>
          <w:lang w:val="fr-FR"/>
        </w:rPr>
      </w:pPr>
      <w:r>
        <w:rPr>
          <w:rFonts w:eastAsia="SimHei" w:hint="eastAsia"/>
          <w:sz w:val="24"/>
          <w:lang w:val="fr-FR"/>
        </w:rPr>
        <w:t>因素和困难</w:t>
      </w:r>
    </w:p>
    <w:p w:rsidR="00000000" w:rsidRDefault="004D2F83" w:rsidP="004D2F83">
      <w:pPr>
        <w:spacing w:after="240" w:line="360" w:lineRule="exact"/>
        <w:ind w:firstLineChars="200" w:firstLine="31680"/>
      </w:pPr>
      <w:r>
        <w:rPr>
          <w:rFonts w:hint="eastAsia"/>
          <w:lang w:val="fr-FR"/>
        </w:rPr>
        <w:t>在过去二十年中，巴西在政治、经济和社会等方面发生了重要的变化。在</w:t>
      </w:r>
      <w:r>
        <w:rPr>
          <w:lang w:val="fr-FR"/>
        </w:rPr>
        <w:t>1986</w:t>
      </w:r>
      <w:r>
        <w:rPr>
          <w:rFonts w:hint="eastAsia"/>
          <w:lang w:val="fr-FR"/>
        </w:rPr>
        <w:t>年至</w:t>
      </w:r>
      <w:r>
        <w:rPr>
          <w:lang w:val="fr-FR"/>
        </w:rPr>
        <w:t>1994</w:t>
      </w:r>
      <w:r>
        <w:rPr>
          <w:rFonts w:hint="eastAsia"/>
          <w:lang w:val="fr-FR"/>
        </w:rPr>
        <w:t>年期间，经济环境特别混乱，当时国家有六个不同的经济货币稳定化计划，即：</w:t>
      </w:r>
      <w:r>
        <w:t>Cruzado 1</w:t>
      </w:r>
      <w:r>
        <w:rPr>
          <w:rFonts w:hint="eastAsia"/>
        </w:rPr>
        <w:t>、</w:t>
      </w:r>
      <w:r>
        <w:t>Cruzado2</w:t>
      </w:r>
      <w:r>
        <w:rPr>
          <w:rFonts w:hint="eastAsia"/>
        </w:rPr>
        <w:t>、</w:t>
      </w:r>
      <w:r>
        <w:t>Bresser</w:t>
      </w:r>
      <w:r>
        <w:rPr>
          <w:rFonts w:hint="eastAsia"/>
        </w:rPr>
        <w:t>、</w:t>
      </w:r>
      <w:r>
        <w:t>Verào</w:t>
      </w:r>
      <w:r>
        <w:rPr>
          <w:rFonts w:hint="eastAsia"/>
        </w:rPr>
        <w:t>、</w:t>
      </w:r>
      <w:r>
        <w:t>Brasil Novo</w:t>
      </w:r>
      <w:r>
        <w:rPr>
          <w:rFonts w:hint="eastAsia"/>
        </w:rPr>
        <w:t>和</w:t>
      </w:r>
      <w:r>
        <w:t>Real</w:t>
      </w:r>
      <w:r>
        <w:rPr>
          <w:rFonts w:hint="eastAsia"/>
        </w:rPr>
        <w:t>。所有这些计划都是以结束通</w:t>
      </w:r>
      <w:r>
        <w:rPr>
          <w:rFonts w:hint="eastAsia"/>
        </w:rPr>
        <w:t>货膨胀危机为目标，它们提出了一系列措施，包括困难的非指数化过程，并且导致本国货币方面出现了五个变化。</w:t>
      </w:r>
    </w:p>
    <w:p w:rsidR="00000000" w:rsidRDefault="004D2F83" w:rsidP="004D2F83">
      <w:pPr>
        <w:spacing w:after="240" w:line="360" w:lineRule="exact"/>
        <w:ind w:firstLineChars="200" w:firstLine="31680"/>
      </w:pPr>
      <w:r>
        <w:rPr>
          <w:rFonts w:hint="eastAsia"/>
        </w:rPr>
        <w:t>19</w:t>
      </w:r>
      <w:r>
        <w:t>80</w:t>
      </w:r>
      <w:r>
        <w:rPr>
          <w:rFonts w:hint="eastAsia"/>
        </w:rPr>
        <w:t>年代可以被看作是在经过多年的军人执政后进行社会重组的十年。然而，它也是就业率增长缓慢、非正规劳动力市场扩大和工资购买力下降的十年，工资购买力因通货膨胀而受到损害。严重的经济衰退是</w:t>
      </w:r>
      <w:r>
        <w:rPr>
          <w:rFonts w:hint="eastAsia"/>
        </w:rPr>
        <w:t>1980</w:t>
      </w:r>
      <w:r>
        <w:rPr>
          <w:rFonts w:hint="eastAsia"/>
        </w:rPr>
        <w:t>年代最初几年的特点，它改变了前一个十年的增长景象，导致了失业率上升和从事经济活动人口的分布改变，人们从初级和二级经济部门转移到三级部门，这种人口分布状况对于防止就业水平的进一步下降具有至关重要的作用。</w:t>
      </w:r>
    </w:p>
    <w:p w:rsidR="00000000" w:rsidRDefault="004D2F83" w:rsidP="004D2F83">
      <w:pPr>
        <w:spacing w:after="240" w:line="360" w:lineRule="exact"/>
        <w:ind w:firstLineChars="200" w:firstLine="31680"/>
      </w:pPr>
      <w:r>
        <w:rPr>
          <w:rFonts w:hint="eastAsia"/>
          <w:spacing w:val="4"/>
        </w:rPr>
        <w:t>从</w:t>
      </w:r>
      <w:r>
        <w:rPr>
          <w:spacing w:val="4"/>
        </w:rPr>
        <w:t>1994</w:t>
      </w:r>
      <w:r>
        <w:rPr>
          <w:rFonts w:hint="eastAsia"/>
          <w:spacing w:val="4"/>
        </w:rPr>
        <w:t>年起</w:t>
      </w:r>
      <w:r>
        <w:rPr>
          <w:rFonts w:hint="eastAsia"/>
          <w:spacing w:val="4"/>
        </w:rPr>
        <w:t>，新的经济准则和</w:t>
      </w:r>
      <w:r>
        <w:rPr>
          <w:spacing w:val="4"/>
        </w:rPr>
        <w:t>Real</w:t>
      </w:r>
      <w:r>
        <w:rPr>
          <w:rFonts w:hint="eastAsia"/>
          <w:spacing w:val="4"/>
        </w:rPr>
        <w:t>计划的启动使得控制通货膨胀成为可能，尽管经济增长率下降了，从</w:t>
      </w:r>
      <w:r>
        <w:rPr>
          <w:spacing w:val="4"/>
        </w:rPr>
        <w:t>1993</w:t>
      </w:r>
      <w:r>
        <w:rPr>
          <w:rFonts w:hint="eastAsia"/>
          <w:spacing w:val="4"/>
        </w:rPr>
        <w:t>和</w:t>
      </w:r>
      <w:r>
        <w:rPr>
          <w:spacing w:val="4"/>
        </w:rPr>
        <w:t>1994</w:t>
      </w:r>
      <w:r>
        <w:rPr>
          <w:rFonts w:hint="eastAsia"/>
          <w:spacing w:val="4"/>
        </w:rPr>
        <w:t>年的</w:t>
      </w:r>
      <w:r>
        <w:rPr>
          <w:spacing w:val="4"/>
        </w:rPr>
        <w:t>5.5%</w:t>
      </w:r>
      <w:r>
        <w:rPr>
          <w:rFonts w:hint="eastAsia"/>
          <w:spacing w:val="4"/>
        </w:rPr>
        <w:t>下降到</w:t>
      </w:r>
      <w:r>
        <w:rPr>
          <w:spacing w:val="4"/>
        </w:rPr>
        <w:t>1995</w:t>
      </w:r>
      <w:r>
        <w:rPr>
          <w:rFonts w:hint="eastAsia"/>
          <w:spacing w:val="4"/>
        </w:rPr>
        <w:t>年的不到</w:t>
      </w:r>
      <w:r>
        <w:rPr>
          <w:spacing w:val="4"/>
        </w:rPr>
        <w:t>0.2%</w:t>
      </w:r>
      <w:r>
        <w:rPr>
          <w:rFonts w:hint="eastAsia"/>
          <w:spacing w:val="4"/>
        </w:rPr>
        <w:t>。经济活动的减少是失业率上升的原因之一，当时失业率达到了巴西有史以来的最高水平。在国家最重要的大都市地区进行的就业和失业调查所得出的失业率</w:t>
      </w:r>
      <w:r>
        <w:rPr>
          <w:rStyle w:val="FootnoteReference"/>
          <w:spacing w:val="4"/>
        </w:rPr>
        <w:footnoteReference w:customMarkFollows="1" w:id="97"/>
        <w:t>97</w:t>
      </w:r>
      <w:r>
        <w:rPr>
          <w:rFonts w:hint="eastAsia"/>
        </w:rPr>
        <w:t>，从</w:t>
      </w:r>
      <w:r>
        <w:t>1994</w:t>
      </w:r>
      <w:r>
        <w:rPr>
          <w:rFonts w:hint="eastAsia"/>
        </w:rPr>
        <w:t>年的平均失业率</w:t>
      </w:r>
      <w:r>
        <w:t>15%</w:t>
      </w:r>
      <w:r>
        <w:rPr>
          <w:rFonts w:hint="eastAsia"/>
        </w:rPr>
        <w:t>上升到</w:t>
      </w:r>
      <w:r>
        <w:t>1999</w:t>
      </w:r>
      <w:r>
        <w:rPr>
          <w:rFonts w:hint="eastAsia"/>
        </w:rPr>
        <w:t>年的估计平均失业率</w:t>
      </w:r>
      <w:r>
        <w:t>20%</w:t>
      </w:r>
      <w:r>
        <w:rPr>
          <w:rFonts w:hint="eastAsia"/>
        </w:rPr>
        <w:t>——上升了</w:t>
      </w:r>
      <w:r>
        <w:t>33%</w:t>
      </w:r>
      <w:r>
        <w:rPr>
          <w:rFonts w:hint="eastAsia"/>
        </w:rPr>
        <w:t>。</w:t>
      </w:r>
      <w:r>
        <w:rPr>
          <w:rStyle w:val="FootnoteReference"/>
        </w:rPr>
        <w:footnoteReference w:customMarkFollows="1" w:id="98"/>
        <w:t>98</w:t>
      </w:r>
      <w:r>
        <w:rPr>
          <w:rFonts w:hint="eastAsia"/>
        </w:rPr>
        <w:t>因此，举例来说，在</w:t>
      </w:r>
      <w:r>
        <w:t>1999</w:t>
      </w:r>
      <w:r>
        <w:rPr>
          <w:rFonts w:hint="eastAsia"/>
        </w:rPr>
        <w:t>年为寻找新工作平均花费的时间在联邦区达到了</w:t>
      </w:r>
      <w:r>
        <w:t>52</w:t>
      </w:r>
      <w:r>
        <w:rPr>
          <w:rFonts w:hint="eastAsia"/>
        </w:rPr>
        <w:t>周，在圣保罗的大都市地区达到了</w:t>
      </w:r>
      <w:r>
        <w:t>39</w:t>
      </w:r>
      <w:r>
        <w:rPr>
          <w:rFonts w:hint="eastAsia"/>
        </w:rPr>
        <w:t>周。</w:t>
      </w:r>
    </w:p>
    <w:p w:rsidR="00000000" w:rsidRDefault="004D2F83" w:rsidP="004D2F83">
      <w:pPr>
        <w:spacing w:after="240" w:line="360" w:lineRule="exact"/>
        <w:ind w:firstLineChars="200" w:firstLine="31680"/>
      </w:pPr>
      <w:r>
        <w:rPr>
          <w:rFonts w:hint="eastAsia"/>
        </w:rPr>
        <w:t>在</w:t>
      </w:r>
      <w:r>
        <w:t>Real</w:t>
      </w:r>
      <w:r>
        <w:rPr>
          <w:rFonts w:hint="eastAsia"/>
        </w:rPr>
        <w:t>计划实施的前</w:t>
      </w:r>
      <w:r>
        <w:rPr>
          <w:rFonts w:hint="eastAsia"/>
        </w:rPr>
        <w:t>半年，国家收入分配的改善显示了通货膨胀结束的再分配效应。自此，收入集中程度保持在一个相当高的水平上，使巴西成为全世界收入最集中的国家之一。</w:t>
      </w:r>
      <w:r>
        <w:t>1999</w:t>
      </w:r>
      <w:r>
        <w:rPr>
          <w:rFonts w:hint="eastAsia"/>
        </w:rPr>
        <w:t>年</w:t>
      </w:r>
      <w:r>
        <w:t>1</w:t>
      </w:r>
      <w:r>
        <w:rPr>
          <w:rFonts w:hint="eastAsia"/>
        </w:rPr>
        <w:t>月开始的经济政策改革在这一年中开始产生积极效应，表明工业活动略有复苏，这一趋势一直持续到</w:t>
      </w:r>
      <w:r>
        <w:t>2000</w:t>
      </w:r>
      <w:r>
        <w:rPr>
          <w:rFonts w:hint="eastAsia"/>
        </w:rPr>
        <w:t>年和</w:t>
      </w:r>
      <w:r>
        <w:t>2001</w:t>
      </w:r>
      <w:r>
        <w:rPr>
          <w:rFonts w:hint="eastAsia"/>
        </w:rPr>
        <w:t>年前半年。一方面情况改善导致进入劳动力市场的男女比率有提高，另一方面，也导致失业率下降。</w:t>
      </w:r>
    </w:p>
    <w:p w:rsidR="00000000" w:rsidRDefault="004D2F83" w:rsidP="004D2F83">
      <w:pPr>
        <w:spacing w:after="240" w:line="360" w:lineRule="exact"/>
        <w:ind w:firstLineChars="200" w:firstLine="31680"/>
      </w:pPr>
      <w:r>
        <w:rPr>
          <w:rFonts w:hint="eastAsia"/>
        </w:rPr>
        <w:t>我们正是打算从巴西劳动力市场发生的这一变化的角度，在本报告中较为详细地分析女性劳动力的行为，着重说明那些可能消除或维持对妇女的歧视的形式。</w:t>
      </w:r>
    </w:p>
    <w:p w:rsidR="00000000" w:rsidRDefault="004D2F83" w:rsidP="004D2F83">
      <w:pPr>
        <w:spacing w:after="240" w:line="360" w:lineRule="exact"/>
        <w:ind w:firstLineChars="200" w:firstLine="31680"/>
      </w:pPr>
      <w:r>
        <w:rPr>
          <w:rFonts w:hint="eastAsia"/>
        </w:rPr>
        <w:t>在分析巴西女性劳动力的行</w:t>
      </w:r>
      <w:r>
        <w:rPr>
          <w:rFonts w:hint="eastAsia"/>
        </w:rPr>
        <w:t>为时，首先引起我们注意的事实是其强势增长。到</w:t>
      </w:r>
      <w:r>
        <w:rPr>
          <w:rFonts w:hint="eastAsia"/>
        </w:rPr>
        <w:t>199</w:t>
      </w:r>
      <w:r>
        <w:t>0</w:t>
      </w:r>
      <w:r>
        <w:rPr>
          <w:rFonts w:hint="eastAsia"/>
        </w:rPr>
        <w:t>年代末期，从事经济活动人口中的妇女人数达到了</w:t>
      </w:r>
      <w:r>
        <w:t>3 100</w:t>
      </w:r>
      <w:r>
        <w:rPr>
          <w:rFonts w:hint="eastAsia"/>
        </w:rPr>
        <w:t>万以上。到了</w:t>
      </w:r>
      <w:r>
        <w:t>90</w:t>
      </w:r>
      <w:r>
        <w:rPr>
          <w:rFonts w:hint="eastAsia"/>
        </w:rPr>
        <w:t>年代末期，女性在业的比率超过了</w:t>
      </w:r>
      <w:r>
        <w:t>47%</w:t>
      </w:r>
      <w:r>
        <w:rPr>
          <w:rFonts w:hint="eastAsia"/>
        </w:rPr>
        <w:t>。尽管男性在业的比率大致相同，但在</w:t>
      </w:r>
      <w:r>
        <w:t>1985</w:t>
      </w:r>
      <w:r>
        <w:rPr>
          <w:rFonts w:hint="eastAsia"/>
        </w:rPr>
        <w:t>至</w:t>
      </w:r>
      <w:r>
        <w:t>1990</w:t>
      </w:r>
      <w:r>
        <w:rPr>
          <w:rFonts w:hint="eastAsia"/>
        </w:rPr>
        <w:t>年以及随后的几年，妇女在业率的增长显著。不过，在解释自</w:t>
      </w:r>
      <w:r>
        <w:rPr>
          <w:rFonts w:hint="eastAsia"/>
        </w:rPr>
        <w:t>19</w:t>
      </w:r>
      <w:r>
        <w:t>90</w:t>
      </w:r>
      <w:r>
        <w:rPr>
          <w:rFonts w:hint="eastAsia"/>
        </w:rPr>
        <w:t>年代起女性劳动力的增长时要谨慎，因为引起增长的部分原因是劳动力概念的扩大所致，自</w:t>
      </w:r>
      <w:r>
        <w:t>1992</w:t>
      </w:r>
      <w:r>
        <w:rPr>
          <w:rFonts w:hint="eastAsia"/>
        </w:rPr>
        <w:t>年起劳动力的概念包括自己自给式活动、家庭生产和以前不被看作是工作的其他活动。由于这些活动通常总是由妇女从事，新方法对她们的影响特别大，而男性活动的比率在</w:t>
      </w:r>
      <w:r>
        <w:rPr>
          <w:rFonts w:hint="eastAsia"/>
        </w:rPr>
        <w:t>这一期间保持不变。不过，新方法还没有发展到把主要由家庭妇女从事的家务劳动包括进来的程度，家务劳动仍然被列为非经济活动一类。</w:t>
      </w:r>
    </w:p>
    <w:p w:rsidR="00000000" w:rsidRDefault="004D2F83">
      <w:pPr>
        <w:spacing w:after="240" w:line="360" w:lineRule="exact"/>
        <w:jc w:val="center"/>
        <w:rPr>
          <w:rFonts w:eastAsia="SimHei"/>
        </w:rPr>
      </w:pPr>
      <w:r>
        <w:br w:type="page"/>
      </w:r>
      <w:r>
        <w:rPr>
          <w:rFonts w:ascii="SimHei" w:eastAsia="SimHei" w:hint="eastAsia"/>
        </w:rPr>
        <w:t>表</w:t>
      </w:r>
      <w:r>
        <w:rPr>
          <w:rFonts w:ascii="SimHei" w:eastAsia="SimHei"/>
        </w:rPr>
        <w:t>33</w:t>
      </w:r>
      <w:r>
        <w:rPr>
          <w:rFonts w:ascii="SimHei" w:eastAsia="SimHei" w:hint="eastAsia"/>
        </w:rPr>
        <w:t>：</w:t>
      </w:r>
      <w:r>
        <w:rPr>
          <w:rFonts w:eastAsia="SimHei" w:hint="eastAsia"/>
        </w:rPr>
        <w:t>劳动力市场中的男女劳动力：经济参与指标</w:t>
      </w:r>
    </w:p>
    <w:tbl>
      <w:tblPr>
        <w:tblW w:w="0" w:type="auto"/>
        <w:tblInd w:w="108" w:type="dxa"/>
        <w:tblLook w:val="0000" w:firstRow="0" w:lastRow="0" w:firstColumn="0" w:lastColumn="0" w:noHBand="0" w:noVBand="0"/>
      </w:tblPr>
      <w:tblGrid>
        <w:gridCol w:w="2382"/>
        <w:gridCol w:w="2491"/>
        <w:gridCol w:w="2491"/>
        <w:gridCol w:w="2492"/>
      </w:tblGrid>
      <w:tr w:rsidR="00000000">
        <w:tblPrEx>
          <w:tblCellMar>
            <w:top w:w="0" w:type="dxa"/>
            <w:bottom w:w="0" w:type="dxa"/>
          </w:tblCellMar>
        </w:tblPrEx>
        <w:tc>
          <w:tcPr>
            <w:tcW w:w="2382" w:type="dxa"/>
            <w:tcBorders>
              <w:top w:val="single" w:sz="4" w:space="0" w:color="auto"/>
              <w:bottom w:val="single" w:sz="4" w:space="0" w:color="auto"/>
            </w:tcBorders>
          </w:tcPr>
          <w:p w:rsidR="00000000" w:rsidRDefault="004D2F83">
            <w:pPr>
              <w:spacing w:after="120" w:line="320" w:lineRule="exact"/>
              <w:rPr>
                <w:rFonts w:ascii="SimHei" w:eastAsia="SimHei"/>
                <w:sz w:val="18"/>
              </w:rPr>
            </w:pPr>
            <w:r>
              <w:rPr>
                <w:rFonts w:ascii="SimHei" w:eastAsia="SimHei" w:hint="eastAsia"/>
                <w:sz w:val="18"/>
              </w:rPr>
              <w:t>性别和年份</w:t>
            </w:r>
          </w:p>
        </w:tc>
        <w:tc>
          <w:tcPr>
            <w:tcW w:w="2491" w:type="dxa"/>
            <w:tcBorders>
              <w:top w:val="single" w:sz="4" w:space="0" w:color="auto"/>
              <w:bottom w:val="single" w:sz="4" w:space="0" w:color="auto"/>
            </w:tcBorders>
          </w:tcPr>
          <w:p w:rsidR="00000000" w:rsidRDefault="004D2F83">
            <w:pPr>
              <w:spacing w:after="120" w:line="320" w:lineRule="exact"/>
              <w:jc w:val="center"/>
              <w:rPr>
                <w:rFonts w:ascii="SimHei" w:eastAsia="SimHei"/>
                <w:sz w:val="18"/>
              </w:rPr>
            </w:pPr>
            <w:r>
              <w:rPr>
                <w:rFonts w:ascii="SimHei" w:eastAsia="SimHei" w:hint="eastAsia"/>
                <w:sz w:val="18"/>
              </w:rPr>
              <w:t>巴西</w:t>
            </w:r>
            <w:r>
              <w:rPr>
                <w:rFonts w:ascii="SimHei" w:eastAsia="SimHei"/>
                <w:sz w:val="18"/>
              </w:rPr>
              <w:t>PEA</w:t>
            </w:r>
            <w:r>
              <w:rPr>
                <w:rFonts w:ascii="SimHei" w:eastAsia="SimHei" w:hint="eastAsia"/>
                <w:sz w:val="18"/>
              </w:rPr>
              <w:t>（百万）</w:t>
            </w:r>
          </w:p>
        </w:tc>
        <w:tc>
          <w:tcPr>
            <w:tcW w:w="2491" w:type="dxa"/>
            <w:tcBorders>
              <w:top w:val="single" w:sz="4" w:space="0" w:color="auto"/>
              <w:bottom w:val="single" w:sz="4" w:space="0" w:color="auto"/>
            </w:tcBorders>
          </w:tcPr>
          <w:p w:rsidR="00000000" w:rsidRDefault="004D2F83">
            <w:pPr>
              <w:spacing w:after="120" w:line="320" w:lineRule="exact"/>
              <w:jc w:val="center"/>
              <w:rPr>
                <w:rFonts w:ascii="SimHei" w:eastAsia="SimHei"/>
                <w:sz w:val="18"/>
              </w:rPr>
            </w:pPr>
            <w:r>
              <w:rPr>
                <w:rFonts w:ascii="SimHei" w:eastAsia="SimHei" w:hint="eastAsia"/>
                <w:sz w:val="18"/>
              </w:rPr>
              <w:t>活动比率</w:t>
            </w:r>
          </w:p>
        </w:tc>
        <w:tc>
          <w:tcPr>
            <w:tcW w:w="2492" w:type="dxa"/>
            <w:tcBorders>
              <w:top w:val="single" w:sz="4" w:space="0" w:color="auto"/>
              <w:bottom w:val="single" w:sz="4" w:space="0" w:color="auto"/>
            </w:tcBorders>
          </w:tcPr>
          <w:p w:rsidR="00000000" w:rsidRDefault="004D2F83">
            <w:pPr>
              <w:spacing w:after="120" w:line="320" w:lineRule="exact"/>
              <w:jc w:val="center"/>
              <w:rPr>
                <w:rFonts w:ascii="SimHei" w:eastAsia="SimHei"/>
                <w:sz w:val="18"/>
              </w:rPr>
            </w:pPr>
            <w:r>
              <w:rPr>
                <w:rFonts w:ascii="SimHei" w:eastAsia="SimHei" w:hint="eastAsia"/>
                <w:sz w:val="18"/>
              </w:rPr>
              <w:t>在</w:t>
            </w:r>
            <w:r>
              <w:rPr>
                <w:rFonts w:ascii="SimHei" w:eastAsia="SimHei"/>
                <w:sz w:val="18"/>
              </w:rPr>
              <w:t>PEA</w:t>
            </w:r>
            <w:r>
              <w:rPr>
                <w:rFonts w:ascii="SimHei" w:eastAsia="SimHei" w:hint="eastAsia"/>
                <w:sz w:val="18"/>
              </w:rPr>
              <w:t>中的比率</w:t>
            </w:r>
          </w:p>
        </w:tc>
      </w:tr>
      <w:tr w:rsidR="00000000">
        <w:tblPrEx>
          <w:tblCellMar>
            <w:top w:w="0" w:type="dxa"/>
            <w:bottom w:w="0" w:type="dxa"/>
          </w:tblCellMar>
        </w:tblPrEx>
        <w:tc>
          <w:tcPr>
            <w:tcW w:w="2382" w:type="dxa"/>
            <w:tcBorders>
              <w:top w:val="single" w:sz="4" w:space="0" w:color="auto"/>
            </w:tcBorders>
          </w:tcPr>
          <w:p w:rsidR="00000000" w:rsidRDefault="004D2F83">
            <w:pPr>
              <w:spacing w:after="120" w:line="300" w:lineRule="exact"/>
              <w:rPr>
                <w:rFonts w:eastAsia="SimHei"/>
                <w:sz w:val="18"/>
              </w:rPr>
            </w:pPr>
            <w:r>
              <w:rPr>
                <w:rFonts w:eastAsia="SimHei" w:hint="eastAsia"/>
                <w:sz w:val="18"/>
              </w:rPr>
              <w:t>妇女</w:t>
            </w:r>
          </w:p>
        </w:tc>
        <w:tc>
          <w:tcPr>
            <w:tcW w:w="2491" w:type="dxa"/>
            <w:tcBorders>
              <w:top w:val="single" w:sz="4" w:space="0" w:color="auto"/>
            </w:tcBorders>
          </w:tcPr>
          <w:p w:rsidR="00000000" w:rsidRDefault="004D2F83">
            <w:pPr>
              <w:spacing w:after="120" w:line="300" w:lineRule="exact"/>
              <w:rPr>
                <w:rFonts w:eastAsia="SimHei"/>
                <w:sz w:val="18"/>
              </w:rPr>
            </w:pPr>
          </w:p>
        </w:tc>
        <w:tc>
          <w:tcPr>
            <w:tcW w:w="2491" w:type="dxa"/>
            <w:tcBorders>
              <w:top w:val="single" w:sz="4" w:space="0" w:color="auto"/>
            </w:tcBorders>
          </w:tcPr>
          <w:p w:rsidR="00000000" w:rsidRDefault="004D2F83">
            <w:pPr>
              <w:spacing w:after="120" w:line="300" w:lineRule="exact"/>
              <w:rPr>
                <w:rFonts w:eastAsia="SimHei"/>
                <w:sz w:val="18"/>
              </w:rPr>
            </w:pPr>
          </w:p>
        </w:tc>
        <w:tc>
          <w:tcPr>
            <w:tcW w:w="2492" w:type="dxa"/>
            <w:tcBorders>
              <w:top w:val="single" w:sz="4" w:space="0" w:color="auto"/>
            </w:tcBorders>
          </w:tcPr>
          <w:p w:rsidR="00000000" w:rsidRDefault="004D2F83">
            <w:pPr>
              <w:spacing w:after="120" w:line="300" w:lineRule="exact"/>
              <w:rPr>
                <w:rFonts w:eastAsia="SimHei"/>
                <w:sz w:val="18"/>
              </w:rPr>
            </w:pPr>
          </w:p>
        </w:tc>
      </w:tr>
      <w:tr w:rsidR="00000000">
        <w:tblPrEx>
          <w:tblCellMar>
            <w:top w:w="0" w:type="dxa"/>
            <w:bottom w:w="0" w:type="dxa"/>
          </w:tblCellMar>
        </w:tblPrEx>
        <w:tc>
          <w:tcPr>
            <w:tcW w:w="2382" w:type="dxa"/>
          </w:tcPr>
          <w:p w:rsidR="00000000" w:rsidRDefault="004D2F83">
            <w:pPr>
              <w:spacing w:after="120" w:line="300" w:lineRule="exact"/>
              <w:rPr>
                <w:sz w:val="18"/>
              </w:rPr>
            </w:pPr>
            <w:r>
              <w:rPr>
                <w:sz w:val="18"/>
              </w:rPr>
              <w:t>1985</w:t>
            </w:r>
          </w:p>
        </w:tc>
        <w:tc>
          <w:tcPr>
            <w:tcW w:w="2491" w:type="dxa"/>
          </w:tcPr>
          <w:p w:rsidR="00000000" w:rsidRDefault="004D2F83">
            <w:pPr>
              <w:spacing w:after="120" w:line="300" w:lineRule="exact"/>
              <w:jc w:val="center"/>
              <w:rPr>
                <w:sz w:val="18"/>
              </w:rPr>
            </w:pPr>
            <w:r>
              <w:rPr>
                <w:sz w:val="18"/>
              </w:rPr>
              <w:t>18.4</w:t>
            </w:r>
          </w:p>
        </w:tc>
        <w:tc>
          <w:tcPr>
            <w:tcW w:w="2491" w:type="dxa"/>
          </w:tcPr>
          <w:p w:rsidR="00000000" w:rsidRDefault="004D2F83">
            <w:pPr>
              <w:spacing w:after="120" w:line="300" w:lineRule="exact"/>
              <w:jc w:val="center"/>
              <w:rPr>
                <w:sz w:val="18"/>
              </w:rPr>
            </w:pPr>
            <w:r>
              <w:rPr>
                <w:sz w:val="18"/>
              </w:rPr>
              <w:t>36.9</w:t>
            </w:r>
          </w:p>
        </w:tc>
        <w:tc>
          <w:tcPr>
            <w:tcW w:w="2492" w:type="dxa"/>
          </w:tcPr>
          <w:p w:rsidR="00000000" w:rsidRDefault="004D2F83">
            <w:pPr>
              <w:spacing w:after="120" w:line="300" w:lineRule="exact"/>
              <w:jc w:val="center"/>
              <w:rPr>
                <w:sz w:val="18"/>
              </w:rPr>
            </w:pPr>
            <w:r>
              <w:rPr>
                <w:sz w:val="18"/>
              </w:rPr>
              <w:t>33.5</w:t>
            </w:r>
          </w:p>
        </w:tc>
      </w:tr>
      <w:tr w:rsidR="00000000">
        <w:tblPrEx>
          <w:tblCellMar>
            <w:top w:w="0" w:type="dxa"/>
            <w:bottom w:w="0" w:type="dxa"/>
          </w:tblCellMar>
        </w:tblPrEx>
        <w:tc>
          <w:tcPr>
            <w:tcW w:w="2382" w:type="dxa"/>
          </w:tcPr>
          <w:p w:rsidR="00000000" w:rsidRDefault="004D2F83">
            <w:pPr>
              <w:spacing w:after="120" w:line="300" w:lineRule="exact"/>
              <w:rPr>
                <w:sz w:val="18"/>
              </w:rPr>
            </w:pPr>
            <w:r>
              <w:rPr>
                <w:sz w:val="18"/>
              </w:rPr>
              <w:t>1990</w:t>
            </w:r>
          </w:p>
        </w:tc>
        <w:tc>
          <w:tcPr>
            <w:tcW w:w="2491" w:type="dxa"/>
          </w:tcPr>
          <w:p w:rsidR="00000000" w:rsidRDefault="004D2F83">
            <w:pPr>
              <w:spacing w:after="120" w:line="300" w:lineRule="exact"/>
              <w:jc w:val="center"/>
              <w:rPr>
                <w:sz w:val="18"/>
              </w:rPr>
            </w:pPr>
            <w:r>
              <w:rPr>
                <w:sz w:val="18"/>
              </w:rPr>
              <w:t>22.9</w:t>
            </w:r>
          </w:p>
        </w:tc>
        <w:tc>
          <w:tcPr>
            <w:tcW w:w="2491" w:type="dxa"/>
          </w:tcPr>
          <w:p w:rsidR="00000000" w:rsidRDefault="004D2F83">
            <w:pPr>
              <w:spacing w:after="120" w:line="300" w:lineRule="exact"/>
              <w:jc w:val="center"/>
              <w:rPr>
                <w:sz w:val="18"/>
              </w:rPr>
            </w:pPr>
            <w:r>
              <w:rPr>
                <w:sz w:val="18"/>
              </w:rPr>
              <w:t>39.2</w:t>
            </w:r>
          </w:p>
        </w:tc>
        <w:tc>
          <w:tcPr>
            <w:tcW w:w="2492" w:type="dxa"/>
          </w:tcPr>
          <w:p w:rsidR="00000000" w:rsidRDefault="004D2F83">
            <w:pPr>
              <w:spacing w:after="120" w:line="300" w:lineRule="exact"/>
              <w:jc w:val="center"/>
              <w:rPr>
                <w:sz w:val="18"/>
              </w:rPr>
            </w:pPr>
            <w:r>
              <w:rPr>
                <w:sz w:val="18"/>
              </w:rPr>
              <w:t>35.5</w:t>
            </w:r>
          </w:p>
        </w:tc>
      </w:tr>
      <w:tr w:rsidR="00000000">
        <w:tblPrEx>
          <w:tblCellMar>
            <w:top w:w="0" w:type="dxa"/>
            <w:bottom w:w="0" w:type="dxa"/>
          </w:tblCellMar>
        </w:tblPrEx>
        <w:tc>
          <w:tcPr>
            <w:tcW w:w="2382" w:type="dxa"/>
          </w:tcPr>
          <w:p w:rsidR="00000000" w:rsidRDefault="004D2F83">
            <w:pPr>
              <w:spacing w:after="120" w:line="300" w:lineRule="exact"/>
              <w:rPr>
                <w:sz w:val="18"/>
              </w:rPr>
            </w:pPr>
            <w:r>
              <w:rPr>
                <w:sz w:val="18"/>
              </w:rPr>
              <w:t>1993</w:t>
            </w:r>
          </w:p>
        </w:tc>
        <w:tc>
          <w:tcPr>
            <w:tcW w:w="2491" w:type="dxa"/>
          </w:tcPr>
          <w:p w:rsidR="00000000" w:rsidRDefault="004D2F83">
            <w:pPr>
              <w:spacing w:after="120" w:line="300" w:lineRule="exact"/>
              <w:jc w:val="center"/>
              <w:rPr>
                <w:sz w:val="18"/>
              </w:rPr>
            </w:pPr>
            <w:r>
              <w:rPr>
                <w:sz w:val="18"/>
              </w:rPr>
              <w:t>28.1</w:t>
            </w:r>
          </w:p>
        </w:tc>
        <w:tc>
          <w:tcPr>
            <w:tcW w:w="2491" w:type="dxa"/>
          </w:tcPr>
          <w:p w:rsidR="00000000" w:rsidRDefault="004D2F83">
            <w:pPr>
              <w:spacing w:after="120" w:line="300" w:lineRule="exact"/>
              <w:jc w:val="center"/>
              <w:rPr>
                <w:sz w:val="18"/>
              </w:rPr>
            </w:pPr>
            <w:r>
              <w:rPr>
                <w:sz w:val="18"/>
              </w:rPr>
              <w:t>47.0</w:t>
            </w:r>
          </w:p>
        </w:tc>
        <w:tc>
          <w:tcPr>
            <w:tcW w:w="2492" w:type="dxa"/>
          </w:tcPr>
          <w:p w:rsidR="00000000" w:rsidRDefault="004D2F83">
            <w:pPr>
              <w:spacing w:after="120" w:line="300" w:lineRule="exact"/>
              <w:jc w:val="center"/>
              <w:rPr>
                <w:sz w:val="18"/>
              </w:rPr>
            </w:pPr>
            <w:r>
              <w:rPr>
                <w:sz w:val="18"/>
              </w:rPr>
              <w:t>39.6</w:t>
            </w:r>
          </w:p>
        </w:tc>
      </w:tr>
      <w:tr w:rsidR="00000000">
        <w:tblPrEx>
          <w:tblCellMar>
            <w:top w:w="0" w:type="dxa"/>
            <w:bottom w:w="0" w:type="dxa"/>
          </w:tblCellMar>
        </w:tblPrEx>
        <w:tc>
          <w:tcPr>
            <w:tcW w:w="2382" w:type="dxa"/>
          </w:tcPr>
          <w:p w:rsidR="00000000" w:rsidRDefault="004D2F83">
            <w:pPr>
              <w:spacing w:after="120" w:line="300" w:lineRule="exact"/>
              <w:rPr>
                <w:sz w:val="18"/>
              </w:rPr>
            </w:pPr>
            <w:r>
              <w:rPr>
                <w:sz w:val="18"/>
              </w:rPr>
              <w:t>1995</w:t>
            </w:r>
          </w:p>
        </w:tc>
        <w:tc>
          <w:tcPr>
            <w:tcW w:w="2491" w:type="dxa"/>
          </w:tcPr>
          <w:p w:rsidR="00000000" w:rsidRDefault="004D2F83">
            <w:pPr>
              <w:spacing w:after="120" w:line="300" w:lineRule="exact"/>
              <w:jc w:val="center"/>
              <w:rPr>
                <w:sz w:val="18"/>
              </w:rPr>
            </w:pPr>
            <w:r>
              <w:rPr>
                <w:sz w:val="18"/>
              </w:rPr>
              <w:t>30.0</w:t>
            </w:r>
          </w:p>
        </w:tc>
        <w:tc>
          <w:tcPr>
            <w:tcW w:w="2491" w:type="dxa"/>
          </w:tcPr>
          <w:p w:rsidR="00000000" w:rsidRDefault="004D2F83">
            <w:pPr>
              <w:spacing w:after="120" w:line="300" w:lineRule="exact"/>
              <w:jc w:val="center"/>
              <w:rPr>
                <w:sz w:val="18"/>
              </w:rPr>
            </w:pPr>
            <w:r>
              <w:rPr>
                <w:sz w:val="18"/>
              </w:rPr>
              <w:t>48.1</w:t>
            </w:r>
          </w:p>
        </w:tc>
        <w:tc>
          <w:tcPr>
            <w:tcW w:w="2492" w:type="dxa"/>
          </w:tcPr>
          <w:p w:rsidR="00000000" w:rsidRDefault="004D2F83">
            <w:pPr>
              <w:spacing w:after="120" w:line="300" w:lineRule="exact"/>
              <w:jc w:val="center"/>
              <w:rPr>
                <w:sz w:val="18"/>
              </w:rPr>
            </w:pPr>
            <w:r>
              <w:rPr>
                <w:sz w:val="18"/>
              </w:rPr>
              <w:t>40.4</w:t>
            </w:r>
          </w:p>
        </w:tc>
      </w:tr>
      <w:tr w:rsidR="00000000">
        <w:tblPrEx>
          <w:tblCellMar>
            <w:top w:w="0" w:type="dxa"/>
            <w:bottom w:w="0" w:type="dxa"/>
          </w:tblCellMar>
        </w:tblPrEx>
        <w:tc>
          <w:tcPr>
            <w:tcW w:w="2382" w:type="dxa"/>
          </w:tcPr>
          <w:p w:rsidR="00000000" w:rsidRDefault="004D2F83">
            <w:pPr>
              <w:spacing w:after="120" w:line="300" w:lineRule="exact"/>
              <w:rPr>
                <w:sz w:val="18"/>
              </w:rPr>
            </w:pPr>
            <w:r>
              <w:rPr>
                <w:sz w:val="18"/>
              </w:rPr>
              <w:t>1998</w:t>
            </w:r>
          </w:p>
        </w:tc>
        <w:tc>
          <w:tcPr>
            <w:tcW w:w="2491" w:type="dxa"/>
          </w:tcPr>
          <w:p w:rsidR="00000000" w:rsidRDefault="004D2F83">
            <w:pPr>
              <w:spacing w:after="120" w:line="300" w:lineRule="exact"/>
              <w:jc w:val="center"/>
              <w:rPr>
                <w:sz w:val="18"/>
              </w:rPr>
            </w:pPr>
            <w:r>
              <w:rPr>
                <w:sz w:val="18"/>
              </w:rPr>
              <w:t>31.3</w:t>
            </w:r>
          </w:p>
        </w:tc>
        <w:tc>
          <w:tcPr>
            <w:tcW w:w="2491" w:type="dxa"/>
          </w:tcPr>
          <w:p w:rsidR="00000000" w:rsidRDefault="004D2F83">
            <w:pPr>
              <w:spacing w:after="120" w:line="300" w:lineRule="exact"/>
              <w:jc w:val="center"/>
              <w:rPr>
                <w:sz w:val="18"/>
              </w:rPr>
            </w:pPr>
            <w:r>
              <w:rPr>
                <w:sz w:val="18"/>
              </w:rPr>
              <w:t>47.6</w:t>
            </w:r>
          </w:p>
        </w:tc>
        <w:tc>
          <w:tcPr>
            <w:tcW w:w="2492" w:type="dxa"/>
          </w:tcPr>
          <w:p w:rsidR="00000000" w:rsidRDefault="004D2F83">
            <w:pPr>
              <w:spacing w:after="120" w:line="300" w:lineRule="exact"/>
              <w:jc w:val="center"/>
              <w:rPr>
                <w:sz w:val="18"/>
              </w:rPr>
            </w:pPr>
            <w:r>
              <w:rPr>
                <w:sz w:val="18"/>
              </w:rPr>
              <w:t>40.7</w:t>
            </w:r>
          </w:p>
        </w:tc>
      </w:tr>
      <w:tr w:rsidR="00000000">
        <w:tblPrEx>
          <w:tblCellMar>
            <w:top w:w="0" w:type="dxa"/>
            <w:bottom w:w="0" w:type="dxa"/>
          </w:tblCellMar>
        </w:tblPrEx>
        <w:tc>
          <w:tcPr>
            <w:tcW w:w="2382" w:type="dxa"/>
          </w:tcPr>
          <w:p w:rsidR="00000000" w:rsidRDefault="004D2F83">
            <w:pPr>
              <w:spacing w:after="120" w:line="300" w:lineRule="exact"/>
              <w:rPr>
                <w:rFonts w:eastAsia="SimHei"/>
                <w:sz w:val="18"/>
              </w:rPr>
            </w:pPr>
            <w:r>
              <w:rPr>
                <w:rFonts w:eastAsia="SimHei" w:hint="eastAsia"/>
                <w:sz w:val="18"/>
              </w:rPr>
              <w:t>男子</w:t>
            </w:r>
          </w:p>
        </w:tc>
        <w:tc>
          <w:tcPr>
            <w:tcW w:w="2491" w:type="dxa"/>
          </w:tcPr>
          <w:p w:rsidR="00000000" w:rsidRDefault="004D2F83">
            <w:pPr>
              <w:spacing w:after="120" w:line="300" w:lineRule="exact"/>
              <w:jc w:val="center"/>
              <w:rPr>
                <w:rFonts w:eastAsia="SimHei"/>
                <w:sz w:val="18"/>
              </w:rPr>
            </w:pPr>
          </w:p>
        </w:tc>
        <w:tc>
          <w:tcPr>
            <w:tcW w:w="2491" w:type="dxa"/>
          </w:tcPr>
          <w:p w:rsidR="00000000" w:rsidRDefault="004D2F83">
            <w:pPr>
              <w:spacing w:after="120" w:line="300" w:lineRule="exact"/>
              <w:jc w:val="center"/>
              <w:rPr>
                <w:rFonts w:eastAsia="SimHei"/>
                <w:sz w:val="18"/>
              </w:rPr>
            </w:pPr>
          </w:p>
        </w:tc>
        <w:tc>
          <w:tcPr>
            <w:tcW w:w="2492" w:type="dxa"/>
          </w:tcPr>
          <w:p w:rsidR="00000000" w:rsidRDefault="004D2F83">
            <w:pPr>
              <w:spacing w:after="120" w:line="300" w:lineRule="exact"/>
              <w:jc w:val="center"/>
              <w:rPr>
                <w:rFonts w:eastAsia="SimHei"/>
                <w:sz w:val="18"/>
              </w:rPr>
            </w:pPr>
          </w:p>
        </w:tc>
      </w:tr>
      <w:tr w:rsidR="00000000">
        <w:tblPrEx>
          <w:tblCellMar>
            <w:top w:w="0" w:type="dxa"/>
            <w:bottom w:w="0" w:type="dxa"/>
          </w:tblCellMar>
        </w:tblPrEx>
        <w:tc>
          <w:tcPr>
            <w:tcW w:w="2382" w:type="dxa"/>
          </w:tcPr>
          <w:p w:rsidR="00000000" w:rsidRDefault="004D2F83">
            <w:pPr>
              <w:spacing w:after="120" w:line="300" w:lineRule="exact"/>
              <w:rPr>
                <w:sz w:val="18"/>
              </w:rPr>
            </w:pPr>
            <w:r>
              <w:rPr>
                <w:sz w:val="18"/>
              </w:rPr>
              <w:t>1985</w:t>
            </w:r>
          </w:p>
        </w:tc>
        <w:tc>
          <w:tcPr>
            <w:tcW w:w="2491" w:type="dxa"/>
          </w:tcPr>
          <w:p w:rsidR="00000000" w:rsidRDefault="004D2F83">
            <w:pPr>
              <w:spacing w:after="120" w:line="300" w:lineRule="exact"/>
              <w:jc w:val="center"/>
              <w:rPr>
                <w:sz w:val="18"/>
              </w:rPr>
            </w:pPr>
            <w:r>
              <w:rPr>
                <w:sz w:val="18"/>
              </w:rPr>
              <w:t>36.6</w:t>
            </w:r>
          </w:p>
        </w:tc>
        <w:tc>
          <w:tcPr>
            <w:tcW w:w="2491" w:type="dxa"/>
          </w:tcPr>
          <w:p w:rsidR="00000000" w:rsidRDefault="004D2F83">
            <w:pPr>
              <w:spacing w:after="120" w:line="300" w:lineRule="exact"/>
              <w:jc w:val="center"/>
              <w:rPr>
                <w:sz w:val="18"/>
              </w:rPr>
            </w:pPr>
            <w:r>
              <w:rPr>
                <w:sz w:val="18"/>
              </w:rPr>
              <w:t>70.0</w:t>
            </w:r>
          </w:p>
        </w:tc>
        <w:tc>
          <w:tcPr>
            <w:tcW w:w="2492" w:type="dxa"/>
          </w:tcPr>
          <w:p w:rsidR="00000000" w:rsidRDefault="004D2F83">
            <w:pPr>
              <w:spacing w:after="120" w:line="300" w:lineRule="exact"/>
              <w:jc w:val="center"/>
              <w:rPr>
                <w:sz w:val="18"/>
              </w:rPr>
            </w:pPr>
            <w:r>
              <w:rPr>
                <w:sz w:val="18"/>
              </w:rPr>
              <w:t>66.5</w:t>
            </w:r>
          </w:p>
        </w:tc>
      </w:tr>
      <w:tr w:rsidR="00000000">
        <w:tblPrEx>
          <w:tblCellMar>
            <w:top w:w="0" w:type="dxa"/>
            <w:bottom w:w="0" w:type="dxa"/>
          </w:tblCellMar>
        </w:tblPrEx>
        <w:tc>
          <w:tcPr>
            <w:tcW w:w="2382" w:type="dxa"/>
          </w:tcPr>
          <w:p w:rsidR="00000000" w:rsidRDefault="004D2F83">
            <w:pPr>
              <w:spacing w:after="120" w:line="300" w:lineRule="exact"/>
              <w:rPr>
                <w:sz w:val="18"/>
              </w:rPr>
            </w:pPr>
            <w:r>
              <w:rPr>
                <w:sz w:val="18"/>
              </w:rPr>
              <w:t>1990</w:t>
            </w:r>
          </w:p>
        </w:tc>
        <w:tc>
          <w:tcPr>
            <w:tcW w:w="2491" w:type="dxa"/>
          </w:tcPr>
          <w:p w:rsidR="00000000" w:rsidRDefault="004D2F83">
            <w:pPr>
              <w:spacing w:after="120" w:line="300" w:lineRule="exact"/>
              <w:jc w:val="center"/>
              <w:rPr>
                <w:sz w:val="18"/>
              </w:rPr>
            </w:pPr>
            <w:r>
              <w:rPr>
                <w:sz w:val="18"/>
              </w:rPr>
              <w:t>41.6</w:t>
            </w:r>
          </w:p>
        </w:tc>
        <w:tc>
          <w:tcPr>
            <w:tcW w:w="2491" w:type="dxa"/>
          </w:tcPr>
          <w:p w:rsidR="00000000" w:rsidRDefault="004D2F83">
            <w:pPr>
              <w:spacing w:after="120" w:line="300" w:lineRule="exact"/>
              <w:jc w:val="center"/>
              <w:rPr>
                <w:sz w:val="18"/>
              </w:rPr>
            </w:pPr>
            <w:r>
              <w:rPr>
                <w:sz w:val="18"/>
              </w:rPr>
              <w:t>75.3</w:t>
            </w:r>
          </w:p>
        </w:tc>
        <w:tc>
          <w:tcPr>
            <w:tcW w:w="2492" w:type="dxa"/>
          </w:tcPr>
          <w:p w:rsidR="00000000" w:rsidRDefault="004D2F83">
            <w:pPr>
              <w:spacing w:after="120" w:line="300" w:lineRule="exact"/>
              <w:jc w:val="center"/>
              <w:rPr>
                <w:sz w:val="18"/>
              </w:rPr>
            </w:pPr>
            <w:r>
              <w:rPr>
                <w:sz w:val="18"/>
              </w:rPr>
              <w:t>64.5</w:t>
            </w:r>
          </w:p>
        </w:tc>
      </w:tr>
      <w:tr w:rsidR="00000000">
        <w:tblPrEx>
          <w:tblCellMar>
            <w:top w:w="0" w:type="dxa"/>
            <w:bottom w:w="0" w:type="dxa"/>
          </w:tblCellMar>
        </w:tblPrEx>
        <w:tc>
          <w:tcPr>
            <w:tcW w:w="2382" w:type="dxa"/>
          </w:tcPr>
          <w:p w:rsidR="00000000" w:rsidRDefault="004D2F83">
            <w:pPr>
              <w:spacing w:after="120" w:line="300" w:lineRule="exact"/>
              <w:rPr>
                <w:sz w:val="18"/>
              </w:rPr>
            </w:pPr>
            <w:r>
              <w:rPr>
                <w:sz w:val="18"/>
              </w:rPr>
              <w:t>1993</w:t>
            </w:r>
          </w:p>
        </w:tc>
        <w:tc>
          <w:tcPr>
            <w:tcW w:w="2491" w:type="dxa"/>
          </w:tcPr>
          <w:p w:rsidR="00000000" w:rsidRDefault="004D2F83">
            <w:pPr>
              <w:spacing w:after="120" w:line="300" w:lineRule="exact"/>
              <w:jc w:val="center"/>
              <w:rPr>
                <w:sz w:val="18"/>
              </w:rPr>
            </w:pPr>
            <w:r>
              <w:rPr>
                <w:sz w:val="18"/>
              </w:rPr>
              <w:t>42.9</w:t>
            </w:r>
          </w:p>
        </w:tc>
        <w:tc>
          <w:tcPr>
            <w:tcW w:w="2491" w:type="dxa"/>
          </w:tcPr>
          <w:p w:rsidR="00000000" w:rsidRDefault="004D2F83">
            <w:pPr>
              <w:spacing w:after="120" w:line="300" w:lineRule="exact"/>
              <w:jc w:val="center"/>
              <w:rPr>
                <w:sz w:val="18"/>
              </w:rPr>
            </w:pPr>
            <w:r>
              <w:rPr>
                <w:sz w:val="18"/>
              </w:rPr>
              <w:t>76.0</w:t>
            </w:r>
          </w:p>
        </w:tc>
        <w:tc>
          <w:tcPr>
            <w:tcW w:w="2492" w:type="dxa"/>
          </w:tcPr>
          <w:p w:rsidR="00000000" w:rsidRDefault="004D2F83">
            <w:pPr>
              <w:spacing w:after="120" w:line="300" w:lineRule="exact"/>
              <w:jc w:val="center"/>
              <w:rPr>
                <w:sz w:val="18"/>
              </w:rPr>
            </w:pPr>
            <w:r>
              <w:rPr>
                <w:sz w:val="18"/>
              </w:rPr>
              <w:t>60.4</w:t>
            </w:r>
          </w:p>
        </w:tc>
      </w:tr>
      <w:tr w:rsidR="00000000">
        <w:tblPrEx>
          <w:tblCellMar>
            <w:top w:w="0" w:type="dxa"/>
            <w:bottom w:w="0" w:type="dxa"/>
          </w:tblCellMar>
        </w:tblPrEx>
        <w:tc>
          <w:tcPr>
            <w:tcW w:w="2382" w:type="dxa"/>
          </w:tcPr>
          <w:p w:rsidR="00000000" w:rsidRDefault="004D2F83">
            <w:pPr>
              <w:spacing w:after="120" w:line="300" w:lineRule="exact"/>
              <w:rPr>
                <w:sz w:val="18"/>
              </w:rPr>
            </w:pPr>
            <w:r>
              <w:rPr>
                <w:sz w:val="18"/>
              </w:rPr>
              <w:t>1995</w:t>
            </w:r>
          </w:p>
        </w:tc>
        <w:tc>
          <w:tcPr>
            <w:tcW w:w="2491" w:type="dxa"/>
          </w:tcPr>
          <w:p w:rsidR="00000000" w:rsidRDefault="004D2F83">
            <w:pPr>
              <w:spacing w:after="120" w:line="300" w:lineRule="exact"/>
              <w:jc w:val="center"/>
              <w:rPr>
                <w:sz w:val="18"/>
              </w:rPr>
            </w:pPr>
            <w:r>
              <w:rPr>
                <w:sz w:val="18"/>
              </w:rPr>
              <w:t>44.2</w:t>
            </w:r>
          </w:p>
        </w:tc>
        <w:tc>
          <w:tcPr>
            <w:tcW w:w="2491" w:type="dxa"/>
          </w:tcPr>
          <w:p w:rsidR="00000000" w:rsidRDefault="004D2F83">
            <w:pPr>
              <w:spacing w:after="120" w:line="300" w:lineRule="exact"/>
              <w:jc w:val="center"/>
              <w:rPr>
                <w:sz w:val="18"/>
              </w:rPr>
            </w:pPr>
            <w:r>
              <w:rPr>
                <w:sz w:val="18"/>
              </w:rPr>
              <w:t>75.3</w:t>
            </w:r>
          </w:p>
        </w:tc>
        <w:tc>
          <w:tcPr>
            <w:tcW w:w="2492" w:type="dxa"/>
          </w:tcPr>
          <w:p w:rsidR="00000000" w:rsidRDefault="004D2F83">
            <w:pPr>
              <w:spacing w:after="120" w:line="300" w:lineRule="exact"/>
              <w:jc w:val="center"/>
              <w:rPr>
                <w:sz w:val="18"/>
              </w:rPr>
            </w:pPr>
            <w:r>
              <w:rPr>
                <w:sz w:val="18"/>
              </w:rPr>
              <w:t>59.6</w:t>
            </w:r>
          </w:p>
        </w:tc>
      </w:tr>
      <w:tr w:rsidR="00000000">
        <w:tblPrEx>
          <w:tblCellMar>
            <w:top w:w="0" w:type="dxa"/>
            <w:bottom w:w="0" w:type="dxa"/>
          </w:tblCellMar>
        </w:tblPrEx>
        <w:tc>
          <w:tcPr>
            <w:tcW w:w="2382" w:type="dxa"/>
            <w:tcBorders>
              <w:bottom w:val="single" w:sz="4" w:space="0" w:color="auto"/>
            </w:tcBorders>
          </w:tcPr>
          <w:p w:rsidR="00000000" w:rsidRDefault="004D2F83">
            <w:pPr>
              <w:spacing w:after="120" w:line="300" w:lineRule="exact"/>
              <w:rPr>
                <w:sz w:val="18"/>
              </w:rPr>
            </w:pPr>
            <w:r>
              <w:rPr>
                <w:sz w:val="18"/>
              </w:rPr>
              <w:t>1998</w:t>
            </w:r>
          </w:p>
        </w:tc>
        <w:tc>
          <w:tcPr>
            <w:tcW w:w="2491" w:type="dxa"/>
            <w:tcBorders>
              <w:bottom w:val="single" w:sz="4" w:space="0" w:color="auto"/>
            </w:tcBorders>
          </w:tcPr>
          <w:p w:rsidR="00000000" w:rsidRDefault="004D2F83">
            <w:pPr>
              <w:spacing w:after="120" w:line="300" w:lineRule="exact"/>
              <w:jc w:val="center"/>
              <w:rPr>
                <w:sz w:val="18"/>
              </w:rPr>
            </w:pPr>
            <w:r>
              <w:rPr>
                <w:sz w:val="18"/>
              </w:rPr>
              <w:t>45.6</w:t>
            </w:r>
          </w:p>
        </w:tc>
        <w:tc>
          <w:tcPr>
            <w:tcW w:w="2491" w:type="dxa"/>
            <w:tcBorders>
              <w:bottom w:val="single" w:sz="4" w:space="0" w:color="auto"/>
            </w:tcBorders>
          </w:tcPr>
          <w:p w:rsidR="00000000" w:rsidRDefault="004D2F83">
            <w:pPr>
              <w:spacing w:after="120" w:line="300" w:lineRule="exact"/>
              <w:jc w:val="center"/>
              <w:rPr>
                <w:sz w:val="18"/>
              </w:rPr>
            </w:pPr>
            <w:r>
              <w:rPr>
                <w:sz w:val="18"/>
              </w:rPr>
              <w:t>73.6</w:t>
            </w:r>
          </w:p>
        </w:tc>
        <w:tc>
          <w:tcPr>
            <w:tcW w:w="2492" w:type="dxa"/>
            <w:tcBorders>
              <w:bottom w:val="single" w:sz="4" w:space="0" w:color="auto"/>
            </w:tcBorders>
          </w:tcPr>
          <w:p w:rsidR="00000000" w:rsidRDefault="004D2F83">
            <w:pPr>
              <w:pStyle w:val="Header"/>
              <w:pBdr>
                <w:bottom w:val="none" w:sz="0" w:space="0" w:color="auto"/>
              </w:pBdr>
              <w:tabs>
                <w:tab w:val="clear" w:pos="4320"/>
                <w:tab w:val="clear" w:pos="8640"/>
              </w:tabs>
              <w:spacing w:after="120" w:line="300" w:lineRule="exact"/>
            </w:pPr>
            <w:r>
              <w:t>59.3</w:t>
            </w:r>
          </w:p>
        </w:tc>
      </w:tr>
    </w:tbl>
    <w:p w:rsidR="00000000" w:rsidRDefault="004D2F83">
      <w:pPr>
        <w:spacing w:after="120" w:line="360" w:lineRule="exact"/>
        <w:rPr>
          <w:sz w:val="18"/>
        </w:rPr>
      </w:pPr>
      <w:r>
        <w:rPr>
          <w:sz w:val="18"/>
        </w:rPr>
        <w:t>PEA</w:t>
      </w:r>
      <w:r>
        <w:rPr>
          <w:rFonts w:hint="eastAsia"/>
          <w:sz w:val="18"/>
        </w:rPr>
        <w:t>——从事经济活动人口</w:t>
      </w:r>
    </w:p>
    <w:p w:rsidR="00000000" w:rsidRDefault="004D2F83">
      <w:pPr>
        <w:spacing w:after="120" w:line="360" w:lineRule="exact"/>
        <w:rPr>
          <w:sz w:val="18"/>
        </w:rPr>
      </w:pPr>
      <w:r>
        <w:rPr>
          <w:rFonts w:eastAsia="SimHei" w:hint="eastAsia"/>
          <w:sz w:val="18"/>
        </w:rPr>
        <w:t>资料来源</w:t>
      </w:r>
      <w:r>
        <w:rPr>
          <w:rFonts w:hint="eastAsia"/>
          <w:sz w:val="18"/>
        </w:rPr>
        <w:t>：女性劳动力数据库。《劳动力市场中人数众多的妇女》统计丛刊。</w:t>
      </w:r>
    </w:p>
    <w:p w:rsidR="00000000" w:rsidRDefault="004D2F83">
      <w:pPr>
        <w:spacing w:after="240" w:line="360" w:lineRule="exact"/>
        <w:rPr>
          <w:sz w:val="18"/>
        </w:rPr>
      </w:pPr>
      <w:hyperlink r:id="rId10" w:history="1">
        <w:r>
          <w:rPr>
            <w:rStyle w:val="Hyperlink"/>
            <w:sz w:val="18"/>
          </w:rPr>
          <w:t>http://www.fcc.org.br</w:t>
        </w:r>
      </w:hyperlink>
      <w:r>
        <w:rPr>
          <w:rFonts w:hint="eastAsia"/>
          <w:sz w:val="18"/>
        </w:rPr>
        <w:t>。</w:t>
      </w:r>
    </w:p>
    <w:p w:rsidR="00000000" w:rsidRDefault="004D2F83" w:rsidP="004D2F83">
      <w:pPr>
        <w:spacing w:after="240" w:line="360" w:lineRule="exact"/>
        <w:ind w:firstLineChars="200" w:firstLine="31680"/>
      </w:pPr>
      <w:r>
        <w:rPr>
          <w:rFonts w:hint="eastAsia"/>
        </w:rPr>
        <w:t>妇女活动大幅增加——</w:t>
      </w:r>
      <w:r>
        <w:rPr>
          <w:rFonts w:hint="eastAsia"/>
        </w:rPr>
        <w:t>19</w:t>
      </w:r>
      <w:r>
        <w:t>70</w:t>
      </w:r>
      <w:r>
        <w:rPr>
          <w:rFonts w:hint="eastAsia"/>
        </w:rPr>
        <w:t>年代以来巴西发生的最重要的变化之一，其原因不仅是经济需要和特殊环境提供了市场机遇，而且还</w:t>
      </w:r>
      <w:r>
        <w:rPr>
          <w:rFonts w:hint="eastAsia"/>
        </w:rPr>
        <w:t>有一个重要原因，那就是巴西在人口、文化和社会领域发生的变化，这些变化影响到巴西妇女和家庭。人口出生率的锐减</w:t>
      </w:r>
      <w:r>
        <w:rPr>
          <w:rStyle w:val="FootnoteReference"/>
        </w:rPr>
        <w:footnoteReference w:customMarkFollows="1" w:id="99"/>
        <w:t>99</w:t>
      </w:r>
      <w:r>
        <w:rPr>
          <w:rFonts w:hint="eastAsia"/>
        </w:rPr>
        <w:t>使妇女能够进入劳动力市场，特别是在巴西最发达的城市和地区。受教育水平提高和接受高等教育机会的增多使妇女能够得到新的工作机会。最后，文化模式和与妇女的社会作用相关的价值标准的改变自</w:t>
      </w:r>
      <w:r>
        <w:rPr>
          <w:rFonts w:hint="eastAsia"/>
        </w:rPr>
        <w:t>19</w:t>
      </w:r>
      <w:r>
        <w:t>70</w:t>
      </w:r>
      <w:r>
        <w:rPr>
          <w:rFonts w:hint="eastAsia"/>
        </w:rPr>
        <w:t>年代以来因为女权运动影响和越来越多的妇女走上公共舞台而得到加强；这样的变化改变了女性特性的构成，妇女越来越多地表现出适应生产劳动的特性。大量的变化在一起就形成了不仅可以解释女性在业人数增长而且也可说明女性劳动力的状况</w:t>
      </w:r>
      <w:r>
        <w:rPr>
          <w:rFonts w:hint="eastAsia"/>
        </w:rPr>
        <w:t>发生变化的因素之一。</w:t>
      </w:r>
    </w:p>
    <w:p w:rsidR="00000000" w:rsidRDefault="004D2F83" w:rsidP="004D2F83">
      <w:pPr>
        <w:spacing w:after="240" w:line="360" w:lineRule="exact"/>
        <w:ind w:firstLineChars="200" w:firstLine="31680"/>
      </w:pPr>
      <w:r>
        <w:rPr>
          <w:rFonts w:hint="eastAsia"/>
        </w:rPr>
        <w:t>不过，由于始终需要兼顾职业与家庭的双重角色这就限制了妇女参加工作的机会，尽管这取决于个人和家庭特点的复杂关联作用。婚姻状况和有无子女，以及工作女性的年龄和受教育水平、家庭类别的特点，例如生命周期（子女年幼的成长中家庭、有青少年子女的成熟家庭、老年人家庭，等等）和家庭的结构（由夫妻组成的家庭、女户主家庭、与其他亲属共同生活的家庭，等等）都是始终影响妇女进入并留在劳动力市场的决定性因素，尽管经济需要和工作机会也起着至关重要的作用。应当记住的是，妇女工作不但取决于有关妇女需要的市场需求和对满</w:t>
      </w:r>
      <w:r>
        <w:rPr>
          <w:rFonts w:hint="eastAsia"/>
        </w:rPr>
        <w:t>足这种需求的资格的要求，而且还取决于上述因素的复杂和时常变化的结合，不过，应当强调的是，这种情况并不影响男性劳动力的活动。</w:t>
      </w:r>
    </w:p>
    <w:p w:rsidR="00000000" w:rsidRDefault="004D2F83" w:rsidP="004D2F83">
      <w:pPr>
        <w:spacing w:after="240" w:line="360" w:lineRule="exact"/>
        <w:ind w:firstLineChars="200" w:firstLine="31680"/>
      </w:pPr>
      <w:r>
        <w:rPr>
          <w:rFonts w:hint="eastAsia"/>
        </w:rPr>
        <w:t>如表</w:t>
      </w:r>
      <w:r>
        <w:t>31</w:t>
      </w:r>
      <w:r>
        <w:rPr>
          <w:rFonts w:hint="eastAsia"/>
        </w:rPr>
        <w:t>所示，尽管女性在业规模在所有年龄组都有扩大，但较大年龄组的增长最为显著。该趋势从</w:t>
      </w:r>
      <w:r>
        <w:rPr>
          <w:rFonts w:hint="eastAsia"/>
        </w:rPr>
        <w:t>19</w:t>
      </w:r>
      <w:r>
        <w:t>80</w:t>
      </w:r>
      <w:r>
        <w:rPr>
          <w:rFonts w:hint="eastAsia"/>
        </w:rPr>
        <w:t>年代开始出现，在</w:t>
      </w:r>
      <w:r>
        <w:rPr>
          <w:rFonts w:hint="eastAsia"/>
        </w:rPr>
        <w:t>19</w:t>
      </w:r>
      <w:r>
        <w:t>90</w:t>
      </w:r>
      <w:r>
        <w:rPr>
          <w:rFonts w:hint="eastAsia"/>
        </w:rPr>
        <w:t>年代加速发展。</w:t>
      </w:r>
      <w:r>
        <w:t>1998</w:t>
      </w:r>
      <w:r>
        <w:rPr>
          <w:rFonts w:hint="eastAsia"/>
        </w:rPr>
        <w:t>年，最高的在业率超过</w:t>
      </w:r>
      <w:r>
        <w:t>66%</w:t>
      </w:r>
      <w:r>
        <w:rPr>
          <w:rFonts w:hint="eastAsia"/>
        </w:rPr>
        <w:t>，出现在</w:t>
      </w:r>
      <w:r>
        <w:t>30-39</w:t>
      </w:r>
      <w:r>
        <w:rPr>
          <w:rFonts w:hint="eastAsia"/>
        </w:rPr>
        <w:t>岁的年龄组，其次是</w:t>
      </w:r>
      <w:r>
        <w:t>25-29</w:t>
      </w:r>
      <w:r>
        <w:rPr>
          <w:rFonts w:hint="eastAsia"/>
        </w:rPr>
        <w:t>岁年龄组（</w:t>
      </w:r>
      <w:r>
        <w:t>64%</w:t>
      </w:r>
      <w:r>
        <w:rPr>
          <w:rFonts w:hint="eastAsia"/>
        </w:rPr>
        <w:t>）。不过，年龄在</w:t>
      </w:r>
      <w:r>
        <w:t>40</w:t>
      </w:r>
      <w:r>
        <w:rPr>
          <w:rFonts w:hint="eastAsia"/>
        </w:rPr>
        <w:t>到</w:t>
      </w:r>
      <w:r>
        <w:t>49</w:t>
      </w:r>
      <w:r>
        <w:rPr>
          <w:rFonts w:hint="eastAsia"/>
        </w:rPr>
        <w:t>岁的妇女的在业率也很高——</w:t>
      </w:r>
      <w:r>
        <w:t>63%</w:t>
      </w:r>
      <w:r>
        <w:rPr>
          <w:rFonts w:hint="eastAsia"/>
        </w:rPr>
        <w:t>，从这些数据可以看出劳动力市场越来越青睐年龄较大的妇女。</w:t>
      </w:r>
    </w:p>
    <w:p w:rsidR="00000000" w:rsidRDefault="004D2F83">
      <w:pPr>
        <w:spacing w:after="240" w:line="360" w:lineRule="exact"/>
        <w:jc w:val="center"/>
        <w:rPr>
          <w:rFonts w:ascii="SimHei" w:eastAsia="SimHei"/>
        </w:rPr>
      </w:pPr>
      <w:r>
        <w:rPr>
          <w:rFonts w:ascii="SimHei" w:eastAsia="SimHei" w:hint="eastAsia"/>
        </w:rPr>
        <w:t>表</w:t>
      </w:r>
      <w:r>
        <w:rPr>
          <w:rFonts w:ascii="SimHei" w:eastAsia="SimHei"/>
        </w:rPr>
        <w:t>34</w:t>
      </w:r>
      <w:r>
        <w:rPr>
          <w:rFonts w:ascii="SimHei" w:eastAsia="SimHei" w:hint="eastAsia"/>
        </w:rPr>
        <w:t>：按年龄和性别分列的活动率，巴西</w:t>
      </w:r>
    </w:p>
    <w:tbl>
      <w:tblPr>
        <w:tblW w:w="4946" w:type="pct"/>
        <w:tblInd w:w="108" w:type="dxa"/>
        <w:tblLook w:val="0000" w:firstRow="0" w:lastRow="0" w:firstColumn="0" w:lastColumn="0" w:noHBand="0" w:noVBand="0"/>
      </w:tblPr>
      <w:tblGrid>
        <w:gridCol w:w="1552"/>
        <w:gridCol w:w="1660"/>
        <w:gridCol w:w="1660"/>
        <w:gridCol w:w="1662"/>
        <w:gridCol w:w="1662"/>
        <w:gridCol w:w="1660"/>
      </w:tblGrid>
      <w:tr w:rsidR="00000000">
        <w:tc>
          <w:tcPr>
            <w:tcW w:w="787" w:type="pct"/>
            <w:tcBorders>
              <w:top w:val="single" w:sz="4" w:space="0" w:color="auto"/>
              <w:bottom w:val="single" w:sz="4" w:space="0" w:color="auto"/>
            </w:tcBorders>
          </w:tcPr>
          <w:p w:rsidR="00000000" w:rsidRDefault="004D2F83">
            <w:pPr>
              <w:spacing w:after="120" w:line="320" w:lineRule="exact"/>
              <w:rPr>
                <w:rFonts w:eastAsia="SimHei"/>
                <w:sz w:val="18"/>
              </w:rPr>
            </w:pPr>
            <w:r>
              <w:rPr>
                <w:rFonts w:eastAsia="SimHei" w:hint="eastAsia"/>
                <w:sz w:val="18"/>
              </w:rPr>
              <w:t>年</w:t>
            </w:r>
            <w:r>
              <w:rPr>
                <w:rFonts w:eastAsia="SimHei" w:hint="eastAsia"/>
                <w:sz w:val="18"/>
              </w:rPr>
              <w:t>龄段和性别</w:t>
            </w:r>
          </w:p>
        </w:tc>
        <w:tc>
          <w:tcPr>
            <w:tcW w:w="842" w:type="pct"/>
            <w:tcBorders>
              <w:top w:val="single" w:sz="4" w:space="0" w:color="auto"/>
              <w:bottom w:val="single" w:sz="4" w:space="0" w:color="auto"/>
            </w:tcBorders>
          </w:tcPr>
          <w:p w:rsidR="00000000" w:rsidRDefault="004D2F83">
            <w:pPr>
              <w:spacing w:after="120" w:line="320" w:lineRule="exact"/>
              <w:jc w:val="center"/>
              <w:rPr>
                <w:b/>
                <w:bCs/>
                <w:sz w:val="18"/>
              </w:rPr>
            </w:pPr>
            <w:r>
              <w:rPr>
                <w:b/>
                <w:bCs/>
                <w:sz w:val="18"/>
              </w:rPr>
              <w:t>1985</w:t>
            </w:r>
          </w:p>
        </w:tc>
        <w:tc>
          <w:tcPr>
            <w:tcW w:w="842" w:type="pct"/>
            <w:tcBorders>
              <w:top w:val="single" w:sz="4" w:space="0" w:color="auto"/>
              <w:bottom w:val="single" w:sz="4" w:space="0" w:color="auto"/>
            </w:tcBorders>
          </w:tcPr>
          <w:p w:rsidR="00000000" w:rsidRDefault="004D2F83">
            <w:pPr>
              <w:spacing w:after="120" w:line="320" w:lineRule="exact"/>
              <w:jc w:val="center"/>
              <w:rPr>
                <w:b/>
                <w:bCs/>
                <w:sz w:val="18"/>
              </w:rPr>
            </w:pPr>
            <w:r>
              <w:rPr>
                <w:b/>
                <w:bCs/>
                <w:sz w:val="18"/>
              </w:rPr>
              <w:t>1990</w:t>
            </w:r>
          </w:p>
        </w:tc>
        <w:tc>
          <w:tcPr>
            <w:tcW w:w="843" w:type="pct"/>
            <w:tcBorders>
              <w:top w:val="single" w:sz="4" w:space="0" w:color="auto"/>
              <w:bottom w:val="single" w:sz="4" w:space="0" w:color="auto"/>
            </w:tcBorders>
          </w:tcPr>
          <w:p w:rsidR="00000000" w:rsidRDefault="004D2F83">
            <w:pPr>
              <w:spacing w:after="120" w:line="320" w:lineRule="exact"/>
              <w:jc w:val="center"/>
              <w:rPr>
                <w:b/>
                <w:bCs/>
                <w:sz w:val="18"/>
              </w:rPr>
            </w:pPr>
            <w:r>
              <w:rPr>
                <w:b/>
                <w:bCs/>
                <w:sz w:val="18"/>
              </w:rPr>
              <w:t>1993</w:t>
            </w:r>
          </w:p>
        </w:tc>
        <w:tc>
          <w:tcPr>
            <w:tcW w:w="843" w:type="pct"/>
            <w:tcBorders>
              <w:top w:val="single" w:sz="4" w:space="0" w:color="auto"/>
              <w:bottom w:val="single" w:sz="4" w:space="0" w:color="auto"/>
            </w:tcBorders>
          </w:tcPr>
          <w:p w:rsidR="00000000" w:rsidRDefault="004D2F83">
            <w:pPr>
              <w:spacing w:after="120" w:line="320" w:lineRule="exact"/>
              <w:jc w:val="center"/>
              <w:rPr>
                <w:b/>
                <w:bCs/>
                <w:sz w:val="18"/>
              </w:rPr>
            </w:pPr>
            <w:r>
              <w:rPr>
                <w:b/>
                <w:bCs/>
                <w:sz w:val="18"/>
              </w:rPr>
              <w:t>1995</w:t>
            </w:r>
          </w:p>
        </w:tc>
        <w:tc>
          <w:tcPr>
            <w:tcW w:w="842" w:type="pct"/>
            <w:tcBorders>
              <w:top w:val="single" w:sz="4" w:space="0" w:color="auto"/>
              <w:bottom w:val="single" w:sz="4" w:space="0" w:color="auto"/>
            </w:tcBorders>
          </w:tcPr>
          <w:p w:rsidR="00000000" w:rsidRDefault="004D2F83">
            <w:pPr>
              <w:spacing w:after="120" w:line="320" w:lineRule="exact"/>
              <w:jc w:val="center"/>
              <w:rPr>
                <w:b/>
                <w:bCs/>
                <w:sz w:val="18"/>
              </w:rPr>
            </w:pPr>
            <w:r>
              <w:rPr>
                <w:b/>
                <w:bCs/>
                <w:sz w:val="18"/>
              </w:rPr>
              <w:t>1998</w:t>
            </w:r>
          </w:p>
        </w:tc>
      </w:tr>
      <w:tr w:rsidR="00000000">
        <w:tc>
          <w:tcPr>
            <w:tcW w:w="787" w:type="pct"/>
            <w:tcBorders>
              <w:top w:val="single" w:sz="4" w:space="0" w:color="auto"/>
            </w:tcBorders>
          </w:tcPr>
          <w:p w:rsidR="00000000" w:rsidRDefault="004D2F83">
            <w:pPr>
              <w:spacing w:after="120" w:line="320" w:lineRule="exact"/>
              <w:rPr>
                <w:rFonts w:eastAsia="SimHei"/>
                <w:sz w:val="18"/>
              </w:rPr>
            </w:pPr>
            <w:r>
              <w:rPr>
                <w:rFonts w:eastAsia="SimHei" w:hint="eastAsia"/>
                <w:sz w:val="18"/>
              </w:rPr>
              <w:t>男子</w:t>
            </w:r>
          </w:p>
        </w:tc>
        <w:tc>
          <w:tcPr>
            <w:tcW w:w="842" w:type="pct"/>
            <w:tcBorders>
              <w:top w:val="single" w:sz="4" w:space="0" w:color="auto"/>
            </w:tcBorders>
          </w:tcPr>
          <w:p w:rsidR="00000000" w:rsidRDefault="004D2F83">
            <w:pPr>
              <w:spacing w:after="120" w:line="320" w:lineRule="exact"/>
              <w:rPr>
                <w:rFonts w:eastAsia="SimHei"/>
                <w:sz w:val="18"/>
              </w:rPr>
            </w:pPr>
          </w:p>
        </w:tc>
        <w:tc>
          <w:tcPr>
            <w:tcW w:w="842" w:type="pct"/>
            <w:tcBorders>
              <w:top w:val="single" w:sz="4" w:space="0" w:color="auto"/>
            </w:tcBorders>
          </w:tcPr>
          <w:p w:rsidR="00000000" w:rsidRDefault="004D2F83">
            <w:pPr>
              <w:spacing w:after="120" w:line="320" w:lineRule="exact"/>
              <w:rPr>
                <w:rFonts w:eastAsia="SimHei"/>
                <w:sz w:val="18"/>
              </w:rPr>
            </w:pPr>
          </w:p>
        </w:tc>
        <w:tc>
          <w:tcPr>
            <w:tcW w:w="843" w:type="pct"/>
            <w:tcBorders>
              <w:top w:val="single" w:sz="4" w:space="0" w:color="auto"/>
            </w:tcBorders>
          </w:tcPr>
          <w:p w:rsidR="00000000" w:rsidRDefault="004D2F83">
            <w:pPr>
              <w:spacing w:after="120" w:line="320" w:lineRule="exact"/>
              <w:rPr>
                <w:rFonts w:eastAsia="SimHei"/>
                <w:sz w:val="18"/>
              </w:rPr>
            </w:pPr>
          </w:p>
        </w:tc>
        <w:tc>
          <w:tcPr>
            <w:tcW w:w="843" w:type="pct"/>
            <w:tcBorders>
              <w:top w:val="single" w:sz="4" w:space="0" w:color="auto"/>
            </w:tcBorders>
          </w:tcPr>
          <w:p w:rsidR="00000000" w:rsidRDefault="004D2F83">
            <w:pPr>
              <w:spacing w:after="120" w:line="320" w:lineRule="exact"/>
              <w:rPr>
                <w:rFonts w:eastAsia="SimHei"/>
                <w:sz w:val="18"/>
              </w:rPr>
            </w:pPr>
          </w:p>
        </w:tc>
        <w:tc>
          <w:tcPr>
            <w:tcW w:w="842" w:type="pct"/>
            <w:tcBorders>
              <w:top w:val="single" w:sz="4" w:space="0" w:color="auto"/>
            </w:tcBorders>
          </w:tcPr>
          <w:p w:rsidR="00000000" w:rsidRDefault="004D2F83">
            <w:pPr>
              <w:spacing w:after="120" w:line="320" w:lineRule="exact"/>
              <w:rPr>
                <w:rFonts w:eastAsia="SimHei"/>
                <w:sz w:val="18"/>
              </w:rPr>
            </w:pPr>
          </w:p>
        </w:tc>
      </w:tr>
      <w:tr w:rsidR="00000000">
        <w:tc>
          <w:tcPr>
            <w:tcW w:w="787" w:type="pct"/>
          </w:tcPr>
          <w:p w:rsidR="00000000" w:rsidRDefault="004D2F83">
            <w:pPr>
              <w:spacing w:after="120" w:line="320" w:lineRule="exact"/>
              <w:rPr>
                <w:sz w:val="18"/>
              </w:rPr>
            </w:pPr>
            <w:r>
              <w:rPr>
                <w:sz w:val="18"/>
              </w:rPr>
              <w:t>10-14</w:t>
            </w:r>
            <w:r>
              <w:rPr>
                <w:rFonts w:hint="eastAsia"/>
                <w:sz w:val="18"/>
              </w:rPr>
              <w:t>岁</w:t>
            </w:r>
          </w:p>
        </w:tc>
        <w:tc>
          <w:tcPr>
            <w:tcW w:w="842" w:type="pct"/>
          </w:tcPr>
          <w:p w:rsidR="00000000" w:rsidRDefault="004D2F83">
            <w:pPr>
              <w:spacing w:after="120" w:line="320" w:lineRule="exact"/>
              <w:jc w:val="center"/>
              <w:rPr>
                <w:sz w:val="18"/>
              </w:rPr>
            </w:pPr>
            <w:r>
              <w:rPr>
                <w:sz w:val="18"/>
              </w:rPr>
              <w:t>26.5</w:t>
            </w:r>
          </w:p>
        </w:tc>
        <w:tc>
          <w:tcPr>
            <w:tcW w:w="842" w:type="pct"/>
          </w:tcPr>
          <w:p w:rsidR="00000000" w:rsidRDefault="004D2F83">
            <w:pPr>
              <w:spacing w:after="120" w:line="320" w:lineRule="exact"/>
              <w:jc w:val="center"/>
              <w:rPr>
                <w:sz w:val="18"/>
              </w:rPr>
            </w:pPr>
            <w:r>
              <w:rPr>
                <w:sz w:val="18"/>
              </w:rPr>
              <w:t>24.3</w:t>
            </w:r>
          </w:p>
        </w:tc>
        <w:tc>
          <w:tcPr>
            <w:tcW w:w="843" w:type="pct"/>
          </w:tcPr>
          <w:p w:rsidR="00000000" w:rsidRDefault="004D2F83">
            <w:pPr>
              <w:spacing w:after="120" w:line="320" w:lineRule="exact"/>
              <w:jc w:val="center"/>
              <w:rPr>
                <w:sz w:val="18"/>
              </w:rPr>
            </w:pPr>
            <w:r>
              <w:rPr>
                <w:sz w:val="18"/>
              </w:rPr>
              <w:t>28.1</w:t>
            </w:r>
          </w:p>
        </w:tc>
        <w:tc>
          <w:tcPr>
            <w:tcW w:w="843" w:type="pct"/>
          </w:tcPr>
          <w:p w:rsidR="00000000" w:rsidRDefault="004D2F83">
            <w:pPr>
              <w:spacing w:after="120" w:line="320" w:lineRule="exact"/>
              <w:jc w:val="center"/>
              <w:rPr>
                <w:sz w:val="18"/>
              </w:rPr>
            </w:pPr>
            <w:r>
              <w:rPr>
                <w:sz w:val="18"/>
              </w:rPr>
              <w:t>26.4</w:t>
            </w:r>
          </w:p>
        </w:tc>
        <w:tc>
          <w:tcPr>
            <w:tcW w:w="842" w:type="pct"/>
          </w:tcPr>
          <w:p w:rsidR="00000000" w:rsidRDefault="004D2F83">
            <w:pPr>
              <w:spacing w:after="120" w:line="320" w:lineRule="exact"/>
              <w:jc w:val="center"/>
              <w:rPr>
                <w:sz w:val="18"/>
              </w:rPr>
            </w:pPr>
            <w:r>
              <w:rPr>
                <w:sz w:val="18"/>
              </w:rPr>
              <w:t>21.6</w:t>
            </w:r>
          </w:p>
        </w:tc>
      </w:tr>
      <w:tr w:rsidR="00000000">
        <w:tc>
          <w:tcPr>
            <w:tcW w:w="787" w:type="pct"/>
          </w:tcPr>
          <w:p w:rsidR="00000000" w:rsidRDefault="004D2F83">
            <w:pPr>
              <w:spacing w:after="120" w:line="320" w:lineRule="exact"/>
              <w:rPr>
                <w:sz w:val="18"/>
              </w:rPr>
            </w:pPr>
            <w:r>
              <w:rPr>
                <w:sz w:val="18"/>
              </w:rPr>
              <w:t>15-19</w:t>
            </w:r>
            <w:r>
              <w:rPr>
                <w:rFonts w:hint="eastAsia"/>
                <w:sz w:val="18"/>
              </w:rPr>
              <w:t>岁</w:t>
            </w:r>
          </w:p>
        </w:tc>
        <w:tc>
          <w:tcPr>
            <w:tcW w:w="842" w:type="pct"/>
          </w:tcPr>
          <w:p w:rsidR="00000000" w:rsidRDefault="004D2F83">
            <w:pPr>
              <w:spacing w:after="120" w:line="320" w:lineRule="exact"/>
              <w:jc w:val="center"/>
              <w:rPr>
                <w:sz w:val="18"/>
              </w:rPr>
            </w:pPr>
            <w:r>
              <w:rPr>
                <w:sz w:val="18"/>
              </w:rPr>
              <w:t>73.3</w:t>
            </w:r>
          </w:p>
        </w:tc>
        <w:tc>
          <w:tcPr>
            <w:tcW w:w="842" w:type="pct"/>
          </w:tcPr>
          <w:p w:rsidR="00000000" w:rsidRDefault="004D2F83">
            <w:pPr>
              <w:spacing w:after="120" w:line="320" w:lineRule="exact"/>
              <w:jc w:val="center"/>
              <w:rPr>
                <w:sz w:val="18"/>
              </w:rPr>
            </w:pPr>
            <w:r>
              <w:rPr>
                <w:sz w:val="18"/>
              </w:rPr>
              <w:t>71.8</w:t>
            </w:r>
          </w:p>
        </w:tc>
        <w:tc>
          <w:tcPr>
            <w:tcW w:w="843" w:type="pct"/>
          </w:tcPr>
          <w:p w:rsidR="00000000" w:rsidRDefault="004D2F83">
            <w:pPr>
              <w:spacing w:after="120" w:line="320" w:lineRule="exact"/>
              <w:jc w:val="center"/>
              <w:rPr>
                <w:sz w:val="18"/>
              </w:rPr>
            </w:pPr>
            <w:r>
              <w:rPr>
                <w:sz w:val="18"/>
              </w:rPr>
              <w:t>72.2</w:t>
            </w:r>
          </w:p>
        </w:tc>
        <w:tc>
          <w:tcPr>
            <w:tcW w:w="843" w:type="pct"/>
          </w:tcPr>
          <w:p w:rsidR="00000000" w:rsidRDefault="004D2F83">
            <w:pPr>
              <w:spacing w:after="120" w:line="320" w:lineRule="exact"/>
              <w:jc w:val="center"/>
              <w:rPr>
                <w:sz w:val="18"/>
              </w:rPr>
            </w:pPr>
            <w:r>
              <w:rPr>
                <w:sz w:val="18"/>
              </w:rPr>
              <w:t>68.8</w:t>
            </w:r>
          </w:p>
        </w:tc>
        <w:tc>
          <w:tcPr>
            <w:tcW w:w="842" w:type="pct"/>
          </w:tcPr>
          <w:p w:rsidR="00000000" w:rsidRDefault="004D2F83">
            <w:pPr>
              <w:spacing w:after="120" w:line="320" w:lineRule="exact"/>
              <w:jc w:val="center"/>
              <w:rPr>
                <w:sz w:val="18"/>
              </w:rPr>
            </w:pPr>
            <w:r>
              <w:rPr>
                <w:sz w:val="18"/>
              </w:rPr>
              <w:t>63.6</w:t>
            </w:r>
          </w:p>
        </w:tc>
      </w:tr>
      <w:tr w:rsidR="00000000">
        <w:tc>
          <w:tcPr>
            <w:tcW w:w="787" w:type="pct"/>
          </w:tcPr>
          <w:p w:rsidR="00000000" w:rsidRDefault="004D2F83">
            <w:pPr>
              <w:spacing w:after="120" w:line="320" w:lineRule="exact"/>
              <w:rPr>
                <w:sz w:val="18"/>
              </w:rPr>
            </w:pPr>
            <w:r>
              <w:rPr>
                <w:sz w:val="18"/>
              </w:rPr>
              <w:t>20-24</w:t>
            </w:r>
            <w:r>
              <w:rPr>
                <w:rFonts w:hint="eastAsia"/>
                <w:sz w:val="18"/>
              </w:rPr>
              <w:t>岁</w:t>
            </w:r>
          </w:p>
        </w:tc>
        <w:tc>
          <w:tcPr>
            <w:tcW w:w="842" w:type="pct"/>
          </w:tcPr>
          <w:p w:rsidR="00000000" w:rsidRDefault="004D2F83">
            <w:pPr>
              <w:spacing w:after="120" w:line="320" w:lineRule="exact"/>
              <w:jc w:val="center"/>
              <w:rPr>
                <w:sz w:val="18"/>
              </w:rPr>
            </w:pPr>
            <w:r>
              <w:rPr>
                <w:sz w:val="18"/>
              </w:rPr>
              <w:t>92.5</w:t>
            </w:r>
          </w:p>
        </w:tc>
        <w:tc>
          <w:tcPr>
            <w:tcW w:w="842" w:type="pct"/>
          </w:tcPr>
          <w:p w:rsidR="00000000" w:rsidRDefault="004D2F83">
            <w:pPr>
              <w:spacing w:after="120" w:line="320" w:lineRule="exact"/>
              <w:jc w:val="center"/>
              <w:rPr>
                <w:sz w:val="18"/>
              </w:rPr>
            </w:pPr>
            <w:r>
              <w:rPr>
                <w:sz w:val="18"/>
              </w:rPr>
              <w:t>92.1</w:t>
            </w:r>
          </w:p>
        </w:tc>
        <w:tc>
          <w:tcPr>
            <w:tcW w:w="843" w:type="pct"/>
          </w:tcPr>
          <w:p w:rsidR="00000000" w:rsidRDefault="004D2F83">
            <w:pPr>
              <w:spacing w:after="120" w:line="320" w:lineRule="exact"/>
              <w:jc w:val="center"/>
              <w:rPr>
                <w:sz w:val="18"/>
              </w:rPr>
            </w:pPr>
            <w:r>
              <w:rPr>
                <w:sz w:val="18"/>
              </w:rPr>
              <w:t>91.1</w:t>
            </w:r>
          </w:p>
        </w:tc>
        <w:tc>
          <w:tcPr>
            <w:tcW w:w="843" w:type="pct"/>
          </w:tcPr>
          <w:p w:rsidR="00000000" w:rsidRDefault="004D2F83">
            <w:pPr>
              <w:spacing w:after="120" w:line="320" w:lineRule="exact"/>
              <w:jc w:val="center"/>
              <w:rPr>
                <w:sz w:val="18"/>
              </w:rPr>
            </w:pPr>
            <w:r>
              <w:rPr>
                <w:sz w:val="18"/>
              </w:rPr>
              <w:t>90.5</w:t>
            </w:r>
          </w:p>
        </w:tc>
        <w:tc>
          <w:tcPr>
            <w:tcW w:w="842" w:type="pct"/>
          </w:tcPr>
          <w:p w:rsidR="00000000" w:rsidRDefault="004D2F83">
            <w:pPr>
              <w:spacing w:after="120" w:line="320" w:lineRule="exact"/>
              <w:jc w:val="center"/>
              <w:rPr>
                <w:sz w:val="18"/>
              </w:rPr>
            </w:pPr>
            <w:r>
              <w:rPr>
                <w:sz w:val="18"/>
              </w:rPr>
              <w:t>89.5</w:t>
            </w:r>
          </w:p>
        </w:tc>
      </w:tr>
      <w:tr w:rsidR="00000000">
        <w:tc>
          <w:tcPr>
            <w:tcW w:w="787" w:type="pct"/>
          </w:tcPr>
          <w:p w:rsidR="00000000" w:rsidRDefault="004D2F83">
            <w:pPr>
              <w:spacing w:after="120" w:line="320" w:lineRule="exact"/>
              <w:rPr>
                <w:sz w:val="18"/>
              </w:rPr>
            </w:pPr>
            <w:r>
              <w:rPr>
                <w:sz w:val="18"/>
              </w:rPr>
              <w:t>25-29</w:t>
            </w:r>
            <w:r>
              <w:rPr>
                <w:rFonts w:hint="eastAsia"/>
                <w:sz w:val="18"/>
              </w:rPr>
              <w:t>岁</w:t>
            </w:r>
          </w:p>
        </w:tc>
        <w:tc>
          <w:tcPr>
            <w:tcW w:w="842" w:type="pct"/>
          </w:tcPr>
          <w:p w:rsidR="00000000" w:rsidRDefault="004D2F83">
            <w:pPr>
              <w:spacing w:after="120" w:line="320" w:lineRule="exact"/>
              <w:jc w:val="center"/>
              <w:rPr>
                <w:sz w:val="18"/>
              </w:rPr>
            </w:pPr>
            <w:r>
              <w:rPr>
                <w:sz w:val="18"/>
              </w:rPr>
              <w:t>97.2</w:t>
            </w:r>
          </w:p>
        </w:tc>
        <w:tc>
          <w:tcPr>
            <w:tcW w:w="842" w:type="pct"/>
          </w:tcPr>
          <w:p w:rsidR="00000000" w:rsidRDefault="004D2F83">
            <w:pPr>
              <w:spacing w:after="120" w:line="320" w:lineRule="exact"/>
              <w:jc w:val="center"/>
              <w:rPr>
                <w:sz w:val="18"/>
              </w:rPr>
            </w:pPr>
            <w:r>
              <w:rPr>
                <w:sz w:val="18"/>
              </w:rPr>
              <w:t>96.2</w:t>
            </w:r>
          </w:p>
        </w:tc>
        <w:tc>
          <w:tcPr>
            <w:tcW w:w="843" w:type="pct"/>
          </w:tcPr>
          <w:p w:rsidR="00000000" w:rsidRDefault="004D2F83">
            <w:pPr>
              <w:spacing w:after="120" w:line="320" w:lineRule="exact"/>
              <w:jc w:val="center"/>
              <w:rPr>
                <w:sz w:val="18"/>
              </w:rPr>
            </w:pPr>
            <w:r>
              <w:rPr>
                <w:sz w:val="18"/>
              </w:rPr>
              <w:t>95.8</w:t>
            </w:r>
          </w:p>
        </w:tc>
        <w:tc>
          <w:tcPr>
            <w:tcW w:w="843" w:type="pct"/>
          </w:tcPr>
          <w:p w:rsidR="00000000" w:rsidRDefault="004D2F83">
            <w:pPr>
              <w:spacing w:after="120" w:line="320" w:lineRule="exact"/>
              <w:jc w:val="center"/>
              <w:rPr>
                <w:sz w:val="18"/>
              </w:rPr>
            </w:pPr>
            <w:r>
              <w:rPr>
                <w:sz w:val="18"/>
              </w:rPr>
              <w:t>95.2</w:t>
            </w:r>
          </w:p>
        </w:tc>
        <w:tc>
          <w:tcPr>
            <w:tcW w:w="842" w:type="pct"/>
          </w:tcPr>
          <w:p w:rsidR="00000000" w:rsidRDefault="004D2F83">
            <w:pPr>
              <w:spacing w:after="120" w:line="320" w:lineRule="exact"/>
              <w:jc w:val="center"/>
              <w:rPr>
                <w:sz w:val="18"/>
              </w:rPr>
            </w:pPr>
            <w:r>
              <w:rPr>
                <w:sz w:val="18"/>
              </w:rPr>
              <w:t>94.5</w:t>
            </w:r>
          </w:p>
        </w:tc>
      </w:tr>
      <w:tr w:rsidR="00000000">
        <w:tc>
          <w:tcPr>
            <w:tcW w:w="787" w:type="pct"/>
          </w:tcPr>
          <w:p w:rsidR="00000000" w:rsidRDefault="004D2F83">
            <w:pPr>
              <w:spacing w:after="120" w:line="320" w:lineRule="exact"/>
              <w:rPr>
                <w:sz w:val="18"/>
              </w:rPr>
            </w:pPr>
            <w:r>
              <w:rPr>
                <w:sz w:val="18"/>
              </w:rPr>
              <w:t>30-39</w:t>
            </w:r>
            <w:r>
              <w:rPr>
                <w:rFonts w:hint="eastAsia"/>
                <w:sz w:val="18"/>
              </w:rPr>
              <w:t>岁</w:t>
            </w:r>
          </w:p>
        </w:tc>
        <w:tc>
          <w:tcPr>
            <w:tcW w:w="842" w:type="pct"/>
          </w:tcPr>
          <w:p w:rsidR="00000000" w:rsidRDefault="004D2F83">
            <w:pPr>
              <w:spacing w:after="120" w:line="320" w:lineRule="exact"/>
              <w:jc w:val="center"/>
              <w:rPr>
                <w:sz w:val="18"/>
              </w:rPr>
            </w:pPr>
            <w:r>
              <w:rPr>
                <w:sz w:val="18"/>
              </w:rPr>
              <w:t>97.4</w:t>
            </w:r>
          </w:p>
        </w:tc>
        <w:tc>
          <w:tcPr>
            <w:tcW w:w="842" w:type="pct"/>
          </w:tcPr>
          <w:p w:rsidR="00000000" w:rsidRDefault="004D2F83">
            <w:pPr>
              <w:spacing w:after="120" w:line="320" w:lineRule="exact"/>
              <w:jc w:val="center"/>
              <w:rPr>
                <w:sz w:val="18"/>
              </w:rPr>
            </w:pPr>
            <w:r>
              <w:rPr>
                <w:sz w:val="18"/>
              </w:rPr>
              <w:t>96.9</w:t>
            </w:r>
          </w:p>
        </w:tc>
        <w:tc>
          <w:tcPr>
            <w:tcW w:w="843" w:type="pct"/>
          </w:tcPr>
          <w:p w:rsidR="00000000" w:rsidRDefault="004D2F83">
            <w:pPr>
              <w:spacing w:after="120" w:line="320" w:lineRule="exact"/>
              <w:jc w:val="center"/>
              <w:rPr>
                <w:sz w:val="18"/>
              </w:rPr>
            </w:pPr>
            <w:r>
              <w:rPr>
                <w:sz w:val="18"/>
              </w:rPr>
              <w:t>96.5</w:t>
            </w:r>
          </w:p>
        </w:tc>
        <w:tc>
          <w:tcPr>
            <w:tcW w:w="843" w:type="pct"/>
          </w:tcPr>
          <w:p w:rsidR="00000000" w:rsidRDefault="004D2F83">
            <w:pPr>
              <w:spacing w:after="120" w:line="320" w:lineRule="exact"/>
              <w:jc w:val="center"/>
              <w:rPr>
                <w:sz w:val="18"/>
              </w:rPr>
            </w:pPr>
            <w:r>
              <w:rPr>
                <w:sz w:val="18"/>
              </w:rPr>
              <w:t>96.3</w:t>
            </w:r>
          </w:p>
        </w:tc>
        <w:tc>
          <w:tcPr>
            <w:tcW w:w="842" w:type="pct"/>
          </w:tcPr>
          <w:p w:rsidR="00000000" w:rsidRDefault="004D2F83">
            <w:pPr>
              <w:spacing w:after="120" w:line="320" w:lineRule="exact"/>
              <w:jc w:val="center"/>
              <w:rPr>
                <w:sz w:val="18"/>
              </w:rPr>
            </w:pPr>
            <w:r>
              <w:rPr>
                <w:sz w:val="18"/>
              </w:rPr>
              <w:t>95.8</w:t>
            </w:r>
          </w:p>
        </w:tc>
      </w:tr>
      <w:tr w:rsidR="00000000">
        <w:tc>
          <w:tcPr>
            <w:tcW w:w="787" w:type="pct"/>
          </w:tcPr>
          <w:p w:rsidR="00000000" w:rsidRDefault="004D2F83">
            <w:pPr>
              <w:spacing w:after="120" w:line="320" w:lineRule="exact"/>
              <w:rPr>
                <w:sz w:val="18"/>
              </w:rPr>
            </w:pPr>
            <w:r>
              <w:rPr>
                <w:sz w:val="18"/>
              </w:rPr>
              <w:t>40-49</w:t>
            </w:r>
            <w:r>
              <w:rPr>
                <w:rFonts w:hint="eastAsia"/>
                <w:sz w:val="18"/>
              </w:rPr>
              <w:t>岁</w:t>
            </w:r>
          </w:p>
        </w:tc>
        <w:tc>
          <w:tcPr>
            <w:tcW w:w="842" w:type="pct"/>
          </w:tcPr>
          <w:p w:rsidR="00000000" w:rsidRDefault="004D2F83">
            <w:pPr>
              <w:spacing w:after="120" w:line="320" w:lineRule="exact"/>
              <w:jc w:val="center"/>
              <w:rPr>
                <w:sz w:val="18"/>
              </w:rPr>
            </w:pPr>
            <w:r>
              <w:rPr>
                <w:sz w:val="18"/>
              </w:rPr>
              <w:t>93.9</w:t>
            </w:r>
          </w:p>
        </w:tc>
        <w:tc>
          <w:tcPr>
            <w:tcW w:w="842" w:type="pct"/>
          </w:tcPr>
          <w:p w:rsidR="00000000" w:rsidRDefault="004D2F83">
            <w:pPr>
              <w:spacing w:after="120" w:line="320" w:lineRule="exact"/>
              <w:jc w:val="center"/>
              <w:rPr>
                <w:sz w:val="18"/>
              </w:rPr>
            </w:pPr>
            <w:r>
              <w:rPr>
                <w:sz w:val="18"/>
              </w:rPr>
              <w:t>94.5</w:t>
            </w:r>
          </w:p>
        </w:tc>
        <w:tc>
          <w:tcPr>
            <w:tcW w:w="843" w:type="pct"/>
          </w:tcPr>
          <w:p w:rsidR="00000000" w:rsidRDefault="004D2F83">
            <w:pPr>
              <w:spacing w:after="120" w:line="320" w:lineRule="exact"/>
              <w:jc w:val="center"/>
              <w:rPr>
                <w:sz w:val="18"/>
              </w:rPr>
            </w:pPr>
            <w:r>
              <w:rPr>
                <w:sz w:val="18"/>
              </w:rPr>
              <w:t>94.7</w:t>
            </w:r>
          </w:p>
        </w:tc>
        <w:tc>
          <w:tcPr>
            <w:tcW w:w="843" w:type="pct"/>
          </w:tcPr>
          <w:p w:rsidR="00000000" w:rsidRDefault="004D2F83">
            <w:pPr>
              <w:spacing w:after="120" w:line="320" w:lineRule="exact"/>
              <w:jc w:val="center"/>
              <w:rPr>
                <w:sz w:val="18"/>
              </w:rPr>
            </w:pPr>
            <w:r>
              <w:rPr>
                <w:sz w:val="18"/>
              </w:rPr>
              <w:t>94.5</w:t>
            </w:r>
          </w:p>
        </w:tc>
        <w:tc>
          <w:tcPr>
            <w:tcW w:w="842" w:type="pct"/>
          </w:tcPr>
          <w:p w:rsidR="00000000" w:rsidRDefault="004D2F83">
            <w:pPr>
              <w:spacing w:after="120" w:line="320" w:lineRule="exact"/>
              <w:jc w:val="center"/>
              <w:rPr>
                <w:sz w:val="18"/>
              </w:rPr>
            </w:pPr>
            <w:r>
              <w:rPr>
                <w:sz w:val="18"/>
              </w:rPr>
              <w:t>92.9</w:t>
            </w:r>
          </w:p>
        </w:tc>
      </w:tr>
      <w:tr w:rsidR="00000000">
        <w:tc>
          <w:tcPr>
            <w:tcW w:w="787" w:type="pct"/>
          </w:tcPr>
          <w:p w:rsidR="00000000" w:rsidRDefault="004D2F83">
            <w:pPr>
              <w:spacing w:after="120" w:line="320" w:lineRule="exact"/>
              <w:rPr>
                <w:sz w:val="18"/>
              </w:rPr>
            </w:pPr>
            <w:r>
              <w:rPr>
                <w:sz w:val="18"/>
              </w:rPr>
              <w:t>50-59</w:t>
            </w:r>
            <w:r>
              <w:rPr>
                <w:rFonts w:hint="eastAsia"/>
                <w:sz w:val="18"/>
              </w:rPr>
              <w:t>岁</w:t>
            </w:r>
          </w:p>
        </w:tc>
        <w:tc>
          <w:tcPr>
            <w:tcW w:w="842" w:type="pct"/>
          </w:tcPr>
          <w:p w:rsidR="00000000" w:rsidRDefault="004D2F83">
            <w:pPr>
              <w:spacing w:after="120" w:line="320" w:lineRule="exact"/>
              <w:jc w:val="center"/>
              <w:rPr>
                <w:sz w:val="18"/>
              </w:rPr>
            </w:pPr>
            <w:r>
              <w:rPr>
                <w:sz w:val="18"/>
              </w:rPr>
              <w:t>80.9</w:t>
            </w:r>
          </w:p>
        </w:tc>
        <w:tc>
          <w:tcPr>
            <w:tcW w:w="842" w:type="pct"/>
          </w:tcPr>
          <w:p w:rsidR="00000000" w:rsidRDefault="004D2F83">
            <w:pPr>
              <w:spacing w:after="120" w:line="320" w:lineRule="exact"/>
              <w:jc w:val="center"/>
              <w:rPr>
                <w:sz w:val="18"/>
              </w:rPr>
            </w:pPr>
            <w:r>
              <w:rPr>
                <w:sz w:val="18"/>
              </w:rPr>
              <w:t>82.3</w:t>
            </w:r>
          </w:p>
        </w:tc>
        <w:tc>
          <w:tcPr>
            <w:tcW w:w="843" w:type="pct"/>
          </w:tcPr>
          <w:p w:rsidR="00000000" w:rsidRDefault="004D2F83">
            <w:pPr>
              <w:spacing w:after="120" w:line="320" w:lineRule="exact"/>
              <w:jc w:val="center"/>
              <w:rPr>
                <w:sz w:val="18"/>
              </w:rPr>
            </w:pPr>
            <w:r>
              <w:rPr>
                <w:sz w:val="18"/>
              </w:rPr>
              <w:t>82.3</w:t>
            </w:r>
          </w:p>
        </w:tc>
        <w:tc>
          <w:tcPr>
            <w:tcW w:w="843" w:type="pct"/>
          </w:tcPr>
          <w:p w:rsidR="00000000" w:rsidRDefault="004D2F83">
            <w:pPr>
              <w:spacing w:after="120" w:line="320" w:lineRule="exact"/>
              <w:jc w:val="center"/>
              <w:rPr>
                <w:sz w:val="18"/>
              </w:rPr>
            </w:pPr>
            <w:r>
              <w:rPr>
                <w:sz w:val="18"/>
              </w:rPr>
              <w:t>83.6</w:t>
            </w:r>
          </w:p>
        </w:tc>
        <w:tc>
          <w:tcPr>
            <w:tcW w:w="842" w:type="pct"/>
          </w:tcPr>
          <w:p w:rsidR="00000000" w:rsidRDefault="004D2F83">
            <w:pPr>
              <w:spacing w:after="120" w:line="320" w:lineRule="exact"/>
              <w:jc w:val="center"/>
              <w:rPr>
                <w:sz w:val="18"/>
              </w:rPr>
            </w:pPr>
            <w:r>
              <w:rPr>
                <w:sz w:val="18"/>
              </w:rPr>
              <w:t>81.5</w:t>
            </w:r>
          </w:p>
        </w:tc>
      </w:tr>
      <w:tr w:rsidR="00000000">
        <w:tc>
          <w:tcPr>
            <w:tcW w:w="787" w:type="pct"/>
          </w:tcPr>
          <w:p w:rsidR="00000000" w:rsidRDefault="004D2F83">
            <w:pPr>
              <w:spacing w:after="120" w:line="320" w:lineRule="exact"/>
              <w:rPr>
                <w:sz w:val="18"/>
              </w:rPr>
            </w:pPr>
            <w:r>
              <w:rPr>
                <w:sz w:val="18"/>
              </w:rPr>
              <w:t>60</w:t>
            </w:r>
            <w:r>
              <w:rPr>
                <w:rFonts w:hint="eastAsia"/>
                <w:sz w:val="18"/>
              </w:rPr>
              <w:t>岁以上</w:t>
            </w:r>
          </w:p>
        </w:tc>
        <w:tc>
          <w:tcPr>
            <w:tcW w:w="842" w:type="pct"/>
          </w:tcPr>
          <w:p w:rsidR="00000000" w:rsidRDefault="004D2F83">
            <w:pPr>
              <w:spacing w:after="120" w:line="320" w:lineRule="exact"/>
              <w:jc w:val="center"/>
              <w:rPr>
                <w:sz w:val="18"/>
              </w:rPr>
            </w:pPr>
            <w:r>
              <w:rPr>
                <w:sz w:val="18"/>
              </w:rPr>
              <w:t>45.2</w:t>
            </w:r>
          </w:p>
        </w:tc>
        <w:tc>
          <w:tcPr>
            <w:tcW w:w="842" w:type="pct"/>
          </w:tcPr>
          <w:p w:rsidR="00000000" w:rsidRDefault="004D2F83">
            <w:pPr>
              <w:spacing w:after="120" w:line="320" w:lineRule="exact"/>
              <w:jc w:val="center"/>
              <w:rPr>
                <w:sz w:val="18"/>
              </w:rPr>
            </w:pPr>
            <w:r>
              <w:rPr>
                <w:sz w:val="18"/>
              </w:rPr>
              <w:t>46</w:t>
            </w:r>
          </w:p>
        </w:tc>
        <w:tc>
          <w:tcPr>
            <w:tcW w:w="843" w:type="pct"/>
          </w:tcPr>
          <w:p w:rsidR="00000000" w:rsidRDefault="004D2F83">
            <w:pPr>
              <w:spacing w:after="120" w:line="320" w:lineRule="exact"/>
              <w:jc w:val="center"/>
              <w:rPr>
                <w:sz w:val="18"/>
              </w:rPr>
            </w:pPr>
            <w:r>
              <w:rPr>
                <w:sz w:val="18"/>
              </w:rPr>
              <w:t>50.5</w:t>
            </w:r>
          </w:p>
        </w:tc>
        <w:tc>
          <w:tcPr>
            <w:tcW w:w="843" w:type="pct"/>
          </w:tcPr>
          <w:p w:rsidR="00000000" w:rsidRDefault="004D2F83">
            <w:pPr>
              <w:spacing w:after="120" w:line="320" w:lineRule="exact"/>
              <w:jc w:val="center"/>
              <w:rPr>
                <w:sz w:val="18"/>
              </w:rPr>
            </w:pPr>
            <w:r>
              <w:rPr>
                <w:sz w:val="18"/>
              </w:rPr>
              <w:t>49.4</w:t>
            </w:r>
          </w:p>
        </w:tc>
        <w:tc>
          <w:tcPr>
            <w:tcW w:w="842" w:type="pct"/>
          </w:tcPr>
          <w:p w:rsidR="00000000" w:rsidRDefault="004D2F83">
            <w:pPr>
              <w:spacing w:after="120" w:line="320" w:lineRule="exact"/>
              <w:jc w:val="center"/>
              <w:rPr>
                <w:sz w:val="18"/>
              </w:rPr>
            </w:pPr>
            <w:r>
              <w:rPr>
                <w:sz w:val="18"/>
              </w:rPr>
              <w:t>47.5</w:t>
            </w:r>
          </w:p>
        </w:tc>
      </w:tr>
      <w:tr w:rsidR="00000000">
        <w:tc>
          <w:tcPr>
            <w:tcW w:w="787" w:type="pct"/>
          </w:tcPr>
          <w:p w:rsidR="00000000" w:rsidRDefault="004D2F83">
            <w:pPr>
              <w:spacing w:after="120" w:line="320" w:lineRule="exact"/>
              <w:rPr>
                <w:sz w:val="18"/>
              </w:rPr>
            </w:pPr>
            <w:r>
              <w:rPr>
                <w:rFonts w:eastAsia="SimHei" w:hint="eastAsia"/>
                <w:sz w:val="18"/>
              </w:rPr>
              <w:t>总计</w:t>
            </w:r>
          </w:p>
        </w:tc>
        <w:tc>
          <w:tcPr>
            <w:tcW w:w="842" w:type="pct"/>
          </w:tcPr>
          <w:p w:rsidR="00000000" w:rsidRDefault="004D2F83">
            <w:pPr>
              <w:spacing w:after="120" w:line="320" w:lineRule="exact"/>
              <w:jc w:val="center"/>
              <w:rPr>
                <w:sz w:val="18"/>
              </w:rPr>
            </w:pPr>
            <w:r>
              <w:rPr>
                <w:sz w:val="18"/>
              </w:rPr>
              <w:t>76</w:t>
            </w:r>
          </w:p>
        </w:tc>
        <w:tc>
          <w:tcPr>
            <w:tcW w:w="842" w:type="pct"/>
          </w:tcPr>
          <w:p w:rsidR="00000000" w:rsidRDefault="004D2F83">
            <w:pPr>
              <w:spacing w:after="120" w:line="320" w:lineRule="exact"/>
              <w:jc w:val="center"/>
              <w:rPr>
                <w:sz w:val="18"/>
              </w:rPr>
            </w:pPr>
            <w:r>
              <w:rPr>
                <w:sz w:val="18"/>
              </w:rPr>
              <w:t>75.3</w:t>
            </w:r>
          </w:p>
        </w:tc>
        <w:tc>
          <w:tcPr>
            <w:tcW w:w="843" w:type="pct"/>
          </w:tcPr>
          <w:p w:rsidR="00000000" w:rsidRDefault="004D2F83">
            <w:pPr>
              <w:spacing w:after="120" w:line="320" w:lineRule="exact"/>
              <w:jc w:val="center"/>
              <w:rPr>
                <w:sz w:val="18"/>
              </w:rPr>
            </w:pPr>
            <w:r>
              <w:rPr>
                <w:sz w:val="18"/>
              </w:rPr>
              <w:t>76</w:t>
            </w:r>
          </w:p>
        </w:tc>
        <w:tc>
          <w:tcPr>
            <w:tcW w:w="843" w:type="pct"/>
          </w:tcPr>
          <w:p w:rsidR="00000000" w:rsidRDefault="004D2F83">
            <w:pPr>
              <w:spacing w:after="120" w:line="320" w:lineRule="exact"/>
              <w:jc w:val="center"/>
              <w:rPr>
                <w:sz w:val="18"/>
              </w:rPr>
            </w:pPr>
            <w:r>
              <w:rPr>
                <w:sz w:val="18"/>
              </w:rPr>
              <w:t>75.3</w:t>
            </w:r>
          </w:p>
        </w:tc>
        <w:tc>
          <w:tcPr>
            <w:tcW w:w="842" w:type="pct"/>
          </w:tcPr>
          <w:p w:rsidR="00000000" w:rsidRDefault="004D2F83">
            <w:pPr>
              <w:spacing w:after="120" w:line="320" w:lineRule="exact"/>
              <w:jc w:val="center"/>
              <w:rPr>
                <w:sz w:val="18"/>
              </w:rPr>
            </w:pPr>
            <w:r>
              <w:rPr>
                <w:sz w:val="18"/>
              </w:rPr>
              <w:t>73.6</w:t>
            </w:r>
          </w:p>
        </w:tc>
      </w:tr>
      <w:tr w:rsidR="00000000">
        <w:tc>
          <w:tcPr>
            <w:tcW w:w="787" w:type="pct"/>
          </w:tcPr>
          <w:p w:rsidR="00000000" w:rsidRDefault="004D2F83">
            <w:pPr>
              <w:spacing w:after="120" w:line="320" w:lineRule="exact"/>
              <w:rPr>
                <w:sz w:val="18"/>
              </w:rPr>
            </w:pPr>
          </w:p>
        </w:tc>
        <w:tc>
          <w:tcPr>
            <w:tcW w:w="842" w:type="pct"/>
          </w:tcPr>
          <w:p w:rsidR="00000000" w:rsidRDefault="004D2F83">
            <w:pPr>
              <w:spacing w:after="120" w:line="320" w:lineRule="exact"/>
              <w:jc w:val="center"/>
              <w:rPr>
                <w:sz w:val="18"/>
              </w:rPr>
            </w:pPr>
          </w:p>
        </w:tc>
        <w:tc>
          <w:tcPr>
            <w:tcW w:w="842" w:type="pct"/>
          </w:tcPr>
          <w:p w:rsidR="00000000" w:rsidRDefault="004D2F83">
            <w:pPr>
              <w:spacing w:after="120" w:line="320" w:lineRule="exact"/>
              <w:jc w:val="center"/>
              <w:rPr>
                <w:sz w:val="18"/>
              </w:rPr>
            </w:pPr>
          </w:p>
        </w:tc>
        <w:tc>
          <w:tcPr>
            <w:tcW w:w="843" w:type="pct"/>
          </w:tcPr>
          <w:p w:rsidR="00000000" w:rsidRDefault="004D2F83">
            <w:pPr>
              <w:spacing w:after="120" w:line="320" w:lineRule="exact"/>
              <w:jc w:val="center"/>
              <w:rPr>
                <w:sz w:val="18"/>
              </w:rPr>
            </w:pPr>
          </w:p>
        </w:tc>
        <w:tc>
          <w:tcPr>
            <w:tcW w:w="843" w:type="pct"/>
          </w:tcPr>
          <w:p w:rsidR="00000000" w:rsidRDefault="004D2F83">
            <w:pPr>
              <w:spacing w:after="120" w:line="320" w:lineRule="exact"/>
              <w:jc w:val="center"/>
              <w:rPr>
                <w:sz w:val="18"/>
              </w:rPr>
            </w:pPr>
          </w:p>
        </w:tc>
        <w:tc>
          <w:tcPr>
            <w:tcW w:w="842" w:type="pct"/>
          </w:tcPr>
          <w:p w:rsidR="00000000" w:rsidRDefault="004D2F83">
            <w:pPr>
              <w:spacing w:after="120" w:line="320" w:lineRule="exact"/>
              <w:jc w:val="center"/>
              <w:rPr>
                <w:sz w:val="18"/>
              </w:rPr>
            </w:pPr>
          </w:p>
        </w:tc>
      </w:tr>
      <w:tr w:rsidR="00000000">
        <w:tc>
          <w:tcPr>
            <w:tcW w:w="787" w:type="pct"/>
          </w:tcPr>
          <w:p w:rsidR="00000000" w:rsidRDefault="004D2F83">
            <w:pPr>
              <w:spacing w:after="120" w:line="320" w:lineRule="exact"/>
              <w:rPr>
                <w:rFonts w:eastAsia="SimHei"/>
                <w:sz w:val="18"/>
              </w:rPr>
            </w:pPr>
            <w:r>
              <w:rPr>
                <w:rFonts w:eastAsia="SimHei" w:hint="eastAsia"/>
                <w:sz w:val="18"/>
              </w:rPr>
              <w:t>妇女</w:t>
            </w:r>
          </w:p>
        </w:tc>
        <w:tc>
          <w:tcPr>
            <w:tcW w:w="842" w:type="pct"/>
          </w:tcPr>
          <w:p w:rsidR="00000000" w:rsidRDefault="004D2F83">
            <w:pPr>
              <w:spacing w:after="120" w:line="320" w:lineRule="exact"/>
              <w:rPr>
                <w:rFonts w:eastAsia="SimHei"/>
                <w:sz w:val="18"/>
              </w:rPr>
            </w:pPr>
          </w:p>
        </w:tc>
        <w:tc>
          <w:tcPr>
            <w:tcW w:w="842" w:type="pct"/>
          </w:tcPr>
          <w:p w:rsidR="00000000" w:rsidRDefault="004D2F83">
            <w:pPr>
              <w:spacing w:after="120" w:line="320" w:lineRule="exact"/>
              <w:rPr>
                <w:rFonts w:eastAsia="SimHei"/>
                <w:sz w:val="18"/>
              </w:rPr>
            </w:pPr>
          </w:p>
        </w:tc>
        <w:tc>
          <w:tcPr>
            <w:tcW w:w="843" w:type="pct"/>
          </w:tcPr>
          <w:p w:rsidR="00000000" w:rsidRDefault="004D2F83">
            <w:pPr>
              <w:spacing w:after="120" w:line="320" w:lineRule="exact"/>
              <w:rPr>
                <w:rFonts w:eastAsia="SimHei"/>
                <w:sz w:val="18"/>
              </w:rPr>
            </w:pPr>
          </w:p>
        </w:tc>
        <w:tc>
          <w:tcPr>
            <w:tcW w:w="843" w:type="pct"/>
          </w:tcPr>
          <w:p w:rsidR="00000000" w:rsidRDefault="004D2F83">
            <w:pPr>
              <w:spacing w:after="120" w:line="320" w:lineRule="exact"/>
              <w:rPr>
                <w:rFonts w:eastAsia="SimHei"/>
                <w:sz w:val="18"/>
              </w:rPr>
            </w:pPr>
          </w:p>
        </w:tc>
        <w:tc>
          <w:tcPr>
            <w:tcW w:w="842" w:type="pct"/>
          </w:tcPr>
          <w:p w:rsidR="00000000" w:rsidRDefault="004D2F83">
            <w:pPr>
              <w:spacing w:after="120" w:line="320" w:lineRule="exact"/>
              <w:rPr>
                <w:rFonts w:eastAsia="SimHei"/>
                <w:sz w:val="18"/>
              </w:rPr>
            </w:pPr>
          </w:p>
        </w:tc>
      </w:tr>
      <w:tr w:rsidR="00000000">
        <w:tc>
          <w:tcPr>
            <w:tcW w:w="787" w:type="pct"/>
          </w:tcPr>
          <w:p w:rsidR="00000000" w:rsidRDefault="004D2F83">
            <w:pPr>
              <w:spacing w:after="120" w:line="320" w:lineRule="exact"/>
              <w:rPr>
                <w:sz w:val="18"/>
              </w:rPr>
            </w:pPr>
            <w:r>
              <w:rPr>
                <w:sz w:val="18"/>
              </w:rPr>
              <w:t>10-14</w:t>
            </w:r>
            <w:r>
              <w:rPr>
                <w:rFonts w:hint="eastAsia"/>
                <w:sz w:val="18"/>
              </w:rPr>
              <w:t>岁</w:t>
            </w:r>
          </w:p>
        </w:tc>
        <w:tc>
          <w:tcPr>
            <w:tcW w:w="842" w:type="pct"/>
          </w:tcPr>
          <w:p w:rsidR="00000000" w:rsidRDefault="004D2F83">
            <w:pPr>
              <w:spacing w:after="120" w:line="320" w:lineRule="exact"/>
              <w:jc w:val="center"/>
              <w:rPr>
                <w:sz w:val="18"/>
              </w:rPr>
            </w:pPr>
            <w:r>
              <w:rPr>
                <w:sz w:val="18"/>
              </w:rPr>
              <w:t>12.2</w:t>
            </w:r>
          </w:p>
        </w:tc>
        <w:tc>
          <w:tcPr>
            <w:tcW w:w="842" w:type="pct"/>
          </w:tcPr>
          <w:p w:rsidR="00000000" w:rsidRDefault="004D2F83">
            <w:pPr>
              <w:spacing w:after="120" w:line="320" w:lineRule="exact"/>
              <w:jc w:val="center"/>
              <w:rPr>
                <w:sz w:val="18"/>
              </w:rPr>
            </w:pPr>
            <w:r>
              <w:rPr>
                <w:sz w:val="18"/>
              </w:rPr>
              <w:t>10.6</w:t>
            </w:r>
          </w:p>
        </w:tc>
        <w:tc>
          <w:tcPr>
            <w:tcW w:w="843" w:type="pct"/>
          </w:tcPr>
          <w:p w:rsidR="00000000" w:rsidRDefault="004D2F83">
            <w:pPr>
              <w:spacing w:after="120" w:line="320" w:lineRule="exact"/>
              <w:jc w:val="center"/>
              <w:rPr>
                <w:sz w:val="18"/>
              </w:rPr>
            </w:pPr>
            <w:r>
              <w:rPr>
                <w:sz w:val="18"/>
              </w:rPr>
              <w:t>14.9</w:t>
            </w:r>
          </w:p>
        </w:tc>
        <w:tc>
          <w:tcPr>
            <w:tcW w:w="843" w:type="pct"/>
          </w:tcPr>
          <w:p w:rsidR="00000000" w:rsidRDefault="004D2F83">
            <w:pPr>
              <w:spacing w:after="120" w:line="320" w:lineRule="exact"/>
              <w:jc w:val="center"/>
              <w:rPr>
                <w:sz w:val="18"/>
              </w:rPr>
            </w:pPr>
            <w:r>
              <w:rPr>
                <w:sz w:val="18"/>
              </w:rPr>
              <w:t>14.4</w:t>
            </w:r>
          </w:p>
        </w:tc>
        <w:tc>
          <w:tcPr>
            <w:tcW w:w="842" w:type="pct"/>
          </w:tcPr>
          <w:p w:rsidR="00000000" w:rsidRDefault="004D2F83">
            <w:pPr>
              <w:spacing w:after="120" w:line="320" w:lineRule="exact"/>
              <w:jc w:val="center"/>
              <w:rPr>
                <w:sz w:val="18"/>
              </w:rPr>
            </w:pPr>
            <w:r>
              <w:rPr>
                <w:sz w:val="18"/>
              </w:rPr>
              <w:t>11.4</w:t>
            </w:r>
          </w:p>
        </w:tc>
      </w:tr>
      <w:tr w:rsidR="00000000">
        <w:tc>
          <w:tcPr>
            <w:tcW w:w="787" w:type="pct"/>
          </w:tcPr>
          <w:p w:rsidR="00000000" w:rsidRDefault="004D2F83">
            <w:pPr>
              <w:spacing w:after="120" w:line="320" w:lineRule="exact"/>
              <w:rPr>
                <w:sz w:val="18"/>
              </w:rPr>
            </w:pPr>
            <w:r>
              <w:rPr>
                <w:sz w:val="18"/>
              </w:rPr>
              <w:t>15-19</w:t>
            </w:r>
            <w:r>
              <w:rPr>
                <w:rFonts w:hint="eastAsia"/>
                <w:sz w:val="18"/>
              </w:rPr>
              <w:t>岁</w:t>
            </w:r>
          </w:p>
        </w:tc>
        <w:tc>
          <w:tcPr>
            <w:tcW w:w="842" w:type="pct"/>
          </w:tcPr>
          <w:p w:rsidR="00000000" w:rsidRDefault="004D2F83">
            <w:pPr>
              <w:spacing w:after="120" w:line="320" w:lineRule="exact"/>
              <w:jc w:val="center"/>
              <w:rPr>
                <w:sz w:val="18"/>
              </w:rPr>
            </w:pPr>
            <w:r>
              <w:rPr>
                <w:sz w:val="18"/>
              </w:rPr>
              <w:t>41.7</w:t>
            </w:r>
          </w:p>
        </w:tc>
        <w:tc>
          <w:tcPr>
            <w:tcW w:w="842" w:type="pct"/>
          </w:tcPr>
          <w:p w:rsidR="00000000" w:rsidRDefault="004D2F83">
            <w:pPr>
              <w:spacing w:after="120" w:line="320" w:lineRule="exact"/>
              <w:jc w:val="center"/>
              <w:rPr>
                <w:sz w:val="18"/>
              </w:rPr>
            </w:pPr>
            <w:r>
              <w:rPr>
                <w:sz w:val="18"/>
              </w:rPr>
              <w:t>41.4</w:t>
            </w:r>
          </w:p>
        </w:tc>
        <w:tc>
          <w:tcPr>
            <w:tcW w:w="843" w:type="pct"/>
          </w:tcPr>
          <w:p w:rsidR="00000000" w:rsidRDefault="004D2F83">
            <w:pPr>
              <w:spacing w:after="120" w:line="320" w:lineRule="exact"/>
              <w:jc w:val="center"/>
              <w:rPr>
                <w:sz w:val="18"/>
              </w:rPr>
            </w:pPr>
            <w:r>
              <w:rPr>
                <w:sz w:val="18"/>
              </w:rPr>
              <w:t>45.4</w:t>
            </w:r>
          </w:p>
        </w:tc>
        <w:tc>
          <w:tcPr>
            <w:tcW w:w="843" w:type="pct"/>
          </w:tcPr>
          <w:p w:rsidR="00000000" w:rsidRDefault="004D2F83">
            <w:pPr>
              <w:spacing w:after="120" w:line="320" w:lineRule="exact"/>
              <w:jc w:val="center"/>
              <w:rPr>
                <w:sz w:val="18"/>
              </w:rPr>
            </w:pPr>
            <w:r>
              <w:rPr>
                <w:sz w:val="18"/>
              </w:rPr>
              <w:t>44.1</w:t>
            </w:r>
          </w:p>
        </w:tc>
        <w:tc>
          <w:tcPr>
            <w:tcW w:w="842" w:type="pct"/>
          </w:tcPr>
          <w:p w:rsidR="00000000" w:rsidRDefault="004D2F83">
            <w:pPr>
              <w:spacing w:after="120" w:line="320" w:lineRule="exact"/>
              <w:jc w:val="center"/>
              <w:rPr>
                <w:sz w:val="18"/>
              </w:rPr>
            </w:pPr>
            <w:r>
              <w:rPr>
                <w:sz w:val="18"/>
              </w:rPr>
              <w:t>41.6</w:t>
            </w:r>
          </w:p>
        </w:tc>
      </w:tr>
      <w:tr w:rsidR="00000000">
        <w:tc>
          <w:tcPr>
            <w:tcW w:w="787" w:type="pct"/>
          </w:tcPr>
          <w:p w:rsidR="00000000" w:rsidRDefault="004D2F83">
            <w:pPr>
              <w:spacing w:after="120" w:line="320" w:lineRule="exact"/>
              <w:rPr>
                <w:sz w:val="18"/>
              </w:rPr>
            </w:pPr>
            <w:r>
              <w:rPr>
                <w:sz w:val="18"/>
              </w:rPr>
              <w:t>20-24</w:t>
            </w:r>
            <w:r>
              <w:rPr>
                <w:rFonts w:hint="eastAsia"/>
                <w:sz w:val="18"/>
              </w:rPr>
              <w:t>岁</w:t>
            </w:r>
          </w:p>
        </w:tc>
        <w:tc>
          <w:tcPr>
            <w:tcW w:w="842" w:type="pct"/>
          </w:tcPr>
          <w:p w:rsidR="00000000" w:rsidRDefault="004D2F83">
            <w:pPr>
              <w:spacing w:after="120" w:line="320" w:lineRule="exact"/>
              <w:jc w:val="center"/>
              <w:rPr>
                <w:sz w:val="18"/>
              </w:rPr>
            </w:pPr>
            <w:r>
              <w:rPr>
                <w:sz w:val="18"/>
              </w:rPr>
              <w:t>50.1</w:t>
            </w:r>
          </w:p>
        </w:tc>
        <w:tc>
          <w:tcPr>
            <w:tcW w:w="842" w:type="pct"/>
          </w:tcPr>
          <w:p w:rsidR="00000000" w:rsidRDefault="004D2F83">
            <w:pPr>
              <w:spacing w:after="120" w:line="320" w:lineRule="exact"/>
              <w:jc w:val="center"/>
              <w:rPr>
                <w:sz w:val="18"/>
              </w:rPr>
            </w:pPr>
            <w:r>
              <w:rPr>
                <w:sz w:val="18"/>
              </w:rPr>
              <w:t>52.9</w:t>
            </w:r>
          </w:p>
        </w:tc>
        <w:tc>
          <w:tcPr>
            <w:tcW w:w="843" w:type="pct"/>
          </w:tcPr>
          <w:p w:rsidR="00000000" w:rsidRDefault="004D2F83">
            <w:pPr>
              <w:spacing w:after="120" w:line="320" w:lineRule="exact"/>
              <w:jc w:val="center"/>
              <w:rPr>
                <w:sz w:val="18"/>
              </w:rPr>
            </w:pPr>
            <w:r>
              <w:rPr>
                <w:sz w:val="18"/>
              </w:rPr>
              <w:t>59.6</w:t>
            </w:r>
          </w:p>
        </w:tc>
        <w:tc>
          <w:tcPr>
            <w:tcW w:w="843" w:type="pct"/>
          </w:tcPr>
          <w:p w:rsidR="00000000" w:rsidRDefault="004D2F83">
            <w:pPr>
              <w:spacing w:after="120" w:line="320" w:lineRule="exact"/>
              <w:jc w:val="center"/>
              <w:rPr>
                <w:sz w:val="18"/>
              </w:rPr>
            </w:pPr>
            <w:r>
              <w:rPr>
                <w:sz w:val="18"/>
              </w:rPr>
              <w:t>60.9</w:t>
            </w:r>
          </w:p>
        </w:tc>
        <w:tc>
          <w:tcPr>
            <w:tcW w:w="842" w:type="pct"/>
          </w:tcPr>
          <w:p w:rsidR="00000000" w:rsidRDefault="004D2F83">
            <w:pPr>
              <w:spacing w:after="120" w:line="320" w:lineRule="exact"/>
              <w:jc w:val="center"/>
              <w:rPr>
                <w:sz w:val="18"/>
              </w:rPr>
            </w:pPr>
            <w:r>
              <w:rPr>
                <w:sz w:val="18"/>
              </w:rPr>
              <w:t>61.6</w:t>
            </w:r>
          </w:p>
        </w:tc>
      </w:tr>
      <w:tr w:rsidR="00000000">
        <w:tc>
          <w:tcPr>
            <w:tcW w:w="787" w:type="pct"/>
          </w:tcPr>
          <w:p w:rsidR="00000000" w:rsidRDefault="004D2F83">
            <w:pPr>
              <w:spacing w:after="120" w:line="320" w:lineRule="exact"/>
              <w:rPr>
                <w:sz w:val="18"/>
              </w:rPr>
            </w:pPr>
            <w:r>
              <w:rPr>
                <w:sz w:val="18"/>
              </w:rPr>
              <w:t>25-29</w:t>
            </w:r>
            <w:r>
              <w:rPr>
                <w:rFonts w:hint="eastAsia"/>
                <w:sz w:val="18"/>
              </w:rPr>
              <w:t>岁</w:t>
            </w:r>
          </w:p>
        </w:tc>
        <w:tc>
          <w:tcPr>
            <w:tcW w:w="842" w:type="pct"/>
          </w:tcPr>
          <w:p w:rsidR="00000000" w:rsidRDefault="004D2F83">
            <w:pPr>
              <w:spacing w:after="120" w:line="320" w:lineRule="exact"/>
              <w:jc w:val="center"/>
              <w:rPr>
                <w:sz w:val="18"/>
              </w:rPr>
            </w:pPr>
            <w:r>
              <w:rPr>
                <w:sz w:val="18"/>
              </w:rPr>
              <w:t>48.5</w:t>
            </w:r>
          </w:p>
        </w:tc>
        <w:tc>
          <w:tcPr>
            <w:tcW w:w="842" w:type="pct"/>
          </w:tcPr>
          <w:p w:rsidR="00000000" w:rsidRDefault="004D2F83">
            <w:pPr>
              <w:spacing w:after="120" w:line="320" w:lineRule="exact"/>
              <w:jc w:val="center"/>
              <w:rPr>
                <w:sz w:val="18"/>
              </w:rPr>
            </w:pPr>
            <w:r>
              <w:rPr>
                <w:sz w:val="18"/>
              </w:rPr>
              <w:t>52.7</w:t>
            </w:r>
          </w:p>
        </w:tc>
        <w:tc>
          <w:tcPr>
            <w:tcW w:w="843" w:type="pct"/>
          </w:tcPr>
          <w:p w:rsidR="00000000" w:rsidRDefault="004D2F83">
            <w:pPr>
              <w:spacing w:after="120" w:line="320" w:lineRule="exact"/>
              <w:jc w:val="center"/>
              <w:rPr>
                <w:sz w:val="18"/>
              </w:rPr>
            </w:pPr>
            <w:r>
              <w:rPr>
                <w:sz w:val="18"/>
              </w:rPr>
              <w:t>61</w:t>
            </w:r>
          </w:p>
        </w:tc>
        <w:tc>
          <w:tcPr>
            <w:tcW w:w="843" w:type="pct"/>
          </w:tcPr>
          <w:p w:rsidR="00000000" w:rsidRDefault="004D2F83">
            <w:pPr>
              <w:spacing w:after="120" w:line="320" w:lineRule="exact"/>
              <w:jc w:val="center"/>
              <w:rPr>
                <w:sz w:val="18"/>
              </w:rPr>
            </w:pPr>
            <w:r>
              <w:rPr>
                <w:sz w:val="18"/>
              </w:rPr>
              <w:t>62.7</w:t>
            </w:r>
          </w:p>
        </w:tc>
        <w:tc>
          <w:tcPr>
            <w:tcW w:w="842" w:type="pct"/>
          </w:tcPr>
          <w:p w:rsidR="00000000" w:rsidRDefault="004D2F83">
            <w:pPr>
              <w:spacing w:after="120" w:line="320" w:lineRule="exact"/>
              <w:jc w:val="center"/>
              <w:rPr>
                <w:sz w:val="18"/>
              </w:rPr>
            </w:pPr>
            <w:r>
              <w:rPr>
                <w:sz w:val="18"/>
              </w:rPr>
              <w:t>64.5</w:t>
            </w:r>
          </w:p>
        </w:tc>
      </w:tr>
      <w:tr w:rsidR="00000000">
        <w:tc>
          <w:tcPr>
            <w:tcW w:w="787" w:type="pct"/>
          </w:tcPr>
          <w:p w:rsidR="00000000" w:rsidRDefault="004D2F83">
            <w:pPr>
              <w:spacing w:after="120" w:line="320" w:lineRule="exact"/>
              <w:rPr>
                <w:sz w:val="18"/>
              </w:rPr>
            </w:pPr>
            <w:r>
              <w:rPr>
                <w:sz w:val="18"/>
              </w:rPr>
              <w:t>30-39</w:t>
            </w:r>
            <w:r>
              <w:rPr>
                <w:rFonts w:hint="eastAsia"/>
                <w:sz w:val="18"/>
              </w:rPr>
              <w:t>岁</w:t>
            </w:r>
          </w:p>
        </w:tc>
        <w:tc>
          <w:tcPr>
            <w:tcW w:w="842" w:type="pct"/>
          </w:tcPr>
          <w:p w:rsidR="00000000" w:rsidRDefault="004D2F83">
            <w:pPr>
              <w:spacing w:after="120" w:line="320" w:lineRule="exact"/>
              <w:jc w:val="center"/>
              <w:rPr>
                <w:sz w:val="18"/>
              </w:rPr>
            </w:pPr>
            <w:r>
              <w:rPr>
                <w:sz w:val="18"/>
              </w:rPr>
              <w:t>49.7</w:t>
            </w:r>
          </w:p>
        </w:tc>
        <w:tc>
          <w:tcPr>
            <w:tcW w:w="842" w:type="pct"/>
          </w:tcPr>
          <w:p w:rsidR="00000000" w:rsidRDefault="004D2F83">
            <w:pPr>
              <w:spacing w:after="120" w:line="320" w:lineRule="exact"/>
              <w:jc w:val="center"/>
              <w:rPr>
                <w:sz w:val="18"/>
              </w:rPr>
            </w:pPr>
            <w:r>
              <w:rPr>
                <w:sz w:val="18"/>
              </w:rPr>
              <w:t>54.7</w:t>
            </w:r>
          </w:p>
        </w:tc>
        <w:tc>
          <w:tcPr>
            <w:tcW w:w="843" w:type="pct"/>
          </w:tcPr>
          <w:p w:rsidR="00000000" w:rsidRDefault="004D2F83">
            <w:pPr>
              <w:spacing w:after="120" w:line="320" w:lineRule="exact"/>
              <w:jc w:val="center"/>
              <w:rPr>
                <w:sz w:val="18"/>
              </w:rPr>
            </w:pPr>
            <w:r>
              <w:rPr>
                <w:sz w:val="18"/>
              </w:rPr>
              <w:t>63.7</w:t>
            </w:r>
          </w:p>
        </w:tc>
        <w:tc>
          <w:tcPr>
            <w:tcW w:w="843" w:type="pct"/>
          </w:tcPr>
          <w:p w:rsidR="00000000" w:rsidRDefault="004D2F83">
            <w:pPr>
              <w:spacing w:after="120" w:line="320" w:lineRule="exact"/>
              <w:jc w:val="center"/>
              <w:rPr>
                <w:sz w:val="18"/>
              </w:rPr>
            </w:pPr>
            <w:r>
              <w:rPr>
                <w:sz w:val="18"/>
              </w:rPr>
              <w:t>66.4</w:t>
            </w:r>
          </w:p>
        </w:tc>
        <w:tc>
          <w:tcPr>
            <w:tcW w:w="842" w:type="pct"/>
          </w:tcPr>
          <w:p w:rsidR="00000000" w:rsidRDefault="004D2F83">
            <w:pPr>
              <w:spacing w:after="120" w:line="320" w:lineRule="exact"/>
              <w:jc w:val="center"/>
              <w:rPr>
                <w:sz w:val="18"/>
              </w:rPr>
            </w:pPr>
            <w:r>
              <w:rPr>
                <w:sz w:val="18"/>
              </w:rPr>
              <w:t>66.4</w:t>
            </w:r>
          </w:p>
        </w:tc>
      </w:tr>
      <w:tr w:rsidR="00000000">
        <w:tc>
          <w:tcPr>
            <w:tcW w:w="787" w:type="pct"/>
          </w:tcPr>
          <w:p w:rsidR="00000000" w:rsidRDefault="004D2F83">
            <w:pPr>
              <w:spacing w:after="120" w:line="320" w:lineRule="exact"/>
              <w:rPr>
                <w:sz w:val="18"/>
              </w:rPr>
            </w:pPr>
            <w:r>
              <w:rPr>
                <w:sz w:val="18"/>
              </w:rPr>
              <w:t>40-49</w:t>
            </w:r>
            <w:r>
              <w:rPr>
                <w:rFonts w:hint="eastAsia"/>
                <w:sz w:val="18"/>
              </w:rPr>
              <w:t>岁</w:t>
            </w:r>
          </w:p>
        </w:tc>
        <w:tc>
          <w:tcPr>
            <w:tcW w:w="842" w:type="pct"/>
          </w:tcPr>
          <w:p w:rsidR="00000000" w:rsidRDefault="004D2F83">
            <w:pPr>
              <w:spacing w:after="120" w:line="320" w:lineRule="exact"/>
              <w:jc w:val="center"/>
              <w:rPr>
                <w:sz w:val="18"/>
              </w:rPr>
            </w:pPr>
            <w:r>
              <w:rPr>
                <w:sz w:val="18"/>
              </w:rPr>
              <w:t>43.5</w:t>
            </w:r>
          </w:p>
        </w:tc>
        <w:tc>
          <w:tcPr>
            <w:tcW w:w="842" w:type="pct"/>
          </w:tcPr>
          <w:p w:rsidR="00000000" w:rsidRDefault="004D2F83">
            <w:pPr>
              <w:spacing w:after="120" w:line="320" w:lineRule="exact"/>
              <w:jc w:val="center"/>
              <w:rPr>
                <w:sz w:val="18"/>
              </w:rPr>
            </w:pPr>
            <w:r>
              <w:rPr>
                <w:sz w:val="18"/>
              </w:rPr>
              <w:t>49.5</w:t>
            </w:r>
          </w:p>
        </w:tc>
        <w:tc>
          <w:tcPr>
            <w:tcW w:w="843" w:type="pct"/>
          </w:tcPr>
          <w:p w:rsidR="00000000" w:rsidRDefault="004D2F83">
            <w:pPr>
              <w:spacing w:after="120" w:line="320" w:lineRule="exact"/>
              <w:jc w:val="center"/>
              <w:rPr>
                <w:sz w:val="18"/>
              </w:rPr>
            </w:pPr>
            <w:r>
              <w:rPr>
                <w:sz w:val="18"/>
              </w:rPr>
              <w:t>61</w:t>
            </w:r>
          </w:p>
        </w:tc>
        <w:tc>
          <w:tcPr>
            <w:tcW w:w="843" w:type="pct"/>
          </w:tcPr>
          <w:p w:rsidR="00000000" w:rsidRDefault="004D2F83">
            <w:pPr>
              <w:spacing w:after="120" w:line="320" w:lineRule="exact"/>
              <w:jc w:val="center"/>
              <w:rPr>
                <w:sz w:val="18"/>
              </w:rPr>
            </w:pPr>
            <w:r>
              <w:rPr>
                <w:sz w:val="18"/>
              </w:rPr>
              <w:t>63.5</w:t>
            </w:r>
          </w:p>
        </w:tc>
        <w:tc>
          <w:tcPr>
            <w:tcW w:w="842" w:type="pct"/>
          </w:tcPr>
          <w:p w:rsidR="00000000" w:rsidRDefault="004D2F83">
            <w:pPr>
              <w:spacing w:after="120" w:line="320" w:lineRule="exact"/>
              <w:jc w:val="center"/>
              <w:rPr>
                <w:sz w:val="18"/>
              </w:rPr>
            </w:pPr>
            <w:r>
              <w:rPr>
                <w:sz w:val="18"/>
              </w:rPr>
              <w:t>62.6</w:t>
            </w:r>
          </w:p>
        </w:tc>
      </w:tr>
      <w:tr w:rsidR="00000000">
        <w:tc>
          <w:tcPr>
            <w:tcW w:w="787" w:type="pct"/>
          </w:tcPr>
          <w:p w:rsidR="00000000" w:rsidRDefault="004D2F83">
            <w:pPr>
              <w:spacing w:after="120" w:line="320" w:lineRule="exact"/>
              <w:rPr>
                <w:sz w:val="18"/>
              </w:rPr>
            </w:pPr>
            <w:r>
              <w:rPr>
                <w:sz w:val="18"/>
              </w:rPr>
              <w:t>50-59</w:t>
            </w:r>
            <w:r>
              <w:rPr>
                <w:rFonts w:hint="eastAsia"/>
                <w:sz w:val="18"/>
              </w:rPr>
              <w:t>岁</w:t>
            </w:r>
          </w:p>
        </w:tc>
        <w:tc>
          <w:tcPr>
            <w:tcW w:w="842" w:type="pct"/>
          </w:tcPr>
          <w:p w:rsidR="00000000" w:rsidRDefault="004D2F83">
            <w:pPr>
              <w:spacing w:after="120" w:line="320" w:lineRule="exact"/>
              <w:jc w:val="center"/>
              <w:rPr>
                <w:sz w:val="18"/>
              </w:rPr>
            </w:pPr>
            <w:r>
              <w:rPr>
                <w:sz w:val="18"/>
              </w:rPr>
              <w:t>30.3</w:t>
            </w:r>
          </w:p>
        </w:tc>
        <w:tc>
          <w:tcPr>
            <w:tcW w:w="842" w:type="pct"/>
          </w:tcPr>
          <w:p w:rsidR="00000000" w:rsidRDefault="004D2F83">
            <w:pPr>
              <w:spacing w:after="120" w:line="320" w:lineRule="exact"/>
              <w:jc w:val="center"/>
              <w:rPr>
                <w:sz w:val="18"/>
              </w:rPr>
            </w:pPr>
            <w:r>
              <w:rPr>
                <w:sz w:val="18"/>
              </w:rPr>
              <w:t>34.5</w:t>
            </w:r>
          </w:p>
        </w:tc>
        <w:tc>
          <w:tcPr>
            <w:tcW w:w="843" w:type="pct"/>
          </w:tcPr>
          <w:p w:rsidR="00000000" w:rsidRDefault="004D2F83">
            <w:pPr>
              <w:spacing w:after="120" w:line="320" w:lineRule="exact"/>
              <w:jc w:val="center"/>
              <w:rPr>
                <w:sz w:val="18"/>
              </w:rPr>
            </w:pPr>
            <w:r>
              <w:rPr>
                <w:sz w:val="18"/>
              </w:rPr>
              <w:t>46</w:t>
            </w:r>
          </w:p>
        </w:tc>
        <w:tc>
          <w:tcPr>
            <w:tcW w:w="843" w:type="pct"/>
          </w:tcPr>
          <w:p w:rsidR="00000000" w:rsidRDefault="004D2F83">
            <w:pPr>
              <w:spacing w:after="120" w:line="320" w:lineRule="exact"/>
              <w:jc w:val="center"/>
              <w:rPr>
                <w:sz w:val="18"/>
              </w:rPr>
            </w:pPr>
            <w:r>
              <w:rPr>
                <w:sz w:val="18"/>
              </w:rPr>
              <w:t>48</w:t>
            </w:r>
          </w:p>
        </w:tc>
        <w:tc>
          <w:tcPr>
            <w:tcW w:w="842" w:type="pct"/>
          </w:tcPr>
          <w:p w:rsidR="00000000" w:rsidRDefault="004D2F83">
            <w:pPr>
              <w:spacing w:after="120" w:line="320" w:lineRule="exact"/>
              <w:jc w:val="center"/>
              <w:rPr>
                <w:sz w:val="18"/>
              </w:rPr>
            </w:pPr>
            <w:r>
              <w:rPr>
                <w:sz w:val="18"/>
              </w:rPr>
              <w:t>46.6</w:t>
            </w:r>
          </w:p>
        </w:tc>
      </w:tr>
      <w:tr w:rsidR="00000000">
        <w:tc>
          <w:tcPr>
            <w:tcW w:w="787" w:type="pct"/>
          </w:tcPr>
          <w:p w:rsidR="00000000" w:rsidRDefault="004D2F83">
            <w:pPr>
              <w:spacing w:after="120" w:line="320" w:lineRule="exact"/>
              <w:rPr>
                <w:sz w:val="18"/>
              </w:rPr>
            </w:pPr>
            <w:r>
              <w:rPr>
                <w:sz w:val="18"/>
              </w:rPr>
              <w:t>60</w:t>
            </w:r>
            <w:r>
              <w:rPr>
                <w:rFonts w:hint="eastAsia"/>
                <w:sz w:val="18"/>
              </w:rPr>
              <w:t>岁以上</w:t>
            </w:r>
          </w:p>
        </w:tc>
        <w:tc>
          <w:tcPr>
            <w:tcW w:w="842" w:type="pct"/>
          </w:tcPr>
          <w:p w:rsidR="00000000" w:rsidRDefault="004D2F83">
            <w:pPr>
              <w:spacing w:after="120" w:line="320" w:lineRule="exact"/>
              <w:jc w:val="center"/>
              <w:rPr>
                <w:sz w:val="18"/>
              </w:rPr>
            </w:pPr>
            <w:r>
              <w:rPr>
                <w:sz w:val="18"/>
              </w:rPr>
              <w:t>10.4</w:t>
            </w:r>
          </w:p>
        </w:tc>
        <w:tc>
          <w:tcPr>
            <w:tcW w:w="842" w:type="pct"/>
          </w:tcPr>
          <w:p w:rsidR="00000000" w:rsidRDefault="004D2F83">
            <w:pPr>
              <w:spacing w:after="120" w:line="320" w:lineRule="exact"/>
              <w:jc w:val="center"/>
              <w:rPr>
                <w:sz w:val="18"/>
              </w:rPr>
            </w:pPr>
            <w:r>
              <w:rPr>
                <w:sz w:val="18"/>
              </w:rPr>
              <w:t>11.5</w:t>
            </w:r>
          </w:p>
        </w:tc>
        <w:tc>
          <w:tcPr>
            <w:tcW w:w="843" w:type="pct"/>
          </w:tcPr>
          <w:p w:rsidR="00000000" w:rsidRDefault="004D2F83">
            <w:pPr>
              <w:spacing w:after="120" w:line="320" w:lineRule="exact"/>
              <w:jc w:val="center"/>
              <w:rPr>
                <w:sz w:val="18"/>
              </w:rPr>
            </w:pPr>
            <w:r>
              <w:rPr>
                <w:sz w:val="18"/>
              </w:rPr>
              <w:t>21.4</w:t>
            </w:r>
          </w:p>
        </w:tc>
        <w:tc>
          <w:tcPr>
            <w:tcW w:w="843" w:type="pct"/>
          </w:tcPr>
          <w:p w:rsidR="00000000" w:rsidRDefault="004D2F83">
            <w:pPr>
              <w:spacing w:after="120" w:line="320" w:lineRule="exact"/>
              <w:jc w:val="center"/>
              <w:rPr>
                <w:sz w:val="18"/>
              </w:rPr>
            </w:pPr>
            <w:r>
              <w:rPr>
                <w:sz w:val="18"/>
              </w:rPr>
              <w:t>20.4</w:t>
            </w:r>
          </w:p>
        </w:tc>
        <w:tc>
          <w:tcPr>
            <w:tcW w:w="842" w:type="pct"/>
          </w:tcPr>
          <w:p w:rsidR="00000000" w:rsidRDefault="004D2F83">
            <w:pPr>
              <w:spacing w:after="120" w:line="320" w:lineRule="exact"/>
              <w:jc w:val="center"/>
              <w:rPr>
                <w:sz w:val="18"/>
              </w:rPr>
            </w:pPr>
            <w:r>
              <w:rPr>
                <w:sz w:val="18"/>
              </w:rPr>
              <w:t>19.1</w:t>
            </w:r>
          </w:p>
        </w:tc>
      </w:tr>
      <w:tr w:rsidR="00000000">
        <w:tc>
          <w:tcPr>
            <w:tcW w:w="787" w:type="pct"/>
            <w:tcBorders>
              <w:bottom w:val="single" w:sz="4" w:space="0" w:color="auto"/>
            </w:tcBorders>
          </w:tcPr>
          <w:p w:rsidR="00000000" w:rsidRDefault="004D2F83">
            <w:pPr>
              <w:spacing w:after="120" w:line="320" w:lineRule="exact"/>
              <w:rPr>
                <w:sz w:val="18"/>
              </w:rPr>
            </w:pPr>
            <w:r>
              <w:rPr>
                <w:rFonts w:eastAsia="SimHei" w:hint="eastAsia"/>
                <w:sz w:val="18"/>
              </w:rPr>
              <w:t>总计</w:t>
            </w:r>
          </w:p>
        </w:tc>
        <w:tc>
          <w:tcPr>
            <w:tcW w:w="842" w:type="pct"/>
            <w:tcBorders>
              <w:bottom w:val="single" w:sz="4" w:space="0" w:color="auto"/>
            </w:tcBorders>
          </w:tcPr>
          <w:p w:rsidR="00000000" w:rsidRDefault="004D2F83">
            <w:pPr>
              <w:spacing w:after="120" w:line="320" w:lineRule="exact"/>
              <w:jc w:val="center"/>
              <w:rPr>
                <w:sz w:val="18"/>
              </w:rPr>
            </w:pPr>
            <w:r>
              <w:rPr>
                <w:sz w:val="18"/>
              </w:rPr>
              <w:t>36.9</w:t>
            </w:r>
          </w:p>
        </w:tc>
        <w:tc>
          <w:tcPr>
            <w:tcW w:w="842" w:type="pct"/>
            <w:tcBorders>
              <w:bottom w:val="single" w:sz="4" w:space="0" w:color="auto"/>
            </w:tcBorders>
          </w:tcPr>
          <w:p w:rsidR="00000000" w:rsidRDefault="004D2F83">
            <w:pPr>
              <w:spacing w:after="120" w:line="320" w:lineRule="exact"/>
              <w:jc w:val="center"/>
              <w:rPr>
                <w:sz w:val="18"/>
              </w:rPr>
            </w:pPr>
            <w:r>
              <w:rPr>
                <w:sz w:val="18"/>
              </w:rPr>
              <w:t>39.2</w:t>
            </w:r>
          </w:p>
        </w:tc>
        <w:tc>
          <w:tcPr>
            <w:tcW w:w="843" w:type="pct"/>
            <w:tcBorders>
              <w:bottom w:val="single" w:sz="4" w:space="0" w:color="auto"/>
            </w:tcBorders>
          </w:tcPr>
          <w:p w:rsidR="00000000" w:rsidRDefault="004D2F83">
            <w:pPr>
              <w:spacing w:after="120" w:line="320" w:lineRule="exact"/>
              <w:jc w:val="center"/>
              <w:rPr>
                <w:sz w:val="18"/>
              </w:rPr>
            </w:pPr>
            <w:r>
              <w:rPr>
                <w:sz w:val="18"/>
              </w:rPr>
              <w:t>47</w:t>
            </w:r>
          </w:p>
        </w:tc>
        <w:tc>
          <w:tcPr>
            <w:tcW w:w="843" w:type="pct"/>
            <w:tcBorders>
              <w:bottom w:val="single" w:sz="4" w:space="0" w:color="auto"/>
            </w:tcBorders>
          </w:tcPr>
          <w:p w:rsidR="00000000" w:rsidRDefault="004D2F83">
            <w:pPr>
              <w:spacing w:after="120" w:line="320" w:lineRule="exact"/>
              <w:jc w:val="center"/>
              <w:rPr>
                <w:sz w:val="18"/>
              </w:rPr>
            </w:pPr>
            <w:r>
              <w:rPr>
                <w:sz w:val="18"/>
              </w:rPr>
              <w:t>48.1</w:t>
            </w:r>
          </w:p>
        </w:tc>
        <w:tc>
          <w:tcPr>
            <w:tcW w:w="842" w:type="pct"/>
            <w:tcBorders>
              <w:bottom w:val="single" w:sz="4" w:space="0" w:color="auto"/>
            </w:tcBorders>
          </w:tcPr>
          <w:p w:rsidR="00000000" w:rsidRDefault="004D2F83">
            <w:pPr>
              <w:spacing w:after="120" w:line="320" w:lineRule="exact"/>
              <w:jc w:val="center"/>
              <w:rPr>
                <w:sz w:val="18"/>
              </w:rPr>
            </w:pPr>
            <w:r>
              <w:rPr>
                <w:sz w:val="18"/>
              </w:rPr>
              <w:t>47.5</w:t>
            </w:r>
          </w:p>
        </w:tc>
      </w:tr>
    </w:tbl>
    <w:p w:rsidR="00000000" w:rsidRDefault="004D2F83">
      <w:pPr>
        <w:spacing w:after="240" w:line="360" w:lineRule="exact"/>
        <w:rPr>
          <w:sz w:val="18"/>
        </w:rPr>
      </w:pPr>
      <w:r>
        <w:rPr>
          <w:rFonts w:eastAsia="SimHei" w:hint="eastAsia"/>
          <w:sz w:val="18"/>
        </w:rPr>
        <w:t>资料来源</w:t>
      </w:r>
      <w:r>
        <w:rPr>
          <w:rFonts w:hint="eastAsia"/>
          <w:sz w:val="18"/>
        </w:rPr>
        <w:t>：女性劳动力数据库。《妇女、劳动力和家庭》统计丛刊。</w:t>
      </w:r>
      <w:hyperlink r:id="rId11" w:history="1">
        <w:r>
          <w:rPr>
            <w:rStyle w:val="Hyperlink"/>
            <w:sz w:val="18"/>
          </w:rPr>
          <w:t>http://www.fcc.org.hr</w:t>
        </w:r>
      </w:hyperlink>
      <w:r>
        <w:rPr>
          <w:rFonts w:hint="eastAsia"/>
          <w:sz w:val="18"/>
        </w:rPr>
        <w:t>。</w:t>
      </w:r>
    </w:p>
    <w:p w:rsidR="00000000" w:rsidRDefault="004D2F83">
      <w:pPr>
        <w:spacing w:after="240" w:line="360" w:lineRule="exact"/>
        <w:ind w:firstLine="480"/>
      </w:pPr>
      <w:r>
        <w:rPr>
          <w:rFonts w:hint="eastAsia"/>
        </w:rPr>
        <w:t>随着参加工作的妻子人数的显著增长（配偶类，表</w:t>
      </w:r>
      <w:r>
        <w:t>35</w:t>
      </w:r>
      <w:r>
        <w:rPr>
          <w:rFonts w:hint="eastAsia"/>
        </w:rPr>
        <w:t>），从事经济活动的女性人口的年龄变化表明，自</w:t>
      </w:r>
      <w:r>
        <w:t>1970</w:t>
      </w:r>
      <w:r>
        <w:rPr>
          <w:rFonts w:hint="eastAsia"/>
        </w:rPr>
        <w:t>年代以来，家庭责任不再是女性工作的阻碍。相反，妻子的在业率大大提高，从</w:t>
      </w:r>
      <w:r>
        <w:t>1985</w:t>
      </w:r>
      <w:r>
        <w:rPr>
          <w:rFonts w:hint="eastAsia"/>
        </w:rPr>
        <w:t>年的</w:t>
      </w:r>
      <w:r>
        <w:t>33%</w:t>
      </w:r>
      <w:r>
        <w:rPr>
          <w:rFonts w:hint="eastAsia"/>
        </w:rPr>
        <w:t>上升到</w:t>
      </w:r>
      <w:r>
        <w:t>1998</w:t>
      </w:r>
      <w:r>
        <w:rPr>
          <w:rFonts w:hint="eastAsia"/>
        </w:rPr>
        <w:t>年的</w:t>
      </w:r>
      <w:r>
        <w:t>51%</w:t>
      </w:r>
      <w:r>
        <w:rPr>
          <w:rFonts w:hint="eastAsia"/>
        </w:rPr>
        <w:t>。这意味着已婚妇女越来越多地转向劳动力市场，也许是因为需要补充家庭收入或是因为她们的高学历、子女较少以及女性特性和家庭关系的变化促使她们进入劳动力市场。</w:t>
      </w:r>
    </w:p>
    <w:p w:rsidR="00000000" w:rsidRDefault="004D2F83">
      <w:pPr>
        <w:spacing w:after="240" w:line="360" w:lineRule="exact"/>
        <w:jc w:val="center"/>
        <w:rPr>
          <w:rFonts w:ascii="SimHei" w:eastAsia="SimHei"/>
        </w:rPr>
      </w:pPr>
      <w:r>
        <w:rPr>
          <w:rFonts w:ascii="SimHei" w:eastAsia="SimHei" w:hint="eastAsia"/>
        </w:rPr>
        <w:t>表</w:t>
      </w:r>
      <w:r>
        <w:rPr>
          <w:rFonts w:ascii="SimHei" w:eastAsia="SimHei"/>
        </w:rPr>
        <w:t>35</w:t>
      </w:r>
      <w:r>
        <w:rPr>
          <w:rFonts w:ascii="SimHei" w:eastAsia="SimHei" w:hint="eastAsia"/>
        </w:rPr>
        <w:t>：按照家庭地位和性别分列的活动率——巴西</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1063"/>
        <w:gridCol w:w="1063"/>
        <w:gridCol w:w="1062"/>
        <w:gridCol w:w="1062"/>
        <w:gridCol w:w="1062"/>
        <w:gridCol w:w="1062"/>
        <w:gridCol w:w="1062"/>
        <w:gridCol w:w="1051"/>
      </w:tblGrid>
      <w:tr w:rsidR="00000000">
        <w:trPr>
          <w:cantSplit/>
        </w:trPr>
        <w:tc>
          <w:tcPr>
            <w:tcW w:w="694" w:type="pct"/>
            <w:vMerge w:val="restart"/>
          </w:tcPr>
          <w:p w:rsidR="00000000" w:rsidRDefault="004D2F83">
            <w:pPr>
              <w:spacing w:after="120" w:line="400" w:lineRule="exact"/>
              <w:rPr>
                <w:sz w:val="18"/>
              </w:rPr>
            </w:pPr>
            <w:r>
              <w:rPr>
                <w:rFonts w:hint="eastAsia"/>
                <w:sz w:val="18"/>
              </w:rPr>
              <w:t>在家庭中的地位</w:t>
            </w:r>
          </w:p>
        </w:tc>
        <w:tc>
          <w:tcPr>
            <w:tcW w:w="1078" w:type="pct"/>
            <w:gridSpan w:val="2"/>
          </w:tcPr>
          <w:p w:rsidR="00000000" w:rsidRDefault="004D2F83">
            <w:pPr>
              <w:spacing w:after="120" w:line="400" w:lineRule="exact"/>
              <w:jc w:val="center"/>
              <w:rPr>
                <w:sz w:val="18"/>
              </w:rPr>
            </w:pPr>
            <w:r>
              <w:rPr>
                <w:sz w:val="18"/>
              </w:rPr>
              <w:t>1985</w:t>
            </w:r>
          </w:p>
        </w:tc>
        <w:tc>
          <w:tcPr>
            <w:tcW w:w="1078" w:type="pct"/>
            <w:gridSpan w:val="2"/>
          </w:tcPr>
          <w:p w:rsidR="00000000" w:rsidRDefault="004D2F83">
            <w:pPr>
              <w:spacing w:after="120" w:line="400" w:lineRule="exact"/>
              <w:jc w:val="center"/>
              <w:rPr>
                <w:sz w:val="18"/>
              </w:rPr>
            </w:pPr>
            <w:r>
              <w:rPr>
                <w:sz w:val="18"/>
              </w:rPr>
              <w:t>1989</w:t>
            </w:r>
          </w:p>
        </w:tc>
        <w:tc>
          <w:tcPr>
            <w:tcW w:w="1078" w:type="pct"/>
            <w:gridSpan w:val="2"/>
          </w:tcPr>
          <w:p w:rsidR="00000000" w:rsidRDefault="004D2F83">
            <w:pPr>
              <w:spacing w:after="120" w:line="400" w:lineRule="exact"/>
              <w:jc w:val="center"/>
              <w:rPr>
                <w:sz w:val="18"/>
              </w:rPr>
            </w:pPr>
            <w:r>
              <w:rPr>
                <w:sz w:val="18"/>
              </w:rPr>
              <w:t>1990</w:t>
            </w:r>
          </w:p>
        </w:tc>
        <w:tc>
          <w:tcPr>
            <w:tcW w:w="1073" w:type="pct"/>
            <w:gridSpan w:val="2"/>
          </w:tcPr>
          <w:p w:rsidR="00000000" w:rsidRDefault="004D2F83">
            <w:pPr>
              <w:spacing w:after="120" w:line="400" w:lineRule="exact"/>
              <w:jc w:val="center"/>
              <w:rPr>
                <w:sz w:val="18"/>
              </w:rPr>
            </w:pPr>
            <w:r>
              <w:rPr>
                <w:sz w:val="18"/>
              </w:rPr>
              <w:t>1998</w:t>
            </w:r>
          </w:p>
        </w:tc>
      </w:tr>
      <w:tr w:rsidR="00000000">
        <w:trPr>
          <w:cantSplit/>
        </w:trPr>
        <w:tc>
          <w:tcPr>
            <w:tcW w:w="694" w:type="pct"/>
            <w:vMerge/>
            <w:vAlign w:val="center"/>
          </w:tcPr>
          <w:p w:rsidR="00000000" w:rsidRDefault="004D2F83">
            <w:pPr>
              <w:widowControl/>
              <w:spacing w:after="120" w:line="400" w:lineRule="exact"/>
              <w:jc w:val="left"/>
              <w:rPr>
                <w:sz w:val="18"/>
              </w:rPr>
            </w:pPr>
          </w:p>
        </w:tc>
        <w:tc>
          <w:tcPr>
            <w:tcW w:w="539" w:type="pct"/>
          </w:tcPr>
          <w:p w:rsidR="00000000" w:rsidRDefault="004D2F83">
            <w:pPr>
              <w:spacing w:after="120" w:line="400" w:lineRule="exact"/>
              <w:jc w:val="center"/>
              <w:rPr>
                <w:sz w:val="18"/>
              </w:rPr>
            </w:pPr>
            <w:r>
              <w:rPr>
                <w:rFonts w:hint="eastAsia"/>
                <w:sz w:val="18"/>
              </w:rPr>
              <w:t>男子</w:t>
            </w:r>
          </w:p>
        </w:tc>
        <w:tc>
          <w:tcPr>
            <w:tcW w:w="539" w:type="pct"/>
          </w:tcPr>
          <w:p w:rsidR="00000000" w:rsidRDefault="004D2F83">
            <w:pPr>
              <w:spacing w:after="120" w:line="400" w:lineRule="exact"/>
              <w:jc w:val="center"/>
              <w:rPr>
                <w:sz w:val="18"/>
              </w:rPr>
            </w:pPr>
            <w:r>
              <w:rPr>
                <w:rFonts w:hint="eastAsia"/>
                <w:sz w:val="18"/>
              </w:rPr>
              <w:t>妇女</w:t>
            </w:r>
          </w:p>
        </w:tc>
        <w:tc>
          <w:tcPr>
            <w:tcW w:w="539" w:type="pct"/>
          </w:tcPr>
          <w:p w:rsidR="00000000" w:rsidRDefault="004D2F83">
            <w:pPr>
              <w:spacing w:after="120" w:line="400" w:lineRule="exact"/>
              <w:jc w:val="center"/>
              <w:rPr>
                <w:sz w:val="18"/>
              </w:rPr>
            </w:pPr>
            <w:r>
              <w:rPr>
                <w:rFonts w:hint="eastAsia"/>
                <w:sz w:val="18"/>
              </w:rPr>
              <w:t>男子</w:t>
            </w:r>
          </w:p>
        </w:tc>
        <w:tc>
          <w:tcPr>
            <w:tcW w:w="539" w:type="pct"/>
          </w:tcPr>
          <w:p w:rsidR="00000000" w:rsidRDefault="004D2F83">
            <w:pPr>
              <w:spacing w:after="120" w:line="400" w:lineRule="exact"/>
              <w:jc w:val="center"/>
              <w:rPr>
                <w:sz w:val="18"/>
              </w:rPr>
            </w:pPr>
            <w:r>
              <w:rPr>
                <w:rFonts w:hint="eastAsia"/>
                <w:sz w:val="18"/>
              </w:rPr>
              <w:t>妇女</w:t>
            </w:r>
          </w:p>
        </w:tc>
        <w:tc>
          <w:tcPr>
            <w:tcW w:w="539" w:type="pct"/>
          </w:tcPr>
          <w:p w:rsidR="00000000" w:rsidRDefault="004D2F83">
            <w:pPr>
              <w:spacing w:after="120" w:line="400" w:lineRule="exact"/>
              <w:jc w:val="center"/>
              <w:rPr>
                <w:sz w:val="18"/>
              </w:rPr>
            </w:pPr>
            <w:r>
              <w:rPr>
                <w:rFonts w:hint="eastAsia"/>
                <w:sz w:val="18"/>
              </w:rPr>
              <w:t>男子</w:t>
            </w:r>
          </w:p>
        </w:tc>
        <w:tc>
          <w:tcPr>
            <w:tcW w:w="539" w:type="pct"/>
          </w:tcPr>
          <w:p w:rsidR="00000000" w:rsidRDefault="004D2F83">
            <w:pPr>
              <w:spacing w:after="120" w:line="400" w:lineRule="exact"/>
              <w:jc w:val="center"/>
              <w:rPr>
                <w:sz w:val="18"/>
              </w:rPr>
            </w:pPr>
            <w:r>
              <w:rPr>
                <w:rFonts w:hint="eastAsia"/>
                <w:sz w:val="18"/>
              </w:rPr>
              <w:t>妇女</w:t>
            </w:r>
          </w:p>
        </w:tc>
        <w:tc>
          <w:tcPr>
            <w:tcW w:w="539" w:type="pct"/>
          </w:tcPr>
          <w:p w:rsidR="00000000" w:rsidRDefault="004D2F83">
            <w:pPr>
              <w:spacing w:after="120" w:line="400" w:lineRule="exact"/>
              <w:jc w:val="center"/>
              <w:rPr>
                <w:sz w:val="18"/>
              </w:rPr>
            </w:pPr>
            <w:r>
              <w:rPr>
                <w:rFonts w:hint="eastAsia"/>
                <w:sz w:val="18"/>
              </w:rPr>
              <w:t>男子</w:t>
            </w:r>
          </w:p>
        </w:tc>
        <w:tc>
          <w:tcPr>
            <w:tcW w:w="535" w:type="pct"/>
          </w:tcPr>
          <w:p w:rsidR="00000000" w:rsidRDefault="004D2F83">
            <w:pPr>
              <w:spacing w:after="120" w:line="400" w:lineRule="exact"/>
              <w:jc w:val="center"/>
              <w:rPr>
                <w:sz w:val="18"/>
              </w:rPr>
            </w:pPr>
            <w:r>
              <w:rPr>
                <w:rFonts w:hint="eastAsia"/>
                <w:sz w:val="18"/>
              </w:rPr>
              <w:t>妇女</w:t>
            </w:r>
          </w:p>
        </w:tc>
      </w:tr>
      <w:tr w:rsidR="00000000">
        <w:tc>
          <w:tcPr>
            <w:tcW w:w="694" w:type="pct"/>
          </w:tcPr>
          <w:p w:rsidR="00000000" w:rsidRDefault="004D2F83">
            <w:pPr>
              <w:spacing w:after="120" w:line="400" w:lineRule="exact"/>
              <w:rPr>
                <w:sz w:val="18"/>
              </w:rPr>
            </w:pPr>
            <w:r>
              <w:rPr>
                <w:rFonts w:hint="eastAsia"/>
                <w:sz w:val="18"/>
              </w:rPr>
              <w:t>户主</w:t>
            </w:r>
          </w:p>
        </w:tc>
        <w:tc>
          <w:tcPr>
            <w:tcW w:w="539" w:type="pct"/>
          </w:tcPr>
          <w:p w:rsidR="00000000" w:rsidRDefault="004D2F83">
            <w:pPr>
              <w:pStyle w:val="Header"/>
              <w:pBdr>
                <w:bottom w:val="none" w:sz="0" w:space="0" w:color="auto"/>
              </w:pBdr>
              <w:tabs>
                <w:tab w:val="clear" w:pos="4320"/>
                <w:tab w:val="clear" w:pos="8640"/>
              </w:tabs>
              <w:spacing w:after="120" w:line="400" w:lineRule="exact"/>
            </w:pPr>
            <w:r>
              <w:t>87.8</w:t>
            </w:r>
          </w:p>
        </w:tc>
        <w:tc>
          <w:tcPr>
            <w:tcW w:w="539" w:type="pct"/>
          </w:tcPr>
          <w:p w:rsidR="00000000" w:rsidRDefault="004D2F83">
            <w:pPr>
              <w:spacing w:after="120" w:line="400" w:lineRule="exact"/>
              <w:jc w:val="center"/>
              <w:rPr>
                <w:sz w:val="18"/>
              </w:rPr>
            </w:pPr>
            <w:r>
              <w:rPr>
                <w:sz w:val="18"/>
              </w:rPr>
              <w:t>50.0</w:t>
            </w:r>
          </w:p>
        </w:tc>
        <w:tc>
          <w:tcPr>
            <w:tcW w:w="539" w:type="pct"/>
          </w:tcPr>
          <w:p w:rsidR="00000000" w:rsidRDefault="004D2F83">
            <w:pPr>
              <w:spacing w:after="120" w:line="400" w:lineRule="exact"/>
              <w:jc w:val="center"/>
              <w:rPr>
                <w:sz w:val="18"/>
              </w:rPr>
            </w:pPr>
            <w:r>
              <w:rPr>
                <w:sz w:val="18"/>
              </w:rPr>
              <w:t>87.6</w:t>
            </w:r>
          </w:p>
        </w:tc>
        <w:tc>
          <w:tcPr>
            <w:tcW w:w="539" w:type="pct"/>
          </w:tcPr>
          <w:p w:rsidR="00000000" w:rsidRDefault="004D2F83">
            <w:pPr>
              <w:spacing w:after="120" w:line="400" w:lineRule="exact"/>
              <w:jc w:val="center"/>
              <w:rPr>
                <w:sz w:val="18"/>
              </w:rPr>
            </w:pPr>
            <w:r>
              <w:rPr>
                <w:sz w:val="18"/>
              </w:rPr>
              <w:t>52.0</w:t>
            </w:r>
          </w:p>
        </w:tc>
        <w:tc>
          <w:tcPr>
            <w:tcW w:w="539" w:type="pct"/>
          </w:tcPr>
          <w:p w:rsidR="00000000" w:rsidRDefault="004D2F83">
            <w:pPr>
              <w:spacing w:after="120" w:line="400" w:lineRule="exact"/>
              <w:jc w:val="center"/>
              <w:rPr>
                <w:sz w:val="18"/>
              </w:rPr>
            </w:pPr>
            <w:r>
              <w:rPr>
                <w:sz w:val="18"/>
              </w:rPr>
              <w:t>87.5</w:t>
            </w:r>
          </w:p>
        </w:tc>
        <w:tc>
          <w:tcPr>
            <w:tcW w:w="539" w:type="pct"/>
          </w:tcPr>
          <w:p w:rsidR="00000000" w:rsidRDefault="004D2F83">
            <w:pPr>
              <w:spacing w:after="120" w:line="400" w:lineRule="exact"/>
              <w:jc w:val="center"/>
              <w:rPr>
                <w:sz w:val="18"/>
              </w:rPr>
            </w:pPr>
            <w:r>
              <w:rPr>
                <w:sz w:val="18"/>
              </w:rPr>
              <w:t>51.2</w:t>
            </w:r>
          </w:p>
        </w:tc>
        <w:tc>
          <w:tcPr>
            <w:tcW w:w="539" w:type="pct"/>
          </w:tcPr>
          <w:p w:rsidR="00000000" w:rsidRDefault="004D2F83">
            <w:pPr>
              <w:spacing w:after="120" w:line="400" w:lineRule="exact"/>
              <w:jc w:val="center"/>
              <w:rPr>
                <w:sz w:val="18"/>
              </w:rPr>
            </w:pPr>
            <w:r>
              <w:rPr>
                <w:sz w:val="18"/>
              </w:rPr>
              <w:t>86.6</w:t>
            </w:r>
          </w:p>
        </w:tc>
        <w:tc>
          <w:tcPr>
            <w:tcW w:w="535" w:type="pct"/>
          </w:tcPr>
          <w:p w:rsidR="00000000" w:rsidRDefault="004D2F83">
            <w:pPr>
              <w:spacing w:after="120" w:line="400" w:lineRule="exact"/>
              <w:jc w:val="center"/>
              <w:rPr>
                <w:sz w:val="18"/>
              </w:rPr>
            </w:pPr>
            <w:r>
              <w:rPr>
                <w:sz w:val="18"/>
              </w:rPr>
              <w:t>56.4</w:t>
            </w:r>
          </w:p>
        </w:tc>
      </w:tr>
      <w:tr w:rsidR="00000000">
        <w:tc>
          <w:tcPr>
            <w:tcW w:w="694" w:type="pct"/>
          </w:tcPr>
          <w:p w:rsidR="00000000" w:rsidRDefault="004D2F83">
            <w:pPr>
              <w:spacing w:after="120" w:line="400" w:lineRule="exact"/>
              <w:rPr>
                <w:sz w:val="18"/>
              </w:rPr>
            </w:pPr>
            <w:r>
              <w:rPr>
                <w:rFonts w:hint="eastAsia"/>
                <w:sz w:val="18"/>
              </w:rPr>
              <w:t>配偶</w:t>
            </w:r>
          </w:p>
        </w:tc>
        <w:tc>
          <w:tcPr>
            <w:tcW w:w="539" w:type="pct"/>
          </w:tcPr>
          <w:p w:rsidR="00000000" w:rsidRDefault="004D2F83">
            <w:pPr>
              <w:spacing w:after="120" w:line="400" w:lineRule="exact"/>
              <w:jc w:val="center"/>
              <w:rPr>
                <w:sz w:val="18"/>
              </w:rPr>
            </w:pPr>
            <w:r>
              <w:rPr>
                <w:sz w:val="18"/>
              </w:rPr>
              <w:t>75.7</w:t>
            </w:r>
          </w:p>
        </w:tc>
        <w:tc>
          <w:tcPr>
            <w:tcW w:w="539" w:type="pct"/>
          </w:tcPr>
          <w:p w:rsidR="00000000" w:rsidRDefault="004D2F83">
            <w:pPr>
              <w:spacing w:after="120" w:line="400" w:lineRule="exact"/>
              <w:jc w:val="center"/>
              <w:rPr>
                <w:sz w:val="18"/>
              </w:rPr>
            </w:pPr>
            <w:r>
              <w:rPr>
                <w:sz w:val="18"/>
              </w:rPr>
              <w:t>32.9</w:t>
            </w:r>
          </w:p>
        </w:tc>
        <w:tc>
          <w:tcPr>
            <w:tcW w:w="539" w:type="pct"/>
          </w:tcPr>
          <w:p w:rsidR="00000000" w:rsidRDefault="004D2F83">
            <w:pPr>
              <w:spacing w:after="120" w:line="400" w:lineRule="exact"/>
              <w:jc w:val="center"/>
              <w:rPr>
                <w:sz w:val="18"/>
              </w:rPr>
            </w:pPr>
            <w:r>
              <w:rPr>
                <w:sz w:val="18"/>
              </w:rPr>
              <w:t>78.5</w:t>
            </w:r>
          </w:p>
        </w:tc>
        <w:tc>
          <w:tcPr>
            <w:tcW w:w="539" w:type="pct"/>
          </w:tcPr>
          <w:p w:rsidR="00000000" w:rsidRDefault="004D2F83">
            <w:pPr>
              <w:spacing w:after="120" w:line="400" w:lineRule="exact"/>
              <w:jc w:val="center"/>
              <w:rPr>
                <w:sz w:val="18"/>
              </w:rPr>
            </w:pPr>
            <w:r>
              <w:rPr>
                <w:sz w:val="18"/>
              </w:rPr>
              <w:t>36.5</w:t>
            </w:r>
          </w:p>
        </w:tc>
        <w:tc>
          <w:tcPr>
            <w:tcW w:w="539" w:type="pct"/>
          </w:tcPr>
          <w:p w:rsidR="00000000" w:rsidRDefault="004D2F83">
            <w:pPr>
              <w:spacing w:after="120" w:line="400" w:lineRule="exact"/>
              <w:jc w:val="center"/>
              <w:rPr>
                <w:sz w:val="18"/>
              </w:rPr>
            </w:pPr>
            <w:r>
              <w:rPr>
                <w:sz w:val="18"/>
              </w:rPr>
              <w:t>80.7</w:t>
            </w:r>
          </w:p>
        </w:tc>
        <w:tc>
          <w:tcPr>
            <w:tcW w:w="539" w:type="pct"/>
          </w:tcPr>
          <w:p w:rsidR="00000000" w:rsidRDefault="004D2F83">
            <w:pPr>
              <w:spacing w:after="120" w:line="400" w:lineRule="exact"/>
              <w:jc w:val="center"/>
              <w:rPr>
                <w:sz w:val="18"/>
              </w:rPr>
            </w:pPr>
            <w:r>
              <w:rPr>
                <w:sz w:val="18"/>
              </w:rPr>
              <w:t>37.6</w:t>
            </w:r>
          </w:p>
        </w:tc>
        <w:tc>
          <w:tcPr>
            <w:tcW w:w="539" w:type="pct"/>
          </w:tcPr>
          <w:p w:rsidR="00000000" w:rsidRDefault="004D2F83">
            <w:pPr>
              <w:spacing w:after="120" w:line="400" w:lineRule="exact"/>
              <w:jc w:val="center"/>
              <w:rPr>
                <w:sz w:val="18"/>
              </w:rPr>
            </w:pPr>
            <w:r>
              <w:rPr>
                <w:sz w:val="18"/>
              </w:rPr>
              <w:t>83.7</w:t>
            </w:r>
          </w:p>
        </w:tc>
        <w:tc>
          <w:tcPr>
            <w:tcW w:w="535" w:type="pct"/>
          </w:tcPr>
          <w:p w:rsidR="00000000" w:rsidRDefault="004D2F83">
            <w:pPr>
              <w:spacing w:after="120" w:line="400" w:lineRule="exact"/>
              <w:jc w:val="center"/>
              <w:rPr>
                <w:sz w:val="18"/>
              </w:rPr>
            </w:pPr>
            <w:r>
              <w:rPr>
                <w:sz w:val="18"/>
              </w:rPr>
              <w:t>51.3</w:t>
            </w:r>
          </w:p>
        </w:tc>
      </w:tr>
      <w:tr w:rsidR="00000000">
        <w:tc>
          <w:tcPr>
            <w:tcW w:w="694" w:type="pct"/>
          </w:tcPr>
          <w:p w:rsidR="00000000" w:rsidRDefault="004D2F83">
            <w:pPr>
              <w:spacing w:after="120" w:line="400" w:lineRule="exact"/>
              <w:rPr>
                <w:sz w:val="18"/>
              </w:rPr>
            </w:pPr>
            <w:r>
              <w:rPr>
                <w:rFonts w:hint="eastAsia"/>
                <w:sz w:val="18"/>
              </w:rPr>
              <w:t>儿子</w:t>
            </w:r>
            <w:r>
              <w:rPr>
                <w:sz w:val="18"/>
              </w:rPr>
              <w:t>/</w:t>
            </w:r>
            <w:r>
              <w:rPr>
                <w:rFonts w:hint="eastAsia"/>
                <w:sz w:val="18"/>
              </w:rPr>
              <w:t>女儿</w:t>
            </w:r>
          </w:p>
        </w:tc>
        <w:tc>
          <w:tcPr>
            <w:tcW w:w="539" w:type="pct"/>
          </w:tcPr>
          <w:p w:rsidR="00000000" w:rsidRDefault="004D2F83">
            <w:pPr>
              <w:spacing w:after="120" w:line="400" w:lineRule="exact"/>
              <w:jc w:val="center"/>
              <w:rPr>
                <w:sz w:val="18"/>
              </w:rPr>
            </w:pPr>
            <w:r>
              <w:rPr>
                <w:sz w:val="18"/>
              </w:rPr>
              <w:t>61.2</w:t>
            </w:r>
          </w:p>
        </w:tc>
        <w:tc>
          <w:tcPr>
            <w:tcW w:w="539" w:type="pct"/>
          </w:tcPr>
          <w:p w:rsidR="00000000" w:rsidRDefault="004D2F83">
            <w:pPr>
              <w:spacing w:after="120" w:line="400" w:lineRule="exact"/>
              <w:jc w:val="center"/>
              <w:rPr>
                <w:sz w:val="18"/>
              </w:rPr>
            </w:pPr>
            <w:r>
              <w:rPr>
                <w:sz w:val="18"/>
              </w:rPr>
              <w:t>36.8</w:t>
            </w:r>
          </w:p>
        </w:tc>
        <w:tc>
          <w:tcPr>
            <w:tcW w:w="539" w:type="pct"/>
          </w:tcPr>
          <w:p w:rsidR="00000000" w:rsidRDefault="004D2F83">
            <w:pPr>
              <w:spacing w:after="120" w:line="400" w:lineRule="exact"/>
              <w:jc w:val="center"/>
              <w:rPr>
                <w:sz w:val="18"/>
              </w:rPr>
            </w:pPr>
            <w:r>
              <w:rPr>
                <w:sz w:val="18"/>
              </w:rPr>
              <w:t>60.1</w:t>
            </w:r>
          </w:p>
        </w:tc>
        <w:tc>
          <w:tcPr>
            <w:tcW w:w="539" w:type="pct"/>
          </w:tcPr>
          <w:p w:rsidR="00000000" w:rsidRDefault="004D2F83">
            <w:pPr>
              <w:spacing w:after="120" w:line="400" w:lineRule="exact"/>
              <w:jc w:val="center"/>
              <w:rPr>
                <w:sz w:val="18"/>
              </w:rPr>
            </w:pPr>
            <w:r>
              <w:rPr>
                <w:sz w:val="18"/>
              </w:rPr>
              <w:t>36.5</w:t>
            </w:r>
          </w:p>
        </w:tc>
        <w:tc>
          <w:tcPr>
            <w:tcW w:w="539" w:type="pct"/>
          </w:tcPr>
          <w:p w:rsidR="00000000" w:rsidRDefault="004D2F83">
            <w:pPr>
              <w:spacing w:after="120" w:line="400" w:lineRule="exact"/>
              <w:jc w:val="center"/>
              <w:rPr>
                <w:sz w:val="18"/>
              </w:rPr>
            </w:pPr>
            <w:r>
              <w:rPr>
                <w:sz w:val="18"/>
              </w:rPr>
              <w:t>59.2</w:t>
            </w:r>
          </w:p>
        </w:tc>
        <w:tc>
          <w:tcPr>
            <w:tcW w:w="539" w:type="pct"/>
          </w:tcPr>
          <w:p w:rsidR="00000000" w:rsidRDefault="004D2F83">
            <w:pPr>
              <w:spacing w:after="120" w:line="400" w:lineRule="exact"/>
              <w:jc w:val="center"/>
              <w:rPr>
                <w:sz w:val="18"/>
              </w:rPr>
            </w:pPr>
            <w:r>
              <w:rPr>
                <w:sz w:val="18"/>
              </w:rPr>
              <w:t>36.2</w:t>
            </w:r>
          </w:p>
        </w:tc>
        <w:tc>
          <w:tcPr>
            <w:tcW w:w="539" w:type="pct"/>
          </w:tcPr>
          <w:p w:rsidR="00000000" w:rsidRDefault="004D2F83">
            <w:pPr>
              <w:spacing w:after="120" w:line="400" w:lineRule="exact"/>
              <w:jc w:val="center"/>
              <w:rPr>
                <w:sz w:val="18"/>
              </w:rPr>
            </w:pPr>
            <w:r>
              <w:rPr>
                <w:sz w:val="18"/>
              </w:rPr>
              <w:t>56.8</w:t>
            </w:r>
          </w:p>
        </w:tc>
        <w:tc>
          <w:tcPr>
            <w:tcW w:w="535" w:type="pct"/>
          </w:tcPr>
          <w:p w:rsidR="00000000" w:rsidRDefault="004D2F83">
            <w:pPr>
              <w:spacing w:after="120" w:line="400" w:lineRule="exact"/>
              <w:jc w:val="center"/>
              <w:rPr>
                <w:sz w:val="18"/>
              </w:rPr>
            </w:pPr>
            <w:r>
              <w:rPr>
                <w:sz w:val="18"/>
              </w:rPr>
              <w:t>38.2</w:t>
            </w:r>
          </w:p>
        </w:tc>
      </w:tr>
      <w:tr w:rsidR="00000000">
        <w:tc>
          <w:tcPr>
            <w:tcW w:w="694" w:type="pct"/>
          </w:tcPr>
          <w:p w:rsidR="00000000" w:rsidRDefault="004D2F83">
            <w:pPr>
              <w:spacing w:after="120" w:line="400" w:lineRule="exact"/>
              <w:rPr>
                <w:sz w:val="18"/>
              </w:rPr>
            </w:pPr>
            <w:r>
              <w:rPr>
                <w:rFonts w:hint="eastAsia"/>
                <w:sz w:val="18"/>
              </w:rPr>
              <w:t>其他人</w:t>
            </w:r>
          </w:p>
        </w:tc>
        <w:tc>
          <w:tcPr>
            <w:tcW w:w="539" w:type="pct"/>
          </w:tcPr>
          <w:p w:rsidR="00000000" w:rsidRDefault="004D2F83">
            <w:pPr>
              <w:spacing w:after="120" w:line="400" w:lineRule="exact"/>
              <w:jc w:val="center"/>
              <w:rPr>
                <w:sz w:val="18"/>
              </w:rPr>
            </w:pPr>
            <w:r>
              <w:rPr>
                <w:sz w:val="18"/>
              </w:rPr>
              <w:t>64.4</w:t>
            </w:r>
          </w:p>
        </w:tc>
        <w:tc>
          <w:tcPr>
            <w:tcW w:w="539" w:type="pct"/>
          </w:tcPr>
          <w:p w:rsidR="00000000" w:rsidRDefault="004D2F83">
            <w:pPr>
              <w:spacing w:after="120" w:line="400" w:lineRule="exact"/>
              <w:jc w:val="center"/>
              <w:rPr>
                <w:sz w:val="18"/>
              </w:rPr>
            </w:pPr>
            <w:r>
              <w:rPr>
                <w:sz w:val="18"/>
              </w:rPr>
              <w:t>26.2</w:t>
            </w:r>
          </w:p>
        </w:tc>
        <w:tc>
          <w:tcPr>
            <w:tcW w:w="539" w:type="pct"/>
          </w:tcPr>
          <w:p w:rsidR="00000000" w:rsidRDefault="004D2F83">
            <w:pPr>
              <w:spacing w:after="120" w:line="400" w:lineRule="exact"/>
              <w:jc w:val="center"/>
              <w:rPr>
                <w:sz w:val="18"/>
              </w:rPr>
            </w:pPr>
            <w:r>
              <w:rPr>
                <w:sz w:val="18"/>
              </w:rPr>
              <w:t>65.2</w:t>
            </w:r>
          </w:p>
        </w:tc>
        <w:tc>
          <w:tcPr>
            <w:tcW w:w="539" w:type="pct"/>
          </w:tcPr>
          <w:p w:rsidR="00000000" w:rsidRDefault="004D2F83">
            <w:pPr>
              <w:spacing w:after="120" w:line="400" w:lineRule="exact"/>
              <w:jc w:val="center"/>
              <w:rPr>
                <w:sz w:val="18"/>
              </w:rPr>
            </w:pPr>
            <w:r>
              <w:rPr>
                <w:sz w:val="18"/>
              </w:rPr>
              <w:t>27.8</w:t>
            </w:r>
          </w:p>
        </w:tc>
        <w:tc>
          <w:tcPr>
            <w:tcW w:w="539" w:type="pct"/>
          </w:tcPr>
          <w:p w:rsidR="00000000" w:rsidRDefault="004D2F83">
            <w:pPr>
              <w:spacing w:after="120" w:line="400" w:lineRule="exact"/>
              <w:jc w:val="center"/>
              <w:rPr>
                <w:sz w:val="18"/>
              </w:rPr>
            </w:pPr>
            <w:r>
              <w:rPr>
                <w:sz w:val="18"/>
              </w:rPr>
              <w:t>64.8</w:t>
            </w:r>
          </w:p>
        </w:tc>
        <w:tc>
          <w:tcPr>
            <w:tcW w:w="539" w:type="pct"/>
          </w:tcPr>
          <w:p w:rsidR="00000000" w:rsidRDefault="004D2F83">
            <w:pPr>
              <w:spacing w:after="120" w:line="400" w:lineRule="exact"/>
              <w:jc w:val="center"/>
              <w:rPr>
                <w:sz w:val="18"/>
              </w:rPr>
            </w:pPr>
            <w:r>
              <w:rPr>
                <w:sz w:val="18"/>
              </w:rPr>
              <w:t>28.1</w:t>
            </w:r>
          </w:p>
        </w:tc>
        <w:tc>
          <w:tcPr>
            <w:tcW w:w="539" w:type="pct"/>
          </w:tcPr>
          <w:p w:rsidR="00000000" w:rsidRDefault="004D2F83">
            <w:pPr>
              <w:spacing w:after="120" w:line="400" w:lineRule="exact"/>
              <w:jc w:val="center"/>
              <w:rPr>
                <w:sz w:val="18"/>
              </w:rPr>
            </w:pPr>
            <w:r>
              <w:rPr>
                <w:sz w:val="18"/>
              </w:rPr>
              <w:t>58.9</w:t>
            </w:r>
          </w:p>
        </w:tc>
        <w:tc>
          <w:tcPr>
            <w:tcW w:w="535" w:type="pct"/>
          </w:tcPr>
          <w:p w:rsidR="00000000" w:rsidRDefault="004D2F83">
            <w:pPr>
              <w:spacing w:after="120" w:line="400" w:lineRule="exact"/>
              <w:jc w:val="center"/>
              <w:rPr>
                <w:sz w:val="18"/>
              </w:rPr>
            </w:pPr>
            <w:r>
              <w:rPr>
                <w:sz w:val="18"/>
              </w:rPr>
              <w:t>32.2</w:t>
            </w:r>
          </w:p>
        </w:tc>
      </w:tr>
      <w:tr w:rsidR="00000000">
        <w:tc>
          <w:tcPr>
            <w:tcW w:w="694" w:type="pct"/>
          </w:tcPr>
          <w:p w:rsidR="00000000" w:rsidRDefault="004D2F83">
            <w:pPr>
              <w:spacing w:after="120" w:line="400" w:lineRule="exact"/>
              <w:rPr>
                <w:sz w:val="18"/>
              </w:rPr>
            </w:pPr>
            <w:r>
              <w:rPr>
                <w:rFonts w:hint="eastAsia"/>
                <w:sz w:val="18"/>
              </w:rPr>
              <w:t>无关的人</w:t>
            </w:r>
          </w:p>
        </w:tc>
        <w:tc>
          <w:tcPr>
            <w:tcW w:w="539" w:type="pct"/>
          </w:tcPr>
          <w:p w:rsidR="00000000" w:rsidRDefault="004D2F83">
            <w:pPr>
              <w:spacing w:after="120" w:line="400" w:lineRule="exact"/>
              <w:jc w:val="center"/>
              <w:rPr>
                <w:sz w:val="18"/>
              </w:rPr>
            </w:pPr>
            <w:r>
              <w:rPr>
                <w:sz w:val="18"/>
              </w:rPr>
              <w:t>87.9</w:t>
            </w:r>
          </w:p>
        </w:tc>
        <w:tc>
          <w:tcPr>
            <w:tcW w:w="539" w:type="pct"/>
          </w:tcPr>
          <w:p w:rsidR="00000000" w:rsidRDefault="004D2F83">
            <w:pPr>
              <w:spacing w:after="120" w:line="400" w:lineRule="exact"/>
              <w:jc w:val="center"/>
              <w:rPr>
                <w:sz w:val="18"/>
              </w:rPr>
            </w:pPr>
            <w:r>
              <w:rPr>
                <w:sz w:val="18"/>
              </w:rPr>
              <w:t>84.5</w:t>
            </w:r>
          </w:p>
        </w:tc>
        <w:tc>
          <w:tcPr>
            <w:tcW w:w="539" w:type="pct"/>
          </w:tcPr>
          <w:p w:rsidR="00000000" w:rsidRDefault="004D2F83">
            <w:pPr>
              <w:spacing w:after="120" w:line="400" w:lineRule="exact"/>
              <w:jc w:val="center"/>
              <w:rPr>
                <w:sz w:val="18"/>
              </w:rPr>
            </w:pPr>
            <w:r>
              <w:rPr>
                <w:sz w:val="18"/>
              </w:rPr>
              <w:t>86.4</w:t>
            </w:r>
          </w:p>
        </w:tc>
        <w:tc>
          <w:tcPr>
            <w:tcW w:w="539" w:type="pct"/>
          </w:tcPr>
          <w:p w:rsidR="00000000" w:rsidRDefault="004D2F83">
            <w:pPr>
              <w:spacing w:after="120" w:line="400" w:lineRule="exact"/>
              <w:jc w:val="center"/>
              <w:rPr>
                <w:sz w:val="18"/>
              </w:rPr>
            </w:pPr>
            <w:r>
              <w:rPr>
                <w:sz w:val="18"/>
              </w:rPr>
              <w:t>81.3</w:t>
            </w:r>
          </w:p>
        </w:tc>
        <w:tc>
          <w:tcPr>
            <w:tcW w:w="539" w:type="pct"/>
          </w:tcPr>
          <w:p w:rsidR="00000000" w:rsidRDefault="004D2F83">
            <w:pPr>
              <w:spacing w:after="120" w:line="400" w:lineRule="exact"/>
              <w:jc w:val="center"/>
              <w:rPr>
                <w:sz w:val="18"/>
              </w:rPr>
            </w:pPr>
            <w:r>
              <w:rPr>
                <w:sz w:val="18"/>
              </w:rPr>
              <w:t>84.7</w:t>
            </w:r>
          </w:p>
        </w:tc>
        <w:tc>
          <w:tcPr>
            <w:tcW w:w="539" w:type="pct"/>
          </w:tcPr>
          <w:p w:rsidR="00000000" w:rsidRDefault="004D2F83">
            <w:pPr>
              <w:spacing w:after="120" w:line="400" w:lineRule="exact"/>
              <w:jc w:val="center"/>
              <w:rPr>
                <w:sz w:val="18"/>
              </w:rPr>
            </w:pPr>
            <w:r>
              <w:rPr>
                <w:sz w:val="18"/>
              </w:rPr>
              <w:t>80</w:t>
            </w:r>
          </w:p>
        </w:tc>
        <w:tc>
          <w:tcPr>
            <w:tcW w:w="539" w:type="pct"/>
          </w:tcPr>
          <w:p w:rsidR="00000000" w:rsidRDefault="004D2F83">
            <w:pPr>
              <w:spacing w:after="120" w:line="400" w:lineRule="exact"/>
              <w:jc w:val="center"/>
              <w:rPr>
                <w:sz w:val="18"/>
              </w:rPr>
            </w:pPr>
            <w:r>
              <w:rPr>
                <w:sz w:val="18"/>
              </w:rPr>
              <w:t>81.6</w:t>
            </w:r>
          </w:p>
        </w:tc>
        <w:tc>
          <w:tcPr>
            <w:tcW w:w="535" w:type="pct"/>
          </w:tcPr>
          <w:p w:rsidR="00000000" w:rsidRDefault="004D2F83">
            <w:pPr>
              <w:spacing w:after="120" w:line="400" w:lineRule="exact"/>
              <w:jc w:val="center"/>
              <w:rPr>
                <w:sz w:val="18"/>
              </w:rPr>
            </w:pPr>
            <w:r>
              <w:rPr>
                <w:sz w:val="18"/>
              </w:rPr>
              <w:t>77.7</w:t>
            </w:r>
          </w:p>
        </w:tc>
      </w:tr>
      <w:tr w:rsidR="00000000">
        <w:tc>
          <w:tcPr>
            <w:tcW w:w="694" w:type="pct"/>
          </w:tcPr>
          <w:p w:rsidR="00000000" w:rsidRDefault="004D2F83">
            <w:pPr>
              <w:spacing w:after="120" w:line="400" w:lineRule="exact"/>
              <w:rPr>
                <w:sz w:val="18"/>
              </w:rPr>
            </w:pPr>
            <w:r>
              <w:rPr>
                <w:rFonts w:hint="eastAsia"/>
                <w:sz w:val="18"/>
              </w:rPr>
              <w:t>总计</w:t>
            </w:r>
          </w:p>
        </w:tc>
        <w:tc>
          <w:tcPr>
            <w:tcW w:w="539" w:type="pct"/>
          </w:tcPr>
          <w:p w:rsidR="00000000" w:rsidRDefault="004D2F83">
            <w:pPr>
              <w:spacing w:after="120" w:line="400" w:lineRule="exact"/>
              <w:jc w:val="center"/>
              <w:rPr>
                <w:sz w:val="18"/>
              </w:rPr>
            </w:pPr>
            <w:r>
              <w:rPr>
                <w:sz w:val="18"/>
              </w:rPr>
              <w:t>76.0</w:t>
            </w:r>
          </w:p>
        </w:tc>
        <w:tc>
          <w:tcPr>
            <w:tcW w:w="539" w:type="pct"/>
          </w:tcPr>
          <w:p w:rsidR="00000000" w:rsidRDefault="004D2F83">
            <w:pPr>
              <w:spacing w:after="120" w:line="400" w:lineRule="exact"/>
              <w:jc w:val="center"/>
              <w:rPr>
                <w:sz w:val="18"/>
              </w:rPr>
            </w:pPr>
            <w:r>
              <w:rPr>
                <w:sz w:val="18"/>
              </w:rPr>
              <w:t>36.8</w:t>
            </w:r>
          </w:p>
        </w:tc>
        <w:tc>
          <w:tcPr>
            <w:tcW w:w="539" w:type="pct"/>
          </w:tcPr>
          <w:p w:rsidR="00000000" w:rsidRDefault="004D2F83">
            <w:pPr>
              <w:spacing w:after="120" w:line="400" w:lineRule="exact"/>
              <w:jc w:val="center"/>
              <w:rPr>
                <w:sz w:val="18"/>
              </w:rPr>
            </w:pPr>
            <w:r>
              <w:rPr>
                <w:sz w:val="18"/>
              </w:rPr>
              <w:t>75.7</w:t>
            </w:r>
          </w:p>
        </w:tc>
        <w:tc>
          <w:tcPr>
            <w:tcW w:w="539" w:type="pct"/>
          </w:tcPr>
          <w:p w:rsidR="00000000" w:rsidRDefault="004D2F83">
            <w:pPr>
              <w:spacing w:after="120" w:line="400" w:lineRule="exact"/>
              <w:jc w:val="center"/>
              <w:rPr>
                <w:sz w:val="18"/>
              </w:rPr>
            </w:pPr>
            <w:r>
              <w:rPr>
                <w:sz w:val="18"/>
              </w:rPr>
              <w:t>38.7</w:t>
            </w:r>
          </w:p>
        </w:tc>
        <w:tc>
          <w:tcPr>
            <w:tcW w:w="539" w:type="pct"/>
          </w:tcPr>
          <w:p w:rsidR="00000000" w:rsidRDefault="004D2F83">
            <w:pPr>
              <w:spacing w:after="120" w:line="400" w:lineRule="exact"/>
              <w:jc w:val="center"/>
              <w:rPr>
                <w:sz w:val="18"/>
              </w:rPr>
            </w:pPr>
            <w:r>
              <w:rPr>
                <w:sz w:val="18"/>
              </w:rPr>
              <w:t>75.2</w:t>
            </w:r>
          </w:p>
        </w:tc>
        <w:tc>
          <w:tcPr>
            <w:tcW w:w="539" w:type="pct"/>
          </w:tcPr>
          <w:p w:rsidR="00000000" w:rsidRDefault="004D2F83">
            <w:pPr>
              <w:spacing w:after="120" w:line="400" w:lineRule="exact"/>
              <w:jc w:val="center"/>
              <w:rPr>
                <w:sz w:val="18"/>
              </w:rPr>
            </w:pPr>
            <w:r>
              <w:rPr>
                <w:sz w:val="18"/>
              </w:rPr>
              <w:t>39.2</w:t>
            </w:r>
          </w:p>
        </w:tc>
        <w:tc>
          <w:tcPr>
            <w:tcW w:w="539" w:type="pct"/>
          </w:tcPr>
          <w:p w:rsidR="00000000" w:rsidRDefault="004D2F83">
            <w:pPr>
              <w:spacing w:after="120" w:line="400" w:lineRule="exact"/>
              <w:jc w:val="center"/>
              <w:rPr>
                <w:sz w:val="18"/>
              </w:rPr>
            </w:pPr>
            <w:r>
              <w:rPr>
                <w:sz w:val="18"/>
              </w:rPr>
              <w:t>73.6</w:t>
            </w:r>
          </w:p>
        </w:tc>
        <w:tc>
          <w:tcPr>
            <w:tcW w:w="535" w:type="pct"/>
          </w:tcPr>
          <w:p w:rsidR="00000000" w:rsidRDefault="004D2F83">
            <w:pPr>
              <w:spacing w:after="120" w:line="400" w:lineRule="exact"/>
              <w:jc w:val="center"/>
              <w:rPr>
                <w:sz w:val="18"/>
              </w:rPr>
            </w:pPr>
            <w:r>
              <w:rPr>
                <w:sz w:val="18"/>
              </w:rPr>
              <w:t>47.5</w:t>
            </w:r>
          </w:p>
        </w:tc>
      </w:tr>
    </w:tbl>
    <w:p w:rsidR="00000000" w:rsidRDefault="004D2F83">
      <w:pPr>
        <w:spacing w:after="240" w:line="380" w:lineRule="exact"/>
        <w:rPr>
          <w:sz w:val="18"/>
        </w:rPr>
      </w:pPr>
      <w:r>
        <w:rPr>
          <w:rFonts w:eastAsia="SimHei" w:hint="eastAsia"/>
          <w:sz w:val="18"/>
        </w:rPr>
        <w:t>资料来源</w:t>
      </w:r>
      <w:r>
        <w:rPr>
          <w:rFonts w:hint="eastAsia"/>
          <w:sz w:val="18"/>
        </w:rPr>
        <w:t>：女性劳动力数据库。《妇女、劳动力和家庭》统计丛刊。</w:t>
      </w:r>
      <w:hyperlink r:id="rId12" w:history="1">
        <w:r>
          <w:rPr>
            <w:rStyle w:val="Hyperlink"/>
            <w:sz w:val="18"/>
          </w:rPr>
          <w:t>http://www.fcc.org.hr</w:t>
        </w:r>
      </w:hyperlink>
      <w:r>
        <w:rPr>
          <w:rFonts w:hint="eastAsia"/>
          <w:sz w:val="18"/>
        </w:rPr>
        <w:t>。</w:t>
      </w:r>
    </w:p>
    <w:p w:rsidR="00000000" w:rsidRDefault="004D2F83" w:rsidP="004D2F83">
      <w:pPr>
        <w:pStyle w:val="1"/>
        <w:adjustRightInd w:val="0"/>
        <w:spacing w:after="240" w:line="380" w:lineRule="exact"/>
        <w:ind w:firstLine="31680"/>
        <w:textAlignment w:val="baseline"/>
        <w:rPr>
          <w:kern w:val="0"/>
          <w:szCs w:val="20"/>
        </w:rPr>
      </w:pPr>
      <w:r>
        <w:rPr>
          <w:rFonts w:hint="eastAsia"/>
          <w:kern w:val="0"/>
          <w:szCs w:val="20"/>
        </w:rPr>
        <w:t>因此可以说，在妇女的工作机会方面现已发生重大的表化。不过，仍然有一些因素阻碍着妇女投身于职业活动或使她们成为在劳动力市场上始终处境不利的二等劳动者。首先，妇女仍然对家务、子女和家庭负有主要责任。这使那些同时还从事经济活动的妇女负荷过重。不管她们是否进入劳动力市场，妇女都是家庭主妇并且操持家庭，尽管这项工作对于所有人的生存和福利是不可或缺的，但在统计学上却不被考虑和受到忽视，她们被归类为“</w:t>
      </w:r>
      <w:r>
        <w:rPr>
          <w:rFonts w:hint="eastAsia"/>
          <w:kern w:val="0"/>
          <w:szCs w:val="20"/>
        </w:rPr>
        <w:t>专门从事家务劳动的非在业人口”。</w:t>
      </w:r>
    </w:p>
    <w:p w:rsidR="00000000" w:rsidRDefault="004D2F83" w:rsidP="004D2F83">
      <w:pPr>
        <w:spacing w:after="240" w:line="380" w:lineRule="exact"/>
        <w:ind w:firstLineChars="200" w:firstLine="31680"/>
      </w:pPr>
      <w:r>
        <w:rPr>
          <w:rFonts w:hint="eastAsia"/>
        </w:rPr>
        <w:t>母性无疑是对女性劳动力影响最大的因素，特别是在孩子年幼的时候。在家里保护、照顾和抚养孩子的责任使妇女受到限制，无法参加有报酬工作，特别是当她们赚取的收入不足以支付照顾孩子入托的费用时。不过，因经济因素妇女不可能作全职母亲时——例如在赤贫家庭或女户主家庭，就可能作出其他安排，例如通过家庭网络（包括年长的儿子</w:t>
      </w:r>
      <w:r>
        <w:t>/</w:t>
      </w:r>
      <w:r>
        <w:rPr>
          <w:rFonts w:hint="eastAsia"/>
        </w:rPr>
        <w:t>女儿）或邻居网络来照料工作母亲的子女。根据州统计数据分析系统基金会在圣保罗城进行的调查，</w:t>
      </w:r>
      <w:r>
        <w:t>1995</w:t>
      </w:r>
      <w:r>
        <w:rPr>
          <w:rFonts w:hint="eastAsia"/>
        </w:rPr>
        <w:t>年，</w:t>
      </w:r>
      <w:r>
        <w:t>30%</w:t>
      </w:r>
      <w:r>
        <w:rPr>
          <w:rFonts w:hint="eastAsia"/>
        </w:rPr>
        <w:t>的</w:t>
      </w:r>
      <w:r>
        <w:t>10-14</w:t>
      </w:r>
      <w:r>
        <w:rPr>
          <w:rFonts w:hint="eastAsia"/>
        </w:rPr>
        <w:t>岁年龄段的上学女童要牺牲她们的学习或休息时间来照顾年</w:t>
      </w:r>
      <w:r>
        <w:rPr>
          <w:rFonts w:hint="eastAsia"/>
        </w:rPr>
        <w:t>幼的弟妹和帮助做家务（</w:t>
      </w:r>
      <w:r>
        <w:t>Bruschini</w:t>
      </w:r>
      <w:r>
        <w:rPr>
          <w:rFonts w:hint="eastAsia"/>
        </w:rPr>
        <w:t>，</w:t>
      </w:r>
      <w:r>
        <w:t>1997</w:t>
      </w:r>
      <w:r>
        <w:rPr>
          <w:rFonts w:hint="eastAsia"/>
        </w:rPr>
        <w:t>年）。</w:t>
      </w:r>
    </w:p>
    <w:p w:rsidR="00000000" w:rsidRDefault="004D2F83" w:rsidP="004D2F83">
      <w:pPr>
        <w:spacing w:after="240" w:line="380" w:lineRule="exact"/>
        <w:ind w:firstLineChars="200" w:firstLine="31680"/>
      </w:pPr>
      <w:r>
        <w:rPr>
          <w:rFonts w:hint="eastAsia"/>
        </w:rPr>
        <w:t>由于缺少日托中心（只有少数巴西孩子能够进日托中心）这样的集体机构，这进一步加重了妇女特别是职业妇女的母性负担。</w:t>
      </w:r>
      <w:r>
        <w:t>Campos</w:t>
      </w:r>
      <w:r>
        <w:rPr>
          <w:rFonts w:hint="eastAsia"/>
        </w:rPr>
        <w:t>、</w:t>
      </w:r>
      <w:r>
        <w:t>Rosemberg</w:t>
      </w:r>
      <w:r>
        <w:rPr>
          <w:rFonts w:hint="eastAsia"/>
        </w:rPr>
        <w:t>和</w:t>
      </w:r>
      <w:r>
        <w:t>Ferreira(apud Bruschini</w:t>
      </w:r>
      <w:r>
        <w:rPr>
          <w:rFonts w:hint="eastAsia"/>
        </w:rPr>
        <w:t>，</w:t>
      </w:r>
      <w:r>
        <w:t>1995</w:t>
      </w:r>
      <w:r>
        <w:rPr>
          <w:rFonts w:hint="eastAsia"/>
        </w:rPr>
        <w:t>年</w:t>
      </w:r>
      <w:r>
        <w:t>)</w:t>
      </w:r>
      <w:r>
        <w:rPr>
          <w:rFonts w:hint="eastAsia"/>
        </w:rPr>
        <w:t>报告说，在大都市地区，</w:t>
      </w:r>
      <w:r>
        <w:t>1985</w:t>
      </w:r>
      <w:r>
        <w:rPr>
          <w:rFonts w:hint="eastAsia"/>
        </w:rPr>
        <w:t>年，</w:t>
      </w:r>
      <w:r>
        <w:t>78%</w:t>
      </w:r>
      <w:r>
        <w:rPr>
          <w:rFonts w:hint="eastAsia"/>
        </w:rPr>
        <w:t>以上的</w:t>
      </w:r>
      <w:r>
        <w:t>0-6</w:t>
      </w:r>
      <w:r>
        <w:rPr>
          <w:rFonts w:hint="eastAsia"/>
        </w:rPr>
        <w:t>岁儿童大部分时间同他们的母亲在一起，只有</w:t>
      </w:r>
      <w:r>
        <w:t>23%</w:t>
      </w:r>
      <w:r>
        <w:rPr>
          <w:rFonts w:hint="eastAsia"/>
        </w:rPr>
        <w:t>的儿童上日托中心或学前设施。另一项调查显示，</w:t>
      </w:r>
      <w:r>
        <w:t>1989</w:t>
      </w:r>
      <w:r>
        <w:rPr>
          <w:rFonts w:hint="eastAsia"/>
        </w:rPr>
        <w:t>年，所有</w:t>
      </w:r>
      <w:r>
        <w:t>0-3</w:t>
      </w:r>
      <w:r>
        <w:rPr>
          <w:rFonts w:hint="eastAsia"/>
        </w:rPr>
        <w:t>岁的巴西孩子中只有</w:t>
      </w:r>
      <w:r>
        <w:t>5.1%</w:t>
      </w:r>
      <w:r>
        <w:rPr>
          <w:rFonts w:hint="eastAsia"/>
        </w:rPr>
        <w:t>进入日托中心，</w:t>
      </w:r>
      <w:r>
        <w:t>16.9%</w:t>
      </w:r>
      <w:r>
        <w:rPr>
          <w:rFonts w:hint="eastAsia"/>
        </w:rPr>
        <w:t>的</w:t>
      </w:r>
      <w:r>
        <w:t>0-6</w:t>
      </w:r>
      <w:r>
        <w:rPr>
          <w:rFonts w:hint="eastAsia"/>
        </w:rPr>
        <w:t>岁孩子进入日托中心或学前设施</w:t>
      </w:r>
      <w:r>
        <w:rPr>
          <w:rFonts w:hint="eastAsia"/>
        </w:rPr>
        <w:t>（巴西，</w:t>
      </w:r>
      <w:r>
        <w:t>1994</w:t>
      </w:r>
      <w:r>
        <w:rPr>
          <w:rFonts w:hint="eastAsia"/>
        </w:rPr>
        <w:t>年）。</w:t>
      </w:r>
    </w:p>
    <w:p w:rsidR="00000000" w:rsidRDefault="004D2F83" w:rsidP="004D2F83">
      <w:pPr>
        <w:spacing w:after="240" w:line="380" w:lineRule="exact"/>
        <w:ind w:firstLineChars="200" w:firstLine="31680"/>
      </w:pPr>
      <w:r>
        <w:rPr>
          <w:rFonts w:hint="eastAsia"/>
        </w:rPr>
        <w:t>更多的最新资料显示，母亲，包括那些走出家门工作的母亲，继续负责照顾年幼的子女。根据全国人口与健康调查得到的数据，</w:t>
      </w:r>
      <w:r>
        <w:t>23%</w:t>
      </w:r>
      <w:r>
        <w:rPr>
          <w:rFonts w:hint="eastAsia"/>
        </w:rPr>
        <w:t>的工作母亲自己照料她们</w:t>
      </w:r>
      <w:r>
        <w:t>5</w:t>
      </w:r>
      <w:r>
        <w:rPr>
          <w:rFonts w:hint="eastAsia"/>
        </w:rPr>
        <w:t>岁以下的孩子，</w:t>
      </w:r>
      <w:r>
        <w:t>34%</w:t>
      </w:r>
      <w:r>
        <w:rPr>
          <w:rFonts w:hint="eastAsia"/>
        </w:rPr>
        <w:t>有亲属帮忙，</w:t>
      </w:r>
      <w:r>
        <w:t>12%</w:t>
      </w:r>
      <w:r>
        <w:rPr>
          <w:rFonts w:hint="eastAsia"/>
        </w:rPr>
        <w:t>有女佣帮忙。</w:t>
      </w:r>
      <w:r>
        <w:t>4%</w:t>
      </w:r>
      <w:r>
        <w:rPr>
          <w:rFonts w:hint="eastAsia"/>
        </w:rPr>
        <w:t>有丈夫帮忙，只有</w:t>
      </w:r>
      <w:r>
        <w:t>10.2%</w:t>
      </w:r>
      <w:r>
        <w:rPr>
          <w:rFonts w:hint="eastAsia"/>
        </w:rPr>
        <w:t>的孩子进入日托中心（</w:t>
      </w:r>
      <w:r>
        <w:t>BEMFAM</w:t>
      </w:r>
      <w:r>
        <w:rPr>
          <w:rFonts w:hint="eastAsia"/>
        </w:rPr>
        <w:t>，</w:t>
      </w:r>
      <w:r>
        <w:t>1997</w:t>
      </w:r>
      <w:r>
        <w:rPr>
          <w:rFonts w:hint="eastAsia"/>
        </w:rPr>
        <w:t>年）。</w:t>
      </w:r>
    </w:p>
    <w:p w:rsidR="00000000" w:rsidRDefault="004D2F83" w:rsidP="004D2F83">
      <w:pPr>
        <w:spacing w:after="240" w:line="380" w:lineRule="exact"/>
        <w:ind w:firstLineChars="200" w:firstLine="31680"/>
        <w:rPr>
          <w:spacing w:val="4"/>
        </w:rPr>
      </w:pPr>
      <w:r>
        <w:rPr>
          <w:rFonts w:hint="eastAsia"/>
          <w:spacing w:val="4"/>
        </w:rPr>
        <w:t>在分析所涵盖的期间，当孩子年幼时，母亲身份仍然影响女性的职业活动。就子女在</w:t>
      </w:r>
      <w:r>
        <w:rPr>
          <w:spacing w:val="4"/>
        </w:rPr>
        <w:t>15</w:t>
      </w:r>
      <w:r>
        <w:rPr>
          <w:rFonts w:hint="eastAsia"/>
          <w:spacing w:val="4"/>
        </w:rPr>
        <w:t>岁以上的妇女的在业率而言，与年龄相当的妇女的总人数相比，年轻母亲的在业率明显降低。</w:t>
      </w:r>
      <w:r>
        <w:rPr>
          <w:spacing w:val="4"/>
        </w:rPr>
        <w:t>1998</w:t>
      </w:r>
      <w:r>
        <w:rPr>
          <w:rFonts w:hint="eastAsia"/>
          <w:spacing w:val="4"/>
        </w:rPr>
        <w:t>年，</w:t>
      </w:r>
      <w:r>
        <w:rPr>
          <w:spacing w:val="4"/>
        </w:rPr>
        <w:t>62%</w:t>
      </w:r>
      <w:r>
        <w:rPr>
          <w:rFonts w:hint="eastAsia"/>
          <w:spacing w:val="4"/>
        </w:rPr>
        <w:t>的</w:t>
      </w:r>
      <w:r>
        <w:rPr>
          <w:spacing w:val="4"/>
        </w:rPr>
        <w:t>20-24</w:t>
      </w:r>
      <w:r>
        <w:rPr>
          <w:rFonts w:hint="eastAsia"/>
          <w:spacing w:val="4"/>
        </w:rPr>
        <w:t>岁妇女有工作。然而，在那些</w:t>
      </w:r>
      <w:r>
        <w:rPr>
          <w:rFonts w:hint="eastAsia"/>
          <w:spacing w:val="4"/>
        </w:rPr>
        <w:t>有子女的妇女中，在业率降至</w:t>
      </w:r>
      <w:r>
        <w:rPr>
          <w:spacing w:val="4"/>
        </w:rPr>
        <w:t>50%</w:t>
      </w:r>
      <w:r>
        <w:rPr>
          <w:rFonts w:hint="eastAsia"/>
          <w:spacing w:val="4"/>
        </w:rPr>
        <w:t>。在</w:t>
      </w:r>
      <w:r>
        <w:rPr>
          <w:spacing w:val="4"/>
        </w:rPr>
        <w:t>25-29</w:t>
      </w:r>
      <w:r>
        <w:rPr>
          <w:rFonts w:hint="eastAsia"/>
          <w:spacing w:val="4"/>
        </w:rPr>
        <w:t>岁年龄段，母亲的在业率从</w:t>
      </w:r>
      <w:r>
        <w:rPr>
          <w:spacing w:val="4"/>
        </w:rPr>
        <w:t>65%</w:t>
      </w:r>
      <w:r>
        <w:rPr>
          <w:rFonts w:hint="eastAsia"/>
          <w:spacing w:val="4"/>
        </w:rPr>
        <w:t>降至</w:t>
      </w:r>
      <w:r>
        <w:rPr>
          <w:spacing w:val="4"/>
        </w:rPr>
        <w:t>58%</w:t>
      </w:r>
      <w:r>
        <w:rPr>
          <w:rFonts w:hint="eastAsia"/>
          <w:spacing w:val="4"/>
        </w:rPr>
        <w:t>。不过，超过一半的年轻母亲从事经济活动，这一事实表明，</w:t>
      </w:r>
      <w:r>
        <w:rPr>
          <w:spacing w:val="4"/>
        </w:rPr>
        <w:t>1990</w:t>
      </w:r>
      <w:r>
        <w:rPr>
          <w:rFonts w:hint="eastAsia"/>
          <w:spacing w:val="4"/>
        </w:rPr>
        <w:t>年代职业妇女的情况发生了重大改变。在</w:t>
      </w:r>
      <w:r>
        <w:rPr>
          <w:spacing w:val="4"/>
        </w:rPr>
        <w:t>30</w:t>
      </w:r>
      <w:r>
        <w:rPr>
          <w:rFonts w:hint="eastAsia"/>
          <w:spacing w:val="4"/>
        </w:rPr>
        <w:t>岁以上年龄段，母亲的在业率接近该年龄段总人口的在业率，以后的年龄段的情况也是如此。</w:t>
      </w:r>
    </w:p>
    <w:p w:rsidR="00000000" w:rsidRDefault="004D2F83" w:rsidP="004D2F83">
      <w:pPr>
        <w:spacing w:after="240" w:line="380" w:lineRule="exact"/>
        <w:ind w:firstLineChars="200" w:firstLine="31680"/>
      </w:pPr>
      <w:r>
        <w:t>30</w:t>
      </w:r>
      <w:r>
        <w:rPr>
          <w:rFonts w:hint="eastAsia"/>
        </w:rPr>
        <w:t>岁以上年龄段母亲中的高在业率也许表明了两种情况，或者她们一直留在劳动力市场上——尽管协调工作和母亲身份有困难，或者她们在子女长大后重新回到劳动力市场上。在这种情况下，可以说她们在比较年轻的时候就回到了劳动力市场上，因为工作母亲的在业率从</w:t>
      </w:r>
      <w:r>
        <w:t>30</w:t>
      </w:r>
      <w:r>
        <w:rPr>
          <w:rFonts w:hint="eastAsia"/>
        </w:rPr>
        <w:t>岁起就有显著提高。</w:t>
      </w:r>
    </w:p>
    <w:p w:rsidR="00000000" w:rsidRDefault="004D2F83">
      <w:pPr>
        <w:spacing w:after="240" w:line="360" w:lineRule="exact"/>
        <w:jc w:val="center"/>
        <w:rPr>
          <w:rFonts w:ascii="SimHei" w:eastAsia="SimHei"/>
        </w:rPr>
      </w:pPr>
    </w:p>
    <w:p w:rsidR="00000000" w:rsidRDefault="004D2F83">
      <w:pPr>
        <w:spacing w:after="240" w:line="360" w:lineRule="exact"/>
        <w:jc w:val="center"/>
        <w:rPr>
          <w:rFonts w:ascii="SimHei" w:eastAsia="SimHei"/>
        </w:rPr>
      </w:pPr>
      <w:r>
        <w:rPr>
          <w:rFonts w:ascii="SimHei" w:eastAsia="SimHei"/>
        </w:rPr>
        <w:br w:type="page"/>
      </w:r>
      <w:r>
        <w:rPr>
          <w:rFonts w:ascii="SimHei" w:eastAsia="SimHei" w:hint="eastAsia"/>
        </w:rPr>
        <w:t>表</w:t>
      </w:r>
      <w:r>
        <w:rPr>
          <w:rFonts w:ascii="SimHei" w:eastAsia="SimHei"/>
        </w:rPr>
        <w:t>36</w:t>
      </w:r>
      <w:r>
        <w:rPr>
          <w:rFonts w:ascii="SimHei" w:eastAsia="SimHei" w:hint="eastAsia"/>
        </w:rPr>
        <w:t>：按年龄段列示的有子女的妇女的在业率——巴西，</w:t>
      </w:r>
      <w:r>
        <w:rPr>
          <w:rFonts w:ascii="SimHei" w:eastAsia="SimHei"/>
        </w:rPr>
        <w:t>1998</w:t>
      </w:r>
    </w:p>
    <w:tbl>
      <w:tblPr>
        <w:tblW w:w="4946" w:type="pct"/>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215"/>
        <w:gridCol w:w="3321"/>
        <w:gridCol w:w="3320"/>
      </w:tblGrid>
      <w:tr w:rsidR="00000000">
        <w:tc>
          <w:tcPr>
            <w:tcW w:w="1631"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rFonts w:ascii="SimHei" w:eastAsia="SimHei"/>
                <w:sz w:val="18"/>
              </w:rPr>
            </w:pPr>
            <w:r>
              <w:rPr>
                <w:rFonts w:ascii="SimHei" w:eastAsia="SimHei" w:hint="eastAsia"/>
                <w:sz w:val="18"/>
              </w:rPr>
              <w:t>年龄段</w:t>
            </w:r>
          </w:p>
        </w:tc>
        <w:tc>
          <w:tcPr>
            <w:tcW w:w="1685"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rFonts w:ascii="SimHei" w:eastAsia="SimHei"/>
                <w:sz w:val="18"/>
              </w:rPr>
            </w:pPr>
            <w:r>
              <w:rPr>
                <w:rFonts w:ascii="SimHei" w:eastAsia="SimHei"/>
                <w:sz w:val="18"/>
              </w:rPr>
              <w:t>15</w:t>
            </w:r>
            <w:r>
              <w:rPr>
                <w:rFonts w:ascii="SimHei" w:eastAsia="SimHei" w:hint="eastAsia"/>
                <w:sz w:val="18"/>
              </w:rPr>
              <w:t>岁以上妇女</w:t>
            </w:r>
          </w:p>
        </w:tc>
        <w:tc>
          <w:tcPr>
            <w:tcW w:w="1684"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rFonts w:ascii="SimHei" w:eastAsia="SimHei"/>
                <w:sz w:val="18"/>
              </w:rPr>
            </w:pPr>
            <w:r>
              <w:rPr>
                <w:rFonts w:ascii="SimHei" w:eastAsia="SimHei"/>
                <w:sz w:val="18"/>
              </w:rPr>
              <w:t>15</w:t>
            </w:r>
            <w:r>
              <w:rPr>
                <w:rFonts w:ascii="SimHei" w:eastAsia="SimHei" w:hint="eastAsia"/>
                <w:sz w:val="18"/>
              </w:rPr>
              <w:t>岁以上有子女的妇女</w:t>
            </w:r>
          </w:p>
        </w:tc>
      </w:tr>
      <w:tr w:rsidR="00000000">
        <w:tc>
          <w:tcPr>
            <w:tcW w:w="1631"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rPr>
                <w:sz w:val="18"/>
              </w:rPr>
            </w:pPr>
            <w:r>
              <w:rPr>
                <w:sz w:val="18"/>
              </w:rPr>
              <w:t>15-19</w:t>
            </w:r>
            <w:r>
              <w:rPr>
                <w:rFonts w:hint="eastAsia"/>
                <w:sz w:val="18"/>
              </w:rPr>
              <w:t>岁</w:t>
            </w:r>
          </w:p>
        </w:tc>
        <w:tc>
          <w:tcPr>
            <w:tcW w:w="1685"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sz w:val="18"/>
              </w:rPr>
            </w:pPr>
            <w:r>
              <w:rPr>
                <w:sz w:val="18"/>
              </w:rPr>
              <w:t>41.6</w:t>
            </w:r>
          </w:p>
        </w:tc>
        <w:tc>
          <w:tcPr>
            <w:tcW w:w="1684"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sz w:val="18"/>
              </w:rPr>
            </w:pPr>
            <w:r>
              <w:rPr>
                <w:sz w:val="18"/>
              </w:rPr>
              <w:t>37.8</w:t>
            </w:r>
          </w:p>
        </w:tc>
      </w:tr>
      <w:tr w:rsidR="00000000">
        <w:tc>
          <w:tcPr>
            <w:tcW w:w="1631"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rPr>
                <w:sz w:val="18"/>
              </w:rPr>
            </w:pPr>
            <w:r>
              <w:rPr>
                <w:sz w:val="18"/>
              </w:rPr>
              <w:t>20-24</w:t>
            </w:r>
            <w:r>
              <w:rPr>
                <w:rFonts w:hint="eastAsia"/>
                <w:sz w:val="18"/>
              </w:rPr>
              <w:t>岁</w:t>
            </w:r>
          </w:p>
        </w:tc>
        <w:tc>
          <w:tcPr>
            <w:tcW w:w="1685"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sz w:val="18"/>
              </w:rPr>
            </w:pPr>
            <w:r>
              <w:rPr>
                <w:sz w:val="18"/>
              </w:rPr>
              <w:t>61.6</w:t>
            </w:r>
          </w:p>
        </w:tc>
        <w:tc>
          <w:tcPr>
            <w:tcW w:w="1684"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sz w:val="18"/>
              </w:rPr>
            </w:pPr>
            <w:r>
              <w:rPr>
                <w:sz w:val="18"/>
              </w:rPr>
              <w:t>50.5</w:t>
            </w:r>
          </w:p>
        </w:tc>
      </w:tr>
      <w:tr w:rsidR="00000000">
        <w:tc>
          <w:tcPr>
            <w:tcW w:w="1631"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rPr>
                <w:sz w:val="18"/>
              </w:rPr>
            </w:pPr>
            <w:r>
              <w:rPr>
                <w:sz w:val="18"/>
              </w:rPr>
              <w:t>25-29</w:t>
            </w:r>
            <w:r>
              <w:rPr>
                <w:rFonts w:hint="eastAsia"/>
                <w:sz w:val="18"/>
              </w:rPr>
              <w:t>岁</w:t>
            </w:r>
          </w:p>
        </w:tc>
        <w:tc>
          <w:tcPr>
            <w:tcW w:w="1685"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sz w:val="18"/>
              </w:rPr>
            </w:pPr>
            <w:r>
              <w:rPr>
                <w:sz w:val="18"/>
              </w:rPr>
              <w:t>64.5</w:t>
            </w:r>
          </w:p>
        </w:tc>
        <w:tc>
          <w:tcPr>
            <w:tcW w:w="1684"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sz w:val="18"/>
              </w:rPr>
            </w:pPr>
            <w:r>
              <w:rPr>
                <w:sz w:val="18"/>
              </w:rPr>
              <w:t>57.7</w:t>
            </w:r>
          </w:p>
        </w:tc>
      </w:tr>
      <w:tr w:rsidR="00000000">
        <w:tc>
          <w:tcPr>
            <w:tcW w:w="1631"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rPr>
                <w:sz w:val="18"/>
              </w:rPr>
            </w:pPr>
            <w:r>
              <w:rPr>
                <w:sz w:val="18"/>
              </w:rPr>
              <w:t>30-39</w:t>
            </w:r>
            <w:r>
              <w:rPr>
                <w:rFonts w:hint="eastAsia"/>
                <w:sz w:val="18"/>
              </w:rPr>
              <w:t>岁</w:t>
            </w:r>
          </w:p>
        </w:tc>
        <w:tc>
          <w:tcPr>
            <w:tcW w:w="1685"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sz w:val="18"/>
              </w:rPr>
            </w:pPr>
            <w:r>
              <w:rPr>
                <w:sz w:val="18"/>
              </w:rPr>
              <w:t>66.4</w:t>
            </w:r>
          </w:p>
        </w:tc>
        <w:tc>
          <w:tcPr>
            <w:tcW w:w="1684"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sz w:val="18"/>
              </w:rPr>
            </w:pPr>
            <w:r>
              <w:rPr>
                <w:sz w:val="18"/>
              </w:rPr>
              <w:t>64.5</w:t>
            </w:r>
          </w:p>
        </w:tc>
      </w:tr>
      <w:tr w:rsidR="00000000">
        <w:tc>
          <w:tcPr>
            <w:tcW w:w="1631"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rPr>
                <w:sz w:val="18"/>
              </w:rPr>
            </w:pPr>
            <w:r>
              <w:rPr>
                <w:sz w:val="18"/>
              </w:rPr>
              <w:t>40-49</w:t>
            </w:r>
            <w:r>
              <w:rPr>
                <w:rFonts w:hint="eastAsia"/>
                <w:sz w:val="18"/>
              </w:rPr>
              <w:t>岁</w:t>
            </w:r>
          </w:p>
        </w:tc>
        <w:tc>
          <w:tcPr>
            <w:tcW w:w="1685"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sz w:val="18"/>
              </w:rPr>
            </w:pPr>
            <w:r>
              <w:rPr>
                <w:sz w:val="18"/>
              </w:rPr>
              <w:t>63.1</w:t>
            </w:r>
          </w:p>
        </w:tc>
        <w:tc>
          <w:tcPr>
            <w:tcW w:w="1684"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sz w:val="18"/>
              </w:rPr>
            </w:pPr>
            <w:r>
              <w:rPr>
                <w:sz w:val="18"/>
              </w:rPr>
              <w:t>61.7</w:t>
            </w:r>
          </w:p>
        </w:tc>
      </w:tr>
      <w:tr w:rsidR="00000000">
        <w:tc>
          <w:tcPr>
            <w:tcW w:w="1631"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rPr>
                <w:sz w:val="18"/>
              </w:rPr>
            </w:pPr>
            <w:r>
              <w:rPr>
                <w:sz w:val="18"/>
              </w:rPr>
              <w:t>50-59</w:t>
            </w:r>
            <w:r>
              <w:rPr>
                <w:rFonts w:hint="eastAsia"/>
                <w:sz w:val="18"/>
              </w:rPr>
              <w:t>岁</w:t>
            </w:r>
          </w:p>
        </w:tc>
        <w:tc>
          <w:tcPr>
            <w:tcW w:w="1685"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sz w:val="18"/>
              </w:rPr>
            </w:pPr>
            <w:r>
              <w:rPr>
                <w:sz w:val="18"/>
              </w:rPr>
              <w:t>46.7</w:t>
            </w:r>
          </w:p>
        </w:tc>
        <w:tc>
          <w:tcPr>
            <w:tcW w:w="1684"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sz w:val="18"/>
              </w:rPr>
            </w:pPr>
            <w:r>
              <w:rPr>
                <w:sz w:val="18"/>
              </w:rPr>
              <w:t>46.5</w:t>
            </w:r>
          </w:p>
        </w:tc>
      </w:tr>
      <w:tr w:rsidR="00000000">
        <w:tc>
          <w:tcPr>
            <w:tcW w:w="1631"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rPr>
                <w:sz w:val="18"/>
              </w:rPr>
            </w:pPr>
            <w:r>
              <w:rPr>
                <w:sz w:val="18"/>
              </w:rPr>
              <w:t>60</w:t>
            </w:r>
            <w:r>
              <w:rPr>
                <w:rFonts w:hint="eastAsia"/>
                <w:sz w:val="18"/>
              </w:rPr>
              <w:t>岁以上</w:t>
            </w:r>
          </w:p>
        </w:tc>
        <w:tc>
          <w:tcPr>
            <w:tcW w:w="1685"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sz w:val="18"/>
              </w:rPr>
            </w:pPr>
            <w:r>
              <w:rPr>
                <w:sz w:val="18"/>
              </w:rPr>
              <w:t>19.3</w:t>
            </w:r>
          </w:p>
        </w:tc>
        <w:tc>
          <w:tcPr>
            <w:tcW w:w="1684"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sz w:val="18"/>
              </w:rPr>
            </w:pPr>
            <w:r>
              <w:rPr>
                <w:sz w:val="18"/>
              </w:rPr>
              <w:t>18.9</w:t>
            </w:r>
          </w:p>
        </w:tc>
      </w:tr>
    </w:tbl>
    <w:p w:rsidR="00000000" w:rsidRDefault="004D2F83">
      <w:pPr>
        <w:spacing w:after="240" w:line="360" w:lineRule="exact"/>
        <w:rPr>
          <w:sz w:val="18"/>
        </w:rPr>
      </w:pPr>
      <w:r>
        <w:rPr>
          <w:rFonts w:eastAsia="SimHei" w:hint="eastAsia"/>
          <w:sz w:val="18"/>
        </w:rPr>
        <w:t>资料来源</w:t>
      </w:r>
      <w:r>
        <w:rPr>
          <w:rFonts w:hint="eastAsia"/>
          <w:sz w:val="18"/>
        </w:rPr>
        <w:t>：女性劳动力数据库。《妇女、劳动力和家庭》统计丛刊。</w:t>
      </w:r>
      <w:hyperlink r:id="rId13" w:history="1">
        <w:r>
          <w:rPr>
            <w:rStyle w:val="Hyperlink"/>
            <w:sz w:val="18"/>
          </w:rPr>
          <w:t>http://www.fcc.org.hr</w:t>
        </w:r>
      </w:hyperlink>
      <w:r>
        <w:rPr>
          <w:rFonts w:hint="eastAsia"/>
          <w:sz w:val="18"/>
        </w:rPr>
        <w:t>。</w:t>
      </w:r>
    </w:p>
    <w:p w:rsidR="00000000" w:rsidRDefault="004D2F83" w:rsidP="004D2F83">
      <w:pPr>
        <w:spacing w:after="240" w:line="360" w:lineRule="exact"/>
        <w:ind w:firstLineChars="200" w:firstLine="31680"/>
      </w:pPr>
      <w:r>
        <w:rPr>
          <w:rFonts w:hint="eastAsia"/>
          <w:spacing w:val="2"/>
        </w:rPr>
        <w:t>劳动力市场上有子女的已婚妇女的人数不断增多，一方面可以看作是经济压力增大的迹象，妇女可能不得不出门寻找工作。自</w:t>
      </w:r>
      <w:r>
        <w:rPr>
          <w:rFonts w:hint="eastAsia"/>
          <w:spacing w:val="2"/>
        </w:rPr>
        <w:t>19</w:t>
      </w:r>
      <w:r>
        <w:rPr>
          <w:spacing w:val="2"/>
        </w:rPr>
        <w:t>70</w:t>
      </w:r>
      <w:r>
        <w:rPr>
          <w:rFonts w:hint="eastAsia"/>
          <w:spacing w:val="2"/>
        </w:rPr>
        <w:t>年代末期以来，消费品的多样化产生了新的需求和期望、中产阶级的贫困化</w:t>
      </w:r>
      <w:r>
        <w:rPr>
          <w:rStyle w:val="FootnoteReference"/>
          <w:spacing w:val="2"/>
        </w:rPr>
        <w:footnoteReference w:customMarkFollows="1" w:id="100"/>
        <w:t>100</w:t>
      </w:r>
      <w:r>
        <w:rPr>
          <w:rFonts w:hint="eastAsia"/>
        </w:rPr>
        <w:t>和公共服务系统质量下降导致的负担教育和医疗费用的需要，都是促使有子女的妇女进入劳动力市场的原因。不过，这部分人的人数增加还因为</w:t>
      </w:r>
      <w:r>
        <w:rPr>
          <w:rFonts w:hint="eastAsia"/>
        </w:rPr>
        <w:t>19</w:t>
      </w:r>
      <w:r>
        <w:t>70</w:t>
      </w:r>
      <w:r>
        <w:rPr>
          <w:rFonts w:hint="eastAsia"/>
        </w:rPr>
        <w:t>年代巴西出现了强劲的现代化势头和文化方面的变化，包括教育水平提高，妇女有更多的机会参与这一进程。</w:t>
      </w:r>
    </w:p>
    <w:p w:rsidR="00000000" w:rsidRDefault="004D2F83" w:rsidP="004D2F83">
      <w:pPr>
        <w:spacing w:after="240" w:line="360" w:lineRule="exact"/>
        <w:ind w:firstLineChars="200" w:firstLine="31680"/>
      </w:pPr>
      <w:r>
        <w:rPr>
          <w:rFonts w:hint="eastAsia"/>
        </w:rPr>
        <w:t>教育水平与妇女参加劳动力市</w:t>
      </w:r>
      <w:r>
        <w:rPr>
          <w:rFonts w:hint="eastAsia"/>
        </w:rPr>
        <w:t>场有密切的关联，这一点在一些著述中都有阐述（其中有</w:t>
      </w:r>
      <w:r>
        <w:t>Miranda,1975</w:t>
      </w:r>
      <w:r>
        <w:rPr>
          <w:rFonts w:hint="eastAsia"/>
        </w:rPr>
        <w:t>年，</w:t>
      </w:r>
      <w:r>
        <w:t>Rosemberg</w:t>
      </w:r>
      <w:r>
        <w:rPr>
          <w:rFonts w:hint="eastAsia"/>
        </w:rPr>
        <w:t>和</w:t>
      </w:r>
      <w:r>
        <w:t>Alii</w:t>
      </w:r>
      <w:r>
        <w:rPr>
          <w:rFonts w:hint="eastAsia"/>
        </w:rPr>
        <w:t>，</w:t>
      </w:r>
      <w:r>
        <w:t>1982</w:t>
      </w:r>
      <w:r>
        <w:rPr>
          <w:rFonts w:hint="eastAsia"/>
        </w:rPr>
        <w:t>年）。妇女受教育程度越高，参加工作的比率就越高，不仅是因为一般说来劳动力市场更愿意接受资格更高的劳动者，而且还因为她们既可以从事更令人愉快的工作，又可带来较多的收入，这可以偿付离家外出工作而需要的家庭基础设施的费用。正如男子一样，有八年以上正规教育（相当于初级义务教育）背景的妇女的在业率较高。有大学文凭（</w:t>
      </w:r>
      <w:r>
        <w:t>15</w:t>
      </w:r>
      <w:r>
        <w:rPr>
          <w:rFonts w:hint="eastAsia"/>
        </w:rPr>
        <w:t>年以上的正规教育）的妇女的在业率最高，在</w:t>
      </w:r>
      <w:r>
        <w:t>1998</w:t>
      </w:r>
      <w:r>
        <w:rPr>
          <w:rFonts w:hint="eastAsia"/>
        </w:rPr>
        <w:t>年达到</w:t>
      </w:r>
      <w:r>
        <w:t>81%</w:t>
      </w:r>
      <w:r>
        <w:rPr>
          <w:rFonts w:hint="eastAsia"/>
        </w:rPr>
        <w:t>，几乎是一般女性在业率（表</w:t>
      </w:r>
      <w:r>
        <w:t>30</w:t>
      </w:r>
      <w:r>
        <w:rPr>
          <w:rFonts w:hint="eastAsia"/>
        </w:rPr>
        <w:t>所示为</w:t>
      </w:r>
      <w:r>
        <w:t>47.6</w:t>
      </w:r>
      <w:r>
        <w:rPr>
          <w:rFonts w:hint="eastAsia"/>
        </w:rPr>
        <w:t>）的两倍。另一方面，就业妇女所受的正规教育的平均年数超过她们的男性同事：</w:t>
      </w:r>
      <w:r>
        <w:t>29%</w:t>
      </w:r>
      <w:r>
        <w:rPr>
          <w:rFonts w:hint="eastAsia"/>
        </w:rPr>
        <w:t>的就业妇女受</w:t>
      </w:r>
      <w:r>
        <w:rPr>
          <w:rFonts w:hint="eastAsia"/>
          <w:lang w:val="fr-FR"/>
        </w:rPr>
        <w:t>过</w:t>
      </w:r>
      <w:r>
        <w:rPr>
          <w:lang w:val="fr-FR"/>
        </w:rPr>
        <w:t>11</w:t>
      </w:r>
      <w:r>
        <w:rPr>
          <w:rFonts w:hint="eastAsia"/>
          <w:lang w:val="fr-FR"/>
        </w:rPr>
        <w:t>年以上的</w:t>
      </w:r>
      <w:r>
        <w:rPr>
          <w:rFonts w:hint="eastAsia"/>
        </w:rPr>
        <w:t>正规教育，而职业男子的这一比率为</w:t>
      </w:r>
      <w:r>
        <w:t>20%</w:t>
      </w:r>
      <w:r>
        <w:rPr>
          <w:rFonts w:hint="eastAsia"/>
        </w:rPr>
        <w:t>。从另一个角度看，在就业的人口中，男子受正规教育的平均年数为</w:t>
      </w:r>
      <w:r>
        <w:t>5.8</w:t>
      </w:r>
      <w:r>
        <w:rPr>
          <w:rFonts w:hint="eastAsia"/>
        </w:rPr>
        <w:t>年，而妇女达到</w:t>
      </w:r>
      <w:r>
        <w:t>6.8</w:t>
      </w:r>
      <w:r>
        <w:rPr>
          <w:rFonts w:hint="eastAsia"/>
        </w:rPr>
        <w:t>年（</w:t>
      </w:r>
      <w:r>
        <w:t>FIBGE</w:t>
      </w:r>
      <w:r>
        <w:rPr>
          <w:rFonts w:hint="eastAsia"/>
        </w:rPr>
        <w:t>，社会指标综合</w:t>
      </w:r>
      <w:r>
        <w:t>/1999</w:t>
      </w:r>
      <w:r>
        <w:rPr>
          <w:rFonts w:hint="eastAsia"/>
        </w:rPr>
        <w:t>，</w:t>
      </w:r>
      <w:r>
        <w:t>RJ 2000</w:t>
      </w:r>
      <w:r>
        <w:rPr>
          <w:rFonts w:hint="eastAsia"/>
        </w:rPr>
        <w:t>）。</w:t>
      </w:r>
    </w:p>
    <w:p w:rsidR="00000000" w:rsidRDefault="004D2F83">
      <w:pPr>
        <w:spacing w:after="240" w:line="360" w:lineRule="exact"/>
        <w:rPr>
          <w:rFonts w:eastAsia="SimHei"/>
          <w:sz w:val="24"/>
        </w:rPr>
      </w:pPr>
      <w:r>
        <w:rPr>
          <w:rFonts w:eastAsia="SimHei" w:hint="eastAsia"/>
          <w:sz w:val="24"/>
        </w:rPr>
        <w:t>妇女在劳动力市场上的位置</w:t>
      </w:r>
    </w:p>
    <w:p w:rsidR="00000000" w:rsidRDefault="004D2F83" w:rsidP="004D2F83">
      <w:pPr>
        <w:spacing w:after="240" w:line="360" w:lineRule="exact"/>
        <w:ind w:firstLineChars="200" w:firstLine="31680"/>
      </w:pPr>
      <w:r>
        <w:rPr>
          <w:rFonts w:hint="eastAsia"/>
        </w:rPr>
        <w:t>关于女性劳动力的文献显示，尽管在过去几十年中取得了一些成就，但妇女仍然面临阻力，在经济中处于不利地位，收入低于男人，工作条件也不稳定。一些指标，例如，工作职务、报酬、工作时数、工作</w:t>
      </w:r>
      <w:r>
        <w:rPr>
          <w:rFonts w:hint="eastAsia"/>
        </w:rPr>
        <w:t>文件和社会保险缴纳额都可说明与男性劳动力相比，女性劳动力较为脆弱（</w:t>
      </w:r>
      <w:r>
        <w:t>Abreu</w:t>
      </w:r>
      <w:r>
        <w:rPr>
          <w:rFonts w:hint="eastAsia"/>
        </w:rPr>
        <w:t>，</w:t>
      </w:r>
      <w:r>
        <w:t>Jorge e Sorj</w:t>
      </w:r>
      <w:r>
        <w:rPr>
          <w:rFonts w:hint="eastAsia"/>
        </w:rPr>
        <w:t>，</w:t>
      </w:r>
      <w:r>
        <w:t>1994</w:t>
      </w:r>
      <w:r>
        <w:rPr>
          <w:rFonts w:hint="eastAsia"/>
        </w:rPr>
        <w:t>年，</w:t>
      </w:r>
      <w:r>
        <w:t>Bruschini</w:t>
      </w:r>
      <w:r>
        <w:rPr>
          <w:rFonts w:hint="eastAsia"/>
        </w:rPr>
        <w:t>，</w:t>
      </w:r>
      <w:r>
        <w:t>1994</w:t>
      </w:r>
      <w:r>
        <w:rPr>
          <w:rFonts w:hint="eastAsia"/>
        </w:rPr>
        <w:t>年）。其他指标，例如工伤事故和职业病以及获得职业资格的机会，都没有被纳入巴西地理统计局或劳动部进行的调查中，只有在质的调查中偶尔可以看到，因为这些指标在关于女性劳动力的文献中很少涉及。</w:t>
      </w:r>
    </w:p>
    <w:p w:rsidR="00000000" w:rsidRDefault="004D2F83" w:rsidP="004D2F83">
      <w:pPr>
        <w:spacing w:after="240" w:line="360" w:lineRule="exact"/>
        <w:ind w:firstLineChars="200" w:firstLine="31680"/>
      </w:pPr>
      <w:r>
        <w:rPr>
          <w:rFonts w:hint="eastAsia"/>
        </w:rPr>
        <w:t>全国住户抽样调查自</w:t>
      </w:r>
      <w:r>
        <w:t>1992</w:t>
      </w:r>
      <w:r>
        <w:rPr>
          <w:rFonts w:hint="eastAsia"/>
        </w:rPr>
        <w:t>年以来采取的新方法产生的最有利的结果之一是，或者通过采用新的类别，例如担任的职位，或者通过指明与以前未使用过的新指标相关的工作的性质，例如从事活动的地点，与</w:t>
      </w:r>
      <w:r>
        <w:rPr>
          <w:rFonts w:hint="eastAsia"/>
        </w:rPr>
        <w:t>男子所从事的工作相比，对妇女所从事的工作的质量有了更清楚的了解。遗憾的是，由于缺乏以前年份的可比数据，在许多情况下很难进行纵向比较。</w:t>
      </w:r>
    </w:p>
    <w:p w:rsidR="00000000" w:rsidRDefault="004D2F83" w:rsidP="004D2F83">
      <w:pPr>
        <w:spacing w:after="240" w:line="360" w:lineRule="exact"/>
        <w:ind w:firstLineChars="200" w:firstLine="31680"/>
      </w:pPr>
      <w:r>
        <w:rPr>
          <w:rFonts w:hint="eastAsia"/>
        </w:rPr>
        <w:t>关于劳动者所担任职务的信息表明，尽管将近</w:t>
      </w:r>
      <w:r>
        <w:t>60%</w:t>
      </w:r>
      <w:r>
        <w:rPr>
          <w:rFonts w:hint="eastAsia"/>
        </w:rPr>
        <w:t>的妇女是正式雇员或自营职业者，而在所有劳动者中有</w:t>
      </w:r>
      <w:r>
        <w:t>84%</w:t>
      </w:r>
      <w:r>
        <w:rPr>
          <w:rFonts w:hint="eastAsia"/>
        </w:rPr>
        <w:t>的人是这种情况，但很大一部分劳动者（</w:t>
      </w:r>
      <w:r>
        <w:t>40%</w:t>
      </w:r>
      <w:r>
        <w:rPr>
          <w:rFonts w:hint="eastAsia"/>
        </w:rPr>
        <w:t>）在劳动力市场上的职位不稳，例如佣仆、</w:t>
      </w:r>
      <w:r>
        <w:rPr>
          <w:rStyle w:val="FootnoteReference"/>
        </w:rPr>
        <w:footnoteReference w:customMarkFollows="1" w:id="101"/>
        <w:t>101</w:t>
      </w:r>
      <w:r>
        <w:rPr>
          <w:rFonts w:hint="eastAsia"/>
        </w:rPr>
        <w:t>无报酬的劳动者或为自己消费而劳动的人。</w:t>
      </w:r>
    </w:p>
    <w:p w:rsidR="00000000" w:rsidRDefault="004D2F83" w:rsidP="004D2F83">
      <w:pPr>
        <w:spacing w:after="240" w:line="360" w:lineRule="exact"/>
        <w:ind w:firstLineChars="200" w:firstLine="31680"/>
      </w:pPr>
      <w:r>
        <w:rPr>
          <w:rFonts w:hint="eastAsia"/>
        </w:rPr>
        <w:t>与男性工作相比女性工作显得脆弱的另一证据也许从关于劳动者从事活动的地点的信息中可以看到。关于这一点，尽管在所有就业妇女中半数以上的人象她们的男性同行一样</w:t>
      </w:r>
      <w:r>
        <w:rPr>
          <w:rFonts w:hint="eastAsia"/>
        </w:rPr>
        <w:t>在商店、汽车修理厂或办公室工作，但有相当一部分妇女在家里（将近</w:t>
      </w:r>
      <w:r>
        <w:t>13%</w:t>
      </w:r>
      <w:r>
        <w:rPr>
          <w:rFonts w:hint="eastAsia"/>
        </w:rPr>
        <w:t>）或在雇主家里（将近</w:t>
      </w:r>
      <w:r>
        <w:t>19%</w:t>
      </w:r>
      <w:r>
        <w:rPr>
          <w:rFonts w:hint="eastAsia"/>
        </w:rPr>
        <w:t>）工作。这些数字大大高于在同样状况下工作的男性劳动者的数字。</w:t>
      </w:r>
    </w:p>
    <w:p w:rsidR="00000000" w:rsidRDefault="004D2F83" w:rsidP="004D2F83">
      <w:pPr>
        <w:spacing w:after="240" w:line="360" w:lineRule="exact"/>
        <w:ind w:firstLineChars="200" w:firstLine="31680"/>
      </w:pPr>
      <w:r>
        <w:rPr>
          <w:rFonts w:hint="eastAsia"/>
        </w:rPr>
        <w:t>处境最为不利的女性职业的一些特点，正如下表所示，表明相当一部分女性劳动力处于不稳定状态。</w:t>
      </w:r>
      <w:r>
        <w:t>1998</w:t>
      </w:r>
      <w:r>
        <w:rPr>
          <w:rFonts w:hint="eastAsia"/>
        </w:rPr>
        <w:t>年，所有佣仆中超过</w:t>
      </w:r>
      <w:r>
        <w:t>76%</w:t>
      </w:r>
      <w:r>
        <w:rPr>
          <w:rFonts w:hint="eastAsia"/>
        </w:rPr>
        <w:t>的人不是正式雇员并且收入低于最低工资的两倍。无疑，这是最不利的劳动环境之一，而超过</w:t>
      </w:r>
      <w:r>
        <w:t>15%</w:t>
      </w:r>
      <w:r>
        <w:rPr>
          <w:rFonts w:hint="eastAsia"/>
        </w:rPr>
        <w:t>的女性劳动力处于这样的环境中。没有报酬的一类人主要由在农业部门工作的年轻妇女和老年妇女组成，她们没有工作保障或任何保护，没有机会建立任何正式的劳动关</w:t>
      </w:r>
      <w:r>
        <w:rPr>
          <w:rFonts w:hint="eastAsia"/>
        </w:rPr>
        <w:t>系，因为她们在家庭圈子里工作。为养活自己或家人而工作的妇女也一样，这些人多见于农业部门。</w:t>
      </w:r>
    </w:p>
    <w:p w:rsidR="00000000" w:rsidRDefault="004D2F83" w:rsidP="004D2F83">
      <w:pPr>
        <w:spacing w:after="240" w:line="360" w:lineRule="exact"/>
        <w:ind w:firstLineChars="200" w:firstLine="31680"/>
      </w:pPr>
      <w:r>
        <w:rPr>
          <w:rFonts w:hint="eastAsia"/>
        </w:rPr>
        <w:t>除了不稳定因素外，女性劳动力的特点还有工作隔离和工资歧视。关于隔离，自</w:t>
      </w:r>
      <w:r>
        <w:rPr>
          <w:rFonts w:hint="eastAsia"/>
        </w:rPr>
        <w:t>19</w:t>
      </w:r>
      <w:r>
        <w:t>70</w:t>
      </w:r>
      <w:r>
        <w:rPr>
          <w:rFonts w:hint="eastAsia"/>
        </w:rPr>
        <w:t>年代以来在关于女性劳动力的研究中有过报道（例如见</w:t>
      </w:r>
      <w:r>
        <w:t>Bruschini</w:t>
      </w:r>
      <w:r>
        <w:rPr>
          <w:rFonts w:hint="eastAsia"/>
        </w:rPr>
        <w:t>，</w:t>
      </w:r>
      <w:r>
        <w:t>1979</w:t>
      </w:r>
      <w:r>
        <w:rPr>
          <w:rFonts w:hint="eastAsia"/>
        </w:rPr>
        <w:t>年），可以肯定的是，根据来自劳动部的信息，所谓的妇女</w:t>
      </w:r>
      <w:r>
        <w:rPr>
          <w:rFonts w:eastAsia="KaiTi_GB2312" w:hint="eastAsia"/>
        </w:rPr>
        <w:t>聚居区</w:t>
      </w:r>
      <w:r>
        <w:rPr>
          <w:rFonts w:hint="eastAsia"/>
        </w:rPr>
        <w:t>——妇女比例高的职业——在</w:t>
      </w:r>
      <w:r>
        <w:t>1988-1998</w:t>
      </w:r>
      <w:r>
        <w:rPr>
          <w:rFonts w:hint="eastAsia"/>
        </w:rPr>
        <w:t>年期间没有多大变化。以下职业是特别突出的女性职业——女性所占比率在</w:t>
      </w:r>
      <w:r>
        <w:t>94%</w:t>
      </w:r>
      <w:r>
        <w:rPr>
          <w:rFonts w:hint="eastAsia"/>
        </w:rPr>
        <w:t>和</w:t>
      </w:r>
      <w:r>
        <w:t>70%</w:t>
      </w:r>
      <w:r>
        <w:rPr>
          <w:rFonts w:hint="eastAsia"/>
        </w:rPr>
        <w:t>之间：裁缝、幼儿园和小学老师、电话</w:t>
      </w:r>
      <w:r>
        <w:t>/</w:t>
      </w:r>
      <w:r>
        <w:rPr>
          <w:rFonts w:hint="eastAsia"/>
        </w:rPr>
        <w:t>电报操作员、注册护士和一般护理人员、接待员、洗衣工</w:t>
      </w:r>
      <w:r>
        <w:rPr>
          <w:rFonts w:hint="eastAsia"/>
        </w:rPr>
        <w:t>和中学教员。可以这样说，所有这些职业都是对妇女在她们的生育角色中所从事的活动的翻版，例如照料他人、洗衣、熨衣、做饭和传授知识。工作机会较为有限和妇女只能从事传统的女性职业，这些因素导致了妇女的工作本身质量就不高。</w:t>
      </w:r>
    </w:p>
    <w:p w:rsidR="00000000" w:rsidRDefault="004D2F83" w:rsidP="004D2F83">
      <w:pPr>
        <w:spacing w:after="240" w:line="360" w:lineRule="exact"/>
        <w:ind w:firstLineChars="200" w:firstLine="31680"/>
      </w:pPr>
      <w:r>
        <w:rPr>
          <w:rFonts w:hint="eastAsia"/>
        </w:rPr>
        <w:t>另一方面，正如一些调查所显示的，妇女在过去几十年中的确赢得了新的工作空间，例如在金融和银行业务部门、国有公司的管理职位（</w:t>
      </w:r>
      <w:r>
        <w:t>Puppin</w:t>
      </w:r>
      <w:r>
        <w:rPr>
          <w:rFonts w:hint="eastAsia"/>
        </w:rPr>
        <w:t>，</w:t>
      </w:r>
      <w:r>
        <w:t>1994</w:t>
      </w:r>
      <w:r>
        <w:rPr>
          <w:rFonts w:hint="eastAsia"/>
        </w:rPr>
        <w:t>年和</w:t>
      </w:r>
      <w:r>
        <w:t>Segnini</w:t>
      </w:r>
      <w:r>
        <w:rPr>
          <w:rFonts w:hint="eastAsia"/>
        </w:rPr>
        <w:t>，</w:t>
      </w:r>
      <w:r>
        <w:t>1998</w:t>
      </w:r>
      <w:r>
        <w:rPr>
          <w:rFonts w:hint="eastAsia"/>
        </w:rPr>
        <w:t>年）和在例如地方行政官和医疗等一些有权威的职业（</w:t>
      </w:r>
      <w:r>
        <w:t>Buschini</w:t>
      </w:r>
      <w:r>
        <w:rPr>
          <w:rFonts w:hint="eastAsia"/>
        </w:rPr>
        <w:t>和</w:t>
      </w:r>
      <w:r>
        <w:t>Lombardi</w:t>
      </w:r>
      <w:r>
        <w:rPr>
          <w:rFonts w:hint="eastAsia"/>
        </w:rPr>
        <w:t>，</w:t>
      </w:r>
      <w:r>
        <w:t>2000</w:t>
      </w:r>
      <w:r>
        <w:rPr>
          <w:rFonts w:hint="eastAsia"/>
        </w:rPr>
        <w:t>年）。职业隔离导致被认为是女性的特点</w:t>
      </w:r>
      <w:r>
        <w:rPr>
          <w:rFonts w:hint="eastAsia"/>
        </w:rPr>
        <w:t>——没有竞争力——长期存在，这加剧了男女之间的等级差异。也许其最有害的影响体现在就业妇女的收入上。由于对女性劳动力的需求变化不大，而供应量却在增长，这种供求关系导致妇女的工资下降。</w:t>
      </w:r>
    </w:p>
    <w:p w:rsidR="00000000" w:rsidRDefault="004D2F83" w:rsidP="004D2F83">
      <w:pPr>
        <w:spacing w:after="240" w:line="360" w:lineRule="exact"/>
        <w:ind w:firstLineChars="200" w:firstLine="31680"/>
      </w:pPr>
      <w:r>
        <w:rPr>
          <w:rFonts w:hint="eastAsia"/>
        </w:rPr>
        <w:t>在分析覆盖期期间，这两个特点——低工资和男女不平等——没有任何改变。不过，必须强调的是，从</w:t>
      </w:r>
      <w:r>
        <w:t>1985</w:t>
      </w:r>
      <w:r>
        <w:rPr>
          <w:rFonts w:hint="eastAsia"/>
        </w:rPr>
        <w:t>至</w:t>
      </w:r>
      <w:r>
        <w:t>1998</w:t>
      </w:r>
      <w:r>
        <w:rPr>
          <w:rFonts w:hint="eastAsia"/>
        </w:rPr>
        <w:t>年期间女性劳动者集中在低收入部门的情况有所缓减这一角度来看，还是取得了一些进步。效果最明显的时期是</w:t>
      </w:r>
      <w:r>
        <w:t>1985-1995</w:t>
      </w:r>
      <w:r>
        <w:rPr>
          <w:rFonts w:hint="eastAsia"/>
        </w:rPr>
        <w:t>年，当时收入超过最低工资两倍的男女劳动者的比例都有增加，在接下来时期比例下降了，在</w:t>
      </w:r>
      <w:r>
        <w:t>1998</w:t>
      </w:r>
      <w:r>
        <w:rPr>
          <w:rFonts w:hint="eastAsia"/>
        </w:rPr>
        <w:t>年又再次上升。不</w:t>
      </w:r>
      <w:r>
        <w:rPr>
          <w:rFonts w:hint="eastAsia"/>
        </w:rPr>
        <w:t>过，这些变化不足以消除男女工资不平等现象。正如表</w:t>
      </w:r>
      <w:r>
        <w:t>34</w:t>
      </w:r>
      <w:r>
        <w:rPr>
          <w:rFonts w:hint="eastAsia"/>
        </w:rPr>
        <w:t>所示，尽管收入达到最低工资</w:t>
      </w:r>
      <w:r>
        <w:rPr>
          <w:rStyle w:val="FootnoteReference"/>
        </w:rPr>
        <w:footnoteReference w:customMarkFollows="1" w:id="102"/>
        <w:t>102</w:t>
      </w:r>
      <w:r>
        <w:rPr>
          <w:rFonts w:hint="eastAsia"/>
        </w:rPr>
        <w:t>两倍的雇员比例在这一时期有所下降，但</w:t>
      </w:r>
      <w:r>
        <w:t>1998</w:t>
      </w:r>
      <w:r>
        <w:rPr>
          <w:rFonts w:hint="eastAsia"/>
        </w:rPr>
        <w:t>年处在这一工资范围内的妇女人数（男子为</w:t>
      </w:r>
      <w:r>
        <w:rPr>
          <w:rFonts w:hint="eastAsia"/>
        </w:rPr>
        <w:t>40%</w:t>
      </w:r>
      <w:r>
        <w:rPr>
          <w:rFonts w:hint="eastAsia"/>
        </w:rPr>
        <w:t>，妇女为</w:t>
      </w:r>
      <w:r>
        <w:t>47%</w:t>
      </w:r>
      <w:r>
        <w:rPr>
          <w:rFonts w:hint="eastAsia"/>
        </w:rPr>
        <w:t>）仍然相当高。值得强调的是，在</w:t>
      </w:r>
      <w:r>
        <w:t>1985</w:t>
      </w:r>
      <w:r>
        <w:rPr>
          <w:rFonts w:hint="eastAsia"/>
        </w:rPr>
        <w:t>年，</w:t>
      </w:r>
      <w:r>
        <w:t>41%</w:t>
      </w:r>
      <w:r>
        <w:rPr>
          <w:rFonts w:hint="eastAsia"/>
        </w:rPr>
        <w:t>的女雇员的收入仍然刚刚达到最低月工资的标准（男雇员的比例为</w:t>
      </w:r>
      <w:r>
        <w:t>23%</w:t>
      </w:r>
      <w:r>
        <w:rPr>
          <w:rFonts w:hint="eastAsia"/>
        </w:rPr>
        <w:t>）。还必须提及的是，那就是承认没有报酬的就业妇女的人数比例很大。</w:t>
      </w:r>
      <w:r>
        <w:t>1998</w:t>
      </w:r>
      <w:r>
        <w:rPr>
          <w:rFonts w:hint="eastAsia"/>
        </w:rPr>
        <w:t>年，妇女与男子的差距达到</w:t>
      </w:r>
      <w:r>
        <w:t>19</w:t>
      </w:r>
      <w:r>
        <w:rPr>
          <w:rFonts w:hint="eastAsia"/>
        </w:rPr>
        <w:t>个百分点。也许，造成差距加大的部分原因是自</w:t>
      </w:r>
      <w:r>
        <w:t>1992</w:t>
      </w:r>
      <w:r>
        <w:rPr>
          <w:rFonts w:hint="eastAsia"/>
        </w:rPr>
        <w:t>年起劳动力的概念扩大了，每周至少工作一小时的人——在这种情况下大</w:t>
      </w:r>
      <w:r>
        <w:rPr>
          <w:rFonts w:hint="eastAsia"/>
        </w:rPr>
        <w:t>多是妇女——也被视为就业者，即使他们仅仅是为了自己或家人的生计而从事生产或建没活动。</w:t>
      </w:r>
    </w:p>
    <w:p w:rsidR="00000000" w:rsidRDefault="004D2F83">
      <w:pPr>
        <w:spacing w:after="240" w:line="360" w:lineRule="exact"/>
        <w:jc w:val="center"/>
        <w:rPr>
          <w:rFonts w:ascii="SimHei" w:eastAsia="SimHei"/>
        </w:rPr>
      </w:pPr>
      <w:r>
        <w:rPr>
          <w:rFonts w:ascii="SimHei" w:eastAsia="SimHei" w:hint="eastAsia"/>
        </w:rPr>
        <w:t>表</w:t>
      </w:r>
      <w:r>
        <w:rPr>
          <w:rFonts w:ascii="SimHei" w:eastAsia="SimHei"/>
        </w:rPr>
        <w:t>37</w:t>
      </w:r>
      <w:r>
        <w:rPr>
          <w:rFonts w:ascii="SimHei" w:eastAsia="SimHei" w:hint="eastAsia"/>
        </w:rPr>
        <w:t>：按性别和工资级别分列的就业者的分布情况——巴西</w:t>
      </w:r>
    </w:p>
    <w:tbl>
      <w:tblPr>
        <w:tblW w:w="4946" w:type="pct"/>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142"/>
        <w:gridCol w:w="964"/>
        <w:gridCol w:w="974"/>
        <w:gridCol w:w="964"/>
        <w:gridCol w:w="964"/>
        <w:gridCol w:w="964"/>
        <w:gridCol w:w="964"/>
        <w:gridCol w:w="964"/>
        <w:gridCol w:w="956"/>
      </w:tblGrid>
      <w:tr w:rsidR="00000000">
        <w:trPr>
          <w:cantSplit/>
        </w:trPr>
        <w:tc>
          <w:tcPr>
            <w:tcW w:w="1087" w:type="pct"/>
            <w:vMerge w:val="restart"/>
            <w:tcBorders>
              <w:top w:val="single" w:sz="4" w:space="0" w:color="auto"/>
              <w:left w:val="single" w:sz="4" w:space="0" w:color="auto"/>
              <w:right w:val="single" w:sz="4" w:space="0" w:color="auto"/>
            </w:tcBorders>
          </w:tcPr>
          <w:p w:rsidR="00000000" w:rsidRDefault="004D2F83">
            <w:pPr>
              <w:spacing w:after="120" w:line="360" w:lineRule="exact"/>
              <w:jc w:val="center"/>
              <w:rPr>
                <w:rFonts w:ascii="SimHei" w:eastAsia="SimHei"/>
                <w:sz w:val="18"/>
              </w:rPr>
            </w:pPr>
            <w:r>
              <w:rPr>
                <w:rFonts w:ascii="SimHei" w:eastAsia="SimHei" w:hint="eastAsia"/>
                <w:sz w:val="18"/>
              </w:rPr>
              <w:t>月工资级别</w:t>
            </w:r>
          </w:p>
        </w:tc>
        <w:tc>
          <w:tcPr>
            <w:tcW w:w="983" w:type="pct"/>
            <w:gridSpan w:val="2"/>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rFonts w:ascii="SimHei" w:eastAsia="SimHei"/>
                <w:sz w:val="18"/>
              </w:rPr>
            </w:pPr>
            <w:r>
              <w:rPr>
                <w:rFonts w:ascii="SimHei" w:eastAsia="SimHei"/>
                <w:sz w:val="18"/>
              </w:rPr>
              <w:t>1985</w:t>
            </w:r>
          </w:p>
        </w:tc>
        <w:tc>
          <w:tcPr>
            <w:tcW w:w="978" w:type="pct"/>
            <w:gridSpan w:val="2"/>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rFonts w:ascii="SimHei" w:eastAsia="SimHei"/>
                <w:sz w:val="18"/>
              </w:rPr>
            </w:pPr>
            <w:r>
              <w:rPr>
                <w:rFonts w:ascii="SimHei" w:eastAsia="SimHei"/>
                <w:sz w:val="18"/>
              </w:rPr>
              <w:t>1990</w:t>
            </w:r>
          </w:p>
        </w:tc>
        <w:tc>
          <w:tcPr>
            <w:tcW w:w="978" w:type="pct"/>
            <w:gridSpan w:val="2"/>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rFonts w:ascii="SimHei" w:eastAsia="SimHei"/>
                <w:sz w:val="18"/>
              </w:rPr>
            </w:pPr>
            <w:r>
              <w:rPr>
                <w:rFonts w:ascii="SimHei" w:eastAsia="SimHei"/>
                <w:sz w:val="18"/>
              </w:rPr>
              <w:t>1995</w:t>
            </w:r>
          </w:p>
        </w:tc>
        <w:tc>
          <w:tcPr>
            <w:tcW w:w="975" w:type="pct"/>
            <w:gridSpan w:val="2"/>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rFonts w:ascii="SimHei" w:eastAsia="SimHei"/>
                <w:sz w:val="18"/>
              </w:rPr>
            </w:pPr>
            <w:r>
              <w:rPr>
                <w:rFonts w:ascii="SimHei" w:eastAsia="SimHei"/>
                <w:sz w:val="18"/>
              </w:rPr>
              <w:t>1998</w:t>
            </w:r>
          </w:p>
        </w:tc>
      </w:tr>
      <w:tr w:rsidR="00000000">
        <w:trPr>
          <w:cantSplit/>
        </w:trPr>
        <w:tc>
          <w:tcPr>
            <w:tcW w:w="1087" w:type="pct"/>
            <w:vMerge/>
            <w:tcBorders>
              <w:left w:val="single" w:sz="4" w:space="0" w:color="auto"/>
              <w:bottom w:val="single" w:sz="4" w:space="0" w:color="auto"/>
              <w:right w:val="single" w:sz="4" w:space="0" w:color="auto"/>
            </w:tcBorders>
          </w:tcPr>
          <w:p w:rsidR="00000000" w:rsidRDefault="004D2F83">
            <w:pPr>
              <w:spacing w:after="120" w:line="360" w:lineRule="exact"/>
              <w:rPr>
                <w:rFonts w:ascii="SimHei" w:eastAsia="SimHei"/>
                <w:sz w:val="18"/>
              </w:rPr>
            </w:pPr>
          </w:p>
        </w:tc>
        <w:tc>
          <w:tcPr>
            <w:tcW w:w="489"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rFonts w:ascii="SimHei" w:eastAsia="SimHei"/>
                <w:sz w:val="18"/>
              </w:rPr>
            </w:pPr>
            <w:r>
              <w:rPr>
                <w:rFonts w:ascii="SimHei" w:eastAsia="SimHei" w:hint="eastAsia"/>
                <w:sz w:val="18"/>
              </w:rPr>
              <w:t>男子</w:t>
            </w:r>
          </w:p>
        </w:tc>
        <w:tc>
          <w:tcPr>
            <w:tcW w:w="493"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rFonts w:ascii="SimHei" w:eastAsia="SimHei"/>
                <w:sz w:val="18"/>
              </w:rPr>
            </w:pPr>
            <w:r>
              <w:rPr>
                <w:rFonts w:ascii="SimHei" w:eastAsia="SimHei" w:hint="eastAsia"/>
                <w:sz w:val="18"/>
              </w:rPr>
              <w:t>妇女</w:t>
            </w:r>
          </w:p>
        </w:tc>
        <w:tc>
          <w:tcPr>
            <w:tcW w:w="489"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rFonts w:ascii="SimHei" w:eastAsia="SimHei"/>
                <w:sz w:val="18"/>
              </w:rPr>
            </w:pPr>
            <w:r>
              <w:rPr>
                <w:rFonts w:ascii="SimHei" w:eastAsia="SimHei" w:hint="eastAsia"/>
                <w:sz w:val="18"/>
              </w:rPr>
              <w:t>男子</w:t>
            </w:r>
          </w:p>
        </w:tc>
        <w:tc>
          <w:tcPr>
            <w:tcW w:w="489"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rFonts w:ascii="SimHei" w:eastAsia="SimHei"/>
                <w:sz w:val="18"/>
              </w:rPr>
            </w:pPr>
            <w:r>
              <w:rPr>
                <w:rFonts w:ascii="SimHei" w:eastAsia="SimHei" w:hint="eastAsia"/>
                <w:sz w:val="18"/>
              </w:rPr>
              <w:t>妇女</w:t>
            </w:r>
          </w:p>
        </w:tc>
        <w:tc>
          <w:tcPr>
            <w:tcW w:w="489"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rFonts w:ascii="SimHei" w:eastAsia="SimHei"/>
                <w:sz w:val="18"/>
              </w:rPr>
            </w:pPr>
            <w:r>
              <w:rPr>
                <w:rFonts w:ascii="SimHei" w:eastAsia="SimHei" w:hint="eastAsia"/>
                <w:sz w:val="18"/>
              </w:rPr>
              <w:t>男子</w:t>
            </w:r>
          </w:p>
        </w:tc>
        <w:tc>
          <w:tcPr>
            <w:tcW w:w="489"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rFonts w:ascii="SimHei" w:eastAsia="SimHei"/>
                <w:sz w:val="18"/>
              </w:rPr>
            </w:pPr>
            <w:r>
              <w:rPr>
                <w:rFonts w:ascii="SimHei" w:eastAsia="SimHei" w:hint="eastAsia"/>
                <w:sz w:val="18"/>
              </w:rPr>
              <w:t>妇女</w:t>
            </w:r>
          </w:p>
        </w:tc>
        <w:tc>
          <w:tcPr>
            <w:tcW w:w="489"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rFonts w:ascii="SimHei" w:eastAsia="SimHei"/>
                <w:sz w:val="18"/>
              </w:rPr>
            </w:pPr>
            <w:r>
              <w:rPr>
                <w:rFonts w:ascii="SimHei" w:eastAsia="SimHei" w:hint="eastAsia"/>
                <w:sz w:val="18"/>
              </w:rPr>
              <w:t>男子</w:t>
            </w:r>
          </w:p>
        </w:tc>
        <w:tc>
          <w:tcPr>
            <w:tcW w:w="486"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jc w:val="center"/>
              <w:rPr>
                <w:rFonts w:ascii="SimHei" w:eastAsia="SimHei"/>
                <w:sz w:val="18"/>
              </w:rPr>
            </w:pPr>
            <w:r>
              <w:rPr>
                <w:rFonts w:ascii="SimHei" w:eastAsia="SimHei" w:hint="eastAsia"/>
                <w:sz w:val="18"/>
              </w:rPr>
              <w:t>妇女</w:t>
            </w:r>
          </w:p>
        </w:tc>
      </w:tr>
      <w:tr w:rsidR="00000000">
        <w:tc>
          <w:tcPr>
            <w:tcW w:w="1087"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rPr>
                <w:sz w:val="18"/>
              </w:rPr>
            </w:pPr>
            <w:r>
              <w:rPr>
                <w:rFonts w:hint="eastAsia"/>
                <w:sz w:val="18"/>
              </w:rPr>
              <w:t>最低工资以下</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pStyle w:val="Header"/>
              <w:pBdr>
                <w:bottom w:val="none" w:sz="0" w:space="0" w:color="auto"/>
              </w:pBdr>
              <w:tabs>
                <w:tab w:val="clear" w:pos="4320"/>
                <w:tab w:val="clear" w:pos="8640"/>
              </w:tabs>
              <w:spacing w:after="120" w:line="360" w:lineRule="exact"/>
              <w:ind w:rightChars="100" w:right="31680"/>
              <w:jc w:val="right"/>
            </w:pPr>
            <w:r>
              <w:t>23.1</w:t>
            </w:r>
          </w:p>
        </w:tc>
        <w:tc>
          <w:tcPr>
            <w:tcW w:w="493"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41</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19</w:t>
            </w:r>
            <w:r>
              <w:rPr>
                <w:rFonts w:hint="eastAsia"/>
                <w:sz w:val="18"/>
              </w:rPr>
              <w:t>.</w:t>
            </w:r>
            <w:r>
              <w:rPr>
                <w:sz w:val="18"/>
              </w:rPr>
              <w:t>9</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33</w:t>
            </w:r>
            <w:r>
              <w:rPr>
                <w:rFonts w:hint="eastAsia"/>
                <w:sz w:val="18"/>
              </w:rPr>
              <w:t>.</w:t>
            </w:r>
            <w:r>
              <w:rPr>
                <w:sz w:val="18"/>
              </w:rPr>
              <w:t>3</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19</w:t>
            </w:r>
            <w:r>
              <w:rPr>
                <w:rFonts w:hint="eastAsia"/>
                <w:sz w:val="18"/>
              </w:rPr>
              <w:t>.</w:t>
            </w:r>
            <w:r>
              <w:rPr>
                <w:sz w:val="18"/>
              </w:rPr>
              <w:t>0</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28</w:t>
            </w:r>
            <w:r>
              <w:rPr>
                <w:rFonts w:hint="eastAsia"/>
                <w:sz w:val="18"/>
              </w:rPr>
              <w:t>.</w:t>
            </w:r>
            <w:r>
              <w:rPr>
                <w:sz w:val="18"/>
              </w:rPr>
              <w:t>2</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18</w:t>
            </w:r>
            <w:r>
              <w:rPr>
                <w:rFonts w:hint="eastAsia"/>
                <w:sz w:val="18"/>
              </w:rPr>
              <w:t>.</w:t>
            </w:r>
            <w:r>
              <w:rPr>
                <w:sz w:val="18"/>
              </w:rPr>
              <w:t>4</w:t>
            </w:r>
          </w:p>
        </w:tc>
        <w:tc>
          <w:tcPr>
            <w:tcW w:w="486"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25</w:t>
            </w:r>
            <w:r>
              <w:rPr>
                <w:rFonts w:hint="eastAsia"/>
                <w:sz w:val="18"/>
              </w:rPr>
              <w:t>.</w:t>
            </w:r>
            <w:r>
              <w:rPr>
                <w:sz w:val="18"/>
              </w:rPr>
              <w:t>8</w:t>
            </w:r>
          </w:p>
        </w:tc>
      </w:tr>
      <w:tr w:rsidR="00000000">
        <w:tc>
          <w:tcPr>
            <w:tcW w:w="1087"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rPr>
                <w:sz w:val="18"/>
              </w:rPr>
            </w:pPr>
            <w:r>
              <w:rPr>
                <w:rFonts w:hint="eastAsia"/>
                <w:sz w:val="18"/>
              </w:rPr>
              <w:t>最低工资的</w:t>
            </w:r>
            <w:r>
              <w:rPr>
                <w:sz w:val="18"/>
              </w:rPr>
              <w:t>1</w:t>
            </w:r>
            <w:r>
              <w:rPr>
                <w:rFonts w:hint="eastAsia"/>
                <w:sz w:val="18"/>
              </w:rPr>
              <w:t>倍到</w:t>
            </w:r>
            <w:r>
              <w:rPr>
                <w:sz w:val="18"/>
              </w:rPr>
              <w:t>2</w:t>
            </w:r>
            <w:r>
              <w:rPr>
                <w:rFonts w:hint="eastAsia"/>
                <w:sz w:val="18"/>
              </w:rPr>
              <w:t>倍</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24.4</w:t>
            </w:r>
          </w:p>
        </w:tc>
        <w:tc>
          <w:tcPr>
            <w:tcW w:w="493"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20</w:t>
            </w:r>
            <w:r>
              <w:rPr>
                <w:rFonts w:hint="eastAsia"/>
                <w:sz w:val="18"/>
              </w:rPr>
              <w:t>.</w:t>
            </w:r>
            <w:r>
              <w:rPr>
                <w:sz w:val="18"/>
              </w:rPr>
              <w:t>4</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20</w:t>
            </w:r>
            <w:r>
              <w:rPr>
                <w:rFonts w:hint="eastAsia"/>
                <w:sz w:val="18"/>
              </w:rPr>
              <w:t>.</w:t>
            </w:r>
            <w:r>
              <w:rPr>
                <w:sz w:val="18"/>
              </w:rPr>
              <w:t>3</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20</w:t>
            </w:r>
            <w:r>
              <w:rPr>
                <w:rFonts w:hint="eastAsia"/>
                <w:sz w:val="18"/>
              </w:rPr>
              <w:t>.</w:t>
            </w:r>
            <w:r>
              <w:rPr>
                <w:sz w:val="18"/>
              </w:rPr>
              <w:t>8</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21</w:t>
            </w:r>
            <w:r>
              <w:rPr>
                <w:rFonts w:hint="eastAsia"/>
                <w:sz w:val="18"/>
              </w:rPr>
              <w:t>.</w:t>
            </w:r>
            <w:r>
              <w:rPr>
                <w:sz w:val="18"/>
              </w:rPr>
              <w:t>0</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19</w:t>
            </w:r>
            <w:r>
              <w:rPr>
                <w:rFonts w:hint="eastAsia"/>
                <w:sz w:val="18"/>
              </w:rPr>
              <w:t>.</w:t>
            </w:r>
            <w:r>
              <w:rPr>
                <w:sz w:val="18"/>
              </w:rPr>
              <w:t>7</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20</w:t>
            </w:r>
            <w:r>
              <w:rPr>
                <w:rFonts w:hint="eastAsia"/>
                <w:sz w:val="18"/>
              </w:rPr>
              <w:t>.</w:t>
            </w:r>
            <w:r>
              <w:rPr>
                <w:sz w:val="18"/>
              </w:rPr>
              <w:t>7</w:t>
            </w:r>
          </w:p>
        </w:tc>
        <w:tc>
          <w:tcPr>
            <w:tcW w:w="486"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21</w:t>
            </w:r>
          </w:p>
        </w:tc>
      </w:tr>
      <w:tr w:rsidR="00000000">
        <w:tc>
          <w:tcPr>
            <w:tcW w:w="1087"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rPr>
                <w:sz w:val="18"/>
              </w:rPr>
            </w:pPr>
            <w:r>
              <w:rPr>
                <w:rFonts w:hint="eastAsia"/>
                <w:sz w:val="18"/>
              </w:rPr>
              <w:t>最低工资的</w:t>
            </w:r>
            <w:r>
              <w:rPr>
                <w:sz w:val="18"/>
              </w:rPr>
              <w:t>2</w:t>
            </w:r>
            <w:r>
              <w:rPr>
                <w:rFonts w:hint="eastAsia"/>
                <w:sz w:val="18"/>
              </w:rPr>
              <w:t>倍到</w:t>
            </w:r>
            <w:r>
              <w:rPr>
                <w:sz w:val="18"/>
              </w:rPr>
              <w:t>5</w:t>
            </w:r>
            <w:r>
              <w:rPr>
                <w:rFonts w:hint="eastAsia"/>
                <w:sz w:val="18"/>
              </w:rPr>
              <w:t>倍</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25.5</w:t>
            </w:r>
          </w:p>
        </w:tc>
        <w:tc>
          <w:tcPr>
            <w:tcW w:w="493"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15</w:t>
            </w:r>
            <w:r>
              <w:rPr>
                <w:rFonts w:hint="eastAsia"/>
                <w:sz w:val="18"/>
              </w:rPr>
              <w:t>.</w:t>
            </w:r>
            <w:r>
              <w:rPr>
                <w:sz w:val="18"/>
              </w:rPr>
              <w:t>5</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29</w:t>
            </w:r>
            <w:r>
              <w:rPr>
                <w:rFonts w:hint="eastAsia"/>
                <w:sz w:val="18"/>
              </w:rPr>
              <w:t>.</w:t>
            </w:r>
            <w:r>
              <w:rPr>
                <w:sz w:val="18"/>
              </w:rPr>
              <w:t>3</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21</w:t>
            </w:r>
            <w:r>
              <w:rPr>
                <w:rFonts w:hint="eastAsia"/>
                <w:sz w:val="18"/>
              </w:rPr>
              <w:t>.</w:t>
            </w:r>
            <w:r>
              <w:rPr>
                <w:sz w:val="18"/>
              </w:rPr>
              <w:t>9</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28</w:t>
            </w:r>
            <w:r>
              <w:rPr>
                <w:rFonts w:hint="eastAsia"/>
                <w:sz w:val="18"/>
              </w:rPr>
              <w:t>.</w:t>
            </w:r>
            <w:r>
              <w:rPr>
                <w:sz w:val="18"/>
              </w:rPr>
              <w:t>1</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18</w:t>
            </w:r>
            <w:r>
              <w:rPr>
                <w:rFonts w:hint="eastAsia"/>
                <w:sz w:val="18"/>
              </w:rPr>
              <w:t>.</w:t>
            </w:r>
            <w:r>
              <w:rPr>
                <w:sz w:val="18"/>
              </w:rPr>
              <w:t>5</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29</w:t>
            </w:r>
            <w:r>
              <w:rPr>
                <w:rFonts w:hint="eastAsia"/>
                <w:sz w:val="18"/>
              </w:rPr>
              <w:t>.</w:t>
            </w:r>
            <w:r>
              <w:rPr>
                <w:sz w:val="18"/>
              </w:rPr>
              <w:t>7</w:t>
            </w:r>
          </w:p>
        </w:tc>
        <w:tc>
          <w:tcPr>
            <w:tcW w:w="486"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21</w:t>
            </w:r>
            <w:r>
              <w:rPr>
                <w:rFonts w:hint="eastAsia"/>
                <w:sz w:val="18"/>
              </w:rPr>
              <w:t>.</w:t>
            </w:r>
            <w:r>
              <w:rPr>
                <w:sz w:val="18"/>
              </w:rPr>
              <w:t>3</w:t>
            </w:r>
          </w:p>
        </w:tc>
      </w:tr>
      <w:tr w:rsidR="00000000">
        <w:tc>
          <w:tcPr>
            <w:tcW w:w="1087"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rPr>
                <w:sz w:val="18"/>
              </w:rPr>
            </w:pPr>
            <w:r>
              <w:rPr>
                <w:rFonts w:hint="eastAsia"/>
                <w:sz w:val="18"/>
              </w:rPr>
              <w:t>超过最低工资的</w:t>
            </w:r>
            <w:r>
              <w:rPr>
                <w:sz w:val="18"/>
              </w:rPr>
              <w:t>5</w:t>
            </w:r>
            <w:r>
              <w:rPr>
                <w:rFonts w:hint="eastAsia"/>
                <w:sz w:val="18"/>
              </w:rPr>
              <w:t>倍</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16.6</w:t>
            </w:r>
          </w:p>
        </w:tc>
        <w:tc>
          <w:tcPr>
            <w:tcW w:w="493"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7</w:t>
            </w:r>
            <w:r>
              <w:rPr>
                <w:rFonts w:hint="eastAsia"/>
                <w:sz w:val="18"/>
              </w:rPr>
              <w:t>.</w:t>
            </w:r>
            <w:r>
              <w:rPr>
                <w:sz w:val="18"/>
              </w:rPr>
              <w:t>4</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22</w:t>
            </w:r>
            <w:r>
              <w:rPr>
                <w:rFonts w:hint="eastAsia"/>
                <w:sz w:val="18"/>
              </w:rPr>
              <w:t>.</w:t>
            </w:r>
            <w:r>
              <w:rPr>
                <w:sz w:val="18"/>
              </w:rPr>
              <w:t>8</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12</w:t>
            </w:r>
            <w:r>
              <w:rPr>
                <w:rFonts w:hint="eastAsia"/>
                <w:sz w:val="18"/>
              </w:rPr>
              <w:t>.</w:t>
            </w:r>
            <w:r>
              <w:rPr>
                <w:sz w:val="18"/>
              </w:rPr>
              <w:t>5</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20</w:t>
            </w:r>
            <w:r>
              <w:rPr>
                <w:rFonts w:hint="eastAsia"/>
                <w:sz w:val="18"/>
              </w:rPr>
              <w:t>.</w:t>
            </w:r>
            <w:r>
              <w:rPr>
                <w:sz w:val="18"/>
              </w:rPr>
              <w:t>3</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10</w:t>
            </w:r>
            <w:r>
              <w:rPr>
                <w:rFonts w:hint="eastAsia"/>
                <w:sz w:val="18"/>
              </w:rPr>
              <w:t>.</w:t>
            </w:r>
            <w:r>
              <w:rPr>
                <w:sz w:val="18"/>
              </w:rPr>
              <w:t>1</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19</w:t>
            </w:r>
            <w:r>
              <w:rPr>
                <w:rFonts w:hint="eastAsia"/>
                <w:sz w:val="18"/>
              </w:rPr>
              <w:t>.</w:t>
            </w:r>
            <w:r>
              <w:rPr>
                <w:sz w:val="18"/>
              </w:rPr>
              <w:t>6</w:t>
            </w:r>
          </w:p>
        </w:tc>
        <w:tc>
          <w:tcPr>
            <w:tcW w:w="486"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11</w:t>
            </w:r>
          </w:p>
        </w:tc>
      </w:tr>
      <w:tr w:rsidR="00000000">
        <w:tc>
          <w:tcPr>
            <w:tcW w:w="1087"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rPr>
                <w:sz w:val="18"/>
              </w:rPr>
            </w:pPr>
            <w:r>
              <w:rPr>
                <w:rFonts w:hint="eastAsia"/>
                <w:sz w:val="18"/>
              </w:rPr>
              <w:t>没有报酬</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10.3</w:t>
            </w:r>
          </w:p>
        </w:tc>
        <w:tc>
          <w:tcPr>
            <w:tcW w:w="493"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15</w:t>
            </w:r>
            <w:r>
              <w:rPr>
                <w:rFonts w:hint="eastAsia"/>
                <w:sz w:val="18"/>
              </w:rPr>
              <w:t>.</w:t>
            </w:r>
            <w:r>
              <w:rPr>
                <w:sz w:val="18"/>
              </w:rPr>
              <w:t>5</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7</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11</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10</w:t>
            </w:r>
            <w:r>
              <w:rPr>
                <w:rFonts w:hint="eastAsia"/>
                <w:sz w:val="18"/>
              </w:rPr>
              <w:t>.</w:t>
            </w:r>
            <w:r>
              <w:rPr>
                <w:sz w:val="18"/>
              </w:rPr>
              <w:t>3</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22</w:t>
            </w:r>
            <w:r>
              <w:rPr>
                <w:rFonts w:hint="eastAsia"/>
                <w:sz w:val="18"/>
              </w:rPr>
              <w:t>.</w:t>
            </w:r>
            <w:r>
              <w:rPr>
                <w:sz w:val="18"/>
              </w:rPr>
              <w:t>7</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10</w:t>
            </w:r>
          </w:p>
        </w:tc>
        <w:tc>
          <w:tcPr>
            <w:tcW w:w="486"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19</w:t>
            </w:r>
            <w:r>
              <w:rPr>
                <w:rFonts w:hint="eastAsia"/>
                <w:sz w:val="18"/>
              </w:rPr>
              <w:t>.</w:t>
            </w:r>
            <w:r>
              <w:rPr>
                <w:sz w:val="18"/>
              </w:rPr>
              <w:t>9</w:t>
            </w:r>
          </w:p>
        </w:tc>
      </w:tr>
      <w:tr w:rsidR="00000000">
        <w:tc>
          <w:tcPr>
            <w:tcW w:w="1087"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rPr>
                <w:sz w:val="18"/>
              </w:rPr>
            </w:pPr>
            <w:r>
              <w:rPr>
                <w:rFonts w:hint="eastAsia"/>
                <w:sz w:val="18"/>
              </w:rPr>
              <w:t>总计（</w:t>
            </w:r>
            <w:r>
              <w:rPr>
                <w:sz w:val="18"/>
              </w:rPr>
              <w:t>%</w:t>
            </w:r>
            <w:r>
              <w:rPr>
                <w:rFonts w:hint="eastAsia"/>
                <w:sz w:val="18"/>
              </w:rPr>
              <w:t>）</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100</w:t>
            </w:r>
          </w:p>
        </w:tc>
        <w:tc>
          <w:tcPr>
            <w:tcW w:w="493"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100</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100</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100</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100</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100</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100</w:t>
            </w:r>
          </w:p>
        </w:tc>
        <w:tc>
          <w:tcPr>
            <w:tcW w:w="486"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100</w:t>
            </w:r>
          </w:p>
        </w:tc>
      </w:tr>
      <w:tr w:rsidR="00000000">
        <w:tc>
          <w:tcPr>
            <w:tcW w:w="1087" w:type="pct"/>
            <w:tcBorders>
              <w:top w:val="single" w:sz="4" w:space="0" w:color="auto"/>
              <w:left w:val="single" w:sz="4" w:space="0" w:color="auto"/>
              <w:bottom w:val="single" w:sz="4" w:space="0" w:color="auto"/>
              <w:right w:val="single" w:sz="4" w:space="0" w:color="auto"/>
            </w:tcBorders>
          </w:tcPr>
          <w:p w:rsidR="00000000" w:rsidRDefault="004D2F83">
            <w:pPr>
              <w:spacing w:after="120" w:line="360" w:lineRule="exact"/>
              <w:rPr>
                <w:sz w:val="18"/>
              </w:rPr>
            </w:pPr>
            <w:r>
              <w:rPr>
                <w:rFonts w:hint="eastAsia"/>
                <w:sz w:val="18"/>
              </w:rPr>
              <w:t>百万</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36.7</w:t>
            </w:r>
          </w:p>
        </w:tc>
        <w:tc>
          <w:tcPr>
            <w:tcW w:w="493"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18</w:t>
            </w:r>
            <w:r>
              <w:rPr>
                <w:rFonts w:hint="eastAsia"/>
                <w:sz w:val="18"/>
              </w:rPr>
              <w:t>.</w:t>
            </w:r>
            <w:r>
              <w:rPr>
                <w:sz w:val="18"/>
              </w:rPr>
              <w:t>5</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40</w:t>
            </w:r>
            <w:r>
              <w:rPr>
                <w:rFonts w:hint="eastAsia"/>
                <w:sz w:val="18"/>
              </w:rPr>
              <w:t>.</w:t>
            </w:r>
            <w:r>
              <w:rPr>
                <w:sz w:val="18"/>
              </w:rPr>
              <w:t>0</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22</w:t>
            </w:r>
            <w:r>
              <w:rPr>
                <w:rFonts w:hint="eastAsia"/>
                <w:sz w:val="18"/>
              </w:rPr>
              <w:t>.</w:t>
            </w:r>
            <w:r>
              <w:rPr>
                <w:sz w:val="18"/>
              </w:rPr>
              <w:t>1</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41</w:t>
            </w:r>
            <w:r>
              <w:rPr>
                <w:rFonts w:hint="eastAsia"/>
                <w:sz w:val="18"/>
              </w:rPr>
              <w:t>.</w:t>
            </w:r>
            <w:r>
              <w:rPr>
                <w:sz w:val="18"/>
              </w:rPr>
              <w:t>9</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27</w:t>
            </w:r>
            <w:r>
              <w:rPr>
                <w:rFonts w:hint="eastAsia"/>
                <w:sz w:val="18"/>
              </w:rPr>
              <w:t>.</w:t>
            </w:r>
            <w:r>
              <w:rPr>
                <w:sz w:val="18"/>
              </w:rPr>
              <w:t>8</w:t>
            </w:r>
          </w:p>
        </w:tc>
        <w:tc>
          <w:tcPr>
            <w:tcW w:w="489"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42</w:t>
            </w:r>
            <w:r>
              <w:rPr>
                <w:rFonts w:hint="eastAsia"/>
                <w:sz w:val="18"/>
              </w:rPr>
              <w:t>.</w:t>
            </w:r>
            <w:r>
              <w:rPr>
                <w:sz w:val="18"/>
              </w:rPr>
              <w:t>3</w:t>
            </w:r>
          </w:p>
        </w:tc>
        <w:tc>
          <w:tcPr>
            <w:tcW w:w="486" w:type="pct"/>
            <w:tcBorders>
              <w:top w:val="single" w:sz="4" w:space="0" w:color="auto"/>
              <w:left w:val="single" w:sz="4" w:space="0" w:color="auto"/>
              <w:bottom w:val="single" w:sz="4" w:space="0" w:color="auto"/>
              <w:right w:val="single" w:sz="4" w:space="0" w:color="auto"/>
            </w:tcBorders>
          </w:tcPr>
          <w:p w:rsidR="00000000" w:rsidRDefault="004D2F83" w:rsidP="004D2F83">
            <w:pPr>
              <w:spacing w:after="120" w:line="360" w:lineRule="exact"/>
              <w:ind w:rightChars="100" w:right="31680"/>
              <w:jc w:val="right"/>
              <w:rPr>
                <w:sz w:val="18"/>
              </w:rPr>
            </w:pPr>
            <w:r>
              <w:rPr>
                <w:sz w:val="18"/>
              </w:rPr>
              <w:t>27</w:t>
            </w:r>
            <w:r>
              <w:rPr>
                <w:rFonts w:hint="eastAsia"/>
                <w:sz w:val="18"/>
              </w:rPr>
              <w:t>.</w:t>
            </w:r>
            <w:r>
              <w:rPr>
                <w:sz w:val="18"/>
              </w:rPr>
              <w:t>6</w:t>
            </w:r>
          </w:p>
        </w:tc>
      </w:tr>
    </w:tbl>
    <w:p w:rsidR="00000000" w:rsidRDefault="004D2F83">
      <w:pPr>
        <w:spacing w:after="240" w:line="360" w:lineRule="exact"/>
        <w:rPr>
          <w:rFonts w:hint="eastAsia"/>
          <w:sz w:val="18"/>
        </w:rPr>
      </w:pPr>
      <w:r>
        <w:rPr>
          <w:rFonts w:eastAsia="SimHei" w:hint="eastAsia"/>
          <w:sz w:val="18"/>
        </w:rPr>
        <w:t>资料来源</w:t>
      </w:r>
      <w:r>
        <w:rPr>
          <w:rFonts w:hint="eastAsia"/>
          <w:sz w:val="18"/>
        </w:rPr>
        <w:t>：女性劳动力数据库。《男子工资与妇女工资》统计丛刊。</w:t>
      </w:r>
    </w:p>
    <w:p w:rsidR="00000000" w:rsidRDefault="004D2F83" w:rsidP="004D2F83">
      <w:pPr>
        <w:spacing w:after="240" w:line="360" w:lineRule="exact"/>
        <w:ind w:firstLineChars="200" w:firstLine="31680"/>
        <w:rPr>
          <w:rFonts w:hint="eastAsia"/>
        </w:rPr>
      </w:pPr>
      <w:r>
        <w:rPr>
          <w:rFonts w:hint="eastAsia"/>
        </w:rPr>
        <w:t>不管是在哪个经济部门工作，妇女的工资都低于男子，这一趋势在文献中有大量论证。为</w:t>
      </w:r>
      <w:r>
        <w:rPr>
          <w:rFonts w:hint="eastAsia"/>
        </w:rPr>
        <w:t>了编写本报告而分析的数据表明，这一状况没有改变。</w:t>
      </w:r>
      <w:r>
        <w:t>1998</w:t>
      </w:r>
      <w:r>
        <w:rPr>
          <w:rFonts w:hint="eastAsia"/>
        </w:rPr>
        <w:t>年，在劳动关系得到较为正式的确定的工业部门，</w:t>
      </w:r>
      <w:r>
        <w:t>37%</w:t>
      </w:r>
      <w:r>
        <w:rPr>
          <w:rFonts w:hint="eastAsia"/>
        </w:rPr>
        <w:t>的男性劳动者的收入在最低工资的两倍以下，而处于同样工资级别的女性劳动者的比例则为</w:t>
      </w:r>
      <w:r>
        <w:t>49%</w:t>
      </w:r>
      <w:r>
        <w:rPr>
          <w:rFonts w:hint="eastAsia"/>
        </w:rPr>
        <w:t>。在妇女多于男子的提供服务的部门</w:t>
      </w:r>
      <w:r>
        <w:rPr>
          <w:rFonts w:hint="eastAsia"/>
        </w:rPr>
        <w:t>7</w:t>
      </w:r>
      <w:r>
        <w:t>6%</w:t>
      </w:r>
      <w:r>
        <w:rPr>
          <w:rFonts w:hint="eastAsia"/>
        </w:rPr>
        <w:t>的女性劳动者的收入在最低工资的两倍以下，而处于同样工资级别的男性劳动者的比例只有</w:t>
      </w:r>
      <w:r>
        <w:t>41%</w:t>
      </w:r>
      <w:r>
        <w:rPr>
          <w:rFonts w:hint="eastAsia"/>
        </w:rPr>
        <w:t>。在女性就业集中的另一个部门，即包括教书和保健活动在内的社会部门，</w:t>
      </w:r>
      <w:r>
        <w:t>41%</w:t>
      </w:r>
      <w:r>
        <w:rPr>
          <w:rFonts w:hint="eastAsia"/>
        </w:rPr>
        <w:t>的女性劳动者和</w:t>
      </w:r>
      <w:r>
        <w:t>26%</w:t>
      </w:r>
      <w:r>
        <w:rPr>
          <w:rFonts w:hint="eastAsia"/>
        </w:rPr>
        <w:t>的的男性劳动者处于这一工资级别。妇女在劳动力市场上地位低下的另一个证据是，农业部门中没有报酬的女性劳动者</w:t>
      </w:r>
      <w:r>
        <w:rPr>
          <w:rFonts w:hint="eastAsia"/>
        </w:rPr>
        <w:t>的比例极高，达到</w:t>
      </w:r>
      <w:r>
        <w:t>81%</w:t>
      </w:r>
      <w:r>
        <w:rPr>
          <w:rFonts w:hint="eastAsia"/>
        </w:rPr>
        <w:t>，而该部门中没有报酬的男性劳动者只占</w:t>
      </w:r>
      <w:r>
        <w:t>30%</w:t>
      </w:r>
      <w:r>
        <w:rPr>
          <w:rFonts w:hint="eastAsia"/>
        </w:rPr>
        <w:t>。</w:t>
      </w:r>
    </w:p>
    <w:p w:rsidR="00000000" w:rsidRDefault="004D2F83" w:rsidP="004D2F83">
      <w:pPr>
        <w:spacing w:after="240" w:line="360" w:lineRule="exact"/>
        <w:ind w:firstLineChars="200" w:firstLine="31680"/>
      </w:pPr>
      <w:r>
        <w:rPr>
          <w:rFonts w:hint="eastAsia"/>
        </w:rPr>
        <w:t>一些人认为妇女的工资低于男子是有道理的。原因之一是妇女工作的时间少于男子。然而，</w:t>
      </w:r>
      <w:r>
        <w:t>1998</w:t>
      </w:r>
      <w:r>
        <w:rPr>
          <w:rFonts w:hint="eastAsia"/>
        </w:rPr>
        <w:t>年，在正规经济部门的正常工作时间——每周</w:t>
      </w:r>
      <w:r>
        <w:t>40</w:t>
      </w:r>
      <w:r>
        <w:rPr>
          <w:rFonts w:hint="eastAsia"/>
        </w:rPr>
        <w:t>至</w:t>
      </w:r>
      <w:r>
        <w:t>44</w:t>
      </w:r>
      <w:r>
        <w:rPr>
          <w:rFonts w:hint="eastAsia"/>
        </w:rPr>
        <w:t>小时内，</w:t>
      </w:r>
      <w:r>
        <w:t>44%</w:t>
      </w:r>
      <w:r>
        <w:rPr>
          <w:rFonts w:hint="eastAsia"/>
        </w:rPr>
        <w:t>的妇女和</w:t>
      </w:r>
      <w:r>
        <w:t>38%</w:t>
      </w:r>
      <w:r>
        <w:rPr>
          <w:rFonts w:hint="eastAsia"/>
        </w:rPr>
        <w:t>的男子的收入在最低工资的两倍以下，这再一次证明男女之间的收入不平等。</w:t>
      </w:r>
    </w:p>
    <w:p w:rsidR="00000000" w:rsidRDefault="004D2F83" w:rsidP="004D2F83">
      <w:pPr>
        <w:spacing w:after="240" w:line="360" w:lineRule="exact"/>
        <w:ind w:firstLineChars="200" w:firstLine="31680"/>
      </w:pPr>
      <w:r>
        <w:rPr>
          <w:rFonts w:hint="eastAsia"/>
        </w:rPr>
        <w:t>为解释妇女工资差距而提出的另一个理由是劳动关系的类型或者劳动者在职业领域所担任的职务。然而，这一论据也站不住脚。妇女的报酬水平始终低于男子，不管她们是正式雇员、佣仆、自营职业者还是雇主。在主要由妇女组成的佣仆</w:t>
      </w:r>
      <w:r>
        <w:rPr>
          <w:rFonts w:hint="eastAsia"/>
        </w:rPr>
        <w:t>分类中，</w:t>
      </w:r>
      <w:r>
        <w:t>80%</w:t>
      </w:r>
      <w:r>
        <w:rPr>
          <w:rFonts w:hint="eastAsia"/>
        </w:rPr>
        <w:t>的男子——他们的人数只有</w:t>
      </w:r>
      <w:r>
        <w:t>30</w:t>
      </w:r>
      <w:r>
        <w:rPr>
          <w:rFonts w:hint="eastAsia"/>
        </w:rPr>
        <w:t>万——挣的钱在最低工资的两倍以下，而女仆——</w:t>
      </w:r>
      <w:r>
        <w:t>470</w:t>
      </w:r>
      <w:r>
        <w:rPr>
          <w:rFonts w:hint="eastAsia"/>
        </w:rPr>
        <w:t>万——的比例达到</w:t>
      </w:r>
      <w:r>
        <w:t>90%</w:t>
      </w:r>
      <w:r>
        <w:rPr>
          <w:rFonts w:hint="eastAsia"/>
        </w:rPr>
        <w:t>。在自营职业者中，收入差距也一直存在：</w:t>
      </w:r>
      <w:r>
        <w:t>70%</w:t>
      </w:r>
      <w:r>
        <w:rPr>
          <w:rFonts w:hint="eastAsia"/>
        </w:rPr>
        <w:t>的妇女和</w:t>
      </w:r>
      <w:r>
        <w:t>50%</w:t>
      </w:r>
      <w:r>
        <w:rPr>
          <w:rFonts w:hint="eastAsia"/>
        </w:rPr>
        <w:t>的男子属于这一收入范围。（女性劳动力数据库。《男子工资、妇女工资》统计丛刊。见</w:t>
      </w:r>
      <w:hyperlink r:id="rId14" w:history="1">
        <w:r>
          <w:rPr>
            <w:rStyle w:val="Hyperlink"/>
          </w:rPr>
          <w:t>http://www.fcc.org.br</w:t>
        </w:r>
      </w:hyperlink>
      <w:r>
        <w:rPr>
          <w:rFonts w:hint="eastAsia"/>
        </w:rPr>
        <w:t>）。</w:t>
      </w:r>
    </w:p>
    <w:p w:rsidR="00000000" w:rsidRDefault="004D2F83" w:rsidP="004D2F83">
      <w:pPr>
        <w:spacing w:after="240" w:line="360" w:lineRule="exact"/>
        <w:ind w:firstLineChars="200" w:firstLine="31680"/>
      </w:pPr>
      <w:r>
        <w:rPr>
          <w:rFonts w:hint="eastAsia"/>
        </w:rPr>
        <w:t>最后，以受教育程度为基础的收入更进一步说明了妇女在劳动力市场上受到的工资方面的歧视，尽管妇女受教育时间比男子长。例如，在受教育时间最长</w:t>
      </w:r>
      <w:r>
        <w:rPr>
          <w:rFonts w:hint="eastAsia"/>
        </w:rPr>
        <w:t>的男女中，歧视似乎更加明显：</w:t>
      </w:r>
      <w:r>
        <w:t>1998</w:t>
      </w:r>
      <w:r>
        <w:rPr>
          <w:rFonts w:hint="eastAsia"/>
        </w:rPr>
        <w:t>年，在受过</w:t>
      </w:r>
      <w:r>
        <w:rPr>
          <w:rFonts w:hint="eastAsia"/>
        </w:rPr>
        <w:t>15</w:t>
      </w:r>
      <w:r>
        <w:rPr>
          <w:rFonts w:hint="eastAsia"/>
        </w:rPr>
        <w:t>年以上正规教育的群体中，</w:t>
      </w:r>
      <w:r>
        <w:t>85%</w:t>
      </w:r>
      <w:r>
        <w:rPr>
          <w:rFonts w:hint="eastAsia"/>
        </w:rPr>
        <w:t>的男子和</w:t>
      </w:r>
      <w:r>
        <w:t>67%</w:t>
      </w:r>
      <w:r>
        <w:rPr>
          <w:rFonts w:hint="eastAsia"/>
        </w:rPr>
        <w:t>的妇女的收入超过最低工资的五倍。。</w:t>
      </w:r>
    </w:p>
    <w:p w:rsidR="00000000" w:rsidRDefault="004D2F83" w:rsidP="004D2F83">
      <w:pPr>
        <w:spacing w:after="240" w:line="360" w:lineRule="exact"/>
        <w:ind w:firstLineChars="200" w:firstLine="31680"/>
      </w:pPr>
      <w:r>
        <w:rPr>
          <w:rFonts w:hint="eastAsia"/>
        </w:rPr>
        <w:t>根据对男女劳动力收入情况的分析，在</w:t>
      </w:r>
      <w:r>
        <w:t>1990</w:t>
      </w:r>
      <w:r>
        <w:rPr>
          <w:rFonts w:hint="eastAsia"/>
        </w:rPr>
        <w:t>年代似乎有两个趋势得到了加强。第一个趋势涉及巴西男女全体劳动者，显示挣最低工资或最低工资的两倍以下工资的男女人数减少了。第二个趋势涉及劳动力市场上男女的报酬差异，这是对男人和妇女的工作评价不同的结果。在</w:t>
      </w:r>
      <w:r>
        <w:t>1990</w:t>
      </w:r>
      <w:r>
        <w:rPr>
          <w:rFonts w:hint="eastAsia"/>
        </w:rPr>
        <w:t>年代，妇女的收入仍然少于男子，不管她们是在哪个经济部门从事活动，每周工作多长时间，受教育水平如何和担任何种职位。</w:t>
      </w:r>
    </w:p>
    <w:p w:rsidR="00000000" w:rsidRDefault="004D2F83">
      <w:pPr>
        <w:spacing w:after="240" w:line="360" w:lineRule="exact"/>
        <w:rPr>
          <w:rFonts w:eastAsia="SimHei"/>
          <w:sz w:val="24"/>
        </w:rPr>
      </w:pPr>
      <w:r>
        <w:rPr>
          <w:rFonts w:eastAsia="SimHei" w:hint="eastAsia"/>
          <w:sz w:val="24"/>
        </w:rPr>
        <w:t>劳动条例和社会保</w:t>
      </w:r>
      <w:r>
        <w:rPr>
          <w:rFonts w:eastAsia="SimHei" w:hint="eastAsia"/>
          <w:sz w:val="24"/>
        </w:rPr>
        <w:t>护</w:t>
      </w:r>
    </w:p>
    <w:p w:rsidR="00000000" w:rsidRDefault="004D2F83" w:rsidP="004D2F83">
      <w:pPr>
        <w:spacing w:after="240" w:line="360" w:lineRule="exact"/>
        <w:ind w:firstLineChars="200" w:firstLine="31680"/>
      </w:pPr>
      <w:r>
        <w:rPr>
          <w:rFonts w:hint="eastAsia"/>
        </w:rPr>
        <w:t>工作时数、正式的劳动关系、工作的长期性和交纳社会保险，是衡量妇女进入劳动力市场质量的一些最重要的指标。</w:t>
      </w:r>
    </w:p>
    <w:p w:rsidR="00000000" w:rsidRDefault="004D2F83" w:rsidP="004D2F83">
      <w:pPr>
        <w:spacing w:after="240" w:line="360" w:lineRule="exact"/>
        <w:ind w:firstLineChars="200" w:firstLine="31680"/>
      </w:pPr>
      <w:r>
        <w:rPr>
          <w:rFonts w:hint="eastAsia"/>
        </w:rPr>
        <w:t>工作证明文件和交纳社会保险是工作管理和保护的指标，与男性劳动力相比，女性劳动力通常受到的保护和管理较少。在女雇员群体中，拥有工作证明文件，因此有可能得到社会保险保障的情况不象在男雇员群体中那么常见。在</w:t>
      </w:r>
      <w:r>
        <w:t>1995-1998</w:t>
      </w:r>
      <w:r>
        <w:rPr>
          <w:rFonts w:hint="eastAsia"/>
        </w:rPr>
        <w:t>年期间，男女雇员中拥有工作证明文件的比例大致相当。这一结果大概是受到</w:t>
      </w:r>
      <w:r>
        <w:t>1990</w:t>
      </w:r>
      <w:r>
        <w:rPr>
          <w:rFonts w:hint="eastAsia"/>
        </w:rPr>
        <w:t>年代大量辞退雇员的影响，当时受影响最大的是男雇员。但可能还有另外一个原因，那就是遵守劳动条例的情况有所改善。</w:t>
      </w:r>
    </w:p>
    <w:p w:rsidR="00000000" w:rsidRDefault="004D2F83" w:rsidP="004D2F83">
      <w:pPr>
        <w:spacing w:after="240" w:line="360" w:lineRule="exact"/>
        <w:ind w:firstLineChars="200" w:firstLine="31680"/>
      </w:pPr>
      <w:r>
        <w:rPr>
          <w:rFonts w:hint="eastAsia"/>
        </w:rPr>
        <w:t>欧洲国家通常都采用非全日工的做法作为解决失业问题的一个策略。在分析覆盖期间，特别是在</w:t>
      </w:r>
      <w:r>
        <w:t>1990</w:t>
      </w:r>
      <w:r>
        <w:rPr>
          <w:rFonts w:hint="eastAsia"/>
        </w:rPr>
        <w:t>年代前五年，巴西的确在这方面执行了一项明确的政策，每周工作时间在</w:t>
      </w:r>
      <w:r>
        <w:t>39</w:t>
      </w:r>
      <w:r>
        <w:rPr>
          <w:rFonts w:hint="eastAsia"/>
        </w:rPr>
        <w:t>小时以下的人的数量有了明显增加。缩短工作周的做法在妇女中较受欢迎，因而妇女就业的人数在</w:t>
      </w:r>
      <w:r>
        <w:t>1990</w:t>
      </w:r>
      <w:r>
        <w:rPr>
          <w:rFonts w:hint="eastAsia"/>
        </w:rPr>
        <w:t>年代有所增加，在这一时期每周工作时间在</w:t>
      </w:r>
      <w:r>
        <w:t>39</w:t>
      </w:r>
      <w:r>
        <w:rPr>
          <w:rFonts w:hint="eastAsia"/>
        </w:rPr>
        <w:t>小时以下的妇女的比例从</w:t>
      </w:r>
      <w:r>
        <w:t>1990</w:t>
      </w:r>
      <w:r>
        <w:rPr>
          <w:rFonts w:hint="eastAsia"/>
        </w:rPr>
        <w:t>年的</w:t>
      </w:r>
      <w:r>
        <w:t>38.7%</w:t>
      </w:r>
      <w:r>
        <w:rPr>
          <w:rFonts w:hint="eastAsia"/>
        </w:rPr>
        <w:t>上升到</w:t>
      </w:r>
      <w:r>
        <w:t>1998</w:t>
      </w:r>
      <w:r>
        <w:rPr>
          <w:rFonts w:hint="eastAsia"/>
        </w:rPr>
        <w:t>年的</w:t>
      </w:r>
      <w:r>
        <w:t>45%</w:t>
      </w:r>
      <w:r>
        <w:rPr>
          <w:rFonts w:hint="eastAsia"/>
        </w:rPr>
        <w:t>。值得一提的是这些最新数字可能是高估了，因为自</w:t>
      </w:r>
      <w:r>
        <w:t>1992</w:t>
      </w:r>
      <w:r>
        <w:rPr>
          <w:rFonts w:hint="eastAsia"/>
        </w:rPr>
        <w:t>年以来在住户调查中“就业”概念的范围扩大了。许多就业妇女很可能为了兼顾事业与家庭而选择做非全日</w:t>
      </w:r>
      <w:r>
        <w:rPr>
          <w:rFonts w:hint="eastAsia"/>
        </w:rPr>
        <w:t>工作。然而，正如数据所显示的，也有可能许多妇女是因为没有机会得到较好的工作——常常是全职工作，这类不仅工资较高，而且还受到劳动条例的保护。</w:t>
      </w:r>
    </w:p>
    <w:p w:rsidR="00000000" w:rsidRDefault="004D2F83" w:rsidP="004D2F83">
      <w:pPr>
        <w:spacing w:after="240" w:line="360" w:lineRule="exact"/>
        <w:ind w:firstLineChars="200" w:firstLine="31680"/>
      </w:pPr>
      <w:r>
        <w:rPr>
          <w:rFonts w:hint="eastAsia"/>
        </w:rPr>
        <w:t>雇主签署的工作证明文件是正式就业和劳动条例的最重要的指标之一，持有此种文件的劳动者在工资和享有法律规定的劳动权利方面不易受到雇主的任意行为的伤害。</w:t>
      </w:r>
    </w:p>
    <w:p w:rsidR="00000000" w:rsidRDefault="004D2F83">
      <w:pPr>
        <w:spacing w:after="240" w:line="360" w:lineRule="exact"/>
        <w:rPr>
          <w:rFonts w:eastAsia="KaiTi_GB2312"/>
          <w:b/>
          <w:bCs/>
          <w:sz w:val="24"/>
        </w:rPr>
      </w:pPr>
      <w:r>
        <w:rPr>
          <w:rFonts w:eastAsia="KaiTi_GB2312" w:hint="eastAsia"/>
          <w:b/>
          <w:bCs/>
          <w:sz w:val="24"/>
        </w:rPr>
        <w:t>劳动力市场中对妇女的歧视</w:t>
      </w:r>
    </w:p>
    <w:p w:rsidR="00000000" w:rsidRDefault="004D2F83" w:rsidP="004D2F83">
      <w:pPr>
        <w:spacing w:after="240" w:line="360" w:lineRule="exact"/>
        <w:ind w:firstLineChars="200" w:firstLine="31680"/>
      </w:pPr>
      <w:r>
        <w:rPr>
          <w:rFonts w:hint="eastAsia"/>
        </w:rPr>
        <w:t>在历史上，歧视妇女行为是基于以生理差异为基础的社会公认的差异。在劳动力市场中一条性别界限的划分，导致了对男女所从事的活动也进行了等级划分。这还影响到妇女进入劳动力市场的形式并且是说明歧视妇女现象的最</w:t>
      </w:r>
      <w:r>
        <w:rPr>
          <w:rFonts w:hint="eastAsia"/>
        </w:rPr>
        <w:t>好方式之一，尽管侵犯权利的情况并非总是显而易见。例如，众所周知，相对于男子而言，妇女在工资、职位和工作条件方面仍然处于不利境地。尽管巴西的女性劳动力的增长水平在拉丁美洲排在最前列，但妇女主要集中在服务部门并且收入低于男子。国际劳工组织</w:t>
      </w:r>
      <w:r>
        <w:t>1991-1996</w:t>
      </w:r>
      <w:r>
        <w:rPr>
          <w:rFonts w:hint="eastAsia"/>
        </w:rPr>
        <w:t>年的数据显示，在巴西，除农业部门以外，其他所有部门中妇女所挣工资相当于男子所挣工资的</w:t>
      </w:r>
      <w:r>
        <w:t>72%</w:t>
      </w:r>
      <w:r>
        <w:rPr>
          <w:rFonts w:hint="eastAsia"/>
        </w:rPr>
        <w:t>（</w:t>
      </w:r>
      <w:r>
        <w:t>Brischini</w:t>
      </w:r>
      <w:r>
        <w:rPr>
          <w:rFonts w:hint="eastAsia"/>
        </w:rPr>
        <w:t>，</w:t>
      </w:r>
      <w:r>
        <w:t>Lombardi</w:t>
      </w:r>
      <w:r>
        <w:rPr>
          <w:rFonts w:hint="eastAsia"/>
        </w:rPr>
        <w:t>，</w:t>
      </w:r>
      <w:r>
        <w:t>2001</w:t>
      </w:r>
      <w:r>
        <w:rPr>
          <w:rFonts w:hint="eastAsia"/>
        </w:rPr>
        <w:t>年）。另一个众所周知的事实是，妇女一般集中在特定的专业活动部门，其中许多部门被社会看作是女性的部门（提供服务）。母性对妇女</w:t>
      </w:r>
      <w:r>
        <w:rPr>
          <w:rFonts w:hint="eastAsia"/>
        </w:rPr>
        <w:t>进入和长期留在劳动力市场上是一个关键因素，并且对她们的职业生涯产生影响，因为它增加了晋升职级的困难。</w:t>
      </w:r>
    </w:p>
    <w:p w:rsidR="00000000" w:rsidRDefault="004D2F83" w:rsidP="004D2F83">
      <w:pPr>
        <w:spacing w:after="240" w:line="360" w:lineRule="exact"/>
        <w:ind w:firstLineChars="200" w:firstLine="31680"/>
      </w:pPr>
      <w:r>
        <w:rPr>
          <w:rFonts w:hint="eastAsia"/>
        </w:rPr>
        <w:t>据</w:t>
      </w:r>
      <w:r>
        <w:t>Silvia Yannoulas</w:t>
      </w:r>
      <w:r>
        <w:rPr>
          <w:rFonts w:hint="eastAsia"/>
        </w:rPr>
        <w:t>（</w:t>
      </w:r>
      <w:r>
        <w:t>2001</w:t>
      </w:r>
      <w:r>
        <w:rPr>
          <w:rFonts w:hint="eastAsia"/>
        </w:rPr>
        <w:t>年）认为，劳动力市场上至少可以看到三种歧视形式：直接的和明显的形式、间接的或隐蔽的形式，以及自我歧视。第一种指的是以性别、年龄、肤色、种族等为由直接排斥。《消除对妇女歧视公约》或国际劳工组织关于报酬平等和消除在就业和职业方面的歧视的第</w:t>
      </w:r>
      <w:r>
        <w:t>100</w:t>
      </w:r>
      <w:r>
        <w:rPr>
          <w:rFonts w:hint="eastAsia"/>
        </w:rPr>
        <w:t>号和第</w:t>
      </w:r>
      <w:r>
        <w:t>111</w:t>
      </w:r>
      <w:r>
        <w:rPr>
          <w:rFonts w:hint="eastAsia"/>
        </w:rPr>
        <w:t>号公约等公约以及</w:t>
      </w:r>
      <w:r>
        <w:t>1988</w:t>
      </w:r>
      <w:r>
        <w:rPr>
          <w:rFonts w:hint="eastAsia"/>
        </w:rPr>
        <w:t>年巴西宪法，原则上都禁止实行和维持这种歧视形式。</w:t>
      </w:r>
    </w:p>
    <w:p w:rsidR="00000000" w:rsidRDefault="004D2F83" w:rsidP="004D2F83">
      <w:pPr>
        <w:spacing w:after="240" w:line="360" w:lineRule="exact"/>
        <w:ind w:firstLineChars="200" w:firstLine="31680"/>
        <w:rPr>
          <w:spacing w:val="4"/>
        </w:rPr>
      </w:pPr>
      <w:r>
        <w:rPr>
          <w:rFonts w:hint="eastAsia"/>
          <w:spacing w:val="4"/>
        </w:rPr>
        <w:t>然而，歧视可以采取极其微妙的形式，这种形</w:t>
      </w:r>
      <w:r>
        <w:rPr>
          <w:rFonts w:hint="eastAsia"/>
          <w:spacing w:val="4"/>
        </w:rPr>
        <w:t>式至今仍然充斥着巴西社会。在这种情况下，那些影响社会所认可的行为、重新产生和加强不平等的观点和做法，例如有年龄限制的职业活动，掩盖了间接歧视。伴随这种歧视形式的是内部压制机制和自我歧视，据</w:t>
      </w:r>
      <w:r>
        <w:rPr>
          <w:spacing w:val="4"/>
        </w:rPr>
        <w:t>Yannoulas</w:t>
      </w:r>
      <w:r>
        <w:rPr>
          <w:rFonts w:hint="eastAsia"/>
          <w:spacing w:val="4"/>
        </w:rPr>
        <w:t>（</w:t>
      </w:r>
      <w:r>
        <w:rPr>
          <w:spacing w:val="4"/>
        </w:rPr>
        <w:t>2001</w:t>
      </w:r>
      <w:r>
        <w:rPr>
          <w:rFonts w:hint="eastAsia"/>
          <w:spacing w:val="4"/>
        </w:rPr>
        <w:t>年）认为，这种内部压制机制和自我歧视导致人们形成这样一种愿望、期望和渴望，即一些教育或专业选择可能吸引更多的是有较明确职业目标的妇女而不是其他人。对一名妇女来说，教师职业的实际费用很可能大大低于当科学家或工程师的费用。</w:t>
      </w:r>
    </w:p>
    <w:p w:rsidR="00000000" w:rsidRDefault="004D2F83" w:rsidP="004D2F83">
      <w:pPr>
        <w:spacing w:after="240" w:line="360" w:lineRule="exact"/>
        <w:ind w:firstLineChars="200" w:firstLine="31680"/>
      </w:pPr>
      <w:r>
        <w:t>Yannoulas</w:t>
      </w:r>
      <w:r>
        <w:rPr>
          <w:rFonts w:hint="eastAsia"/>
        </w:rPr>
        <w:t>的定义表明要界定巴西妇女受歧视的程度十分困难，特别是因为歧</w:t>
      </w:r>
      <w:r>
        <w:rPr>
          <w:rFonts w:hint="eastAsia"/>
        </w:rPr>
        <w:t>视表现在个人之间确立的社会关系上，并且渗透着文化价值标准。一个例子是种族歧视。尽管基于肤色或种族的就业歧视是明令禁止的，但从若干关于劳动力市场上与种族和肤色有关联的性别歧视的研究可以看出，对黑人妇女的歧视较为突出，这些研究包括州数据分析系统（</w:t>
      </w:r>
      <w:r>
        <w:t>SEADE</w:t>
      </w:r>
      <w:r>
        <w:rPr>
          <w:rFonts w:hint="eastAsia"/>
        </w:rPr>
        <w:t>）、应用经济研究所（</w:t>
      </w:r>
      <w:r>
        <w:t>IPEA</w:t>
      </w:r>
      <w:r>
        <w:rPr>
          <w:rFonts w:hint="eastAsia"/>
        </w:rPr>
        <w:t>）和</w:t>
      </w:r>
      <w:r>
        <w:t>2001</w:t>
      </w:r>
      <w:r>
        <w:rPr>
          <w:rFonts w:hint="eastAsia"/>
        </w:rPr>
        <w:t>年由联合国发起的为第二届反种族主义世界会议动员巴西妇女运动所进行的研究。</w:t>
      </w:r>
      <w:r>
        <w:rPr>
          <w:rStyle w:val="FootnoteReference"/>
        </w:rPr>
        <w:footnoteReference w:customMarkFollows="1" w:id="103"/>
        <w:t>103</w:t>
      </w:r>
      <w:r>
        <w:rPr>
          <w:rFonts w:hint="eastAsia"/>
        </w:rPr>
        <w:t>所有这些研究都强调了这样一个事实，即最受歧视的群体是黑人妇女，她们在劳动力市场上的收入很低，工作职位也不稳定。根据州数据分析系统的研究，比起性</w:t>
      </w:r>
      <w:r>
        <w:rPr>
          <w:rFonts w:hint="eastAsia"/>
        </w:rPr>
        <w:t>别情况来，受教育水平会减少因种族</w:t>
      </w:r>
      <w:r>
        <w:t>/</w:t>
      </w:r>
      <w:r>
        <w:rPr>
          <w:rFonts w:hint="eastAsia"/>
        </w:rPr>
        <w:t>肤色而受到的歧视。按小时、性别、种族和受教育程度对不同工资水平所做的分析表明，</w:t>
      </w:r>
      <w:r>
        <w:rPr>
          <w:rFonts w:hint="eastAsia"/>
        </w:rPr>
        <w:t>2000</w:t>
      </w:r>
      <w:r>
        <w:rPr>
          <w:rFonts w:hint="eastAsia"/>
        </w:rPr>
        <w:t>年，在圣保罗受过教育的人口中（受过完整的中学教育或不完整的高等教育），白人男子的收入是</w:t>
      </w:r>
      <w:r>
        <w:t>6.92</w:t>
      </w:r>
      <w:r>
        <w:rPr>
          <w:rFonts w:hint="eastAsia"/>
        </w:rPr>
        <w:t>雷亚尔</w:t>
      </w:r>
      <w:r>
        <w:t>/</w:t>
      </w:r>
      <w:r>
        <w:rPr>
          <w:rFonts w:hint="eastAsia"/>
        </w:rPr>
        <w:t>小时，黑人男子是</w:t>
      </w:r>
      <w:r>
        <w:t>4.62</w:t>
      </w:r>
      <w:r>
        <w:rPr>
          <w:rFonts w:hint="eastAsia"/>
        </w:rPr>
        <w:t>雷亚尔</w:t>
      </w:r>
      <w:r>
        <w:t>/</w:t>
      </w:r>
      <w:r>
        <w:rPr>
          <w:rFonts w:hint="eastAsia"/>
        </w:rPr>
        <w:t>小时，白人妇女是</w:t>
      </w:r>
      <w:r>
        <w:t>4.35</w:t>
      </w:r>
      <w:r>
        <w:rPr>
          <w:rFonts w:hint="eastAsia"/>
        </w:rPr>
        <w:t>雷亚尔</w:t>
      </w:r>
      <w:r>
        <w:t>/</w:t>
      </w:r>
      <w:r>
        <w:rPr>
          <w:rFonts w:hint="eastAsia"/>
        </w:rPr>
        <w:t>小时，黑人妇女是</w:t>
      </w:r>
      <w:r>
        <w:t>2.92</w:t>
      </w:r>
      <w:r>
        <w:rPr>
          <w:rFonts w:hint="eastAsia"/>
        </w:rPr>
        <w:t>雷亚尔</w:t>
      </w:r>
      <w:r>
        <w:t>/</w:t>
      </w:r>
      <w:r>
        <w:rPr>
          <w:rFonts w:hint="eastAsia"/>
        </w:rPr>
        <w:t>小时。</w:t>
      </w:r>
      <w:r>
        <w:rPr>
          <w:rStyle w:val="FootnoteReference"/>
        </w:rPr>
        <w:footnoteReference w:customMarkFollows="1" w:id="104"/>
        <w:t>104</w:t>
      </w:r>
      <w:r>
        <w:rPr>
          <w:rFonts w:hint="eastAsia"/>
        </w:rPr>
        <w:t>不过，在任何情况下，黑人妇女都被压制在最底层，因为她们承受着双重歧视的重负（</w:t>
      </w:r>
      <w:r>
        <w:t>Bruschini</w:t>
      </w:r>
      <w:r>
        <w:rPr>
          <w:rFonts w:hint="eastAsia"/>
        </w:rPr>
        <w:t>和</w:t>
      </w:r>
      <w:r>
        <w:t>Lombardi</w:t>
      </w:r>
      <w:r>
        <w:rPr>
          <w:rFonts w:hint="eastAsia"/>
        </w:rPr>
        <w:t>，</w:t>
      </w:r>
      <w:r>
        <w:t>2001</w:t>
      </w:r>
      <w:r>
        <w:rPr>
          <w:rFonts w:hint="eastAsia"/>
        </w:rPr>
        <w:t>年）。</w:t>
      </w:r>
    </w:p>
    <w:p w:rsidR="00000000" w:rsidRDefault="004D2F83" w:rsidP="004D2F83">
      <w:pPr>
        <w:spacing w:after="240" w:line="360" w:lineRule="exact"/>
        <w:ind w:firstLineChars="200" w:firstLine="31680"/>
      </w:pPr>
      <w:r>
        <w:rPr>
          <w:rFonts w:hint="eastAsia"/>
        </w:rPr>
        <w:t>至于就业妇女的家庭和家庭情况，关于巴西女性劳动力问题</w:t>
      </w:r>
      <w:r>
        <w:rPr>
          <w:rFonts w:hint="eastAsia"/>
        </w:rPr>
        <w:t>的本报告显示，家务劳动的重担，主要是照顾年幼的子女，使得妇女无法在同等条件下与男人竞争好的工作。从事工作的妇女，甚至当她们在自己家里工作时，她们也不得不从事双重劳动。操持家务甚至不被看作是一种经济活动。可以帮助妇女照顾小孩的公共机构不足。关于这一点，可以说对《消除对妇女一切形式歧视公约》第十二条第</w:t>
      </w:r>
      <w:r>
        <w:t>2</w:t>
      </w:r>
      <w:r>
        <w:rPr>
          <w:rFonts w:hint="eastAsia"/>
        </w:rPr>
        <w:t>款</w:t>
      </w:r>
      <w:r>
        <w:t>c</w:t>
      </w:r>
      <w:r>
        <w:rPr>
          <w:rFonts w:hint="eastAsia"/>
        </w:rPr>
        <w:t>项有一些忽视，该条款规定通过建立旨在帮助照顾孩子的服务网来提供社会服务，以便使父母能够兼顾他们的工作职责和家庭义务。</w:t>
      </w:r>
    </w:p>
    <w:p w:rsidR="00000000" w:rsidRDefault="004D2F83" w:rsidP="004D2F83">
      <w:pPr>
        <w:spacing w:after="240" w:line="360" w:lineRule="exact"/>
        <w:ind w:firstLineChars="200" w:firstLine="31680"/>
      </w:pPr>
      <w:r>
        <w:rPr>
          <w:rFonts w:hint="eastAsia"/>
        </w:rPr>
        <w:t>另一方面，法律保障正式受雇的妇女享有重要的社会权利，例如孩子出生后享有</w:t>
      </w:r>
      <w:r>
        <w:t>120</w:t>
      </w:r>
      <w:r>
        <w:rPr>
          <w:rFonts w:hint="eastAsia"/>
        </w:rPr>
        <w:t>天的产假、产假</w:t>
      </w:r>
      <w:r>
        <w:rPr>
          <w:rFonts w:hint="eastAsia"/>
        </w:rPr>
        <w:t>工资和把孩子送进日托中心等等。不过，这只适用于在劳动力市场上受保护的就业妇女，而她们只是其中的一小部分。尽管法律规定了把孩子送进日托中心的权利，但众所周知，所提供的服务无法满足需求。关于女性劳动力质量这一方面，极其重要的是收集与母亲工作情况有关的日托中心和学前机构的覆盖面方面的更多信息，以及关于产假和由社会保障系统提供的产假工资的数据，可能的话，收集与活动部门或职业有关联的数据。</w:t>
      </w:r>
    </w:p>
    <w:p w:rsidR="00000000" w:rsidRDefault="004D2F83" w:rsidP="004D2F83">
      <w:pPr>
        <w:spacing w:after="240" w:line="360" w:lineRule="exact"/>
        <w:ind w:firstLineChars="200" w:firstLine="31680"/>
      </w:pPr>
      <w:r>
        <w:rPr>
          <w:rFonts w:hint="eastAsia"/>
        </w:rPr>
        <w:t>我们看到受教育程度在帮助妇女在劳动力市场上获得较好的工作方面发挥着重要的作用，并且女性劳动力的受教育时间也比男性劳动力长。尽管如</w:t>
      </w:r>
      <w:r>
        <w:rPr>
          <w:rFonts w:hint="eastAsia"/>
        </w:rPr>
        <w:t>此，妇女仍然局限于从事传统的职业并且收入低于男子。这种性别歧视继续存在的可能原因之一是，妇女从中学起就主要学习为工作做准备的学科，而那些工作在劳动力市场上是不被看作是有价值的工作。与科学领域中的男子人数相比，妇女更多的是从事人文科学领域的工作，一些调查对此作了分析，例如</w:t>
      </w:r>
      <w:r>
        <w:t>Barroso e Mello(1975</w:t>
      </w:r>
      <w:r>
        <w:rPr>
          <w:rFonts w:hint="eastAsia"/>
        </w:rPr>
        <w:t>年</w:t>
      </w:r>
      <w:r>
        <w:t>)</w:t>
      </w:r>
      <w:r>
        <w:rPr>
          <w:rFonts w:hint="eastAsia"/>
        </w:rPr>
        <w:t>在</w:t>
      </w:r>
      <w:r>
        <w:t>1970</w:t>
      </w:r>
      <w:r>
        <w:rPr>
          <w:rFonts w:hint="eastAsia"/>
        </w:rPr>
        <w:t>年代，</w:t>
      </w:r>
      <w:r>
        <w:t>Rosemberg et alii</w:t>
      </w:r>
      <w:r>
        <w:rPr>
          <w:rFonts w:hint="eastAsia"/>
        </w:rPr>
        <w:t>（</w:t>
      </w:r>
      <w:r>
        <w:t>1982</w:t>
      </w:r>
      <w:r>
        <w:rPr>
          <w:rFonts w:hint="eastAsia"/>
        </w:rPr>
        <w:t>年）在</w:t>
      </w:r>
      <w:r>
        <w:t>1980</w:t>
      </w:r>
      <w:r>
        <w:rPr>
          <w:rFonts w:hint="eastAsia"/>
        </w:rPr>
        <w:t>年代所做的调查。至于较近的年代，通过教育普查收集的数据显示，妇女更倾向于从事语言学、语言、文学和艺术（</w:t>
      </w:r>
      <w:r>
        <w:t>83%</w:t>
      </w:r>
      <w:r>
        <w:rPr>
          <w:rFonts w:hint="eastAsia"/>
        </w:rPr>
        <w:t>）、人文科学（</w:t>
      </w:r>
      <w:r>
        <w:t>8</w:t>
      </w:r>
      <w:r>
        <w:t>2%</w:t>
      </w:r>
      <w:r>
        <w:rPr>
          <w:rFonts w:hint="eastAsia"/>
        </w:rPr>
        <w:t>）、生物科学（</w:t>
      </w:r>
      <w:r>
        <w:t>74%</w:t>
      </w:r>
      <w:r>
        <w:rPr>
          <w:rFonts w:hint="eastAsia"/>
        </w:rPr>
        <w:t>）以及与健康有关的科学（</w:t>
      </w:r>
      <w:r>
        <w:t>67.6%</w:t>
      </w:r>
      <w:r>
        <w:rPr>
          <w:rFonts w:hint="eastAsia"/>
        </w:rPr>
        <w:t>）的工作（</w:t>
      </w:r>
      <w:r>
        <w:t>Bruschini&amp;Lombardi</w:t>
      </w:r>
      <w:r>
        <w:rPr>
          <w:rFonts w:hint="eastAsia"/>
        </w:rPr>
        <w:t>，</w:t>
      </w:r>
      <w:r>
        <w:t>2001</w:t>
      </w:r>
      <w:r>
        <w:rPr>
          <w:rFonts w:hint="eastAsia"/>
        </w:rPr>
        <w:t>年）。商业管理、建筑和城市规划以及法律领域的妇女人数有所增加。即使是在传统上属于男子的工程和技术领域，也有越来越多的妇女涉足，虽然她们在培养人们从事更受人尊敬的职业的科学学科中的人数仍然不多。</w:t>
      </w:r>
    </w:p>
    <w:p w:rsidR="00000000" w:rsidRDefault="004D2F83" w:rsidP="004D2F83">
      <w:pPr>
        <w:spacing w:after="240" w:line="360" w:lineRule="exact"/>
        <w:ind w:firstLineChars="200" w:firstLine="31680"/>
      </w:pPr>
      <w:r>
        <w:rPr>
          <w:rFonts w:hint="eastAsia"/>
        </w:rPr>
        <w:t>越来越多的妇女走进劳动力市场，这是过去几十年中巴西发生的最重要的变化之一。其原因有好些方面，这些方面可以说是相互矛盾的：</w:t>
      </w:r>
    </w:p>
    <w:p w:rsidR="00000000" w:rsidRDefault="004D2F83">
      <w:pPr>
        <w:numPr>
          <w:ilvl w:val="0"/>
          <w:numId w:val="714"/>
        </w:numPr>
        <w:spacing w:after="240" w:line="360" w:lineRule="exact"/>
      </w:pPr>
      <w:r>
        <w:rPr>
          <w:rFonts w:hint="eastAsia"/>
        </w:rPr>
        <w:t>人口方面的变化：由于孩子的数量减少，妇女可以出去工作；</w:t>
      </w:r>
    </w:p>
    <w:p w:rsidR="00000000" w:rsidRDefault="004D2F83">
      <w:pPr>
        <w:numPr>
          <w:ilvl w:val="0"/>
          <w:numId w:val="714"/>
        </w:numPr>
        <w:spacing w:after="240" w:line="360" w:lineRule="exact"/>
      </w:pPr>
      <w:r>
        <w:rPr>
          <w:rFonts w:hint="eastAsia"/>
        </w:rPr>
        <w:t>她们受教育程度的提高改善了</w:t>
      </w:r>
      <w:r>
        <w:rPr>
          <w:rFonts w:hint="eastAsia"/>
        </w:rPr>
        <w:t>她们在劳动力市场上的背景；</w:t>
      </w:r>
    </w:p>
    <w:p w:rsidR="00000000" w:rsidRDefault="004D2F83">
      <w:pPr>
        <w:numPr>
          <w:ilvl w:val="0"/>
          <w:numId w:val="714"/>
        </w:numPr>
        <w:spacing w:after="240" w:line="360" w:lineRule="exact"/>
      </w:pPr>
      <w:r>
        <w:rPr>
          <w:rFonts w:hint="eastAsia"/>
        </w:rPr>
        <w:t>现代西方社会中关于妇女角色的文化方面的变化，通过承认职业活动的价值，驱使妇女走入劳动力市场——这一现象甚至影响到那些可能会作出不同选择的妇女；</w:t>
      </w:r>
    </w:p>
    <w:p w:rsidR="00000000" w:rsidRDefault="004D2F83">
      <w:pPr>
        <w:numPr>
          <w:ilvl w:val="0"/>
          <w:numId w:val="714"/>
        </w:numPr>
        <w:spacing w:after="240" w:line="360" w:lineRule="exact"/>
      </w:pPr>
      <w:r>
        <w:rPr>
          <w:rFonts w:hint="eastAsia"/>
        </w:rPr>
        <w:t>同时，中等家庭如没有家中妇女的经济支持则难以为继。自</w:t>
      </w:r>
      <w:r>
        <w:t>1980</w:t>
      </w:r>
      <w:r>
        <w:rPr>
          <w:rFonts w:hint="eastAsia"/>
        </w:rPr>
        <w:t>年代以来贫困的家庭因消费多样化产生了新的需要，并且由于公共援助系统状况不稳定，而需承担子女和亲属的较高的教育费用和健康支出，从而加大了不同的压力；</w:t>
      </w:r>
    </w:p>
    <w:p w:rsidR="00000000" w:rsidRDefault="004D2F83">
      <w:pPr>
        <w:numPr>
          <w:ilvl w:val="0"/>
          <w:numId w:val="714"/>
        </w:numPr>
        <w:spacing w:after="240" w:line="360" w:lineRule="exact"/>
      </w:pPr>
      <w:r>
        <w:rPr>
          <w:rFonts w:hint="eastAsia"/>
        </w:rPr>
        <w:t>经济需要、离婚人数上升和女户主家庭的增多也迫使妇女从事有报酬活动；</w:t>
      </w:r>
    </w:p>
    <w:p w:rsidR="00000000" w:rsidRDefault="004D2F83">
      <w:pPr>
        <w:numPr>
          <w:ilvl w:val="0"/>
          <w:numId w:val="714"/>
        </w:numPr>
        <w:spacing w:after="240" w:line="360" w:lineRule="exact"/>
      </w:pPr>
      <w:r>
        <w:rPr>
          <w:rFonts w:hint="eastAsia"/>
        </w:rPr>
        <w:t>同时，由于工作的概念有了改进，一直从事家庭生产和其他无报酬活动的</w:t>
      </w:r>
      <w:r>
        <w:rPr>
          <w:rFonts w:hint="eastAsia"/>
        </w:rPr>
        <w:t>妇女也列入统计范围，因此增加了女性劳动力的统计数字；</w:t>
      </w:r>
    </w:p>
    <w:p w:rsidR="00000000" w:rsidRDefault="004D2F83">
      <w:pPr>
        <w:numPr>
          <w:ilvl w:val="0"/>
          <w:numId w:val="714"/>
        </w:numPr>
        <w:spacing w:after="240" w:line="360" w:lineRule="exact"/>
      </w:pPr>
      <w:r>
        <w:rPr>
          <w:rFonts w:hint="eastAsia"/>
        </w:rPr>
        <w:t>新的就业妇女群体现在由年龄较大和已婚妇女组成。但这种新的责任并没有使她们免去她们所承担的家庭责任和母性责任；</w:t>
      </w:r>
    </w:p>
    <w:p w:rsidR="00000000" w:rsidRDefault="004D2F83">
      <w:pPr>
        <w:numPr>
          <w:ilvl w:val="0"/>
          <w:numId w:val="714"/>
        </w:numPr>
        <w:spacing w:after="240" w:line="360" w:lineRule="exact"/>
      </w:pPr>
      <w:r>
        <w:rPr>
          <w:rFonts w:hint="eastAsia"/>
        </w:rPr>
        <w:t>相反，不论妇女的工作情况如何，她们都仍然要承担与家、子女和整个家庭相关的各种杂务工作；</w:t>
      </w:r>
    </w:p>
    <w:p w:rsidR="00000000" w:rsidRDefault="004D2F83">
      <w:pPr>
        <w:numPr>
          <w:ilvl w:val="0"/>
          <w:numId w:val="714"/>
        </w:numPr>
        <w:spacing w:after="240" w:line="360" w:lineRule="exact"/>
      </w:pPr>
      <w:r>
        <w:rPr>
          <w:rFonts w:hint="eastAsia"/>
        </w:rPr>
        <w:t>对大多数妇女来说，家务劳动与经济活动相重叠，尽管后者对于她们自身的生存和家庭的生存以及对于她们的自主和在家庭中的谈判能力具有非常重要的意义，但却是一个过于沉重的负担；以及</w:t>
      </w:r>
    </w:p>
    <w:p w:rsidR="00000000" w:rsidRDefault="004D2F83">
      <w:pPr>
        <w:numPr>
          <w:ilvl w:val="0"/>
          <w:numId w:val="714"/>
        </w:numPr>
        <w:spacing w:after="240" w:line="360" w:lineRule="exact"/>
      </w:pPr>
      <w:r>
        <w:rPr>
          <w:rFonts w:hint="eastAsia"/>
        </w:rPr>
        <w:t>使妇女在劳动力市场上处于次要的和受歧视地位的正是这一性别限定因素。</w:t>
      </w:r>
    </w:p>
    <w:p w:rsidR="00000000" w:rsidRDefault="004D2F83" w:rsidP="004D2F83">
      <w:pPr>
        <w:spacing w:after="240" w:line="360" w:lineRule="exact"/>
        <w:ind w:firstLineChars="200" w:firstLine="31680"/>
      </w:pPr>
      <w:r>
        <w:rPr>
          <w:rFonts w:hint="eastAsia"/>
        </w:rPr>
        <w:t>就业妇女历来集中在服</w:t>
      </w:r>
      <w:r>
        <w:rPr>
          <w:rFonts w:hint="eastAsia"/>
        </w:rPr>
        <w:t>务部门，她们在非正规的和没有保障的劳动力市场上的人数惊人，不是做家务劳动，就是干自营职业，或者从事无报酬的家庭活动。操持家务一直不被看作是经济活动，尽管大多数妇女为此终日忙碌。</w:t>
      </w:r>
    </w:p>
    <w:p w:rsidR="00000000" w:rsidRDefault="004D2F83" w:rsidP="004D2F83">
      <w:pPr>
        <w:spacing w:after="240" w:line="360" w:lineRule="exact"/>
        <w:ind w:firstLineChars="200" w:firstLine="31680"/>
      </w:pPr>
      <w:r>
        <w:rPr>
          <w:rFonts w:hint="eastAsia"/>
        </w:rPr>
        <w:t>在正规部门，法律至少在法律的层面上确保诸如产假和把孩子送进日托中心等重要的社会权利，就业妇女一般进入服务部门、公共行政部门和社会领域，包括从事与教书、保健和社会工作有关的活动。但无论她们从事什么工作，与其男性同事相比，就业妇女的地位不平等可以通过至少两个指标来评估：职业隔离，不管是横向的（通过向妇女提供范围狭窄的工作选择）还是纵向的</w:t>
      </w:r>
      <w:r>
        <w:rPr>
          <w:rFonts w:hint="eastAsia"/>
        </w:rPr>
        <w:t>（给她们担任高级职位设置障碍）；以及男女之间的工资不平等，无何在任何情况下都是如此，这一点本报告在前面已有阐述。</w:t>
      </w:r>
    </w:p>
    <w:p w:rsidR="00000000" w:rsidRDefault="004D2F83" w:rsidP="004D2F83">
      <w:pPr>
        <w:spacing w:after="240" w:line="360" w:lineRule="exact"/>
        <w:ind w:firstLineChars="200" w:firstLine="31680"/>
      </w:pPr>
      <w:r>
        <w:rPr>
          <w:rFonts w:hint="eastAsia"/>
        </w:rPr>
        <w:t>因此，糟糕的工作条件，还有较低的正规就业水平和社会保险缴纳额，以及加入工会的水平较低，从而导致谈判能力差，都可以被确定为在男性至上和歧视女性的劳动力市场上女性劳动力的特点。因此，不稳定的和脆弱的劳动力对世界范围内所产生的新的生产组织以及一连串的地区经济危机的不利影响更为敏感，这一点也不奇怪。目前妇女在诸如金融和银行机构等某些领域以及医务和地方行政官等一些受人尊敬的职业上有了新的就业机会和好的工作</w:t>
      </w:r>
      <w:r>
        <w:rPr>
          <w:rFonts w:hint="eastAsia"/>
        </w:rPr>
        <w:t>，指出这一点很重要，但同时也需看到，妇女可能因市场灵活性对男性劳动力产生的影响，也从一些传统的女性工作领地被排挤出来。就业妇女失去了在工业部门的工作并且在服务部门和整个非正规部门把她们的位置让给了男子。她们还失去了在行政管理、技术和科学等领域中的位置，而这些领域过去一直是安置妇女的地方。</w:t>
      </w:r>
    </w:p>
    <w:p w:rsidR="00000000" w:rsidRDefault="004D2F83" w:rsidP="004D2F83">
      <w:pPr>
        <w:spacing w:after="240" w:line="360" w:lineRule="exact"/>
        <w:ind w:firstLineChars="200" w:firstLine="31680"/>
        <w:rPr>
          <w:spacing w:val="4"/>
        </w:rPr>
      </w:pPr>
      <w:r>
        <w:rPr>
          <w:rFonts w:hint="eastAsia"/>
          <w:spacing w:val="4"/>
        </w:rPr>
        <w:t>由于新的生产结构和</w:t>
      </w:r>
      <w:r>
        <w:rPr>
          <w:spacing w:val="4"/>
        </w:rPr>
        <w:t>1990</w:t>
      </w:r>
      <w:r>
        <w:rPr>
          <w:rFonts w:hint="eastAsia"/>
          <w:spacing w:val="4"/>
        </w:rPr>
        <w:t>年代的经济危机对妇女产生影响，她们被排挤出了她们一直积极参与的部门和职业，致使她们从大型工业活动转向小型商业企业。从事非全日工作的就业妇女的人数增长也可能是同一过程的结果，尽管同样的事情也发生在男</w:t>
      </w:r>
      <w:r>
        <w:rPr>
          <w:rFonts w:hint="eastAsia"/>
          <w:spacing w:val="4"/>
        </w:rPr>
        <w:t>性劳动力身上。不过，至于女性劳动力的质量，分析的信息显示，如果说妇女的确做着最糟糕的工作，也没有迹象显示最不利的活动数量在增加。相反，女佣的数量基本上保持不变，尽管没有报酬的女性工作的比率下降了。关于这一点，女性劳动力的工作不稳定状况大概主要是因为失去了较好的工作的男性劳动者带来的压力，而不是对妇女不利的特殊变化的结果。另一方面，在所评价的所有情况下，考虑到至少在论点上确保劳动力市场上男女权利平等的现行立法，数据显示，在劳动力市场组成方面和妇女可得到的工作的质量方面，目前仍然在某种程度上存在着不平等的性别标</w:t>
      </w:r>
      <w:r>
        <w:rPr>
          <w:rFonts w:hint="eastAsia"/>
          <w:spacing w:val="4"/>
        </w:rPr>
        <w:t>准。</w:t>
      </w:r>
    </w:p>
    <w:p w:rsidR="00000000" w:rsidRDefault="004D2F83">
      <w:pPr>
        <w:spacing w:line="360" w:lineRule="exact"/>
        <w:jc w:val="center"/>
      </w:pPr>
      <w:r>
        <w:br w:type="page"/>
      </w:r>
    </w:p>
    <w:p w:rsidR="00000000" w:rsidRDefault="004D2F83">
      <w:pPr>
        <w:pStyle w:val="Heading3"/>
        <w:numPr>
          <w:ilvl w:val="0"/>
          <w:numId w:val="0"/>
        </w:numPr>
        <w:spacing w:before="0"/>
        <w:jc w:val="center"/>
        <w:rPr>
          <w:rFonts w:ascii="KaiTi_GB2312" w:eastAsia="KaiTi_GB2312"/>
          <w:b/>
          <w:bCs/>
          <w:u w:val="none"/>
        </w:rPr>
      </w:pPr>
      <w:bookmarkStart w:id="18" w:name="_Toc36367088"/>
      <w:r>
        <w:rPr>
          <w:rFonts w:ascii="KaiTi_GB2312" w:eastAsia="KaiTi_GB2312" w:hint="eastAsia"/>
          <w:b/>
          <w:bCs/>
          <w:u w:val="none"/>
        </w:rPr>
        <w:t>第</w:t>
      </w:r>
      <w:r>
        <w:rPr>
          <w:rFonts w:ascii="KaiTi_GB2312" w:eastAsia="KaiTi_GB2312" w:hint="eastAsia"/>
          <w:b/>
          <w:bCs/>
          <w:u w:val="none"/>
        </w:rPr>
        <w:t>12</w:t>
      </w:r>
      <w:r>
        <w:rPr>
          <w:rFonts w:ascii="KaiTi_GB2312" w:eastAsia="KaiTi_GB2312" w:hint="eastAsia"/>
          <w:b/>
          <w:bCs/>
          <w:u w:val="none"/>
        </w:rPr>
        <w:t>条</w:t>
      </w:r>
      <w:bookmarkEnd w:id="18"/>
    </w:p>
    <w:p w:rsidR="00000000" w:rsidRDefault="004D2F83">
      <w:pPr>
        <w:numPr>
          <w:ilvl w:val="0"/>
          <w:numId w:val="711"/>
        </w:numPr>
        <w:spacing w:after="240" w:line="360" w:lineRule="exact"/>
        <w:rPr>
          <w:rFonts w:ascii="KaiTi_GB2312" w:eastAsia="KaiTi_GB2312"/>
          <w:b/>
          <w:bCs/>
        </w:rPr>
      </w:pPr>
      <w:r>
        <w:rPr>
          <w:rFonts w:ascii="KaiTi_GB2312" w:eastAsia="KaiTi_GB2312" w:hint="eastAsia"/>
          <w:b/>
          <w:bCs/>
        </w:rPr>
        <w:t>缔约各国应采取一切适当措施以消除在保健方面对妇女的歧视，保证她们在男女平等的基础上取得各种保健服务，包括有关计划生育的保健服务。</w:t>
      </w:r>
    </w:p>
    <w:p w:rsidR="00000000" w:rsidRDefault="004D2F83">
      <w:pPr>
        <w:numPr>
          <w:ilvl w:val="0"/>
          <w:numId w:val="711"/>
        </w:numPr>
        <w:spacing w:after="240" w:line="360" w:lineRule="exact"/>
        <w:rPr>
          <w:rFonts w:ascii="KaiTi_GB2312" w:eastAsia="KaiTi_GB2312"/>
          <w:b/>
          <w:bCs/>
        </w:rPr>
      </w:pPr>
      <w:r>
        <w:rPr>
          <w:rFonts w:ascii="KaiTi_GB2312" w:eastAsia="KaiTi_GB2312" w:hint="eastAsia"/>
          <w:b/>
          <w:bCs/>
        </w:rPr>
        <w:t>尽管有本条第</w:t>
      </w:r>
      <w:r>
        <w:rPr>
          <w:rFonts w:ascii="KaiTi_GB2312" w:eastAsia="KaiTi_GB2312"/>
          <w:b/>
          <w:bCs/>
        </w:rPr>
        <w:t>1</w:t>
      </w:r>
      <w:r>
        <w:rPr>
          <w:rFonts w:ascii="KaiTi_GB2312" w:eastAsia="KaiTi_GB2312" w:hint="eastAsia"/>
          <w:b/>
          <w:bCs/>
        </w:rPr>
        <w:t>款的规定，缔约各国应保证为妇女提供有关怀孕、分娩和产后期间的适当服务，于必要时给予免费服务，并保证在怀孕和哺乳期间得到充分营养。</w:t>
      </w:r>
    </w:p>
    <w:p w:rsidR="00000000" w:rsidRDefault="004D2F83">
      <w:pPr>
        <w:spacing w:after="240" w:line="360" w:lineRule="exact"/>
        <w:rPr>
          <w:rFonts w:eastAsia="SimHei"/>
          <w:sz w:val="24"/>
        </w:rPr>
      </w:pPr>
      <w:r>
        <w:rPr>
          <w:rFonts w:eastAsia="SimHei" w:hint="eastAsia"/>
          <w:sz w:val="24"/>
        </w:rPr>
        <w:t>立法措施</w:t>
      </w:r>
    </w:p>
    <w:p w:rsidR="00000000" w:rsidRDefault="004D2F83" w:rsidP="004D2F83">
      <w:pPr>
        <w:spacing w:after="240" w:line="360" w:lineRule="exact"/>
        <w:ind w:firstLineChars="200" w:firstLine="31680"/>
      </w:pPr>
      <w:r>
        <w:rPr>
          <w:rFonts w:hint="eastAsia"/>
        </w:rPr>
        <w:t>宪法规定男女平等并为妇女怀孕、工作和孕产提供特殊保护。宪法规定“</w:t>
      </w:r>
      <w:r>
        <w:rPr>
          <w:rFonts w:ascii="KaiTi_GB2312" w:eastAsia="KaiTi_GB2312" w:hint="eastAsia"/>
        </w:rPr>
        <w:t>享有健康是每个人的权利和国家的义务，它通过社会和经济政策加以保障。这种政策旨在减少疾病和其他危险，并确保普遍平等地参与促进、保护和恢复健康的活动</w:t>
      </w:r>
      <w:r>
        <w:rPr>
          <w:rFonts w:ascii="KaiTi_GB2312" w:eastAsia="KaiTi_GB2312" w:hint="eastAsia"/>
        </w:rPr>
        <w:t>和享受其服务。”</w:t>
      </w:r>
      <w:r>
        <w:rPr>
          <w:rFonts w:hint="eastAsia"/>
        </w:rPr>
        <w:t>（第</w:t>
      </w:r>
      <w:r>
        <w:t>196</w:t>
      </w:r>
      <w:r>
        <w:rPr>
          <w:rFonts w:hint="eastAsia"/>
        </w:rPr>
        <w:t>条）。通过规定由国家保护家庭，第</w:t>
      </w:r>
      <w:r>
        <w:t>226</w:t>
      </w:r>
      <w:r>
        <w:rPr>
          <w:rFonts w:hint="eastAsia"/>
        </w:rPr>
        <w:t>条第</w:t>
      </w:r>
      <w:r>
        <w:t>7</w:t>
      </w:r>
      <w:r>
        <w:rPr>
          <w:rFonts w:hint="eastAsia"/>
        </w:rPr>
        <w:t>款规定了自由选择计划生育和国家有义务为行使此项权利提供教育和科学资源。</w:t>
      </w:r>
    </w:p>
    <w:p w:rsidR="00000000" w:rsidRDefault="004D2F83" w:rsidP="004D2F83">
      <w:pPr>
        <w:spacing w:after="240" w:line="360" w:lineRule="exact"/>
        <w:ind w:firstLineChars="200" w:firstLine="31680"/>
      </w:pPr>
      <w:r>
        <w:rPr>
          <w:rFonts w:hint="eastAsia"/>
        </w:rPr>
        <w:t>司法</w:t>
      </w:r>
      <w:r>
        <w:t>-</w:t>
      </w:r>
      <w:r>
        <w:rPr>
          <w:rFonts w:hint="eastAsia"/>
        </w:rPr>
        <w:t>制度方面的一大进步是确定了社会保障是旨在保障与健康、社会保障和福利有关的权利的一整套行动的一个组成部分，这三位一体的政策符合从社会政策角度看的健康新观念，并且符合各级保健服务普及、全面援助和社区参与对这些行动的社会监督等原则。</w:t>
      </w:r>
    </w:p>
    <w:p w:rsidR="00000000" w:rsidRDefault="004D2F83" w:rsidP="004D2F83">
      <w:pPr>
        <w:spacing w:after="240" w:line="360" w:lineRule="exact"/>
        <w:ind w:firstLineChars="200" w:firstLine="31680"/>
      </w:pPr>
      <w:r>
        <w:rPr>
          <w:rFonts w:hint="eastAsia"/>
        </w:rPr>
        <w:t>《卫生组织法》（</w:t>
      </w:r>
      <w:r>
        <w:t>1990</w:t>
      </w:r>
      <w:r>
        <w:rPr>
          <w:rFonts w:hint="eastAsia"/>
        </w:rPr>
        <w:t>年</w:t>
      </w:r>
      <w:r>
        <w:t>9</w:t>
      </w:r>
      <w:r>
        <w:rPr>
          <w:rFonts w:hint="eastAsia"/>
        </w:rPr>
        <w:t>月</w:t>
      </w:r>
      <w:r>
        <w:t>19</w:t>
      </w:r>
      <w:r>
        <w:rPr>
          <w:rFonts w:hint="eastAsia"/>
        </w:rPr>
        <w:t>日第</w:t>
      </w:r>
      <w:r>
        <w:t>8.080</w:t>
      </w:r>
      <w:r>
        <w:rPr>
          <w:rFonts w:hint="eastAsia"/>
        </w:rPr>
        <w:t>号法律和</w:t>
      </w:r>
      <w:r>
        <w:t>1990</w:t>
      </w:r>
      <w:r>
        <w:rPr>
          <w:rFonts w:hint="eastAsia"/>
        </w:rPr>
        <w:t>年</w:t>
      </w:r>
      <w:r>
        <w:t>12</w:t>
      </w:r>
      <w:r>
        <w:rPr>
          <w:rFonts w:hint="eastAsia"/>
        </w:rPr>
        <w:t>月</w:t>
      </w:r>
      <w:r>
        <w:t>28</w:t>
      </w:r>
      <w:r>
        <w:rPr>
          <w:rFonts w:hint="eastAsia"/>
        </w:rPr>
        <w:t>日第</w:t>
      </w:r>
      <w:r>
        <w:t>8.142</w:t>
      </w:r>
      <w:r>
        <w:rPr>
          <w:rFonts w:hint="eastAsia"/>
        </w:rPr>
        <w:t>号法律）通过重申已经确定的原则和明确一些准则使</w:t>
      </w:r>
      <w:r>
        <w:rPr>
          <w:rFonts w:hint="eastAsia"/>
        </w:rPr>
        <w:t>得宪法的规定得以具体化，制订的准则如：财政方面团结一致；以市政当局为重点的权力下放；不带任何形式的偏见或特权的平等援助；知情权；维护人们在保护其身心健康方面的自主性。这些法律还成立了部门间委员会来拟订与保健有关的政策和方案，实施这些政策和方案将包括单一保健体系未涵盖的领域。</w:t>
      </w:r>
      <w:r>
        <w:t>1993</w:t>
      </w:r>
      <w:r>
        <w:rPr>
          <w:rFonts w:hint="eastAsia"/>
        </w:rPr>
        <w:t>年</w:t>
      </w:r>
      <w:r>
        <w:t>2</w:t>
      </w:r>
      <w:r>
        <w:rPr>
          <w:rFonts w:hint="eastAsia"/>
        </w:rPr>
        <w:t>月</w:t>
      </w:r>
      <w:r>
        <w:t>4</w:t>
      </w:r>
      <w:r>
        <w:rPr>
          <w:rFonts w:hint="eastAsia"/>
        </w:rPr>
        <w:t>日全国卫生委员会下发的第</w:t>
      </w:r>
      <w:r>
        <w:t>39</w:t>
      </w:r>
      <w:r>
        <w:rPr>
          <w:rFonts w:hint="eastAsia"/>
        </w:rPr>
        <w:t>号决议成立了妇女保健部门间委员会。</w:t>
      </w:r>
    </w:p>
    <w:p w:rsidR="00000000" w:rsidRDefault="004D2F83" w:rsidP="004D2F83">
      <w:pPr>
        <w:spacing w:after="240" w:line="360" w:lineRule="exact"/>
        <w:ind w:firstLineChars="200" w:firstLine="31680"/>
      </w:pPr>
      <w:r>
        <w:rPr>
          <w:rFonts w:hint="eastAsia"/>
        </w:rPr>
        <w:t>基本操作标准和好几项其他管理裁定以及卫生部颁发的技术标准，还有中央政府下属的全国卫生委员会的决议，都对单一保健体系的管理作了补充。保健政策的实施是各州、市和联</w:t>
      </w:r>
      <w:r>
        <w:rPr>
          <w:rFonts w:hint="eastAsia"/>
        </w:rPr>
        <w:t>邦区的共同责任，它们可以自由管理自己管辖范围内的系统。因此，在州市两级，既使联邦没有作出有关规定，也并不妨碍根据联邦立法的原则制订具体的规则。公民社会参与单一保健体系的实施和管理，这一过程通过参加每四年召开一次的国家保健会议和在国家、州和市卫生委员会享有平等代表权来得到保障。</w:t>
      </w:r>
    </w:p>
    <w:p w:rsidR="00000000" w:rsidRDefault="004D2F83" w:rsidP="004D2F83">
      <w:pPr>
        <w:spacing w:after="240" w:line="360" w:lineRule="exact"/>
        <w:ind w:firstLineChars="200" w:firstLine="31680"/>
        <w:rPr>
          <w:rFonts w:hint="eastAsia"/>
        </w:rPr>
      </w:pPr>
      <w:r>
        <w:rPr>
          <w:rFonts w:hint="eastAsia"/>
        </w:rPr>
        <w:t>《联邦宪法》第</w:t>
      </w:r>
      <w:r>
        <w:t>199</w:t>
      </w:r>
      <w:r>
        <w:rPr>
          <w:rFonts w:hint="eastAsia"/>
        </w:rPr>
        <w:t>条规定，保健援助对私营企业开放。该事项由第</w:t>
      </w:r>
      <w:r>
        <w:t>9656/98</w:t>
      </w:r>
      <w:r>
        <w:rPr>
          <w:rFonts w:hint="eastAsia"/>
        </w:rPr>
        <w:t>号法律做出规定，该法律规定，以前若未订立合同，则从健康保险中排除生育援助以及生育保健服务，例如人工授精。新生儿的保险期只是出生后头三十（</w:t>
      </w:r>
      <w:r>
        <w:rPr>
          <w:rFonts w:hint="eastAsia"/>
        </w:rPr>
        <w:t>30</w:t>
      </w:r>
      <w:r>
        <w:rPr>
          <w:rFonts w:hint="eastAsia"/>
        </w:rPr>
        <w:t>）个月，包括新生儿</w:t>
      </w:r>
      <w:r>
        <w:rPr>
          <w:rFonts w:hint="eastAsia"/>
        </w:rPr>
        <w:t>特护，如果新生儿作为受抚养人被纳入健康保险计划，则可继续受保，而健康保险公司不得要求说明以前存在疾病或受伤的情况或为儿童规定宽限期。这一保障是一个进步，因为在该法律颁布之前，新生儿没有健康保险，除非在其出生前已经签定了合同。新的法律成立了一个由卫生部工作人员组成的补充全国卫生委员会和一个由包括消费者维权组织在内的若干部门的代表组成的卫生委员会，</w:t>
      </w:r>
      <w:r>
        <w:rPr>
          <w:rStyle w:val="FootnoteReference"/>
        </w:rPr>
        <w:footnoteReference w:customMarkFollows="1" w:id="105"/>
        <w:t>105</w:t>
      </w:r>
      <w:r>
        <w:rPr>
          <w:rFonts w:hint="eastAsia"/>
        </w:rPr>
        <w:t>后者是一个咨询性质的常设机构。</w:t>
      </w:r>
    </w:p>
    <w:p w:rsidR="00000000" w:rsidRDefault="004D2F83" w:rsidP="004D2F83">
      <w:pPr>
        <w:spacing w:after="240" w:line="360" w:lineRule="exact"/>
        <w:ind w:firstLineChars="200" w:firstLine="31680"/>
      </w:pPr>
      <w:r>
        <w:t>1998</w:t>
      </w:r>
      <w:r>
        <w:rPr>
          <w:rFonts w:hint="eastAsia"/>
        </w:rPr>
        <w:t>年</w:t>
      </w:r>
      <w:r>
        <w:t>FIBGE</w:t>
      </w:r>
      <w:r>
        <w:rPr>
          <w:rFonts w:hint="eastAsia"/>
        </w:rPr>
        <w:t>全国住户抽样调查的补充健康调查显示了私营健康保险对民众的重要性及政府对它的管理。大约</w:t>
      </w:r>
      <w:r>
        <w:t>3 900</w:t>
      </w:r>
      <w:r>
        <w:rPr>
          <w:rFonts w:hint="eastAsia"/>
        </w:rPr>
        <w:t>万巴西人，特别</w:t>
      </w:r>
      <w:r>
        <w:rPr>
          <w:rFonts w:hint="eastAsia"/>
        </w:rPr>
        <w:t>是城市居民，参加了此类保险，保险范围包括门诊和住院治疗以及诊断和治疗方面的化验和检查。参加健康保险的人是家庭收入高、进入劳动力市场的人，并且大多数是一般说来保健条件良好的妇女。</w:t>
      </w:r>
    </w:p>
    <w:p w:rsidR="00000000" w:rsidRDefault="004D2F83" w:rsidP="004D2F83">
      <w:pPr>
        <w:spacing w:after="240" w:line="360" w:lineRule="exact"/>
        <w:ind w:firstLineChars="200" w:firstLine="31680"/>
      </w:pPr>
      <w:r>
        <w:rPr>
          <w:rFonts w:hint="eastAsia"/>
        </w:rPr>
        <w:t>《联邦宪法》第</w:t>
      </w:r>
      <w:r>
        <w:t>226</w:t>
      </w:r>
      <w:r>
        <w:rPr>
          <w:rFonts w:hint="eastAsia"/>
        </w:rPr>
        <w:t>条第</w:t>
      </w:r>
      <w:r>
        <w:t>7</w:t>
      </w:r>
      <w:r>
        <w:rPr>
          <w:rFonts w:hint="eastAsia"/>
        </w:rPr>
        <w:t>款规定每个公民都享有计划生育的权利，第</w:t>
      </w:r>
      <w:r>
        <w:t>9263/96</w:t>
      </w:r>
      <w:r>
        <w:rPr>
          <w:rFonts w:hint="eastAsia"/>
        </w:rPr>
        <w:t>号法律都此做出具体规定，该法律把计划生育定义为“旨在控制生育的一系列行动，确保妇女、男子或夫妻在开始生育子女、节制生育或生育更多子女方面享有平等权利”（第</w:t>
      </w:r>
      <w:r>
        <w:rPr>
          <w:rFonts w:hint="eastAsia"/>
        </w:rPr>
        <w:t>2</w:t>
      </w:r>
      <w:r>
        <w:rPr>
          <w:rFonts w:hint="eastAsia"/>
        </w:rPr>
        <w:t>条）。该法律还规定在获得关于生育控制的信息、可利用的方法和技术（第</w:t>
      </w:r>
      <w:r>
        <w:t>4</w:t>
      </w:r>
      <w:r>
        <w:rPr>
          <w:rFonts w:hint="eastAsia"/>
        </w:rPr>
        <w:t>条）方面的平等机会，以及通过预防</w:t>
      </w:r>
      <w:r>
        <w:rPr>
          <w:rFonts w:hint="eastAsia"/>
        </w:rPr>
        <w:t>和教育行动向人们提供指导。批准这部法律的立法程序既缓慢又艰难，特别是在将绝育手术列为避孕方法方面。</w:t>
      </w:r>
      <w:r>
        <w:t>1996</w:t>
      </w:r>
      <w:r>
        <w:rPr>
          <w:rFonts w:hint="eastAsia"/>
        </w:rPr>
        <w:t>年，第</w:t>
      </w:r>
      <w:r>
        <w:t>9263</w:t>
      </w:r>
      <w:r>
        <w:rPr>
          <w:rFonts w:hint="eastAsia"/>
        </w:rPr>
        <w:t>号法律被批准，但遭到总统否决，</w:t>
      </w:r>
      <w:r>
        <w:rPr>
          <w:rStyle w:val="FootnoteReference"/>
        </w:rPr>
        <w:footnoteReference w:customMarkFollows="1" w:id="106"/>
        <w:t>106</w:t>
      </w:r>
      <w:r>
        <w:t>1997</w:t>
      </w:r>
      <w:r>
        <w:rPr>
          <w:rFonts w:hint="eastAsia"/>
        </w:rPr>
        <w:t>年，在议会调查委员会完成工作五年后，该法律终于颁布而未遭到否决。法律第</w:t>
      </w:r>
      <w:r>
        <w:rPr>
          <w:rFonts w:hint="eastAsia"/>
        </w:rPr>
        <w:t>3</w:t>
      </w:r>
      <w:r>
        <w:rPr>
          <w:rFonts w:hint="eastAsia"/>
        </w:rPr>
        <w:t>条规定的一系列行动包括怀孕和避孕帮助、产前、分娩和产后护理、新生儿援助、控制性传播疾病、以及控制和预防子宫癌、乳腺癌和阴茎癌。在第</w:t>
      </w:r>
      <w:r>
        <w:t>10</w:t>
      </w:r>
      <w:r>
        <w:rPr>
          <w:rFonts w:hint="eastAsia"/>
        </w:rPr>
        <w:t>条中，该法律规定了自愿做绝育手术的条件：“一、对于有完全的法律能力并且年龄超过二十五岁或至少有两个活着的子女的男子和妇女，如果在表达绝育的愿望</w:t>
      </w:r>
      <w:r>
        <w:rPr>
          <w:rFonts w:hint="eastAsia"/>
        </w:rPr>
        <w:t>至做绝育手术之时至少已有六十天。在这六十天的期限内，将向当事人提供获得生育控制服务的机会，包括由一个多学科小组提供咨询意见，其目的是不鼓励过早做绝育手术”。对完全不具备法律能力的人，只有在按照法律规定得到法院授权的情况下才能对其施行绝育手术。一个有争议的法律问题是，在夫妻共同生活的情况下，绝育手术需要得到夫妻双方的同意。这一法律规定与个人的自决原则相矛盾，并且，鉴于两性关系中仍然普遍存在不平等现象，可能导致对妇女的限制，使其不能对自己的身体自由做出决定。法律规定每一例绝育手术都必须报告，并且禁止为录用或长期</w:t>
      </w:r>
      <w:r>
        <w:rPr>
          <w:rFonts w:hint="eastAsia"/>
        </w:rPr>
        <w:t>工作之目而要求提供绝育证明。该法律还重申第</w:t>
      </w:r>
      <w:r>
        <w:t>9029/95</w:t>
      </w:r>
      <w:r>
        <w:rPr>
          <w:rFonts w:hint="eastAsia"/>
        </w:rPr>
        <w:t>号法律的规定，并且规定了将要受到处罚的情况：违反法律规定施行绝育手术；医生没有将施行的绝育手术通知主管卫生当局；以欺骗的手段诱使或怂恿他人做绝育手术；为录用或长期工作之目的要求做怀孕检查。对违法者的处罚也适用于经理主管人员或其他责任人以及发生违法行为的机构。</w:t>
      </w:r>
    </w:p>
    <w:p w:rsidR="00000000" w:rsidRDefault="004D2F83" w:rsidP="004D2F83">
      <w:pPr>
        <w:spacing w:after="240" w:line="360" w:lineRule="exact"/>
        <w:ind w:firstLineChars="200" w:firstLine="31680"/>
      </w:pPr>
      <w:r>
        <w:rPr>
          <w:rFonts w:hint="eastAsia"/>
        </w:rPr>
        <w:t>第</w:t>
      </w:r>
      <w:r>
        <w:t>9797/99</w:t>
      </w:r>
      <w:r>
        <w:rPr>
          <w:rFonts w:hint="eastAsia"/>
        </w:rPr>
        <w:t>号法律规定，在癌症治疗导致损伤的情况下，单一保健体系必须施行乳房修复手术，并且承认修复手术是妇女的一个健康问题，而不是单纯的整容手术。</w:t>
      </w:r>
      <w:r>
        <w:t>2001</w:t>
      </w:r>
      <w:r>
        <w:rPr>
          <w:rFonts w:hint="eastAsia"/>
        </w:rPr>
        <w:t>年</w:t>
      </w:r>
      <w:r>
        <w:t>5</w:t>
      </w:r>
      <w:r>
        <w:rPr>
          <w:rFonts w:hint="eastAsia"/>
        </w:rPr>
        <w:t>月</w:t>
      </w:r>
      <w:r>
        <w:t>15</w:t>
      </w:r>
      <w:r>
        <w:rPr>
          <w:rFonts w:hint="eastAsia"/>
        </w:rPr>
        <w:t>日第</w:t>
      </w:r>
      <w:r>
        <w:t>10.223</w:t>
      </w:r>
      <w:r>
        <w:rPr>
          <w:rFonts w:hint="eastAsia"/>
        </w:rPr>
        <w:t>号法律规定了</w:t>
      </w:r>
      <w:r>
        <w:rPr>
          <w:rFonts w:hint="eastAsia"/>
        </w:rPr>
        <w:t>私营健康保险公司也有同样的义务。</w:t>
      </w:r>
    </w:p>
    <w:p w:rsidR="00000000" w:rsidRDefault="004D2F83" w:rsidP="004D2F83">
      <w:pPr>
        <w:spacing w:after="240" w:line="360" w:lineRule="exact"/>
        <w:ind w:firstLineChars="200" w:firstLine="31680"/>
      </w:pPr>
      <w:r>
        <w:rPr>
          <w:rFonts w:hint="eastAsia"/>
        </w:rPr>
        <w:t>在妇女健康方面值得强调的另一点是堕胎问题。在《刑法典》中堕胎被定性为犯罪，该法规定只有两种情况可以免于处罚：在没有其他办法来挽救妇女的生命时；和怀孕系强奸的结果。目前，有</w:t>
      </w:r>
      <w:r>
        <w:t>14</w:t>
      </w:r>
      <w:r>
        <w:rPr>
          <w:rFonts w:hint="eastAsia"/>
        </w:rPr>
        <w:t>项关于妊娠终止的法案正在接受国民议会的审查。这些法案是多样化的，并且提出了在上述情况下由单一保健体系进行人工堕胎的具体规定：将法律规定的帮助扩大到胚胎畸形的情况；在妇女自愿的基础上并在怀孕期适当的阶段终止妊娠；废除卫生部规定由单一保健体系施行堕胎手术的技术标准。</w:t>
      </w:r>
    </w:p>
    <w:p w:rsidR="00000000" w:rsidRDefault="004D2F83" w:rsidP="004D2F83">
      <w:pPr>
        <w:spacing w:after="240" w:line="360" w:lineRule="exact"/>
        <w:ind w:firstLineChars="200" w:firstLine="31680"/>
      </w:pPr>
      <w:r>
        <w:rPr>
          <w:rFonts w:hint="eastAsia"/>
        </w:rPr>
        <w:t>没有全国性的成文法对生育援助及其对法律各</w:t>
      </w:r>
      <w:r>
        <w:rPr>
          <w:rFonts w:hint="eastAsia"/>
        </w:rPr>
        <w:t>个方面的影响做出规定。只有联邦医学委员会第</w:t>
      </w:r>
      <w:r>
        <w:t>1</w:t>
      </w:r>
      <w:r>
        <w:rPr>
          <w:rFonts w:hint="eastAsia"/>
        </w:rPr>
        <w:t>.</w:t>
      </w:r>
      <w:r>
        <w:t>358/92</w:t>
      </w:r>
      <w:r>
        <w:rPr>
          <w:rFonts w:hint="eastAsia"/>
        </w:rPr>
        <w:t>号决议和《涉及人类的研究的道德准则》（全国卫生委员会第</w:t>
      </w:r>
      <w:r>
        <w:t>196/96</w:t>
      </w:r>
      <w:r>
        <w:rPr>
          <w:rFonts w:hint="eastAsia"/>
        </w:rPr>
        <w:t>号决议）分别对道德和研究方面做出了规定。国民议会正在审议与这一主题有关的两项法案。没有联邦的管理和检查，可能给妇女的健康带来问题，因此有必要实施管理。</w:t>
      </w:r>
    </w:p>
    <w:p w:rsidR="00000000" w:rsidRDefault="004D2F83">
      <w:pPr>
        <w:spacing w:after="240" w:line="360" w:lineRule="exact"/>
        <w:rPr>
          <w:rFonts w:eastAsia="SimHei"/>
          <w:sz w:val="24"/>
        </w:rPr>
      </w:pPr>
      <w:r>
        <w:rPr>
          <w:rFonts w:eastAsia="SimHei" w:hint="eastAsia"/>
          <w:sz w:val="24"/>
        </w:rPr>
        <w:t>州级宪法</w:t>
      </w:r>
    </w:p>
    <w:p w:rsidR="00000000" w:rsidRDefault="004D2F83" w:rsidP="004D2F83">
      <w:pPr>
        <w:spacing w:after="240" w:line="360" w:lineRule="exact"/>
        <w:ind w:firstLineChars="200" w:firstLine="31680"/>
      </w:pPr>
      <w:r>
        <w:rPr>
          <w:rFonts w:hint="eastAsia"/>
        </w:rPr>
        <w:t>州级宪法对保健体系做了泛泛的规定，并且重申了宪法的规定，根据宪法规定，健康是“一项普遍的权利”。一些州的宪法保障对妇女的健康提供充分援助，但州代表们主要关心的问题是计划生育问题，因为有报道说妇女大量施行绝育手术。</w:t>
      </w:r>
    </w:p>
    <w:tbl>
      <w:tblPr>
        <w:tblW w:w="4855" w:type="pct"/>
        <w:tblInd w:w="153"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830"/>
        <w:gridCol w:w="4845"/>
      </w:tblGrid>
      <w:tr w:rsidR="00000000">
        <w:tc>
          <w:tcPr>
            <w:tcW w:w="2496" w:type="pct"/>
            <w:tcBorders>
              <w:top w:val="single" w:sz="4" w:space="0" w:color="auto"/>
              <w:left w:val="single" w:sz="4" w:space="0" w:color="auto"/>
              <w:bottom w:val="single" w:sz="4" w:space="0" w:color="auto"/>
              <w:right w:val="single" w:sz="4" w:space="0" w:color="auto"/>
            </w:tcBorders>
          </w:tcPr>
          <w:p w:rsidR="00000000" w:rsidRDefault="004D2F83">
            <w:pPr>
              <w:spacing w:line="360" w:lineRule="exact"/>
              <w:rPr>
                <w:rFonts w:eastAsia="SimHei"/>
              </w:rPr>
            </w:pPr>
            <w:r>
              <w:rPr>
                <w:rFonts w:eastAsia="SimHei" w:hint="eastAsia"/>
              </w:rPr>
              <w:t>州级宪法涵盖</w:t>
            </w:r>
            <w:r>
              <w:rPr>
                <w:rFonts w:eastAsia="SimHei" w:hint="eastAsia"/>
              </w:rPr>
              <w:t>的主题</w:t>
            </w:r>
          </w:p>
          <w:p w:rsidR="00000000" w:rsidRDefault="004D2F83">
            <w:pPr>
              <w:spacing w:line="360" w:lineRule="exact"/>
            </w:pPr>
            <w:r>
              <w:rPr>
                <w:rFonts w:hint="eastAsia"/>
              </w:rPr>
              <w:t>·为妇女健康提供充分援助。</w:t>
            </w:r>
          </w:p>
          <w:p w:rsidR="00000000" w:rsidRDefault="004D2F83">
            <w:pPr>
              <w:spacing w:line="360" w:lineRule="exact"/>
            </w:pPr>
          </w:p>
          <w:p w:rsidR="00000000" w:rsidRDefault="004D2F83">
            <w:pPr>
              <w:spacing w:line="360" w:lineRule="exact"/>
            </w:pPr>
          </w:p>
          <w:p w:rsidR="00000000" w:rsidRDefault="004D2F83">
            <w:pPr>
              <w:spacing w:line="360" w:lineRule="exact"/>
            </w:pPr>
            <w:r>
              <w:rPr>
                <w:rFonts w:hint="eastAsia"/>
              </w:rPr>
              <w:t>·为儿童和青少年健康提供充分援助。</w:t>
            </w:r>
          </w:p>
          <w:p w:rsidR="00000000" w:rsidRDefault="004D2F83">
            <w:pPr>
              <w:pStyle w:val="Date"/>
              <w:spacing w:line="360" w:lineRule="exact"/>
            </w:pPr>
          </w:p>
          <w:p w:rsidR="00000000" w:rsidRDefault="004D2F83">
            <w:pPr>
              <w:spacing w:line="360" w:lineRule="exact"/>
            </w:pPr>
            <w:r>
              <w:rPr>
                <w:rFonts w:hint="eastAsia"/>
              </w:rPr>
              <w:t>·为乳腺癌和子宫癌检查免费提供医疗检查。</w:t>
            </w:r>
          </w:p>
          <w:p w:rsidR="00000000" w:rsidRDefault="004D2F83">
            <w:pPr>
              <w:spacing w:line="360" w:lineRule="exact"/>
            </w:pPr>
          </w:p>
          <w:p w:rsidR="00000000" w:rsidRDefault="004D2F83">
            <w:pPr>
              <w:spacing w:line="360" w:lineRule="exact"/>
            </w:pPr>
            <w:r>
              <w:rPr>
                <w:rFonts w:hint="eastAsia"/>
              </w:rPr>
              <w:t>·计划生育</w:t>
            </w:r>
            <w:r>
              <w:t>/</w:t>
            </w:r>
            <w:r>
              <w:rPr>
                <w:rFonts w:hint="eastAsia"/>
              </w:rPr>
              <w:t>可以不受胁迫地选择各种方式。</w:t>
            </w:r>
          </w:p>
          <w:p w:rsidR="00000000" w:rsidRDefault="004D2F83">
            <w:pPr>
              <w:spacing w:line="360" w:lineRule="exact"/>
            </w:pPr>
          </w:p>
          <w:p w:rsidR="00000000" w:rsidRDefault="004D2F83">
            <w:pPr>
              <w:spacing w:line="360" w:lineRule="exact"/>
            </w:pPr>
          </w:p>
          <w:p w:rsidR="00000000" w:rsidRDefault="004D2F83">
            <w:pPr>
              <w:spacing w:line="360" w:lineRule="exact"/>
            </w:pPr>
          </w:p>
          <w:p w:rsidR="00000000" w:rsidRDefault="004D2F83">
            <w:pPr>
              <w:spacing w:line="360" w:lineRule="exact"/>
            </w:pPr>
          </w:p>
          <w:p w:rsidR="00000000" w:rsidRDefault="004D2F83">
            <w:pPr>
              <w:spacing w:line="360" w:lineRule="exact"/>
            </w:pPr>
          </w:p>
          <w:p w:rsidR="00000000" w:rsidRDefault="004D2F83">
            <w:pPr>
              <w:spacing w:line="360" w:lineRule="exact"/>
            </w:pPr>
            <w:r>
              <w:rPr>
                <w:rFonts w:hint="eastAsia"/>
              </w:rPr>
              <w:t>·对家庭规模的选择。</w:t>
            </w:r>
          </w:p>
          <w:p w:rsidR="00000000" w:rsidRDefault="004D2F83">
            <w:pPr>
              <w:spacing w:line="360" w:lineRule="exact"/>
            </w:pPr>
          </w:p>
          <w:p w:rsidR="00000000" w:rsidRDefault="004D2F83">
            <w:pPr>
              <w:spacing w:line="360" w:lineRule="exact"/>
            </w:pPr>
            <w:r>
              <w:rPr>
                <w:rFonts w:hint="eastAsia"/>
              </w:rPr>
              <w:t>·禁止要求怀孕检查和绝育证明的规定。</w:t>
            </w:r>
          </w:p>
          <w:p w:rsidR="00000000" w:rsidRDefault="004D2F83">
            <w:pPr>
              <w:spacing w:line="360" w:lineRule="exact"/>
            </w:pPr>
          </w:p>
          <w:p w:rsidR="00000000" w:rsidRDefault="004D2F83">
            <w:pPr>
              <w:spacing w:line="360" w:lineRule="exact"/>
            </w:pPr>
            <w:r>
              <w:rPr>
                <w:rFonts w:hint="eastAsia"/>
              </w:rPr>
              <w:t>·法律保障的堕胎。</w:t>
            </w:r>
          </w:p>
          <w:p w:rsidR="00000000" w:rsidRDefault="004D2F83">
            <w:pPr>
              <w:spacing w:line="360" w:lineRule="exact"/>
            </w:pPr>
          </w:p>
          <w:p w:rsidR="00000000" w:rsidRDefault="004D2F83">
            <w:pPr>
              <w:spacing w:line="360" w:lineRule="exact"/>
            </w:pPr>
          </w:p>
          <w:p w:rsidR="00000000" w:rsidRDefault="004D2F83">
            <w:pPr>
              <w:spacing w:line="360" w:lineRule="exact"/>
            </w:pPr>
            <w:r>
              <w:rPr>
                <w:rFonts w:hint="eastAsia"/>
              </w:rPr>
              <w:t>·不被认可的人工流产。</w:t>
            </w:r>
          </w:p>
          <w:p w:rsidR="00000000" w:rsidRDefault="004D2F83">
            <w:pPr>
              <w:spacing w:line="360" w:lineRule="exact"/>
            </w:pPr>
          </w:p>
          <w:p w:rsidR="00000000" w:rsidRDefault="004D2F83">
            <w:pPr>
              <w:spacing w:line="360" w:lineRule="exact"/>
            </w:pPr>
            <w:r>
              <w:rPr>
                <w:rFonts w:hint="eastAsia"/>
              </w:rPr>
              <w:t>·禁止涉及药物和避孕方法的有害人体健康的实验。</w:t>
            </w:r>
          </w:p>
          <w:p w:rsidR="00000000" w:rsidRDefault="004D2F83">
            <w:pPr>
              <w:spacing w:line="360" w:lineRule="exact"/>
            </w:pPr>
          </w:p>
          <w:p w:rsidR="00000000" w:rsidRDefault="004D2F83">
            <w:pPr>
              <w:spacing w:line="360" w:lineRule="exact"/>
            </w:pPr>
            <w:r>
              <w:rPr>
                <w:rFonts w:hint="eastAsia"/>
              </w:rPr>
              <w:t>·性咨询服务。</w:t>
            </w:r>
          </w:p>
        </w:tc>
        <w:tc>
          <w:tcPr>
            <w:tcW w:w="2504" w:type="pct"/>
            <w:tcBorders>
              <w:top w:val="single" w:sz="4" w:space="0" w:color="auto"/>
              <w:left w:val="single" w:sz="4" w:space="0" w:color="auto"/>
              <w:bottom w:val="single" w:sz="4" w:space="0" w:color="auto"/>
              <w:right w:val="single" w:sz="4" w:space="0" w:color="auto"/>
            </w:tcBorders>
          </w:tcPr>
          <w:p w:rsidR="00000000" w:rsidRDefault="004D2F83">
            <w:pPr>
              <w:spacing w:line="360" w:lineRule="exact"/>
            </w:pPr>
            <w:r>
              <w:rPr>
                <w:rFonts w:hint="eastAsia"/>
              </w:rPr>
              <w:t>巴西各州</w:t>
            </w:r>
          </w:p>
          <w:p w:rsidR="00000000" w:rsidRDefault="004D2F83">
            <w:pPr>
              <w:spacing w:line="360" w:lineRule="exact"/>
              <w:rPr>
                <w:rFonts w:hint="eastAsia"/>
              </w:rPr>
            </w:pPr>
            <w:r>
              <w:rPr>
                <w:rFonts w:hint="eastAsia"/>
              </w:rPr>
              <w:t>·巴伊亚、塞阿拉、戈亚斯、南马托格罗索、巴拉那、里约热内卢、圣保罗和托坎廷斯</w:t>
            </w:r>
          </w:p>
          <w:p w:rsidR="00000000" w:rsidRDefault="004D2F83">
            <w:pPr>
              <w:spacing w:line="360" w:lineRule="exact"/>
            </w:pPr>
          </w:p>
          <w:p w:rsidR="00000000" w:rsidRDefault="004D2F83">
            <w:pPr>
              <w:spacing w:line="360" w:lineRule="exact"/>
            </w:pPr>
            <w:r>
              <w:rPr>
                <w:rFonts w:hint="eastAsia"/>
              </w:rPr>
              <w:t>·阿克里、皮奥伊和朗多尼亚</w:t>
            </w:r>
          </w:p>
          <w:p w:rsidR="00000000" w:rsidRDefault="004D2F83">
            <w:pPr>
              <w:spacing w:line="360" w:lineRule="exact"/>
            </w:pPr>
          </w:p>
          <w:p w:rsidR="00000000" w:rsidRDefault="004D2F83">
            <w:pPr>
              <w:spacing w:line="360" w:lineRule="exact"/>
            </w:pPr>
            <w:r>
              <w:rPr>
                <w:rFonts w:hint="eastAsia"/>
              </w:rPr>
              <w:t>·伯南布哥和托坎廷斯</w:t>
            </w:r>
          </w:p>
          <w:p w:rsidR="00000000" w:rsidRDefault="004D2F83">
            <w:pPr>
              <w:spacing w:line="360" w:lineRule="exact"/>
            </w:pPr>
          </w:p>
          <w:p w:rsidR="00000000" w:rsidRDefault="004D2F83">
            <w:pPr>
              <w:spacing w:line="360" w:lineRule="exact"/>
            </w:pPr>
            <w:r>
              <w:rPr>
                <w:rFonts w:hint="eastAsia"/>
              </w:rPr>
              <w:t>阿马帕、亚马孙</w:t>
            </w:r>
            <w:r>
              <w:rPr>
                <w:rFonts w:hint="eastAsia"/>
              </w:rPr>
              <w:t>、巴伊亚、圣坎斯皮里托、戈亚斯、马拉尼昂、南马托格罗索、米纳斯吉拉斯、帕拉伊巴、巴拉、巴拉那、伯南布哥、里约热内卢、北里约格朗德、南里越格朗德、罗赖马、圣保罗、塞尔希培和托坎廷斯</w:t>
            </w:r>
          </w:p>
          <w:p w:rsidR="00000000" w:rsidRDefault="004D2F83">
            <w:pPr>
              <w:spacing w:line="360" w:lineRule="exact"/>
            </w:pPr>
          </w:p>
          <w:p w:rsidR="00000000" w:rsidRDefault="004D2F83">
            <w:pPr>
              <w:spacing w:line="360" w:lineRule="exact"/>
            </w:pPr>
            <w:r>
              <w:rPr>
                <w:rFonts w:hint="eastAsia"/>
              </w:rPr>
              <w:t>·皮奥伊</w:t>
            </w:r>
          </w:p>
          <w:p w:rsidR="00000000" w:rsidRDefault="004D2F83">
            <w:pPr>
              <w:spacing w:line="360" w:lineRule="exact"/>
            </w:pPr>
          </w:p>
          <w:p w:rsidR="00000000" w:rsidRDefault="004D2F83">
            <w:pPr>
              <w:spacing w:line="360" w:lineRule="exact"/>
            </w:pPr>
            <w:r>
              <w:rPr>
                <w:rFonts w:hint="eastAsia"/>
              </w:rPr>
              <w:t>·阿马帕、巴伊亚和里约热内卢</w:t>
            </w:r>
          </w:p>
          <w:p w:rsidR="00000000" w:rsidRDefault="004D2F83">
            <w:pPr>
              <w:spacing w:line="360" w:lineRule="exact"/>
            </w:pPr>
          </w:p>
          <w:p w:rsidR="00000000" w:rsidRDefault="004D2F83" w:rsidP="004D2F83">
            <w:pPr>
              <w:spacing w:line="360" w:lineRule="exact"/>
              <w:ind w:left="31680" w:hangingChars="84" w:firstLine="31680"/>
            </w:pPr>
            <w:r>
              <w:rPr>
                <w:rFonts w:hint="eastAsia"/>
              </w:rPr>
              <w:t>·亚马孙、巴伊亚、戈亚斯、米纳斯吉拉斯、巴拉、里约热内卢、圣保罗和托坎廷斯</w:t>
            </w:r>
          </w:p>
          <w:p w:rsidR="00000000" w:rsidRDefault="004D2F83">
            <w:pPr>
              <w:spacing w:line="360" w:lineRule="exact"/>
            </w:pPr>
          </w:p>
          <w:p w:rsidR="00000000" w:rsidRDefault="004D2F83">
            <w:pPr>
              <w:spacing w:line="360" w:lineRule="exact"/>
            </w:pPr>
            <w:r>
              <w:rPr>
                <w:rFonts w:hint="eastAsia"/>
              </w:rPr>
              <w:t>·戈亚斯</w:t>
            </w:r>
          </w:p>
          <w:p w:rsidR="00000000" w:rsidRDefault="004D2F83">
            <w:pPr>
              <w:spacing w:line="360" w:lineRule="exact"/>
            </w:pPr>
          </w:p>
          <w:p w:rsidR="00000000" w:rsidRDefault="004D2F83">
            <w:pPr>
              <w:spacing w:line="360" w:lineRule="exact"/>
            </w:pPr>
            <w:r>
              <w:rPr>
                <w:rFonts w:hint="eastAsia"/>
              </w:rPr>
              <w:t>·巴伊亚、巴拉和罗赖马</w:t>
            </w:r>
          </w:p>
          <w:p w:rsidR="00000000" w:rsidRDefault="004D2F83">
            <w:pPr>
              <w:spacing w:line="360" w:lineRule="exact"/>
            </w:pPr>
          </w:p>
          <w:p w:rsidR="00000000" w:rsidRDefault="004D2F83">
            <w:pPr>
              <w:spacing w:line="360" w:lineRule="exact"/>
            </w:pPr>
            <w:r>
              <w:rPr>
                <w:rFonts w:hint="eastAsia"/>
              </w:rPr>
              <w:t>·圣保罗和托坎廷斯</w:t>
            </w:r>
          </w:p>
        </w:tc>
      </w:tr>
    </w:tbl>
    <w:p w:rsidR="00000000" w:rsidRDefault="004D2F83">
      <w:pPr>
        <w:spacing w:after="240" w:line="360" w:lineRule="exact"/>
        <w:ind w:firstLine="480"/>
      </w:pPr>
    </w:p>
    <w:p w:rsidR="00000000" w:rsidRDefault="004D2F83" w:rsidP="004D2F83">
      <w:pPr>
        <w:spacing w:after="240" w:line="360" w:lineRule="exact"/>
        <w:ind w:firstLineChars="200" w:firstLine="31680"/>
      </w:pPr>
      <w:r>
        <w:rPr>
          <w:rFonts w:hint="eastAsia"/>
        </w:rPr>
        <w:t>所有州级宪法都规定人人享有健康权。一些州的宪法除在专门的章节中规定健康权以外，还将健康权纳入基本权利和保障的范围。</w:t>
      </w:r>
    </w:p>
    <w:p w:rsidR="00000000" w:rsidRDefault="004D2F83" w:rsidP="004D2F83">
      <w:pPr>
        <w:spacing w:after="240" w:line="360" w:lineRule="exact"/>
        <w:ind w:firstLineChars="200" w:firstLine="31680"/>
      </w:pPr>
      <w:r>
        <w:rPr>
          <w:rFonts w:hint="eastAsia"/>
        </w:rPr>
        <w:t>有十个州的宪法</w:t>
      </w:r>
      <w:r>
        <w:rPr>
          <w:rStyle w:val="FootnoteReference"/>
        </w:rPr>
        <w:footnoteReference w:customMarkFollows="1" w:id="107"/>
        <w:t>107</w:t>
      </w:r>
      <w:r>
        <w:rPr>
          <w:rFonts w:hint="eastAsia"/>
        </w:rPr>
        <w:t>和《联邦区</w:t>
      </w:r>
      <w:r>
        <w:rPr>
          <w:rFonts w:hint="eastAsia"/>
        </w:rPr>
        <w:t>组织法》特别提到妇女健康问题。值得强调的是《塞阿拉州宪法》，它规定单一保健体系有义务实施和保障妇女健康充分援助计划的行动，满足该州女性人口在妇女生命的所有阶段——从出生到年老——的特殊需要。</w:t>
      </w:r>
    </w:p>
    <w:p w:rsidR="00000000" w:rsidRDefault="004D2F83" w:rsidP="004D2F83">
      <w:pPr>
        <w:spacing w:after="240" w:line="360" w:lineRule="exact"/>
        <w:ind w:firstLineChars="200" w:firstLine="31680"/>
      </w:pPr>
      <w:r>
        <w:rPr>
          <w:rFonts w:hint="eastAsia"/>
        </w:rPr>
        <w:t>除了充分保护妇女健康以外，巴伊亚、戈亚斯、里约热内卢和托坎廷斯等州宪法以及《联邦区组织法》还规定，在妇女怀孕、生育和哺乳期间为其提供特殊保护。亚马孙、圣埃斯皮里托、北里越格朗德、南里越格朗德、朗多尼亚、罗赖马和塞尔希培等州宪法把保护妇女健康限定在其生命中的三个阶段（怀孕、生育和哺乳），而没有规定对妇女健康提供充分援助，</w:t>
      </w:r>
      <w:r>
        <w:rPr>
          <w:rFonts w:hint="eastAsia"/>
        </w:rPr>
        <w:t>这就加强了传统上赋予女人的传宗接代的作用。</w:t>
      </w:r>
    </w:p>
    <w:p w:rsidR="00000000" w:rsidRDefault="004D2F83" w:rsidP="004D2F83">
      <w:pPr>
        <w:spacing w:after="240" w:line="360" w:lineRule="exact"/>
        <w:ind w:firstLineChars="200" w:firstLine="31680"/>
      </w:pPr>
      <w:r>
        <w:rPr>
          <w:rFonts w:hint="eastAsia"/>
        </w:rPr>
        <w:t>大多数州的宪法</w:t>
      </w:r>
      <w:r>
        <w:rPr>
          <w:rStyle w:val="FootnoteReference"/>
        </w:rPr>
        <w:footnoteReference w:customMarkFollows="1" w:id="108"/>
        <w:t>108</w:t>
      </w:r>
      <w:r>
        <w:rPr>
          <w:rFonts w:hint="eastAsia"/>
        </w:rPr>
        <w:t>都规定了计划生育的权利，只有阿克里、阿拉戈阿斯、米纳斯吉拉斯、马托格罗索、皮奥伊、朗多尼亚和塞尔希培等州宪法除外。其中多数宪法</w:t>
      </w:r>
      <w:r>
        <w:rPr>
          <w:rStyle w:val="FootnoteReference"/>
        </w:rPr>
        <w:footnoteReference w:customMarkFollows="1" w:id="109"/>
        <w:t>109</w:t>
      </w:r>
      <w:r>
        <w:rPr>
          <w:rFonts w:hint="eastAsia"/>
        </w:rPr>
        <w:t>论及计划生育问题时都规定夫妻有选择的自由。戈亚斯和托坎廷斯两州的宪法规定男子和妇女均应行使该权利；里约热内卢州宪法规定计划生育权利依次由妇女、男子或夫妻行使；圣保罗州宪法则规定该权利也应以男子、妇女或夫妻这样的顺序行使。巴拉州的宪法规定计划生育权利应由家庭行使。</w:t>
      </w:r>
    </w:p>
    <w:p w:rsidR="00000000" w:rsidRDefault="004D2F83" w:rsidP="004D2F83">
      <w:pPr>
        <w:spacing w:after="240" w:line="360" w:lineRule="exact"/>
        <w:ind w:firstLineChars="200" w:firstLine="31680"/>
      </w:pPr>
      <w:r>
        <w:rPr>
          <w:rFonts w:hint="eastAsia"/>
        </w:rPr>
        <w:t>避孕方法的使用、研究和检查在以下各州的宪法中做了明确</w:t>
      </w:r>
      <w:r>
        <w:rPr>
          <w:rFonts w:hint="eastAsia"/>
        </w:rPr>
        <w:t>规定：巴伊亚、戈亚斯、巴拉、里约热内卢、罗赖马、塞尔希培和托坎廷斯。特别值得一提的是《巴伊亚州宪法》，该宪法在关于妇女权利的一章中鼓励开展以改进和扩大对人体健康无害的安全有效的男女避孕用具的国内生产为目的的研究。它明令禁止在使用者毫不知情并且政府当局和代表机构没有审查过的情况下进行任何涉及对人体健康有害的物质、药物和避孕方法的人体实验。里约热内卢州宪法也规定了在保护妇女健康的团体或机构的实验基础上采用与生殖权利有关的新的援助做法的可能性。</w:t>
      </w:r>
    </w:p>
    <w:p w:rsidR="00000000" w:rsidRDefault="004D2F83" w:rsidP="004D2F83">
      <w:pPr>
        <w:pStyle w:val="BodyText"/>
        <w:spacing w:after="240" w:line="360" w:lineRule="exact"/>
        <w:ind w:firstLineChars="200" w:firstLine="31680"/>
        <w:rPr>
          <w:sz w:val="21"/>
        </w:rPr>
      </w:pPr>
      <w:r>
        <w:rPr>
          <w:rFonts w:hint="eastAsia"/>
          <w:sz w:val="21"/>
        </w:rPr>
        <w:t>亚马孙、巴伊亚、戈亚斯、米纳斯吉拉斯、巴拉纳、圣保罗和托坎廷斯等州宪</w:t>
      </w:r>
      <w:r>
        <w:rPr>
          <w:rFonts w:hint="eastAsia"/>
          <w:sz w:val="21"/>
        </w:rPr>
        <w:t>法以及《联邦区组织法》规定了在符合法律规定的情况下进行堕胎的权利。值得强调的是，亚马孙州宪法明确规定妇女在孕产方面享有自由选择权，还规定了由公共卫生网络和其他机构在合法堕胎的情况下向妇女提供社会、法律、医疗和心理方面的援助。《巴伊亚州宪法》不但规定了合法堕胎的权利，而且还规定了专门机构向违背自己意愿受孕的妇女提供援助。《托坎廷斯州宪法》还规定了由单一保健体系向强奸受害妇女提供专门的医疗和心理援助。</w:t>
      </w:r>
    </w:p>
    <w:p w:rsidR="00000000" w:rsidRDefault="004D2F83" w:rsidP="004D2F83">
      <w:pPr>
        <w:spacing w:after="240" w:line="360" w:lineRule="exact"/>
        <w:ind w:firstLineChars="200" w:firstLine="31680"/>
      </w:pPr>
      <w:r>
        <w:rPr>
          <w:rFonts w:hint="eastAsia"/>
        </w:rPr>
        <w:t>《里约热内卢州宪法》在堕胎问题上无疑是最先进的，它按照尊重人格的原则，规定了在堕胎的情况下，无论是否引产，以及</w:t>
      </w:r>
      <w:r>
        <w:rPr>
          <w:rFonts w:hint="eastAsia"/>
        </w:rPr>
        <w:t>在性暴力的情况下，在政府直接或间接提供保障的服务机构的专门设施里向妇女提供援助。</w:t>
      </w:r>
    </w:p>
    <w:p w:rsidR="00000000" w:rsidRDefault="004D2F83" w:rsidP="004D2F83">
      <w:pPr>
        <w:spacing w:after="240" w:line="360" w:lineRule="exact"/>
        <w:ind w:firstLineChars="200" w:firstLine="31680"/>
      </w:pPr>
      <w:r>
        <w:rPr>
          <w:rFonts w:hint="eastAsia"/>
        </w:rPr>
        <w:t>相反，圣埃斯皮里托州宪法则将下述行为视同为危害人生命的罪行：堕胎、自杀、安乐死、种族灭绝、酷刑、影响人的尊严和健全的身体、心理和精神暴力。</w:t>
      </w:r>
    </w:p>
    <w:p w:rsidR="00000000" w:rsidRDefault="004D2F83">
      <w:pPr>
        <w:spacing w:after="240" w:line="360" w:lineRule="exact"/>
        <w:rPr>
          <w:rFonts w:eastAsia="SimHei"/>
          <w:sz w:val="24"/>
        </w:rPr>
      </w:pPr>
      <w:r>
        <w:rPr>
          <w:rFonts w:eastAsia="SimHei" w:hint="eastAsia"/>
          <w:sz w:val="24"/>
        </w:rPr>
        <w:t>议会调查委员会</w:t>
      </w:r>
    </w:p>
    <w:p w:rsidR="00000000" w:rsidRDefault="004D2F83" w:rsidP="004D2F83">
      <w:pPr>
        <w:spacing w:after="240" w:line="360" w:lineRule="exact"/>
        <w:ind w:firstLineChars="200" w:firstLine="31680"/>
      </w:pPr>
      <w:r>
        <w:rPr>
          <w:rFonts w:hint="eastAsia"/>
        </w:rPr>
        <w:t>设立由立法机关监督行政机关的机制，在民主国家中是普遍的做法。例如，《巴西联邦宪法》规定成立议会调查委员会，根据任何公民提交的请愿书或申诉状，可以由参众两院单独或共同开展调查。议会调查委员会的主要特点是它享有司法当局所特有的调查权，并且它还有权通过公诉机构对肇事者提起民事或刑</w:t>
      </w:r>
      <w:r>
        <w:rPr>
          <w:rFonts w:hint="eastAsia"/>
        </w:rPr>
        <w:t>事诉讼。在巴西，议会调查委员会作为政治解决对国家具有重要意义的事件的一个有效的机构，在打击腐败和促进廉政方面产生了重大的影响。</w:t>
      </w:r>
    </w:p>
    <w:p w:rsidR="00000000" w:rsidRDefault="004D2F83" w:rsidP="004D2F83">
      <w:pPr>
        <w:spacing w:after="240" w:line="360" w:lineRule="exact"/>
        <w:ind w:firstLineChars="200" w:firstLine="31680"/>
      </w:pPr>
      <w:r>
        <w:rPr>
          <w:rFonts w:hint="eastAsia"/>
        </w:rPr>
        <w:t>众议院已经在巴西调查了本报告所述及的两个专题的原因：妇女绝育（</w:t>
      </w:r>
      <w:r>
        <w:t>1993</w:t>
      </w:r>
      <w:r>
        <w:rPr>
          <w:rFonts w:hint="eastAsia"/>
        </w:rPr>
        <w:t>年结束）和产妇死亡率（</w:t>
      </w:r>
      <w:r>
        <w:t>2001</w:t>
      </w:r>
      <w:r>
        <w:rPr>
          <w:rFonts w:hint="eastAsia"/>
        </w:rPr>
        <w:t>年</w:t>
      </w:r>
      <w:r>
        <w:t>8</w:t>
      </w:r>
      <w:r>
        <w:rPr>
          <w:rFonts w:hint="eastAsia"/>
        </w:rPr>
        <w:t>月结束）。</w:t>
      </w:r>
    </w:p>
    <w:p w:rsidR="00000000" w:rsidRDefault="004D2F83" w:rsidP="004D2F83">
      <w:pPr>
        <w:spacing w:after="240" w:line="360" w:lineRule="exact"/>
        <w:ind w:firstLineChars="200" w:firstLine="31680"/>
      </w:pPr>
      <w:r>
        <w:rPr>
          <w:rFonts w:hint="eastAsia"/>
        </w:rPr>
        <w:t>在巴西，绝育手术作为一种避孕方法被广泛采用，尽管在第</w:t>
      </w:r>
      <w:r>
        <w:t>9263/96</w:t>
      </w:r>
      <w:r>
        <w:rPr>
          <w:rFonts w:hint="eastAsia"/>
        </w:rPr>
        <w:t>号法律颁布以前人们普遍认为做绝育手术对身体有害，会导致肌体功能丧失。第</w:t>
      </w:r>
      <w:r>
        <w:t>20.931/31</w:t>
      </w:r>
      <w:r>
        <w:rPr>
          <w:rFonts w:hint="eastAsia"/>
        </w:rPr>
        <w:t>号法令明令禁止做绝育手术，不管病人同意与否。</w:t>
      </w:r>
      <w:r>
        <w:t>1991</w:t>
      </w:r>
      <w:r>
        <w:rPr>
          <w:rFonts w:hint="eastAsia"/>
        </w:rPr>
        <w:t>年，众议院设立了一个议会调查委员会，</w:t>
      </w:r>
      <w:r>
        <w:rPr>
          <w:rStyle w:val="FootnoteReference"/>
        </w:rPr>
        <w:footnoteReference w:customMarkFollows="1" w:id="110"/>
        <w:t>110</w:t>
      </w:r>
      <w:r>
        <w:rPr>
          <w:rFonts w:hint="eastAsia"/>
        </w:rPr>
        <w:t>该委员会的调查结果证</w:t>
      </w:r>
      <w:r>
        <w:rPr>
          <w:rFonts w:hint="eastAsia"/>
        </w:rPr>
        <w:t>实了有关报告，即由于政府和在控制国家人口增长方面有关的国际组织的资助，绝育手术，无论是否经过妇女同意，在巴西是大量采用，</w:t>
      </w:r>
      <w:r>
        <w:rPr>
          <w:rStyle w:val="FootnoteReference"/>
        </w:rPr>
        <w:footnoteReference w:customMarkFollows="1" w:id="111"/>
        <w:t>111</w:t>
      </w:r>
      <w:r>
        <w:rPr>
          <w:rFonts w:hint="eastAsia"/>
        </w:rPr>
        <w:t>并且那些想捞取选票的巴西政客对此起了推波助澜的作用。议会调查委员会在报告的结论中强调指出，妇女之所以接受绝育手术是因为没有其他可选择的避孕方法，并且输卵管结扎术通常是在做剖腹产的时候同时进行。现在正在试图扭转大量绝育手术引起的剖腹产比例高的情况。尽管已经明确建议公诉机构调查关于利用绝育问题捞取选票的报道，但迄今为止还没有针对肇事者采取法律行动的迹象。为《联邦宪法》第</w:t>
      </w:r>
      <w:r>
        <w:t>7</w:t>
      </w:r>
      <w:r>
        <w:rPr>
          <w:rFonts w:hint="eastAsia"/>
        </w:rPr>
        <w:t>段制订规章的工作</w:t>
      </w:r>
      <w:r>
        <w:rPr>
          <w:rFonts w:hint="eastAsia"/>
        </w:rPr>
        <w:t>进展也很缓慢，如上所述，在议会调查委员会成立五年后才以第</w:t>
      </w:r>
      <w:r>
        <w:t>9263/96</w:t>
      </w:r>
      <w:r>
        <w:rPr>
          <w:rFonts w:hint="eastAsia"/>
        </w:rPr>
        <w:t>号法律的最后批准而告结束。</w:t>
      </w:r>
    </w:p>
    <w:p w:rsidR="00000000" w:rsidRDefault="004D2F83" w:rsidP="004D2F83">
      <w:pPr>
        <w:spacing w:after="240" w:line="360" w:lineRule="exact"/>
        <w:ind w:firstLineChars="200" w:firstLine="31680"/>
      </w:pPr>
      <w:r>
        <w:t>1996</w:t>
      </w:r>
      <w:r>
        <w:rPr>
          <w:rFonts w:hint="eastAsia"/>
        </w:rPr>
        <w:t>年成立了一个议会调查委员会，以调查巴西产妇死亡率高的问题以及关于产妇死亡可能与缺乏产前、产中和产后护理有关的指控。</w:t>
      </w:r>
      <w:r>
        <w:t>2001</w:t>
      </w:r>
      <w:r>
        <w:rPr>
          <w:rFonts w:hint="eastAsia"/>
        </w:rPr>
        <w:t>年</w:t>
      </w:r>
      <w:r>
        <w:t>8</w:t>
      </w:r>
      <w:r>
        <w:rPr>
          <w:rFonts w:hint="eastAsia"/>
        </w:rPr>
        <w:t>月，议会调查委员会得出结论说，产妇死亡率高与缺乏得到保健服务的机会、提供的服务质量差、缺乏信息和不易获得避孕方法有关。受害者大多数都是低收入的妇女，受教育程度低，由此可以证明这些死亡具有社会不公正性。委员会还证实对产妇死亡的报告不准确，这进一步妨碍了采取防范措施。</w:t>
      </w:r>
    </w:p>
    <w:p w:rsidR="00000000" w:rsidRDefault="004D2F83" w:rsidP="004D2F83">
      <w:pPr>
        <w:spacing w:after="240" w:line="360" w:lineRule="exact"/>
        <w:ind w:firstLineChars="200" w:firstLine="31680"/>
      </w:pPr>
      <w:r>
        <w:rPr>
          <w:rFonts w:hint="eastAsia"/>
        </w:rPr>
        <w:t>关于降低产妇死</w:t>
      </w:r>
      <w:r>
        <w:rPr>
          <w:rFonts w:hint="eastAsia"/>
        </w:rPr>
        <w:t>亡率问题，议会调查委员会所查明的困难有：已经付诸实施的计划中断；一些市政府没有能力实施保健措施；单一保健体系的管理者缺乏评估和控制机制；农村地区缺少专业人员；缺乏资金、手段和设施来提供适当的保健；缺乏计划生育服务，这导致地下堕胎行为；许多州市没有设立产妇死亡问题委员会</w:t>
      </w:r>
      <w:r>
        <w:rPr>
          <w:rStyle w:val="FootnoteReference"/>
        </w:rPr>
        <w:footnoteReference w:customMarkFollows="1" w:id="112"/>
        <w:t>112</w:t>
      </w:r>
      <w:r>
        <w:rPr>
          <w:rFonts w:hint="eastAsia"/>
        </w:rPr>
        <w:t>；以及缺乏受理报告的监察员机构。</w:t>
      </w:r>
    </w:p>
    <w:p w:rsidR="00000000" w:rsidRDefault="004D2F83" w:rsidP="004D2F83">
      <w:pPr>
        <w:spacing w:after="240" w:line="360" w:lineRule="exact"/>
        <w:ind w:firstLineChars="200" w:firstLine="31680"/>
      </w:pPr>
      <w:r>
        <w:rPr>
          <w:rFonts w:hint="eastAsia"/>
        </w:rPr>
        <w:t>最后文件建议重申着重关注妇女健康问题，并且承认卫生部在妇女保健充分援助计划范围内提出的措施适当地涵盖了许多基本的问题：保障购买设备的资金；组织运输力量并查明空缺；投入；承认卫生专业人员的价值并对他们进行培</w:t>
      </w:r>
      <w:r>
        <w:rPr>
          <w:rFonts w:hint="eastAsia"/>
        </w:rPr>
        <w:t>训，重点放在技术和道德方面；广泛宣传孕妇权利和镰状细胞性贫血、疟疾、贫血和营养不良等风险因素；建立监察员机构；实施孕妇最低收入计划；以及发放免费车票以确保孕妇去做产前检查，等等。最后，文件还建议国民议会批准关于产妇死亡率问题的法案，因为这些法案涵盖的主题包括拟订性教育计划、实施某些保健计划和提供医疗检查的义务、改进报告程序，以及社会补助。</w:t>
      </w:r>
    </w:p>
    <w:p w:rsidR="00000000" w:rsidRDefault="004D2F83" w:rsidP="004D2F83">
      <w:pPr>
        <w:spacing w:after="240" w:line="360" w:lineRule="exact"/>
        <w:ind w:firstLineChars="200" w:firstLine="31680"/>
      </w:pPr>
      <w:r>
        <w:rPr>
          <w:rFonts w:hint="eastAsia"/>
        </w:rPr>
        <w:t>在法律</w:t>
      </w:r>
      <w:r>
        <w:t>-</w:t>
      </w:r>
      <w:r>
        <w:rPr>
          <w:rFonts w:hint="eastAsia"/>
        </w:rPr>
        <w:t>规范方面，巴西现有的保健模式符合《消除对妇女歧视公约》的原则，对堕胎问题的处理是一个例外，对堕胎问题的处理更多的是从惩罚性控告的角度而不是从公共健康的角度出发的。</w:t>
      </w:r>
      <w:r>
        <w:rPr>
          <w:rFonts w:hint="eastAsia"/>
        </w:rPr>
        <w:t>然而，以条例为基础的保健模式的推行速度缓慢，并且在地方上遇到了巨大的困难。此外，将行动集中在某些特殊的领域也违背法律原则。不过，国家一直在努力实现权力下放这一目标，因为除了社区领导层要具备所需的资格外，权力下放还意味着各级政府之间的权力分担、普遍动员、长期和和谐的对话。</w:t>
      </w:r>
    </w:p>
    <w:p w:rsidR="00000000" w:rsidRDefault="004D2F83">
      <w:pPr>
        <w:spacing w:after="240" w:line="360" w:lineRule="exact"/>
        <w:rPr>
          <w:rFonts w:eastAsia="SimHei"/>
          <w:sz w:val="24"/>
        </w:rPr>
      </w:pPr>
      <w:r>
        <w:rPr>
          <w:rFonts w:eastAsia="SimHei" w:hint="eastAsia"/>
          <w:sz w:val="24"/>
        </w:rPr>
        <w:t>政府行动</w:t>
      </w:r>
    </w:p>
    <w:p w:rsidR="00000000" w:rsidRDefault="004D2F83" w:rsidP="004D2F83">
      <w:pPr>
        <w:spacing w:after="240" w:line="360" w:lineRule="exact"/>
        <w:ind w:firstLineChars="200" w:firstLine="31680"/>
      </w:pPr>
      <w:r>
        <w:rPr>
          <w:rFonts w:hint="eastAsia"/>
        </w:rPr>
        <w:t>与儿童、青少年和劳动者技术保健领域和全国性病</w:t>
      </w:r>
      <w:r>
        <w:t>/</w:t>
      </w:r>
      <w:r>
        <w:rPr>
          <w:rFonts w:hint="eastAsia"/>
        </w:rPr>
        <w:t>艾滋病、高血压和糖尿病协调委员会一样，妇女保健技术领域是卫生部战略计划行动司的一个组成部分。该机构的宗旨是制订议定书和教育材料；培训人力资源；实施促使制订与技术领域相关的政策的机制；以</w:t>
      </w:r>
      <w:r>
        <w:rPr>
          <w:rFonts w:hint="eastAsia"/>
        </w:rPr>
        <w:t>及按照单一保健体系的准则向各州市提供技术和财政合作。</w:t>
      </w:r>
    </w:p>
    <w:p w:rsidR="00000000" w:rsidRDefault="004D2F83" w:rsidP="004D2F83">
      <w:pPr>
        <w:spacing w:after="240" w:line="360" w:lineRule="exact"/>
        <w:ind w:firstLineChars="200" w:firstLine="31680"/>
      </w:pPr>
      <w:r>
        <w:rPr>
          <w:rFonts w:hint="eastAsia"/>
        </w:rPr>
        <w:t>关于妇女保健的最重要的政府政策是妇女保健充分援助计划。该计划是动员和组织妇女运动和卫生运动的结果，</w:t>
      </w:r>
      <w:r>
        <w:t>1984</w:t>
      </w:r>
      <w:r>
        <w:rPr>
          <w:rFonts w:hint="eastAsia"/>
        </w:rPr>
        <w:t>年由联邦政府执行，它包括各州市所实施的妇女保健充分援助的各项行动，不限于避孕和产前保健。妇女保健充分援助计划在提出妇女人权方面的重要性不容质疑。它实际是个立法过程，巩固了</w:t>
      </w:r>
      <w:r>
        <w:t>1988</w:t>
      </w:r>
      <w:r>
        <w:rPr>
          <w:rFonts w:hint="eastAsia"/>
        </w:rPr>
        <w:t>年宪法中规定的增进妇女健康的重要权利，并且使得在初始概念的基础上组织、讨论和发展新的权利成为可能。</w:t>
      </w:r>
    </w:p>
    <w:p w:rsidR="00000000" w:rsidRDefault="004D2F83" w:rsidP="004D2F83">
      <w:pPr>
        <w:spacing w:after="240" w:line="360" w:lineRule="exact"/>
        <w:ind w:firstLineChars="200" w:firstLine="31680"/>
      </w:pPr>
      <w:r>
        <w:rPr>
          <w:rFonts w:hint="eastAsia"/>
        </w:rPr>
        <w:t>另一项在妇女保健援助方面非常重要的计划是家庭保健方案。该计划</w:t>
      </w:r>
      <w:r>
        <w:t>1994</w:t>
      </w:r>
      <w:r>
        <w:rPr>
          <w:rFonts w:hint="eastAsia"/>
        </w:rPr>
        <w:t>年出台</w:t>
      </w:r>
      <w:r>
        <w:rPr>
          <w:rFonts w:hint="eastAsia"/>
        </w:rPr>
        <w:t>，是在</w:t>
      </w:r>
      <w:r>
        <w:t>1991</w:t>
      </w:r>
      <w:r>
        <w:rPr>
          <w:rFonts w:hint="eastAsia"/>
        </w:rPr>
        <w:t>年发起的健康社区代理计划的基础上发展起来的，打算通过将特定地区的人群与一个多专业小组结合起来重新开展基础保健工作，该小组的优先任务是采取预防行动和提供家庭援助，目的是确保对个人和家庭提供充分援助并保障与医院的联系和转诊联系以及手续复杂的服务，如果个人的健康状况有此需要的话。计划的覆盖范围依然十分有限，但在保健工作，尤其是对妇女和儿童开展的保健工作还没有走上正规的小城市，还是取得了积极的成果。</w:t>
      </w:r>
    </w:p>
    <w:p w:rsidR="00000000" w:rsidRDefault="004D2F83" w:rsidP="004D2F83">
      <w:pPr>
        <w:spacing w:after="240" w:line="360" w:lineRule="exact"/>
        <w:ind w:firstLineChars="200" w:firstLine="31680"/>
      </w:pPr>
      <w:r>
        <w:rPr>
          <w:rFonts w:hint="eastAsia"/>
        </w:rPr>
        <w:t>国家卫生委员会通过</w:t>
      </w:r>
      <w:r>
        <w:t>1997</w:t>
      </w:r>
      <w:r>
        <w:rPr>
          <w:rFonts w:hint="eastAsia"/>
        </w:rPr>
        <w:t>年</w:t>
      </w:r>
      <w:r>
        <w:t>4</w:t>
      </w:r>
      <w:r>
        <w:rPr>
          <w:rFonts w:hint="eastAsia"/>
        </w:rPr>
        <w:t>月</w:t>
      </w:r>
      <w:r>
        <w:t>4</w:t>
      </w:r>
      <w:r>
        <w:rPr>
          <w:rFonts w:hint="eastAsia"/>
        </w:rPr>
        <w:t>日第</w:t>
      </w:r>
      <w:r>
        <w:t>259</w:t>
      </w:r>
      <w:r>
        <w:rPr>
          <w:rFonts w:hint="eastAsia"/>
        </w:rPr>
        <w:t>号决议制订了家庭保健方案，方案的优先行动包括：促进孕妇的健</w:t>
      </w:r>
      <w:r>
        <w:rPr>
          <w:rFonts w:hint="eastAsia"/>
        </w:rPr>
        <w:t>康（护理和产前、劳动和产后保健）；营养监测和子女及家庭教育；防止家庭暴力的教育活动；计划生育；环境疾病和性传播疾病、艾滋病、子宫癌和乳腺癌。这一准则现已纳入规定市政当局加入该方案的行政裁定。</w:t>
      </w:r>
    </w:p>
    <w:p w:rsidR="00000000" w:rsidRDefault="004D2F83" w:rsidP="004D2F83">
      <w:pPr>
        <w:spacing w:after="240" w:line="360" w:lineRule="exact"/>
        <w:ind w:firstLineChars="200" w:firstLine="31680"/>
      </w:pPr>
      <w:r>
        <w:rPr>
          <w:rFonts w:hint="eastAsia"/>
          <w:spacing w:val="2"/>
        </w:rPr>
        <w:t>卫生部最近的评估显示了该方案在生殖和性健康领域产生的效果：它增加了在产前检查、子女照顾、计划生育和妇科诊治方面提供的服务，并且改进了对高血压（对产妇死亡率有影响）和性传播疾病的控制。然而，服务质量还是很差。根据卫生部的评估</w:t>
      </w:r>
      <w:r>
        <w:rPr>
          <w:rStyle w:val="FootnoteReference"/>
          <w:spacing w:val="2"/>
        </w:rPr>
        <w:footnoteReference w:customMarkFollows="1" w:id="113"/>
        <w:t>113</w:t>
      </w:r>
      <w:r>
        <w:rPr>
          <w:rFonts w:hint="eastAsia"/>
          <w:spacing w:val="2"/>
        </w:rPr>
        <w:t>，例如，在产前服务方面，只有</w:t>
      </w:r>
      <w:r>
        <w:rPr>
          <w:spacing w:val="2"/>
        </w:rPr>
        <w:t>14.8%</w:t>
      </w:r>
      <w:r>
        <w:rPr>
          <w:rFonts w:hint="eastAsia"/>
          <w:spacing w:val="2"/>
        </w:rPr>
        <w:t>的家庭保健小组拥有完成其工作所需的全部资源；如果不考虑</w:t>
      </w:r>
      <w:r>
        <w:rPr>
          <w:rFonts w:hint="eastAsia"/>
          <w:spacing w:val="2"/>
        </w:rPr>
        <w:t>超声波检查的话，这一比例将提高到</w:t>
      </w:r>
      <w:r>
        <w:rPr>
          <w:spacing w:val="2"/>
        </w:rPr>
        <w:t>17.6%</w:t>
      </w:r>
      <w:r>
        <w:rPr>
          <w:rFonts w:hint="eastAsia"/>
          <w:spacing w:val="2"/>
        </w:rPr>
        <w:t>，如果不列入发放硫酸亚铁的工作，这一比例将将提高到</w:t>
      </w:r>
      <w:r>
        <w:rPr>
          <w:spacing w:val="2"/>
        </w:rPr>
        <w:t>33.1%</w:t>
      </w:r>
      <w:r>
        <w:rPr>
          <w:rFonts w:hint="eastAsia"/>
          <w:spacing w:val="2"/>
        </w:rPr>
        <w:t>。这些比例很低，它表明需要投资来提高家庭保健单位所提供服务的质量。减少产妇死亡率方面的其他挑战包括提供在医院生孩子的机会和提高保健质量，因为死亡率（</w:t>
      </w:r>
      <w:r>
        <w:rPr>
          <w:spacing w:val="2"/>
        </w:rPr>
        <w:t>60.9%</w:t>
      </w:r>
      <w:r>
        <w:rPr>
          <w:rFonts w:hint="eastAsia"/>
          <w:spacing w:val="2"/>
        </w:rPr>
        <w:t>）</w:t>
      </w:r>
      <w:r>
        <w:rPr>
          <w:rStyle w:val="FootnoteReference"/>
          <w:spacing w:val="2"/>
        </w:rPr>
        <w:footnoteReference w:customMarkFollows="1" w:id="114"/>
        <w:t>11</w:t>
      </w:r>
      <w:r>
        <w:rPr>
          <w:rStyle w:val="FootnoteReference"/>
        </w:rPr>
        <w:t>4</w:t>
      </w:r>
      <w:r>
        <w:rPr>
          <w:rFonts w:hint="eastAsia"/>
        </w:rPr>
        <w:t>之高与直接的分娩原因（子痫、大出血、流产</w:t>
      </w:r>
      <w:r>
        <w:t>/</w:t>
      </w:r>
      <w:r>
        <w:rPr>
          <w:rFonts w:hint="eastAsia"/>
        </w:rPr>
        <w:t>堕胎、产后感染、剖腹产手术后肺栓塞）和间接的分娩原因（</w:t>
      </w:r>
      <w:r>
        <w:t>39.1%</w:t>
      </w:r>
      <w:r>
        <w:rPr>
          <w:rFonts w:hint="eastAsia"/>
        </w:rPr>
        <w:t>）有关。</w:t>
      </w:r>
    </w:p>
    <w:p w:rsidR="00000000" w:rsidRDefault="004D2F83" w:rsidP="004D2F83">
      <w:pPr>
        <w:spacing w:after="240" w:line="360" w:lineRule="exact"/>
        <w:ind w:firstLineChars="200" w:firstLine="31680"/>
      </w:pPr>
      <w:r>
        <w:rPr>
          <w:rFonts w:hint="eastAsia"/>
        </w:rPr>
        <w:t>由于农村地区缺少卫生专业人员，巴西颁布了第</w:t>
      </w:r>
      <w:r>
        <w:t>3.745/2001</w:t>
      </w:r>
      <w:r>
        <w:rPr>
          <w:rFonts w:hint="eastAsia"/>
        </w:rPr>
        <w:t>号法令，该法令制订了卫生工作者深入基层计划，目的是鼓励医生和护士去</w:t>
      </w:r>
      <w:r>
        <w:rPr>
          <w:rFonts w:hint="eastAsia"/>
        </w:rPr>
        <w:t>需要的城市定居，重点是家庭保健方案的战略。</w:t>
      </w:r>
    </w:p>
    <w:p w:rsidR="00000000" w:rsidRDefault="004D2F83" w:rsidP="004D2F83">
      <w:pPr>
        <w:spacing w:after="240" w:line="360" w:lineRule="exact"/>
        <w:ind w:firstLineChars="200" w:firstLine="31680"/>
      </w:pPr>
      <w:r>
        <w:rPr>
          <w:rFonts w:hint="eastAsia"/>
        </w:rPr>
        <w:t>国家卫生委员会通过</w:t>
      </w:r>
      <w:r>
        <w:t>1997</w:t>
      </w:r>
      <w:r>
        <w:rPr>
          <w:rFonts w:hint="eastAsia"/>
        </w:rPr>
        <w:t>年</w:t>
      </w:r>
      <w:r>
        <w:t>12</w:t>
      </w:r>
      <w:r>
        <w:rPr>
          <w:rFonts w:hint="eastAsia"/>
        </w:rPr>
        <w:t>月</w:t>
      </w:r>
      <w:r>
        <w:t>4</w:t>
      </w:r>
      <w:r>
        <w:rPr>
          <w:rFonts w:hint="eastAsia"/>
        </w:rPr>
        <w:t>日第</w:t>
      </w:r>
      <w:r>
        <w:t>259</w:t>
      </w:r>
      <w:r>
        <w:rPr>
          <w:rFonts w:hint="eastAsia"/>
        </w:rPr>
        <w:t>号决议制订了标准，作为批准该方案的先决条件，并且，作为优先行动，规定了促进孕妇健康（护理、产前、生产和产后保健）：营养监测和子女及家庭教育；预防家庭暴力的教育活动；计划生育；环境疾病和性传播疾病、艾滋病、子宫癌和乳腺癌。这一准则现已纳入规定市政当局加入该方案的行政裁定。</w:t>
      </w:r>
    </w:p>
    <w:p w:rsidR="00000000" w:rsidRDefault="004D2F83" w:rsidP="004D2F83">
      <w:pPr>
        <w:spacing w:after="240" w:line="360" w:lineRule="exact"/>
        <w:ind w:firstLineChars="200" w:firstLine="31680"/>
      </w:pPr>
      <w:r>
        <w:rPr>
          <w:rFonts w:hint="eastAsia"/>
        </w:rPr>
        <w:t>根据上述分析，我们现在将按专题重点阐述主要的执行措施：</w:t>
      </w:r>
    </w:p>
    <w:p w:rsidR="00000000" w:rsidRDefault="004D2F83">
      <w:pPr>
        <w:spacing w:after="240" w:line="360" w:lineRule="exact"/>
        <w:rPr>
          <w:rFonts w:eastAsia="SimHei"/>
          <w:sz w:val="24"/>
        </w:rPr>
      </w:pPr>
      <w:r>
        <w:rPr>
          <w:rFonts w:eastAsia="SimHei" w:hint="eastAsia"/>
          <w:sz w:val="24"/>
        </w:rPr>
        <w:t>产妇死亡率</w:t>
      </w:r>
    </w:p>
    <w:p w:rsidR="00000000" w:rsidRDefault="004D2F83" w:rsidP="004D2F83">
      <w:pPr>
        <w:spacing w:after="240" w:line="360" w:lineRule="exact"/>
        <w:ind w:firstLineChars="200" w:firstLine="31680"/>
      </w:pPr>
      <w:r>
        <w:rPr>
          <w:rFonts w:hint="eastAsia"/>
        </w:rPr>
        <w:t>自</w:t>
      </w:r>
      <w:r>
        <w:t>1994</w:t>
      </w:r>
      <w:r>
        <w:rPr>
          <w:rFonts w:hint="eastAsia"/>
        </w:rPr>
        <w:t>年以来，为降低产妇死亡率，单一保健体系管理部门实施了重要的行动，例如：将</w:t>
      </w:r>
      <w:r>
        <w:rPr>
          <w:rFonts w:hint="eastAsia"/>
        </w:rPr>
        <w:t>在家分娩纳入由单一保健体系付费的程序清单；对助产士重新进行资格确认并且承认助产是一种“职业”；公共卫生网络中的产科护士接生由单一保健体系支付费用；分娩时的止痛用药由单一保健体系支付费用；以及逐渐提高接生价格以降低剖腹产手术的比例，规定每个医院在</w:t>
      </w:r>
      <w:r>
        <w:t>2000</w:t>
      </w:r>
      <w:r>
        <w:rPr>
          <w:rFonts w:hint="eastAsia"/>
        </w:rPr>
        <w:t>年上半年以前的每个半年可施行的分娩剖腹产手术的最大比例。根据传媒公布的卫生部的统计数据，</w:t>
      </w:r>
      <w:r>
        <w:t>1998</w:t>
      </w:r>
      <w:r>
        <w:rPr>
          <w:rFonts w:hint="eastAsia"/>
        </w:rPr>
        <w:t>年剖腹产的比例为</w:t>
      </w:r>
      <w:r>
        <w:t>32%</w:t>
      </w:r>
      <w:r>
        <w:rPr>
          <w:rFonts w:hint="eastAsia"/>
        </w:rPr>
        <w:t>，</w:t>
      </w:r>
      <w:r>
        <w:t>2000</w:t>
      </w:r>
      <w:r>
        <w:rPr>
          <w:rFonts w:hint="eastAsia"/>
        </w:rPr>
        <w:t>年降至</w:t>
      </w:r>
      <w:r>
        <w:t>25%</w:t>
      </w:r>
      <w:r>
        <w:rPr>
          <w:rFonts w:hint="eastAsia"/>
        </w:rPr>
        <w:t>。然而，与世界卫生组织建议的</w:t>
      </w:r>
      <w:r>
        <w:t>15%</w:t>
      </w:r>
      <w:r>
        <w:rPr>
          <w:rFonts w:hint="eastAsia"/>
        </w:rPr>
        <w:t>相比，这一比例仍然很高。</w:t>
      </w:r>
    </w:p>
    <w:p w:rsidR="00000000" w:rsidRDefault="004D2F83" w:rsidP="004D2F83">
      <w:pPr>
        <w:spacing w:after="240" w:line="360" w:lineRule="exact"/>
        <w:ind w:firstLineChars="200" w:firstLine="31680"/>
      </w:pPr>
      <w:r>
        <w:rPr>
          <w:rFonts w:hint="eastAsia"/>
        </w:rPr>
        <w:t>除了上面提到的行动，卫生部还宣布</w:t>
      </w:r>
      <w:r>
        <w:t>5</w:t>
      </w:r>
      <w:r>
        <w:rPr>
          <w:rFonts w:hint="eastAsia"/>
        </w:rPr>
        <w:t>月</w:t>
      </w:r>
      <w:r>
        <w:t>28</w:t>
      </w:r>
      <w:r>
        <w:rPr>
          <w:rFonts w:hint="eastAsia"/>
        </w:rPr>
        <w:t>日为全国降低产妇死亡</w:t>
      </w:r>
      <w:r>
        <w:rPr>
          <w:rFonts w:hint="eastAsia"/>
        </w:rPr>
        <w:t>率日，届时将在单一保健体系的各个级别开展评估活动。卫生部还在</w:t>
      </w:r>
      <w:r>
        <w:t>1994</w:t>
      </w:r>
      <w:r>
        <w:rPr>
          <w:rFonts w:hint="eastAsia"/>
        </w:rPr>
        <w:t>年成立了全国预防产妇死亡委员会，它是一个技术咨询性质的机构，卫生部还通过全国卫生委员会通过了有关决议，规定必须通报产妇死亡病例以及对单一保健体系按法律规定提供的堕胎服务制订条例和实施细则。</w:t>
      </w:r>
    </w:p>
    <w:p w:rsidR="00000000" w:rsidRDefault="004D2F83" w:rsidP="004D2F83">
      <w:pPr>
        <w:spacing w:after="240" w:line="360" w:lineRule="exact"/>
        <w:ind w:firstLineChars="200" w:firstLine="31680"/>
      </w:pPr>
      <w:r>
        <w:rPr>
          <w:rFonts w:hint="eastAsia"/>
        </w:rPr>
        <w:t>单一保健体系为解决高危怀孕问题构建了国家一级的参考体系，其中有产妇死亡率研究委员会、新生儿护理研究委员会、医院感染问题委员会、援助高危孕妇的产前和计划生育服务机构，还有一个多学科小组，提供社会和心理援助（</w:t>
      </w:r>
      <w:r>
        <w:t>1998</w:t>
      </w:r>
      <w:r>
        <w:rPr>
          <w:rFonts w:hint="eastAsia"/>
        </w:rPr>
        <w:t>年</w:t>
      </w:r>
      <w:r>
        <w:t>6</w:t>
      </w:r>
      <w:r>
        <w:rPr>
          <w:rFonts w:hint="eastAsia"/>
        </w:rPr>
        <w:t>月</w:t>
      </w:r>
      <w:r>
        <w:t>19</w:t>
      </w:r>
      <w:r>
        <w:rPr>
          <w:rFonts w:hint="eastAsia"/>
        </w:rPr>
        <w:t>日第</w:t>
      </w:r>
      <w:r>
        <w:t>3.016</w:t>
      </w:r>
      <w:r>
        <w:rPr>
          <w:rFonts w:hint="eastAsia"/>
        </w:rPr>
        <w:t>号；</w:t>
      </w:r>
      <w:r>
        <w:t>1998</w:t>
      </w:r>
      <w:r>
        <w:rPr>
          <w:rFonts w:hint="eastAsia"/>
        </w:rPr>
        <w:t>年</w:t>
      </w:r>
      <w:r>
        <w:t>6</w:t>
      </w:r>
      <w:r>
        <w:rPr>
          <w:rFonts w:hint="eastAsia"/>
        </w:rPr>
        <w:t>月</w:t>
      </w:r>
      <w:r>
        <w:t>19</w:t>
      </w:r>
      <w:r>
        <w:rPr>
          <w:rFonts w:hint="eastAsia"/>
        </w:rPr>
        <w:t>日第</w:t>
      </w:r>
      <w:r>
        <w:t>3.017</w:t>
      </w:r>
      <w:r>
        <w:rPr>
          <w:rFonts w:hint="eastAsia"/>
        </w:rPr>
        <w:t>号；</w:t>
      </w:r>
      <w:r>
        <w:t>1998</w:t>
      </w:r>
      <w:r>
        <w:rPr>
          <w:rFonts w:hint="eastAsia"/>
        </w:rPr>
        <w:t>年</w:t>
      </w:r>
      <w:r>
        <w:t>6</w:t>
      </w:r>
      <w:r>
        <w:rPr>
          <w:rFonts w:hint="eastAsia"/>
        </w:rPr>
        <w:t>月</w:t>
      </w:r>
      <w:r>
        <w:rPr>
          <w:rFonts w:hint="eastAsia"/>
        </w:rPr>
        <w:t>1</w:t>
      </w:r>
      <w:r>
        <w:t>9</w:t>
      </w:r>
      <w:r>
        <w:rPr>
          <w:rFonts w:hint="eastAsia"/>
        </w:rPr>
        <w:t>日第</w:t>
      </w:r>
      <w:r>
        <w:t>3.018</w:t>
      </w:r>
      <w:r>
        <w:rPr>
          <w:rFonts w:hint="eastAsia"/>
        </w:rPr>
        <w:t>号；</w:t>
      </w:r>
      <w:r>
        <w:t>1998</w:t>
      </w:r>
      <w:r>
        <w:rPr>
          <w:rFonts w:hint="eastAsia"/>
        </w:rPr>
        <w:t>年</w:t>
      </w:r>
      <w:r>
        <w:t>6</w:t>
      </w:r>
      <w:r>
        <w:rPr>
          <w:rFonts w:hint="eastAsia"/>
        </w:rPr>
        <w:t>月</w:t>
      </w:r>
      <w:r>
        <w:t>20</w:t>
      </w:r>
      <w:r>
        <w:rPr>
          <w:rFonts w:hint="eastAsia"/>
        </w:rPr>
        <w:t>日第</w:t>
      </w:r>
      <w:r>
        <w:t>3.477</w:t>
      </w:r>
      <w:r>
        <w:rPr>
          <w:rFonts w:hint="eastAsia"/>
        </w:rPr>
        <w:t>号和</w:t>
      </w:r>
      <w:r>
        <w:t>1998</w:t>
      </w:r>
      <w:r>
        <w:rPr>
          <w:rFonts w:hint="eastAsia"/>
        </w:rPr>
        <w:t>年</w:t>
      </w:r>
      <w:r>
        <w:t>8</w:t>
      </w:r>
      <w:r>
        <w:rPr>
          <w:rFonts w:hint="eastAsia"/>
        </w:rPr>
        <w:t>月</w:t>
      </w:r>
      <w:r>
        <w:t>20</w:t>
      </w:r>
      <w:r>
        <w:rPr>
          <w:rFonts w:hint="eastAsia"/>
        </w:rPr>
        <w:t>日第</w:t>
      </w:r>
      <w:r>
        <w:t>3.482</w:t>
      </w:r>
      <w:r>
        <w:rPr>
          <w:rFonts w:hint="eastAsia"/>
        </w:rPr>
        <w:t>号行政裁定，所有行政裁定都由卫生部颁布）。</w:t>
      </w:r>
    </w:p>
    <w:p w:rsidR="00000000" w:rsidRDefault="004D2F83" w:rsidP="004D2F83">
      <w:pPr>
        <w:spacing w:after="240" w:line="360" w:lineRule="exact"/>
        <w:ind w:firstLineChars="200" w:firstLine="31680"/>
      </w:pPr>
      <w:r>
        <w:rPr>
          <w:rFonts w:hint="eastAsia"/>
        </w:rPr>
        <w:t>较人道的产前和生产护理计划由卫生部通过</w:t>
      </w:r>
      <w:r>
        <w:t>2000</w:t>
      </w:r>
      <w:r>
        <w:rPr>
          <w:rFonts w:hint="eastAsia"/>
        </w:rPr>
        <w:t>年</w:t>
      </w:r>
      <w:r>
        <w:t>6</w:t>
      </w:r>
      <w:r>
        <w:rPr>
          <w:rFonts w:hint="eastAsia"/>
        </w:rPr>
        <w:t>月</w:t>
      </w:r>
      <w:r>
        <w:t>1</w:t>
      </w:r>
      <w:r>
        <w:rPr>
          <w:rFonts w:hint="eastAsia"/>
        </w:rPr>
        <w:t>日第</w:t>
      </w:r>
      <w:r>
        <w:t>569</w:t>
      </w:r>
      <w:r>
        <w:rPr>
          <w:rFonts w:hint="eastAsia"/>
        </w:rPr>
        <w:t>、</w:t>
      </w:r>
      <w:r>
        <w:t>570</w:t>
      </w:r>
      <w:r>
        <w:rPr>
          <w:rFonts w:hint="eastAsia"/>
        </w:rPr>
        <w:t>和</w:t>
      </w:r>
      <w:r>
        <w:t>571</w:t>
      </w:r>
      <w:r>
        <w:rPr>
          <w:rFonts w:hint="eastAsia"/>
        </w:rPr>
        <w:t>号行政裁定提出，将通过与各州、市和联邦区的保健秘书处的伙伴关系予以实施，以便采取与孕妇和新生儿有关的促进、预防和援助行动，扩大获得这些服务的机会。该计划包括结合分娩和产后护理的全面的产前护理，以及对分娩和产前援助领域进行投资。</w:t>
      </w:r>
    </w:p>
    <w:p w:rsidR="00000000" w:rsidRDefault="004D2F83">
      <w:pPr>
        <w:spacing w:after="240" w:line="360" w:lineRule="exact"/>
        <w:rPr>
          <w:rFonts w:eastAsia="SimHei"/>
          <w:sz w:val="24"/>
        </w:rPr>
      </w:pPr>
      <w:r>
        <w:rPr>
          <w:rFonts w:eastAsia="SimHei" w:hint="eastAsia"/>
          <w:sz w:val="24"/>
        </w:rPr>
        <w:t>预防和治疗对妇女和青少年的性暴力造</w:t>
      </w:r>
      <w:r>
        <w:rPr>
          <w:rFonts w:eastAsia="SimHei" w:hint="eastAsia"/>
          <w:sz w:val="24"/>
        </w:rPr>
        <w:t>成的伤害：</w:t>
      </w:r>
    </w:p>
    <w:p w:rsidR="00000000" w:rsidRDefault="004D2F83" w:rsidP="004D2F83">
      <w:pPr>
        <w:spacing w:after="240" w:line="360" w:lineRule="exact"/>
        <w:ind w:firstLineChars="200" w:firstLine="31680"/>
      </w:pPr>
      <w:r>
        <w:t>1998</w:t>
      </w:r>
      <w:r>
        <w:rPr>
          <w:rFonts w:hint="eastAsia"/>
        </w:rPr>
        <w:t>年，卫生部按照全国卫生委员会</w:t>
      </w:r>
      <w:r>
        <w:t>1997</w:t>
      </w:r>
      <w:r>
        <w:rPr>
          <w:rFonts w:hint="eastAsia"/>
        </w:rPr>
        <w:t>年</w:t>
      </w:r>
      <w:r>
        <w:t>11</w:t>
      </w:r>
      <w:r>
        <w:rPr>
          <w:rFonts w:hint="eastAsia"/>
        </w:rPr>
        <w:t>月</w:t>
      </w:r>
      <w:r>
        <w:t>6</w:t>
      </w:r>
      <w:r>
        <w:rPr>
          <w:rFonts w:hint="eastAsia"/>
        </w:rPr>
        <w:t>日颁发的第</w:t>
      </w:r>
      <w:r>
        <w:t>2</w:t>
      </w:r>
      <w:r>
        <w:rPr>
          <w:rFonts w:hint="eastAsia"/>
        </w:rPr>
        <w:t>5</w:t>
      </w:r>
      <w:r>
        <w:t>8</w:t>
      </w:r>
      <w:r>
        <w:rPr>
          <w:rFonts w:hint="eastAsia"/>
        </w:rPr>
        <w:t>号决议、《刑法典》第</w:t>
      </w:r>
      <w:r>
        <w:t>128</w:t>
      </w:r>
      <w:r>
        <w:rPr>
          <w:rFonts w:hint="eastAsia"/>
        </w:rPr>
        <w:t>条、第</w:t>
      </w:r>
      <w:r>
        <w:t>8.080/90</w:t>
      </w:r>
      <w:r>
        <w:rPr>
          <w:rFonts w:hint="eastAsia"/>
        </w:rPr>
        <w:t>号法律（《卫生组织法》）和第</w:t>
      </w:r>
      <w:r>
        <w:t>8.142/90</w:t>
      </w:r>
      <w:r>
        <w:rPr>
          <w:rFonts w:hint="eastAsia"/>
        </w:rPr>
        <w:t>号法律（单一保健体系的《管理法》）的准则，颁发了关于“预防和治疗对妇女和青少年的性暴力造成的伤害”的《技术规则》。</w:t>
      </w:r>
    </w:p>
    <w:p w:rsidR="00000000" w:rsidRDefault="004D2F83" w:rsidP="004D2F83">
      <w:pPr>
        <w:pStyle w:val="BodyText"/>
        <w:spacing w:after="240" w:line="360" w:lineRule="exact"/>
        <w:ind w:firstLineChars="200" w:firstLine="31680"/>
        <w:rPr>
          <w:sz w:val="21"/>
        </w:rPr>
      </w:pPr>
      <w:r>
        <w:rPr>
          <w:rFonts w:hint="eastAsia"/>
          <w:sz w:val="21"/>
        </w:rPr>
        <w:t>总的说来，上述技术规则对问题的处理是恰当的。提议的服务不只限于堕胎，包括对性暴力造成的所有伤害的充分医治，其结果降低了堕胎率。规则还包括紧急避孕。此外，它强调了州市行政当局在确定参考单位、培训小组人员提供适当的护理和评估所</w:t>
      </w:r>
      <w:r>
        <w:rPr>
          <w:rFonts w:hint="eastAsia"/>
          <w:sz w:val="21"/>
        </w:rPr>
        <w:t>实施的行动方面的责任。建议成立一个多专业小组，重点是向受害者提供心理和社会援助。</w:t>
      </w:r>
    </w:p>
    <w:p w:rsidR="00000000" w:rsidRDefault="004D2F83" w:rsidP="004D2F83">
      <w:pPr>
        <w:spacing w:after="240" w:line="360" w:lineRule="exact"/>
        <w:ind w:firstLineChars="200" w:firstLine="31680"/>
      </w:pPr>
      <w:r>
        <w:rPr>
          <w:rFonts w:hint="eastAsia"/>
        </w:rPr>
        <w:t>《技术规则》的通过在鼓励、指导和建立以这类援助为目的的服务机构方面成功地迈出了第一步。然而，基础还不牢固。卫生部长收到反对堕胎的个人和团体的来信，要求废除《技术规则》。此外，联邦议员</w:t>
      </w:r>
      <w:r>
        <w:t>Severino Cavalcanti</w:t>
      </w:r>
      <w:r>
        <w:rPr>
          <w:rFonts w:hint="eastAsia"/>
        </w:rPr>
        <w:t>（</w:t>
      </w:r>
      <w:r>
        <w:t>PPB/</w:t>
      </w:r>
      <w:r>
        <w:rPr>
          <w:rFonts w:hint="eastAsia"/>
        </w:rPr>
        <w:t>伯南布哥）向国民议会提交了第</w:t>
      </w:r>
      <w:r>
        <w:t>737/98</w:t>
      </w:r>
      <w:r>
        <w:rPr>
          <w:rFonts w:hint="eastAsia"/>
        </w:rPr>
        <w:t>号法案，建议推迟执行卫生部颁发的《技术规则》。</w:t>
      </w:r>
    </w:p>
    <w:p w:rsidR="00000000" w:rsidRDefault="004D2F83">
      <w:pPr>
        <w:spacing w:after="240" w:line="360" w:lineRule="exact"/>
        <w:rPr>
          <w:rFonts w:eastAsia="SimHei"/>
          <w:sz w:val="24"/>
        </w:rPr>
      </w:pPr>
      <w:r>
        <w:rPr>
          <w:rFonts w:eastAsia="SimHei" w:hint="eastAsia"/>
          <w:sz w:val="24"/>
        </w:rPr>
        <w:t>计划生育</w:t>
      </w:r>
    </w:p>
    <w:p w:rsidR="00000000" w:rsidRDefault="004D2F83" w:rsidP="004D2F83">
      <w:pPr>
        <w:spacing w:after="240" w:line="360" w:lineRule="exact"/>
        <w:ind w:firstLineChars="200" w:firstLine="31680"/>
      </w:pPr>
      <w:r>
        <w:rPr>
          <w:rFonts w:hint="eastAsia"/>
        </w:rPr>
        <w:t>第</w:t>
      </w:r>
      <w:r>
        <w:t>9263/96</w:t>
      </w:r>
      <w:r>
        <w:rPr>
          <w:rFonts w:hint="eastAsia"/>
        </w:rPr>
        <w:t>号法律使得在公共卫生网络，特别是基础保健计划中提供可逆的避孕援助的范围扩大了。困难在于</w:t>
      </w:r>
      <w:r>
        <w:rPr>
          <w:rFonts w:hint="eastAsia"/>
        </w:rPr>
        <w:t>缺乏可供散发的可逆的避孕用品；避孕套的散发——这一工作基本上是由全国性病</w:t>
      </w:r>
      <w:r>
        <w:t>/</w:t>
      </w:r>
      <w:r>
        <w:rPr>
          <w:rFonts w:hint="eastAsia"/>
        </w:rPr>
        <w:t>艾滋病协调委员会来完成；卫生专业人员缺乏方法方面的信息；教育行动的覆盖范围窄；行动中断；对公立医院中对绝育需求援助不够——医院只能在从表达意愿到做绝育手术之间的</w:t>
      </w:r>
      <w:r>
        <w:t>60</w:t>
      </w:r>
      <w:r>
        <w:rPr>
          <w:rFonts w:hint="eastAsia"/>
        </w:rPr>
        <w:t>天的期间内并且在以鼓励使用可逆的避孕方法为目的的、对当事人进行教育并向其提供信息的谈话之后才可施行绝育手术。</w:t>
      </w:r>
    </w:p>
    <w:p w:rsidR="00000000" w:rsidRDefault="004D2F83" w:rsidP="004D2F83">
      <w:pPr>
        <w:spacing w:after="240" w:line="360" w:lineRule="exact"/>
        <w:ind w:firstLineChars="200" w:firstLine="31680"/>
      </w:pPr>
      <w:r>
        <w:rPr>
          <w:rFonts w:hint="eastAsia"/>
        </w:rPr>
        <w:t>另一方面，不可逆的避孕如果按法律规定进行，则是一项个人权利，尽管“公民与生育委员会”进行的一项调查表明，人们私下仍在非法地施行绝育手术。有输卵管结扎和输精管切除服务</w:t>
      </w:r>
      <w:r>
        <w:rPr>
          <w:rFonts w:hint="eastAsia"/>
        </w:rPr>
        <w:t>项目的医院共有</w:t>
      </w:r>
      <w:r>
        <w:rPr>
          <w:rFonts w:hint="eastAsia"/>
        </w:rPr>
        <w:t>37</w:t>
      </w:r>
      <w:r>
        <w:rPr>
          <w:rFonts w:hint="eastAsia"/>
        </w:rPr>
        <w:t>家，对其中</w:t>
      </w:r>
      <w:r>
        <w:t>23</w:t>
      </w:r>
      <w:r>
        <w:rPr>
          <w:rFonts w:hint="eastAsia"/>
        </w:rPr>
        <w:t>家所作的调查显示，许多医院违反法律，规定了原来没有的条件，例如夫妻关系稳定，年龄在</w:t>
      </w:r>
      <w:r>
        <w:t>25</w:t>
      </w:r>
      <w:r>
        <w:rPr>
          <w:rFonts w:hint="eastAsia"/>
        </w:rPr>
        <w:t>岁以上，如果妇女年龄不到</w:t>
      </w:r>
      <w:r>
        <w:t>25</w:t>
      </w:r>
      <w:r>
        <w:rPr>
          <w:rFonts w:hint="eastAsia"/>
        </w:rPr>
        <w:t>岁，则要有两个以上的孩子。在这些情况下使用的主要论点是接受手术的人有可能反悔，而这样的绝育方法是不可逆的。在所调查的一家医院中，据说是故意不遵守法律，因为担心做绝育手术的人反悔。</w:t>
      </w:r>
    </w:p>
    <w:p w:rsidR="00000000" w:rsidRDefault="004D2F83" w:rsidP="004D2F83">
      <w:pPr>
        <w:spacing w:after="240" w:line="360" w:lineRule="exact"/>
        <w:ind w:firstLineChars="200" w:firstLine="31680"/>
      </w:pPr>
      <w:r>
        <w:rPr>
          <w:rFonts w:hint="eastAsia"/>
        </w:rPr>
        <w:t>关于计划生育权利的</w:t>
      </w:r>
      <w:r>
        <w:t>1996</w:t>
      </w:r>
      <w:r>
        <w:rPr>
          <w:rFonts w:hint="eastAsia"/>
        </w:rPr>
        <w:t>年</w:t>
      </w:r>
      <w:r>
        <w:t>1</w:t>
      </w:r>
      <w:r>
        <w:rPr>
          <w:rFonts w:hint="eastAsia"/>
        </w:rPr>
        <w:t>月</w:t>
      </w:r>
      <w:r>
        <w:t>12</w:t>
      </w:r>
      <w:r>
        <w:rPr>
          <w:rFonts w:hint="eastAsia"/>
        </w:rPr>
        <w:t>日第</w:t>
      </w:r>
      <w:r>
        <w:t>9.263</w:t>
      </w:r>
      <w:r>
        <w:rPr>
          <w:rFonts w:hint="eastAsia"/>
        </w:rPr>
        <w:t>号法律规定的自愿绝育，仅适用于年龄在</w:t>
      </w:r>
      <w:r>
        <w:rPr>
          <w:rFonts w:hint="eastAsia"/>
        </w:rPr>
        <w:t>2</w:t>
      </w:r>
      <w:r>
        <w:t>5</w:t>
      </w:r>
      <w:r>
        <w:rPr>
          <w:rFonts w:hint="eastAsia"/>
        </w:rPr>
        <w:t>岁以上并且至少有两个活着的孩子的男子和妇女，条件是从表达绝育的意愿到做绝育手术之间应有</w:t>
      </w:r>
      <w:r>
        <w:t>60</w:t>
      </w:r>
      <w:r>
        <w:rPr>
          <w:rFonts w:hint="eastAsia"/>
        </w:rPr>
        <w:t>天的期</w:t>
      </w:r>
      <w:r>
        <w:rPr>
          <w:rFonts w:hint="eastAsia"/>
        </w:rPr>
        <w:t>限。在等待手术期间，当事人应有机会得到生育控制机构的服务和多学科小组的咨询服务，目的是不鼓励过早做绝育手术。如果有两名医生签名的书面报告证明妇女或未来孩子的健康有危险，那么绝育手术也是允许的。绝育手术要求当事人以书面方式表示同意，当事人只有在完全了解了绝育手术的风险、可能的副作用、修复的难度以及现有的可逆的避孕方法后才应在同意书上签字。</w:t>
      </w:r>
      <w:r>
        <w:rPr>
          <w:rStyle w:val="FootnoteReference"/>
        </w:rPr>
        <w:footnoteReference w:customMarkFollows="1" w:id="115"/>
        <w:t>115</w:t>
      </w:r>
    </w:p>
    <w:p w:rsidR="00000000" w:rsidRDefault="004D2F83" w:rsidP="004D2F83">
      <w:pPr>
        <w:spacing w:after="240" w:line="360" w:lineRule="exact"/>
        <w:ind w:firstLineChars="200" w:firstLine="31680"/>
      </w:pPr>
      <w:r>
        <w:rPr>
          <w:rFonts w:hint="eastAsia"/>
        </w:rPr>
        <w:t>在援助青少年方面目前没有任何具体的指南。这一事实使卫生小组对青少年在没有得到父母同意的情况下获得避孕手段的权利提出疑问。然而，《医疗道德守则》采用医患关系中智力发展的</w:t>
      </w:r>
      <w:r>
        <w:rPr>
          <w:rFonts w:hint="eastAsia"/>
        </w:rPr>
        <w:t>标准，明确规定尊重儿童和青少年的意见，保守职业秘密，并且提供充分援助，只要病人能够评估问题并通过自己的手段来解决问题。</w:t>
      </w:r>
    </w:p>
    <w:p w:rsidR="00000000" w:rsidRDefault="004D2F83">
      <w:pPr>
        <w:spacing w:after="240" w:line="360" w:lineRule="exact"/>
        <w:rPr>
          <w:rFonts w:eastAsia="SimHei"/>
          <w:sz w:val="24"/>
        </w:rPr>
      </w:pPr>
      <w:r>
        <w:rPr>
          <w:rFonts w:eastAsia="SimHei" w:hint="eastAsia"/>
          <w:sz w:val="24"/>
        </w:rPr>
        <w:t>艾滋病流行</w:t>
      </w:r>
    </w:p>
    <w:p w:rsidR="00000000" w:rsidRDefault="004D2F83" w:rsidP="004D2F83">
      <w:pPr>
        <w:spacing w:after="240" w:line="360" w:lineRule="exact"/>
        <w:ind w:firstLineChars="200" w:firstLine="31680"/>
      </w:pPr>
      <w:r>
        <w:rPr>
          <w:rFonts w:hint="eastAsia"/>
        </w:rPr>
        <w:t>自</w:t>
      </w:r>
      <w:r>
        <w:t>1997</w:t>
      </w:r>
      <w:r>
        <w:rPr>
          <w:rFonts w:hint="eastAsia"/>
        </w:rPr>
        <w:t>年以来，卫生部通过执行以下行动对预防怀孕期间感染艾滋病病毒和艾滋病病毒的传播给予优先关注：</w:t>
      </w:r>
      <w:r>
        <w:t>a</w:t>
      </w:r>
      <w:r>
        <w:rPr>
          <w:rFonts w:hint="eastAsia"/>
        </w:rPr>
        <w:t>）建议由公共卫生部门帮助孕妇做艾滋病病毒检查；</w:t>
      </w:r>
      <w:r>
        <w:t>b</w:t>
      </w:r>
      <w:r>
        <w:rPr>
          <w:rFonts w:hint="eastAsia"/>
        </w:rPr>
        <w:t>）培训日间医院和基础保健小组从事检查前和检查后的咨询活动；以及</w:t>
      </w:r>
      <w:r>
        <w:t>c</w:t>
      </w:r>
      <w:r>
        <w:rPr>
          <w:rFonts w:hint="eastAsia"/>
        </w:rPr>
        <w:t>）对艾滋病病毒抗体阳性的孕妇进行治疗监督并且提供</w:t>
      </w:r>
      <w:r>
        <w:t>AZT</w:t>
      </w:r>
      <w:r>
        <w:rPr>
          <w:rFonts w:hint="eastAsia"/>
        </w:rPr>
        <w:t>。</w:t>
      </w:r>
    </w:p>
    <w:p w:rsidR="00000000" w:rsidRDefault="004D2F83" w:rsidP="004D2F83">
      <w:pPr>
        <w:spacing w:after="240" w:line="360" w:lineRule="exact"/>
        <w:ind w:firstLineChars="200" w:firstLine="31680"/>
      </w:pPr>
      <w:r>
        <w:rPr>
          <w:rFonts w:hint="eastAsia"/>
        </w:rPr>
        <w:t>旨在降低艾滋病病毒感染发生率的预防性策略考虑到了流行病学方面的变化，例如艾滋病流行病呈现出女性化、贫穷和异性</w:t>
      </w:r>
      <w:r>
        <w:rPr>
          <w:rFonts w:hint="eastAsia"/>
        </w:rPr>
        <w:t>恋化等特征。然而，计划生育与性病</w:t>
      </w:r>
      <w:r>
        <w:t>/</w:t>
      </w:r>
      <w:r>
        <w:rPr>
          <w:rFonts w:hint="eastAsia"/>
        </w:rPr>
        <w:t>艾滋病预防服务之间的交互作用尚不充分。</w:t>
      </w:r>
    </w:p>
    <w:p w:rsidR="00000000" w:rsidRDefault="004D2F83">
      <w:pPr>
        <w:spacing w:after="240" w:line="360" w:lineRule="exact"/>
        <w:rPr>
          <w:rFonts w:eastAsia="SimHei"/>
          <w:sz w:val="24"/>
        </w:rPr>
      </w:pPr>
      <w:r>
        <w:rPr>
          <w:rFonts w:eastAsia="SimHei" w:hint="eastAsia"/>
          <w:sz w:val="24"/>
        </w:rPr>
        <w:t>子宫癌和乳腺癌</w:t>
      </w:r>
    </w:p>
    <w:p w:rsidR="00000000" w:rsidRDefault="004D2F83" w:rsidP="004D2F83">
      <w:pPr>
        <w:spacing w:after="240" w:line="360" w:lineRule="exact"/>
        <w:ind w:firstLineChars="200" w:firstLine="31680"/>
      </w:pPr>
      <w:r>
        <w:rPr>
          <w:rFonts w:hint="eastAsia"/>
        </w:rPr>
        <w:t>卫生部与非政府组织合作，发起了全国性宣传运动，目的是防治子宫癌和乳腺癌。</w:t>
      </w:r>
      <w:r>
        <w:t>1998</w:t>
      </w:r>
      <w:r>
        <w:rPr>
          <w:rFonts w:hint="eastAsia"/>
        </w:rPr>
        <w:t>年</w:t>
      </w:r>
      <w:r>
        <w:t>11</w:t>
      </w:r>
      <w:r>
        <w:rPr>
          <w:rFonts w:hint="eastAsia"/>
        </w:rPr>
        <w:t>月发起的全国防治子宫癌运动在数量方面产生了显著的效果。在六个星期内接受检查的</w:t>
      </w:r>
      <w:r>
        <w:t>3 263 000</w:t>
      </w:r>
      <w:r>
        <w:rPr>
          <w:rFonts w:hint="eastAsia"/>
        </w:rPr>
        <w:t>名妇女中，有</w:t>
      </w:r>
      <w:r>
        <w:t>53 900</w:t>
      </w:r>
      <w:r>
        <w:rPr>
          <w:rFonts w:hint="eastAsia"/>
        </w:rPr>
        <w:t>人患有癌症。其中</w:t>
      </w:r>
      <w:r>
        <w:t>4 700</w:t>
      </w:r>
      <w:r>
        <w:rPr>
          <w:rFonts w:hint="eastAsia"/>
        </w:rPr>
        <w:t>名妇女的癌症已经到了晚期。不过，到</w:t>
      </w:r>
      <w:r>
        <w:t>1999</w:t>
      </w:r>
      <w:r>
        <w:rPr>
          <w:rFonts w:hint="eastAsia"/>
        </w:rPr>
        <w:t>年年中，许多被诊断出癌症的妇女还没有得到治疗。尽管向妇女进行宣传的运动产生了作用，但投资长期服务是必要的，目前对公共卫生网络中的投资依然不足。鼓励乳腺</w:t>
      </w:r>
      <w:r>
        <w:rPr>
          <w:rFonts w:hint="eastAsia"/>
        </w:rPr>
        <w:t>癌自我检查的全国性运动始于</w:t>
      </w:r>
      <w:r>
        <w:t>1996</w:t>
      </w:r>
      <w:r>
        <w:rPr>
          <w:rFonts w:hint="eastAsia"/>
        </w:rPr>
        <w:t>年。从那以后，单一保健体系开展的与这一病症有关的程序的数目增加了。</w:t>
      </w:r>
    </w:p>
    <w:p w:rsidR="00000000" w:rsidRDefault="004D2F83">
      <w:pPr>
        <w:spacing w:after="240" w:line="360" w:lineRule="exact"/>
        <w:rPr>
          <w:rFonts w:eastAsia="SimHei"/>
          <w:sz w:val="24"/>
        </w:rPr>
      </w:pPr>
      <w:r>
        <w:rPr>
          <w:rFonts w:eastAsia="SimHei" w:hint="eastAsia"/>
          <w:sz w:val="24"/>
        </w:rPr>
        <w:t>司法措施</w:t>
      </w:r>
    </w:p>
    <w:p w:rsidR="00000000" w:rsidRDefault="004D2F83" w:rsidP="004D2F83">
      <w:pPr>
        <w:spacing w:after="240" w:line="360" w:lineRule="exact"/>
        <w:ind w:firstLineChars="200" w:firstLine="31680"/>
      </w:pPr>
      <w:r>
        <w:rPr>
          <w:rFonts w:hint="eastAsia"/>
        </w:rPr>
        <w:t>根据</w:t>
      </w:r>
      <w:r>
        <w:t>Themis</w:t>
      </w:r>
      <w:r>
        <w:rPr>
          <w:rFonts w:hint="eastAsia"/>
        </w:rPr>
        <w:t>——法律咨询和性研究在</w:t>
      </w:r>
      <w:r>
        <w:t>2000</w:t>
      </w:r>
      <w:r>
        <w:rPr>
          <w:rFonts w:hint="eastAsia"/>
        </w:rPr>
        <w:t>年</w:t>
      </w:r>
      <w:r>
        <w:t>3</w:t>
      </w:r>
      <w:r>
        <w:rPr>
          <w:rFonts w:hint="eastAsia"/>
        </w:rPr>
        <w:t>月所做的一项调查，</w:t>
      </w:r>
      <w:r>
        <w:rPr>
          <w:rStyle w:val="FootnoteReference"/>
        </w:rPr>
        <w:footnoteReference w:customMarkFollows="1" w:id="116"/>
        <w:t>116</w:t>
      </w:r>
      <w:r>
        <w:rPr>
          <w:rFonts w:hint="eastAsia"/>
        </w:rPr>
        <w:t>与妇女健康有关的司法判决除了数量很少外，也未纳入人权观点。判决涉及堕胎、绝育、产妇死亡和与健康保险有关的问题。</w:t>
      </w:r>
    </w:p>
    <w:p w:rsidR="00000000" w:rsidRDefault="004D2F83" w:rsidP="004D2F83">
      <w:pPr>
        <w:spacing w:after="240" w:line="360" w:lineRule="exact"/>
        <w:ind w:firstLineChars="200" w:firstLine="31680"/>
      </w:pPr>
      <w:r>
        <w:rPr>
          <w:rFonts w:hint="eastAsia"/>
        </w:rPr>
        <w:t>以造成巨大损害和痛苦及伤害为由提起的与产妇死亡有关的诉讼，主要依据的是《消费者保护法》，承认保障对侵犯消费者权利进行补偿的客观责任的论点。值得一提的是，这些诉讼依据的不是宪法和国际法文书中关于人的健康权的规定，而是</w:t>
      </w:r>
      <w:r>
        <w:rPr>
          <w:rFonts w:hint="eastAsia"/>
        </w:rPr>
        <w:t>从消费关系的角度提出的《消费者保护法》。</w:t>
      </w:r>
    </w:p>
    <w:p w:rsidR="00000000" w:rsidRDefault="004D2F83" w:rsidP="004D2F83">
      <w:pPr>
        <w:spacing w:after="240" w:line="360" w:lineRule="exact"/>
        <w:ind w:firstLineChars="200" w:firstLine="31680"/>
      </w:pPr>
      <w:r>
        <w:rPr>
          <w:rFonts w:hint="eastAsia"/>
        </w:rPr>
        <w:t>在涉及一家销售了一批不含有效成分的避孕药丸并且造成十多名妇女怀孕的医药公司的</w:t>
      </w:r>
      <w:r>
        <w:t>Schering do Brasil</w:t>
      </w:r>
      <w:r>
        <w:rPr>
          <w:rFonts w:hint="eastAsia"/>
        </w:rPr>
        <w:t>案件中，司法机构做出一项重要的决定。根据《消费者保护法》认定了公司的赔偿责任，该公司被判处赔偿这些妇女的分娩费用。</w:t>
      </w:r>
    </w:p>
    <w:p w:rsidR="00000000" w:rsidRDefault="004D2F83" w:rsidP="004D2F83">
      <w:pPr>
        <w:spacing w:after="240" w:line="360" w:lineRule="exact"/>
        <w:ind w:firstLineChars="200" w:firstLine="31680"/>
      </w:pPr>
      <w:r>
        <w:rPr>
          <w:rFonts w:hint="eastAsia"/>
        </w:rPr>
        <w:t>关于绝育的裁决，只有在须对无法律能力的妇女做输卵管结扎手术时，才授权予法官做出裁决。给予此种授权的决定主要依据的是一个无能力人怀孕不合适，而不是因为当事人在性健康和生殖健康方面的原因。</w:t>
      </w:r>
    </w:p>
    <w:p w:rsidR="00000000" w:rsidRDefault="004D2F83" w:rsidP="004D2F83">
      <w:pPr>
        <w:spacing w:after="240" w:line="360" w:lineRule="exact"/>
        <w:ind w:firstLineChars="200" w:firstLine="31680"/>
      </w:pPr>
      <w:r>
        <w:rPr>
          <w:rFonts w:hint="eastAsia"/>
        </w:rPr>
        <w:t>根据巴西法律，堕胎只限于强奸导致怀孕的情况（第</w:t>
      </w:r>
      <w:r>
        <w:t>128</w:t>
      </w:r>
      <w:r>
        <w:rPr>
          <w:rFonts w:hint="eastAsia"/>
        </w:rPr>
        <w:t>条第</w:t>
      </w:r>
      <w:r>
        <w:rPr>
          <w:rFonts w:hint="eastAsia"/>
        </w:rPr>
        <w:t>二款）或者当堕胎是保住妇女生命的唯一办法时（第</w:t>
      </w:r>
      <w:r>
        <w:t>128</w:t>
      </w:r>
      <w:r>
        <w:rPr>
          <w:rFonts w:hint="eastAsia"/>
        </w:rPr>
        <w:t>条第一款）。利用司法机构来尽量减轻这一规定的影响是一个缓慢的过程，尽管已经有了一些重大的进展，例如，有几项判决就是在有严重的发育异常，导致胚胎难以存活的情况下才授权施行堕胎手术，这样就扩大了合法堕胎的范围。这些判决依据的是保障妇女的心理健康，因为胚胎不可能存活并且妇女在怀孕过程中要遭受痛苦。尽管这些判决的数量还不多，但它们是进步的证明，特别是在刑事领域，这一领域不允许扩大或限制刑法的规定。</w:t>
      </w:r>
    </w:p>
    <w:p w:rsidR="00000000" w:rsidRDefault="004D2F83" w:rsidP="004D2F83">
      <w:pPr>
        <w:spacing w:after="240" w:line="360" w:lineRule="exact"/>
        <w:ind w:firstLineChars="200" w:firstLine="31680"/>
      </w:pPr>
      <w:r>
        <w:rPr>
          <w:rFonts w:hint="eastAsia"/>
        </w:rPr>
        <w:t>至于国家向公民提供充分援助（治疗和药物两方面）的责任，国家法院做出</w:t>
      </w:r>
      <w:r>
        <w:rPr>
          <w:rFonts w:hint="eastAsia"/>
        </w:rPr>
        <w:t>一些有根据的裁决，大多数都是因为慢性病病人（特别是艾滋病和癌症患者）提出了申诉。就艾滋病这一特殊情况而言，预防和防治艾滋病的群体有其自己的法律服务机构，由于提出的诉讼数量极大，促使政府执行了一项有关普遍和免费供应药品的政策。</w:t>
      </w:r>
    </w:p>
    <w:p w:rsidR="00000000" w:rsidRDefault="004D2F83" w:rsidP="004D2F83">
      <w:pPr>
        <w:spacing w:after="240" w:line="360" w:lineRule="exact"/>
        <w:ind w:firstLineChars="200" w:firstLine="31680"/>
      </w:pPr>
      <w:r>
        <w:rPr>
          <w:rFonts w:hint="eastAsia"/>
        </w:rPr>
        <w:t>关于免费供应药品，特别是向艾滋病病毒感染者免费供应药品的讨论，已有相当长的时间。联邦最高法院和高等法院都有一些重要判例，</w:t>
      </w:r>
      <w:r>
        <w:rPr>
          <w:rStyle w:val="FootnoteReference"/>
        </w:rPr>
        <w:footnoteReference w:customMarkFollows="1" w:id="117"/>
        <w:t>117</w:t>
      </w:r>
      <w:r>
        <w:rPr>
          <w:rFonts w:hint="eastAsia"/>
        </w:rPr>
        <w:t>确保基于健康权利供应药品。</w:t>
      </w:r>
      <w:r>
        <w:rPr>
          <w:rStyle w:val="FootnoteReference"/>
        </w:rPr>
        <w:footnoteReference w:customMarkFollows="1" w:id="118"/>
        <w:t>118</w:t>
      </w:r>
    </w:p>
    <w:p w:rsidR="00000000" w:rsidRDefault="004D2F83" w:rsidP="004D2F83">
      <w:pPr>
        <w:spacing w:after="240" w:line="360" w:lineRule="exact"/>
        <w:ind w:firstLineChars="200" w:firstLine="31680"/>
      </w:pPr>
      <w:r>
        <w:rPr>
          <w:rFonts w:hint="eastAsia"/>
        </w:rPr>
        <w:t>私营健康保险公司始终拒绝向慢性病患者提供免费医疗，这导致人们对司法部门的这些限制性规定的有效性提出质疑，司法部门已经依据《消费</w:t>
      </w:r>
      <w:r>
        <w:rPr>
          <w:rFonts w:hint="eastAsia"/>
        </w:rPr>
        <w:t>者保护法》认定这些公司滥用权利，并且禁止限制这些合同的性质所固有的或者有可能影响其客观的和契约性平衡的基本权利和义务。一再做出的裁决导致通过了上述第</w:t>
      </w:r>
      <w:r>
        <w:t>9656/98</w:t>
      </w:r>
      <w:r>
        <w:rPr>
          <w:rFonts w:hint="eastAsia"/>
        </w:rPr>
        <w:t>号法律。</w:t>
      </w:r>
    </w:p>
    <w:p w:rsidR="00000000" w:rsidRDefault="004D2F83" w:rsidP="004D2F83">
      <w:pPr>
        <w:spacing w:after="240" w:line="360" w:lineRule="exact"/>
        <w:ind w:firstLineChars="200" w:firstLine="31680"/>
      </w:pPr>
      <w:r>
        <w:rPr>
          <w:rFonts w:hint="eastAsia"/>
        </w:rPr>
        <w:t>一些州的检察院和联邦检察院，通过集团诉讼和调查，在公立医院的产妇和新生儿死亡案件中采取了及时行动。不过，关于这个问题现在还没有体制方面的政策。</w:t>
      </w:r>
    </w:p>
    <w:p w:rsidR="00000000" w:rsidRDefault="004D2F83">
      <w:pPr>
        <w:spacing w:after="240" w:line="360" w:lineRule="exact"/>
        <w:rPr>
          <w:rFonts w:eastAsia="SimHei"/>
          <w:sz w:val="24"/>
        </w:rPr>
      </w:pPr>
      <w:r>
        <w:rPr>
          <w:rFonts w:eastAsia="SimHei" w:hint="eastAsia"/>
          <w:sz w:val="24"/>
        </w:rPr>
        <w:t>因素和困难</w:t>
      </w:r>
    </w:p>
    <w:p w:rsidR="00000000" w:rsidRDefault="004D2F83" w:rsidP="004D2F83">
      <w:pPr>
        <w:spacing w:after="240" w:line="360" w:lineRule="exact"/>
        <w:ind w:firstLineChars="200" w:firstLine="31680"/>
        <w:rPr>
          <w:rFonts w:eastAsia="KaiTi_GB2312"/>
        </w:rPr>
      </w:pPr>
      <w:r>
        <w:rPr>
          <w:rFonts w:eastAsia="KaiTi_GB2312" w:hint="eastAsia"/>
        </w:rPr>
        <w:t>巴西人口的人口特点和健康特点：</w:t>
      </w:r>
    </w:p>
    <w:p w:rsidR="00000000" w:rsidRDefault="004D2F83" w:rsidP="004D2F83">
      <w:pPr>
        <w:spacing w:after="240" w:line="360" w:lineRule="exact"/>
        <w:ind w:firstLineChars="200" w:firstLine="31680"/>
        <w:rPr>
          <w:spacing w:val="4"/>
        </w:rPr>
      </w:pPr>
      <w:r>
        <w:rPr>
          <w:rFonts w:hint="eastAsia"/>
          <w:spacing w:val="4"/>
        </w:rPr>
        <w:t>巴西人口的快速城市化、实施城市保健政策（公共卫生、预防性卫生）、药品供应的进步以及与保健有关的及时行动，这种种因素导致了人口死亡率和出生率的下降以及预期</w:t>
      </w:r>
      <w:r>
        <w:rPr>
          <w:rFonts w:hint="eastAsia"/>
          <w:spacing w:val="4"/>
        </w:rPr>
        <w:t>寿命的增长</w:t>
      </w:r>
      <w:r>
        <w:rPr>
          <w:rStyle w:val="FootnoteReference"/>
          <w:spacing w:val="4"/>
        </w:rPr>
        <w:footnoteReference w:customMarkFollows="1" w:id="119"/>
        <w:t>119</w:t>
      </w:r>
      <w:r>
        <w:rPr>
          <w:rFonts w:hint="eastAsia"/>
          <w:spacing w:val="4"/>
        </w:rPr>
        <w:t>，人口流行病方面也获得巨大改善。不过，这些事实对巴西在下述方面的困难处境并没有太大影响；即可以控制和根除的、一般是穷人和生活在农村地区的人容易患上的疾病和影响发达的城市社会的疾病同时并存，</w:t>
      </w:r>
      <w:r>
        <w:rPr>
          <w:spacing w:val="4"/>
        </w:rPr>
        <w:t>1990</w:t>
      </w:r>
      <w:r>
        <w:rPr>
          <w:rFonts w:hint="eastAsia"/>
          <w:spacing w:val="4"/>
        </w:rPr>
        <w:t>年代新出现的疾病，如艾滋病，使得形势更加严峻，另外由于与城市暴力有关的外部原因也导致死亡率和发病率上升。</w:t>
      </w:r>
    </w:p>
    <w:p w:rsidR="00000000" w:rsidRDefault="004D2F83" w:rsidP="004D2F83">
      <w:pPr>
        <w:spacing w:after="240" w:line="360" w:lineRule="exact"/>
        <w:ind w:firstLineChars="200" w:firstLine="31680"/>
      </w:pPr>
      <w:r>
        <w:rPr>
          <w:rFonts w:hint="eastAsia"/>
        </w:rPr>
        <w:t>巴西的年龄组和人口状况的新结构证明了人口正在老龄化，特别是老年人口更加女性化</w:t>
      </w:r>
      <w:r>
        <w:rPr>
          <w:rStyle w:val="FootnoteReference"/>
        </w:rPr>
        <w:footnoteReference w:customMarkFollows="1" w:id="120"/>
        <w:t>120</w:t>
      </w:r>
      <w:r>
        <w:rPr>
          <w:rFonts w:hint="eastAsia"/>
        </w:rPr>
        <w:t>和以</w:t>
      </w:r>
      <w:r>
        <w:t>10</w:t>
      </w:r>
      <w:r>
        <w:rPr>
          <w:rFonts w:hint="eastAsia"/>
        </w:rPr>
        <w:t>到</w:t>
      </w:r>
      <w:r>
        <w:t>24</w:t>
      </w:r>
      <w:r>
        <w:rPr>
          <w:rFonts w:hint="eastAsia"/>
        </w:rPr>
        <w:t>岁年龄组在全体人口中比例增长为特点的“年轻潮”</w:t>
      </w:r>
      <w:r>
        <w:rPr>
          <w:rStyle w:val="FootnoteReference"/>
        </w:rPr>
        <w:footnoteReference w:customMarkFollows="1" w:id="121"/>
        <w:t>121</w:t>
      </w:r>
      <w:r>
        <w:rPr>
          <w:rFonts w:hint="eastAsia"/>
        </w:rPr>
        <w:t>，这就勾勒出对于社会政策和保健行动的新的需求特</w:t>
      </w:r>
      <w:r>
        <w:rPr>
          <w:rFonts w:hint="eastAsia"/>
        </w:rPr>
        <w:t>点。</w:t>
      </w:r>
    </w:p>
    <w:p w:rsidR="00000000" w:rsidRDefault="004D2F83" w:rsidP="004D2F83">
      <w:pPr>
        <w:spacing w:after="240" w:line="360" w:lineRule="exact"/>
        <w:ind w:firstLineChars="200" w:firstLine="31680"/>
      </w:pPr>
      <w:r>
        <w:rPr>
          <w:rFonts w:hint="eastAsia"/>
        </w:rPr>
        <w:t>巴西的这种情况由于显著的并且依然存在的社会经济、性别和种族不平等以及区域差异而更趋加重，这些问题所涉意义重大，在给予关注的同时也须采取具体的干预行动，以建立一种起码的可以接受的平衡状态。</w:t>
      </w:r>
    </w:p>
    <w:p w:rsidR="00000000" w:rsidRDefault="004D2F83" w:rsidP="004D2F83">
      <w:pPr>
        <w:spacing w:after="240" w:line="360" w:lineRule="exact"/>
        <w:ind w:firstLineChars="200" w:firstLine="31680"/>
      </w:pPr>
      <w:r>
        <w:rPr>
          <w:rFonts w:hint="eastAsia"/>
        </w:rPr>
        <w:t>保健对福利以及国家的社会、经济和政治发展来说都是一个不可或缺的因素。然而，保健系统在促进人民的保健条件发生深刻变化方面，却受到了许多限制。保健机构权利下放过程以及</w:t>
      </w:r>
      <w:r>
        <w:t>1990</w:t>
      </w:r>
      <w:r>
        <w:rPr>
          <w:rFonts w:hint="eastAsia"/>
        </w:rPr>
        <w:t>年代中期卫生部门采取的多种行动使得享受服务的情况有了显著改善，直到今天仍然如此。决策和保健质量方面仍然有待改进，但要促进在发病率和死亡率方面发生彻底</w:t>
      </w:r>
      <w:r>
        <w:rPr>
          <w:rFonts w:hint="eastAsia"/>
        </w:rPr>
        <w:t>的变化，还需要实施意义深远的跨部门措施，改善住房、卫生、营养、工作和教育条件。巴西目前的情况和发展前景受制于严重的国际结构性危机，为此需要进行重大的经济结构调整，以制订、执行和巩固民主制度，并确保减少社会不平等现象。</w:t>
      </w:r>
    </w:p>
    <w:p w:rsidR="00000000" w:rsidRDefault="004D2F83" w:rsidP="004D2F83">
      <w:pPr>
        <w:spacing w:after="240" w:line="360" w:lineRule="exact"/>
        <w:ind w:firstLineChars="200" w:firstLine="31680"/>
        <w:rPr>
          <w:rFonts w:eastAsia="KaiTi_GB2312"/>
        </w:rPr>
      </w:pPr>
    </w:p>
    <w:p w:rsidR="00000000" w:rsidRDefault="004D2F83" w:rsidP="004D2F83">
      <w:pPr>
        <w:spacing w:after="240" w:line="360" w:lineRule="exact"/>
        <w:ind w:firstLineChars="200" w:firstLine="31680"/>
        <w:rPr>
          <w:rFonts w:eastAsia="KaiTi_GB2312"/>
        </w:rPr>
      </w:pPr>
      <w:r>
        <w:rPr>
          <w:rFonts w:eastAsia="KaiTi_GB2312" w:hint="eastAsia"/>
        </w:rPr>
        <w:t>巴西妇女的保健情况：</w:t>
      </w:r>
    </w:p>
    <w:p w:rsidR="00000000" w:rsidRDefault="004D2F83" w:rsidP="004D2F83">
      <w:pPr>
        <w:spacing w:after="240" w:line="360" w:lineRule="exact"/>
        <w:ind w:firstLineChars="200" w:firstLine="31680"/>
      </w:pPr>
      <w:r>
        <w:t>1998</w:t>
      </w:r>
      <w:r>
        <w:rPr>
          <w:rFonts w:hint="eastAsia"/>
        </w:rPr>
        <w:t>年，在单一保健系统下，妇女住院治疗率占全部住院人数的</w:t>
      </w:r>
      <w:r>
        <w:rPr>
          <w:rFonts w:hint="eastAsia"/>
        </w:rPr>
        <w:t>6</w:t>
      </w:r>
      <w:r>
        <w:t>3%</w:t>
      </w:r>
      <w:r>
        <w:rPr>
          <w:rFonts w:hint="eastAsia"/>
        </w:rPr>
        <w:t>。主要原因是住院分娩，其次是与呼吸系统、循环系统和消化系统有关的疾病。传染病和寄生虫病是住院治疗的第四个原因，然后是生殖泌尿系统的疾病。因为精神和行为方面的疾病住院治疗的主要是妇女（</w:t>
      </w:r>
      <w:r>
        <w:t>64%</w:t>
      </w:r>
      <w:r>
        <w:rPr>
          <w:rFonts w:hint="eastAsia"/>
        </w:rPr>
        <w:t>）。</w:t>
      </w:r>
      <w:r>
        <w:rPr>
          <w:rStyle w:val="FootnoteReference"/>
        </w:rPr>
        <w:footnoteReference w:customMarkFollows="1" w:id="122"/>
        <w:t>122</w:t>
      </w:r>
    </w:p>
    <w:p w:rsidR="00000000" w:rsidRDefault="004D2F83" w:rsidP="004D2F83">
      <w:pPr>
        <w:spacing w:after="240" w:line="360" w:lineRule="exact"/>
        <w:ind w:firstLineChars="200" w:firstLine="31680"/>
      </w:pPr>
      <w:r>
        <w:rPr>
          <w:rFonts w:hint="eastAsia"/>
        </w:rPr>
        <w:t>在妇</w:t>
      </w:r>
      <w:r>
        <w:rPr>
          <w:rFonts w:hint="eastAsia"/>
        </w:rPr>
        <w:t>女保健充分援助计划实施十五年后，妇女运动特别是在保健领域进行的一项评估表明，该计划的效果和影响还不足以满足巴西妇女的需要。目前，妇女运动力图参照人口与发展会议（开罗）和妇女问题世界会议（北京）的精神，重新制订计划。不过，应该强调指出的是，该计划没有按照最初的设想完全付诸实施，现在，技术人员的职责包括</w:t>
      </w:r>
      <w:r>
        <w:rPr>
          <w:rStyle w:val="FootnoteReference"/>
        </w:rPr>
        <w:footnoteReference w:customMarkFollows="1" w:id="123"/>
        <w:t>123</w:t>
      </w:r>
      <w:r>
        <w:rPr>
          <w:rFonts w:hint="eastAsia"/>
        </w:rPr>
        <w:t>开展有关产前和生产护理的行动、提供计划生育援助、预防艾滋病在妇女和新生儿中间传播以及打击对妇女的暴力行为。</w:t>
      </w:r>
    </w:p>
    <w:p w:rsidR="00000000" w:rsidRDefault="004D2F83" w:rsidP="004D2F83">
      <w:pPr>
        <w:spacing w:after="240" w:line="360" w:lineRule="exact"/>
        <w:ind w:firstLineChars="200" w:firstLine="31680"/>
      </w:pPr>
      <w:r>
        <w:rPr>
          <w:rFonts w:hint="eastAsia"/>
        </w:rPr>
        <w:t>产妇死亡率是巴西最严重的健康问题之一。</w:t>
      </w:r>
      <w:r>
        <w:t>1990</w:t>
      </w:r>
      <w:r>
        <w:rPr>
          <w:rFonts w:hint="eastAsia"/>
        </w:rPr>
        <w:t>年代初，产妇死亡率达到每</w:t>
      </w:r>
      <w:r>
        <w:t>100 000</w:t>
      </w:r>
      <w:r>
        <w:rPr>
          <w:rFonts w:hint="eastAsia"/>
        </w:rPr>
        <w:t>例活产死亡</w:t>
      </w:r>
      <w:r>
        <w:t>11</w:t>
      </w:r>
      <w:r>
        <w:t>4.20</w:t>
      </w:r>
      <w:r>
        <w:rPr>
          <w:rFonts w:hint="eastAsia"/>
        </w:rPr>
        <w:t>人。官方数据表明，产妇死亡率在过去十年间有了很大的下降。在</w:t>
      </w:r>
      <w:r>
        <w:t>1995-1997</w:t>
      </w:r>
      <w:r>
        <w:rPr>
          <w:rFonts w:hint="eastAsia"/>
        </w:rPr>
        <w:t>年间，产妇死亡率大约为</w:t>
      </w:r>
      <w:r>
        <w:t>57.17/100 000</w:t>
      </w:r>
      <w:r>
        <w:rPr>
          <w:rFonts w:hint="eastAsia"/>
        </w:rPr>
        <w:t>，</w:t>
      </w:r>
      <w:r>
        <w:t>1998</w:t>
      </w:r>
      <w:r>
        <w:rPr>
          <w:rFonts w:hint="eastAsia"/>
        </w:rPr>
        <w:t>年为</w:t>
      </w:r>
      <w:r>
        <w:t>40/100 000</w:t>
      </w:r>
      <w:r>
        <w:rPr>
          <w:rFonts w:hint="eastAsia"/>
        </w:rPr>
        <w:t>。卫生部向产妇死亡率问题议会调查委员会（</w:t>
      </w:r>
      <w:r>
        <w:t>2001</w:t>
      </w:r>
      <w:r>
        <w:rPr>
          <w:rFonts w:hint="eastAsia"/>
        </w:rPr>
        <w:t>年</w:t>
      </w:r>
      <w:r>
        <w:t>8</w:t>
      </w:r>
      <w:r>
        <w:rPr>
          <w:rFonts w:hint="eastAsia"/>
        </w:rPr>
        <w:t>月结束）提供的信息表明，在</w:t>
      </w:r>
      <w:r>
        <w:t>1998</w:t>
      </w:r>
      <w:r>
        <w:rPr>
          <w:rFonts w:hint="eastAsia"/>
        </w:rPr>
        <w:t>年，产妇死亡的最主要的原因是高血压（</w:t>
      </w:r>
      <w:r>
        <w:t>12%</w:t>
      </w:r>
      <w:r>
        <w:rPr>
          <w:rFonts w:hint="eastAsia"/>
        </w:rPr>
        <w:t>）、大出血（</w:t>
      </w:r>
      <w:r>
        <w:t>6.7%</w:t>
      </w:r>
      <w:r>
        <w:rPr>
          <w:rFonts w:hint="eastAsia"/>
        </w:rPr>
        <w:t>）；因怀孕、分娩和产后综合症而加重的循环系统的疾病（</w:t>
      </w:r>
      <w:r>
        <w:t>5.7%</w:t>
      </w:r>
      <w:r>
        <w:rPr>
          <w:rFonts w:hint="eastAsia"/>
        </w:rPr>
        <w:t>）；产后感染（</w:t>
      </w:r>
      <w:r>
        <w:t>3.9%</w:t>
      </w:r>
      <w:r>
        <w:rPr>
          <w:rFonts w:hint="eastAsia"/>
        </w:rPr>
        <w:t>）；和堕胎（</w:t>
      </w:r>
      <w:r>
        <w:t>2.2%</w:t>
      </w:r>
      <w:r>
        <w:rPr>
          <w:rFonts w:hint="eastAsia"/>
        </w:rPr>
        <w:t>）。堕胎问题可能比这一数据所显示的还有严重，因为，由于堕胎被定性为犯罪，就有可能报告的病例并不完</w:t>
      </w:r>
      <w:r>
        <w:rPr>
          <w:rFonts w:hint="eastAsia"/>
        </w:rPr>
        <w:t>全。在产妇死亡的间接原因中，最重要的原因是贫血，这可以导致大出血和感染、疟疾、肝炎、心脏病和艾滋病。直接的分娩原因占</w:t>
      </w:r>
      <w:r>
        <w:t>60.9%</w:t>
      </w:r>
      <w:r>
        <w:rPr>
          <w:rFonts w:hint="eastAsia"/>
        </w:rPr>
        <w:t>，这表明需要改善获得保健服务的机会和保健的质量。在巴西，产妇死亡率的实际水平还不得而知，因为既缺乏记录，通报工作也做得不好。</w:t>
      </w:r>
    </w:p>
    <w:p w:rsidR="00000000" w:rsidRDefault="004D2F83" w:rsidP="004D2F83">
      <w:pPr>
        <w:spacing w:after="240" w:line="360" w:lineRule="exact"/>
        <w:ind w:firstLineChars="200" w:firstLine="31680"/>
      </w:pPr>
      <w:r>
        <w:rPr>
          <w:rFonts w:hint="eastAsia"/>
        </w:rPr>
        <w:t>不安全堕胎是危害妇女健康的另一重大因素。在</w:t>
      </w:r>
      <w:r>
        <w:t>1998</w:t>
      </w:r>
      <w:r>
        <w:rPr>
          <w:rFonts w:hint="eastAsia"/>
        </w:rPr>
        <w:t>年，堕胎是在单一保健体系下住院的第五大原因，由于与输卵管有关的原因，堕胎造成产妇死亡和不育。开展和扩大堕胎服务以对法律所允许的堕胎提供援助，以及开展计划生育服务，这对于妇女的健康具有迫切而重要的意义。不把堕胎列</w:t>
      </w:r>
      <w:r>
        <w:rPr>
          <w:rFonts w:hint="eastAsia"/>
        </w:rPr>
        <w:t>为犯罪行为，此举目前依然阻力重重，特别是在与天主教有关的社会阶层。巴西妇女运动始终致力于促进相关的进步项目，以期修订反对堕胎的惩罚性和压制性法律，并将堕胎做法看作是一个公共健康问题。</w:t>
      </w:r>
    </w:p>
    <w:p w:rsidR="00000000" w:rsidRDefault="004D2F83" w:rsidP="004D2F83">
      <w:pPr>
        <w:spacing w:after="240" w:line="360" w:lineRule="exact"/>
        <w:ind w:firstLineChars="200" w:firstLine="31680"/>
      </w:pPr>
      <w:r>
        <w:rPr>
          <w:rFonts w:hint="eastAsia"/>
        </w:rPr>
        <w:t>子宫癌和乳腺癌占妇女所患所有恶性肿瘤疾病的</w:t>
      </w:r>
      <w:r>
        <w:t>15%</w:t>
      </w:r>
      <w:r>
        <w:rPr>
          <w:rFonts w:hint="eastAsia"/>
        </w:rPr>
        <w:t>。全国癌症学会关于</w:t>
      </w:r>
      <w:r>
        <w:t>1998</w:t>
      </w:r>
      <w:r>
        <w:rPr>
          <w:rFonts w:hint="eastAsia"/>
        </w:rPr>
        <w:t>年的数据表明，</w:t>
      </w:r>
      <w:r>
        <w:t>570</w:t>
      </w:r>
      <w:r>
        <w:rPr>
          <w:rFonts w:hint="eastAsia"/>
        </w:rPr>
        <w:t>万年龄在</w:t>
      </w:r>
      <w:r>
        <w:t>35</w:t>
      </w:r>
      <w:r>
        <w:rPr>
          <w:rFonts w:hint="eastAsia"/>
        </w:rPr>
        <w:t>到</w:t>
      </w:r>
      <w:r>
        <w:t>49</w:t>
      </w:r>
      <w:r>
        <w:rPr>
          <w:rFonts w:hint="eastAsia"/>
        </w:rPr>
        <w:t>岁的妇女从来没有做过</w:t>
      </w:r>
      <w:r>
        <w:t>Pap</w:t>
      </w:r>
      <w:r>
        <w:rPr>
          <w:rFonts w:hint="eastAsia"/>
        </w:rPr>
        <w:t>涂片检查。</w:t>
      </w:r>
      <w:r>
        <w:rPr>
          <w:rStyle w:val="FootnoteReference"/>
        </w:rPr>
        <w:footnoteReference w:customMarkFollows="1" w:id="124"/>
        <w:t>124</w:t>
      </w:r>
    </w:p>
    <w:p w:rsidR="00000000" w:rsidRDefault="004D2F83" w:rsidP="004D2F83">
      <w:pPr>
        <w:spacing w:after="240" w:line="360" w:lineRule="exact"/>
        <w:ind w:firstLineChars="200" w:firstLine="31680"/>
      </w:pPr>
      <w:r>
        <w:rPr>
          <w:rFonts w:hint="eastAsia"/>
        </w:rPr>
        <w:t>在巴西感染艾滋病病毒的妇女人数有所上升。</w:t>
      </w:r>
      <w:r>
        <w:t>1986</w:t>
      </w:r>
      <w:r>
        <w:rPr>
          <w:rFonts w:hint="eastAsia"/>
        </w:rPr>
        <w:t>年，感染艾滋病病毒的妇女与男子的比例是</w:t>
      </w:r>
      <w:r>
        <w:t>1</w:t>
      </w:r>
      <w:r>
        <w:rPr>
          <w:rFonts w:hint="eastAsia"/>
        </w:rPr>
        <w:t>比</w:t>
      </w:r>
      <w:r>
        <w:t>16</w:t>
      </w:r>
      <w:r>
        <w:rPr>
          <w:rFonts w:hint="eastAsia"/>
        </w:rPr>
        <w:t>。而今天，男</w:t>
      </w:r>
      <w:r>
        <w:t>/</w:t>
      </w:r>
      <w:r>
        <w:rPr>
          <w:rFonts w:hint="eastAsia"/>
        </w:rPr>
        <w:t>女比例是</w:t>
      </w:r>
      <w:r>
        <w:t>2/1</w:t>
      </w:r>
      <w:r>
        <w:rPr>
          <w:rFonts w:hint="eastAsia"/>
        </w:rPr>
        <w:t>，在某些地区甚至达到</w:t>
      </w:r>
      <w:r>
        <w:t>1/1</w:t>
      </w:r>
      <w:r>
        <w:rPr>
          <w:rFonts w:hint="eastAsia"/>
        </w:rPr>
        <w:t>。妇女中的艾滋病毒</w:t>
      </w:r>
      <w:r>
        <w:t>/</w:t>
      </w:r>
      <w:r>
        <w:rPr>
          <w:rFonts w:hint="eastAsia"/>
        </w:rPr>
        <w:t>艾滋</w:t>
      </w:r>
      <w:r>
        <w:rPr>
          <w:rFonts w:hint="eastAsia"/>
        </w:rPr>
        <w:t>病流行情况表明受到感染的主要是年轻人：</w:t>
      </w:r>
      <w:r>
        <w:t>40%</w:t>
      </w:r>
      <w:r>
        <w:rPr>
          <w:rFonts w:hint="eastAsia"/>
        </w:rPr>
        <w:t>的感染者年龄在</w:t>
      </w:r>
      <w:r>
        <w:t>30</w:t>
      </w:r>
      <w:r>
        <w:rPr>
          <w:rFonts w:hint="eastAsia"/>
        </w:rPr>
        <w:t>岁以下，这表明感染发生在年纪很轻的时候。平均而言，女性感染者比男性感染者年轻，受教育少：大约半数的女性感染者所受正规教育不足八年。诊断过迟和随后在采取治疗措施中的延误，导致艾滋病病毒抗体阴性的妇女发病率和死亡率较高以及在诊断出疾病后的存活率低。尽管免费发放药品在降低与艾滋病有关的死亡率方面具有重要作用，但来自卫生部的官方数据</w:t>
      </w:r>
      <w:r>
        <w:rPr>
          <w:rStyle w:val="FootnoteReference"/>
        </w:rPr>
        <w:footnoteReference w:customMarkFollows="1" w:id="125"/>
        <w:t>125</w:t>
      </w:r>
      <w:r>
        <w:rPr>
          <w:rFonts w:hint="eastAsia"/>
        </w:rPr>
        <w:t>显示，男性死亡率从</w:t>
      </w:r>
      <w:r>
        <w:t>1995</w:t>
      </w:r>
      <w:r>
        <w:rPr>
          <w:rFonts w:hint="eastAsia"/>
        </w:rPr>
        <w:t>年的</w:t>
      </w:r>
      <w:r>
        <w:t>15.16%</w:t>
      </w:r>
      <w:r>
        <w:rPr>
          <w:rFonts w:hint="eastAsia"/>
        </w:rPr>
        <w:t>下降到</w:t>
      </w:r>
      <w:r>
        <w:t>1996</w:t>
      </w:r>
      <w:r>
        <w:rPr>
          <w:rFonts w:hint="eastAsia"/>
        </w:rPr>
        <w:t>年的</w:t>
      </w:r>
      <w:r>
        <w:t>14.43%</w:t>
      </w:r>
      <w:r>
        <w:rPr>
          <w:rFonts w:hint="eastAsia"/>
        </w:rPr>
        <w:t>，但同时妇女的死亡率却从</w:t>
      </w:r>
      <w:r>
        <w:t>1995</w:t>
      </w:r>
      <w:r>
        <w:rPr>
          <w:rFonts w:hint="eastAsia"/>
        </w:rPr>
        <w:t>年的</w:t>
      </w:r>
      <w:r>
        <w:t>4.53%</w:t>
      </w:r>
      <w:r>
        <w:rPr>
          <w:rFonts w:hint="eastAsia"/>
        </w:rPr>
        <w:t>上升到了</w:t>
      </w:r>
      <w:r>
        <w:t>1996</w:t>
      </w:r>
      <w:r>
        <w:rPr>
          <w:rFonts w:hint="eastAsia"/>
        </w:rPr>
        <w:t>年的</w:t>
      </w:r>
      <w:r>
        <w:t>4.</w:t>
      </w:r>
      <w:r>
        <w:rPr>
          <w:rFonts w:hint="eastAsia"/>
        </w:rPr>
        <w:t>81</w:t>
      </w:r>
      <w:r>
        <w:t>%</w:t>
      </w:r>
      <w:r>
        <w:rPr>
          <w:rFonts w:hint="eastAsia"/>
        </w:rPr>
        <w:t>。尽管流行病学和社会文化方面的因素可以解释妇女死亡率较高的原因，但女性感染者体内的激素性质和艾滋病毒的生物活性差异因素受到质疑，因为很少有研究涉及药物对女性肌体的影响。</w:t>
      </w:r>
    </w:p>
    <w:p w:rsidR="00000000" w:rsidRDefault="004D2F83" w:rsidP="004D2F83">
      <w:pPr>
        <w:spacing w:after="240" w:line="360" w:lineRule="exact"/>
        <w:ind w:firstLineChars="200" w:firstLine="31680"/>
      </w:pPr>
      <w:r>
        <w:rPr>
          <w:rFonts w:hint="eastAsia"/>
        </w:rPr>
        <w:t>巴西年轻妇女的保健情况是一个令人担心的问题，需要给予特别关注。根据</w:t>
      </w:r>
      <w:r>
        <w:t>DATASUS</w:t>
      </w:r>
      <w:r>
        <w:rPr>
          <w:rFonts w:hint="eastAsia"/>
        </w:rPr>
        <w:t>，</w:t>
      </w:r>
      <w:r>
        <w:rPr>
          <w:rStyle w:val="FootnoteReference"/>
        </w:rPr>
        <w:footnoteReference w:customMarkFollows="1" w:id="126"/>
        <w:t>126</w:t>
      </w:r>
      <w:r>
        <w:t>1997</w:t>
      </w:r>
      <w:r>
        <w:rPr>
          <w:rFonts w:hint="eastAsia"/>
        </w:rPr>
        <w:t>年，在单一保健体系下分娩的孕妇中，</w:t>
      </w:r>
      <w:r>
        <w:rPr>
          <w:rFonts w:hint="eastAsia"/>
        </w:rPr>
        <w:t>24%</w:t>
      </w:r>
      <w:r>
        <w:rPr>
          <w:rFonts w:hint="eastAsia"/>
        </w:rPr>
        <w:t>是青少年。另外要强调的是，</w:t>
      </w:r>
      <w:r>
        <w:t>15-19</w:t>
      </w:r>
      <w:r>
        <w:rPr>
          <w:rFonts w:hint="eastAsia"/>
        </w:rPr>
        <w:t>岁年龄段的青少年做堕胎后刮宫术的人数，以及感染艾滋病病毒的少女的人数有所上升。自</w:t>
      </w:r>
      <w:r>
        <w:t>1993</w:t>
      </w:r>
      <w:r>
        <w:rPr>
          <w:rFonts w:hint="eastAsia"/>
        </w:rPr>
        <w:t>年以来，少女分娩呈上升趋势，这证实了一些关于人们年纪</w:t>
      </w:r>
      <w:r>
        <w:rPr>
          <w:rFonts w:hint="eastAsia"/>
        </w:rPr>
        <w:t>很青就开始过性生活的研究结论。数据还显示出上学时间与少女怀孕发生率呈反比，也就是说，低收入的少女更有可能在青少年时期怀孕；各种避孕手段的供应不足；获得生殖和性保健服务的机会有限，原因是年轻人怕被别人知道，甚至还因为在获得这些服务方面存在法律障碍，例如，规定要求此项援助须在父母或监护人在场的情况下提供。</w:t>
      </w:r>
    </w:p>
    <w:p w:rsidR="00000000" w:rsidRDefault="004D2F83" w:rsidP="004D2F83">
      <w:pPr>
        <w:spacing w:after="240" w:line="360" w:lineRule="exact"/>
        <w:ind w:firstLineChars="200" w:firstLine="31680"/>
      </w:pPr>
      <w:r>
        <w:rPr>
          <w:rFonts w:hint="eastAsia"/>
        </w:rPr>
        <w:t>最后，在分析规范行动时发现帮助怀孕少女的问题没有得到特别的关注。对这一疏忽应该提出质疑，因为少女怀孕有特殊的和不同的特点，这需要采取更具针对性的行动。</w:t>
      </w:r>
    </w:p>
    <w:p w:rsidR="00000000" w:rsidRDefault="004D2F83" w:rsidP="004D2F83">
      <w:pPr>
        <w:spacing w:after="240" w:line="360" w:lineRule="exact"/>
        <w:ind w:firstLineChars="200" w:firstLine="31680"/>
      </w:pPr>
      <w:r>
        <w:rPr>
          <w:rFonts w:hint="eastAsia"/>
        </w:rPr>
        <w:t>暴力侵害妇女，包括性暴力，在巴西是一个严重的问题。然而，</w:t>
      </w:r>
      <w:r>
        <w:rPr>
          <w:rFonts w:hint="eastAsia"/>
        </w:rPr>
        <w:t>大多数受到侵害的妇女出于感到难堪或者害怕而没有提出控告，特别是当暴力行为发生在家庭内部时。此外，没有记录说明这些暴力行为对妇女健康所造成的后果。政府和非政府组织发起的若干运动加强了旨在使这一问题引起公众更多注意的主动行动。</w:t>
      </w:r>
    </w:p>
    <w:p w:rsidR="00000000" w:rsidRDefault="004D2F83" w:rsidP="004D2F83">
      <w:pPr>
        <w:spacing w:after="240" w:line="360" w:lineRule="exact"/>
        <w:ind w:firstLineChars="200" w:firstLine="31680"/>
      </w:pPr>
      <w:r>
        <w:rPr>
          <w:rFonts w:hint="eastAsia"/>
          <w:spacing w:val="4"/>
        </w:rPr>
        <w:t>社会经济指标显然在几乎所有方面都不利于黑人民众。这一事实反映在各个年龄段的黑人妇女的死亡率较高上。最近的研究联系某些疾病，如高血压、二型糖尿病和子宫肌瘤，就各种变量——生物、行为、文化和社会等方面的变量——在影响黑人的发病率和死亡率方面的作用开展了讨论。这些研究还不够充分</w:t>
      </w:r>
      <w:r>
        <w:rPr>
          <w:rStyle w:val="FootnoteReference"/>
          <w:spacing w:val="4"/>
        </w:rPr>
        <w:footnoteReference w:customMarkFollows="1" w:id="127"/>
        <w:t>127</w:t>
      </w:r>
      <w:r>
        <w:rPr>
          <w:rFonts w:hint="eastAsia"/>
          <w:spacing w:val="4"/>
        </w:rPr>
        <w:t>。</w:t>
      </w:r>
      <w:r>
        <w:rPr>
          <w:rFonts w:hint="eastAsia"/>
        </w:rPr>
        <w:t>关于黑人</w:t>
      </w:r>
      <w:r>
        <w:rPr>
          <w:rFonts w:hint="eastAsia"/>
        </w:rPr>
        <w:t>中最常见的遗传性疾病——镰状细胞性贫血，自</w:t>
      </w:r>
      <w:r>
        <w:t>1996</w:t>
      </w:r>
      <w:r>
        <w:rPr>
          <w:rFonts w:hint="eastAsia"/>
        </w:rPr>
        <w:t>年以来已就其提出一项方案，但其实施工作还有待完成。</w:t>
      </w:r>
      <w:r>
        <w:rPr>
          <w:rStyle w:val="FootnoteReference"/>
        </w:rPr>
        <w:footnoteReference w:customMarkFollows="1" w:id="128"/>
        <w:t>128</w:t>
      </w:r>
    </w:p>
    <w:p w:rsidR="00000000" w:rsidRDefault="004D2F83" w:rsidP="004D2F83">
      <w:pPr>
        <w:pStyle w:val="BodyText"/>
        <w:spacing w:after="240" w:line="360" w:lineRule="exact"/>
        <w:ind w:firstLineChars="200" w:firstLine="31680"/>
        <w:rPr>
          <w:sz w:val="21"/>
        </w:rPr>
      </w:pPr>
      <w:r>
        <w:rPr>
          <w:rFonts w:hint="eastAsia"/>
          <w:sz w:val="21"/>
        </w:rPr>
        <w:t>我们可以看到政府在逐步满足公民社会的要求，表明其有政治意愿采取行动和对妇女给予优先关注。这些行动现已制订，如果实施顺利并且资金充足，将会逐渐改善对妇女的援助。最近刚刚制订了各种计划和项目，它们能否得到全面实施，还将取决于各州市委员会对当地社区的动员和它们的努力。</w:t>
      </w:r>
    </w:p>
    <w:p w:rsidR="00000000" w:rsidRDefault="004D2F83">
      <w:pPr>
        <w:spacing w:after="240" w:line="360" w:lineRule="exact"/>
        <w:rPr>
          <w:rFonts w:eastAsia="SimHei"/>
          <w:sz w:val="24"/>
        </w:rPr>
      </w:pPr>
      <w:r>
        <w:rPr>
          <w:rFonts w:eastAsia="SimHei" w:hint="eastAsia"/>
          <w:sz w:val="24"/>
        </w:rPr>
        <w:t>保健模式的改变</w:t>
      </w:r>
    </w:p>
    <w:p w:rsidR="00000000" w:rsidRDefault="004D2F83" w:rsidP="004D2F83">
      <w:pPr>
        <w:spacing w:after="240" w:line="360" w:lineRule="exact"/>
        <w:ind w:firstLineChars="200" w:firstLine="31680"/>
      </w:pPr>
      <w:r>
        <w:t>1980</w:t>
      </w:r>
      <w:r>
        <w:rPr>
          <w:rFonts w:hint="eastAsia"/>
        </w:rPr>
        <w:t>年代的特点是为重建民主而斗争以及有关妇女大量绝育的报告，更不必说在</w:t>
      </w:r>
      <w:r>
        <w:t>1964-1985</w:t>
      </w:r>
      <w:r>
        <w:rPr>
          <w:rFonts w:hint="eastAsia"/>
        </w:rPr>
        <w:t>年独裁政府期间无视人的境况现象。</w:t>
      </w:r>
      <w:r>
        <w:rPr>
          <w:rFonts w:hint="eastAsia"/>
        </w:rPr>
        <w:t>在世界范围内的动员活动和</w:t>
      </w:r>
      <w:r>
        <w:t>1970</w:t>
      </w:r>
      <w:r>
        <w:rPr>
          <w:rFonts w:hint="eastAsia"/>
        </w:rPr>
        <w:t>年代，也就是独裁期间在巴西启动的卫生改革进程的支持下，展开了关于公共卫生的新一轮的讨论，将健康定义为公民的一项社会权利。</w:t>
      </w:r>
    </w:p>
    <w:p w:rsidR="00000000" w:rsidRDefault="004D2F83" w:rsidP="004D2F83">
      <w:pPr>
        <w:spacing w:after="240" w:line="360" w:lineRule="exact"/>
        <w:ind w:firstLineChars="200" w:firstLine="31680"/>
      </w:pPr>
      <w:r>
        <w:rPr>
          <w:rFonts w:hint="eastAsia"/>
        </w:rPr>
        <w:t>改革运动使得统一和分散保健系统得以建立，该体系力图纠正由社会保障机构和卫生部及各州州保健秘书处分担责任的保健模式造成的不正常情况，社会保障机构的覆盖范围倾向于治疗医学并且只包括向社会保障体系缴纳费用的参加正规劳动力市场的人，而卫生部和各州州保健秘书处更倾向于预防医学并且向没有向社会保障体系缴纳费用的人提供援助。</w:t>
      </w:r>
    </w:p>
    <w:p w:rsidR="00000000" w:rsidRDefault="004D2F83" w:rsidP="004D2F83">
      <w:pPr>
        <w:spacing w:after="240" w:line="360" w:lineRule="exact"/>
        <w:ind w:firstLineChars="200" w:firstLine="31680"/>
      </w:pPr>
      <w:r>
        <w:rPr>
          <w:rFonts w:hint="eastAsia"/>
        </w:rPr>
        <w:t>简单地说，</w:t>
      </w:r>
      <w:r>
        <w:t>1980</w:t>
      </w:r>
      <w:r>
        <w:rPr>
          <w:rFonts w:hint="eastAsia"/>
        </w:rPr>
        <w:t>年代开始了权力下放和保健模</w:t>
      </w:r>
      <w:r>
        <w:rPr>
          <w:rFonts w:hint="eastAsia"/>
        </w:rPr>
        <w:t>式普遍化的进程和社会保障改革，从而扩大了援助的覆盖范围。</w:t>
      </w:r>
      <w:r>
        <w:t>1980</w:t>
      </w:r>
      <w:r>
        <w:rPr>
          <w:rFonts w:hint="eastAsia"/>
        </w:rPr>
        <w:t>年代还发起了以特定人口阶层为目标的垂直方案，例如妇女保健计划。</w:t>
      </w:r>
    </w:p>
    <w:p w:rsidR="00000000" w:rsidRDefault="004D2F83" w:rsidP="004D2F83">
      <w:pPr>
        <w:spacing w:after="240" w:line="360" w:lineRule="exact"/>
        <w:ind w:firstLineChars="200" w:firstLine="31680"/>
      </w:pPr>
      <w:r>
        <w:t>1988</w:t>
      </w:r>
      <w:r>
        <w:rPr>
          <w:rFonts w:hint="eastAsia"/>
        </w:rPr>
        <w:t>年完成的民主化和立宪过程巩固了健康作为一项权利在新的法律和机构计划中的地位，是仅次于福利和社会援助的社会保障体系的一个组成部分。巴西在教育和文化领域，以及在家庭、儿童、青少年和老年人享受国家提供的特殊保护的权利方面都取得了进展。</w:t>
      </w:r>
      <w:r>
        <w:t>1990</w:t>
      </w:r>
      <w:r>
        <w:rPr>
          <w:rFonts w:hint="eastAsia"/>
        </w:rPr>
        <w:t>年代对于巩固民主和按照宪法计划和巴西作出的国际承诺调整宪法之下的立法过程具有决定性意义。</w:t>
      </w:r>
    </w:p>
    <w:p w:rsidR="00000000" w:rsidRDefault="004D2F83" w:rsidP="004D2F83">
      <w:pPr>
        <w:tabs>
          <w:tab w:val="right" w:leader="dot" w:pos="9720"/>
        </w:tabs>
        <w:spacing w:after="120" w:line="360" w:lineRule="exact"/>
        <w:ind w:left="479" w:rightChars="377" w:right="31680" w:firstLineChars="200" w:firstLine="31680"/>
      </w:pPr>
    </w:p>
    <w:p w:rsidR="00000000" w:rsidRDefault="004D2F83" w:rsidP="004D2F83">
      <w:pPr>
        <w:tabs>
          <w:tab w:val="right" w:leader="dot" w:pos="9720"/>
        </w:tabs>
        <w:spacing w:after="120" w:line="360" w:lineRule="exact"/>
        <w:ind w:left="31680" w:rightChars="377" w:right="31680" w:hangingChars="228" w:firstLine="31680"/>
      </w:pPr>
    </w:p>
    <w:p w:rsidR="00000000" w:rsidRDefault="004D2F83">
      <w:pPr>
        <w:pStyle w:val="PlainText"/>
        <w:spacing w:line="360" w:lineRule="exact"/>
        <w:rPr>
          <w:rFonts w:ascii="Times New Roman"/>
        </w:rPr>
      </w:pPr>
      <w:r>
        <w:rPr>
          <w:rFonts w:ascii="Times New Roman"/>
        </w:rPr>
        <w:br w:type="page"/>
      </w:r>
    </w:p>
    <w:p w:rsidR="00000000" w:rsidRDefault="004D2F83">
      <w:pPr>
        <w:pStyle w:val="Heading3"/>
        <w:numPr>
          <w:ilvl w:val="0"/>
          <w:numId w:val="0"/>
        </w:numPr>
        <w:spacing w:before="0"/>
        <w:jc w:val="center"/>
        <w:rPr>
          <w:rFonts w:ascii="KaiTi_GB2312" w:eastAsia="KaiTi_GB2312" w:hint="eastAsia"/>
          <w:b/>
          <w:bCs/>
          <w:u w:val="none"/>
        </w:rPr>
      </w:pPr>
      <w:bookmarkStart w:id="19" w:name="_Toc36367089"/>
      <w:r>
        <w:rPr>
          <w:rFonts w:ascii="KaiTi_GB2312" w:eastAsia="KaiTi_GB2312" w:hint="eastAsia"/>
          <w:b/>
          <w:bCs/>
          <w:u w:val="none"/>
        </w:rPr>
        <w:t>第</w:t>
      </w:r>
      <w:r>
        <w:rPr>
          <w:rFonts w:ascii="KaiTi_GB2312" w:eastAsia="KaiTi_GB2312" w:hint="eastAsia"/>
          <w:b/>
          <w:bCs/>
          <w:u w:val="none"/>
        </w:rPr>
        <w:t>13</w:t>
      </w:r>
      <w:r>
        <w:rPr>
          <w:rFonts w:ascii="KaiTi_GB2312" w:eastAsia="KaiTi_GB2312" w:hint="eastAsia"/>
          <w:b/>
          <w:bCs/>
          <w:u w:val="none"/>
        </w:rPr>
        <w:t>条</w:t>
      </w:r>
      <w:bookmarkEnd w:id="19"/>
    </w:p>
    <w:p w:rsidR="00000000" w:rsidRDefault="004D2F83">
      <w:pPr>
        <w:pStyle w:val="BodyText"/>
        <w:spacing w:after="240" w:line="360" w:lineRule="exact"/>
        <w:ind w:firstLine="420"/>
        <w:rPr>
          <w:rFonts w:ascii="KaiTi_GB2312" w:eastAsia="KaiTi_GB2312" w:hint="eastAsia"/>
          <w:b/>
          <w:bCs/>
          <w:sz w:val="21"/>
        </w:rPr>
      </w:pPr>
      <w:r>
        <w:rPr>
          <w:rFonts w:ascii="KaiTi_GB2312" w:eastAsia="KaiTi_GB2312" w:hint="eastAsia"/>
          <w:b/>
          <w:bCs/>
          <w:sz w:val="21"/>
        </w:rPr>
        <w:t>缔约各国应采取一切适当措施以消除</w:t>
      </w:r>
      <w:r>
        <w:rPr>
          <w:rFonts w:ascii="KaiTi_GB2312" w:eastAsia="KaiTi_GB2312" w:hint="eastAsia"/>
          <w:b/>
          <w:bCs/>
          <w:sz w:val="21"/>
        </w:rPr>
        <w:t>在经济和社会生活的其他方面对妇女的歧视，保证她们在男女平等的基础上有相同权利，特别是：</w:t>
      </w:r>
    </w:p>
    <w:p w:rsidR="00000000" w:rsidRDefault="004D2F83" w:rsidP="004D2F83">
      <w:pPr>
        <w:spacing w:after="240" w:line="360" w:lineRule="exact"/>
        <w:ind w:leftChars="200" w:left="31680" w:hangingChars="200" w:firstLine="31680"/>
        <w:rPr>
          <w:rFonts w:ascii="KaiTi_GB2312" w:eastAsia="KaiTi_GB2312" w:hint="eastAsia"/>
          <w:b/>
          <w:bCs/>
        </w:rPr>
      </w:pPr>
      <w:r>
        <w:rPr>
          <w:rFonts w:ascii="KaiTi_GB2312" w:eastAsia="KaiTi_GB2312"/>
          <w:b/>
          <w:bCs/>
        </w:rPr>
        <w:t>(</w:t>
      </w:r>
      <w:r>
        <w:rPr>
          <w:rFonts w:ascii="KaiTi_GB2312" w:eastAsia="KaiTi_GB2312" w:hint="eastAsia"/>
          <w:b/>
          <w:bCs/>
        </w:rPr>
        <w:t>a</w:t>
      </w:r>
      <w:r>
        <w:rPr>
          <w:rFonts w:ascii="KaiTi_GB2312" w:eastAsia="KaiTi_GB2312"/>
          <w:b/>
          <w:bCs/>
        </w:rPr>
        <w:t>)</w:t>
      </w:r>
      <w:r>
        <w:rPr>
          <w:rFonts w:ascii="KaiTi_GB2312" w:eastAsia="KaiTi_GB2312"/>
          <w:b/>
          <w:bCs/>
        </w:rPr>
        <w:tab/>
      </w:r>
      <w:r>
        <w:rPr>
          <w:rFonts w:ascii="KaiTi_GB2312" w:eastAsia="KaiTi_GB2312" w:hint="eastAsia"/>
          <w:b/>
          <w:bCs/>
        </w:rPr>
        <w:t>领取家属津贴的权利；</w:t>
      </w:r>
    </w:p>
    <w:p w:rsidR="00000000" w:rsidRDefault="004D2F83" w:rsidP="004D2F83">
      <w:pPr>
        <w:spacing w:after="240" w:line="360" w:lineRule="exact"/>
        <w:ind w:leftChars="200" w:left="31680" w:hangingChars="200" w:firstLine="31680"/>
        <w:rPr>
          <w:rFonts w:ascii="KaiTi_GB2312" w:eastAsia="KaiTi_GB2312" w:hint="eastAsia"/>
          <w:b/>
          <w:bCs/>
        </w:rPr>
      </w:pPr>
      <w:r>
        <w:rPr>
          <w:rFonts w:ascii="KaiTi_GB2312" w:eastAsia="KaiTi_GB2312"/>
          <w:b/>
          <w:bCs/>
        </w:rPr>
        <w:t>(</w:t>
      </w:r>
      <w:r>
        <w:rPr>
          <w:rFonts w:ascii="KaiTi_GB2312" w:eastAsia="KaiTi_GB2312" w:hint="eastAsia"/>
          <w:b/>
          <w:bCs/>
        </w:rPr>
        <w:t>b</w:t>
      </w:r>
      <w:r>
        <w:rPr>
          <w:rFonts w:ascii="KaiTi_GB2312" w:eastAsia="KaiTi_GB2312"/>
          <w:b/>
          <w:bCs/>
        </w:rPr>
        <w:t>)</w:t>
      </w:r>
      <w:r>
        <w:rPr>
          <w:rFonts w:ascii="KaiTi_GB2312" w:eastAsia="KaiTi_GB2312"/>
          <w:b/>
          <w:bCs/>
        </w:rPr>
        <w:tab/>
      </w:r>
      <w:r>
        <w:rPr>
          <w:rFonts w:ascii="KaiTi_GB2312" w:eastAsia="KaiTi_GB2312" w:hint="eastAsia"/>
          <w:b/>
          <w:bCs/>
        </w:rPr>
        <w:t>银行贷款、抵押和其他形式的金融信贷的权利；</w:t>
      </w:r>
    </w:p>
    <w:p w:rsidR="00000000" w:rsidRDefault="004D2F83" w:rsidP="004D2F83">
      <w:pPr>
        <w:spacing w:after="240" w:line="360" w:lineRule="exact"/>
        <w:ind w:leftChars="200" w:left="31680" w:hangingChars="200" w:firstLine="31680"/>
        <w:rPr>
          <w:rFonts w:ascii="KaiTi_GB2312" w:eastAsia="KaiTi_GB2312" w:hint="eastAsia"/>
          <w:b/>
          <w:bCs/>
        </w:rPr>
      </w:pPr>
      <w:r>
        <w:rPr>
          <w:rFonts w:ascii="KaiTi_GB2312" w:eastAsia="KaiTi_GB2312"/>
          <w:b/>
          <w:bCs/>
        </w:rPr>
        <w:t>(</w:t>
      </w:r>
      <w:r>
        <w:rPr>
          <w:rFonts w:ascii="KaiTi_GB2312" w:eastAsia="KaiTi_GB2312" w:hint="eastAsia"/>
          <w:b/>
          <w:bCs/>
        </w:rPr>
        <w:t>c</w:t>
      </w:r>
      <w:r>
        <w:rPr>
          <w:rFonts w:ascii="KaiTi_GB2312" w:eastAsia="KaiTi_GB2312"/>
          <w:b/>
          <w:bCs/>
        </w:rPr>
        <w:t>)</w:t>
      </w:r>
      <w:r>
        <w:rPr>
          <w:rFonts w:ascii="KaiTi_GB2312" w:eastAsia="KaiTi_GB2312"/>
          <w:b/>
          <w:bCs/>
        </w:rPr>
        <w:tab/>
      </w:r>
      <w:r>
        <w:rPr>
          <w:rFonts w:ascii="KaiTi_GB2312" w:eastAsia="KaiTi_GB2312" w:hint="eastAsia"/>
          <w:b/>
          <w:bCs/>
        </w:rPr>
        <w:t>参与娱乐活动、运动和文化生活所有各方面的权利。</w:t>
      </w:r>
    </w:p>
    <w:p w:rsidR="00000000" w:rsidRDefault="004D2F83">
      <w:pPr>
        <w:spacing w:after="240" w:line="360" w:lineRule="exact"/>
        <w:rPr>
          <w:rFonts w:eastAsia="SimHei" w:hint="eastAsia"/>
          <w:sz w:val="24"/>
        </w:rPr>
      </w:pPr>
      <w:r>
        <w:rPr>
          <w:rFonts w:eastAsia="SimHei" w:hint="eastAsia"/>
          <w:sz w:val="24"/>
        </w:rPr>
        <w:t>立法措施</w:t>
      </w:r>
    </w:p>
    <w:p w:rsidR="00000000" w:rsidRDefault="004D2F83">
      <w:pPr>
        <w:pStyle w:val="BodyTextIndent"/>
        <w:rPr>
          <w:rFonts w:hint="eastAsia"/>
        </w:rPr>
      </w:pPr>
      <w:r>
        <w:rPr>
          <w:rFonts w:hint="eastAsia"/>
        </w:rPr>
        <w:t>《联邦宪法》规定，应向有需要的人提供社会保障，无论其是否向社会保障体系缴款。其目标包括保护家庭、孕产妇、儿童、青少年和老年人；促进他们融入劳动力市场；以及保障向残疾人和证明自己无法养活自己或由其家人赡养的老年人每月发放一份最低工资津贴。</w:t>
      </w:r>
    </w:p>
    <w:p w:rsidR="00000000" w:rsidRDefault="004D2F83" w:rsidP="004D2F83">
      <w:pPr>
        <w:spacing w:after="240" w:line="360" w:lineRule="exact"/>
        <w:ind w:firstLineChars="171" w:firstLine="31680"/>
        <w:rPr>
          <w:rFonts w:hint="eastAsia"/>
        </w:rPr>
      </w:pPr>
      <w:r>
        <w:rPr>
          <w:rFonts w:hint="eastAsia"/>
        </w:rPr>
        <w:t>这方面没有具体面向妇女的法律或方案。所</w:t>
      </w:r>
      <w:r>
        <w:rPr>
          <w:rFonts w:hint="eastAsia"/>
        </w:rPr>
        <w:t>有法律或方案都有共性、临时性和普遍性（而向所有贫困者）。该津贴必须由有关人员自己提出要求；此项权利以某些规定和</w:t>
      </w:r>
      <w:r>
        <w:rPr>
          <w:rFonts w:hint="eastAsia"/>
        </w:rPr>
        <w:t>/</w:t>
      </w:r>
      <w:r>
        <w:rPr>
          <w:rFonts w:hint="eastAsia"/>
        </w:rPr>
        <w:t>或要求为条件，如，家庭最高收入不超过每人</w:t>
      </w:r>
      <w:r>
        <w:rPr>
          <w:rFonts w:hint="eastAsia"/>
        </w:rPr>
        <w:t>40.00</w:t>
      </w:r>
      <w:r>
        <w:rPr>
          <w:rFonts w:hint="eastAsia"/>
        </w:rPr>
        <w:t>雷亚尔、家有</w:t>
      </w:r>
      <w:r>
        <w:rPr>
          <w:rFonts w:hint="eastAsia"/>
        </w:rPr>
        <w:t>14</w:t>
      </w:r>
      <w:r>
        <w:rPr>
          <w:rFonts w:hint="eastAsia"/>
        </w:rPr>
        <w:t>岁以下的儿童等。唯一永久的津贴是无论缴款与否国家社会保障机构支付的、可终身领取的每月津贴，保障向残疾人和证明自己无法养活自己或由其家人赡养的老年人每月发放一份最低工资津贴。</w:t>
      </w:r>
    </w:p>
    <w:p w:rsidR="00000000" w:rsidRDefault="004D2F83" w:rsidP="004D2F83">
      <w:pPr>
        <w:spacing w:after="240" w:line="360" w:lineRule="exact"/>
        <w:ind w:firstLineChars="171" w:firstLine="31680"/>
        <w:rPr>
          <w:rFonts w:hint="eastAsia"/>
        </w:rPr>
      </w:pPr>
      <w:r>
        <w:rPr>
          <w:rFonts w:hint="eastAsia"/>
        </w:rPr>
        <w:t>第</w:t>
      </w:r>
      <w:r>
        <w:rPr>
          <w:rFonts w:hint="eastAsia"/>
        </w:rPr>
        <w:t>8978/95</w:t>
      </w:r>
      <w:r>
        <w:rPr>
          <w:rFonts w:hint="eastAsia"/>
        </w:rPr>
        <w:t>号法律规定，住房融资系统（</w:t>
      </w:r>
      <w:r>
        <w:rPr>
          <w:rFonts w:hint="eastAsia"/>
        </w:rPr>
        <w:t>SFH</w:t>
      </w:r>
      <w:r>
        <w:rPr>
          <w:rFonts w:hint="eastAsia"/>
        </w:rPr>
        <w:t>）资助的住宅区应该优先建造托儿所和学龄前学校。</w:t>
      </w:r>
      <w:r>
        <w:rPr>
          <w:rFonts w:hint="eastAsia"/>
        </w:rPr>
        <w:t>1998</w:t>
      </w:r>
      <w:r>
        <w:rPr>
          <w:rFonts w:hint="eastAsia"/>
        </w:rPr>
        <w:t>年</w:t>
      </w:r>
      <w:r>
        <w:rPr>
          <w:rFonts w:hint="eastAsia"/>
        </w:rPr>
        <w:t>3</w:t>
      </w:r>
      <w:r>
        <w:rPr>
          <w:rFonts w:hint="eastAsia"/>
        </w:rPr>
        <w:t>月颁布的计划和预算部行政裁定规定，女性为户主的家庭应优</w:t>
      </w:r>
      <w:r>
        <w:rPr>
          <w:rFonts w:hint="eastAsia"/>
        </w:rPr>
        <w:t>先挑选住房担保和融资。该行政裁定还决定，为了让妇女参与其房屋的建造而拟订培训方案。尽管面向妇女的倡议是重要的，但由于缺乏数据，我们无法核查这些法律的执行情况和遵守情况。</w:t>
      </w:r>
    </w:p>
    <w:p w:rsidR="00000000" w:rsidRDefault="004D2F83">
      <w:pPr>
        <w:spacing w:after="240" w:line="360" w:lineRule="exact"/>
        <w:rPr>
          <w:rFonts w:eastAsia="SimHei" w:hint="eastAsia"/>
          <w:sz w:val="24"/>
        </w:rPr>
      </w:pPr>
      <w:r>
        <w:rPr>
          <w:rFonts w:eastAsia="SimHei" w:hint="eastAsia"/>
          <w:sz w:val="24"/>
        </w:rPr>
        <w:t>各州宪法</w:t>
      </w:r>
    </w:p>
    <w:p w:rsidR="00000000" w:rsidRDefault="004D2F83" w:rsidP="004D2F83">
      <w:pPr>
        <w:spacing w:after="240" w:line="360" w:lineRule="exact"/>
        <w:ind w:firstLineChars="171" w:firstLine="31680"/>
        <w:rPr>
          <w:rFonts w:hint="eastAsia"/>
        </w:rPr>
      </w:pPr>
      <w:r>
        <w:rPr>
          <w:rFonts w:hint="eastAsia"/>
        </w:rPr>
        <w:t>21</w:t>
      </w:r>
      <w:r>
        <w:rPr>
          <w:rFonts w:hint="eastAsia"/>
        </w:rPr>
        <w:t>个州的《宪法》</w:t>
      </w:r>
      <w:r>
        <w:rPr>
          <w:rStyle w:val="FootnoteReference"/>
        </w:rPr>
        <w:footnoteReference w:customMarkFollows="1" w:id="129"/>
        <w:t>129</w:t>
      </w:r>
      <w:r>
        <w:rPr>
          <w:rFonts w:hint="eastAsia"/>
        </w:rPr>
        <w:t>和《联邦区组织法》规定对孕产妇给予特别援助。例如，《帕拉伊巴州宪法》规定，</w:t>
      </w:r>
      <w:r>
        <w:rPr>
          <w:rFonts w:eastAsia="KaiTi_GB2312" w:hint="eastAsia"/>
        </w:rPr>
        <w:t>对于需要社会援助的人，无论是否向社会保障体系缴款，都应由本州向他们直接提供社会援助，或将款项转给公共机构或非营利私人实体后通过它们提供社会援助。另外，本州提供的社会援助应以保护家庭、孕产妇、儿童、青少年和老年人为目的。</w:t>
      </w:r>
    </w:p>
    <w:p w:rsidR="00000000" w:rsidRDefault="004D2F83" w:rsidP="004D2F83">
      <w:pPr>
        <w:spacing w:after="240" w:line="360" w:lineRule="exact"/>
        <w:ind w:firstLineChars="171" w:firstLine="31680"/>
        <w:rPr>
          <w:rFonts w:hint="eastAsia"/>
        </w:rPr>
      </w:pPr>
      <w:r>
        <w:rPr>
          <w:rFonts w:hint="eastAsia"/>
        </w:rPr>
        <w:t>有</w:t>
      </w:r>
      <w:r>
        <w:rPr>
          <w:rFonts w:hint="eastAsia"/>
        </w:rPr>
        <w:t>10</w:t>
      </w:r>
      <w:r>
        <w:rPr>
          <w:rFonts w:hint="eastAsia"/>
        </w:rPr>
        <w:t>个州的《</w:t>
      </w:r>
      <w:r>
        <w:rPr>
          <w:rFonts w:hint="eastAsia"/>
        </w:rPr>
        <w:t>宪法》</w:t>
      </w:r>
      <w:r>
        <w:rPr>
          <w:rStyle w:val="FootnoteReference"/>
        </w:rPr>
        <w:footnoteReference w:customMarkFollows="1" w:id="130"/>
        <w:t>130</w:t>
      </w:r>
      <w:r>
        <w:rPr>
          <w:rFonts w:hint="eastAsia"/>
        </w:rPr>
        <w:t>将产假列入社会保障福利中，明确提到保护孕产妇。帕拉伊巴和戈亚斯州的《宪法》也规定了陪产假。</w:t>
      </w:r>
    </w:p>
    <w:p w:rsidR="00000000" w:rsidRDefault="004D2F83">
      <w:pPr>
        <w:pStyle w:val="BodyTextIndent"/>
        <w:rPr>
          <w:rFonts w:hint="eastAsia"/>
        </w:rPr>
      </w:pPr>
      <w:r>
        <w:rPr>
          <w:rFonts w:hint="eastAsia"/>
        </w:rPr>
        <w:t>有关退休标准，阿马帕、马托格罗索、巴拉、巴拉那、伯南布哥和罗赖马各州的《宪法》通过了《联邦宪法》有关规定的全文，规定公务员可自愿退休，只要他们担任公务员的至少十年并在退休时担任现职至少五年、男性年满六十岁、缴纳社会保障金三十五年，妇女年满五十五岁、缴纳社会保障金三十年；或男性年满六十五岁，妇女年满六十岁，根据缴款时间的长短按比例领取补偿。</w:t>
      </w:r>
    </w:p>
    <w:p w:rsidR="00000000" w:rsidRDefault="004D2F83">
      <w:pPr>
        <w:pStyle w:val="BodyTextIndent"/>
        <w:rPr>
          <w:rFonts w:hint="eastAsia"/>
        </w:rPr>
      </w:pPr>
      <w:r>
        <w:rPr>
          <w:rFonts w:hint="eastAsia"/>
        </w:rPr>
        <w:t>其他各州的《宪法》规定，公务员可自愿退休：男子工作满三十五年，妇女</w:t>
      </w:r>
      <w:r>
        <w:rPr>
          <w:rFonts w:hint="eastAsia"/>
        </w:rPr>
        <w:t>工作满三十年，领取全薪；男教师实际从事教学工作满三十年，女教师实际从事教学工作满二十五年，领取全薪；男子工作满三十年，妇女工作满二十五年，则根据缴款时间的长短按比例领取补偿；男子年满六十五岁、妇女年满六十岁，也根据缴款时间的长短按比例领取补偿。《罗赖马州宪法》没有提及这一主题。</w:t>
      </w:r>
    </w:p>
    <w:p w:rsidR="00000000" w:rsidRDefault="004D2F83">
      <w:pPr>
        <w:spacing w:after="240" w:line="360" w:lineRule="exact"/>
        <w:rPr>
          <w:rFonts w:eastAsia="SimHei" w:hint="eastAsia"/>
          <w:sz w:val="24"/>
        </w:rPr>
      </w:pPr>
      <w:r>
        <w:rPr>
          <w:rFonts w:eastAsia="SimHei" w:hint="eastAsia"/>
          <w:sz w:val="24"/>
        </w:rPr>
        <w:t>政府行动</w:t>
      </w:r>
    </w:p>
    <w:p w:rsidR="00000000" w:rsidRDefault="004D2F83" w:rsidP="004D2F83">
      <w:pPr>
        <w:spacing w:after="240" w:line="360" w:lineRule="exact"/>
        <w:ind w:firstLineChars="171" w:firstLine="31680"/>
        <w:rPr>
          <w:rFonts w:hint="eastAsia"/>
        </w:rPr>
      </w:pPr>
      <w:r>
        <w:rPr>
          <w:rFonts w:hint="eastAsia"/>
        </w:rPr>
        <w:t>有关职业上的隔离，一些方案通过全国妇女权利委员会、司法部和劳动部人力开发秘书处之间的合作议定书加以实施。该议定书旨在鼓励拟订有利于妇女获得专业资格和就业及收入的政策，这些政策以处于贫困或遇到社会风险的妇女为优先目标。这些方</w:t>
      </w:r>
      <w:r>
        <w:rPr>
          <w:rFonts w:hint="eastAsia"/>
        </w:rPr>
        <w:t>案是：就业和创收方案（</w:t>
      </w:r>
      <w:r>
        <w:rPr>
          <w:rFonts w:hint="eastAsia"/>
        </w:rPr>
        <w:t>PROGER</w:t>
      </w:r>
      <w:r>
        <w:rPr>
          <w:rFonts w:hint="eastAsia"/>
        </w:rPr>
        <w:t>），其中</w:t>
      </w:r>
      <w:r>
        <w:rPr>
          <w:rFonts w:hint="eastAsia"/>
        </w:rPr>
        <w:t>68%</w:t>
      </w:r>
      <w:r>
        <w:rPr>
          <w:rFonts w:hint="eastAsia"/>
        </w:rPr>
        <w:t>的借贷人是男子；国家加强家庭农业方案（</w:t>
      </w:r>
      <w:r>
        <w:rPr>
          <w:rFonts w:hint="eastAsia"/>
        </w:rPr>
        <w:t>PRONAF</w:t>
      </w:r>
      <w:r>
        <w:rPr>
          <w:rFonts w:hint="eastAsia"/>
        </w:rPr>
        <w:t>），其中</w:t>
      </w:r>
      <w:r>
        <w:rPr>
          <w:rFonts w:hint="eastAsia"/>
        </w:rPr>
        <w:t>93%</w:t>
      </w:r>
      <w:r>
        <w:rPr>
          <w:rFonts w:hint="eastAsia"/>
        </w:rPr>
        <w:t>的受益人为男子；以及全国劳动者资格培训计划（资培计划），其中规定</w:t>
      </w:r>
      <w:r>
        <w:rPr>
          <w:rFonts w:hint="eastAsia"/>
        </w:rPr>
        <w:t>30%</w:t>
      </w:r>
      <w:r>
        <w:rPr>
          <w:rFonts w:hint="eastAsia"/>
        </w:rPr>
        <w:t>的受益人应该是妇女，特别是遭受社会风险的年轻妇女，她们遭受了色情剥削（全体受训人员中有</w:t>
      </w:r>
      <w:r>
        <w:rPr>
          <w:rFonts w:hint="eastAsia"/>
        </w:rPr>
        <w:t>50%</w:t>
      </w:r>
      <w:r>
        <w:rPr>
          <w:rFonts w:hint="eastAsia"/>
        </w:rPr>
        <w:t>是妇女）。</w:t>
      </w:r>
    </w:p>
    <w:p w:rsidR="00000000" w:rsidRDefault="004D2F83" w:rsidP="004D2F83">
      <w:pPr>
        <w:spacing w:after="240" w:line="360" w:lineRule="exact"/>
        <w:ind w:firstLineChars="171" w:firstLine="31680"/>
        <w:rPr>
          <w:rFonts w:hint="eastAsia"/>
        </w:rPr>
      </w:pPr>
      <w:r>
        <w:rPr>
          <w:rFonts w:hint="eastAsia"/>
        </w:rPr>
        <w:t>土著妇女和黑人妇女以及街头女摊贩、农村劳动者和佣仆也是目标对象。资培计划遭到批评，理由是</w:t>
      </w:r>
      <w:r>
        <w:rPr>
          <w:rFonts w:ascii="KaiTi_GB2312" w:eastAsia="KaiTi_GB2312" w:hint="eastAsia"/>
        </w:rPr>
        <w:t>“有许多技术资格培训课程被视为‘女性化’，</w:t>
      </w:r>
      <w:r>
        <w:rPr>
          <w:rStyle w:val="FootnoteReference"/>
          <w:rFonts w:ascii="KaiTi_GB2312" w:eastAsia="KaiTi_GB2312"/>
        </w:rPr>
        <w:footnoteReference w:customMarkFollows="1" w:id="131"/>
        <w:t>131</w:t>
      </w:r>
      <w:r>
        <w:rPr>
          <w:rFonts w:ascii="KaiTi_GB2312" w:eastAsia="KaiTi_GB2312" w:hint="eastAsia"/>
        </w:rPr>
        <w:t>在开展活动过程中获得经济支助的能力较差，没有一种培训与主要经济部门的活动直接相关，而且‘缺</w:t>
      </w:r>
      <w:r>
        <w:rPr>
          <w:rFonts w:ascii="KaiTi_GB2312" w:eastAsia="KaiTi_GB2312" w:hint="eastAsia"/>
        </w:rPr>
        <w:t>乏有助于企业发展的具体的信贷额度’”。</w:t>
      </w:r>
      <w:r>
        <w:rPr>
          <w:rStyle w:val="FootnoteReference"/>
        </w:rPr>
        <w:footnoteReference w:customMarkFollows="1" w:id="132"/>
        <w:t>132</w:t>
      </w:r>
    </w:p>
    <w:p w:rsidR="00000000" w:rsidRDefault="004D2F83" w:rsidP="004D2F83">
      <w:pPr>
        <w:spacing w:after="240" w:line="360" w:lineRule="exact"/>
        <w:ind w:firstLineChars="171" w:firstLine="31680"/>
        <w:rPr>
          <w:rFonts w:hint="eastAsia"/>
        </w:rPr>
      </w:pPr>
      <w:r>
        <w:rPr>
          <w:rFonts w:hint="eastAsia"/>
        </w:rPr>
        <w:t>联邦政府拟订的社区团结互助方案</w:t>
      </w:r>
      <w:r>
        <w:rPr>
          <w:rStyle w:val="FootnoteReference"/>
        </w:rPr>
        <w:footnoteReference w:customMarkFollows="1" w:id="133"/>
        <w:t>133</w:t>
      </w:r>
      <w:r>
        <w:rPr>
          <w:rFonts w:hint="eastAsia"/>
        </w:rPr>
        <w:t>协调并加强了了民间社会的活动、政治对话和社会发展方案或综合的社会行动，上述活动以减轻贫穷为目的，以政府或社会拟订的方案没有适当覆盖的战略领域为重点。但是，尽管这些方案使贫穷妇女间接受益，但它们仍然缺乏针对妇女的具体行动。</w:t>
      </w:r>
      <w:r>
        <w:rPr>
          <w:rStyle w:val="FootnoteReference"/>
        </w:rPr>
        <w:footnoteReference w:customMarkFollows="1" w:id="134"/>
        <w:t>134</w:t>
      </w:r>
    </w:p>
    <w:p w:rsidR="00000000" w:rsidRDefault="004D2F83" w:rsidP="004D2F83">
      <w:pPr>
        <w:spacing w:after="240" w:line="360" w:lineRule="exact"/>
        <w:ind w:firstLineChars="171" w:firstLine="31680"/>
        <w:rPr>
          <w:rFonts w:hint="eastAsia"/>
        </w:rPr>
      </w:pPr>
      <w:r>
        <w:rPr>
          <w:rFonts w:hint="eastAsia"/>
        </w:rPr>
        <w:t>社会团结互助方案的基本议程介绍如下。</w:t>
      </w:r>
    </w:p>
    <w:p w:rsidR="00000000" w:rsidRDefault="004D2F83">
      <w:pPr>
        <w:spacing w:after="240" w:line="360" w:lineRule="exact"/>
        <w:jc w:val="center"/>
        <w:rPr>
          <w:rFonts w:ascii="SimHei" w:eastAsia="SimHei" w:hint="eastAsia"/>
        </w:rPr>
      </w:pPr>
      <w:r>
        <w:rPr>
          <w:rFonts w:ascii="SimHei" w:eastAsia="SimHei" w:hint="eastAsia"/>
        </w:rPr>
        <w:t>1997</w:t>
      </w:r>
      <w:r>
        <w:rPr>
          <w:rFonts w:ascii="SimHei" w:eastAsia="SimHei" w:hint="eastAsia"/>
        </w:rPr>
        <w:t>年巴西社会团结互助方案的基本议程</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4"/>
        <w:gridCol w:w="2943"/>
        <w:gridCol w:w="2363"/>
        <w:gridCol w:w="2166"/>
      </w:tblGrid>
      <w:tr w:rsidR="00000000">
        <w:tblPrEx>
          <w:tblCellMar>
            <w:top w:w="0" w:type="dxa"/>
            <w:bottom w:w="0" w:type="dxa"/>
          </w:tblCellMar>
        </w:tblPrEx>
        <w:tc>
          <w:tcPr>
            <w:tcW w:w="1209" w:type="pct"/>
          </w:tcPr>
          <w:p w:rsidR="00000000" w:rsidRDefault="004D2F83">
            <w:pPr>
              <w:spacing w:afterLines="50" w:after="120" w:line="320" w:lineRule="exact"/>
              <w:jc w:val="center"/>
              <w:rPr>
                <w:rFonts w:eastAsia="SimHei" w:hint="eastAsia"/>
                <w:sz w:val="18"/>
              </w:rPr>
            </w:pPr>
            <w:r>
              <w:rPr>
                <w:rFonts w:eastAsia="SimHei" w:hint="eastAsia"/>
                <w:sz w:val="18"/>
              </w:rPr>
              <w:t>行动领域</w:t>
            </w:r>
          </w:p>
        </w:tc>
        <w:tc>
          <w:tcPr>
            <w:tcW w:w="1493" w:type="pct"/>
          </w:tcPr>
          <w:p w:rsidR="00000000" w:rsidRDefault="004D2F83">
            <w:pPr>
              <w:spacing w:afterLines="50" w:after="120" w:line="320" w:lineRule="exact"/>
              <w:jc w:val="center"/>
              <w:rPr>
                <w:rFonts w:eastAsia="SimHei" w:hint="eastAsia"/>
                <w:sz w:val="18"/>
              </w:rPr>
            </w:pPr>
            <w:r>
              <w:rPr>
                <w:rFonts w:eastAsia="SimHei" w:hint="eastAsia"/>
                <w:sz w:val="18"/>
              </w:rPr>
              <w:t>次级方案</w:t>
            </w:r>
          </w:p>
        </w:tc>
        <w:tc>
          <w:tcPr>
            <w:tcW w:w="1199" w:type="pct"/>
          </w:tcPr>
          <w:p w:rsidR="00000000" w:rsidRDefault="004D2F83">
            <w:pPr>
              <w:spacing w:afterLines="50" w:after="120" w:line="320" w:lineRule="exact"/>
              <w:jc w:val="center"/>
              <w:rPr>
                <w:rFonts w:eastAsia="SimHei" w:hint="eastAsia"/>
                <w:sz w:val="18"/>
              </w:rPr>
            </w:pPr>
            <w:r>
              <w:rPr>
                <w:rFonts w:eastAsia="SimHei" w:hint="eastAsia"/>
                <w:sz w:val="18"/>
              </w:rPr>
              <w:t>覆盖的城市数目</w:t>
            </w:r>
          </w:p>
        </w:tc>
        <w:tc>
          <w:tcPr>
            <w:tcW w:w="1099" w:type="pct"/>
          </w:tcPr>
          <w:p w:rsidR="00000000" w:rsidRDefault="004D2F83">
            <w:pPr>
              <w:spacing w:afterLines="50" w:after="120" w:line="320" w:lineRule="exact"/>
              <w:jc w:val="center"/>
              <w:rPr>
                <w:rFonts w:eastAsia="SimHei" w:hint="eastAsia"/>
                <w:sz w:val="18"/>
              </w:rPr>
            </w:pPr>
            <w:r>
              <w:rPr>
                <w:rFonts w:eastAsia="SimHei" w:hint="eastAsia"/>
                <w:sz w:val="18"/>
              </w:rPr>
              <w:t>合作伙伴</w:t>
            </w:r>
          </w:p>
        </w:tc>
      </w:tr>
      <w:tr w:rsidR="00000000">
        <w:tblPrEx>
          <w:tblCellMar>
            <w:top w:w="0" w:type="dxa"/>
            <w:bottom w:w="0" w:type="dxa"/>
          </w:tblCellMar>
        </w:tblPrEx>
        <w:tc>
          <w:tcPr>
            <w:tcW w:w="1209" w:type="pct"/>
          </w:tcPr>
          <w:p w:rsidR="00000000" w:rsidRDefault="004D2F83">
            <w:pPr>
              <w:spacing w:afterLines="50" w:after="120" w:line="320" w:lineRule="exact"/>
              <w:rPr>
                <w:rFonts w:hint="eastAsia"/>
                <w:sz w:val="18"/>
              </w:rPr>
            </w:pPr>
            <w:r>
              <w:rPr>
                <w:rFonts w:hint="eastAsia"/>
                <w:sz w:val="18"/>
              </w:rPr>
              <w:t>降低儿童死亡率</w:t>
            </w:r>
          </w:p>
        </w:tc>
        <w:tc>
          <w:tcPr>
            <w:tcW w:w="1493" w:type="pct"/>
          </w:tcPr>
          <w:p w:rsidR="00000000" w:rsidRDefault="004D2F83">
            <w:pPr>
              <w:spacing w:afterLines="50" w:after="120" w:line="320" w:lineRule="exact"/>
              <w:rPr>
                <w:rFonts w:hint="eastAsia"/>
                <w:sz w:val="18"/>
              </w:rPr>
            </w:pPr>
            <w:r>
              <w:rPr>
                <w:rFonts w:hint="eastAsia"/>
                <w:sz w:val="18"/>
              </w:rPr>
              <w:t>·消除营养不良方案</w:t>
            </w:r>
          </w:p>
          <w:p w:rsidR="00000000" w:rsidRDefault="004D2F83">
            <w:pPr>
              <w:spacing w:afterLines="50" w:after="120" w:line="320" w:lineRule="exact"/>
              <w:rPr>
                <w:rFonts w:hint="eastAsia"/>
                <w:sz w:val="18"/>
              </w:rPr>
            </w:pPr>
            <w:r>
              <w:rPr>
                <w:rFonts w:hint="eastAsia"/>
                <w:sz w:val="18"/>
              </w:rPr>
              <w:t>·社区卫生员方案（</w:t>
            </w:r>
            <w:r>
              <w:rPr>
                <w:rFonts w:hint="eastAsia"/>
                <w:sz w:val="18"/>
              </w:rPr>
              <w:t>PACS</w:t>
            </w:r>
            <w:r>
              <w:rPr>
                <w:rFonts w:hint="eastAsia"/>
                <w:sz w:val="18"/>
              </w:rPr>
              <w:t>）</w:t>
            </w:r>
          </w:p>
          <w:p w:rsidR="00000000" w:rsidRDefault="004D2F83">
            <w:pPr>
              <w:spacing w:afterLines="50" w:after="120" w:line="320" w:lineRule="exact"/>
              <w:rPr>
                <w:rFonts w:hint="eastAsia"/>
                <w:sz w:val="18"/>
              </w:rPr>
            </w:pPr>
            <w:r>
              <w:rPr>
                <w:rFonts w:hint="eastAsia"/>
                <w:sz w:val="18"/>
              </w:rPr>
              <w:t>·基本卫</w:t>
            </w:r>
            <w:r>
              <w:rPr>
                <w:rFonts w:hint="eastAsia"/>
                <w:sz w:val="18"/>
              </w:rPr>
              <w:t>生行动</w:t>
            </w:r>
          </w:p>
          <w:p w:rsidR="00000000" w:rsidRDefault="004D2F83">
            <w:pPr>
              <w:spacing w:afterLines="50" w:after="120" w:line="320" w:lineRule="exact"/>
              <w:rPr>
                <w:rFonts w:hint="eastAsia"/>
                <w:sz w:val="18"/>
              </w:rPr>
            </w:pPr>
            <w:r>
              <w:rPr>
                <w:rFonts w:hint="eastAsia"/>
                <w:sz w:val="18"/>
              </w:rPr>
              <w:t>·全国免疫方案（</w:t>
            </w:r>
            <w:r>
              <w:rPr>
                <w:rFonts w:hint="eastAsia"/>
                <w:sz w:val="18"/>
              </w:rPr>
              <w:t>PNI</w:t>
            </w:r>
            <w:r>
              <w:rPr>
                <w:rFonts w:hint="eastAsia"/>
                <w:sz w:val="18"/>
              </w:rPr>
              <w:t>）</w:t>
            </w:r>
          </w:p>
          <w:p w:rsidR="00000000" w:rsidRDefault="004D2F83" w:rsidP="004D2F83">
            <w:pPr>
              <w:spacing w:afterLines="50" w:after="120" w:line="320" w:lineRule="exact"/>
              <w:ind w:left="31680" w:hangingChars="115" w:firstLine="31680"/>
              <w:rPr>
                <w:rFonts w:hint="eastAsia"/>
                <w:sz w:val="18"/>
              </w:rPr>
            </w:pPr>
            <w:r>
              <w:rPr>
                <w:rFonts w:hint="eastAsia"/>
                <w:sz w:val="18"/>
              </w:rPr>
              <w:t>·</w:t>
            </w:r>
            <w:r>
              <w:rPr>
                <w:sz w:val="18"/>
              </w:rPr>
              <w:tab/>
            </w:r>
            <w:r>
              <w:rPr>
                <w:rFonts w:hint="eastAsia"/>
                <w:sz w:val="18"/>
              </w:rPr>
              <w:t>全面关注妇女、儿童和青少年健康方案</w:t>
            </w:r>
          </w:p>
        </w:tc>
        <w:tc>
          <w:tcPr>
            <w:tcW w:w="1199" w:type="pct"/>
          </w:tcPr>
          <w:p w:rsidR="00000000" w:rsidRDefault="004D2F83">
            <w:pPr>
              <w:spacing w:afterLines="50" w:after="120" w:line="320" w:lineRule="exact"/>
              <w:jc w:val="center"/>
              <w:rPr>
                <w:rFonts w:hint="eastAsia"/>
                <w:sz w:val="18"/>
              </w:rPr>
            </w:pPr>
            <w:r>
              <w:rPr>
                <w:rFonts w:hint="eastAsia"/>
                <w:sz w:val="18"/>
              </w:rPr>
              <w:t>1</w:t>
            </w:r>
            <w:r>
              <w:rPr>
                <w:sz w:val="18"/>
              </w:rPr>
              <w:t xml:space="preserve"> </w:t>
            </w:r>
            <w:r>
              <w:rPr>
                <w:rFonts w:hint="eastAsia"/>
                <w:sz w:val="18"/>
              </w:rPr>
              <w:t>000</w:t>
            </w:r>
          </w:p>
          <w:p w:rsidR="00000000" w:rsidRDefault="004D2F83">
            <w:pPr>
              <w:spacing w:afterLines="50" w:after="120" w:line="320" w:lineRule="exact"/>
              <w:jc w:val="center"/>
              <w:rPr>
                <w:rFonts w:hint="eastAsia"/>
                <w:sz w:val="18"/>
              </w:rPr>
            </w:pPr>
          </w:p>
          <w:p w:rsidR="00000000" w:rsidRDefault="004D2F83">
            <w:pPr>
              <w:spacing w:afterLines="50" w:after="120" w:line="320" w:lineRule="exact"/>
              <w:jc w:val="center"/>
              <w:rPr>
                <w:rFonts w:hint="eastAsia"/>
                <w:sz w:val="18"/>
              </w:rPr>
            </w:pPr>
            <w:r>
              <w:rPr>
                <w:rFonts w:hint="eastAsia"/>
                <w:sz w:val="18"/>
              </w:rPr>
              <w:t>…</w:t>
            </w:r>
          </w:p>
          <w:p w:rsidR="00000000" w:rsidRDefault="004D2F83">
            <w:pPr>
              <w:spacing w:afterLines="50" w:after="120" w:line="320" w:lineRule="exact"/>
              <w:jc w:val="center"/>
              <w:rPr>
                <w:rFonts w:hint="eastAsia"/>
                <w:sz w:val="18"/>
              </w:rPr>
            </w:pPr>
            <w:r>
              <w:rPr>
                <w:rFonts w:hint="eastAsia"/>
                <w:sz w:val="18"/>
              </w:rPr>
              <w:t>…</w:t>
            </w:r>
          </w:p>
          <w:p w:rsidR="00000000" w:rsidRDefault="004D2F83">
            <w:pPr>
              <w:spacing w:afterLines="50" w:after="120" w:line="320" w:lineRule="exact"/>
              <w:jc w:val="center"/>
              <w:rPr>
                <w:rFonts w:hint="eastAsia"/>
                <w:sz w:val="18"/>
              </w:rPr>
            </w:pPr>
            <w:r>
              <w:rPr>
                <w:rFonts w:hint="eastAsia"/>
                <w:sz w:val="18"/>
              </w:rPr>
              <w:t>…</w:t>
            </w:r>
          </w:p>
        </w:tc>
        <w:tc>
          <w:tcPr>
            <w:tcW w:w="1099" w:type="pct"/>
          </w:tcPr>
          <w:p w:rsidR="00000000" w:rsidRDefault="004D2F83">
            <w:pPr>
              <w:spacing w:afterLines="50" w:after="120" w:line="320" w:lineRule="exact"/>
              <w:rPr>
                <w:rFonts w:hint="eastAsia"/>
                <w:sz w:val="18"/>
              </w:rPr>
            </w:pPr>
            <w:r>
              <w:rPr>
                <w:rFonts w:hint="eastAsia"/>
                <w:sz w:val="18"/>
              </w:rPr>
              <w:t>卫生部</w:t>
            </w:r>
          </w:p>
          <w:p w:rsidR="00000000" w:rsidRDefault="004D2F83">
            <w:pPr>
              <w:spacing w:afterLines="50" w:after="120" w:line="320" w:lineRule="exact"/>
              <w:rPr>
                <w:rFonts w:hint="eastAsia"/>
                <w:sz w:val="18"/>
              </w:rPr>
            </w:pPr>
          </w:p>
          <w:p w:rsidR="00000000" w:rsidRDefault="004D2F83">
            <w:pPr>
              <w:spacing w:afterLines="50" w:after="120" w:line="320" w:lineRule="exact"/>
              <w:rPr>
                <w:rFonts w:hint="eastAsia"/>
                <w:sz w:val="18"/>
              </w:rPr>
            </w:pPr>
            <w:r>
              <w:rPr>
                <w:rFonts w:hint="eastAsia"/>
                <w:sz w:val="18"/>
              </w:rPr>
              <w:t>州政府</w:t>
            </w:r>
            <w:r>
              <w:rPr>
                <w:rFonts w:hint="eastAsia"/>
                <w:sz w:val="18"/>
              </w:rPr>
              <w:t>/</w:t>
            </w:r>
            <w:r>
              <w:rPr>
                <w:rFonts w:hint="eastAsia"/>
                <w:sz w:val="18"/>
              </w:rPr>
              <w:t>市政府</w:t>
            </w:r>
          </w:p>
        </w:tc>
      </w:tr>
      <w:tr w:rsidR="00000000">
        <w:tblPrEx>
          <w:tblCellMar>
            <w:top w:w="0" w:type="dxa"/>
            <w:bottom w:w="0" w:type="dxa"/>
          </w:tblCellMar>
        </w:tblPrEx>
        <w:tc>
          <w:tcPr>
            <w:tcW w:w="1209" w:type="pct"/>
          </w:tcPr>
          <w:p w:rsidR="00000000" w:rsidRDefault="004D2F83">
            <w:pPr>
              <w:spacing w:afterLines="50" w:after="120" w:line="320" w:lineRule="exact"/>
              <w:rPr>
                <w:rFonts w:hint="eastAsia"/>
                <w:sz w:val="18"/>
              </w:rPr>
            </w:pPr>
            <w:r>
              <w:rPr>
                <w:rFonts w:hint="eastAsia"/>
                <w:sz w:val="18"/>
              </w:rPr>
              <w:t>改善营养状况</w:t>
            </w:r>
          </w:p>
        </w:tc>
        <w:tc>
          <w:tcPr>
            <w:tcW w:w="1493" w:type="pct"/>
          </w:tcPr>
          <w:p w:rsidR="00000000" w:rsidRDefault="004D2F83">
            <w:pPr>
              <w:spacing w:afterLines="50" w:after="120" w:line="320" w:lineRule="exact"/>
              <w:rPr>
                <w:rFonts w:hint="eastAsia"/>
                <w:sz w:val="18"/>
              </w:rPr>
            </w:pPr>
            <w:r>
              <w:rPr>
                <w:rFonts w:hint="eastAsia"/>
                <w:sz w:val="18"/>
              </w:rPr>
              <w:t>·全国学校用餐方案（</w:t>
            </w:r>
            <w:r>
              <w:rPr>
                <w:rFonts w:hint="eastAsia"/>
                <w:sz w:val="18"/>
              </w:rPr>
              <w:t>PNAE</w:t>
            </w:r>
            <w:r>
              <w:rPr>
                <w:rFonts w:hint="eastAsia"/>
                <w:sz w:val="18"/>
              </w:rPr>
              <w:t>）</w:t>
            </w:r>
          </w:p>
          <w:p w:rsidR="00000000" w:rsidRDefault="004D2F83">
            <w:pPr>
              <w:spacing w:afterLines="50" w:after="120" w:line="320" w:lineRule="exact"/>
              <w:rPr>
                <w:rFonts w:hint="eastAsia"/>
                <w:sz w:val="18"/>
              </w:rPr>
            </w:pPr>
            <w:r>
              <w:rPr>
                <w:rFonts w:hint="eastAsia"/>
                <w:sz w:val="18"/>
              </w:rPr>
              <w:t>·食物分配方案（</w:t>
            </w:r>
            <w:r>
              <w:rPr>
                <w:rFonts w:hint="eastAsia"/>
                <w:sz w:val="18"/>
              </w:rPr>
              <w:t>PRODEA</w:t>
            </w:r>
            <w:r>
              <w:rPr>
                <w:rFonts w:hint="eastAsia"/>
                <w:sz w:val="18"/>
              </w:rPr>
              <w:t>）</w:t>
            </w:r>
          </w:p>
        </w:tc>
        <w:tc>
          <w:tcPr>
            <w:tcW w:w="1199" w:type="pct"/>
          </w:tcPr>
          <w:p w:rsidR="00000000" w:rsidRDefault="004D2F83">
            <w:pPr>
              <w:spacing w:afterLines="50" w:after="120" w:line="320" w:lineRule="exact"/>
              <w:jc w:val="center"/>
              <w:rPr>
                <w:rFonts w:hint="eastAsia"/>
                <w:sz w:val="18"/>
              </w:rPr>
            </w:pPr>
            <w:r>
              <w:rPr>
                <w:rFonts w:hint="eastAsia"/>
                <w:sz w:val="18"/>
              </w:rPr>
              <w:t>…</w:t>
            </w:r>
          </w:p>
          <w:p w:rsidR="00000000" w:rsidRDefault="004D2F83">
            <w:pPr>
              <w:spacing w:afterLines="50" w:after="120" w:line="320" w:lineRule="exact"/>
              <w:jc w:val="center"/>
              <w:rPr>
                <w:rFonts w:hint="eastAsia"/>
                <w:sz w:val="18"/>
              </w:rPr>
            </w:pPr>
            <w:r>
              <w:rPr>
                <w:rFonts w:hint="eastAsia"/>
                <w:sz w:val="18"/>
              </w:rPr>
              <w:t>1 200</w:t>
            </w:r>
          </w:p>
        </w:tc>
        <w:tc>
          <w:tcPr>
            <w:tcW w:w="1099" w:type="pct"/>
          </w:tcPr>
          <w:p w:rsidR="00000000" w:rsidRDefault="004D2F83">
            <w:pPr>
              <w:spacing w:afterLines="50" w:after="120" w:line="320" w:lineRule="exact"/>
              <w:rPr>
                <w:rFonts w:hint="eastAsia"/>
                <w:sz w:val="18"/>
              </w:rPr>
            </w:pPr>
            <w:r>
              <w:rPr>
                <w:rFonts w:hint="eastAsia"/>
                <w:sz w:val="18"/>
              </w:rPr>
              <w:t>教育部与</w:t>
            </w:r>
          </w:p>
          <w:p w:rsidR="00000000" w:rsidRDefault="004D2F83">
            <w:pPr>
              <w:spacing w:afterLines="50" w:after="120" w:line="320" w:lineRule="exact"/>
              <w:rPr>
                <w:rFonts w:hint="eastAsia"/>
                <w:sz w:val="18"/>
              </w:rPr>
            </w:pPr>
            <w:r>
              <w:rPr>
                <w:rFonts w:hint="eastAsia"/>
                <w:sz w:val="18"/>
              </w:rPr>
              <w:t>农业和供给部</w:t>
            </w:r>
          </w:p>
        </w:tc>
      </w:tr>
      <w:tr w:rsidR="00000000">
        <w:tblPrEx>
          <w:tblCellMar>
            <w:top w:w="0" w:type="dxa"/>
            <w:bottom w:w="0" w:type="dxa"/>
          </w:tblCellMar>
        </w:tblPrEx>
        <w:tc>
          <w:tcPr>
            <w:tcW w:w="1209" w:type="pct"/>
          </w:tcPr>
          <w:p w:rsidR="00000000" w:rsidRDefault="004D2F83">
            <w:pPr>
              <w:spacing w:afterLines="50" w:after="120" w:line="320" w:lineRule="exact"/>
              <w:rPr>
                <w:rFonts w:hint="eastAsia"/>
                <w:sz w:val="18"/>
              </w:rPr>
            </w:pPr>
            <w:r>
              <w:rPr>
                <w:rFonts w:hint="eastAsia"/>
                <w:sz w:val="18"/>
              </w:rPr>
              <w:t>支助学龄前学校建设和基础教育</w:t>
            </w:r>
          </w:p>
        </w:tc>
        <w:tc>
          <w:tcPr>
            <w:tcW w:w="1493" w:type="pct"/>
          </w:tcPr>
          <w:p w:rsidR="00000000" w:rsidRDefault="004D2F83">
            <w:pPr>
              <w:spacing w:afterLines="50" w:after="120" w:line="320" w:lineRule="exact"/>
              <w:rPr>
                <w:rFonts w:hint="eastAsia"/>
                <w:sz w:val="18"/>
              </w:rPr>
            </w:pPr>
            <w:r>
              <w:rPr>
                <w:rFonts w:hint="eastAsia"/>
                <w:sz w:val="18"/>
              </w:rPr>
              <w:t>·发展学前教育方案</w:t>
            </w:r>
          </w:p>
          <w:p w:rsidR="00000000" w:rsidRDefault="004D2F83">
            <w:pPr>
              <w:spacing w:afterLines="50" w:after="120" w:line="320" w:lineRule="exact"/>
              <w:rPr>
                <w:rFonts w:hint="eastAsia"/>
                <w:sz w:val="18"/>
              </w:rPr>
            </w:pPr>
            <w:r>
              <w:rPr>
                <w:rFonts w:hint="eastAsia"/>
                <w:sz w:val="18"/>
              </w:rPr>
              <w:t>·全国学校交通方案（</w:t>
            </w:r>
            <w:r>
              <w:rPr>
                <w:rFonts w:hint="eastAsia"/>
                <w:sz w:val="18"/>
              </w:rPr>
              <w:t>PNTE</w:t>
            </w:r>
            <w:r>
              <w:rPr>
                <w:rFonts w:hint="eastAsia"/>
                <w:sz w:val="18"/>
              </w:rPr>
              <w:t>）</w:t>
            </w:r>
          </w:p>
          <w:p w:rsidR="00000000" w:rsidRDefault="004D2F83">
            <w:pPr>
              <w:spacing w:afterLines="50" w:after="120" w:line="320" w:lineRule="exact"/>
              <w:rPr>
                <w:rFonts w:hint="eastAsia"/>
                <w:sz w:val="18"/>
              </w:rPr>
            </w:pPr>
            <w:r>
              <w:rPr>
                <w:rFonts w:hint="eastAsia"/>
                <w:sz w:val="18"/>
              </w:rPr>
              <w:t>·学校卫生方案</w:t>
            </w:r>
          </w:p>
          <w:p w:rsidR="00000000" w:rsidRDefault="004D2F83" w:rsidP="004D2F83">
            <w:pPr>
              <w:spacing w:afterLines="50" w:after="120" w:line="320" w:lineRule="exact"/>
              <w:ind w:left="31680" w:hangingChars="115" w:firstLine="31680"/>
              <w:rPr>
                <w:rFonts w:hint="eastAsia"/>
                <w:sz w:val="18"/>
              </w:rPr>
            </w:pPr>
            <w:r>
              <w:rPr>
                <w:rFonts w:hint="eastAsia"/>
                <w:sz w:val="18"/>
              </w:rPr>
              <w:t>·基础教育维持和发展方案（</w:t>
            </w:r>
            <w:r>
              <w:rPr>
                <w:rFonts w:hint="eastAsia"/>
                <w:sz w:val="18"/>
              </w:rPr>
              <w:t>PMDE</w:t>
            </w:r>
            <w:r>
              <w:rPr>
                <w:rFonts w:hint="eastAsia"/>
                <w:sz w:val="18"/>
              </w:rPr>
              <w:t>）</w:t>
            </w:r>
          </w:p>
        </w:tc>
        <w:tc>
          <w:tcPr>
            <w:tcW w:w="1199" w:type="pct"/>
          </w:tcPr>
          <w:p w:rsidR="00000000" w:rsidRDefault="004D2F83">
            <w:pPr>
              <w:spacing w:afterLines="50" w:after="120" w:line="320" w:lineRule="exact"/>
              <w:jc w:val="center"/>
              <w:rPr>
                <w:rFonts w:hint="eastAsia"/>
                <w:sz w:val="18"/>
              </w:rPr>
            </w:pPr>
            <w:r>
              <w:rPr>
                <w:rFonts w:hint="eastAsia"/>
                <w:sz w:val="18"/>
              </w:rPr>
              <w:t>747</w:t>
            </w:r>
          </w:p>
          <w:p w:rsidR="00000000" w:rsidRDefault="004D2F83">
            <w:pPr>
              <w:spacing w:afterLines="50" w:after="120" w:line="320" w:lineRule="exact"/>
              <w:jc w:val="center"/>
              <w:rPr>
                <w:rFonts w:hint="eastAsia"/>
                <w:sz w:val="18"/>
              </w:rPr>
            </w:pPr>
            <w:r>
              <w:rPr>
                <w:rFonts w:hint="eastAsia"/>
                <w:sz w:val="18"/>
              </w:rPr>
              <w:t>1 228</w:t>
            </w:r>
          </w:p>
          <w:p w:rsidR="00000000" w:rsidRDefault="004D2F83">
            <w:pPr>
              <w:spacing w:afterLines="50" w:after="120" w:line="320" w:lineRule="exact"/>
              <w:jc w:val="center"/>
              <w:rPr>
                <w:rFonts w:hint="eastAsia"/>
                <w:sz w:val="18"/>
              </w:rPr>
            </w:pPr>
            <w:r>
              <w:rPr>
                <w:rFonts w:hint="eastAsia"/>
                <w:sz w:val="18"/>
              </w:rPr>
              <w:t>640</w:t>
            </w:r>
          </w:p>
          <w:p w:rsidR="00000000" w:rsidRDefault="004D2F83">
            <w:pPr>
              <w:spacing w:afterLines="50" w:after="120" w:line="320" w:lineRule="exact"/>
              <w:jc w:val="center"/>
              <w:rPr>
                <w:rFonts w:hint="eastAsia"/>
                <w:sz w:val="18"/>
              </w:rPr>
            </w:pPr>
            <w:r>
              <w:rPr>
                <w:rFonts w:hint="eastAsia"/>
                <w:sz w:val="18"/>
              </w:rPr>
              <w:t>1 297</w:t>
            </w:r>
          </w:p>
        </w:tc>
        <w:tc>
          <w:tcPr>
            <w:tcW w:w="1099" w:type="pct"/>
          </w:tcPr>
          <w:p w:rsidR="00000000" w:rsidRDefault="004D2F83">
            <w:pPr>
              <w:spacing w:afterLines="50" w:after="120" w:line="320" w:lineRule="exact"/>
              <w:rPr>
                <w:rFonts w:hint="eastAsia"/>
                <w:sz w:val="18"/>
              </w:rPr>
            </w:pPr>
            <w:r>
              <w:rPr>
                <w:rFonts w:hint="eastAsia"/>
                <w:sz w:val="18"/>
              </w:rPr>
              <w:t>教育部</w:t>
            </w:r>
          </w:p>
        </w:tc>
      </w:tr>
      <w:tr w:rsidR="00000000">
        <w:tblPrEx>
          <w:tblCellMar>
            <w:top w:w="0" w:type="dxa"/>
            <w:bottom w:w="0" w:type="dxa"/>
          </w:tblCellMar>
        </w:tblPrEx>
        <w:tc>
          <w:tcPr>
            <w:tcW w:w="1209" w:type="pct"/>
          </w:tcPr>
          <w:p w:rsidR="00000000" w:rsidRDefault="004D2F83">
            <w:pPr>
              <w:spacing w:afterLines="50" w:after="120" w:line="320" w:lineRule="exact"/>
              <w:rPr>
                <w:rFonts w:hint="eastAsia"/>
                <w:sz w:val="18"/>
              </w:rPr>
            </w:pPr>
            <w:r>
              <w:rPr>
                <w:rFonts w:hint="eastAsia"/>
                <w:sz w:val="18"/>
              </w:rPr>
              <w:t>加强家庭农业</w:t>
            </w:r>
          </w:p>
        </w:tc>
        <w:tc>
          <w:tcPr>
            <w:tcW w:w="1493" w:type="pct"/>
          </w:tcPr>
          <w:p w:rsidR="00000000" w:rsidRDefault="004D2F83" w:rsidP="004D2F83">
            <w:pPr>
              <w:spacing w:afterLines="50" w:after="120" w:line="320" w:lineRule="exact"/>
              <w:ind w:left="31680" w:hangingChars="115" w:firstLine="31680"/>
              <w:rPr>
                <w:rFonts w:hint="eastAsia"/>
                <w:sz w:val="18"/>
              </w:rPr>
            </w:pPr>
            <w:r>
              <w:rPr>
                <w:rFonts w:hint="eastAsia"/>
                <w:sz w:val="18"/>
              </w:rPr>
              <w:t>·国家加强家庭农业方案</w:t>
            </w:r>
          </w:p>
        </w:tc>
        <w:tc>
          <w:tcPr>
            <w:tcW w:w="1199" w:type="pct"/>
          </w:tcPr>
          <w:p w:rsidR="00000000" w:rsidRDefault="004D2F83">
            <w:pPr>
              <w:spacing w:afterLines="50" w:after="120" w:line="320" w:lineRule="exact"/>
              <w:jc w:val="center"/>
              <w:rPr>
                <w:rFonts w:hint="eastAsia"/>
                <w:sz w:val="18"/>
              </w:rPr>
            </w:pPr>
            <w:r>
              <w:rPr>
                <w:rFonts w:hint="eastAsia"/>
                <w:sz w:val="18"/>
              </w:rPr>
              <w:t>640</w:t>
            </w:r>
          </w:p>
        </w:tc>
        <w:tc>
          <w:tcPr>
            <w:tcW w:w="1099" w:type="pct"/>
          </w:tcPr>
          <w:p w:rsidR="00000000" w:rsidRDefault="004D2F83">
            <w:pPr>
              <w:spacing w:afterLines="50" w:after="120" w:line="320" w:lineRule="exact"/>
              <w:rPr>
                <w:rFonts w:hint="eastAsia"/>
                <w:sz w:val="18"/>
              </w:rPr>
            </w:pPr>
            <w:r>
              <w:rPr>
                <w:rFonts w:hint="eastAsia"/>
                <w:sz w:val="18"/>
              </w:rPr>
              <w:t>农业和供应部</w:t>
            </w:r>
          </w:p>
        </w:tc>
      </w:tr>
      <w:tr w:rsidR="00000000">
        <w:tblPrEx>
          <w:tblCellMar>
            <w:top w:w="0" w:type="dxa"/>
            <w:bottom w:w="0" w:type="dxa"/>
          </w:tblCellMar>
        </w:tblPrEx>
        <w:tc>
          <w:tcPr>
            <w:tcW w:w="1209" w:type="pct"/>
          </w:tcPr>
          <w:p w:rsidR="00000000" w:rsidRDefault="004D2F83">
            <w:pPr>
              <w:spacing w:afterLines="50" w:after="120" w:line="320" w:lineRule="exact"/>
              <w:rPr>
                <w:rFonts w:hint="eastAsia"/>
                <w:sz w:val="18"/>
              </w:rPr>
            </w:pPr>
            <w:r>
              <w:rPr>
                <w:rFonts w:hint="eastAsia"/>
                <w:sz w:val="18"/>
              </w:rPr>
              <w:t>就业和创收及专业</w:t>
            </w:r>
            <w:r>
              <w:rPr>
                <w:rFonts w:hint="eastAsia"/>
                <w:sz w:val="18"/>
              </w:rPr>
              <w:t>资格培训</w:t>
            </w:r>
          </w:p>
        </w:tc>
        <w:tc>
          <w:tcPr>
            <w:tcW w:w="1493" w:type="pct"/>
          </w:tcPr>
          <w:p w:rsidR="00000000" w:rsidRDefault="004D2F83">
            <w:pPr>
              <w:spacing w:afterLines="50" w:after="120" w:line="320" w:lineRule="exact"/>
              <w:rPr>
                <w:rFonts w:hint="eastAsia"/>
                <w:sz w:val="18"/>
              </w:rPr>
            </w:pPr>
            <w:r>
              <w:rPr>
                <w:rFonts w:hint="eastAsia"/>
                <w:sz w:val="18"/>
              </w:rPr>
              <w:t>·就业和创收方案</w:t>
            </w:r>
          </w:p>
          <w:p w:rsidR="00000000" w:rsidRDefault="004D2F83">
            <w:pPr>
              <w:spacing w:afterLines="50" w:after="120" w:line="320" w:lineRule="exact"/>
              <w:rPr>
                <w:rFonts w:hint="eastAsia"/>
                <w:sz w:val="18"/>
              </w:rPr>
            </w:pPr>
            <w:r>
              <w:rPr>
                <w:rFonts w:hint="eastAsia"/>
                <w:sz w:val="18"/>
              </w:rPr>
              <w:t>·全国职业发展方案</w:t>
            </w:r>
          </w:p>
          <w:p w:rsidR="00000000" w:rsidRDefault="004D2F83">
            <w:pPr>
              <w:spacing w:afterLines="50" w:after="120" w:line="320" w:lineRule="exact"/>
              <w:rPr>
                <w:rFonts w:hint="eastAsia"/>
                <w:sz w:val="18"/>
              </w:rPr>
            </w:pPr>
            <w:r>
              <w:rPr>
                <w:rFonts w:hint="eastAsia"/>
                <w:sz w:val="18"/>
              </w:rPr>
              <w:t>·专业调节方案</w:t>
            </w:r>
          </w:p>
        </w:tc>
        <w:tc>
          <w:tcPr>
            <w:tcW w:w="1199" w:type="pct"/>
          </w:tcPr>
          <w:p w:rsidR="00000000" w:rsidRDefault="004D2F83">
            <w:pPr>
              <w:spacing w:afterLines="50" w:after="120" w:line="320" w:lineRule="exact"/>
              <w:jc w:val="center"/>
              <w:rPr>
                <w:rFonts w:hint="eastAsia"/>
                <w:sz w:val="18"/>
              </w:rPr>
            </w:pPr>
            <w:r>
              <w:rPr>
                <w:rFonts w:hint="eastAsia"/>
                <w:sz w:val="18"/>
              </w:rPr>
              <w:t>707</w:t>
            </w:r>
          </w:p>
          <w:p w:rsidR="00000000" w:rsidRDefault="004D2F83">
            <w:pPr>
              <w:spacing w:afterLines="50" w:after="120" w:line="320" w:lineRule="exact"/>
              <w:jc w:val="center"/>
              <w:rPr>
                <w:rFonts w:hint="eastAsia"/>
                <w:sz w:val="18"/>
              </w:rPr>
            </w:pPr>
            <w:r>
              <w:rPr>
                <w:rFonts w:hint="eastAsia"/>
                <w:sz w:val="18"/>
              </w:rPr>
              <w:t>…</w:t>
            </w:r>
          </w:p>
          <w:p w:rsidR="00000000" w:rsidRDefault="004D2F83">
            <w:pPr>
              <w:spacing w:afterLines="50" w:after="120" w:line="320" w:lineRule="exact"/>
              <w:jc w:val="center"/>
              <w:rPr>
                <w:rFonts w:hint="eastAsia"/>
                <w:sz w:val="18"/>
              </w:rPr>
            </w:pPr>
            <w:r>
              <w:rPr>
                <w:rFonts w:hint="eastAsia"/>
                <w:sz w:val="18"/>
              </w:rPr>
              <w:t>…</w:t>
            </w:r>
          </w:p>
        </w:tc>
        <w:tc>
          <w:tcPr>
            <w:tcW w:w="1099" w:type="pct"/>
          </w:tcPr>
          <w:p w:rsidR="00000000" w:rsidRDefault="004D2F83">
            <w:pPr>
              <w:spacing w:afterLines="50" w:after="120" w:line="320" w:lineRule="exact"/>
              <w:rPr>
                <w:rFonts w:hint="eastAsia"/>
                <w:sz w:val="18"/>
              </w:rPr>
            </w:pPr>
            <w:r>
              <w:rPr>
                <w:rFonts w:hint="eastAsia"/>
                <w:sz w:val="18"/>
              </w:rPr>
              <w:t>劳动部</w:t>
            </w:r>
          </w:p>
          <w:p w:rsidR="00000000" w:rsidRDefault="004D2F83">
            <w:pPr>
              <w:spacing w:afterLines="50" w:after="120" w:line="320" w:lineRule="exact"/>
              <w:rPr>
                <w:rFonts w:hint="eastAsia"/>
                <w:sz w:val="18"/>
              </w:rPr>
            </w:pPr>
            <w:r>
              <w:rPr>
                <w:rFonts w:hint="eastAsia"/>
                <w:sz w:val="18"/>
              </w:rPr>
              <w:t>劳动者支助基金（</w:t>
            </w:r>
            <w:r>
              <w:rPr>
                <w:rFonts w:hint="eastAsia"/>
                <w:sz w:val="18"/>
              </w:rPr>
              <w:t>FAT</w:t>
            </w:r>
            <w:r>
              <w:rPr>
                <w:rFonts w:hint="eastAsia"/>
                <w:sz w:val="18"/>
              </w:rPr>
              <w:t>）</w:t>
            </w:r>
          </w:p>
        </w:tc>
      </w:tr>
      <w:tr w:rsidR="00000000">
        <w:tblPrEx>
          <w:tblCellMar>
            <w:top w:w="0" w:type="dxa"/>
            <w:bottom w:w="0" w:type="dxa"/>
          </w:tblCellMar>
        </w:tblPrEx>
        <w:tc>
          <w:tcPr>
            <w:tcW w:w="1209" w:type="pct"/>
          </w:tcPr>
          <w:p w:rsidR="00000000" w:rsidRDefault="004D2F83">
            <w:pPr>
              <w:spacing w:afterLines="50" w:after="120" w:line="320" w:lineRule="exact"/>
              <w:rPr>
                <w:rFonts w:hint="eastAsia"/>
                <w:sz w:val="18"/>
              </w:rPr>
            </w:pPr>
            <w:r>
              <w:rPr>
                <w:rFonts w:hint="eastAsia"/>
                <w:sz w:val="18"/>
              </w:rPr>
              <w:t>改善住房和卫生条件</w:t>
            </w:r>
          </w:p>
        </w:tc>
        <w:tc>
          <w:tcPr>
            <w:tcW w:w="1493" w:type="pct"/>
          </w:tcPr>
          <w:p w:rsidR="00000000" w:rsidRDefault="004D2F83">
            <w:pPr>
              <w:spacing w:afterLines="50" w:after="120" w:line="320" w:lineRule="exact"/>
              <w:rPr>
                <w:rFonts w:hint="eastAsia"/>
                <w:sz w:val="18"/>
              </w:rPr>
            </w:pPr>
            <w:r>
              <w:rPr>
                <w:rFonts w:hint="eastAsia"/>
                <w:sz w:val="18"/>
              </w:rPr>
              <w:t>·“生境―巴西”方案</w:t>
            </w:r>
          </w:p>
          <w:p w:rsidR="00000000" w:rsidRDefault="004D2F83" w:rsidP="004D2F83">
            <w:pPr>
              <w:spacing w:afterLines="50" w:after="120" w:line="320" w:lineRule="exact"/>
              <w:ind w:left="31680" w:hangingChars="115" w:firstLine="31680"/>
              <w:rPr>
                <w:rFonts w:hint="eastAsia"/>
                <w:sz w:val="18"/>
              </w:rPr>
            </w:pPr>
            <w:r>
              <w:rPr>
                <w:rFonts w:hint="eastAsia"/>
                <w:sz w:val="18"/>
              </w:rPr>
              <w:t>·卫生方案社会行动（</w:t>
            </w:r>
            <w:r>
              <w:rPr>
                <w:rFonts w:hint="eastAsia"/>
                <w:sz w:val="18"/>
              </w:rPr>
              <w:t>PASS</w:t>
            </w:r>
            <w:r>
              <w:rPr>
                <w:rFonts w:hint="eastAsia"/>
                <w:sz w:val="18"/>
              </w:rPr>
              <w:t>）</w:t>
            </w:r>
          </w:p>
        </w:tc>
        <w:tc>
          <w:tcPr>
            <w:tcW w:w="1199" w:type="pct"/>
          </w:tcPr>
          <w:p w:rsidR="00000000" w:rsidRDefault="004D2F83">
            <w:pPr>
              <w:spacing w:afterLines="50" w:after="120" w:line="320" w:lineRule="exact"/>
              <w:jc w:val="center"/>
              <w:rPr>
                <w:rFonts w:hint="eastAsia"/>
                <w:sz w:val="18"/>
              </w:rPr>
            </w:pPr>
            <w:r>
              <w:rPr>
                <w:rFonts w:hint="eastAsia"/>
                <w:sz w:val="18"/>
              </w:rPr>
              <w:t>…</w:t>
            </w:r>
          </w:p>
          <w:p w:rsidR="00000000" w:rsidRDefault="004D2F83">
            <w:pPr>
              <w:spacing w:afterLines="50" w:after="120" w:line="320" w:lineRule="exact"/>
              <w:jc w:val="center"/>
              <w:rPr>
                <w:rFonts w:hint="eastAsia"/>
                <w:sz w:val="18"/>
              </w:rPr>
            </w:pPr>
            <w:r>
              <w:rPr>
                <w:rFonts w:hint="eastAsia"/>
                <w:sz w:val="18"/>
              </w:rPr>
              <w:t>…</w:t>
            </w:r>
          </w:p>
        </w:tc>
        <w:tc>
          <w:tcPr>
            <w:tcW w:w="1099" w:type="pct"/>
          </w:tcPr>
          <w:p w:rsidR="00000000" w:rsidRDefault="004D2F83">
            <w:pPr>
              <w:spacing w:afterLines="50" w:after="120" w:line="320" w:lineRule="exact"/>
              <w:rPr>
                <w:rFonts w:hint="eastAsia"/>
                <w:sz w:val="18"/>
              </w:rPr>
            </w:pPr>
            <w:r>
              <w:rPr>
                <w:rFonts w:hint="eastAsia"/>
                <w:sz w:val="18"/>
              </w:rPr>
              <w:t>计划和预算部</w:t>
            </w:r>
          </w:p>
          <w:p w:rsidR="00000000" w:rsidRDefault="004D2F83">
            <w:pPr>
              <w:spacing w:afterLines="50" w:after="120" w:line="320" w:lineRule="exact"/>
              <w:rPr>
                <w:rFonts w:hint="eastAsia"/>
                <w:sz w:val="18"/>
              </w:rPr>
            </w:pPr>
          </w:p>
          <w:p w:rsidR="00000000" w:rsidRDefault="004D2F83">
            <w:pPr>
              <w:spacing w:afterLines="50" w:after="120" w:line="320" w:lineRule="exact"/>
              <w:rPr>
                <w:rFonts w:hint="eastAsia"/>
                <w:sz w:val="18"/>
              </w:rPr>
            </w:pPr>
            <w:r>
              <w:rPr>
                <w:rFonts w:hint="eastAsia"/>
                <w:sz w:val="18"/>
              </w:rPr>
              <w:t>SEPURB</w:t>
            </w:r>
            <w:r>
              <w:rPr>
                <w:rFonts w:hint="eastAsia"/>
                <w:sz w:val="18"/>
              </w:rPr>
              <w:t>和</w:t>
            </w:r>
            <w:r>
              <w:rPr>
                <w:rFonts w:hint="eastAsia"/>
                <w:sz w:val="18"/>
              </w:rPr>
              <w:t>CEF</w:t>
            </w:r>
          </w:p>
        </w:tc>
      </w:tr>
    </w:tbl>
    <w:p w:rsidR="00000000" w:rsidRDefault="004D2F83">
      <w:pPr>
        <w:spacing w:after="240" w:line="360" w:lineRule="exact"/>
        <w:rPr>
          <w:rFonts w:hint="eastAsia"/>
          <w:sz w:val="18"/>
        </w:rPr>
      </w:pPr>
      <w:r>
        <w:rPr>
          <w:rFonts w:eastAsia="SimHei" w:hint="eastAsia"/>
          <w:sz w:val="18"/>
        </w:rPr>
        <w:t>资料来源</w:t>
      </w:r>
      <w:r>
        <w:rPr>
          <w:rFonts w:hint="eastAsia"/>
          <w:sz w:val="18"/>
        </w:rPr>
        <w:t>：社区团结互助方案。三年的工作，因特网上的主页，</w:t>
      </w:r>
      <w:r>
        <w:rPr>
          <w:rFonts w:hint="eastAsia"/>
          <w:sz w:val="18"/>
        </w:rPr>
        <w:t>s/p</w:t>
      </w:r>
      <w:r>
        <w:rPr>
          <w:rFonts w:hint="eastAsia"/>
          <w:sz w:val="18"/>
        </w:rPr>
        <w:t>。</w:t>
      </w:r>
    </w:p>
    <w:p w:rsidR="00000000" w:rsidRDefault="004D2F83">
      <w:pPr>
        <w:spacing w:after="240" w:line="360" w:lineRule="exact"/>
        <w:rPr>
          <w:rFonts w:eastAsia="SimHei" w:hint="eastAsia"/>
          <w:sz w:val="24"/>
        </w:rPr>
      </w:pPr>
      <w:r>
        <w:rPr>
          <w:rFonts w:eastAsia="SimHei" w:hint="eastAsia"/>
          <w:sz w:val="24"/>
        </w:rPr>
        <w:t>因素和困难</w:t>
      </w:r>
    </w:p>
    <w:p w:rsidR="00000000" w:rsidRDefault="004D2F83" w:rsidP="004D2F83">
      <w:pPr>
        <w:pStyle w:val="1"/>
        <w:adjustRightInd w:val="0"/>
        <w:spacing w:after="240" w:line="360" w:lineRule="exact"/>
        <w:ind w:firstLine="31680"/>
        <w:textAlignment w:val="baseline"/>
        <w:rPr>
          <w:rFonts w:hint="eastAsia"/>
          <w:kern w:val="0"/>
          <w:szCs w:val="20"/>
        </w:rPr>
      </w:pPr>
      <w:r>
        <w:rPr>
          <w:rFonts w:hint="eastAsia"/>
          <w:kern w:val="0"/>
          <w:szCs w:val="20"/>
        </w:rPr>
        <w:t>在巴西，主要的家庭福利都是普遍的，涵盖了除佣仆之外拥有正式劳动关系的劳动者。妇女更易遭受贫穷和生产改革的影响。</w:t>
      </w:r>
    </w:p>
    <w:p w:rsidR="00000000" w:rsidRDefault="004D2F83" w:rsidP="004D2F83">
      <w:pPr>
        <w:spacing w:after="240" w:line="360" w:lineRule="exact"/>
        <w:ind w:firstLineChars="200" w:firstLine="31680"/>
        <w:rPr>
          <w:rFonts w:hint="eastAsia"/>
        </w:rPr>
      </w:pPr>
      <w:r>
        <w:rPr>
          <w:rFonts w:hint="eastAsia"/>
        </w:rPr>
        <w:t>尽管妇女的受教育程度有所提高，但还没有关于收入提高和职业提升方面的记录，低工资仍然普</w:t>
      </w:r>
      <w:r>
        <w:rPr>
          <w:rFonts w:hint="eastAsia"/>
        </w:rPr>
        <w:t>遍。妇女占从事经济活动人口（在业人口）的比率在继续增长，从</w:t>
      </w:r>
      <w:r>
        <w:rPr>
          <w:rFonts w:hint="eastAsia"/>
        </w:rPr>
        <w:t>1970</w:t>
      </w:r>
      <w:r>
        <w:rPr>
          <w:rFonts w:hint="eastAsia"/>
        </w:rPr>
        <w:t>年的</w:t>
      </w:r>
      <w:r>
        <w:rPr>
          <w:rFonts w:hint="eastAsia"/>
        </w:rPr>
        <w:t>20.4%</w:t>
      </w:r>
      <w:r>
        <w:rPr>
          <w:rFonts w:hint="eastAsia"/>
        </w:rPr>
        <w:t>增至</w:t>
      </w:r>
      <w:r>
        <w:rPr>
          <w:rFonts w:hint="eastAsia"/>
        </w:rPr>
        <w:t>1992</w:t>
      </w:r>
      <w:r>
        <w:rPr>
          <w:rFonts w:hint="eastAsia"/>
        </w:rPr>
        <w:t>年的</w:t>
      </w:r>
      <w:r>
        <w:rPr>
          <w:rFonts w:hint="eastAsia"/>
        </w:rPr>
        <w:t>39.5%</w:t>
      </w:r>
      <w:r>
        <w:rPr>
          <w:rFonts w:hint="eastAsia"/>
        </w:rPr>
        <w:t>和</w:t>
      </w:r>
      <w:r>
        <w:rPr>
          <w:rFonts w:hint="eastAsia"/>
        </w:rPr>
        <w:t>1999</w:t>
      </w:r>
      <w:r>
        <w:rPr>
          <w:rFonts w:hint="eastAsia"/>
        </w:rPr>
        <w:t>年的</w:t>
      </w:r>
      <w:r>
        <w:rPr>
          <w:rFonts w:hint="eastAsia"/>
        </w:rPr>
        <w:t>41.44%</w:t>
      </w:r>
      <w:r>
        <w:rPr>
          <w:rFonts w:hint="eastAsia"/>
        </w:rPr>
        <w:t>。</w:t>
      </w:r>
      <w:r>
        <w:rPr>
          <w:rStyle w:val="FootnoteReference"/>
        </w:rPr>
        <w:footnoteReference w:customMarkFollows="1" w:id="135"/>
        <w:t>135</w:t>
      </w:r>
      <w:r>
        <w:rPr>
          <w:rFonts w:hint="eastAsia"/>
        </w:rPr>
        <w:t>然而，担负户主责任的妇女也有所增多。全国住户抽样调查显示，</w:t>
      </w:r>
      <w:r>
        <w:rPr>
          <w:rFonts w:hint="eastAsia"/>
        </w:rPr>
        <w:t>1999</w:t>
      </w:r>
      <w:r>
        <w:rPr>
          <w:rFonts w:hint="eastAsia"/>
        </w:rPr>
        <w:t>年，巴西住户中有</w:t>
      </w:r>
      <w:r>
        <w:rPr>
          <w:rFonts w:hint="eastAsia"/>
        </w:rPr>
        <w:t>26%</w:t>
      </w:r>
      <w:r>
        <w:rPr>
          <w:rFonts w:hint="eastAsia"/>
        </w:rPr>
        <w:t>由妇女担任户主，</w:t>
      </w:r>
      <w:r>
        <w:rPr>
          <w:rStyle w:val="FootnoteReference"/>
        </w:rPr>
        <w:footnoteReference w:customMarkFollows="1" w:id="136"/>
        <w:t>136</w:t>
      </w:r>
      <w:r>
        <w:rPr>
          <w:rFonts w:hint="eastAsia"/>
        </w:rPr>
        <w:t>在巴西的某些州府城市，如贝伦（</w:t>
      </w:r>
      <w:r>
        <w:rPr>
          <w:rFonts w:hint="eastAsia"/>
        </w:rPr>
        <w:t>40.5%</w:t>
      </w:r>
      <w:r>
        <w:rPr>
          <w:rFonts w:hint="eastAsia"/>
        </w:rPr>
        <w:t>）、萨尔瓦多（</w:t>
      </w:r>
      <w:r>
        <w:rPr>
          <w:rFonts w:hint="eastAsia"/>
        </w:rPr>
        <w:t>38.6%</w:t>
      </w:r>
      <w:r>
        <w:rPr>
          <w:rFonts w:hint="eastAsia"/>
        </w:rPr>
        <w:t>）、累西腓（</w:t>
      </w:r>
      <w:r>
        <w:rPr>
          <w:rFonts w:hint="eastAsia"/>
        </w:rPr>
        <w:t>33%</w:t>
      </w:r>
      <w:r>
        <w:rPr>
          <w:rFonts w:hint="eastAsia"/>
        </w:rPr>
        <w:t>）和阿雷格里港（</w:t>
      </w:r>
      <w:r>
        <w:rPr>
          <w:rFonts w:hint="eastAsia"/>
        </w:rPr>
        <w:t>33%</w:t>
      </w:r>
      <w:r>
        <w:rPr>
          <w:rFonts w:hint="eastAsia"/>
        </w:rPr>
        <w:t>），该数字高于全国平均水平。</w:t>
      </w:r>
    </w:p>
    <w:p w:rsidR="00000000" w:rsidRDefault="004D2F83" w:rsidP="004D2F83">
      <w:pPr>
        <w:spacing w:after="240" w:line="360" w:lineRule="exact"/>
        <w:ind w:firstLineChars="200" w:firstLine="31680"/>
        <w:rPr>
          <w:rFonts w:hint="eastAsia"/>
        </w:rPr>
      </w:pPr>
      <w:r>
        <w:rPr>
          <w:rFonts w:hint="eastAsia"/>
        </w:rPr>
        <w:t>由于妇女担任户主的家庭增多，妇女供养自己和赡养家庭的责任也加重，产生了对家庭补助的需求和要有能够纠正这种两性不平衡现象的其他补偿</w:t>
      </w:r>
      <w:r>
        <w:rPr>
          <w:rFonts w:hint="eastAsia"/>
        </w:rPr>
        <w:t>性公共政策。这种境况因迫使妇女承担家庭责任和家务劳动的其他文化和社会因素而加重，比如，主要因素有：</w:t>
      </w:r>
      <w:r>
        <w:rPr>
          <w:rStyle w:val="FootnoteReference"/>
        </w:rPr>
        <w:footnoteReference w:customMarkFollows="1" w:id="137"/>
        <w:t>137</w:t>
      </w:r>
      <w:r>
        <w:rPr>
          <w:rFonts w:hint="eastAsia"/>
        </w:rPr>
        <w:t>母亲得不到其伴侣对青少年子女的扶养费；儿子对老年人不关心照顾；需要承担家庭责任和补充家庭收入以及在照顾子女方面缺乏公共支助。</w:t>
      </w:r>
    </w:p>
    <w:p w:rsidR="00000000" w:rsidRDefault="004D2F83" w:rsidP="004D2F83">
      <w:pPr>
        <w:spacing w:after="240" w:line="360" w:lineRule="exact"/>
        <w:ind w:firstLineChars="200" w:firstLine="31680"/>
        <w:rPr>
          <w:rFonts w:hint="eastAsia"/>
        </w:rPr>
      </w:pPr>
      <w:r>
        <w:rPr>
          <w:rFonts w:hint="eastAsia"/>
        </w:rPr>
        <w:t>现在迫切需要制订面向被劳动力市场排斥的妇女（</w:t>
      </w:r>
      <w:r>
        <w:rPr>
          <w:rFonts w:hint="eastAsia"/>
        </w:rPr>
        <w:t>1999</w:t>
      </w:r>
      <w:r>
        <w:rPr>
          <w:rFonts w:hint="eastAsia"/>
        </w:rPr>
        <w:t>年约</w:t>
      </w:r>
      <w:r>
        <w:rPr>
          <w:rFonts w:hint="eastAsia"/>
        </w:rPr>
        <w:t>3400</w:t>
      </w:r>
      <w:r>
        <w:rPr>
          <w:rFonts w:hint="eastAsia"/>
        </w:rPr>
        <w:t>万）</w:t>
      </w:r>
      <w:r>
        <w:rPr>
          <w:rStyle w:val="FootnoteReference"/>
        </w:rPr>
        <w:footnoteReference w:customMarkFollows="1" w:id="138"/>
        <w:t>138</w:t>
      </w:r>
      <w:r>
        <w:rPr>
          <w:rFonts w:hint="eastAsia"/>
        </w:rPr>
        <w:t>的补偿性公共政策，比如，除了着眼于性别问题的其他倡议外，对考虑到妇女的职业生涯周期的企业采取奖励措施。</w:t>
      </w:r>
    </w:p>
    <w:p w:rsidR="00000000" w:rsidRDefault="004D2F83" w:rsidP="004D2F83">
      <w:pPr>
        <w:pStyle w:val="1"/>
        <w:adjustRightInd w:val="0"/>
        <w:spacing w:after="240" w:line="360" w:lineRule="exact"/>
        <w:ind w:firstLine="31680"/>
        <w:textAlignment w:val="baseline"/>
        <w:rPr>
          <w:rFonts w:hint="eastAsia"/>
          <w:kern w:val="0"/>
          <w:szCs w:val="20"/>
        </w:rPr>
      </w:pPr>
      <w:r>
        <w:rPr>
          <w:rFonts w:hint="eastAsia"/>
          <w:kern w:val="0"/>
          <w:szCs w:val="20"/>
        </w:rPr>
        <w:t>在巴西，妇女参与娱乐和体育活动以及其他方面的文化生活没有法律障碍。妇女参与艺术和体育活动相当普遍，没有数</w:t>
      </w:r>
      <w:r>
        <w:rPr>
          <w:rFonts w:hint="eastAsia"/>
          <w:kern w:val="0"/>
          <w:szCs w:val="20"/>
        </w:rPr>
        <w:t>据表明这一方面存在着任何形式的歧视或需要采取平权行动。</w:t>
      </w:r>
    </w:p>
    <w:p w:rsidR="00000000" w:rsidRDefault="004D2F83">
      <w:pPr>
        <w:spacing w:line="360" w:lineRule="exact"/>
        <w:jc w:val="center"/>
        <w:rPr>
          <w:b/>
          <w:bCs/>
          <w:sz w:val="28"/>
        </w:rPr>
      </w:pPr>
      <w:r>
        <w:rPr>
          <w:b/>
          <w:bCs/>
          <w:sz w:val="28"/>
        </w:rPr>
        <w:br w:type="page"/>
      </w:r>
    </w:p>
    <w:p w:rsidR="00000000" w:rsidRDefault="004D2F83">
      <w:pPr>
        <w:pStyle w:val="Heading3"/>
        <w:numPr>
          <w:ilvl w:val="0"/>
          <w:numId w:val="0"/>
        </w:numPr>
        <w:spacing w:before="0"/>
        <w:jc w:val="center"/>
        <w:rPr>
          <w:rFonts w:ascii="KaiTi_GB2312" w:eastAsia="KaiTi_GB2312" w:hint="eastAsia"/>
          <w:b/>
          <w:bCs/>
          <w:u w:val="none"/>
        </w:rPr>
      </w:pPr>
      <w:bookmarkStart w:id="20" w:name="_Toc36367090"/>
      <w:r>
        <w:rPr>
          <w:rFonts w:ascii="KaiTi_GB2312" w:eastAsia="KaiTi_GB2312" w:hint="eastAsia"/>
          <w:b/>
          <w:bCs/>
          <w:u w:val="none"/>
        </w:rPr>
        <w:t>第</w:t>
      </w:r>
      <w:r>
        <w:rPr>
          <w:rFonts w:ascii="KaiTi_GB2312" w:eastAsia="KaiTi_GB2312" w:hint="eastAsia"/>
          <w:b/>
          <w:bCs/>
          <w:u w:val="none"/>
        </w:rPr>
        <w:t>14</w:t>
      </w:r>
      <w:r>
        <w:rPr>
          <w:rFonts w:ascii="KaiTi_GB2312" w:eastAsia="KaiTi_GB2312" w:hint="eastAsia"/>
          <w:b/>
          <w:bCs/>
          <w:u w:val="none"/>
        </w:rPr>
        <w:t>条</w:t>
      </w:r>
      <w:bookmarkEnd w:id="20"/>
    </w:p>
    <w:p w:rsidR="00000000" w:rsidRDefault="004D2F83" w:rsidP="004D2F83">
      <w:pPr>
        <w:spacing w:after="240" w:line="360" w:lineRule="exact"/>
        <w:ind w:left="31680" w:hangingChars="200" w:firstLine="31680"/>
        <w:rPr>
          <w:rFonts w:ascii="KaiTi_GB2312" w:eastAsia="KaiTi_GB2312" w:hint="eastAsia"/>
          <w:b/>
          <w:bCs/>
        </w:rPr>
      </w:pPr>
      <w:r>
        <w:rPr>
          <w:rFonts w:ascii="KaiTi_GB2312" w:eastAsia="KaiTi_GB2312" w:hint="eastAsia"/>
          <w:b/>
          <w:bCs/>
        </w:rPr>
        <w:t>1</w:t>
      </w:r>
      <w:r>
        <w:rPr>
          <w:rFonts w:ascii="KaiTi_GB2312" w:eastAsia="KaiTi_GB2312" w:hint="eastAsia"/>
          <w:b/>
          <w:bCs/>
        </w:rPr>
        <w:t>．</w:t>
      </w:r>
      <w:r>
        <w:rPr>
          <w:rFonts w:ascii="KaiTi_GB2312" w:eastAsia="KaiTi_GB2312"/>
          <w:b/>
          <w:bCs/>
        </w:rPr>
        <w:tab/>
      </w:r>
      <w:r>
        <w:rPr>
          <w:rFonts w:ascii="KaiTi_GB2312" w:eastAsia="KaiTi_GB2312" w:hint="eastAsia"/>
          <w:b/>
          <w:bCs/>
        </w:rPr>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000000" w:rsidRDefault="004D2F83" w:rsidP="004D2F83">
      <w:pPr>
        <w:spacing w:after="240" w:line="360" w:lineRule="exact"/>
        <w:ind w:left="31680" w:hangingChars="200" w:firstLine="31680"/>
        <w:rPr>
          <w:rFonts w:ascii="KaiTi_GB2312" w:eastAsia="KaiTi_GB2312" w:hint="eastAsia"/>
          <w:b/>
          <w:bCs/>
        </w:rPr>
      </w:pPr>
      <w:r>
        <w:rPr>
          <w:rFonts w:ascii="KaiTi_GB2312" w:eastAsia="KaiTi_GB2312" w:hint="eastAsia"/>
          <w:b/>
          <w:bCs/>
        </w:rPr>
        <w:t>2</w:t>
      </w:r>
      <w:r>
        <w:rPr>
          <w:rFonts w:ascii="KaiTi_GB2312" w:eastAsia="KaiTi_GB2312" w:hint="eastAsia"/>
          <w:b/>
          <w:bCs/>
        </w:rPr>
        <w:t>．</w:t>
      </w:r>
      <w:r>
        <w:rPr>
          <w:rFonts w:ascii="KaiTi_GB2312" w:eastAsia="KaiTi_GB2312"/>
          <w:b/>
          <w:bCs/>
        </w:rPr>
        <w:tab/>
      </w:r>
      <w:r>
        <w:rPr>
          <w:rFonts w:ascii="KaiTi_GB2312" w:eastAsia="KaiTi_GB2312" w:hint="eastAsia"/>
          <w:b/>
          <w:bCs/>
        </w:rPr>
        <w:t>缔约各国应采取一切适当措施以消除对农村地区妇女的歧视，保证她们在男女平等的基础上参与农村发展并受其益惠，尤其是保证她们有权：</w:t>
      </w:r>
    </w:p>
    <w:p w:rsidR="00000000" w:rsidRDefault="004D2F83" w:rsidP="004D2F83">
      <w:pPr>
        <w:spacing w:after="240" w:line="360" w:lineRule="exact"/>
        <w:ind w:leftChars="200" w:left="31680" w:hangingChars="200" w:firstLine="31680"/>
        <w:rPr>
          <w:rFonts w:ascii="KaiTi_GB2312" w:eastAsia="KaiTi_GB2312" w:hint="eastAsia"/>
          <w:b/>
          <w:bCs/>
        </w:rPr>
      </w:pPr>
      <w:r>
        <w:rPr>
          <w:rFonts w:ascii="KaiTi_GB2312" w:eastAsia="KaiTi_GB2312"/>
          <w:b/>
          <w:bCs/>
        </w:rPr>
        <w:t>(</w:t>
      </w:r>
      <w:r>
        <w:rPr>
          <w:rFonts w:ascii="KaiTi_GB2312" w:eastAsia="KaiTi_GB2312" w:hint="eastAsia"/>
          <w:b/>
          <w:bCs/>
        </w:rPr>
        <w:t>a</w:t>
      </w:r>
      <w:r>
        <w:rPr>
          <w:rFonts w:ascii="KaiTi_GB2312" w:eastAsia="KaiTi_GB2312"/>
          <w:b/>
          <w:bCs/>
        </w:rPr>
        <w:t>)</w:t>
      </w:r>
      <w:r>
        <w:rPr>
          <w:rFonts w:ascii="KaiTi_GB2312" w:eastAsia="KaiTi_GB2312"/>
          <w:b/>
          <w:bCs/>
        </w:rPr>
        <w:tab/>
      </w:r>
      <w:r>
        <w:rPr>
          <w:rFonts w:ascii="KaiTi_GB2312" w:eastAsia="KaiTi_GB2312" w:hint="eastAsia"/>
          <w:b/>
          <w:bCs/>
        </w:rPr>
        <w:t>充分参与各级发展规划的拟订和执行工作；</w:t>
      </w:r>
    </w:p>
    <w:p w:rsidR="00000000" w:rsidRDefault="004D2F83" w:rsidP="004D2F83">
      <w:pPr>
        <w:spacing w:after="240" w:line="360" w:lineRule="exact"/>
        <w:ind w:leftChars="200" w:left="31680" w:hangingChars="200" w:firstLine="31680"/>
        <w:rPr>
          <w:rFonts w:ascii="KaiTi_GB2312" w:eastAsia="KaiTi_GB2312" w:hint="eastAsia"/>
          <w:b/>
          <w:bCs/>
        </w:rPr>
      </w:pPr>
      <w:r>
        <w:rPr>
          <w:rFonts w:ascii="KaiTi_GB2312" w:eastAsia="KaiTi_GB2312"/>
          <w:b/>
          <w:bCs/>
        </w:rPr>
        <w:t>(</w:t>
      </w:r>
      <w:r>
        <w:rPr>
          <w:rFonts w:ascii="KaiTi_GB2312" w:eastAsia="KaiTi_GB2312" w:hint="eastAsia"/>
          <w:b/>
          <w:bCs/>
        </w:rPr>
        <w:t>b</w:t>
      </w:r>
      <w:r>
        <w:rPr>
          <w:rFonts w:ascii="KaiTi_GB2312" w:eastAsia="KaiTi_GB2312"/>
          <w:b/>
          <w:bCs/>
        </w:rPr>
        <w:t>)</w:t>
      </w:r>
      <w:r>
        <w:rPr>
          <w:rFonts w:ascii="KaiTi_GB2312" w:eastAsia="KaiTi_GB2312"/>
          <w:b/>
          <w:bCs/>
        </w:rPr>
        <w:tab/>
      </w:r>
      <w:r>
        <w:rPr>
          <w:rFonts w:ascii="KaiTi_GB2312" w:eastAsia="KaiTi_GB2312" w:hint="eastAsia"/>
          <w:b/>
          <w:bCs/>
        </w:rPr>
        <w:t>有权利用充分的保健设施，包括计划生育方面的知识、辅导和服务；</w:t>
      </w:r>
    </w:p>
    <w:p w:rsidR="00000000" w:rsidRDefault="004D2F83" w:rsidP="004D2F83">
      <w:pPr>
        <w:spacing w:after="240" w:line="360" w:lineRule="exact"/>
        <w:ind w:leftChars="200" w:left="31680" w:hangingChars="200" w:firstLine="31680"/>
        <w:rPr>
          <w:rFonts w:ascii="KaiTi_GB2312" w:eastAsia="KaiTi_GB2312" w:hint="eastAsia"/>
          <w:b/>
          <w:bCs/>
        </w:rPr>
      </w:pPr>
      <w:r>
        <w:rPr>
          <w:rFonts w:ascii="KaiTi_GB2312" w:eastAsia="KaiTi_GB2312"/>
          <w:b/>
          <w:bCs/>
        </w:rPr>
        <w:t>(</w:t>
      </w:r>
      <w:r>
        <w:rPr>
          <w:rFonts w:ascii="KaiTi_GB2312" w:eastAsia="KaiTi_GB2312" w:hint="eastAsia"/>
          <w:b/>
          <w:bCs/>
        </w:rPr>
        <w:t>c</w:t>
      </w:r>
      <w:r>
        <w:rPr>
          <w:rFonts w:ascii="KaiTi_GB2312" w:eastAsia="KaiTi_GB2312"/>
          <w:b/>
          <w:bCs/>
        </w:rPr>
        <w:t>)</w:t>
      </w:r>
      <w:r>
        <w:rPr>
          <w:rFonts w:ascii="KaiTi_GB2312" w:eastAsia="KaiTi_GB2312"/>
          <w:b/>
          <w:bCs/>
        </w:rPr>
        <w:tab/>
      </w:r>
      <w:r>
        <w:rPr>
          <w:rFonts w:ascii="KaiTi_GB2312" w:eastAsia="KaiTi_GB2312" w:hint="eastAsia"/>
          <w:b/>
          <w:bCs/>
        </w:rPr>
        <w:t>从社会保障方案直接受益；</w:t>
      </w:r>
    </w:p>
    <w:p w:rsidR="00000000" w:rsidRDefault="004D2F83" w:rsidP="004D2F83">
      <w:pPr>
        <w:spacing w:after="240" w:line="360" w:lineRule="exact"/>
        <w:ind w:leftChars="200" w:left="31680" w:hangingChars="200" w:firstLine="31680"/>
        <w:rPr>
          <w:rFonts w:ascii="KaiTi_GB2312" w:eastAsia="KaiTi_GB2312" w:hint="eastAsia"/>
          <w:b/>
          <w:bCs/>
        </w:rPr>
      </w:pPr>
      <w:r>
        <w:rPr>
          <w:rFonts w:ascii="KaiTi_GB2312" w:eastAsia="KaiTi_GB2312"/>
          <w:b/>
          <w:bCs/>
        </w:rPr>
        <w:t>(</w:t>
      </w:r>
      <w:r>
        <w:rPr>
          <w:rFonts w:ascii="KaiTi_GB2312" w:eastAsia="KaiTi_GB2312" w:hint="eastAsia"/>
          <w:b/>
          <w:bCs/>
        </w:rPr>
        <w:t>d</w:t>
      </w:r>
      <w:r>
        <w:rPr>
          <w:rFonts w:ascii="KaiTi_GB2312" w:eastAsia="KaiTi_GB2312"/>
          <w:b/>
          <w:bCs/>
        </w:rPr>
        <w:t>)</w:t>
      </w:r>
      <w:r>
        <w:rPr>
          <w:rFonts w:ascii="KaiTi_GB2312" w:eastAsia="KaiTi_GB2312"/>
          <w:b/>
          <w:bCs/>
        </w:rPr>
        <w:tab/>
      </w:r>
      <w:r>
        <w:rPr>
          <w:rFonts w:ascii="KaiTi_GB2312" w:eastAsia="KaiTi_GB2312" w:hint="eastAsia"/>
          <w:b/>
          <w:bCs/>
        </w:rPr>
        <w:t>接受各种正式和非正式的训练和教育，包括实用识字的训练和教育在内，以及除了别的以外，享受一切社区服务和推广服务的益惠，以提高她们的技术熟练程度；</w:t>
      </w:r>
    </w:p>
    <w:p w:rsidR="00000000" w:rsidRDefault="004D2F83" w:rsidP="004D2F83">
      <w:pPr>
        <w:spacing w:after="240" w:line="360" w:lineRule="exact"/>
        <w:ind w:leftChars="200" w:left="31680" w:hangingChars="200" w:firstLine="31680"/>
        <w:rPr>
          <w:rFonts w:ascii="KaiTi_GB2312" w:eastAsia="KaiTi_GB2312" w:hint="eastAsia"/>
          <w:b/>
          <w:bCs/>
        </w:rPr>
      </w:pPr>
      <w:r>
        <w:rPr>
          <w:rFonts w:ascii="KaiTi_GB2312" w:eastAsia="KaiTi_GB2312"/>
          <w:b/>
          <w:bCs/>
        </w:rPr>
        <w:t>(</w:t>
      </w:r>
      <w:r>
        <w:rPr>
          <w:rFonts w:ascii="KaiTi_GB2312" w:eastAsia="KaiTi_GB2312" w:hint="eastAsia"/>
          <w:b/>
          <w:bCs/>
        </w:rPr>
        <w:t>e</w:t>
      </w:r>
      <w:r>
        <w:rPr>
          <w:rFonts w:ascii="KaiTi_GB2312" w:eastAsia="KaiTi_GB2312"/>
          <w:b/>
          <w:bCs/>
        </w:rPr>
        <w:t>)</w:t>
      </w:r>
      <w:r>
        <w:rPr>
          <w:rFonts w:ascii="KaiTi_GB2312" w:eastAsia="KaiTi_GB2312"/>
          <w:b/>
          <w:bCs/>
        </w:rPr>
        <w:tab/>
      </w:r>
      <w:r>
        <w:rPr>
          <w:rFonts w:ascii="KaiTi_GB2312" w:eastAsia="KaiTi_GB2312" w:hint="eastAsia"/>
          <w:b/>
          <w:bCs/>
        </w:rPr>
        <w:t>组织自助团体和合作社，以通过受雇和自雇的途径取得平等的经济机会；</w:t>
      </w:r>
    </w:p>
    <w:p w:rsidR="00000000" w:rsidRDefault="004D2F83" w:rsidP="004D2F83">
      <w:pPr>
        <w:spacing w:after="240" w:line="360" w:lineRule="exact"/>
        <w:ind w:leftChars="200" w:left="31680" w:hangingChars="200" w:firstLine="31680"/>
        <w:rPr>
          <w:rFonts w:ascii="KaiTi_GB2312" w:eastAsia="KaiTi_GB2312" w:hint="eastAsia"/>
          <w:b/>
          <w:bCs/>
        </w:rPr>
      </w:pPr>
      <w:r>
        <w:rPr>
          <w:rFonts w:ascii="KaiTi_GB2312" w:eastAsia="KaiTi_GB2312"/>
          <w:b/>
          <w:bCs/>
        </w:rPr>
        <w:t>(</w:t>
      </w:r>
      <w:r>
        <w:rPr>
          <w:rFonts w:ascii="KaiTi_GB2312" w:eastAsia="KaiTi_GB2312" w:hint="eastAsia"/>
          <w:b/>
          <w:bCs/>
        </w:rPr>
        <w:t>f</w:t>
      </w:r>
      <w:r>
        <w:rPr>
          <w:rFonts w:ascii="KaiTi_GB2312" w:eastAsia="KaiTi_GB2312"/>
          <w:b/>
          <w:bCs/>
        </w:rPr>
        <w:t>)</w:t>
      </w:r>
      <w:r>
        <w:rPr>
          <w:rFonts w:ascii="KaiTi_GB2312" w:eastAsia="KaiTi_GB2312"/>
          <w:b/>
          <w:bCs/>
        </w:rPr>
        <w:tab/>
      </w:r>
      <w:r>
        <w:rPr>
          <w:rFonts w:ascii="KaiTi_GB2312" w:eastAsia="KaiTi_GB2312" w:hint="eastAsia"/>
          <w:b/>
          <w:bCs/>
        </w:rPr>
        <w:t>参加一切社区活动；</w:t>
      </w:r>
    </w:p>
    <w:p w:rsidR="00000000" w:rsidRDefault="004D2F83" w:rsidP="004D2F83">
      <w:pPr>
        <w:spacing w:after="240" w:line="360" w:lineRule="exact"/>
        <w:ind w:leftChars="200" w:left="31680" w:hangingChars="200" w:firstLine="31680"/>
        <w:rPr>
          <w:rFonts w:ascii="KaiTi_GB2312" w:eastAsia="KaiTi_GB2312" w:hint="eastAsia"/>
          <w:b/>
          <w:bCs/>
        </w:rPr>
      </w:pPr>
      <w:r>
        <w:rPr>
          <w:rFonts w:ascii="KaiTi_GB2312" w:eastAsia="KaiTi_GB2312"/>
          <w:b/>
          <w:bCs/>
        </w:rPr>
        <w:t>(</w:t>
      </w:r>
      <w:r>
        <w:rPr>
          <w:rFonts w:ascii="KaiTi_GB2312" w:eastAsia="KaiTi_GB2312" w:hint="eastAsia"/>
          <w:b/>
          <w:bCs/>
        </w:rPr>
        <w:t>g</w:t>
      </w:r>
      <w:r>
        <w:rPr>
          <w:rFonts w:ascii="KaiTi_GB2312" w:eastAsia="KaiTi_GB2312"/>
          <w:b/>
          <w:bCs/>
        </w:rPr>
        <w:t>)</w:t>
      </w:r>
      <w:r>
        <w:rPr>
          <w:rFonts w:ascii="KaiTi_GB2312" w:eastAsia="KaiTi_GB2312"/>
          <w:b/>
          <w:bCs/>
        </w:rPr>
        <w:tab/>
      </w:r>
      <w:r>
        <w:rPr>
          <w:rFonts w:ascii="KaiTi_GB2312" w:eastAsia="KaiTi_GB2312" w:hint="eastAsia"/>
          <w:b/>
          <w:bCs/>
        </w:rPr>
        <w:t>有机会取得农业信贷，利用销售设施，获得适当技术，并在土地改革和土地垦殖计划方面享有平等待遇；</w:t>
      </w:r>
    </w:p>
    <w:p w:rsidR="00000000" w:rsidRDefault="004D2F83" w:rsidP="004D2F83">
      <w:pPr>
        <w:spacing w:after="240" w:line="360" w:lineRule="exact"/>
        <w:ind w:leftChars="200" w:left="31680" w:hangingChars="200" w:firstLine="31680"/>
        <w:rPr>
          <w:rFonts w:ascii="KaiTi_GB2312" w:eastAsia="KaiTi_GB2312" w:hint="eastAsia"/>
          <w:b/>
          <w:bCs/>
        </w:rPr>
      </w:pPr>
      <w:r>
        <w:rPr>
          <w:rFonts w:ascii="KaiTi_GB2312" w:eastAsia="KaiTi_GB2312"/>
          <w:b/>
          <w:bCs/>
        </w:rPr>
        <w:t>(</w:t>
      </w:r>
      <w:r>
        <w:rPr>
          <w:rFonts w:ascii="KaiTi_GB2312" w:eastAsia="KaiTi_GB2312" w:hint="eastAsia"/>
          <w:b/>
          <w:bCs/>
        </w:rPr>
        <w:t>h</w:t>
      </w:r>
      <w:r>
        <w:rPr>
          <w:rFonts w:ascii="KaiTi_GB2312" w:eastAsia="KaiTi_GB2312"/>
          <w:b/>
          <w:bCs/>
        </w:rPr>
        <w:t>)</w:t>
      </w:r>
      <w:r>
        <w:rPr>
          <w:rFonts w:ascii="KaiTi_GB2312" w:eastAsia="KaiTi_GB2312"/>
          <w:b/>
          <w:bCs/>
        </w:rPr>
        <w:tab/>
      </w:r>
      <w:r>
        <w:rPr>
          <w:rFonts w:ascii="KaiTi_GB2312" w:eastAsia="KaiTi_GB2312" w:hint="eastAsia"/>
          <w:b/>
          <w:bCs/>
        </w:rPr>
        <w:t>享受适当的生活条件，特别是在住房、卫生、水电供应，交通和通讯方面。</w:t>
      </w:r>
    </w:p>
    <w:p w:rsidR="00000000" w:rsidRDefault="004D2F83">
      <w:pPr>
        <w:spacing w:after="240" w:line="360" w:lineRule="exact"/>
        <w:rPr>
          <w:rFonts w:eastAsia="SimHei" w:hint="eastAsia"/>
          <w:sz w:val="24"/>
        </w:rPr>
      </w:pPr>
      <w:r>
        <w:rPr>
          <w:rFonts w:eastAsia="SimHei" w:hint="eastAsia"/>
          <w:sz w:val="24"/>
        </w:rPr>
        <w:t>立法措施</w:t>
      </w:r>
    </w:p>
    <w:p w:rsidR="00000000" w:rsidRDefault="004D2F83" w:rsidP="004D2F83">
      <w:pPr>
        <w:spacing w:after="240" w:line="360" w:lineRule="exact"/>
        <w:ind w:firstLineChars="200" w:firstLine="31680"/>
        <w:rPr>
          <w:rFonts w:hint="eastAsia"/>
        </w:rPr>
      </w:pPr>
      <w:r>
        <w:rPr>
          <w:rFonts w:hint="eastAsia"/>
        </w:rPr>
        <w:t>直到</w:t>
      </w:r>
      <w:r>
        <w:rPr>
          <w:rFonts w:hint="eastAsia"/>
        </w:rPr>
        <w:t>1960</w:t>
      </w:r>
      <w:r>
        <w:rPr>
          <w:rFonts w:hint="eastAsia"/>
        </w:rPr>
        <w:t>年代初，巴西才颁布了保护农村</w:t>
      </w:r>
      <w:r>
        <w:rPr>
          <w:rFonts w:hint="eastAsia"/>
        </w:rPr>
        <w:t>劳动的法律。</w:t>
      </w:r>
      <w:r>
        <w:rPr>
          <w:rFonts w:hint="eastAsia"/>
        </w:rPr>
        <w:t>1963</w:t>
      </w:r>
      <w:r>
        <w:rPr>
          <w:rFonts w:hint="eastAsia"/>
        </w:rPr>
        <w:t>年，建立了农村劳动者援助和社会保障基金（</w:t>
      </w:r>
      <w:r>
        <w:rPr>
          <w:rFonts w:hint="eastAsia"/>
        </w:rPr>
        <w:t>FUNRURAL</w:t>
      </w:r>
      <w:r>
        <w:rPr>
          <w:rFonts w:hint="eastAsia"/>
        </w:rPr>
        <w:t>）（</w:t>
      </w:r>
      <w:r>
        <w:rPr>
          <w:rFonts w:hint="eastAsia"/>
        </w:rPr>
        <w:t>1971</w:t>
      </w:r>
      <w:r>
        <w:rPr>
          <w:rFonts w:hint="eastAsia"/>
        </w:rPr>
        <w:t>年得到</w:t>
      </w:r>
      <w:r>
        <w:t>PRO-RURAL</w:t>
      </w:r>
      <w:r>
        <w:rPr>
          <w:rFonts w:hint="eastAsia"/>
        </w:rPr>
        <w:t>补充）。除为农村劳动者提供丧葬补助和保健及社会服务外，还界定了各项劳动权利，使残疾人和老年人退休得到保障。值得强调的是，社会保障法规定仅对家庭一名成员，即户主的退休提供农村劳动者援助和社会保障基金。</w:t>
      </w:r>
    </w:p>
    <w:p w:rsidR="00000000" w:rsidRDefault="004D2F83" w:rsidP="004D2F83">
      <w:pPr>
        <w:spacing w:after="240" w:line="360" w:lineRule="exact"/>
        <w:ind w:firstLineChars="200" w:firstLine="31680"/>
        <w:rPr>
          <w:rFonts w:hint="eastAsia"/>
        </w:rPr>
      </w:pPr>
      <w:r>
        <w:rPr>
          <w:rFonts w:hint="eastAsia"/>
        </w:rPr>
        <w:t>只是在</w:t>
      </w:r>
      <w:r>
        <w:rPr>
          <w:rFonts w:hint="eastAsia"/>
        </w:rPr>
        <w:t>1988</w:t>
      </w:r>
      <w:r>
        <w:rPr>
          <w:rFonts w:hint="eastAsia"/>
        </w:rPr>
        <w:t>年，巴西通过《联邦宪法》，才使社会权利具有普遍化的特点，此后，这些权利适用于城乡所有男女劳动者。</w:t>
      </w:r>
    </w:p>
    <w:p w:rsidR="00000000" w:rsidRDefault="004D2F83" w:rsidP="004D2F83">
      <w:pPr>
        <w:spacing w:after="240" w:line="360" w:lineRule="exact"/>
        <w:ind w:firstLineChars="200" w:firstLine="31680"/>
        <w:rPr>
          <w:rFonts w:hint="eastAsia"/>
        </w:rPr>
      </w:pPr>
      <w:r>
        <w:rPr>
          <w:rFonts w:hint="eastAsia"/>
        </w:rPr>
        <w:t>巴西于</w:t>
      </w:r>
      <w:r>
        <w:rPr>
          <w:rFonts w:hint="eastAsia"/>
        </w:rPr>
        <w:t>1984</w:t>
      </w:r>
      <w:r>
        <w:rPr>
          <w:rFonts w:hint="eastAsia"/>
        </w:rPr>
        <w:t>年批准了《消除对妇女一切形式歧视公约》，</w:t>
      </w:r>
      <w:r>
        <w:rPr>
          <w:rFonts w:hint="eastAsia"/>
        </w:rPr>
        <w:t>1988</w:t>
      </w:r>
      <w:r>
        <w:rPr>
          <w:rFonts w:hint="eastAsia"/>
        </w:rPr>
        <w:t>年，当时生效的《联邦宪法》</w:t>
      </w:r>
      <w:r>
        <w:rPr>
          <w:rFonts w:hint="eastAsia"/>
        </w:rPr>
        <w:t>确保在法律面前人人享有平等权利，毫无区别（</w:t>
      </w:r>
      <w:r>
        <w:rPr>
          <w:rFonts w:hint="eastAsia"/>
          <w:color w:val="000000"/>
        </w:rPr>
        <w:t>第</w:t>
      </w:r>
      <w:r>
        <w:rPr>
          <w:rFonts w:hint="eastAsia"/>
          <w:color w:val="000000"/>
        </w:rPr>
        <w:t>5</w:t>
      </w:r>
      <w:r>
        <w:rPr>
          <w:rFonts w:hint="eastAsia"/>
          <w:color w:val="000000"/>
        </w:rPr>
        <w:t>条</w:t>
      </w:r>
      <w:r>
        <w:rPr>
          <w:rFonts w:hint="eastAsia"/>
        </w:rPr>
        <w:t>，标题）。由于城乡妇女运动所造成的压力，宪法有关家庭的一章中还写入一项新规定，“婚姻家庭的权利和义务应由男女平等地行使”（第</w:t>
      </w:r>
      <w:r>
        <w:rPr>
          <w:rFonts w:hint="eastAsia"/>
        </w:rPr>
        <w:t>226</w:t>
      </w:r>
      <w:r>
        <w:rPr>
          <w:rFonts w:hint="eastAsia"/>
        </w:rPr>
        <w:t>条第</w:t>
      </w:r>
      <w:r>
        <w:rPr>
          <w:rFonts w:hint="eastAsia"/>
        </w:rPr>
        <w:t>5</w:t>
      </w:r>
      <w:r>
        <w:rPr>
          <w:rFonts w:hint="eastAsia"/>
        </w:rPr>
        <w:t>款）。因此，巴西从法律上消除了《民法典》中规定的承认男性领导地位的等级制度。</w:t>
      </w:r>
    </w:p>
    <w:p w:rsidR="00000000" w:rsidRDefault="004D2F83" w:rsidP="004D2F83">
      <w:pPr>
        <w:spacing w:after="240" w:line="360" w:lineRule="exact"/>
        <w:ind w:firstLineChars="200" w:firstLine="31680"/>
        <w:rPr>
          <w:rFonts w:hint="eastAsia"/>
        </w:rPr>
      </w:pPr>
      <w:r>
        <w:rPr>
          <w:rFonts w:hint="eastAsia"/>
        </w:rPr>
        <w:t>新的《联邦宪法》第</w:t>
      </w:r>
      <w:r>
        <w:rPr>
          <w:rFonts w:hint="eastAsia"/>
        </w:rPr>
        <w:t>189</w:t>
      </w:r>
      <w:r>
        <w:rPr>
          <w:rFonts w:hint="eastAsia"/>
        </w:rPr>
        <w:t>条单立款保障土地改革中男女在地契或土地使用特许权方面的平等权利，因此在巴西法律中列入了通过《消除对妇女一切形式歧视公约》所做的国际承诺。</w:t>
      </w:r>
      <w:r>
        <w:rPr>
          <w:rStyle w:val="FootnoteReference"/>
        </w:rPr>
        <w:footnoteReference w:customMarkFollows="1" w:id="139"/>
        <w:t>139</w:t>
      </w:r>
      <w:r>
        <w:rPr>
          <w:rFonts w:hint="eastAsia"/>
        </w:rPr>
        <w:t>因此，对于农村妇女而言，在法律</w:t>
      </w:r>
      <w:r>
        <w:rPr>
          <w:rFonts w:hint="eastAsia"/>
        </w:rPr>
        <w:t>/</w:t>
      </w:r>
      <w:r>
        <w:rPr>
          <w:rFonts w:hint="eastAsia"/>
        </w:rPr>
        <w:t>正规领域，她们享有与男子相同的个人权利和社会权利。</w:t>
      </w:r>
    </w:p>
    <w:p w:rsidR="00000000" w:rsidRDefault="004D2F83" w:rsidP="004D2F83">
      <w:pPr>
        <w:spacing w:after="240" w:line="360" w:lineRule="exact"/>
        <w:ind w:firstLineChars="200" w:firstLine="31680"/>
        <w:rPr>
          <w:rFonts w:hint="eastAsia"/>
        </w:rPr>
      </w:pPr>
      <w:r>
        <w:rPr>
          <w:rFonts w:hint="eastAsia"/>
        </w:rPr>
        <w:t>1992</w:t>
      </w:r>
      <w:r>
        <w:rPr>
          <w:rFonts w:hint="eastAsia"/>
        </w:rPr>
        <w:t>年，巴西也保证落实联合国的《</w:t>
      </w:r>
      <w:r>
        <w:rPr>
          <w:rFonts w:hint="eastAsia"/>
        </w:rPr>
        <w:t>21</w:t>
      </w:r>
      <w:r>
        <w:rPr>
          <w:rFonts w:hint="eastAsia"/>
        </w:rPr>
        <w:t>世纪议程》。该重要的国际文书第</w:t>
      </w:r>
      <w:r>
        <w:rPr>
          <w:rFonts w:hint="eastAsia"/>
        </w:rPr>
        <w:t>24</w:t>
      </w:r>
      <w:r>
        <w:rPr>
          <w:rFonts w:hint="eastAsia"/>
        </w:rPr>
        <w:t>章建议</w:t>
      </w:r>
      <w:r>
        <w:rPr>
          <w:rFonts w:eastAsia="KaiTi_GB2312" w:hint="eastAsia"/>
        </w:rPr>
        <w:t>“</w:t>
      </w:r>
      <w:r>
        <w:rPr>
          <w:rFonts w:ascii="KaiTi_GB2312" w:eastAsia="KaiTi_GB2312" w:hint="eastAsia"/>
        </w:rPr>
        <w:t>为妇女采取全球性行动以谋求可持续的公平的发展</w:t>
      </w:r>
      <w:r>
        <w:rPr>
          <w:rFonts w:eastAsia="KaiTi_GB2312" w:hint="eastAsia"/>
        </w:rPr>
        <w:t>”</w:t>
      </w:r>
      <w:r>
        <w:rPr>
          <w:rFonts w:hint="eastAsia"/>
        </w:rPr>
        <w:t>，</w:t>
      </w:r>
      <w:r>
        <w:rPr>
          <w:rFonts w:ascii="KaiTi_GB2312" w:eastAsia="KaiTi_GB2312" w:hint="eastAsia"/>
        </w:rPr>
        <w:t>“所有国家都应执行《内罗毕战略》，</w:t>
      </w:r>
      <w:r>
        <w:rPr>
          <w:rStyle w:val="FootnoteReference"/>
          <w:rFonts w:ascii="KaiTi_GB2312" w:eastAsia="KaiTi_GB2312"/>
        </w:rPr>
        <w:footnoteReference w:customMarkFollows="1" w:id="140"/>
        <w:t>140</w:t>
      </w:r>
      <w:r>
        <w:rPr>
          <w:rFonts w:ascii="KaiTi_GB2312" w:eastAsia="KaiTi_GB2312" w:hint="eastAsia"/>
        </w:rPr>
        <w:t>该战略强调妇女需要参与生态系统的管理和对环境退化的控制”。</w:t>
      </w:r>
    </w:p>
    <w:p w:rsidR="00000000" w:rsidRDefault="004D2F83" w:rsidP="004D2F83">
      <w:pPr>
        <w:spacing w:after="240" w:line="360" w:lineRule="exact"/>
        <w:ind w:firstLineChars="200" w:firstLine="31680"/>
        <w:rPr>
          <w:rFonts w:hint="eastAsia"/>
        </w:rPr>
      </w:pPr>
      <w:r>
        <w:rPr>
          <w:rFonts w:hint="eastAsia"/>
        </w:rPr>
        <w:t>巴西分别于</w:t>
      </w:r>
      <w:r>
        <w:rPr>
          <w:rFonts w:hint="eastAsia"/>
        </w:rPr>
        <w:t>1994</w:t>
      </w:r>
      <w:r>
        <w:rPr>
          <w:rFonts w:hint="eastAsia"/>
        </w:rPr>
        <w:t>在开罗签署了《国际人口与发展会议行动计划》，于</w:t>
      </w:r>
      <w:r>
        <w:rPr>
          <w:rFonts w:hint="eastAsia"/>
        </w:rPr>
        <w:t>1995</w:t>
      </w:r>
      <w:r>
        <w:rPr>
          <w:rFonts w:hint="eastAsia"/>
        </w:rPr>
        <w:t>年在北京签署了《第四次妇女问题世界会议行动纲要》，这些文件均承认妇女在发展过程中获得两性平等权利的重要性，同时对农村妇女表示特别关注。</w:t>
      </w:r>
    </w:p>
    <w:p w:rsidR="00000000" w:rsidRDefault="004D2F83" w:rsidP="004D2F83">
      <w:pPr>
        <w:spacing w:after="240" w:line="360" w:lineRule="exact"/>
        <w:ind w:firstLineChars="200" w:firstLine="31680"/>
        <w:rPr>
          <w:rFonts w:hint="eastAsia"/>
        </w:rPr>
      </w:pPr>
      <w:r>
        <w:rPr>
          <w:rFonts w:hint="eastAsia"/>
        </w:rPr>
        <w:t>如政府机构拟订的社会指标所示，</w:t>
      </w:r>
      <w:r>
        <w:rPr>
          <w:rFonts w:hint="eastAsia"/>
        </w:rPr>
        <w:t>1988</w:t>
      </w:r>
      <w:r>
        <w:rPr>
          <w:rFonts w:hint="eastAsia"/>
        </w:rPr>
        <w:t>年开始的《联邦宪法》修订工作不一定改</w:t>
      </w:r>
      <w:r>
        <w:rPr>
          <w:rFonts w:hint="eastAsia"/>
        </w:rPr>
        <w:t>变了继续阻碍全体妇女，特别是农村妇女的公民地位的社会风俗和习惯。</w:t>
      </w:r>
    </w:p>
    <w:p w:rsidR="00000000" w:rsidRDefault="004D2F83" w:rsidP="004D2F83">
      <w:pPr>
        <w:spacing w:after="240" w:line="360" w:lineRule="exact"/>
        <w:ind w:firstLineChars="200" w:firstLine="31680"/>
        <w:rPr>
          <w:rFonts w:hint="eastAsia"/>
        </w:rPr>
      </w:pPr>
      <w:r>
        <w:rPr>
          <w:rFonts w:hint="eastAsia"/>
        </w:rPr>
        <w:t>《联邦宪法》第</w:t>
      </w:r>
      <w:r>
        <w:rPr>
          <w:rFonts w:hint="eastAsia"/>
        </w:rPr>
        <w:t>189</w:t>
      </w:r>
      <w:r>
        <w:rPr>
          <w:rFonts w:hint="eastAsia"/>
        </w:rPr>
        <w:t>条单立款规定，地契和土地使用特许权应给予男子和妇女或给予他们双方，而不论其婚姻状况如何。</w:t>
      </w:r>
    </w:p>
    <w:p w:rsidR="00000000" w:rsidRDefault="004D2F83" w:rsidP="004D2F83">
      <w:pPr>
        <w:spacing w:after="240" w:line="360" w:lineRule="exact"/>
        <w:ind w:firstLineChars="200" w:firstLine="31680"/>
        <w:rPr>
          <w:rFonts w:hint="eastAsia"/>
        </w:rPr>
      </w:pPr>
      <w:r>
        <w:rPr>
          <w:rFonts w:hint="eastAsia"/>
        </w:rPr>
        <w:t>《联邦宪法》第</w:t>
      </w:r>
      <w:r>
        <w:rPr>
          <w:rFonts w:hint="eastAsia"/>
        </w:rPr>
        <w:t>194</w:t>
      </w:r>
      <w:r>
        <w:rPr>
          <w:rFonts w:hint="eastAsia"/>
        </w:rPr>
        <w:t>条第一和第二项规定，社会保障应遵循城乡居民在享受福利和服务方面一致和平等以及普遍覆盖的原则。</w:t>
      </w:r>
    </w:p>
    <w:p w:rsidR="00000000" w:rsidRDefault="004D2F83" w:rsidP="004D2F83">
      <w:pPr>
        <w:spacing w:after="240" w:line="360" w:lineRule="exact"/>
        <w:ind w:firstLineChars="200" w:firstLine="31680"/>
        <w:rPr>
          <w:rFonts w:hint="eastAsia"/>
        </w:rPr>
      </w:pPr>
      <w:r>
        <w:rPr>
          <w:rFonts w:hint="eastAsia"/>
        </w:rPr>
        <w:t>此外，《联邦宪法》第</w:t>
      </w:r>
      <w:r>
        <w:rPr>
          <w:rFonts w:hint="eastAsia"/>
        </w:rPr>
        <w:t>201</w:t>
      </w:r>
      <w:r>
        <w:rPr>
          <w:rFonts w:hint="eastAsia"/>
        </w:rPr>
        <w:t>条第</w:t>
      </w:r>
      <w:r>
        <w:rPr>
          <w:rFonts w:hint="eastAsia"/>
        </w:rPr>
        <w:t>7</w:t>
      </w:r>
      <w:r>
        <w:rPr>
          <w:rFonts w:hint="eastAsia"/>
        </w:rPr>
        <w:t>款第二项规定，在普遍的社会保障体系下，农村劳动者退休应符合男子年满六十岁、妇女年满五十五岁的要求，从而维持了男女之间的年龄差距。</w:t>
      </w:r>
    </w:p>
    <w:p w:rsidR="00000000" w:rsidRDefault="004D2F83" w:rsidP="004D2F83">
      <w:pPr>
        <w:spacing w:after="240" w:line="360" w:lineRule="exact"/>
        <w:ind w:firstLineChars="200" w:firstLine="31680"/>
        <w:rPr>
          <w:rFonts w:hint="eastAsia"/>
        </w:rPr>
      </w:pPr>
      <w:r>
        <w:rPr>
          <w:rFonts w:hint="eastAsia"/>
        </w:rPr>
        <w:t>有关保健权、教育权、住房权、贷款和参与社区生活权，在行使这些</w:t>
      </w:r>
      <w:r>
        <w:rPr>
          <w:rFonts w:hint="eastAsia"/>
        </w:rPr>
        <w:t>权利方面，城乡妇女没有区别。</w:t>
      </w:r>
    </w:p>
    <w:p w:rsidR="00000000" w:rsidRDefault="004D2F83" w:rsidP="004D2F83">
      <w:pPr>
        <w:spacing w:after="240" w:line="360" w:lineRule="exact"/>
        <w:ind w:firstLineChars="200" w:firstLine="31680"/>
        <w:rPr>
          <w:rFonts w:hint="eastAsia"/>
        </w:rPr>
      </w:pPr>
      <w:r>
        <w:rPr>
          <w:rFonts w:hint="eastAsia"/>
        </w:rPr>
        <w:t>第</w:t>
      </w:r>
      <w:r>
        <w:rPr>
          <w:rFonts w:hint="eastAsia"/>
        </w:rPr>
        <w:t>8629/93</w:t>
      </w:r>
      <w:r>
        <w:rPr>
          <w:rFonts w:hint="eastAsia"/>
        </w:rPr>
        <w:t>号法律第</w:t>
      </w:r>
      <w:r>
        <w:rPr>
          <w:rFonts w:hint="eastAsia"/>
        </w:rPr>
        <w:t>19</w:t>
      </w:r>
      <w:r>
        <w:rPr>
          <w:rFonts w:hint="eastAsia"/>
        </w:rPr>
        <w:t>条引用了《联邦宪法》的条款，规定地契和土地使用特许权应给予男子和妇女，而不论其婚姻状况如何。</w:t>
      </w:r>
    </w:p>
    <w:p w:rsidR="00000000" w:rsidRDefault="004D2F83">
      <w:pPr>
        <w:spacing w:after="240" w:line="360" w:lineRule="exact"/>
        <w:rPr>
          <w:rFonts w:eastAsia="SimHei" w:hint="eastAsia"/>
          <w:sz w:val="24"/>
        </w:rPr>
      </w:pPr>
      <w:r>
        <w:rPr>
          <w:rFonts w:eastAsia="SimHei" w:hint="eastAsia"/>
          <w:sz w:val="24"/>
        </w:rPr>
        <w:t>各州宪法</w:t>
      </w:r>
    </w:p>
    <w:p w:rsidR="00000000" w:rsidRDefault="004D2F83" w:rsidP="004D2F83">
      <w:pPr>
        <w:spacing w:after="240" w:line="360" w:lineRule="exact"/>
        <w:ind w:firstLineChars="200" w:firstLine="31680"/>
        <w:rPr>
          <w:rFonts w:hint="eastAsia"/>
        </w:rPr>
      </w:pPr>
      <w:r>
        <w:rPr>
          <w:rFonts w:hint="eastAsia"/>
        </w:rPr>
        <w:t>九个州（阿克里、阿马帕、圣埃斯皮里图、戈亚斯、马拉尼昂、南马托格罗索、巴拉那、北里约格朗德和南里约格朗德）的《宪法》规定，地契或土地使用特许权应给予男子或妇女，或男女双方，不论他们的婚姻状况如何。有关土地政策，大多数州（亚马孙、巴伊亚、巴拉、帕拉伊巴、巴拉那、伯南布哥、皮奥伊、里约热内卢、北里约格朗德、南里约格朗德、圣卡塔林纳、圣保罗、塞尔希培和托</w:t>
      </w:r>
      <w:r>
        <w:rPr>
          <w:rFonts w:hint="eastAsia"/>
        </w:rPr>
        <w:t>坎廷斯）的《宪法》明确规定保护家庭，但未界定妇女的角色。</w:t>
      </w:r>
    </w:p>
    <w:p w:rsidR="00000000" w:rsidRDefault="004D2F83" w:rsidP="004D2F83">
      <w:pPr>
        <w:spacing w:after="240" w:line="360" w:lineRule="exact"/>
        <w:ind w:firstLineChars="200" w:firstLine="31680"/>
        <w:rPr>
          <w:rFonts w:hint="eastAsia"/>
        </w:rPr>
      </w:pPr>
      <w:r>
        <w:rPr>
          <w:rFonts w:hint="eastAsia"/>
        </w:rPr>
        <w:t>13</w:t>
      </w:r>
      <w:r>
        <w:rPr>
          <w:rFonts w:hint="eastAsia"/>
        </w:rPr>
        <w:t>个州（阿拉戈阿斯、阿马帕、亚马逊、塞阿拉、圣埃斯皮里托、米纳斯吉拉斯、马托格罗索、南马托格罗索、巴拉、帕拉伊巴、巴拉那、伯南布哥和朗多尼亚）的《宪法》和《联邦区组织法》分别在基本权利和保障措施中以及土地、农村和农业政策中就男人在巴西定居问题作了规定，这明显表明这些州的立法者难以使用一种非男性至上和不歧视的语言，从而限制了一项极其重要的原则，即人在巴西的定居。</w:t>
      </w:r>
    </w:p>
    <w:p w:rsidR="00000000" w:rsidRDefault="004D2F83" w:rsidP="004D2F83">
      <w:pPr>
        <w:spacing w:after="240" w:line="360" w:lineRule="exact"/>
        <w:ind w:firstLineChars="200" w:firstLine="31680"/>
        <w:rPr>
          <w:rFonts w:hint="eastAsia"/>
        </w:rPr>
      </w:pPr>
      <w:r>
        <w:rPr>
          <w:rFonts w:hint="eastAsia"/>
        </w:rPr>
        <w:t>塞阿拉和塞尔希培州的《宪法》是仅有的两部明确涉及农村劳动妇女问题的宪法。《塞尔希培州宪法</w:t>
      </w:r>
      <w:r>
        <w:rPr>
          <w:rFonts w:hint="eastAsia"/>
        </w:rPr>
        <w:t>》规定，</w:t>
      </w:r>
      <w:r>
        <w:rPr>
          <w:rFonts w:eastAsia="KaiTi_GB2312" w:hint="eastAsia"/>
        </w:rPr>
        <w:t>“本州应鼓励和协助生产部门，制订具体承认劳动价值，特别是妇女劳动价值的工农业政策”。</w:t>
      </w:r>
      <w:r>
        <w:rPr>
          <w:rFonts w:hint="eastAsia"/>
        </w:rPr>
        <w:t>《塞阿拉州宪法》又向前迈进了一步，力图解决农村地区妇女的具体问题，规定了旨在确保其权利的措施：</w:t>
      </w:r>
      <w:r>
        <w:rPr>
          <w:rFonts w:eastAsia="KaiTi_GB2312" w:hint="eastAsia"/>
        </w:rPr>
        <w:t>“本州应考虑农村地区的妇女在支撑家庭经济方面所扮演的角色及其在在工作报酬方面所面临的具体问题。本州还应采取适当措施，保障农村妇女有权参与各级发展计划的拟订和执行；并保障她们有权参与全面援助妇女的保健方案，包括计划生育方案”。</w:t>
      </w:r>
    </w:p>
    <w:p w:rsidR="00000000" w:rsidRDefault="004D2F83">
      <w:pPr>
        <w:spacing w:after="240" w:line="360" w:lineRule="exact"/>
        <w:rPr>
          <w:rFonts w:eastAsia="SimHei" w:hint="eastAsia"/>
          <w:sz w:val="24"/>
        </w:rPr>
      </w:pPr>
      <w:r>
        <w:rPr>
          <w:rFonts w:eastAsia="SimHei" w:hint="eastAsia"/>
          <w:sz w:val="24"/>
        </w:rPr>
        <w:t>政府行动</w:t>
      </w:r>
    </w:p>
    <w:p w:rsidR="00000000" w:rsidRDefault="004D2F83" w:rsidP="004D2F83">
      <w:pPr>
        <w:spacing w:after="240" w:line="360" w:lineRule="exact"/>
        <w:ind w:firstLineChars="200" w:firstLine="31680"/>
        <w:rPr>
          <w:rFonts w:hint="eastAsia"/>
        </w:rPr>
      </w:pPr>
      <w:r>
        <w:rPr>
          <w:rFonts w:hint="eastAsia"/>
        </w:rPr>
        <w:t>妇女斗争，特别是农村劳动者的斗争得到了全国妇女权利委员会</w:t>
      </w:r>
      <w:r>
        <w:rPr>
          <w:rStyle w:val="FootnoteReference"/>
        </w:rPr>
        <w:footnoteReference w:customMarkFollows="1" w:id="141"/>
        <w:t>141</w:t>
      </w:r>
      <w:r>
        <w:rPr>
          <w:rFonts w:hint="eastAsia"/>
        </w:rPr>
        <w:t>的支持，这场斗争对于立法进程</w:t>
      </w:r>
      <w:r>
        <w:rPr>
          <w:rFonts w:hint="eastAsia"/>
        </w:rPr>
        <w:t>和公共政策的制订至关重要。除许多方案和活动外，</w:t>
      </w:r>
      <w:r>
        <w:rPr>
          <w:rFonts w:hint="eastAsia"/>
        </w:rPr>
        <w:t>1985</w:t>
      </w:r>
      <w:r>
        <w:rPr>
          <w:rFonts w:hint="eastAsia"/>
        </w:rPr>
        <w:t>年，该委员会与农业部合作实施农村妇女支助方案。</w:t>
      </w:r>
      <w:r>
        <w:rPr>
          <w:rFonts w:hint="eastAsia"/>
        </w:rPr>
        <w:t>1986</w:t>
      </w:r>
      <w:r>
        <w:rPr>
          <w:rFonts w:hint="eastAsia"/>
        </w:rPr>
        <w:t>年，全国妇女权利委员会和土地改革部（</w:t>
      </w:r>
      <w:r>
        <w:rPr>
          <w:rFonts w:hint="eastAsia"/>
        </w:rPr>
        <w:t>MIRAD</w:t>
      </w:r>
      <w:r>
        <w:rPr>
          <w:rFonts w:hint="eastAsia"/>
        </w:rPr>
        <w:t>）合作，成立了支助农村劳动妇女委员会。</w:t>
      </w:r>
      <w:r>
        <w:rPr>
          <w:rFonts w:hint="eastAsia"/>
        </w:rPr>
        <w:t>1986</w:t>
      </w:r>
      <w:r>
        <w:rPr>
          <w:rFonts w:hint="eastAsia"/>
        </w:rPr>
        <w:t>年，农业部主办了第十届全国农村妇女代表大会，妇女对地契的要求成为会议讨论的主要议题。</w:t>
      </w:r>
      <w:r>
        <w:rPr>
          <w:rStyle w:val="FootnoteReference"/>
        </w:rPr>
        <w:footnoteReference w:customMarkFollows="1" w:id="142"/>
        <w:t>142</w:t>
      </w:r>
    </w:p>
    <w:p w:rsidR="00000000" w:rsidRDefault="004D2F83" w:rsidP="004D2F83">
      <w:pPr>
        <w:spacing w:after="240" w:line="360" w:lineRule="exact"/>
        <w:ind w:firstLineChars="200" w:firstLine="31680"/>
        <w:rPr>
          <w:rFonts w:hint="eastAsia"/>
        </w:rPr>
      </w:pPr>
      <w:r>
        <w:rPr>
          <w:rFonts w:hint="eastAsia"/>
        </w:rPr>
        <w:t>在土地改革方面，除其他外，联邦政府通过全国定居和土地改革研究所实施了几个方案，如土地改革信贷方案（</w:t>
      </w:r>
      <w:r>
        <w:rPr>
          <w:rFonts w:hint="eastAsia"/>
        </w:rPr>
        <w:t>PROCERA/1985</w:t>
      </w:r>
      <w:r>
        <w:rPr>
          <w:rFonts w:hint="eastAsia"/>
        </w:rPr>
        <w:t>年）、</w:t>
      </w:r>
      <w:r>
        <w:rPr>
          <w:rFonts w:hint="eastAsia"/>
        </w:rPr>
        <w:t>Casulo</w:t>
      </w:r>
      <w:r>
        <w:rPr>
          <w:rFonts w:hint="eastAsia"/>
        </w:rPr>
        <w:t>项目</w:t>
      </w:r>
      <w:r>
        <w:rPr>
          <w:rStyle w:val="FootnoteReference"/>
        </w:rPr>
        <w:footnoteReference w:customMarkFollows="1" w:id="143"/>
        <w:t>143</w:t>
      </w:r>
      <w:r>
        <w:rPr>
          <w:rFonts w:hint="eastAsia"/>
        </w:rPr>
        <w:t>（</w:t>
      </w:r>
      <w:r>
        <w:rPr>
          <w:rFonts w:hint="eastAsia"/>
        </w:rPr>
        <w:t>1997</w:t>
      </w:r>
      <w:r>
        <w:rPr>
          <w:rFonts w:hint="eastAsia"/>
        </w:rPr>
        <w:t>年）、</w:t>
      </w:r>
      <w:r>
        <w:rPr>
          <w:rFonts w:hint="eastAsia"/>
        </w:rPr>
        <w:t>Lumiar</w:t>
      </w:r>
      <w:r>
        <w:rPr>
          <w:rFonts w:hint="eastAsia"/>
        </w:rPr>
        <w:t>项目</w:t>
      </w:r>
      <w:r>
        <w:rPr>
          <w:rStyle w:val="FootnoteReference"/>
        </w:rPr>
        <w:footnoteReference w:customMarkFollows="1" w:id="144"/>
        <w:t>144</w:t>
      </w:r>
      <w:r>
        <w:rPr>
          <w:rFonts w:hint="eastAsia"/>
        </w:rPr>
        <w:t>（</w:t>
      </w:r>
      <w:r>
        <w:rPr>
          <w:rFonts w:hint="eastAsia"/>
        </w:rPr>
        <w:t>1997</w:t>
      </w:r>
      <w:r>
        <w:rPr>
          <w:rFonts w:hint="eastAsia"/>
        </w:rPr>
        <w:t>年）和全国土地改革教育</w:t>
      </w:r>
      <w:r>
        <w:rPr>
          <w:rFonts w:hint="eastAsia"/>
        </w:rPr>
        <w:t>方案（</w:t>
      </w:r>
      <w:r>
        <w:rPr>
          <w:rFonts w:hint="eastAsia"/>
        </w:rPr>
        <w:t>2000</w:t>
      </w:r>
      <w:r>
        <w:rPr>
          <w:rFonts w:hint="eastAsia"/>
        </w:rPr>
        <w:t>年）。在这套项目中，应该特别提及国家加强家庭农业方案，该方案于</w:t>
      </w:r>
      <w:r>
        <w:rPr>
          <w:rFonts w:hint="eastAsia"/>
        </w:rPr>
        <w:t>1996</w:t>
      </w:r>
      <w:r>
        <w:rPr>
          <w:rFonts w:hint="eastAsia"/>
        </w:rPr>
        <w:t>年出台，目的是使农村男女劳动者、小地主和土地改革中被正式分配一块土地的人受益。</w:t>
      </w:r>
    </w:p>
    <w:p w:rsidR="00000000" w:rsidRDefault="004D2F83" w:rsidP="004D2F83">
      <w:pPr>
        <w:spacing w:after="240" w:line="360" w:lineRule="exact"/>
        <w:ind w:firstLineChars="200" w:firstLine="31680"/>
        <w:rPr>
          <w:rFonts w:hint="eastAsia"/>
        </w:rPr>
      </w:pPr>
      <w:r>
        <w:rPr>
          <w:rFonts w:hint="eastAsia"/>
        </w:rPr>
        <w:t>IBASE</w:t>
      </w:r>
      <w:r>
        <w:rPr>
          <w:rFonts w:hint="eastAsia"/>
        </w:rPr>
        <w:t>——一个非政府组织——为了评估国家加强家庭农业方案进行的调查表明，</w:t>
      </w:r>
      <w:r>
        <w:rPr>
          <w:rFonts w:ascii="KaiTi_GB2312" w:eastAsia="KaiTi_GB2312" w:hint="eastAsia"/>
        </w:rPr>
        <w:t>“几乎所有受益人都是男子（</w:t>
      </w:r>
      <w:r>
        <w:rPr>
          <w:rFonts w:ascii="KaiTi_GB2312" w:eastAsia="KaiTi_GB2312" w:hint="eastAsia"/>
        </w:rPr>
        <w:t>93%</w:t>
      </w:r>
      <w:r>
        <w:rPr>
          <w:rFonts w:ascii="KaiTi_GB2312" w:eastAsia="KaiTi_GB2312" w:hint="eastAsia"/>
        </w:rPr>
        <w:t>）”。</w:t>
      </w:r>
      <w:r>
        <w:rPr>
          <w:rStyle w:val="FootnoteReference"/>
        </w:rPr>
        <w:footnoteReference w:customMarkFollows="1" w:id="145"/>
        <w:t>145</w:t>
      </w:r>
      <w:r>
        <w:rPr>
          <w:rFonts w:hint="eastAsia"/>
        </w:rPr>
        <w:t>因此，得出的结论是，妇女还不能获得农业贷款，因为她们仍被视为受男子扶养。</w:t>
      </w:r>
    </w:p>
    <w:p w:rsidR="00000000" w:rsidRDefault="004D2F83" w:rsidP="004D2F83">
      <w:pPr>
        <w:spacing w:after="240" w:line="360" w:lineRule="exact"/>
        <w:ind w:firstLineChars="200" w:firstLine="31680"/>
        <w:rPr>
          <w:rFonts w:hint="eastAsia"/>
        </w:rPr>
      </w:pPr>
      <w:r>
        <w:rPr>
          <w:rFonts w:hint="eastAsia"/>
        </w:rPr>
        <w:t>土地改革部急于改变这种状况，试图在其方案中纳入性别观点。土地改革部因此拟订了配额方案，该方案最初专门将全部资金中的</w:t>
      </w:r>
      <w:r>
        <w:rPr>
          <w:rFonts w:hint="eastAsia"/>
        </w:rPr>
        <w:t>30%</w:t>
      </w:r>
      <w:r>
        <w:rPr>
          <w:rFonts w:hint="eastAsia"/>
        </w:rPr>
        <w:t>拨给在家庭农业单位定居的妇女。这种</w:t>
      </w:r>
      <w:r>
        <w:rPr>
          <w:rFonts w:hint="eastAsia"/>
        </w:rPr>
        <w:t>资金分配方式包括全国加强家庭农业方案、土地银行的信贷额度、培训和技术援助。妇女有权领取政府每年为土地改革所提供的</w:t>
      </w:r>
      <w:r>
        <w:rPr>
          <w:rFonts w:hint="eastAsia"/>
        </w:rPr>
        <w:t>42</w:t>
      </w:r>
      <w:r>
        <w:rPr>
          <w:rFonts w:hint="eastAsia"/>
        </w:rPr>
        <w:t>亿雷亚尔资金（约合</w:t>
      </w:r>
      <w:r>
        <w:rPr>
          <w:rFonts w:hint="eastAsia"/>
        </w:rPr>
        <w:t>19</w:t>
      </w:r>
      <w:r>
        <w:rPr>
          <w:rFonts w:hint="eastAsia"/>
        </w:rPr>
        <w:t>亿美元）中的</w:t>
      </w:r>
      <w:r>
        <w:rPr>
          <w:rFonts w:hint="eastAsia"/>
        </w:rPr>
        <w:t>30%</w:t>
      </w:r>
      <w:r>
        <w:rPr>
          <w:rFonts w:hint="eastAsia"/>
        </w:rPr>
        <w:t>。</w:t>
      </w:r>
    </w:p>
    <w:p w:rsidR="00000000" w:rsidRDefault="004D2F83" w:rsidP="004D2F83">
      <w:pPr>
        <w:spacing w:after="240" w:line="360" w:lineRule="exact"/>
        <w:ind w:firstLineChars="200" w:firstLine="31680"/>
        <w:rPr>
          <w:rFonts w:hint="eastAsia"/>
        </w:rPr>
      </w:pPr>
      <w:r>
        <w:rPr>
          <w:rFonts w:hint="eastAsia"/>
        </w:rPr>
        <w:t>因此，在</w:t>
      </w:r>
      <w:r>
        <w:rPr>
          <w:rFonts w:hint="eastAsia"/>
        </w:rPr>
        <w:t>2000</w:t>
      </w:r>
      <w:r>
        <w:rPr>
          <w:rFonts w:hint="eastAsia"/>
        </w:rPr>
        <w:t>年，通过行政裁定，妇女占东北地区微额信贷借贷者的</w:t>
      </w:r>
      <w:r>
        <w:rPr>
          <w:rFonts w:hint="eastAsia"/>
        </w:rPr>
        <w:t>30%</w:t>
      </w:r>
      <w:r>
        <w:rPr>
          <w:rFonts w:hint="eastAsia"/>
        </w:rPr>
        <w:t>。通过第</w:t>
      </w:r>
      <w:r>
        <w:rPr>
          <w:rFonts w:hint="eastAsia"/>
        </w:rPr>
        <w:t>93/98</w:t>
      </w:r>
      <w:r>
        <w:rPr>
          <w:rFonts w:hint="eastAsia"/>
        </w:rPr>
        <w:t>号补充法律拟订、并由</w:t>
      </w:r>
      <w:r>
        <w:rPr>
          <w:rFonts w:hint="eastAsia"/>
        </w:rPr>
        <w:t>2000</w:t>
      </w:r>
      <w:r>
        <w:rPr>
          <w:rFonts w:hint="eastAsia"/>
        </w:rPr>
        <w:t>年</w:t>
      </w:r>
      <w:r>
        <w:rPr>
          <w:rFonts w:hint="eastAsia"/>
        </w:rPr>
        <w:t>5</w:t>
      </w:r>
      <w:r>
        <w:rPr>
          <w:rFonts w:hint="eastAsia"/>
        </w:rPr>
        <w:t>月第</w:t>
      </w:r>
      <w:r>
        <w:rPr>
          <w:rFonts w:hint="eastAsia"/>
        </w:rPr>
        <w:t>3 475</w:t>
      </w:r>
      <w:r>
        <w:rPr>
          <w:rFonts w:hint="eastAsia"/>
        </w:rPr>
        <w:t>号法令规范的另一个重要方案是土地银行，其目的是消除小生产者在申请信贷时遇到的阻碍，并旨在使男女双方都受益。在这一农村信贷方案中，农业发展部规定，全部基金中的</w:t>
      </w:r>
      <w:r>
        <w:rPr>
          <w:rFonts w:hint="eastAsia"/>
        </w:rPr>
        <w:t>30%</w:t>
      </w:r>
      <w:r>
        <w:rPr>
          <w:rFonts w:hint="eastAsia"/>
        </w:rPr>
        <w:t>应专门拨给在家庭农业单位定居的妇女。</w:t>
      </w:r>
    </w:p>
    <w:p w:rsidR="00000000" w:rsidRDefault="004D2F83" w:rsidP="004D2F83">
      <w:pPr>
        <w:spacing w:after="240" w:line="360" w:lineRule="exact"/>
        <w:ind w:firstLineChars="200" w:firstLine="31680"/>
        <w:rPr>
          <w:rFonts w:hint="eastAsia"/>
        </w:rPr>
      </w:pPr>
      <w:r>
        <w:rPr>
          <w:rFonts w:hint="eastAsia"/>
        </w:rPr>
        <w:t>2001</w:t>
      </w:r>
      <w:r>
        <w:rPr>
          <w:rFonts w:hint="eastAsia"/>
        </w:rPr>
        <w:t>年，土地改</w:t>
      </w:r>
      <w:r>
        <w:rPr>
          <w:rFonts w:hint="eastAsia"/>
        </w:rPr>
        <w:t>革部第</w:t>
      </w:r>
      <w:r>
        <w:rPr>
          <w:rFonts w:hint="eastAsia"/>
        </w:rPr>
        <w:t>121</w:t>
      </w:r>
      <w:r>
        <w:rPr>
          <w:rFonts w:hint="eastAsia"/>
        </w:rPr>
        <w:t>号行政裁定将全国加强家庭农业方案基金中的</w:t>
      </w:r>
      <w:r>
        <w:rPr>
          <w:rFonts w:hint="eastAsia"/>
        </w:rPr>
        <w:t>30%</w:t>
      </w:r>
      <w:r>
        <w:rPr>
          <w:rFonts w:hint="eastAsia"/>
        </w:rPr>
        <w:t>专门拨给农村妇女。同年，在妇女创业周期间，全国妇女权利委员会通过与巴西中小型企业支助服务处签订一项协议，对东南部地区（巴拉那帕内马港－圣保罗）</w:t>
      </w:r>
      <w:r>
        <w:rPr>
          <w:rFonts w:hint="eastAsia"/>
        </w:rPr>
        <w:t>120</w:t>
      </w:r>
      <w:r>
        <w:rPr>
          <w:rFonts w:hint="eastAsia"/>
        </w:rPr>
        <w:t>名妇女进行申请信贷培训，以便使她们有资格获得财政资源。</w:t>
      </w:r>
    </w:p>
    <w:p w:rsidR="00000000" w:rsidRDefault="004D2F83">
      <w:pPr>
        <w:spacing w:after="240" w:line="360" w:lineRule="exact"/>
        <w:rPr>
          <w:rFonts w:eastAsia="SimHei" w:hint="eastAsia"/>
          <w:sz w:val="24"/>
        </w:rPr>
      </w:pPr>
      <w:r>
        <w:rPr>
          <w:rFonts w:eastAsia="SimHei" w:hint="eastAsia"/>
          <w:sz w:val="24"/>
        </w:rPr>
        <w:t>因素和困难</w:t>
      </w:r>
    </w:p>
    <w:p w:rsidR="00000000" w:rsidRDefault="004D2F83" w:rsidP="004D2F83">
      <w:pPr>
        <w:spacing w:after="240" w:line="360" w:lineRule="exact"/>
        <w:ind w:firstLineChars="200" w:firstLine="31680"/>
        <w:rPr>
          <w:rFonts w:hint="eastAsia"/>
        </w:rPr>
      </w:pPr>
      <w:r>
        <w:rPr>
          <w:rFonts w:hint="eastAsia"/>
        </w:rPr>
        <w:t>尽管像巴西等一些拉丁美洲国家在</w:t>
      </w:r>
      <w:r>
        <w:rPr>
          <w:rFonts w:hint="eastAsia"/>
        </w:rPr>
        <w:t>1980</w:t>
      </w:r>
      <w:r>
        <w:rPr>
          <w:rFonts w:hint="eastAsia"/>
        </w:rPr>
        <w:t>年代在民主化方面取得了巨大的飞跃，但在这十年里，该大陆在遭受日益严重的贫穷重创之下，这十年成为迷惑的十年。</w:t>
      </w:r>
      <w:r>
        <w:rPr>
          <w:rFonts w:hint="eastAsia"/>
        </w:rPr>
        <w:t>1990</w:t>
      </w:r>
      <w:r>
        <w:rPr>
          <w:rFonts w:hint="eastAsia"/>
        </w:rPr>
        <w:t>年代，最积极的指数显示，大力执行国际结构调整政策除其他后果外，导致社会方案方面的公共支</w:t>
      </w:r>
      <w:r>
        <w:rPr>
          <w:rFonts w:hint="eastAsia"/>
        </w:rPr>
        <w:t>出减少，对城乡妇女均产生了具体的影响。该区域各国选择的经济发展模式都着重于城市活动或农用工业，特别是出口型农用工业，从而加重了城市获益农村受害这种历史趋势。全面执行《消除对妇女一切形式歧视公约》第</w:t>
      </w:r>
      <w:r>
        <w:rPr>
          <w:rFonts w:hint="eastAsia"/>
        </w:rPr>
        <w:t>14</w:t>
      </w:r>
      <w:r>
        <w:rPr>
          <w:rFonts w:hint="eastAsia"/>
        </w:rPr>
        <w:t>条方面遇到的困难应该在这一背景下理解。</w:t>
      </w:r>
    </w:p>
    <w:p w:rsidR="00000000" w:rsidRDefault="004D2F83" w:rsidP="004D2F83">
      <w:pPr>
        <w:spacing w:after="240" w:line="360" w:lineRule="exact"/>
        <w:ind w:firstLineChars="200" w:firstLine="31680"/>
        <w:rPr>
          <w:rFonts w:hint="eastAsia"/>
        </w:rPr>
      </w:pPr>
      <w:r>
        <w:rPr>
          <w:rFonts w:hint="eastAsia"/>
        </w:rPr>
        <w:t>事实上，农村地区的特点一直就是：基础设施方面缺乏公共投资，这方面的社会压力比巴西城市地区所承受的压力低得多。粮农组织在农村人口贫穷的原因中列举了难以获得土地和土地资产高度集中问题，即使在努力促进土地改革进程的国家里也是如此。</w:t>
      </w:r>
    </w:p>
    <w:p w:rsidR="00000000" w:rsidRDefault="004D2F83" w:rsidP="004D2F83">
      <w:pPr>
        <w:spacing w:after="240" w:line="360" w:lineRule="exact"/>
        <w:ind w:firstLineChars="200" w:firstLine="31680"/>
        <w:rPr>
          <w:rFonts w:hint="eastAsia"/>
        </w:rPr>
      </w:pPr>
      <w:r>
        <w:rPr>
          <w:rFonts w:hint="eastAsia"/>
        </w:rPr>
        <w:t>与整个拉丁美洲大陆相同的是，在过去几十年里，由</w:t>
      </w:r>
      <w:r>
        <w:rPr>
          <w:rFonts w:hint="eastAsia"/>
        </w:rPr>
        <w:t>于人口从农村移居到大城市、过去被视为农村的地区建起了小城市，巴西的农村人口锐减。事实上，</w:t>
      </w:r>
      <w:r>
        <w:rPr>
          <w:rFonts w:hint="eastAsia"/>
        </w:rPr>
        <w:t>2000</w:t>
      </w:r>
      <w:r>
        <w:rPr>
          <w:rFonts w:hint="eastAsia"/>
        </w:rPr>
        <w:t>年人口普查的数据表明，农村人口仅占巴西总人口的</w:t>
      </w:r>
      <w:r>
        <w:rPr>
          <w:rFonts w:hint="eastAsia"/>
        </w:rPr>
        <w:t>18.8%</w:t>
      </w:r>
      <w:r>
        <w:rPr>
          <w:rFonts w:hint="eastAsia"/>
        </w:rPr>
        <w:t>。</w:t>
      </w:r>
    </w:p>
    <w:p w:rsidR="00000000" w:rsidRDefault="004D2F83" w:rsidP="004D2F83">
      <w:pPr>
        <w:spacing w:after="240" w:line="360" w:lineRule="exact"/>
        <w:ind w:firstLineChars="200" w:firstLine="31680"/>
        <w:rPr>
          <w:rFonts w:hint="eastAsia"/>
        </w:rPr>
      </w:pPr>
      <w:r>
        <w:rPr>
          <w:rFonts w:hint="eastAsia"/>
        </w:rPr>
        <w:t>在巴西，从</w:t>
      </w:r>
      <w:r>
        <w:rPr>
          <w:rFonts w:hint="eastAsia"/>
        </w:rPr>
        <w:t>1999</w:t>
      </w:r>
      <w:r>
        <w:rPr>
          <w:rFonts w:hint="eastAsia"/>
        </w:rPr>
        <w:t>年全国住户抽样调查收集的数据中可以看到，相对于城市地区来说，农村贫穷程度持续居高不下。因此，</w:t>
      </w:r>
      <w:r>
        <w:rPr>
          <w:rFonts w:hint="eastAsia"/>
        </w:rPr>
        <w:t>21.5%</w:t>
      </w:r>
      <w:r>
        <w:rPr>
          <w:rFonts w:hint="eastAsia"/>
        </w:rPr>
        <w:t>的农村家庭靠一份最低工资为生，而城市地区的这一数字为</w:t>
      </w:r>
      <w:r>
        <w:rPr>
          <w:rFonts w:hint="eastAsia"/>
        </w:rPr>
        <w:t>8.8%</w:t>
      </w:r>
      <w:r>
        <w:rPr>
          <w:rFonts w:hint="eastAsia"/>
        </w:rPr>
        <w:t>。关于平均收入一类，农村家庭中只有</w:t>
      </w:r>
      <w:r>
        <w:rPr>
          <w:rFonts w:hint="eastAsia"/>
        </w:rPr>
        <w:t>8%</w:t>
      </w:r>
      <w:r>
        <w:rPr>
          <w:rFonts w:hint="eastAsia"/>
        </w:rPr>
        <w:t>每月靠</w:t>
      </w:r>
      <w:r>
        <w:rPr>
          <w:rFonts w:hint="eastAsia"/>
        </w:rPr>
        <w:t>50-10</w:t>
      </w:r>
      <w:r>
        <w:rPr>
          <w:rFonts w:hint="eastAsia"/>
        </w:rPr>
        <w:t>份最低工资生活。在城市地区，在相同收入栏中，这一数字上升至占私人住户家庭的</w:t>
      </w:r>
      <w:r>
        <w:rPr>
          <w:rFonts w:hint="eastAsia"/>
        </w:rPr>
        <w:t>21%</w:t>
      </w:r>
      <w:r>
        <w:rPr>
          <w:rFonts w:hint="eastAsia"/>
        </w:rPr>
        <w:t>。</w:t>
      </w:r>
    </w:p>
    <w:p w:rsidR="00000000" w:rsidRDefault="004D2F83" w:rsidP="004D2F83">
      <w:pPr>
        <w:spacing w:after="240" w:line="360" w:lineRule="exact"/>
        <w:ind w:firstLineChars="200" w:firstLine="31680"/>
        <w:rPr>
          <w:rFonts w:hint="eastAsia"/>
        </w:rPr>
      </w:pPr>
      <w:r>
        <w:rPr>
          <w:rFonts w:hint="eastAsia"/>
        </w:rPr>
        <w:t>按照</w:t>
      </w:r>
      <w:r>
        <w:rPr>
          <w:rFonts w:hint="eastAsia"/>
        </w:rPr>
        <w:t>1999</w:t>
      </w:r>
      <w:r>
        <w:rPr>
          <w:rFonts w:hint="eastAsia"/>
        </w:rPr>
        <w:t>年全国住户抽样调查的数据，</w:t>
      </w:r>
      <w:r>
        <w:rPr>
          <w:rFonts w:hint="eastAsia"/>
        </w:rPr>
        <w:t>巴西全国</w:t>
      </w:r>
      <w:r>
        <w:rPr>
          <w:rFonts w:hint="eastAsia"/>
        </w:rPr>
        <w:t>160 336 471</w:t>
      </w:r>
      <w:r>
        <w:rPr>
          <w:rFonts w:hint="eastAsia"/>
        </w:rPr>
        <w:t>居民</w:t>
      </w:r>
      <w:r>
        <w:rPr>
          <w:rStyle w:val="FootnoteReference"/>
        </w:rPr>
        <w:footnoteReference w:customMarkFollows="1" w:id="146"/>
        <w:t>146</w:t>
      </w:r>
      <w:r>
        <w:rPr>
          <w:rFonts w:hint="eastAsia"/>
        </w:rPr>
        <w:t>中有</w:t>
      </w:r>
      <w:r>
        <w:rPr>
          <w:rFonts w:hint="eastAsia"/>
        </w:rPr>
        <w:t>32 585 066</w:t>
      </w:r>
      <w:r>
        <w:rPr>
          <w:rFonts w:hint="eastAsia"/>
        </w:rPr>
        <w:t>人住在农村地区，该数字占巴西居民的</w:t>
      </w:r>
      <w:r>
        <w:rPr>
          <w:rFonts w:hint="eastAsia"/>
        </w:rPr>
        <w:t>20.3%</w:t>
      </w:r>
      <w:r>
        <w:rPr>
          <w:rFonts w:hint="eastAsia"/>
        </w:rPr>
        <w:t>。</w:t>
      </w:r>
    </w:p>
    <w:p w:rsidR="00000000" w:rsidRDefault="004D2F83" w:rsidP="004D2F83">
      <w:pPr>
        <w:spacing w:after="240" w:line="360" w:lineRule="exact"/>
        <w:ind w:firstLineChars="200" w:firstLine="31680"/>
        <w:rPr>
          <w:rFonts w:hint="eastAsia"/>
        </w:rPr>
      </w:pPr>
      <w:r>
        <w:rPr>
          <w:rFonts w:hint="eastAsia"/>
        </w:rPr>
        <w:t>农村地区与城市地区一样，除教育指数外，当考虑到收入水平、获得社会保障和正规就业以及最终获得地契、信贷、资格、技术援助及参加工会情况时，妇女的处境与男子差距悬殊。</w:t>
      </w:r>
    </w:p>
    <w:p w:rsidR="00000000" w:rsidRDefault="004D2F83">
      <w:pPr>
        <w:spacing w:after="240" w:line="360" w:lineRule="exact"/>
        <w:rPr>
          <w:rFonts w:eastAsia="SimHei" w:hint="eastAsia"/>
          <w:sz w:val="24"/>
        </w:rPr>
      </w:pPr>
      <w:r>
        <w:rPr>
          <w:rFonts w:eastAsia="SimHei" w:hint="eastAsia"/>
          <w:sz w:val="24"/>
        </w:rPr>
        <w:t>劳动和收入</w:t>
      </w:r>
    </w:p>
    <w:p w:rsidR="00000000" w:rsidRDefault="004D2F83" w:rsidP="004D2F83">
      <w:pPr>
        <w:spacing w:after="240" w:line="360" w:lineRule="exact"/>
        <w:ind w:firstLineChars="200" w:firstLine="31680"/>
        <w:rPr>
          <w:rFonts w:hint="eastAsia"/>
        </w:rPr>
      </w:pPr>
      <w:r>
        <w:rPr>
          <w:rFonts w:hint="eastAsia"/>
        </w:rPr>
        <w:t>1999</w:t>
      </w:r>
      <w:r>
        <w:rPr>
          <w:rFonts w:hint="eastAsia"/>
        </w:rPr>
        <w:t>年全国住户抽样调查的数据显示，农业部门雇用的人数增长了</w:t>
      </w:r>
      <w:r>
        <w:rPr>
          <w:rFonts w:hint="eastAsia"/>
        </w:rPr>
        <w:t>6.3%</w:t>
      </w:r>
      <w:r>
        <w:rPr>
          <w:rFonts w:hint="eastAsia"/>
        </w:rPr>
        <w:t>，他们占全体就业人口的比率又回到</w:t>
      </w:r>
      <w:r>
        <w:rPr>
          <w:rFonts w:hint="eastAsia"/>
        </w:rPr>
        <w:t>1997</w:t>
      </w:r>
      <w:r>
        <w:rPr>
          <w:rFonts w:hint="eastAsia"/>
        </w:rPr>
        <w:t>年观察到的水平上（</w:t>
      </w:r>
      <w:r>
        <w:rPr>
          <w:rFonts w:hint="eastAsia"/>
        </w:rPr>
        <w:t>24.2%</w:t>
      </w:r>
      <w:r>
        <w:rPr>
          <w:rFonts w:hint="eastAsia"/>
        </w:rPr>
        <w:t>）。根据巴西地理与统计局的资料，这是由于农业生产的增长带动了劳动力增长。另外根据巴西地理</w:t>
      </w:r>
      <w:r>
        <w:rPr>
          <w:rFonts w:hint="eastAsia"/>
        </w:rPr>
        <w:t>与统计局的数据，无报酬劳动者和自营职业者分别占增长的</w:t>
      </w:r>
      <w:r>
        <w:rPr>
          <w:rFonts w:hint="eastAsia"/>
        </w:rPr>
        <w:t>100</w:t>
      </w:r>
      <w:r>
        <w:rPr>
          <w:rFonts w:hint="eastAsia"/>
        </w:rPr>
        <w:t>万参加农业活动人口中的</w:t>
      </w:r>
      <w:r>
        <w:rPr>
          <w:rFonts w:hint="eastAsia"/>
        </w:rPr>
        <w:t>41.2%</w:t>
      </w:r>
      <w:r>
        <w:rPr>
          <w:rFonts w:hint="eastAsia"/>
        </w:rPr>
        <w:t>和</w:t>
      </w:r>
      <w:r>
        <w:rPr>
          <w:rFonts w:hint="eastAsia"/>
        </w:rPr>
        <w:t>22.1%</w:t>
      </w:r>
      <w:r>
        <w:rPr>
          <w:rFonts w:hint="eastAsia"/>
        </w:rPr>
        <w:t>。</w:t>
      </w:r>
    </w:p>
    <w:p w:rsidR="00000000" w:rsidRDefault="004D2F83" w:rsidP="004D2F83">
      <w:pPr>
        <w:spacing w:after="240" w:line="360" w:lineRule="exact"/>
        <w:ind w:firstLineChars="200" w:firstLine="31680"/>
        <w:rPr>
          <w:rFonts w:hint="eastAsia"/>
        </w:rPr>
      </w:pPr>
      <w:r>
        <w:rPr>
          <w:rFonts w:hint="eastAsia"/>
        </w:rPr>
        <w:t>因此，尽管巴西保持了农村人口减少这一历史趋势，而且农村女性劳动者报酬很低</w:t>
      </w:r>
      <w:r>
        <w:rPr>
          <w:rStyle w:val="FootnoteReference"/>
        </w:rPr>
        <w:footnoteReference w:customMarkFollows="1" w:id="147"/>
        <w:t>147</w:t>
      </w:r>
      <w:r>
        <w:rPr>
          <w:rFonts w:hint="eastAsia"/>
        </w:rPr>
        <w:t>，但农业仍是巴西国内女性从事经济活动的第二大部门。对男女收入水平所做的比较分析表明，妇女报酬微薄。</w:t>
      </w:r>
      <w:r>
        <w:rPr>
          <w:rStyle w:val="FootnoteReference"/>
        </w:rPr>
        <w:footnoteReference w:customMarkFollows="1" w:id="148"/>
        <w:t>148</w:t>
      </w:r>
      <w:r>
        <w:rPr>
          <w:rFonts w:hint="eastAsia"/>
        </w:rPr>
        <w:t>这种现象并非农村地区专有，但在这种情况下，对妇女产生的后果更为严重。</w:t>
      </w:r>
    </w:p>
    <w:p w:rsidR="00000000" w:rsidRDefault="004D2F83" w:rsidP="004D2F83">
      <w:pPr>
        <w:spacing w:after="240" w:line="360" w:lineRule="exact"/>
        <w:ind w:firstLineChars="200" w:firstLine="31680"/>
        <w:rPr>
          <w:rFonts w:hint="eastAsia"/>
        </w:rPr>
      </w:pPr>
      <w:r>
        <w:rPr>
          <w:rFonts w:hint="eastAsia"/>
        </w:rPr>
        <w:t>约</w:t>
      </w:r>
      <w:r>
        <w:rPr>
          <w:rFonts w:hint="eastAsia"/>
        </w:rPr>
        <w:t>39%</w:t>
      </w:r>
      <w:r>
        <w:rPr>
          <w:rFonts w:hint="eastAsia"/>
        </w:rPr>
        <w:t>的就业妇女被归类为无报酬者，</w:t>
      </w:r>
      <w:r>
        <w:rPr>
          <w:rFonts w:hint="eastAsia"/>
        </w:rPr>
        <w:t>41.8%</w:t>
      </w:r>
      <w:r>
        <w:rPr>
          <w:rFonts w:hint="eastAsia"/>
        </w:rPr>
        <w:t>的人被归类为自营职业者，这证实了从事农业活动的妇女长期以来处于从属地位且被人忽视。根据</w:t>
      </w:r>
      <w:r>
        <w:rPr>
          <w:rFonts w:hint="eastAsia"/>
        </w:rPr>
        <w:t>1998</w:t>
      </w:r>
      <w:r>
        <w:rPr>
          <w:rFonts w:hint="eastAsia"/>
        </w:rPr>
        <w:t>年全国住户抽样</w:t>
      </w:r>
      <w:r>
        <w:rPr>
          <w:rFonts w:hint="eastAsia"/>
        </w:rPr>
        <w:t>调查</w:t>
      </w:r>
      <w:r>
        <w:rPr>
          <w:rFonts w:hint="eastAsia"/>
        </w:rPr>
        <w:t>/</w:t>
      </w:r>
      <w:r>
        <w:rPr>
          <w:rFonts w:hint="eastAsia"/>
        </w:rPr>
        <w:t>巴西地理与统计局的数据，在典型的农牧业活动中，</w:t>
      </w:r>
      <w:r>
        <w:rPr>
          <w:rFonts w:hint="eastAsia"/>
        </w:rPr>
        <w:t>27.5%</w:t>
      </w:r>
      <w:r>
        <w:rPr>
          <w:rFonts w:hint="eastAsia"/>
        </w:rPr>
        <w:t>的妇女和</w:t>
      </w:r>
      <w:r>
        <w:rPr>
          <w:rFonts w:hint="eastAsia"/>
        </w:rPr>
        <w:t>81%</w:t>
      </w:r>
      <w:r>
        <w:rPr>
          <w:rFonts w:hint="eastAsia"/>
        </w:rPr>
        <w:t>的男子属于无报酬者。</w:t>
      </w:r>
      <w:r>
        <w:rPr>
          <w:rStyle w:val="FootnoteReference"/>
        </w:rPr>
        <w:footnoteReference w:customMarkFollows="1" w:id="149"/>
        <w:t>149</w:t>
      </w:r>
    </w:p>
    <w:p w:rsidR="00000000" w:rsidRDefault="004D2F83" w:rsidP="004D2F83">
      <w:pPr>
        <w:spacing w:after="240" w:line="360" w:lineRule="exact"/>
        <w:ind w:firstLineChars="200" w:firstLine="31680"/>
        <w:rPr>
          <w:rFonts w:hint="eastAsia"/>
        </w:rPr>
      </w:pPr>
      <w:r>
        <w:rPr>
          <w:rFonts w:hint="eastAsia"/>
        </w:rPr>
        <w:t>对农村妇女的境况进行分析，不仅要求了解社会经济背景，还要求了解产生男女等级模式和解释为何农村妇女的生产劳动被忽视（即使她们参与几乎每一种生产活动）的文化因素。因此，妇女总的活动率，特别是农村地区妇女的活动率长期以来被低估。</w:t>
      </w:r>
    </w:p>
    <w:p w:rsidR="00000000" w:rsidRDefault="004D2F83" w:rsidP="004D2F83">
      <w:pPr>
        <w:spacing w:after="240" w:line="360" w:lineRule="exact"/>
        <w:ind w:firstLineChars="200" w:firstLine="31680"/>
        <w:rPr>
          <w:rFonts w:hint="eastAsia"/>
        </w:rPr>
      </w:pPr>
      <w:r>
        <w:rPr>
          <w:rFonts w:hint="eastAsia"/>
        </w:rPr>
        <w:t>相对来说，与城市劳动者一样，农村妇女劳动者的收入也比男子低；因此，全国水平显示出在所有各类职业中男女收入差距悬殊。</w:t>
      </w:r>
    </w:p>
    <w:p w:rsidR="00000000" w:rsidRDefault="004D2F83">
      <w:pPr>
        <w:spacing w:after="240" w:line="360" w:lineRule="exact"/>
        <w:rPr>
          <w:rFonts w:eastAsia="SimHei" w:hint="eastAsia"/>
          <w:sz w:val="24"/>
        </w:rPr>
      </w:pPr>
      <w:r>
        <w:rPr>
          <w:rFonts w:eastAsia="SimHei" w:hint="eastAsia"/>
          <w:sz w:val="24"/>
        </w:rPr>
        <w:t>收入和户主</w:t>
      </w:r>
    </w:p>
    <w:p w:rsidR="00000000" w:rsidRDefault="004D2F83" w:rsidP="004D2F83">
      <w:pPr>
        <w:spacing w:after="240" w:line="360" w:lineRule="exact"/>
        <w:ind w:firstLineChars="200" w:firstLine="31680"/>
        <w:rPr>
          <w:rFonts w:hint="eastAsia"/>
        </w:rPr>
      </w:pPr>
      <w:r>
        <w:rPr>
          <w:rFonts w:hint="eastAsia"/>
        </w:rPr>
        <w:t>尽管妇女在经济上处于从属地位，但妇女为户主的家庭数目猛增</w:t>
      </w:r>
      <w:r>
        <w:rPr>
          <w:rFonts w:hint="eastAsia"/>
        </w:rPr>
        <w:t>。根据全国住户抽样调查的数据，</w:t>
      </w:r>
      <w:r>
        <w:rPr>
          <w:rFonts w:hint="eastAsia"/>
        </w:rPr>
        <w:t>1981</w:t>
      </w:r>
      <w:r>
        <w:rPr>
          <w:rFonts w:hint="eastAsia"/>
        </w:rPr>
        <w:t>至</w:t>
      </w:r>
      <w:r>
        <w:rPr>
          <w:rFonts w:hint="eastAsia"/>
        </w:rPr>
        <w:t>1989</w:t>
      </w:r>
      <w:r>
        <w:rPr>
          <w:rFonts w:hint="eastAsia"/>
        </w:rPr>
        <w:t>年间，妇女为户主的单亲家庭数目从</w:t>
      </w:r>
      <w:r>
        <w:rPr>
          <w:rFonts w:hint="eastAsia"/>
        </w:rPr>
        <w:t>787 042</w:t>
      </w:r>
      <w:r>
        <w:rPr>
          <w:rFonts w:hint="eastAsia"/>
        </w:rPr>
        <w:t>户增至</w:t>
      </w:r>
      <w:r>
        <w:rPr>
          <w:rFonts w:hint="eastAsia"/>
        </w:rPr>
        <w:t>1 051 788</w:t>
      </w:r>
      <w:r>
        <w:rPr>
          <w:rFonts w:hint="eastAsia"/>
        </w:rPr>
        <w:t>户。即增长了</w:t>
      </w:r>
      <w:r>
        <w:rPr>
          <w:rFonts w:hint="eastAsia"/>
        </w:rPr>
        <w:t>33.64%</w:t>
      </w:r>
      <w:r>
        <w:rPr>
          <w:rFonts w:hint="eastAsia"/>
        </w:rPr>
        <w:t>。</w:t>
      </w:r>
    </w:p>
    <w:p w:rsidR="00000000" w:rsidRDefault="004D2F83">
      <w:pPr>
        <w:spacing w:after="240" w:line="360" w:lineRule="exact"/>
        <w:rPr>
          <w:rFonts w:eastAsia="SimHei" w:hint="eastAsia"/>
          <w:sz w:val="24"/>
        </w:rPr>
      </w:pPr>
      <w:r>
        <w:rPr>
          <w:rFonts w:eastAsia="SimHei" w:hint="eastAsia"/>
          <w:sz w:val="24"/>
        </w:rPr>
        <w:t>加入农村协会和工会情况</w:t>
      </w:r>
    </w:p>
    <w:p w:rsidR="00000000" w:rsidRDefault="004D2F83" w:rsidP="004D2F83">
      <w:pPr>
        <w:spacing w:after="240" w:line="360" w:lineRule="exact"/>
        <w:ind w:firstLineChars="200" w:firstLine="31680"/>
        <w:rPr>
          <w:rFonts w:hint="eastAsia"/>
        </w:rPr>
      </w:pPr>
      <w:r>
        <w:rPr>
          <w:rFonts w:hint="eastAsia"/>
        </w:rPr>
        <w:t>从事家庭的农业妇女无报酬的境况和视男子为一家之主的传统观念也反映在妇女加入农村劳动者协会和工会的比率低这一数据上。</w:t>
      </w:r>
      <w:r>
        <w:rPr>
          <w:rStyle w:val="FootnoteReference"/>
        </w:rPr>
        <w:footnoteReference w:customMarkFollows="1" w:id="150"/>
        <w:t>150</w:t>
      </w:r>
    </w:p>
    <w:p w:rsidR="00000000" w:rsidRDefault="004D2F83" w:rsidP="004D2F83">
      <w:pPr>
        <w:spacing w:after="240" w:line="360" w:lineRule="exact"/>
        <w:ind w:firstLineChars="200" w:firstLine="31680"/>
        <w:rPr>
          <w:rFonts w:hint="eastAsia"/>
        </w:rPr>
      </w:pPr>
      <w:r>
        <w:rPr>
          <w:rFonts w:hint="eastAsia"/>
        </w:rPr>
        <w:t>尽管有这些数据，但值得一提的是，在巴西再次发起的民主化过程中，</w:t>
      </w:r>
      <w:r>
        <w:rPr>
          <w:rFonts w:hint="eastAsia"/>
        </w:rPr>
        <w:t>1980</w:t>
      </w:r>
      <w:r>
        <w:rPr>
          <w:rFonts w:hint="eastAsia"/>
        </w:rPr>
        <w:t>年代期间，在开展社会运动的同时，开展了围绕劳动问题而组织的声势浩大的农村劳动者运动：他们谋求扩大社会权利、为获得土地而斗争。特别值得一提的是在全国范围</w:t>
      </w:r>
      <w:r>
        <w:rPr>
          <w:rFonts w:hint="eastAsia"/>
        </w:rPr>
        <w:t>内发动农村妇女为争取普遍和具体的权利而战斗。</w:t>
      </w:r>
    </w:p>
    <w:p w:rsidR="00000000" w:rsidRDefault="004D2F83">
      <w:pPr>
        <w:spacing w:after="240" w:line="360" w:lineRule="exact"/>
        <w:rPr>
          <w:rFonts w:eastAsia="SimHei" w:hint="eastAsia"/>
          <w:sz w:val="24"/>
        </w:rPr>
      </w:pPr>
      <w:r>
        <w:rPr>
          <w:rFonts w:eastAsia="SimHei" w:hint="eastAsia"/>
          <w:sz w:val="24"/>
        </w:rPr>
        <w:t>社会保障</w:t>
      </w:r>
    </w:p>
    <w:p w:rsidR="00000000" w:rsidRDefault="004D2F83" w:rsidP="004D2F83">
      <w:pPr>
        <w:spacing w:after="240" w:line="360" w:lineRule="exact"/>
        <w:ind w:firstLineChars="200" w:firstLine="31680"/>
        <w:rPr>
          <w:rFonts w:hint="eastAsia"/>
        </w:rPr>
      </w:pPr>
      <w:r>
        <w:rPr>
          <w:rFonts w:hint="eastAsia"/>
        </w:rPr>
        <w:t>根据</w:t>
      </w:r>
      <w:r>
        <w:rPr>
          <w:rFonts w:hint="eastAsia"/>
        </w:rPr>
        <w:t>1999</w:t>
      </w:r>
      <w:r>
        <w:rPr>
          <w:rFonts w:hint="eastAsia"/>
        </w:rPr>
        <w:t>年全国住户抽样调查，在</w:t>
      </w:r>
      <w:r>
        <w:rPr>
          <w:rFonts w:hint="eastAsia"/>
        </w:rPr>
        <w:t>1998</w:t>
      </w:r>
      <w:r>
        <w:rPr>
          <w:rFonts w:hint="eastAsia"/>
        </w:rPr>
        <w:t>至</w:t>
      </w:r>
      <w:r>
        <w:rPr>
          <w:rFonts w:hint="eastAsia"/>
        </w:rPr>
        <w:t>1999</w:t>
      </w:r>
      <w:r>
        <w:rPr>
          <w:rFonts w:hint="eastAsia"/>
        </w:rPr>
        <w:t>年间，向社会保障体系缴款的巴西人数目大增（</w:t>
      </w:r>
      <w:r>
        <w:rPr>
          <w:rFonts w:hint="eastAsia"/>
        </w:rPr>
        <w:t>0.6%</w:t>
      </w:r>
      <w:r>
        <w:rPr>
          <w:rFonts w:hint="eastAsia"/>
        </w:rPr>
        <w:t>），这些人与就业人口的比例从</w:t>
      </w:r>
      <w:r>
        <w:rPr>
          <w:rFonts w:hint="eastAsia"/>
        </w:rPr>
        <w:t>44.3%</w:t>
      </w:r>
      <w:r>
        <w:rPr>
          <w:rFonts w:hint="eastAsia"/>
        </w:rPr>
        <w:t>减至</w:t>
      </w:r>
      <w:r>
        <w:rPr>
          <w:rFonts w:hint="eastAsia"/>
        </w:rPr>
        <w:t>43.5%</w:t>
      </w:r>
      <w:r>
        <w:rPr>
          <w:rFonts w:hint="eastAsia"/>
        </w:rPr>
        <w:t>。</w:t>
      </w:r>
    </w:p>
    <w:p w:rsidR="00000000" w:rsidRDefault="004D2F83" w:rsidP="004D2F83">
      <w:pPr>
        <w:spacing w:after="240" w:line="360" w:lineRule="exact"/>
        <w:ind w:firstLineChars="200" w:firstLine="31680"/>
        <w:rPr>
          <w:rFonts w:hint="eastAsia"/>
        </w:rPr>
      </w:pPr>
      <w:r>
        <w:rPr>
          <w:rFonts w:hint="eastAsia"/>
        </w:rPr>
        <w:t>在国家社会保障协会（</w:t>
      </w:r>
      <w:r>
        <w:rPr>
          <w:rFonts w:hint="eastAsia"/>
        </w:rPr>
        <w:t>INSS</w:t>
      </w:r>
      <w:r>
        <w:rPr>
          <w:rFonts w:hint="eastAsia"/>
        </w:rPr>
        <w:t>）提供的社会保障方面，这种减少可被解释为自</w:t>
      </w:r>
      <w:r>
        <w:rPr>
          <w:rFonts w:hint="eastAsia"/>
        </w:rPr>
        <w:t>1990</w:t>
      </w:r>
      <w:r>
        <w:rPr>
          <w:rFonts w:hint="eastAsia"/>
        </w:rPr>
        <w:t>年以来巴西国内出现的正规就业者人数减少的一种结果。男女两性中向社会保障体系缴款均有减少。</w:t>
      </w:r>
    </w:p>
    <w:p w:rsidR="00000000" w:rsidRDefault="004D2F83" w:rsidP="004D2F83">
      <w:pPr>
        <w:spacing w:after="240" w:line="360" w:lineRule="exact"/>
        <w:ind w:firstLineChars="200" w:firstLine="31680"/>
        <w:rPr>
          <w:rFonts w:hint="eastAsia"/>
        </w:rPr>
      </w:pPr>
      <w:r>
        <w:rPr>
          <w:rFonts w:hint="eastAsia"/>
        </w:rPr>
        <w:t>然而，长期以来受劳动法律保护薄弱的农村地区，由于</w:t>
      </w:r>
      <w:r>
        <w:rPr>
          <w:rFonts w:hint="eastAsia"/>
        </w:rPr>
        <w:t>1988</w:t>
      </w:r>
      <w:r>
        <w:rPr>
          <w:rFonts w:hint="eastAsia"/>
        </w:rPr>
        <w:t>年《联邦宪法》规定了保护措施，</w:t>
      </w:r>
      <w:r>
        <w:rPr>
          <w:rFonts w:hint="eastAsia"/>
        </w:rPr>
        <w:t>1998</w:t>
      </w:r>
      <w:r>
        <w:rPr>
          <w:rFonts w:hint="eastAsia"/>
        </w:rPr>
        <w:t>至</w:t>
      </w:r>
      <w:r>
        <w:rPr>
          <w:rFonts w:hint="eastAsia"/>
        </w:rPr>
        <w:t>1999</w:t>
      </w:r>
      <w:r>
        <w:rPr>
          <w:rFonts w:hint="eastAsia"/>
        </w:rPr>
        <w:t>年间，正规工作岗位数目增加</w:t>
      </w:r>
      <w:r>
        <w:rPr>
          <w:rFonts w:hint="eastAsia"/>
        </w:rPr>
        <w:t>，为社会保障体系缴款的人数也相应增多。农村女性劳动者则未发生这种情况。农村妇女从社会保障中得到的保护比农村男子少。此外，由于她们没有自己的收入，大多数农村妇女劳动者都被视为依赖受社会保障体系保护的丈夫或父亲。根据巴西地理与统计局（统计年鉴）的数据，</w:t>
      </w:r>
      <w:r>
        <w:rPr>
          <w:rFonts w:hint="eastAsia"/>
        </w:rPr>
        <w:t>Bruschini</w:t>
      </w:r>
      <w:r>
        <w:rPr>
          <w:rFonts w:hint="eastAsia"/>
        </w:rPr>
        <w:t>和</w:t>
      </w:r>
      <w:r>
        <w:rPr>
          <w:rFonts w:hint="eastAsia"/>
        </w:rPr>
        <w:t>Lombardi</w:t>
      </w:r>
      <w:r>
        <w:rPr>
          <w:rFonts w:hint="eastAsia"/>
        </w:rPr>
        <w:t>（</w:t>
      </w:r>
      <w:r>
        <w:rPr>
          <w:rFonts w:hint="eastAsia"/>
        </w:rPr>
        <w:t>1998</w:t>
      </w:r>
      <w:r>
        <w:rPr>
          <w:rFonts w:hint="eastAsia"/>
        </w:rPr>
        <w:t>年）指出，</w:t>
      </w:r>
      <w:r>
        <w:rPr>
          <w:rFonts w:hint="eastAsia"/>
        </w:rPr>
        <w:t>1996</w:t>
      </w:r>
      <w:r>
        <w:rPr>
          <w:rFonts w:hint="eastAsia"/>
        </w:rPr>
        <w:t>年，国家社会保障协会通过产妇工资向佣仆和农村劳动者中的</w:t>
      </w:r>
      <w:r>
        <w:rPr>
          <w:rFonts w:hint="eastAsia"/>
        </w:rPr>
        <w:t>8 000</w:t>
      </w:r>
      <w:r>
        <w:rPr>
          <w:rFonts w:hint="eastAsia"/>
        </w:rPr>
        <w:t>名母亲提供了援助。</w:t>
      </w:r>
    </w:p>
    <w:p w:rsidR="00000000" w:rsidRDefault="004D2F83">
      <w:pPr>
        <w:spacing w:after="240" w:line="360" w:lineRule="exact"/>
        <w:rPr>
          <w:rFonts w:eastAsia="SimHei" w:hint="eastAsia"/>
          <w:sz w:val="24"/>
        </w:rPr>
      </w:pPr>
      <w:r>
        <w:rPr>
          <w:rFonts w:eastAsia="SimHei" w:hint="eastAsia"/>
          <w:sz w:val="24"/>
        </w:rPr>
        <w:t>教育</w:t>
      </w:r>
    </w:p>
    <w:p w:rsidR="00000000" w:rsidRDefault="004D2F83" w:rsidP="004D2F83">
      <w:pPr>
        <w:spacing w:after="240" w:line="360" w:lineRule="exact"/>
        <w:ind w:firstLineChars="200" w:firstLine="31680"/>
        <w:rPr>
          <w:rFonts w:hint="eastAsia"/>
        </w:rPr>
      </w:pPr>
      <w:r>
        <w:rPr>
          <w:rFonts w:hint="eastAsia"/>
        </w:rPr>
        <w:t>关于教育，过去几十年来，有目共睹的是，广大居民，尤其是城市妇女的受教育程度有了很大提高。根据</w:t>
      </w:r>
      <w:r>
        <w:rPr>
          <w:rFonts w:hint="eastAsia"/>
        </w:rPr>
        <w:t>1999</w:t>
      </w:r>
      <w:r>
        <w:rPr>
          <w:rFonts w:hint="eastAsia"/>
        </w:rPr>
        <w:t>年全国住户</w:t>
      </w:r>
      <w:r>
        <w:rPr>
          <w:rFonts w:hint="eastAsia"/>
        </w:rPr>
        <w:t>抽样调查，妇女和男子的文盲率分别为</w:t>
      </w:r>
      <w:r>
        <w:rPr>
          <w:rFonts w:hint="eastAsia"/>
        </w:rPr>
        <w:t>15.3%</w:t>
      </w:r>
      <w:r>
        <w:rPr>
          <w:rFonts w:hint="eastAsia"/>
        </w:rPr>
        <w:t>和</w:t>
      </w:r>
      <w:r>
        <w:rPr>
          <w:rFonts w:hint="eastAsia"/>
        </w:rPr>
        <w:t>16.1%</w:t>
      </w:r>
      <w:r>
        <w:rPr>
          <w:rFonts w:hint="eastAsia"/>
        </w:rPr>
        <w:t>。另根据同一资料来源，</w:t>
      </w:r>
      <w:r>
        <w:rPr>
          <w:rFonts w:hint="eastAsia"/>
        </w:rPr>
        <w:t>1999</w:t>
      </w:r>
      <w:r>
        <w:rPr>
          <w:rFonts w:hint="eastAsia"/>
        </w:rPr>
        <w:t>年，识字妇女（</w:t>
      </w:r>
      <w:r>
        <w:rPr>
          <w:rFonts w:hint="eastAsia"/>
        </w:rPr>
        <w:t>84.7%</w:t>
      </w:r>
      <w:r>
        <w:rPr>
          <w:rFonts w:hint="eastAsia"/>
        </w:rPr>
        <w:t>）人数超过了男子（</w:t>
      </w:r>
      <w:r>
        <w:rPr>
          <w:rFonts w:hint="eastAsia"/>
        </w:rPr>
        <w:t>83.9%</w:t>
      </w:r>
      <w:r>
        <w:rPr>
          <w:rFonts w:hint="eastAsia"/>
        </w:rPr>
        <w:t>）。</w:t>
      </w:r>
    </w:p>
    <w:p w:rsidR="00000000" w:rsidRDefault="004D2F83" w:rsidP="004D2F83">
      <w:pPr>
        <w:spacing w:after="240" w:line="360" w:lineRule="exact"/>
        <w:ind w:firstLineChars="200" w:firstLine="31680"/>
        <w:rPr>
          <w:rFonts w:hint="eastAsia"/>
        </w:rPr>
      </w:pPr>
      <w:r>
        <w:rPr>
          <w:rFonts w:hint="eastAsia"/>
        </w:rPr>
        <w:t>尽管全国的受教育率有所增长，但农村地区仍显示出其就学率在全国最低。</w:t>
      </w:r>
      <w:r>
        <w:rPr>
          <w:rFonts w:hint="eastAsia"/>
        </w:rPr>
        <w:t>1999</w:t>
      </w:r>
      <w:r>
        <w:rPr>
          <w:rFonts w:hint="eastAsia"/>
        </w:rPr>
        <w:t>年全国住户抽样调查显示，不识字的农村人口中有</w:t>
      </w:r>
      <w:r>
        <w:rPr>
          <w:rFonts w:hint="eastAsia"/>
        </w:rPr>
        <w:t>7 573 033</w:t>
      </w:r>
      <w:r>
        <w:rPr>
          <w:rFonts w:hint="eastAsia"/>
        </w:rPr>
        <w:t>名为</w:t>
      </w:r>
      <w:r>
        <w:rPr>
          <w:rFonts w:hint="eastAsia"/>
        </w:rPr>
        <w:t>7</w:t>
      </w:r>
      <w:r>
        <w:rPr>
          <w:rFonts w:hint="eastAsia"/>
        </w:rPr>
        <w:t>岁以上的人。根据</w:t>
      </w:r>
      <w:r>
        <w:rPr>
          <w:rFonts w:hint="eastAsia"/>
        </w:rPr>
        <w:t>1998</w:t>
      </w:r>
      <w:r>
        <w:rPr>
          <w:rFonts w:hint="eastAsia"/>
        </w:rPr>
        <w:t>年全国住户抽样调查，只有</w:t>
      </w:r>
      <w:r>
        <w:rPr>
          <w:rFonts w:hint="eastAsia"/>
        </w:rPr>
        <w:t>17.0%</w:t>
      </w:r>
      <w:r>
        <w:rPr>
          <w:rFonts w:hint="eastAsia"/>
        </w:rPr>
        <w:t>的就业妇女和</w:t>
      </w:r>
      <w:r>
        <w:rPr>
          <w:rFonts w:hint="eastAsia"/>
        </w:rPr>
        <w:t>18.5%</w:t>
      </w:r>
      <w:r>
        <w:rPr>
          <w:rFonts w:hint="eastAsia"/>
        </w:rPr>
        <w:t>的就业男子受过五年以上的正规教育。就全部农村就业人口而言，</w:t>
      </w:r>
      <w:r>
        <w:rPr>
          <w:rFonts w:hint="eastAsia"/>
        </w:rPr>
        <w:t>1998</w:t>
      </w:r>
      <w:r>
        <w:rPr>
          <w:rFonts w:hint="eastAsia"/>
        </w:rPr>
        <w:t>年全国住户抽样调查显示，</w:t>
      </w:r>
      <w:r>
        <w:rPr>
          <w:rFonts w:hint="eastAsia"/>
        </w:rPr>
        <w:t>32%</w:t>
      </w:r>
      <w:r>
        <w:rPr>
          <w:rFonts w:hint="eastAsia"/>
        </w:rPr>
        <w:t>的男子和</w:t>
      </w:r>
      <w:r>
        <w:rPr>
          <w:rFonts w:hint="eastAsia"/>
        </w:rPr>
        <w:t>30%</w:t>
      </w:r>
      <w:r>
        <w:rPr>
          <w:rFonts w:hint="eastAsia"/>
        </w:rPr>
        <w:t>的妇女为文盲。</w:t>
      </w:r>
    </w:p>
    <w:p w:rsidR="00000000" w:rsidRDefault="004D2F83">
      <w:pPr>
        <w:spacing w:after="240" w:line="360" w:lineRule="exact"/>
        <w:rPr>
          <w:rFonts w:eastAsia="SimHei" w:hint="eastAsia"/>
          <w:sz w:val="24"/>
        </w:rPr>
      </w:pPr>
      <w:r>
        <w:rPr>
          <w:rFonts w:eastAsia="SimHei" w:hint="eastAsia"/>
          <w:sz w:val="24"/>
        </w:rPr>
        <w:t>保健、预期寿命和产妇</w:t>
      </w:r>
      <w:r>
        <w:rPr>
          <w:rFonts w:eastAsia="SimHei" w:hint="eastAsia"/>
          <w:sz w:val="24"/>
        </w:rPr>
        <w:t>死亡率</w:t>
      </w:r>
    </w:p>
    <w:p w:rsidR="00000000" w:rsidRDefault="004D2F83" w:rsidP="004D2F83">
      <w:pPr>
        <w:spacing w:after="240" w:line="360" w:lineRule="exact"/>
        <w:ind w:firstLineChars="200" w:firstLine="31680"/>
        <w:rPr>
          <w:rFonts w:hint="eastAsia"/>
        </w:rPr>
      </w:pPr>
      <w:r>
        <w:rPr>
          <w:rFonts w:hint="eastAsia"/>
        </w:rPr>
        <w:t>通过联邦法律建立了单一保健体系（</w:t>
      </w:r>
      <w:r>
        <w:rPr>
          <w:rFonts w:hint="eastAsia"/>
        </w:rPr>
        <w:t>SUS</w:t>
      </w:r>
      <w:r>
        <w:rPr>
          <w:rFonts w:hint="eastAsia"/>
        </w:rPr>
        <w:t>）并规定了联邦、各州和各市政府的责任。</w:t>
      </w:r>
      <w:r>
        <w:rPr>
          <w:rFonts w:hint="eastAsia"/>
        </w:rPr>
        <w:t>1988</w:t>
      </w:r>
      <w:r>
        <w:rPr>
          <w:rFonts w:hint="eastAsia"/>
        </w:rPr>
        <w:t>年《联邦宪法》规定了全力关注保健和普遍援助原则。此外，基本卫生水平的提高以及全国儿童接种运动无疑是导致过去几十年里儿童死亡率下降的原因。</w:t>
      </w:r>
    </w:p>
    <w:p w:rsidR="00000000" w:rsidRDefault="004D2F83" w:rsidP="004D2F83">
      <w:pPr>
        <w:spacing w:after="240" w:line="360" w:lineRule="exact"/>
        <w:ind w:firstLineChars="200" w:firstLine="31680"/>
        <w:rPr>
          <w:rFonts w:hint="eastAsia"/>
        </w:rPr>
      </w:pPr>
      <w:r>
        <w:rPr>
          <w:rFonts w:hint="eastAsia"/>
        </w:rPr>
        <w:t>关于产妇死亡率，国际上的产妇死亡率表明，产妇死亡人数从</w:t>
      </w:r>
      <w:r>
        <w:rPr>
          <w:rFonts w:hint="eastAsia"/>
        </w:rPr>
        <w:t>1981</w:t>
      </w:r>
      <w:r>
        <w:rPr>
          <w:rFonts w:hint="eastAsia"/>
        </w:rPr>
        <w:t>年的</w:t>
      </w:r>
      <w:r>
        <w:rPr>
          <w:rFonts w:hint="eastAsia"/>
        </w:rPr>
        <w:t>142/100 000</w:t>
      </w:r>
      <w:r>
        <w:rPr>
          <w:rFonts w:hint="eastAsia"/>
        </w:rPr>
        <w:t>减至</w:t>
      </w:r>
      <w:r>
        <w:rPr>
          <w:rFonts w:hint="eastAsia"/>
        </w:rPr>
        <w:t>2000</w:t>
      </w:r>
      <w:r>
        <w:rPr>
          <w:rFonts w:hint="eastAsia"/>
        </w:rPr>
        <w:t>年的</w:t>
      </w:r>
      <w:r>
        <w:rPr>
          <w:rFonts w:hint="eastAsia"/>
        </w:rPr>
        <w:t>78/100 000</w:t>
      </w:r>
      <w:r>
        <w:rPr>
          <w:rFonts w:hint="eastAsia"/>
        </w:rPr>
        <w:t>。巴西北部和东北部地区，特别是农村地区的产妇死亡率最高。</w:t>
      </w:r>
    </w:p>
    <w:p w:rsidR="00000000" w:rsidRDefault="004D2F83" w:rsidP="004D2F83">
      <w:pPr>
        <w:spacing w:after="240" w:line="360" w:lineRule="exact"/>
        <w:ind w:firstLineChars="200" w:firstLine="31680"/>
        <w:rPr>
          <w:rFonts w:hint="eastAsia"/>
        </w:rPr>
      </w:pPr>
      <w:r>
        <w:rPr>
          <w:rFonts w:hint="eastAsia"/>
        </w:rPr>
        <w:t>这一数据还说明巴西农村地区的公共卫生网成效不佳。教科文组织在农村定居点进行的调查</w:t>
      </w:r>
      <w:r>
        <w:rPr>
          <w:rStyle w:val="FootnoteReference"/>
        </w:rPr>
        <w:footnoteReference w:customMarkFollows="1" w:id="151"/>
        <w:t>151</w:t>
      </w:r>
      <w:r>
        <w:rPr>
          <w:rFonts w:hint="eastAsia"/>
        </w:rPr>
        <w:t>也表明，抛开性</w:t>
      </w:r>
      <w:r>
        <w:rPr>
          <w:rFonts w:hint="eastAsia"/>
        </w:rPr>
        <w:t>别因素，约</w:t>
      </w:r>
      <w:r>
        <w:rPr>
          <w:rFonts w:hint="eastAsia"/>
        </w:rPr>
        <w:t>15%</w:t>
      </w:r>
      <w:r>
        <w:rPr>
          <w:rFonts w:hint="eastAsia"/>
        </w:rPr>
        <w:t>的定居者确认他们没有接受保健服务的便捷渠道。各地区获得保健服务的情况各不相同。因此，在圣保罗州调查的定居点中，</w:t>
      </w:r>
      <w:r>
        <w:rPr>
          <w:rFonts w:hint="eastAsia"/>
        </w:rPr>
        <w:t>87%</w:t>
      </w:r>
      <w:r>
        <w:rPr>
          <w:rFonts w:hint="eastAsia"/>
        </w:rPr>
        <w:t>的妇女接受过子宫癌防治检查。不过，在巴伊亚州的定居点中，该比率降为</w:t>
      </w:r>
      <w:r>
        <w:rPr>
          <w:rFonts w:hint="eastAsia"/>
        </w:rPr>
        <w:t>55%</w:t>
      </w:r>
      <w:r>
        <w:rPr>
          <w:rFonts w:hint="eastAsia"/>
        </w:rPr>
        <w:t>。同一调查还表明，男子和妇女在性传染疾病，包括艾滋病毒</w:t>
      </w:r>
      <w:r>
        <w:rPr>
          <w:rFonts w:hint="eastAsia"/>
        </w:rPr>
        <w:t>/</w:t>
      </w:r>
      <w:r>
        <w:rPr>
          <w:rFonts w:hint="eastAsia"/>
        </w:rPr>
        <w:t>艾滋病方面的知识水平都很低。</w:t>
      </w:r>
    </w:p>
    <w:p w:rsidR="00000000" w:rsidRDefault="004D2F83">
      <w:pPr>
        <w:spacing w:after="240" w:line="360" w:lineRule="exact"/>
        <w:rPr>
          <w:rFonts w:eastAsia="SimHei" w:hint="eastAsia"/>
          <w:sz w:val="24"/>
        </w:rPr>
      </w:pPr>
      <w:r>
        <w:rPr>
          <w:rFonts w:eastAsia="SimHei" w:hint="eastAsia"/>
          <w:sz w:val="24"/>
        </w:rPr>
        <w:t>住房和基本卫生条件</w:t>
      </w:r>
    </w:p>
    <w:p w:rsidR="00000000" w:rsidRDefault="004D2F83" w:rsidP="004D2F83">
      <w:pPr>
        <w:spacing w:after="240" w:line="360" w:lineRule="exact"/>
        <w:ind w:firstLineChars="200" w:firstLine="31680"/>
        <w:rPr>
          <w:rFonts w:hint="eastAsia"/>
        </w:rPr>
      </w:pPr>
      <w:r>
        <w:rPr>
          <w:rFonts w:hint="eastAsia"/>
        </w:rPr>
        <w:t>1999</w:t>
      </w:r>
      <w:r>
        <w:rPr>
          <w:rFonts w:hint="eastAsia"/>
        </w:rPr>
        <w:t>年全国住户抽样调查的数据表明，巴西的基本卫生、垃圾回收和供电服务的覆盖率都呈增长趋势。覆盖率最高的服务是供电，</w:t>
      </w:r>
      <w:r>
        <w:rPr>
          <w:rFonts w:hint="eastAsia"/>
        </w:rPr>
        <w:t>1999</w:t>
      </w:r>
      <w:r>
        <w:rPr>
          <w:rFonts w:hint="eastAsia"/>
        </w:rPr>
        <w:t>年达到全部住户的</w:t>
      </w:r>
      <w:r>
        <w:rPr>
          <w:rFonts w:hint="eastAsia"/>
        </w:rPr>
        <w:t>94.8%</w:t>
      </w:r>
      <w:r>
        <w:rPr>
          <w:rFonts w:hint="eastAsia"/>
        </w:rPr>
        <w:t>。然而，</w:t>
      </w:r>
      <w:r>
        <w:rPr>
          <w:rFonts w:hint="eastAsia"/>
        </w:rPr>
        <w:t>1999</w:t>
      </w:r>
      <w:r>
        <w:rPr>
          <w:rFonts w:hint="eastAsia"/>
        </w:rPr>
        <w:t>年，约四分之一的农户用不上电，在城</w:t>
      </w:r>
      <w:r>
        <w:rPr>
          <w:rFonts w:hint="eastAsia"/>
        </w:rPr>
        <w:t>市地区，仅</w:t>
      </w:r>
      <w:r>
        <w:rPr>
          <w:rFonts w:hint="eastAsia"/>
        </w:rPr>
        <w:t>0.8%</w:t>
      </w:r>
      <w:r>
        <w:rPr>
          <w:rFonts w:hint="eastAsia"/>
        </w:rPr>
        <w:t>的住户用不上电。</w:t>
      </w:r>
    </w:p>
    <w:p w:rsidR="00000000" w:rsidRDefault="004D2F83" w:rsidP="004D2F83">
      <w:pPr>
        <w:spacing w:after="240" w:line="360" w:lineRule="exact"/>
        <w:ind w:firstLineChars="200" w:firstLine="31680"/>
        <w:rPr>
          <w:rFonts w:hint="eastAsia"/>
        </w:rPr>
      </w:pPr>
      <w:r>
        <w:rPr>
          <w:rFonts w:hint="eastAsia"/>
        </w:rPr>
        <w:t>关于垃圾回收，尽管城市地区的此项服务覆盖所有住户的</w:t>
      </w:r>
      <w:r>
        <w:rPr>
          <w:rFonts w:hint="eastAsia"/>
        </w:rPr>
        <w:t>93.7%</w:t>
      </w:r>
      <w:r>
        <w:rPr>
          <w:rFonts w:hint="eastAsia"/>
        </w:rPr>
        <w:t>，但在农村地区，该比率不超过</w:t>
      </w:r>
      <w:r>
        <w:rPr>
          <w:rFonts w:hint="eastAsia"/>
        </w:rPr>
        <w:t>19.6%</w:t>
      </w:r>
      <w:r>
        <w:rPr>
          <w:rFonts w:hint="eastAsia"/>
        </w:rPr>
        <w:t>。</w:t>
      </w:r>
    </w:p>
    <w:p w:rsidR="00000000" w:rsidRDefault="004D2F83" w:rsidP="004D2F83">
      <w:pPr>
        <w:spacing w:after="240" w:line="360" w:lineRule="exact"/>
        <w:ind w:firstLineChars="200" w:firstLine="31680"/>
        <w:rPr>
          <w:rFonts w:hint="eastAsia"/>
        </w:rPr>
      </w:pPr>
      <w:r>
        <w:rPr>
          <w:rFonts w:hint="eastAsia"/>
        </w:rPr>
        <w:t>考虑到传统上妇女要负责家务劳动，如做饭、清洗和照顾家人的健康，这些不利的指数对男女产生不同的影响。</w:t>
      </w:r>
    </w:p>
    <w:p w:rsidR="00000000" w:rsidRDefault="004D2F83">
      <w:pPr>
        <w:spacing w:after="240" w:line="360" w:lineRule="exact"/>
        <w:rPr>
          <w:rFonts w:eastAsia="SimHei" w:hint="eastAsia"/>
          <w:sz w:val="24"/>
        </w:rPr>
      </w:pPr>
      <w:r>
        <w:rPr>
          <w:rFonts w:eastAsia="SimHei" w:hint="eastAsia"/>
          <w:sz w:val="24"/>
        </w:rPr>
        <w:t>获得土地和信贷</w:t>
      </w:r>
    </w:p>
    <w:p w:rsidR="00000000" w:rsidRDefault="004D2F83" w:rsidP="004D2F83">
      <w:pPr>
        <w:spacing w:after="240" w:line="360" w:lineRule="exact"/>
        <w:ind w:firstLineChars="200" w:firstLine="31680"/>
        <w:rPr>
          <w:rFonts w:hint="eastAsia"/>
        </w:rPr>
      </w:pPr>
      <w:r>
        <w:rPr>
          <w:rFonts w:hint="eastAsia"/>
        </w:rPr>
        <w:t>根据共和国总统府的数据，在过去六年，联邦政府为进行土地改革征用了</w:t>
      </w:r>
      <w:r>
        <w:rPr>
          <w:rFonts w:hint="eastAsia"/>
        </w:rPr>
        <w:t>870</w:t>
      </w:r>
      <w:r>
        <w:rPr>
          <w:rFonts w:hint="eastAsia"/>
        </w:rPr>
        <w:t>万公顷的土地，使</w:t>
      </w:r>
      <w:r>
        <w:rPr>
          <w:rFonts w:hint="eastAsia"/>
        </w:rPr>
        <w:t>372</w:t>
      </w:r>
      <w:r>
        <w:t xml:space="preserve"> </w:t>
      </w:r>
      <w:r>
        <w:rPr>
          <w:rFonts w:hint="eastAsia"/>
        </w:rPr>
        <w:t>000</w:t>
      </w:r>
      <w:r>
        <w:rPr>
          <w:rFonts w:hint="eastAsia"/>
        </w:rPr>
        <w:t>个家庭受益。不过，这一进程并没有平等地覆盖男人和妇女。</w:t>
      </w:r>
    </w:p>
    <w:p w:rsidR="00000000" w:rsidRDefault="004D2F83" w:rsidP="004D2F83">
      <w:pPr>
        <w:spacing w:after="240" w:line="360" w:lineRule="exact"/>
        <w:ind w:firstLineChars="200" w:firstLine="31680"/>
        <w:rPr>
          <w:rFonts w:hint="eastAsia"/>
        </w:rPr>
      </w:pPr>
      <w:r>
        <w:rPr>
          <w:rFonts w:hint="eastAsia"/>
        </w:rPr>
        <w:t>在农村地区，尽管人们开展了斗争，特别是农村协会和工会组织了斗争，但</w:t>
      </w:r>
      <w:r>
        <w:rPr>
          <w:rFonts w:hint="eastAsia"/>
        </w:rPr>
        <w:t>1996</w:t>
      </w:r>
      <w:r>
        <w:rPr>
          <w:rFonts w:hint="eastAsia"/>
        </w:rPr>
        <w:t>年土地改革普查的统计数据表明</w:t>
      </w:r>
      <w:r>
        <w:rPr>
          <w:rFonts w:hint="eastAsia"/>
        </w:rPr>
        <w:t>，妇女在分配土地的受益者中所占比率很低。在土地改革计划的受益者中，</w:t>
      </w:r>
      <w:r>
        <w:rPr>
          <w:rFonts w:hint="eastAsia"/>
        </w:rPr>
        <w:t>85%</w:t>
      </w:r>
      <w:r>
        <w:rPr>
          <w:rFonts w:hint="eastAsia"/>
        </w:rPr>
        <w:t>是男性。妇女仅获得了</w:t>
      </w:r>
      <w:r>
        <w:rPr>
          <w:rFonts w:hint="eastAsia"/>
        </w:rPr>
        <w:t>12.6%</w:t>
      </w:r>
      <w:r>
        <w:rPr>
          <w:rFonts w:hint="eastAsia"/>
        </w:rPr>
        <w:t>的地契和土地使用特许权。</w:t>
      </w:r>
      <w:r>
        <w:rPr>
          <w:rStyle w:val="FootnoteReference"/>
        </w:rPr>
        <w:footnoteReference w:customMarkFollows="1" w:id="152"/>
        <w:t>152</w:t>
      </w:r>
    </w:p>
    <w:p w:rsidR="00000000" w:rsidRDefault="004D2F83" w:rsidP="004D2F83">
      <w:pPr>
        <w:spacing w:after="240" w:line="360" w:lineRule="exact"/>
        <w:ind w:firstLineChars="200" w:firstLine="31680"/>
        <w:rPr>
          <w:rFonts w:hint="eastAsia"/>
        </w:rPr>
      </w:pPr>
      <w:r>
        <w:rPr>
          <w:rFonts w:hint="eastAsia"/>
        </w:rPr>
        <w:t>关于全国加强家庭农业方案的受益者情况，到</w:t>
      </w:r>
      <w:r>
        <w:rPr>
          <w:rFonts w:hint="eastAsia"/>
        </w:rPr>
        <w:t>1999</w:t>
      </w:r>
      <w:r>
        <w:rPr>
          <w:rFonts w:hint="eastAsia"/>
        </w:rPr>
        <w:t>年底，全部受益者中只有</w:t>
      </w:r>
      <w:r>
        <w:rPr>
          <w:rFonts w:hint="eastAsia"/>
        </w:rPr>
        <w:t>7%</w:t>
      </w:r>
      <w:r>
        <w:rPr>
          <w:rFonts w:hint="eastAsia"/>
        </w:rPr>
        <w:t>是妇女。这一比率预计将因农业发展部第</w:t>
      </w:r>
      <w:r>
        <w:rPr>
          <w:rFonts w:hint="eastAsia"/>
        </w:rPr>
        <w:t>121</w:t>
      </w:r>
      <w:r>
        <w:rPr>
          <w:rFonts w:hint="eastAsia"/>
        </w:rPr>
        <w:t>号行政裁定而大幅上升，</w:t>
      </w:r>
      <w:r>
        <w:rPr>
          <w:rFonts w:hint="eastAsia"/>
        </w:rPr>
        <w:t>2001</w:t>
      </w:r>
      <w:r>
        <w:rPr>
          <w:rFonts w:hint="eastAsia"/>
        </w:rPr>
        <w:t>年，该裁定规定，全国加强家庭农业方案的基金中应专门拨出</w:t>
      </w:r>
      <w:r>
        <w:rPr>
          <w:rFonts w:hint="eastAsia"/>
        </w:rPr>
        <w:t>30%</w:t>
      </w:r>
      <w:r>
        <w:rPr>
          <w:rFonts w:hint="eastAsia"/>
        </w:rPr>
        <w:t>用于面向农村妇女的行动。</w:t>
      </w:r>
    </w:p>
    <w:p w:rsidR="00000000" w:rsidRDefault="004D2F83" w:rsidP="004D2F83">
      <w:pPr>
        <w:spacing w:after="240" w:line="360" w:lineRule="exact"/>
        <w:ind w:firstLineChars="200" w:firstLine="31680"/>
        <w:rPr>
          <w:rFonts w:hint="eastAsia"/>
        </w:rPr>
      </w:pPr>
      <w:r>
        <w:rPr>
          <w:rFonts w:hint="eastAsia"/>
        </w:rPr>
        <w:t>此外，如上所述，</w:t>
      </w:r>
      <w:r>
        <w:rPr>
          <w:rFonts w:hint="eastAsia"/>
        </w:rPr>
        <w:t>2000</w:t>
      </w:r>
      <w:r>
        <w:rPr>
          <w:rFonts w:hint="eastAsia"/>
        </w:rPr>
        <w:t>年</w:t>
      </w:r>
      <w:r>
        <w:rPr>
          <w:rFonts w:hint="eastAsia"/>
        </w:rPr>
        <w:t>10</w:t>
      </w:r>
      <w:r>
        <w:rPr>
          <w:rFonts w:hint="eastAsia"/>
        </w:rPr>
        <w:t>月，土地改革部将其微额信贷额度的</w:t>
      </w:r>
      <w:r>
        <w:rPr>
          <w:rFonts w:hint="eastAsia"/>
        </w:rPr>
        <w:t>30%</w:t>
      </w:r>
      <w:r>
        <w:rPr>
          <w:rFonts w:hint="eastAsia"/>
        </w:rPr>
        <w:t>专门拨给巴西东北部地区的农村妇女。</w:t>
      </w:r>
    </w:p>
    <w:p w:rsidR="00000000" w:rsidRDefault="004D2F83" w:rsidP="004D2F83">
      <w:pPr>
        <w:spacing w:after="240" w:line="360" w:lineRule="exact"/>
        <w:ind w:firstLineChars="200" w:firstLine="31680"/>
        <w:rPr>
          <w:rFonts w:hint="eastAsia"/>
        </w:rPr>
      </w:pPr>
      <w:r>
        <w:rPr>
          <w:rFonts w:hint="eastAsia"/>
        </w:rPr>
        <w:t>尽管做了这些努力，但落实《消除对妇女一切形</w:t>
      </w:r>
      <w:r>
        <w:rPr>
          <w:rFonts w:hint="eastAsia"/>
        </w:rPr>
        <w:t>式歧视公约》第</w:t>
      </w:r>
      <w:r>
        <w:rPr>
          <w:rFonts w:hint="eastAsia"/>
        </w:rPr>
        <w:t>14</w:t>
      </w:r>
      <w:r>
        <w:rPr>
          <w:rFonts w:hint="eastAsia"/>
        </w:rPr>
        <w:t>条仍遇到许多障碍。这些障碍应该在所有拉丁美洲国家长期以来所特有的经济发展模式上来理解，这就是偏向城市地区、损害农村地区。</w:t>
      </w:r>
    </w:p>
    <w:p w:rsidR="00000000" w:rsidRDefault="004D2F83" w:rsidP="004D2F83">
      <w:pPr>
        <w:spacing w:after="240" w:line="360" w:lineRule="exact"/>
        <w:ind w:firstLineChars="200" w:firstLine="31680"/>
        <w:rPr>
          <w:rFonts w:hint="eastAsia"/>
        </w:rPr>
      </w:pPr>
      <w:r>
        <w:rPr>
          <w:rFonts w:hint="eastAsia"/>
        </w:rPr>
        <w:t>此外，在农村地区，两性不平等现象因严厉的传统观念而加剧，这实际上确保男子有更多的权利，尽管法律上保障男女享有平等的权利和义务。</w:t>
      </w:r>
    </w:p>
    <w:p w:rsidR="00000000" w:rsidRDefault="004D2F83" w:rsidP="004D2F83">
      <w:pPr>
        <w:spacing w:after="240" w:line="360" w:lineRule="exact"/>
        <w:ind w:firstLineChars="200" w:firstLine="31680"/>
        <w:rPr>
          <w:rFonts w:hint="eastAsia"/>
        </w:rPr>
      </w:pPr>
      <w:r>
        <w:rPr>
          <w:rFonts w:hint="eastAsia"/>
        </w:rPr>
        <w:t>在</w:t>
      </w:r>
      <w:r>
        <w:rPr>
          <w:rFonts w:hint="eastAsia"/>
        </w:rPr>
        <w:t>1988</w:t>
      </w:r>
      <w:r>
        <w:rPr>
          <w:rFonts w:hint="eastAsia"/>
        </w:rPr>
        <w:t>年《宪法》颁布之前，早就有了使男女在家庭关系中的等级制度合法化的民法，这种等级制度深深地打上了巴西社会思维和行为模式的烙印。这种等级制度存在于人们的头脑和法院判决中，并且对妇女不利。</w:t>
      </w:r>
      <w:r>
        <w:t>Pimentel</w:t>
      </w:r>
      <w:r>
        <w:rPr>
          <w:rFonts w:hint="eastAsia"/>
        </w:rPr>
        <w:t>（</w:t>
      </w:r>
      <w:r>
        <w:rPr>
          <w:rFonts w:hint="eastAsia"/>
        </w:rPr>
        <w:t>1997</w:t>
      </w:r>
      <w:r>
        <w:rPr>
          <w:rFonts w:hint="eastAsia"/>
        </w:rPr>
        <w:t>年）、</w:t>
      </w:r>
      <w:r>
        <w:t>Hermann</w:t>
      </w:r>
      <w:r>
        <w:rPr>
          <w:rFonts w:hint="eastAsia"/>
        </w:rPr>
        <w:t>和</w:t>
      </w:r>
      <w:r>
        <w:t>Ba</w:t>
      </w:r>
      <w:r>
        <w:t>rsted</w:t>
      </w:r>
      <w:r>
        <w:rPr>
          <w:rFonts w:hint="eastAsia"/>
        </w:rPr>
        <w:t>（</w:t>
      </w:r>
      <w:r>
        <w:rPr>
          <w:rFonts w:hint="eastAsia"/>
        </w:rPr>
        <w:t>1995</w:t>
      </w:r>
      <w:r>
        <w:rPr>
          <w:rFonts w:hint="eastAsia"/>
        </w:rPr>
        <w:t>年）、</w:t>
      </w:r>
      <w:r>
        <w:t>Pereira</w:t>
      </w:r>
      <w:r>
        <w:rPr>
          <w:rFonts w:hint="eastAsia"/>
        </w:rPr>
        <w:t>（</w:t>
      </w:r>
      <w:r>
        <w:t>2000</w:t>
      </w:r>
      <w:r>
        <w:rPr>
          <w:rFonts w:hint="eastAsia"/>
        </w:rPr>
        <w:t>年）等作者在分析司法程序时，揭露一些判决存在偏见并重申等级制度不再为法律所接受。因此，在某些情况下，社会对性别角色的评述比关于平等的法律裁决更有效。</w:t>
      </w:r>
    </w:p>
    <w:p w:rsidR="00000000" w:rsidRDefault="004D2F83" w:rsidP="004D2F83">
      <w:pPr>
        <w:spacing w:after="240" w:line="360" w:lineRule="exact"/>
        <w:ind w:firstLineChars="200" w:firstLine="31680"/>
        <w:rPr>
          <w:rFonts w:hint="eastAsia"/>
        </w:rPr>
      </w:pPr>
      <w:r>
        <w:rPr>
          <w:rFonts w:hint="eastAsia"/>
        </w:rPr>
        <w:t>M</w:t>
      </w:r>
      <w:r>
        <w:t>oura</w:t>
      </w:r>
      <w:r>
        <w:rPr>
          <w:rFonts w:hint="eastAsia"/>
        </w:rPr>
        <w:t>（</w:t>
      </w:r>
      <w:r>
        <w:rPr>
          <w:rFonts w:hint="eastAsia"/>
        </w:rPr>
        <w:t>1976</w:t>
      </w:r>
      <w:r>
        <w:rPr>
          <w:rFonts w:hint="eastAsia"/>
        </w:rPr>
        <w:t>年）和</w:t>
      </w:r>
      <w:r>
        <w:t>Carneiro</w:t>
      </w:r>
      <w:r>
        <w:rPr>
          <w:rFonts w:hint="eastAsia"/>
        </w:rPr>
        <w:t>（</w:t>
      </w:r>
      <w:r>
        <w:rPr>
          <w:rFonts w:hint="eastAsia"/>
        </w:rPr>
        <w:t>1996</w:t>
      </w:r>
      <w:r>
        <w:rPr>
          <w:rFonts w:hint="eastAsia"/>
        </w:rPr>
        <w:t>年）等人通过明确或暗示地列入性别观点所进行的开拓性研究表明，按等级划分惯有权利仍然大行其道，这种做法维护了男子在土地继承和所有制等事项上的“天然”特权。</w:t>
      </w:r>
    </w:p>
    <w:p w:rsidR="00000000" w:rsidRDefault="004D2F83" w:rsidP="004D2F83">
      <w:pPr>
        <w:spacing w:after="240" w:line="360" w:lineRule="exact"/>
        <w:ind w:firstLineChars="200" w:firstLine="31680"/>
        <w:rPr>
          <w:rFonts w:hint="eastAsia"/>
        </w:rPr>
      </w:pPr>
      <w:r>
        <w:rPr>
          <w:rFonts w:hint="eastAsia"/>
        </w:rPr>
        <w:t>某些政府雇员没有按照《联邦宪法》第</w:t>
      </w:r>
      <w:r>
        <w:rPr>
          <w:rFonts w:hint="eastAsia"/>
        </w:rPr>
        <w:t>226</w:t>
      </w:r>
      <w:r>
        <w:rPr>
          <w:rFonts w:hint="eastAsia"/>
        </w:rPr>
        <w:t>条第</w:t>
      </w:r>
      <w:r>
        <w:rPr>
          <w:rFonts w:hint="eastAsia"/>
        </w:rPr>
        <w:t>5</w:t>
      </w:r>
      <w:r>
        <w:rPr>
          <w:rFonts w:hint="eastAsia"/>
        </w:rPr>
        <w:t>款的规定行事，该条规定男女双方平等地享有婚姻家庭中的权利和义</w:t>
      </w:r>
      <w:r>
        <w:rPr>
          <w:rFonts w:hint="eastAsia"/>
        </w:rPr>
        <w:t>务，从而消除了家庭中的权力等级制。但是，直到不久以前，几份官方文件，包括全国定居和土地改革研究所范围内的文件仍然使用“户主”等词语来描述土地改革中的地契持有人。</w:t>
      </w:r>
    </w:p>
    <w:p w:rsidR="00000000" w:rsidRDefault="004D2F83" w:rsidP="004D2F83">
      <w:pPr>
        <w:spacing w:after="240" w:line="360" w:lineRule="exact"/>
        <w:ind w:firstLineChars="200" w:firstLine="31680"/>
        <w:rPr>
          <w:rFonts w:hint="eastAsia"/>
        </w:rPr>
      </w:pPr>
      <w:r>
        <w:rPr>
          <w:rFonts w:hint="eastAsia"/>
        </w:rPr>
        <w:t>立法中使用诸如“他”等代词来代指男子和妇女，在执行保障权利的规定方面伤害了后者。例如，</w:t>
      </w:r>
      <w:r>
        <w:rPr>
          <w:rFonts w:hint="eastAsia"/>
        </w:rPr>
        <w:t>2000</w:t>
      </w:r>
      <w:r>
        <w:rPr>
          <w:rFonts w:hint="eastAsia"/>
        </w:rPr>
        <w:t>年第</w:t>
      </w:r>
      <w:r>
        <w:t>3</w:t>
      </w:r>
      <w:r>
        <w:rPr>
          <w:rFonts w:hint="eastAsia"/>
        </w:rPr>
        <w:t xml:space="preserve"> </w:t>
      </w:r>
      <w:r>
        <w:t>475</w:t>
      </w:r>
      <w:r>
        <w:rPr>
          <w:rFonts w:hint="eastAsia"/>
        </w:rPr>
        <w:t>号法令保留了代词“他”，规定：</w:t>
      </w:r>
    </w:p>
    <w:p w:rsidR="00000000" w:rsidRDefault="004D2F83" w:rsidP="004D2F83">
      <w:pPr>
        <w:spacing w:after="240" w:line="360" w:lineRule="exact"/>
        <w:ind w:firstLineChars="171" w:firstLine="31680"/>
        <w:rPr>
          <w:rFonts w:ascii="KaiTi_GB2312" w:eastAsia="KaiTi_GB2312" w:hint="eastAsia"/>
        </w:rPr>
      </w:pPr>
      <w:r>
        <w:rPr>
          <w:rFonts w:ascii="KaiTi_GB2312" w:eastAsia="KaiTi_GB2312" w:hint="eastAsia"/>
        </w:rPr>
        <w:t>第</w:t>
      </w:r>
      <w:r>
        <w:rPr>
          <w:rFonts w:ascii="KaiTi_GB2312" w:eastAsia="KaiTi_GB2312" w:hint="eastAsia"/>
        </w:rPr>
        <w:t>5</w:t>
      </w:r>
      <w:r>
        <w:rPr>
          <w:rFonts w:ascii="KaiTi_GB2312" w:eastAsia="KaiTi_GB2312" w:hint="eastAsia"/>
        </w:rPr>
        <w:t>条</w:t>
      </w:r>
      <w:r>
        <w:rPr>
          <w:rFonts w:ascii="KaiTi_GB2312" w:eastAsia="KaiTi_GB2312" w:hint="eastAsia"/>
        </w:rPr>
        <w:t xml:space="preserve">  </w:t>
      </w:r>
      <w:r>
        <w:rPr>
          <w:rFonts w:ascii="KaiTi_GB2312" w:eastAsia="KaiTi_GB2312" w:hint="eastAsia"/>
        </w:rPr>
        <w:t>下列人士可向土地银行申请贷款融资：</w:t>
      </w:r>
    </w:p>
    <w:p w:rsidR="00000000" w:rsidRDefault="004D2F83" w:rsidP="004D2F83">
      <w:pPr>
        <w:spacing w:after="240" w:line="360" w:lineRule="exact"/>
        <w:ind w:leftChars="200" w:left="31680" w:hangingChars="200" w:firstLine="31680"/>
        <w:rPr>
          <w:rFonts w:ascii="KaiTi_GB2312" w:eastAsia="KaiTi_GB2312" w:hint="eastAsia"/>
        </w:rPr>
      </w:pPr>
      <w:r>
        <w:rPr>
          <w:rFonts w:ascii="KaiTi_GB2312" w:eastAsia="KaiTi_GB2312" w:hint="eastAsia"/>
        </w:rPr>
        <w:t>一．除地主之外的农村劳动者，特别是工资劳动者、合伙人、拥有土地的人和租户，只要证明</w:t>
      </w:r>
      <w:r>
        <w:rPr>
          <w:rFonts w:ascii="KaiTi_GB2312" w:eastAsia="KaiTi_GB2312" w:hint="eastAsia"/>
          <w:u w:val="single"/>
        </w:rPr>
        <w:t>他</w:t>
      </w:r>
      <w:r>
        <w:rPr>
          <w:rFonts w:ascii="KaiTi_GB2312" w:eastAsia="KaiTi_GB2312" w:hint="eastAsia"/>
        </w:rPr>
        <w:t>至少有五年在农村部门的经历；</w:t>
      </w:r>
    </w:p>
    <w:p w:rsidR="00000000" w:rsidRDefault="004D2F83" w:rsidP="004D2F83">
      <w:pPr>
        <w:spacing w:after="240" w:line="360" w:lineRule="exact"/>
        <w:ind w:leftChars="200" w:left="31680" w:hangingChars="200" w:firstLine="31680"/>
        <w:rPr>
          <w:rFonts w:ascii="KaiTi_GB2312" w:eastAsia="KaiTi_GB2312" w:hint="eastAsia"/>
        </w:rPr>
      </w:pPr>
      <w:r>
        <w:rPr>
          <w:rFonts w:ascii="KaiTi_GB2312" w:eastAsia="KaiTi_GB2312" w:hint="eastAsia"/>
        </w:rPr>
        <w:t>二．按照</w:t>
      </w:r>
      <w:r>
        <w:rPr>
          <w:rFonts w:ascii="KaiTi_GB2312" w:eastAsia="KaiTi_GB2312" w:hint="eastAsia"/>
        </w:rPr>
        <w:t>1964</w:t>
      </w:r>
      <w:r>
        <w:rPr>
          <w:rFonts w:ascii="KaiTi_GB2312" w:eastAsia="KaiTi_GB2312" w:hint="eastAsia"/>
        </w:rPr>
        <w:t>年</w:t>
      </w:r>
      <w:r>
        <w:rPr>
          <w:rFonts w:ascii="KaiTi_GB2312" w:eastAsia="KaiTi_GB2312" w:hint="eastAsia"/>
        </w:rPr>
        <w:t>11</w:t>
      </w:r>
      <w:r>
        <w:rPr>
          <w:rFonts w:ascii="KaiTi_GB2312" w:eastAsia="KaiTi_GB2312" w:hint="eastAsia"/>
        </w:rPr>
        <w:t>月</w:t>
      </w:r>
      <w:r>
        <w:rPr>
          <w:rFonts w:ascii="KaiTi_GB2312" w:eastAsia="KaiTi_GB2312" w:hint="eastAsia"/>
        </w:rPr>
        <w:t>30</w:t>
      </w:r>
      <w:r>
        <w:rPr>
          <w:rFonts w:ascii="KaiTi_GB2312" w:eastAsia="KaiTi_GB2312" w:hint="eastAsia"/>
        </w:rPr>
        <w:t>日第</w:t>
      </w:r>
      <w:r>
        <w:rPr>
          <w:rFonts w:ascii="KaiTi_GB2312" w:eastAsia="KaiTi_GB2312"/>
        </w:rPr>
        <w:t>4</w:t>
      </w:r>
      <w:r>
        <w:rPr>
          <w:rFonts w:ascii="KaiTi_GB2312" w:eastAsia="KaiTi_GB2312" w:hint="eastAsia"/>
        </w:rPr>
        <w:t xml:space="preserve"> </w:t>
      </w:r>
      <w:r>
        <w:rPr>
          <w:rFonts w:ascii="KaiTi_GB2312" w:eastAsia="KaiTi_GB2312"/>
        </w:rPr>
        <w:t>504</w:t>
      </w:r>
      <w:r>
        <w:rPr>
          <w:rFonts w:ascii="KaiTi_GB2312" w:eastAsia="KaiTi_GB2312" w:hint="eastAsia"/>
        </w:rPr>
        <w:t>号法律第</w:t>
      </w:r>
      <w:r>
        <w:rPr>
          <w:rFonts w:ascii="KaiTi_GB2312" w:eastAsia="KaiTi_GB2312" w:hint="eastAsia"/>
        </w:rPr>
        <w:t>4</w:t>
      </w:r>
      <w:r>
        <w:rPr>
          <w:rFonts w:ascii="KaiTi_GB2312" w:eastAsia="KaiTi_GB2312" w:hint="eastAsia"/>
        </w:rPr>
        <w:t>条第</w:t>
      </w:r>
      <w:r>
        <w:rPr>
          <w:rFonts w:ascii="KaiTi_GB2312" w:eastAsia="KaiTi_GB2312" w:hint="eastAsia"/>
        </w:rPr>
        <w:t>4</w:t>
      </w:r>
      <w:r>
        <w:rPr>
          <w:rFonts w:ascii="KaiTi_GB2312" w:eastAsia="KaiTi_GB2312" w:hint="eastAsia"/>
        </w:rPr>
        <w:t>项的规定，不动产不超过家产规模且不足以养活</w:t>
      </w:r>
      <w:r>
        <w:rPr>
          <w:rFonts w:ascii="KaiTi_GB2312" w:eastAsia="KaiTi_GB2312" w:hint="eastAsia"/>
          <w:u w:val="single"/>
        </w:rPr>
        <w:t>他</w:t>
      </w:r>
      <w:r>
        <w:rPr>
          <w:rFonts w:ascii="KaiTi_GB2312" w:eastAsia="KaiTi_GB2312" w:hint="eastAsia"/>
        </w:rPr>
        <w:t>本人或养活</w:t>
      </w:r>
      <w:r>
        <w:rPr>
          <w:rFonts w:ascii="KaiTi_GB2312" w:eastAsia="KaiTi_GB2312" w:hint="eastAsia"/>
          <w:u w:val="single"/>
        </w:rPr>
        <w:t>他的</w:t>
      </w:r>
      <w:r>
        <w:rPr>
          <w:rFonts w:ascii="KaiTi_GB2312" w:eastAsia="KaiTi_GB2312" w:hint="eastAsia"/>
        </w:rPr>
        <w:t>家庭的农民；</w:t>
      </w:r>
    </w:p>
    <w:p w:rsidR="00000000" w:rsidRDefault="004D2F83" w:rsidP="004D2F83">
      <w:pPr>
        <w:pStyle w:val="BodyTextIndent"/>
        <w:ind w:firstLineChars="200" w:firstLine="31680"/>
        <w:rPr>
          <w:rFonts w:hint="eastAsia"/>
        </w:rPr>
      </w:pPr>
      <w:r>
        <w:rPr>
          <w:rFonts w:hint="eastAsia"/>
        </w:rPr>
        <w:t>因此，立法中不仅保留了代词“他”来代指男子和妇女，而且还列入了农村男性劳动者比女性劳动者更容易达到的要求，例如证明一直在从事农业活动。</w:t>
      </w:r>
    </w:p>
    <w:p w:rsidR="00000000" w:rsidRDefault="004D2F83" w:rsidP="004D2F83">
      <w:pPr>
        <w:pStyle w:val="BodyTextIndent"/>
        <w:ind w:firstLineChars="200" w:firstLine="31680"/>
        <w:rPr>
          <w:rFonts w:hint="eastAsia"/>
        </w:rPr>
      </w:pPr>
      <w:r>
        <w:rPr>
          <w:rFonts w:hint="eastAsia"/>
        </w:rPr>
        <w:t>同一法令第</w:t>
      </w:r>
      <w:r>
        <w:rPr>
          <w:rFonts w:hint="eastAsia"/>
        </w:rPr>
        <w:t>8</w:t>
      </w:r>
      <w:r>
        <w:rPr>
          <w:rFonts w:hint="eastAsia"/>
        </w:rPr>
        <w:t>条还规定：</w:t>
      </w:r>
    </w:p>
    <w:p w:rsidR="00000000" w:rsidRDefault="004D2F83" w:rsidP="004D2F83">
      <w:pPr>
        <w:pStyle w:val="BodyTextIndent"/>
        <w:ind w:firstLineChars="200" w:firstLine="31680"/>
        <w:rPr>
          <w:rFonts w:ascii="KaiTi_GB2312" w:eastAsia="KaiTi_GB2312" w:hint="eastAsia"/>
        </w:rPr>
      </w:pPr>
      <w:r>
        <w:rPr>
          <w:rFonts w:ascii="KaiTi_GB2312" w:eastAsia="KaiTi_GB2312" w:hint="eastAsia"/>
        </w:rPr>
        <w:t>第</w:t>
      </w:r>
      <w:r>
        <w:rPr>
          <w:rFonts w:ascii="KaiTi_GB2312" w:eastAsia="KaiTi_GB2312" w:hint="eastAsia"/>
        </w:rPr>
        <w:t>8</w:t>
      </w:r>
      <w:r>
        <w:rPr>
          <w:rFonts w:ascii="KaiTi_GB2312" w:eastAsia="KaiTi_GB2312" w:hint="eastAsia"/>
        </w:rPr>
        <w:t>条</w:t>
      </w:r>
      <w:r>
        <w:rPr>
          <w:rFonts w:ascii="KaiTi_GB2312" w:eastAsia="KaiTi_GB2312" w:hint="eastAsia"/>
        </w:rPr>
        <w:t xml:space="preserve"> </w:t>
      </w:r>
      <w:r>
        <w:rPr>
          <w:rFonts w:ascii="KaiTi_GB2312" w:eastAsia="KaiTi_GB2312" w:hint="eastAsia"/>
        </w:rPr>
        <w:t>下列人不得向土地银行申请贷款的融资：</w:t>
      </w:r>
    </w:p>
    <w:p w:rsidR="00000000" w:rsidRDefault="004D2F83" w:rsidP="004D2F83">
      <w:pPr>
        <w:pStyle w:val="BodyTextIndent"/>
        <w:ind w:firstLineChars="200" w:firstLine="31680"/>
        <w:rPr>
          <w:rFonts w:ascii="KaiTi_GB2312" w:eastAsia="KaiTi_GB2312" w:hint="eastAsia"/>
        </w:rPr>
      </w:pPr>
      <w:r>
        <w:rPr>
          <w:rFonts w:ascii="KaiTi_GB2312" w:eastAsia="KaiTi_GB2312" w:hint="eastAsia"/>
        </w:rPr>
        <w:t>二．已从任何农村定居项目中及其配偶身上获益的人。</w:t>
      </w:r>
    </w:p>
    <w:p w:rsidR="00000000" w:rsidRDefault="004D2F83" w:rsidP="004D2F83">
      <w:pPr>
        <w:pStyle w:val="BodyTextIndent"/>
        <w:ind w:firstLineChars="200" w:firstLine="31680"/>
        <w:rPr>
          <w:rFonts w:hint="eastAsia"/>
        </w:rPr>
      </w:pPr>
      <w:r>
        <w:rPr>
          <w:rFonts w:hint="eastAsia"/>
        </w:rPr>
        <w:t>由于男子更容易获得信贷，所以妇女以配偶身份获得此项福利的可能性实际上减少了。</w:t>
      </w:r>
    </w:p>
    <w:p w:rsidR="00000000" w:rsidRDefault="004D2F83" w:rsidP="004D2F83">
      <w:pPr>
        <w:pStyle w:val="BodyTextIndent"/>
        <w:ind w:firstLineChars="200" w:firstLine="31680"/>
        <w:rPr>
          <w:rFonts w:hint="eastAsia"/>
        </w:rPr>
      </w:pPr>
      <w:r>
        <w:rPr>
          <w:rFonts w:hint="eastAsia"/>
        </w:rPr>
        <w:t>除了繁复的官僚手续外，妇女因缺乏与金融和行政机构打交道的社交能力而受阻。反过来，这些机构也难以与申</w:t>
      </w:r>
      <w:r>
        <w:rPr>
          <w:rFonts w:hint="eastAsia"/>
        </w:rPr>
        <w:t>请信贷或谋取专业资格的妇女打交道，以至于在许多情况下它们仍将男子视为唯一的户主和土地所有者。这一事实部分说明了妇女占土地改革计划或信贷和农村资格方案受益者的比率非常低（</w:t>
      </w:r>
      <w:r>
        <w:t>12%</w:t>
      </w:r>
      <w:r>
        <w:rPr>
          <w:rFonts w:hint="eastAsia"/>
        </w:rPr>
        <w:t>）的原因。此外，缺乏财务计划、资金管理和贸易方面的培训，加上外界歧视机制（包括家庭方面的机制）等等，都成为充分执行《消除对妇女一切形式歧视公约》第</w:t>
      </w:r>
      <w:r>
        <w:rPr>
          <w:rFonts w:hint="eastAsia"/>
        </w:rPr>
        <w:t>14</w:t>
      </w:r>
      <w:r>
        <w:rPr>
          <w:rFonts w:hint="eastAsia"/>
        </w:rPr>
        <w:t>条需要消除的其他障碍。</w:t>
      </w:r>
    </w:p>
    <w:p w:rsidR="00000000" w:rsidRDefault="004D2F83">
      <w:pPr>
        <w:spacing w:line="360" w:lineRule="exact"/>
        <w:jc w:val="center"/>
        <w:rPr>
          <w:b/>
          <w:bCs/>
          <w:sz w:val="28"/>
        </w:rPr>
      </w:pPr>
      <w:r>
        <w:rPr>
          <w:b/>
          <w:bCs/>
          <w:sz w:val="28"/>
        </w:rPr>
        <w:br w:type="page"/>
      </w:r>
    </w:p>
    <w:p w:rsidR="00000000" w:rsidRDefault="004D2F83">
      <w:pPr>
        <w:pStyle w:val="Heading3"/>
        <w:numPr>
          <w:ilvl w:val="0"/>
          <w:numId w:val="0"/>
        </w:numPr>
        <w:spacing w:before="0"/>
        <w:jc w:val="center"/>
        <w:rPr>
          <w:rFonts w:ascii="KaiTi_GB2312" w:eastAsia="KaiTi_GB2312" w:hint="eastAsia"/>
          <w:b/>
          <w:bCs/>
          <w:u w:val="none"/>
        </w:rPr>
      </w:pPr>
      <w:bookmarkStart w:id="21" w:name="_Toc36367091"/>
      <w:r>
        <w:rPr>
          <w:rFonts w:ascii="KaiTi_GB2312" w:eastAsia="KaiTi_GB2312" w:hint="eastAsia"/>
          <w:b/>
          <w:bCs/>
          <w:u w:val="none"/>
        </w:rPr>
        <w:t>第</w:t>
      </w:r>
      <w:r>
        <w:rPr>
          <w:rFonts w:ascii="KaiTi_GB2312" w:eastAsia="KaiTi_GB2312" w:hint="eastAsia"/>
          <w:b/>
          <w:bCs/>
          <w:u w:val="none"/>
        </w:rPr>
        <w:t>15</w:t>
      </w:r>
      <w:r>
        <w:rPr>
          <w:rFonts w:ascii="KaiTi_GB2312" w:eastAsia="KaiTi_GB2312" w:hint="eastAsia"/>
          <w:b/>
          <w:bCs/>
          <w:u w:val="none"/>
        </w:rPr>
        <w:t>条</w:t>
      </w:r>
      <w:bookmarkEnd w:id="21"/>
    </w:p>
    <w:p w:rsidR="00000000" w:rsidRDefault="004D2F83" w:rsidP="004D2F83">
      <w:pPr>
        <w:spacing w:after="240" w:line="360" w:lineRule="exact"/>
        <w:ind w:left="31680" w:hangingChars="200" w:firstLine="31680"/>
        <w:rPr>
          <w:rFonts w:ascii="KaiTi_GB2312" w:eastAsia="KaiTi_GB2312" w:hint="eastAsia"/>
          <w:b/>
          <w:bCs/>
        </w:rPr>
      </w:pPr>
      <w:r>
        <w:rPr>
          <w:rFonts w:ascii="KaiTi_GB2312" w:eastAsia="KaiTi_GB2312" w:hint="eastAsia"/>
          <w:b/>
          <w:bCs/>
        </w:rPr>
        <w:t>1</w:t>
      </w:r>
      <w:r>
        <w:rPr>
          <w:rFonts w:ascii="KaiTi_GB2312" w:eastAsia="KaiTi_GB2312" w:hint="eastAsia"/>
          <w:b/>
          <w:bCs/>
        </w:rPr>
        <w:t>．</w:t>
      </w:r>
      <w:r>
        <w:rPr>
          <w:rFonts w:ascii="KaiTi_GB2312" w:eastAsia="KaiTi_GB2312"/>
          <w:b/>
          <w:bCs/>
        </w:rPr>
        <w:tab/>
      </w:r>
      <w:r>
        <w:rPr>
          <w:rFonts w:ascii="KaiTi_GB2312" w:eastAsia="KaiTi_GB2312" w:hint="eastAsia"/>
          <w:b/>
          <w:bCs/>
        </w:rPr>
        <w:t>缔约各国给予男女在法律面前平等的地位。</w:t>
      </w:r>
    </w:p>
    <w:p w:rsidR="00000000" w:rsidRDefault="004D2F83" w:rsidP="004D2F83">
      <w:pPr>
        <w:spacing w:after="240" w:line="360" w:lineRule="exact"/>
        <w:ind w:left="31680" w:hangingChars="200" w:firstLine="31680"/>
        <w:rPr>
          <w:rFonts w:ascii="KaiTi_GB2312" w:eastAsia="KaiTi_GB2312" w:hint="eastAsia"/>
          <w:b/>
          <w:bCs/>
        </w:rPr>
      </w:pPr>
      <w:r>
        <w:rPr>
          <w:rFonts w:ascii="KaiTi_GB2312" w:eastAsia="KaiTi_GB2312" w:hint="eastAsia"/>
          <w:b/>
          <w:bCs/>
        </w:rPr>
        <w:t>2</w:t>
      </w:r>
      <w:r>
        <w:rPr>
          <w:rFonts w:ascii="KaiTi_GB2312" w:eastAsia="KaiTi_GB2312" w:hint="eastAsia"/>
          <w:b/>
          <w:bCs/>
        </w:rPr>
        <w:t>．</w:t>
      </w:r>
      <w:r>
        <w:rPr>
          <w:rFonts w:ascii="KaiTi_GB2312" w:eastAsia="KaiTi_GB2312"/>
          <w:b/>
          <w:bCs/>
        </w:rPr>
        <w:tab/>
      </w:r>
      <w:r>
        <w:rPr>
          <w:rFonts w:ascii="KaiTi_GB2312" w:eastAsia="KaiTi_GB2312" w:hint="eastAsia"/>
          <w:b/>
          <w:bCs/>
        </w:rPr>
        <w:t>缔约各国应在公民事务上，给予妇女与男子平等的法律行为能力，以及行使这种行为能力的相同机会。特别应给</w:t>
      </w:r>
      <w:r>
        <w:rPr>
          <w:rFonts w:ascii="KaiTi_GB2312" w:eastAsia="KaiTi_GB2312" w:hint="eastAsia"/>
          <w:b/>
          <w:bCs/>
        </w:rPr>
        <w:t>予妇女签订合同和管理财产的平等权利，并在法院和法庭诉讼的各个阶段给予平等待遇。</w:t>
      </w:r>
    </w:p>
    <w:p w:rsidR="00000000" w:rsidRDefault="004D2F83" w:rsidP="004D2F83">
      <w:pPr>
        <w:spacing w:after="240" w:line="360" w:lineRule="exact"/>
        <w:ind w:left="31680" w:hangingChars="200" w:firstLine="31680"/>
        <w:rPr>
          <w:rFonts w:ascii="KaiTi_GB2312" w:eastAsia="KaiTi_GB2312" w:hint="eastAsia"/>
          <w:b/>
          <w:bCs/>
        </w:rPr>
      </w:pPr>
      <w:r>
        <w:rPr>
          <w:rFonts w:ascii="KaiTi_GB2312" w:eastAsia="KaiTi_GB2312" w:hint="eastAsia"/>
          <w:b/>
          <w:bCs/>
        </w:rPr>
        <w:t>3</w:t>
      </w:r>
      <w:r>
        <w:rPr>
          <w:rFonts w:ascii="KaiTi_GB2312" w:eastAsia="KaiTi_GB2312" w:hint="eastAsia"/>
          <w:b/>
          <w:bCs/>
        </w:rPr>
        <w:t>．</w:t>
      </w:r>
      <w:r>
        <w:rPr>
          <w:rFonts w:ascii="KaiTi_GB2312" w:eastAsia="KaiTi_GB2312"/>
          <w:b/>
          <w:bCs/>
        </w:rPr>
        <w:tab/>
      </w:r>
      <w:r>
        <w:rPr>
          <w:rFonts w:ascii="KaiTi_GB2312" w:eastAsia="KaiTi_GB2312" w:hint="eastAsia"/>
          <w:b/>
          <w:bCs/>
        </w:rPr>
        <w:t>缔约各国同意，旨在限制妇女法律行为能力的所有合同和其他任何具有法律效力的私人文书，应一律视为无效。</w:t>
      </w:r>
    </w:p>
    <w:p w:rsidR="00000000" w:rsidRDefault="004D2F83" w:rsidP="004D2F83">
      <w:pPr>
        <w:spacing w:after="240" w:line="360" w:lineRule="exact"/>
        <w:ind w:left="31680" w:hangingChars="200" w:firstLine="31680"/>
        <w:rPr>
          <w:rFonts w:ascii="KaiTi_GB2312" w:eastAsia="KaiTi_GB2312" w:hint="eastAsia"/>
          <w:b/>
          <w:bCs/>
        </w:rPr>
      </w:pPr>
      <w:r>
        <w:rPr>
          <w:rFonts w:ascii="KaiTi_GB2312" w:eastAsia="KaiTi_GB2312" w:hint="eastAsia"/>
          <w:b/>
          <w:bCs/>
        </w:rPr>
        <w:t>4</w:t>
      </w:r>
      <w:r>
        <w:rPr>
          <w:rFonts w:ascii="KaiTi_GB2312" w:eastAsia="KaiTi_GB2312" w:hint="eastAsia"/>
          <w:b/>
          <w:bCs/>
        </w:rPr>
        <w:t>．</w:t>
      </w:r>
      <w:r>
        <w:rPr>
          <w:rFonts w:ascii="KaiTi_GB2312" w:eastAsia="KaiTi_GB2312"/>
          <w:b/>
          <w:bCs/>
        </w:rPr>
        <w:tab/>
      </w:r>
      <w:r>
        <w:rPr>
          <w:rFonts w:ascii="KaiTi_GB2312" w:eastAsia="KaiTi_GB2312" w:hint="eastAsia"/>
          <w:b/>
          <w:bCs/>
        </w:rPr>
        <w:t>缔约各国在有关人身移动和自由择居的法律方面，应给予男女相同的权利。</w:t>
      </w:r>
    </w:p>
    <w:p w:rsidR="00000000" w:rsidRDefault="004D2F83">
      <w:pPr>
        <w:spacing w:line="360" w:lineRule="exact"/>
        <w:jc w:val="center"/>
        <w:rPr>
          <w:rFonts w:eastAsia="KaiTi_GB2312"/>
          <w:b/>
          <w:bCs/>
          <w:sz w:val="24"/>
        </w:rPr>
      </w:pPr>
      <w:r>
        <w:rPr>
          <w:rFonts w:eastAsia="KaiTi_GB2312"/>
          <w:b/>
          <w:bCs/>
          <w:sz w:val="24"/>
        </w:rPr>
        <w:br w:type="page"/>
      </w:r>
    </w:p>
    <w:p w:rsidR="00000000" w:rsidRDefault="004D2F83">
      <w:pPr>
        <w:pStyle w:val="Heading3"/>
        <w:numPr>
          <w:ilvl w:val="0"/>
          <w:numId w:val="0"/>
        </w:numPr>
        <w:spacing w:before="0"/>
        <w:jc w:val="center"/>
        <w:rPr>
          <w:rFonts w:ascii="KaiTi_GB2312" w:eastAsia="KaiTi_GB2312" w:hint="eastAsia"/>
          <w:b/>
          <w:bCs/>
          <w:u w:val="none"/>
        </w:rPr>
      </w:pPr>
      <w:bookmarkStart w:id="22" w:name="_Toc36367092"/>
      <w:r>
        <w:rPr>
          <w:rFonts w:ascii="KaiTi_GB2312" w:eastAsia="KaiTi_GB2312" w:hint="eastAsia"/>
          <w:b/>
          <w:bCs/>
          <w:u w:val="none"/>
        </w:rPr>
        <w:t>第</w:t>
      </w:r>
      <w:r>
        <w:rPr>
          <w:rFonts w:ascii="KaiTi_GB2312" w:eastAsia="KaiTi_GB2312" w:hint="eastAsia"/>
          <w:b/>
          <w:bCs/>
          <w:u w:val="none"/>
        </w:rPr>
        <w:t>16</w:t>
      </w:r>
      <w:r>
        <w:rPr>
          <w:rFonts w:ascii="KaiTi_GB2312" w:eastAsia="KaiTi_GB2312" w:hint="eastAsia"/>
          <w:b/>
          <w:bCs/>
          <w:u w:val="none"/>
        </w:rPr>
        <w:t>条</w:t>
      </w:r>
      <w:bookmarkEnd w:id="22"/>
    </w:p>
    <w:p w:rsidR="00000000" w:rsidRDefault="004D2F83" w:rsidP="004D2F83">
      <w:pPr>
        <w:spacing w:after="240" w:line="360" w:lineRule="exact"/>
        <w:ind w:left="31680" w:hangingChars="200" w:firstLine="31680"/>
        <w:rPr>
          <w:rFonts w:ascii="KaiTi_GB2312" w:eastAsia="KaiTi_GB2312" w:hint="eastAsia"/>
          <w:b/>
          <w:bCs/>
        </w:rPr>
      </w:pPr>
      <w:r>
        <w:rPr>
          <w:rFonts w:ascii="KaiTi_GB2312" w:eastAsia="KaiTi_GB2312" w:hint="eastAsia"/>
          <w:b/>
          <w:bCs/>
        </w:rPr>
        <w:t>1</w:t>
      </w:r>
      <w:r>
        <w:rPr>
          <w:rFonts w:ascii="KaiTi_GB2312" w:eastAsia="KaiTi_GB2312" w:hint="eastAsia"/>
          <w:b/>
          <w:bCs/>
        </w:rPr>
        <w:t>．</w:t>
      </w:r>
      <w:r>
        <w:rPr>
          <w:rFonts w:ascii="KaiTi_GB2312" w:eastAsia="KaiTi_GB2312"/>
          <w:b/>
          <w:bCs/>
        </w:rPr>
        <w:tab/>
      </w:r>
      <w:r>
        <w:rPr>
          <w:rFonts w:ascii="KaiTi_GB2312" w:eastAsia="KaiTi_GB2312" w:hint="eastAsia"/>
          <w:b/>
          <w:bCs/>
        </w:rPr>
        <w:t>缔约各国应采取一切适当措施，消除在有关婚姻和家庭关系的一切事项上对妇女的歧视，并特别应保证她们在男女平等的基础上：</w:t>
      </w:r>
    </w:p>
    <w:p w:rsidR="00000000" w:rsidRDefault="004D2F83" w:rsidP="004D2F83">
      <w:pPr>
        <w:spacing w:after="240" w:line="360" w:lineRule="exact"/>
        <w:ind w:leftChars="200" w:left="31680" w:hangingChars="200" w:firstLine="31680"/>
        <w:rPr>
          <w:rFonts w:ascii="KaiTi_GB2312" w:eastAsia="KaiTi_GB2312" w:hint="eastAsia"/>
          <w:b/>
          <w:bCs/>
        </w:rPr>
      </w:pPr>
      <w:r>
        <w:rPr>
          <w:rFonts w:ascii="KaiTi_GB2312" w:eastAsia="KaiTi_GB2312"/>
          <w:b/>
          <w:bCs/>
        </w:rPr>
        <w:t>(</w:t>
      </w:r>
      <w:r>
        <w:rPr>
          <w:rFonts w:ascii="KaiTi_GB2312" w:eastAsia="KaiTi_GB2312" w:hint="eastAsia"/>
          <w:b/>
          <w:bCs/>
        </w:rPr>
        <w:t>a</w:t>
      </w:r>
      <w:r>
        <w:rPr>
          <w:rFonts w:ascii="KaiTi_GB2312" w:eastAsia="KaiTi_GB2312"/>
          <w:b/>
          <w:bCs/>
        </w:rPr>
        <w:t>)</w:t>
      </w:r>
      <w:r>
        <w:rPr>
          <w:rFonts w:ascii="KaiTi_GB2312" w:eastAsia="KaiTi_GB2312"/>
          <w:b/>
          <w:bCs/>
        </w:rPr>
        <w:tab/>
      </w:r>
      <w:r>
        <w:rPr>
          <w:rFonts w:ascii="KaiTi_GB2312" w:eastAsia="KaiTi_GB2312" w:hint="eastAsia"/>
          <w:b/>
          <w:bCs/>
        </w:rPr>
        <w:t>有相同的缔婚权利；</w:t>
      </w:r>
    </w:p>
    <w:p w:rsidR="00000000" w:rsidRDefault="004D2F83" w:rsidP="004D2F83">
      <w:pPr>
        <w:spacing w:after="240" w:line="360" w:lineRule="exact"/>
        <w:ind w:leftChars="200" w:left="31680" w:hangingChars="200" w:firstLine="31680"/>
        <w:rPr>
          <w:rFonts w:ascii="KaiTi_GB2312" w:eastAsia="KaiTi_GB2312" w:hint="eastAsia"/>
          <w:b/>
          <w:bCs/>
        </w:rPr>
      </w:pPr>
      <w:r>
        <w:rPr>
          <w:rFonts w:ascii="KaiTi_GB2312" w:eastAsia="KaiTi_GB2312"/>
          <w:b/>
          <w:bCs/>
        </w:rPr>
        <w:t>(</w:t>
      </w:r>
      <w:r>
        <w:rPr>
          <w:rFonts w:ascii="KaiTi_GB2312" w:eastAsia="KaiTi_GB2312" w:hint="eastAsia"/>
          <w:b/>
          <w:bCs/>
        </w:rPr>
        <w:t>b</w:t>
      </w:r>
      <w:r>
        <w:rPr>
          <w:rFonts w:ascii="KaiTi_GB2312" w:eastAsia="KaiTi_GB2312"/>
          <w:b/>
          <w:bCs/>
        </w:rPr>
        <w:t>)</w:t>
      </w:r>
      <w:r>
        <w:rPr>
          <w:rFonts w:ascii="KaiTi_GB2312" w:eastAsia="KaiTi_GB2312"/>
          <w:b/>
          <w:bCs/>
        </w:rPr>
        <w:tab/>
      </w:r>
      <w:r>
        <w:rPr>
          <w:rFonts w:ascii="KaiTi_GB2312" w:eastAsia="KaiTi_GB2312" w:hint="eastAsia"/>
          <w:b/>
          <w:bCs/>
        </w:rPr>
        <w:t>有相同的自由选择配偶和非经本人自由表示、完全同意不缔婚约的权利；</w:t>
      </w:r>
    </w:p>
    <w:p w:rsidR="00000000" w:rsidRDefault="004D2F83" w:rsidP="004D2F83">
      <w:pPr>
        <w:spacing w:after="240" w:line="360" w:lineRule="exact"/>
        <w:ind w:leftChars="200" w:left="31680" w:hangingChars="200" w:firstLine="31680"/>
        <w:rPr>
          <w:rFonts w:ascii="KaiTi_GB2312" w:eastAsia="KaiTi_GB2312" w:hint="eastAsia"/>
          <w:b/>
          <w:bCs/>
        </w:rPr>
      </w:pPr>
      <w:r>
        <w:rPr>
          <w:rFonts w:ascii="KaiTi_GB2312" w:eastAsia="KaiTi_GB2312"/>
          <w:b/>
          <w:bCs/>
        </w:rPr>
        <w:t>(</w:t>
      </w:r>
      <w:r>
        <w:rPr>
          <w:rFonts w:ascii="KaiTi_GB2312" w:eastAsia="KaiTi_GB2312" w:hint="eastAsia"/>
          <w:b/>
          <w:bCs/>
        </w:rPr>
        <w:t>c)</w:t>
      </w:r>
      <w:r>
        <w:rPr>
          <w:rFonts w:ascii="KaiTi_GB2312" w:eastAsia="KaiTi_GB2312"/>
          <w:b/>
          <w:bCs/>
        </w:rPr>
        <w:tab/>
      </w:r>
      <w:r>
        <w:rPr>
          <w:rFonts w:ascii="KaiTi_GB2312" w:eastAsia="KaiTi_GB2312" w:hint="eastAsia"/>
          <w:b/>
          <w:bCs/>
        </w:rPr>
        <w:t>在婚姻</w:t>
      </w:r>
      <w:r>
        <w:rPr>
          <w:rFonts w:ascii="KaiTi_GB2312" w:eastAsia="KaiTi_GB2312" w:hint="eastAsia"/>
          <w:b/>
          <w:bCs/>
        </w:rPr>
        <w:t>存续期间以及解除婚姻关系时，有相同的权利和义务；</w:t>
      </w:r>
    </w:p>
    <w:p w:rsidR="00000000" w:rsidRDefault="004D2F83" w:rsidP="004D2F83">
      <w:pPr>
        <w:spacing w:after="240" w:line="360" w:lineRule="exact"/>
        <w:ind w:leftChars="200" w:left="31680" w:hangingChars="200" w:firstLine="31680"/>
        <w:rPr>
          <w:rFonts w:ascii="KaiTi_GB2312" w:eastAsia="KaiTi_GB2312" w:hint="eastAsia"/>
          <w:b/>
          <w:bCs/>
        </w:rPr>
      </w:pPr>
      <w:r>
        <w:rPr>
          <w:rFonts w:ascii="KaiTi_GB2312" w:eastAsia="KaiTi_GB2312"/>
          <w:b/>
          <w:bCs/>
        </w:rPr>
        <w:t>(</w:t>
      </w:r>
      <w:r>
        <w:rPr>
          <w:rFonts w:ascii="KaiTi_GB2312" w:eastAsia="KaiTi_GB2312" w:hint="eastAsia"/>
          <w:b/>
          <w:bCs/>
        </w:rPr>
        <w:t>d</w:t>
      </w:r>
      <w:r>
        <w:rPr>
          <w:rFonts w:ascii="KaiTi_GB2312" w:eastAsia="KaiTi_GB2312"/>
          <w:b/>
          <w:bCs/>
        </w:rPr>
        <w:t>)</w:t>
      </w:r>
      <w:r>
        <w:rPr>
          <w:rFonts w:ascii="KaiTi_GB2312" w:eastAsia="KaiTi_GB2312"/>
          <w:b/>
          <w:bCs/>
        </w:rPr>
        <w:tab/>
      </w:r>
      <w:r>
        <w:rPr>
          <w:rFonts w:ascii="KaiTi_GB2312" w:eastAsia="KaiTi_GB2312" w:hint="eastAsia"/>
          <w:b/>
          <w:bCs/>
        </w:rPr>
        <w:t>不论婚姻状况如何，在有关子女的事务上，作为父母亲有相同的权利和义务。但在任何情形下，均应以子女的利益为重；</w:t>
      </w:r>
    </w:p>
    <w:p w:rsidR="00000000" w:rsidRDefault="004D2F83" w:rsidP="004D2F83">
      <w:pPr>
        <w:spacing w:after="240" w:line="360" w:lineRule="exact"/>
        <w:ind w:leftChars="200" w:left="31680" w:hangingChars="200" w:firstLine="31680"/>
        <w:rPr>
          <w:rFonts w:ascii="KaiTi_GB2312" w:eastAsia="KaiTi_GB2312" w:hint="eastAsia"/>
          <w:b/>
          <w:bCs/>
        </w:rPr>
      </w:pPr>
      <w:r>
        <w:rPr>
          <w:rFonts w:ascii="KaiTi_GB2312" w:eastAsia="KaiTi_GB2312"/>
          <w:b/>
          <w:bCs/>
        </w:rPr>
        <w:t>(</w:t>
      </w:r>
      <w:r>
        <w:rPr>
          <w:rFonts w:ascii="KaiTi_GB2312" w:eastAsia="KaiTi_GB2312" w:hint="eastAsia"/>
          <w:b/>
          <w:bCs/>
        </w:rPr>
        <w:t>e</w:t>
      </w:r>
      <w:r>
        <w:rPr>
          <w:rFonts w:ascii="KaiTi_GB2312" w:eastAsia="KaiTi_GB2312"/>
          <w:b/>
          <w:bCs/>
        </w:rPr>
        <w:t>)</w:t>
      </w:r>
      <w:r>
        <w:rPr>
          <w:rFonts w:ascii="KaiTi_GB2312" w:eastAsia="KaiTi_GB2312"/>
          <w:b/>
          <w:bCs/>
        </w:rPr>
        <w:tab/>
      </w:r>
      <w:r>
        <w:rPr>
          <w:rFonts w:ascii="KaiTi_GB2312" w:eastAsia="KaiTi_GB2312" w:hint="eastAsia"/>
          <w:b/>
          <w:bCs/>
        </w:rPr>
        <w:t>有相同的权利自由负责地决定子女人数和生育间隔，并有机会获得使她们能够行使这种权利的知识、教育和方法；</w:t>
      </w:r>
    </w:p>
    <w:p w:rsidR="00000000" w:rsidRDefault="004D2F83" w:rsidP="004D2F83">
      <w:pPr>
        <w:spacing w:after="240" w:line="360" w:lineRule="exact"/>
        <w:ind w:leftChars="200" w:left="31680" w:hangingChars="200" w:firstLine="31680"/>
        <w:rPr>
          <w:rFonts w:ascii="KaiTi_GB2312" w:eastAsia="KaiTi_GB2312" w:hint="eastAsia"/>
          <w:b/>
          <w:bCs/>
        </w:rPr>
      </w:pPr>
      <w:r>
        <w:rPr>
          <w:rFonts w:ascii="KaiTi_GB2312" w:eastAsia="KaiTi_GB2312"/>
          <w:b/>
          <w:bCs/>
        </w:rPr>
        <w:t>(</w:t>
      </w:r>
      <w:r>
        <w:rPr>
          <w:rFonts w:ascii="KaiTi_GB2312" w:eastAsia="KaiTi_GB2312" w:hint="eastAsia"/>
          <w:b/>
          <w:bCs/>
        </w:rPr>
        <w:t>f</w:t>
      </w:r>
      <w:r>
        <w:rPr>
          <w:rFonts w:ascii="KaiTi_GB2312" w:eastAsia="KaiTi_GB2312"/>
          <w:b/>
          <w:bCs/>
        </w:rPr>
        <w:t>)</w:t>
      </w:r>
      <w:r>
        <w:rPr>
          <w:rFonts w:ascii="KaiTi_GB2312" w:eastAsia="KaiTi_GB2312"/>
          <w:b/>
          <w:bCs/>
        </w:rPr>
        <w:tab/>
      </w:r>
      <w:r>
        <w:rPr>
          <w:rFonts w:ascii="KaiTi_GB2312" w:eastAsia="KaiTi_GB2312" w:hint="eastAsia"/>
          <w:b/>
          <w:bCs/>
        </w:rPr>
        <w:t>在监护、看管、受托和收养子女或类似的制度方面，如果国家法规有这些观念的话，有相同的权利和义务。但在任何情形下，均应以子女的利益为重；</w:t>
      </w:r>
    </w:p>
    <w:p w:rsidR="00000000" w:rsidRDefault="004D2F83" w:rsidP="004D2F83">
      <w:pPr>
        <w:spacing w:after="240" w:line="360" w:lineRule="exact"/>
        <w:ind w:leftChars="200" w:left="31680" w:hangingChars="200" w:firstLine="31680"/>
        <w:rPr>
          <w:rFonts w:ascii="KaiTi_GB2312" w:eastAsia="KaiTi_GB2312" w:hint="eastAsia"/>
          <w:b/>
          <w:bCs/>
        </w:rPr>
      </w:pPr>
      <w:r>
        <w:rPr>
          <w:rFonts w:ascii="KaiTi_GB2312" w:eastAsia="KaiTi_GB2312"/>
          <w:b/>
          <w:bCs/>
        </w:rPr>
        <w:t>(</w:t>
      </w:r>
      <w:r>
        <w:rPr>
          <w:rFonts w:ascii="KaiTi_GB2312" w:eastAsia="KaiTi_GB2312" w:hint="eastAsia"/>
          <w:b/>
          <w:bCs/>
        </w:rPr>
        <w:t>g</w:t>
      </w:r>
      <w:r>
        <w:rPr>
          <w:rFonts w:ascii="KaiTi_GB2312" w:eastAsia="KaiTi_GB2312"/>
          <w:b/>
          <w:bCs/>
        </w:rPr>
        <w:t>)</w:t>
      </w:r>
      <w:r>
        <w:rPr>
          <w:rFonts w:ascii="KaiTi_GB2312" w:eastAsia="KaiTi_GB2312"/>
          <w:b/>
          <w:bCs/>
        </w:rPr>
        <w:tab/>
      </w:r>
      <w:r>
        <w:rPr>
          <w:rFonts w:ascii="KaiTi_GB2312" w:eastAsia="KaiTi_GB2312" w:hint="eastAsia"/>
          <w:b/>
          <w:bCs/>
        </w:rPr>
        <w:t>夫妻有相同的个人权利，包括选择姓氏、专业和职业的权利；</w:t>
      </w:r>
    </w:p>
    <w:p w:rsidR="00000000" w:rsidRDefault="004D2F83" w:rsidP="004D2F83">
      <w:pPr>
        <w:spacing w:after="240" w:line="360" w:lineRule="exact"/>
        <w:ind w:leftChars="200" w:left="31680" w:hangingChars="200" w:firstLine="31680"/>
        <w:rPr>
          <w:rFonts w:ascii="KaiTi_GB2312" w:eastAsia="KaiTi_GB2312" w:hint="eastAsia"/>
          <w:b/>
          <w:bCs/>
        </w:rPr>
      </w:pPr>
      <w:r>
        <w:rPr>
          <w:rFonts w:ascii="KaiTi_GB2312" w:eastAsia="KaiTi_GB2312"/>
          <w:b/>
          <w:bCs/>
        </w:rPr>
        <w:t>(</w:t>
      </w:r>
      <w:r>
        <w:rPr>
          <w:rFonts w:ascii="KaiTi_GB2312" w:eastAsia="KaiTi_GB2312" w:hint="eastAsia"/>
          <w:b/>
          <w:bCs/>
        </w:rPr>
        <w:t>h</w:t>
      </w:r>
      <w:r>
        <w:rPr>
          <w:rFonts w:ascii="KaiTi_GB2312" w:eastAsia="KaiTi_GB2312"/>
          <w:b/>
          <w:bCs/>
        </w:rPr>
        <w:t>)</w:t>
      </w:r>
      <w:r>
        <w:rPr>
          <w:rFonts w:ascii="KaiTi_GB2312" w:eastAsia="KaiTi_GB2312"/>
          <w:b/>
          <w:bCs/>
        </w:rPr>
        <w:tab/>
      </w:r>
      <w:r>
        <w:rPr>
          <w:rFonts w:ascii="KaiTi_GB2312" w:eastAsia="KaiTi_GB2312" w:hint="eastAsia"/>
          <w:b/>
          <w:bCs/>
        </w:rPr>
        <w:t>配偶双方在财产的所有、</w:t>
      </w:r>
      <w:r>
        <w:rPr>
          <w:rFonts w:ascii="KaiTi_GB2312" w:eastAsia="KaiTi_GB2312" w:hint="eastAsia"/>
          <w:b/>
          <w:bCs/>
        </w:rPr>
        <w:t>取得、经营、管理、享有、处置方面，不论是无偿的或是收取价值酬报的，都具有相同的权利。</w:t>
      </w:r>
    </w:p>
    <w:p w:rsidR="00000000" w:rsidRDefault="004D2F83" w:rsidP="004D2F83">
      <w:pPr>
        <w:spacing w:after="240" w:line="360" w:lineRule="exact"/>
        <w:ind w:left="31680" w:hangingChars="200" w:firstLine="31680"/>
        <w:rPr>
          <w:rFonts w:ascii="KaiTi_GB2312" w:eastAsia="KaiTi_GB2312" w:hint="eastAsia"/>
        </w:rPr>
      </w:pPr>
      <w:r>
        <w:rPr>
          <w:rFonts w:ascii="KaiTi_GB2312" w:eastAsia="KaiTi_GB2312" w:hint="eastAsia"/>
          <w:b/>
          <w:bCs/>
        </w:rPr>
        <w:t>2</w:t>
      </w:r>
      <w:r>
        <w:rPr>
          <w:rFonts w:ascii="KaiTi_GB2312" w:eastAsia="KaiTi_GB2312" w:hint="eastAsia"/>
          <w:b/>
          <w:bCs/>
        </w:rPr>
        <w:t>．</w:t>
      </w:r>
      <w:r>
        <w:rPr>
          <w:rFonts w:ascii="KaiTi_GB2312" w:eastAsia="KaiTi_GB2312"/>
          <w:b/>
          <w:bCs/>
        </w:rPr>
        <w:tab/>
      </w:r>
      <w:r>
        <w:rPr>
          <w:rFonts w:ascii="KaiTi_GB2312" w:eastAsia="KaiTi_GB2312" w:hint="eastAsia"/>
          <w:b/>
          <w:bCs/>
        </w:rPr>
        <w:t>童年订婚和童婚应不具法律效力，并应采取一切必要行动，包括制订法律，规定结婚最低年龄，并规定婚姻必须向正式登记机构登记。</w:t>
      </w:r>
    </w:p>
    <w:p w:rsidR="00000000" w:rsidRDefault="004D2F83">
      <w:pPr>
        <w:spacing w:after="240" w:line="360" w:lineRule="exact"/>
        <w:rPr>
          <w:rFonts w:eastAsia="SimHei" w:hint="eastAsia"/>
          <w:sz w:val="24"/>
        </w:rPr>
      </w:pPr>
      <w:r>
        <w:rPr>
          <w:rFonts w:eastAsia="SimHei" w:hint="eastAsia"/>
          <w:sz w:val="24"/>
        </w:rPr>
        <w:t>立法措施</w:t>
      </w:r>
    </w:p>
    <w:p w:rsidR="00000000" w:rsidRDefault="004D2F83" w:rsidP="004D2F83">
      <w:pPr>
        <w:spacing w:after="240" w:line="360" w:lineRule="exact"/>
        <w:ind w:firstLineChars="200" w:firstLine="31680"/>
        <w:rPr>
          <w:rFonts w:hint="eastAsia"/>
        </w:rPr>
      </w:pPr>
      <w:r>
        <w:rPr>
          <w:rFonts w:hint="eastAsia"/>
        </w:rPr>
        <w:t>1984</w:t>
      </w:r>
      <w:r>
        <w:rPr>
          <w:rFonts w:hint="eastAsia"/>
        </w:rPr>
        <w:t>年，巴西在批准《消除对妇女一切形式歧视公约》（消除对妇女歧视公约）时，承诺落实在法律面前人人平等。但是，在该公约第</w:t>
      </w:r>
      <w:r>
        <w:rPr>
          <w:rFonts w:hint="eastAsia"/>
        </w:rPr>
        <w:t>15</w:t>
      </w:r>
      <w:r>
        <w:rPr>
          <w:rFonts w:hint="eastAsia"/>
        </w:rPr>
        <w:t>和第</w:t>
      </w:r>
      <w:r>
        <w:rPr>
          <w:rFonts w:hint="eastAsia"/>
        </w:rPr>
        <w:t>16</w:t>
      </w:r>
      <w:r>
        <w:rPr>
          <w:rFonts w:hint="eastAsia"/>
        </w:rPr>
        <w:t>条规定的与婚姻和家庭关系有关的事务方面，巴西在批准该公约时提出一些保留意见。</w:t>
      </w:r>
      <w:r>
        <w:rPr>
          <w:rFonts w:hint="eastAsia"/>
        </w:rPr>
        <w:t>1994</w:t>
      </w:r>
      <w:r>
        <w:rPr>
          <w:rFonts w:hint="eastAsia"/>
        </w:rPr>
        <w:t>年</w:t>
      </w:r>
      <w:r>
        <w:rPr>
          <w:rFonts w:hint="eastAsia"/>
        </w:rPr>
        <w:t>12</w:t>
      </w:r>
      <w:r>
        <w:rPr>
          <w:rFonts w:hint="eastAsia"/>
        </w:rPr>
        <w:t>月</w:t>
      </w:r>
      <w:r>
        <w:rPr>
          <w:rFonts w:hint="eastAsia"/>
        </w:rPr>
        <w:t>20</w:t>
      </w:r>
      <w:r>
        <w:rPr>
          <w:rFonts w:hint="eastAsia"/>
        </w:rPr>
        <w:t>日，巴西撤回了所有这些保留意见。</w:t>
      </w:r>
    </w:p>
    <w:p w:rsidR="00000000" w:rsidRDefault="004D2F83">
      <w:pPr>
        <w:spacing w:after="240" w:line="360" w:lineRule="exact"/>
        <w:rPr>
          <w:rFonts w:eastAsia="SimHei" w:hint="eastAsia"/>
          <w:sz w:val="24"/>
        </w:rPr>
      </w:pPr>
      <w:r>
        <w:rPr>
          <w:rFonts w:eastAsia="SimHei" w:hint="eastAsia"/>
          <w:sz w:val="24"/>
        </w:rPr>
        <w:t>联邦宪法</w:t>
      </w:r>
    </w:p>
    <w:p w:rsidR="00000000" w:rsidRDefault="004D2F83" w:rsidP="004D2F83">
      <w:pPr>
        <w:spacing w:after="240" w:line="360" w:lineRule="exact"/>
        <w:ind w:firstLineChars="200" w:firstLine="31680"/>
        <w:rPr>
          <w:rFonts w:hint="eastAsia"/>
        </w:rPr>
      </w:pPr>
      <w:r>
        <w:rPr>
          <w:rFonts w:hint="eastAsia"/>
        </w:rPr>
        <w:t>平等是民主的基本</w:t>
      </w:r>
      <w:r>
        <w:rPr>
          <w:rFonts w:hint="eastAsia"/>
        </w:rPr>
        <w:t>价值。正如本报告已经提到的，《联邦宪法》第</w:t>
      </w:r>
      <w:r>
        <w:rPr>
          <w:rFonts w:hint="eastAsia"/>
        </w:rPr>
        <w:t>5</w:t>
      </w:r>
      <w:r>
        <w:rPr>
          <w:rFonts w:hint="eastAsia"/>
        </w:rPr>
        <w:t>条规定法律面前人人平等，毫无差别，其中的第一项规定，“男人和女人享有同等权利和义务”。</w:t>
      </w:r>
    </w:p>
    <w:p w:rsidR="00000000" w:rsidRDefault="004D2F83" w:rsidP="004D2F83">
      <w:pPr>
        <w:spacing w:after="240" w:line="360" w:lineRule="exact"/>
        <w:ind w:firstLineChars="171" w:firstLine="31680"/>
        <w:rPr>
          <w:rFonts w:hint="eastAsia"/>
        </w:rPr>
      </w:pPr>
      <w:r>
        <w:rPr>
          <w:rFonts w:hint="eastAsia"/>
        </w:rPr>
        <w:t>《联邦宪法》关于家庭、儿童和老年人的一章的第</w:t>
      </w:r>
      <w:r>
        <w:rPr>
          <w:rFonts w:hint="eastAsia"/>
        </w:rPr>
        <w:t>226</w:t>
      </w:r>
      <w:r>
        <w:rPr>
          <w:rFonts w:hint="eastAsia"/>
        </w:rPr>
        <w:t>和</w:t>
      </w:r>
      <w:r>
        <w:rPr>
          <w:rFonts w:hint="eastAsia"/>
        </w:rPr>
        <w:t>227</w:t>
      </w:r>
      <w:r>
        <w:rPr>
          <w:rFonts w:hint="eastAsia"/>
        </w:rPr>
        <w:t>条规定：</w:t>
      </w:r>
    </w:p>
    <w:p w:rsidR="00000000" w:rsidRDefault="004D2F83" w:rsidP="004D2F83">
      <w:pPr>
        <w:spacing w:after="240" w:line="360" w:lineRule="exact"/>
        <w:ind w:firstLineChars="200" w:firstLine="31680"/>
        <w:rPr>
          <w:rFonts w:ascii="KaiTi_GB2312" w:eastAsia="KaiTi_GB2312" w:hint="eastAsia"/>
        </w:rPr>
      </w:pPr>
      <w:r>
        <w:rPr>
          <w:rFonts w:ascii="KaiTi_GB2312" w:eastAsia="KaiTi_GB2312" w:hint="eastAsia"/>
        </w:rPr>
        <w:t>第</w:t>
      </w:r>
      <w:r>
        <w:rPr>
          <w:rFonts w:ascii="KaiTi_GB2312" w:eastAsia="KaiTi_GB2312"/>
        </w:rPr>
        <w:t>226</w:t>
      </w:r>
      <w:r>
        <w:rPr>
          <w:rFonts w:ascii="KaiTi_GB2312" w:eastAsia="KaiTi_GB2312" w:hint="eastAsia"/>
        </w:rPr>
        <w:t>条．家庭是社会的基础，应享有国家的特别保护。</w:t>
      </w:r>
    </w:p>
    <w:p w:rsidR="00000000" w:rsidRDefault="004D2F83" w:rsidP="004D2F83">
      <w:pPr>
        <w:spacing w:after="240" w:line="360" w:lineRule="exact"/>
        <w:ind w:firstLineChars="200" w:firstLine="31680"/>
        <w:rPr>
          <w:rFonts w:ascii="KaiTi_GB2312" w:eastAsia="KaiTi_GB2312" w:hint="eastAsia"/>
        </w:rPr>
      </w:pPr>
      <w:r>
        <w:rPr>
          <w:rFonts w:ascii="KaiTi_GB2312" w:eastAsia="KaiTi_GB2312" w:hint="eastAsia"/>
        </w:rPr>
        <w:t>§</w:t>
      </w:r>
      <w:r>
        <w:rPr>
          <w:rFonts w:ascii="KaiTi_GB2312" w:eastAsia="KaiTi_GB2312" w:hint="eastAsia"/>
        </w:rPr>
        <w:t>1</w:t>
      </w:r>
      <w:r>
        <w:rPr>
          <w:rFonts w:ascii="KaiTi_GB2312" w:eastAsia="KaiTi_GB2312" w:hint="eastAsia"/>
        </w:rPr>
        <w:t>婚姻属于民事活动，结婚仪式免费。</w:t>
      </w:r>
    </w:p>
    <w:p w:rsidR="00000000" w:rsidRDefault="004D2F83" w:rsidP="004D2F83">
      <w:pPr>
        <w:spacing w:after="240" w:line="360" w:lineRule="exact"/>
        <w:ind w:firstLineChars="200" w:firstLine="31680"/>
        <w:rPr>
          <w:rFonts w:ascii="KaiTi_GB2312" w:eastAsia="KaiTi_GB2312" w:hint="eastAsia"/>
        </w:rPr>
      </w:pPr>
      <w:r>
        <w:rPr>
          <w:rFonts w:ascii="KaiTi_GB2312" w:eastAsia="KaiTi_GB2312" w:hint="eastAsia"/>
        </w:rPr>
        <w:t>§</w:t>
      </w:r>
      <w:r>
        <w:rPr>
          <w:rFonts w:ascii="KaiTi_GB2312" w:eastAsia="KaiTi_GB2312" w:hint="eastAsia"/>
        </w:rPr>
        <w:t>2</w:t>
      </w:r>
      <w:r>
        <w:rPr>
          <w:rFonts w:ascii="KaiTi_GB2312" w:eastAsia="KaiTi_GB2312" w:hint="eastAsia"/>
        </w:rPr>
        <w:t>按照法律规定，宗教婚姻具有民事效力。</w:t>
      </w:r>
    </w:p>
    <w:p w:rsidR="00000000" w:rsidRDefault="004D2F83" w:rsidP="004D2F83">
      <w:pPr>
        <w:spacing w:after="240" w:line="360" w:lineRule="exact"/>
        <w:ind w:firstLineChars="200" w:firstLine="31680"/>
        <w:rPr>
          <w:rFonts w:ascii="KaiTi_GB2312" w:eastAsia="KaiTi_GB2312" w:hint="eastAsia"/>
        </w:rPr>
      </w:pPr>
      <w:r>
        <w:rPr>
          <w:rFonts w:ascii="KaiTi_GB2312" w:eastAsia="KaiTi_GB2312" w:hint="eastAsia"/>
        </w:rPr>
        <w:t>§</w:t>
      </w:r>
      <w:r>
        <w:rPr>
          <w:rFonts w:ascii="KaiTi_GB2312" w:eastAsia="KaiTi_GB2312" w:hint="eastAsia"/>
        </w:rPr>
        <w:t>3</w:t>
      </w:r>
      <w:r>
        <w:rPr>
          <w:rFonts w:ascii="KaiTi_GB2312" w:eastAsia="KaiTi_GB2312" w:hint="eastAsia"/>
        </w:rPr>
        <w:t>为了受到国家保护，男女之间的稳定同居关系被视为一个家庭实体，法律应促使这些实体转入婚姻关系。</w:t>
      </w:r>
    </w:p>
    <w:p w:rsidR="00000000" w:rsidRDefault="004D2F83" w:rsidP="004D2F83">
      <w:pPr>
        <w:spacing w:after="240" w:line="360" w:lineRule="exact"/>
        <w:ind w:firstLineChars="200" w:firstLine="31680"/>
        <w:rPr>
          <w:rFonts w:ascii="KaiTi_GB2312" w:eastAsia="KaiTi_GB2312" w:hint="eastAsia"/>
        </w:rPr>
      </w:pPr>
      <w:r>
        <w:rPr>
          <w:rFonts w:ascii="KaiTi_GB2312" w:eastAsia="KaiTi_GB2312" w:hint="eastAsia"/>
        </w:rPr>
        <w:t>§</w:t>
      </w:r>
      <w:r>
        <w:rPr>
          <w:rFonts w:ascii="KaiTi_GB2312" w:eastAsia="KaiTi_GB2312" w:hint="eastAsia"/>
        </w:rPr>
        <w:t>4</w:t>
      </w:r>
      <w:r>
        <w:rPr>
          <w:rFonts w:ascii="KaiTi_GB2312" w:eastAsia="KaiTi_GB2312" w:hint="eastAsia"/>
        </w:rPr>
        <w:t>父母一方及其后代所形成的群体也被视为一个家庭实体；</w:t>
      </w:r>
    </w:p>
    <w:p w:rsidR="00000000" w:rsidRDefault="004D2F83" w:rsidP="004D2F83">
      <w:pPr>
        <w:spacing w:after="240" w:line="360" w:lineRule="exact"/>
        <w:ind w:firstLineChars="200" w:firstLine="31680"/>
        <w:rPr>
          <w:rFonts w:ascii="KaiTi_GB2312" w:eastAsia="KaiTi_GB2312" w:hint="eastAsia"/>
        </w:rPr>
      </w:pPr>
      <w:r>
        <w:rPr>
          <w:rFonts w:ascii="KaiTi_GB2312" w:eastAsia="KaiTi_GB2312" w:hint="eastAsia"/>
        </w:rPr>
        <w:t>§</w:t>
      </w:r>
      <w:r>
        <w:rPr>
          <w:rFonts w:ascii="KaiTi_GB2312" w:eastAsia="KaiTi_GB2312" w:hint="eastAsia"/>
        </w:rPr>
        <w:t>5</w:t>
      </w:r>
      <w:r>
        <w:rPr>
          <w:rFonts w:ascii="KaiTi_GB2312" w:eastAsia="KaiTi_GB2312" w:hint="eastAsia"/>
        </w:rPr>
        <w:t>婚姻家庭的权利和义务</w:t>
      </w:r>
      <w:r>
        <w:rPr>
          <w:rFonts w:ascii="KaiTi_GB2312" w:eastAsia="KaiTi_GB2312" w:hint="eastAsia"/>
        </w:rPr>
        <w:t>应由男女平等享有。</w:t>
      </w:r>
    </w:p>
    <w:p w:rsidR="00000000" w:rsidRDefault="004D2F83" w:rsidP="004D2F83">
      <w:pPr>
        <w:spacing w:after="240" w:line="360" w:lineRule="exact"/>
        <w:ind w:firstLineChars="200" w:firstLine="31680"/>
        <w:rPr>
          <w:rFonts w:ascii="KaiTi_GB2312" w:eastAsia="KaiTi_GB2312" w:hint="eastAsia"/>
        </w:rPr>
      </w:pPr>
      <w:r>
        <w:rPr>
          <w:rFonts w:ascii="KaiTi_GB2312" w:eastAsia="KaiTi_GB2312" w:hint="eastAsia"/>
        </w:rPr>
        <w:t>§</w:t>
      </w:r>
      <w:r>
        <w:rPr>
          <w:rFonts w:ascii="KaiTi_GB2312" w:eastAsia="KaiTi_GB2312" w:hint="eastAsia"/>
        </w:rPr>
        <w:t>6</w:t>
      </w:r>
      <w:r>
        <w:rPr>
          <w:rFonts w:ascii="KaiTi_GB2312" w:eastAsia="KaiTi_GB2312" w:hint="eastAsia"/>
        </w:rPr>
        <w:t>公证结婚可通过离婚来解除，在法律规定的情况下法院判决的夫妇分居一年以上，或证明事实上分居两年之后即可离婚。</w:t>
      </w:r>
    </w:p>
    <w:p w:rsidR="00000000" w:rsidRDefault="004D2F83" w:rsidP="004D2F83">
      <w:pPr>
        <w:spacing w:after="240" w:line="360" w:lineRule="exact"/>
        <w:ind w:firstLineChars="200" w:firstLine="31680"/>
        <w:rPr>
          <w:rFonts w:ascii="KaiTi_GB2312" w:eastAsia="KaiTi_GB2312" w:hint="eastAsia"/>
        </w:rPr>
      </w:pPr>
      <w:r>
        <w:rPr>
          <w:rFonts w:ascii="KaiTi_GB2312" w:eastAsia="KaiTi_GB2312" w:hint="eastAsia"/>
        </w:rPr>
        <w:t>§</w:t>
      </w:r>
      <w:r>
        <w:rPr>
          <w:rFonts w:ascii="KaiTi_GB2312" w:eastAsia="KaiTi_GB2312" w:hint="eastAsia"/>
        </w:rPr>
        <w:t>7</w:t>
      </w:r>
      <w:r>
        <w:rPr>
          <w:rFonts w:ascii="KaiTi_GB2312" w:eastAsia="KaiTi_GB2312" w:hint="eastAsia"/>
        </w:rPr>
        <w:t>基于人的尊严和父母负责原则，计划生育由配偶双方自由选择，国家的职责是提供教育和科学资源以行使此项权利，禁止官方或私人机构做出任何胁迫。</w:t>
      </w:r>
    </w:p>
    <w:p w:rsidR="00000000" w:rsidRDefault="004D2F83" w:rsidP="004D2F83">
      <w:pPr>
        <w:spacing w:after="240" w:line="360" w:lineRule="exact"/>
        <w:ind w:firstLineChars="200" w:firstLine="31680"/>
        <w:rPr>
          <w:rFonts w:ascii="KaiTi_GB2312" w:eastAsia="KaiTi_GB2312" w:hint="eastAsia"/>
        </w:rPr>
      </w:pPr>
      <w:r>
        <w:rPr>
          <w:rFonts w:ascii="KaiTi_GB2312" w:eastAsia="KaiTi_GB2312" w:hint="eastAsia"/>
        </w:rPr>
        <w:t>§</w:t>
      </w:r>
      <w:r>
        <w:rPr>
          <w:rFonts w:ascii="KaiTi_GB2312" w:eastAsia="KaiTi_GB2312" w:hint="eastAsia"/>
        </w:rPr>
        <w:t>8</w:t>
      </w:r>
      <w:r>
        <w:rPr>
          <w:rFonts w:ascii="KaiTi_GB2312" w:eastAsia="KaiTi_GB2312" w:hint="eastAsia"/>
        </w:rPr>
        <w:t>国家应确保援助家庭每一位成员，创造各种制止家庭暴力的机制。</w:t>
      </w:r>
    </w:p>
    <w:p w:rsidR="00000000" w:rsidRDefault="004D2F83" w:rsidP="004D2F83">
      <w:pPr>
        <w:spacing w:after="240" w:line="360" w:lineRule="exact"/>
        <w:ind w:firstLineChars="200" w:firstLine="31680"/>
        <w:rPr>
          <w:rFonts w:ascii="KaiTi_GB2312" w:eastAsia="KaiTi_GB2312" w:hint="eastAsia"/>
        </w:rPr>
      </w:pPr>
      <w:r>
        <w:rPr>
          <w:rFonts w:ascii="KaiTi_GB2312" w:eastAsia="KaiTi_GB2312" w:hint="eastAsia"/>
        </w:rPr>
        <w:t>第</w:t>
      </w:r>
      <w:r>
        <w:rPr>
          <w:rFonts w:ascii="KaiTi_GB2312" w:eastAsia="KaiTi_GB2312" w:hint="eastAsia"/>
        </w:rPr>
        <w:t>227</w:t>
      </w:r>
      <w:r>
        <w:rPr>
          <w:rFonts w:ascii="KaiTi_GB2312" w:eastAsia="KaiTi_GB2312" w:hint="eastAsia"/>
        </w:rPr>
        <w:t>条</w:t>
      </w:r>
    </w:p>
    <w:p w:rsidR="00000000" w:rsidRDefault="004D2F83" w:rsidP="004D2F83">
      <w:pPr>
        <w:spacing w:after="240" w:line="360" w:lineRule="exact"/>
        <w:ind w:firstLineChars="200" w:firstLine="31680"/>
        <w:rPr>
          <w:rFonts w:ascii="KaiTi_GB2312" w:eastAsia="KaiTi_GB2312" w:hint="eastAsia"/>
        </w:rPr>
      </w:pPr>
      <w:r>
        <w:rPr>
          <w:rFonts w:ascii="KaiTi_GB2312" w:eastAsia="KaiTi_GB2312" w:hint="eastAsia"/>
        </w:rPr>
        <w:t>家庭、社会和国家有责任确保绝对优先考虑儿童和青少年的生命权、健康权、获得营养权、受教育权、闲暇权、职业培训权、文化权利、尊严、尊重、自由和家庭及社区生活权，并保护他</w:t>
      </w:r>
      <w:r>
        <w:rPr>
          <w:rFonts w:ascii="KaiTi_GB2312" w:eastAsia="KaiTi_GB2312" w:hint="eastAsia"/>
        </w:rPr>
        <w:t>们不受一切形式的忽视、歧视、剥削、暴力、虐待和压迫。</w:t>
      </w:r>
    </w:p>
    <w:p w:rsidR="00000000" w:rsidRDefault="004D2F83" w:rsidP="004D2F83">
      <w:pPr>
        <w:spacing w:after="240" w:line="360" w:lineRule="exact"/>
        <w:ind w:firstLineChars="200" w:firstLine="31680"/>
        <w:rPr>
          <w:rFonts w:hint="eastAsia"/>
        </w:rPr>
      </w:pPr>
      <w:r>
        <w:rPr>
          <w:rFonts w:hint="eastAsia"/>
        </w:rPr>
        <w:t>然而，在巴西法律体系中仍可发现</w:t>
      </w:r>
      <w:r>
        <w:rPr>
          <w:rFonts w:hint="eastAsia"/>
        </w:rPr>
        <w:t>1988</w:t>
      </w:r>
      <w:r>
        <w:rPr>
          <w:rFonts w:hint="eastAsia"/>
        </w:rPr>
        <w:t>年《联邦宪法》未采用的宪法下立法的实例，如《民法典》、《商法典》和《刑法典》中的几条规定。</w:t>
      </w:r>
    </w:p>
    <w:p w:rsidR="00000000" w:rsidRDefault="004D2F83" w:rsidP="004D2F83">
      <w:pPr>
        <w:spacing w:after="240" w:line="360" w:lineRule="exact"/>
        <w:ind w:firstLineChars="200" w:firstLine="31680"/>
        <w:rPr>
          <w:rFonts w:hint="eastAsia"/>
        </w:rPr>
      </w:pPr>
      <w:r>
        <w:rPr>
          <w:rFonts w:hint="eastAsia"/>
        </w:rPr>
        <w:t>《公约》第</w:t>
      </w:r>
      <w:r>
        <w:rPr>
          <w:rFonts w:hint="eastAsia"/>
        </w:rPr>
        <w:t>1</w:t>
      </w:r>
      <w:r>
        <w:rPr>
          <w:rFonts w:hint="eastAsia"/>
        </w:rPr>
        <w:t>和第</w:t>
      </w:r>
      <w:r>
        <w:rPr>
          <w:rFonts w:hint="eastAsia"/>
        </w:rPr>
        <w:t>2</w:t>
      </w:r>
      <w:r>
        <w:rPr>
          <w:rFonts w:hint="eastAsia"/>
        </w:rPr>
        <w:t>条的评注中已经提到，尽管许多法学家理解，根据宪法条文，前述各法典中的歧视性规定将废除，但值得回忆的是，这种理解并非一种共识，《宪法》诞生所引起的废除行为是默示的而不是明示的，因此是否执行这种规定，仍由法官们斟酌决定。</w:t>
      </w:r>
    </w:p>
    <w:p w:rsidR="00000000" w:rsidRDefault="004D2F83" w:rsidP="004D2F83">
      <w:pPr>
        <w:spacing w:after="240" w:line="360" w:lineRule="exact"/>
        <w:ind w:firstLineChars="200" w:firstLine="31680"/>
        <w:rPr>
          <w:rFonts w:hint="eastAsia"/>
        </w:rPr>
      </w:pPr>
      <w:r>
        <w:rPr>
          <w:rFonts w:hint="eastAsia"/>
        </w:rPr>
        <w:t>值得回忆的是，本报告已经提及，</w:t>
      </w:r>
      <w:r>
        <w:rPr>
          <w:rFonts w:hint="eastAsia"/>
        </w:rPr>
        <w:t>2001</w:t>
      </w:r>
      <w:r>
        <w:rPr>
          <w:rFonts w:hint="eastAsia"/>
        </w:rPr>
        <w:t>年</w:t>
      </w:r>
      <w:r>
        <w:rPr>
          <w:rFonts w:hint="eastAsia"/>
        </w:rPr>
        <w:t>8</w:t>
      </w:r>
      <w:r>
        <w:rPr>
          <w:rFonts w:hint="eastAsia"/>
        </w:rPr>
        <w:t>月，国民议会批准了新的《巴西民法典》，该法典将在法</w:t>
      </w:r>
      <w:r>
        <w:rPr>
          <w:rFonts w:hint="eastAsia"/>
        </w:rPr>
        <w:t>律上的免除期到期后于</w:t>
      </w:r>
      <w:r>
        <w:rPr>
          <w:rFonts w:hint="eastAsia"/>
        </w:rPr>
        <w:t>2003</w:t>
      </w:r>
      <w:r>
        <w:rPr>
          <w:rFonts w:hint="eastAsia"/>
        </w:rPr>
        <w:t>年</w:t>
      </w:r>
      <w:r>
        <w:rPr>
          <w:rFonts w:hint="eastAsia"/>
        </w:rPr>
        <w:t>1</w:t>
      </w:r>
      <w:r>
        <w:rPr>
          <w:rFonts w:hint="eastAsia"/>
        </w:rPr>
        <w:t>月</w:t>
      </w:r>
      <w:r>
        <w:rPr>
          <w:rFonts w:hint="eastAsia"/>
        </w:rPr>
        <w:t>11</w:t>
      </w:r>
      <w:r>
        <w:rPr>
          <w:rFonts w:hint="eastAsia"/>
        </w:rPr>
        <w:t>日生效。</w:t>
      </w:r>
    </w:p>
    <w:p w:rsidR="00000000" w:rsidRDefault="004D2F83" w:rsidP="004D2F83">
      <w:pPr>
        <w:spacing w:after="240" w:line="360" w:lineRule="exact"/>
        <w:ind w:firstLineChars="200" w:firstLine="31680"/>
        <w:rPr>
          <w:rFonts w:hint="eastAsia"/>
        </w:rPr>
      </w:pPr>
      <w:r>
        <w:rPr>
          <w:rFonts w:hint="eastAsia"/>
          <w:spacing w:val="2"/>
        </w:rPr>
        <w:t>在这方面，特别要强调的是，原来的</w:t>
      </w:r>
      <w:r>
        <w:rPr>
          <w:rFonts w:hint="eastAsia"/>
          <w:spacing w:val="2"/>
        </w:rPr>
        <w:t>1975</w:t>
      </w:r>
      <w:r>
        <w:rPr>
          <w:rFonts w:hint="eastAsia"/>
          <w:spacing w:val="2"/>
        </w:rPr>
        <w:t>年法案经过了漫长的时间才得到国民议会的批准，并且经过了几次修正。在争取两性平等的过程中，令人注目的是</w:t>
      </w:r>
      <w:r>
        <w:rPr>
          <w:rFonts w:hint="eastAsia"/>
          <w:spacing w:val="2"/>
        </w:rPr>
        <w:t>1981</w:t>
      </w:r>
      <w:r>
        <w:rPr>
          <w:rFonts w:hint="eastAsia"/>
          <w:spacing w:val="2"/>
        </w:rPr>
        <w:t>年向国民议会主席团提交了《妇女新民事法规》。</w:t>
      </w:r>
      <w:r>
        <w:rPr>
          <w:rStyle w:val="FootnoteReference"/>
          <w:spacing w:val="2"/>
        </w:rPr>
        <w:footnoteReference w:customMarkFollows="1" w:id="153"/>
        <w:t>15</w:t>
      </w:r>
      <w:r>
        <w:rPr>
          <w:rStyle w:val="FootnoteReference"/>
        </w:rPr>
        <w:t>3</w:t>
      </w:r>
      <w:r>
        <w:rPr>
          <w:rFonts w:hint="eastAsia"/>
        </w:rPr>
        <w:t>此项提案是从妇女们关于民法中的两性平等的辩论中产生的，</w:t>
      </w:r>
      <w:r>
        <w:rPr>
          <w:rFonts w:hint="eastAsia"/>
        </w:rPr>
        <w:t>1984</w:t>
      </w:r>
      <w:r>
        <w:rPr>
          <w:rFonts w:hint="eastAsia"/>
        </w:rPr>
        <w:t>年该提案几乎全文被纳入刚刚被批准的原始项目中。</w:t>
      </w:r>
    </w:p>
    <w:p w:rsidR="00000000" w:rsidRDefault="004D2F83" w:rsidP="004D2F83">
      <w:pPr>
        <w:spacing w:after="240" w:line="360" w:lineRule="exact"/>
        <w:ind w:firstLineChars="200" w:firstLine="31680"/>
        <w:rPr>
          <w:rFonts w:hint="eastAsia"/>
        </w:rPr>
      </w:pPr>
      <w:r>
        <w:rPr>
          <w:rFonts w:hint="eastAsia"/>
        </w:rPr>
        <w:t>这一过程很明确。对将于</w:t>
      </w:r>
      <w:r>
        <w:rPr>
          <w:rFonts w:hint="eastAsia"/>
        </w:rPr>
        <w:t>2003</w:t>
      </w:r>
      <w:r>
        <w:rPr>
          <w:rFonts w:hint="eastAsia"/>
        </w:rPr>
        <w:t>年</w:t>
      </w:r>
      <w:r>
        <w:rPr>
          <w:rFonts w:hint="eastAsia"/>
        </w:rPr>
        <w:t>1</w:t>
      </w:r>
      <w:r>
        <w:rPr>
          <w:rFonts w:hint="eastAsia"/>
        </w:rPr>
        <w:t>月</w:t>
      </w:r>
      <w:r>
        <w:rPr>
          <w:rFonts w:hint="eastAsia"/>
        </w:rPr>
        <w:t>11</w:t>
      </w:r>
      <w:r>
        <w:rPr>
          <w:rFonts w:hint="eastAsia"/>
        </w:rPr>
        <w:t>日生效的新的《民法典》注入新的内容：它消除了歧视性的性别规定，例如指定男子为婚姻家庭的户主；建立父权的威严和丈夫在管</w:t>
      </w:r>
      <w:r>
        <w:rPr>
          <w:rFonts w:hint="eastAsia"/>
        </w:rPr>
        <w:t>理配偶双方财产，包括妇女私人财产方面的权力；赋予男子在婚后才知道妻子已经失身的情况下宣布婚姻无效的权利，以及男子有权剥夺与其共同生活的不忠女儿的继承权。</w:t>
      </w:r>
    </w:p>
    <w:p w:rsidR="00000000" w:rsidRDefault="004D2F83" w:rsidP="004D2F83">
      <w:pPr>
        <w:spacing w:after="240" w:line="360" w:lineRule="exact"/>
        <w:ind w:firstLineChars="200" w:firstLine="31680"/>
        <w:rPr>
          <w:rFonts w:hint="eastAsia"/>
        </w:rPr>
      </w:pPr>
      <w:r>
        <w:rPr>
          <w:rFonts w:hint="eastAsia"/>
        </w:rPr>
        <w:t>创新的地方还有，明确引入了一些概念：如共同分担家庭责任，而不是让男子成为婚姻家庭的户主；共同行使的家庭权力，而不是父亲在家庭中有至高无上的权威；泛指人类时，用“人”来代替“男人”；保障丈夫使用妻子姓氏的权利；以及规定子女监护权将给予配偶中能够更好地行使这一权利的一方，等等。</w:t>
      </w:r>
    </w:p>
    <w:p w:rsidR="00000000" w:rsidRDefault="004D2F83" w:rsidP="004D2F83">
      <w:pPr>
        <w:spacing w:after="240" w:line="360" w:lineRule="exact"/>
        <w:ind w:firstLineChars="200" w:firstLine="31680"/>
        <w:rPr>
          <w:rFonts w:hint="eastAsia"/>
        </w:rPr>
      </w:pPr>
      <w:r>
        <w:rPr>
          <w:rFonts w:hint="eastAsia"/>
        </w:rPr>
        <w:t>然而，该法案还包括了某些具有时代错误的概念和价值观。例如，该法案第</w:t>
      </w:r>
      <w:r>
        <w:t>1</w:t>
      </w:r>
      <w:r>
        <w:rPr>
          <w:rFonts w:hint="eastAsia"/>
        </w:rPr>
        <w:t xml:space="preserve"> </w:t>
      </w:r>
      <w:r>
        <w:t>572</w:t>
      </w:r>
      <w:r>
        <w:rPr>
          <w:rFonts w:hint="eastAsia"/>
        </w:rPr>
        <w:t>和第</w:t>
      </w:r>
      <w:r>
        <w:t>1</w:t>
      </w:r>
      <w:r>
        <w:rPr>
          <w:rFonts w:hint="eastAsia"/>
        </w:rPr>
        <w:t xml:space="preserve"> 5</w:t>
      </w:r>
      <w:r>
        <w:t>73</w:t>
      </w:r>
      <w:r>
        <w:rPr>
          <w:rFonts w:hint="eastAsia"/>
        </w:rPr>
        <w:t>条第六款中强调，“耻辱行为”可能导致配偶中任何一方的分居行为。“耻辱行为”一词表面上属于意识形态上的中性词，可用于任一性别。但是，依据我国的民法，影射名誉和诚实的术语传统上都含有对女性轻蔑和歧视的含义。</w:t>
      </w:r>
    </w:p>
    <w:p w:rsidR="00000000" w:rsidRDefault="004D2F83" w:rsidP="004D2F83">
      <w:pPr>
        <w:spacing w:after="240" w:line="360" w:lineRule="exact"/>
        <w:ind w:firstLineChars="200" w:firstLine="31680"/>
        <w:rPr>
          <w:rFonts w:hint="eastAsia"/>
        </w:rPr>
      </w:pPr>
      <w:r>
        <w:rPr>
          <w:rFonts w:hint="eastAsia"/>
        </w:rPr>
        <w:t>另一个实例是该法案第</w:t>
      </w:r>
      <w:r>
        <w:t>1</w:t>
      </w:r>
      <w:r>
        <w:rPr>
          <w:rFonts w:hint="eastAsia"/>
        </w:rPr>
        <w:t xml:space="preserve"> </w:t>
      </w:r>
      <w:r>
        <w:t>520</w:t>
      </w:r>
      <w:r>
        <w:rPr>
          <w:rFonts w:hint="eastAsia"/>
        </w:rPr>
        <w:t>条，该条规定未达到适当婚龄的人的婚姻问题，以避免施加或执行刑事处罚。我们认为，此条与《民法典》中规定的免予处罚有关，此项规定在性犯罪的受害者与犯罪者结婚的情况下适用。这种好处根据的是通过婚姻来“维护”受害者的“名誉”。因此，《新民法典》维护的是社会赋予妇女的传统角色：婚</w:t>
      </w:r>
      <w:r>
        <w:rPr>
          <w:rFonts w:hint="eastAsia"/>
        </w:rPr>
        <w:t>姻对象。此项规定违反了平等原则，通过婚姻对所犯暴行进行修正并使施暴者逍遥法外，伤害了妇女的尊严和人权。</w:t>
      </w:r>
    </w:p>
    <w:p w:rsidR="00000000" w:rsidRDefault="004D2F83" w:rsidP="004D2F83">
      <w:pPr>
        <w:spacing w:after="240" w:line="360" w:lineRule="exact"/>
        <w:ind w:firstLineChars="200" w:firstLine="31680"/>
        <w:rPr>
          <w:rFonts w:hint="eastAsia"/>
        </w:rPr>
      </w:pPr>
      <w:r>
        <w:rPr>
          <w:rFonts w:hint="eastAsia"/>
        </w:rPr>
        <w:t>值得强调的还有《新民法典》第</w:t>
      </w:r>
      <w:r>
        <w:t>1</w:t>
      </w:r>
      <w:r>
        <w:rPr>
          <w:rFonts w:hint="eastAsia"/>
        </w:rPr>
        <w:t xml:space="preserve"> </w:t>
      </w:r>
      <w:r>
        <w:t>736</w:t>
      </w:r>
      <w:r>
        <w:rPr>
          <w:rFonts w:hint="eastAsia"/>
        </w:rPr>
        <w:t>条第一款，该款规定已婚妇女可拒绝监护权。然而，对于已婚男子没有同等的规则。</w:t>
      </w:r>
    </w:p>
    <w:p w:rsidR="00000000" w:rsidRDefault="004D2F83" w:rsidP="004D2F83">
      <w:pPr>
        <w:spacing w:after="240" w:line="360" w:lineRule="exact"/>
        <w:ind w:firstLineChars="200" w:firstLine="31680"/>
        <w:rPr>
          <w:rFonts w:hint="eastAsia"/>
        </w:rPr>
      </w:pPr>
      <w:r>
        <w:rPr>
          <w:rFonts w:hint="eastAsia"/>
        </w:rPr>
        <w:t>《新民法典》第</w:t>
      </w:r>
      <w:r>
        <w:t>1</w:t>
      </w:r>
      <w:r>
        <w:rPr>
          <w:rFonts w:hint="eastAsia"/>
        </w:rPr>
        <w:t xml:space="preserve"> </w:t>
      </w:r>
      <w:r>
        <w:t>523</w:t>
      </w:r>
      <w:r>
        <w:rPr>
          <w:rFonts w:hint="eastAsia"/>
        </w:rPr>
        <w:t>条犯了时代错误，它规定，寡妇和因婚姻无效而解除或婚姻被废除的妇女只有在守寡开始或婚姻关系解除十个月后方可再婚。这种限制的根据是父子关系方面可能发生混淆，这已经是毫无意义的，因为生物学和医学特别是遗传学的进步，使得通过检验便可能够查明父子关系，这种技术越来越精确且容易获得</w:t>
      </w:r>
      <w:r>
        <w:rPr>
          <w:rFonts w:hint="eastAsia"/>
        </w:rPr>
        <w:t>。</w:t>
      </w:r>
    </w:p>
    <w:p w:rsidR="00000000" w:rsidRDefault="004D2F83" w:rsidP="004D2F83">
      <w:pPr>
        <w:spacing w:after="240" w:line="360" w:lineRule="exact"/>
        <w:ind w:firstLineChars="200" w:firstLine="31680"/>
        <w:rPr>
          <w:rFonts w:hint="eastAsia"/>
        </w:rPr>
      </w:pPr>
      <w:r>
        <w:rPr>
          <w:rFonts w:hint="eastAsia"/>
        </w:rPr>
        <w:t>申明</w:t>
      </w:r>
      <w:r>
        <w:rPr>
          <w:rFonts w:eastAsia="SimHei" w:hint="eastAsia"/>
        </w:rPr>
        <w:t>确实取得了进步这点</w:t>
      </w:r>
      <w:r>
        <w:rPr>
          <w:rFonts w:hint="eastAsia"/>
        </w:rPr>
        <w:t>很重要。这是历史性的时刻，标志着巴西妇女在过去二十多年里开展的斗争取得了重大胜利。因此，我们期待着《新民法典》在</w:t>
      </w:r>
      <w:r>
        <w:rPr>
          <w:rFonts w:hint="eastAsia"/>
        </w:rPr>
        <w:t>2003</w:t>
      </w:r>
      <w:r>
        <w:rPr>
          <w:rFonts w:hint="eastAsia"/>
        </w:rPr>
        <w:t>年</w:t>
      </w:r>
      <w:r>
        <w:rPr>
          <w:rFonts w:hint="eastAsia"/>
        </w:rPr>
        <w:t>1</w:t>
      </w:r>
      <w:r>
        <w:rPr>
          <w:rFonts w:hint="eastAsia"/>
        </w:rPr>
        <w:t>月生效，以便现行法典中所载的歧视性规则能够真正消除，在家庭法领域里建立起能够履行平等和不歧视原则的新秩序。</w:t>
      </w:r>
    </w:p>
    <w:p w:rsidR="00000000" w:rsidRDefault="004D2F83" w:rsidP="004D2F83">
      <w:pPr>
        <w:spacing w:after="240" w:line="360" w:lineRule="exact"/>
        <w:ind w:firstLineChars="200" w:firstLine="31680"/>
        <w:rPr>
          <w:rFonts w:hint="eastAsia"/>
        </w:rPr>
      </w:pPr>
      <w:r>
        <w:rPr>
          <w:rFonts w:hint="eastAsia"/>
        </w:rPr>
        <w:t>然而，关于《公约》第</w:t>
      </w:r>
      <w:r>
        <w:rPr>
          <w:rFonts w:hint="eastAsia"/>
        </w:rPr>
        <w:t>15</w:t>
      </w:r>
      <w:r>
        <w:rPr>
          <w:rFonts w:hint="eastAsia"/>
        </w:rPr>
        <w:t>和第</w:t>
      </w:r>
      <w:r>
        <w:rPr>
          <w:rFonts w:hint="eastAsia"/>
        </w:rPr>
        <w:t>16</w:t>
      </w:r>
      <w:r>
        <w:rPr>
          <w:rFonts w:hint="eastAsia"/>
        </w:rPr>
        <w:t>条，有必要强调的是，将在民法和家庭法范围内特别就巴西立法的规定做出评论。具体到《刑法典》，《公约》第</w:t>
      </w:r>
      <w:r>
        <w:rPr>
          <w:rFonts w:hint="eastAsia"/>
        </w:rPr>
        <w:t>1</w:t>
      </w:r>
      <w:r>
        <w:rPr>
          <w:rFonts w:hint="eastAsia"/>
        </w:rPr>
        <w:t>和第</w:t>
      </w:r>
      <w:r>
        <w:rPr>
          <w:rFonts w:hint="eastAsia"/>
        </w:rPr>
        <w:t>2</w:t>
      </w:r>
      <w:r>
        <w:rPr>
          <w:rFonts w:hint="eastAsia"/>
        </w:rPr>
        <w:t>条的评注值得一读。</w:t>
      </w:r>
    </w:p>
    <w:p w:rsidR="00000000" w:rsidRDefault="004D2F83">
      <w:pPr>
        <w:spacing w:after="240" w:line="360" w:lineRule="exact"/>
        <w:rPr>
          <w:rFonts w:eastAsia="SimHei" w:hint="eastAsia"/>
          <w:sz w:val="24"/>
        </w:rPr>
      </w:pPr>
      <w:r>
        <w:rPr>
          <w:rFonts w:eastAsia="SimHei" w:hint="eastAsia"/>
          <w:sz w:val="24"/>
        </w:rPr>
        <w:t>联邦立法</w:t>
      </w:r>
    </w:p>
    <w:p w:rsidR="00000000" w:rsidRDefault="004D2F83">
      <w:pPr>
        <w:spacing w:after="240" w:line="360" w:lineRule="exact"/>
        <w:rPr>
          <w:rFonts w:ascii="KaiTi_GB2312" w:eastAsia="KaiTi_GB2312" w:hint="eastAsia"/>
          <w:b/>
          <w:bCs/>
        </w:rPr>
      </w:pPr>
      <w:r>
        <w:rPr>
          <w:rFonts w:ascii="KaiTi_GB2312" w:eastAsia="KaiTi_GB2312" w:hint="eastAsia"/>
          <w:b/>
          <w:bCs/>
        </w:rPr>
        <w:t>关于《公约》第</w:t>
      </w:r>
      <w:r>
        <w:rPr>
          <w:rFonts w:ascii="KaiTi_GB2312" w:eastAsia="KaiTi_GB2312" w:hint="eastAsia"/>
          <w:b/>
          <w:bCs/>
        </w:rPr>
        <w:t>15</w:t>
      </w:r>
      <w:r>
        <w:rPr>
          <w:rFonts w:ascii="KaiTi_GB2312" w:eastAsia="KaiTi_GB2312" w:hint="eastAsia"/>
          <w:b/>
          <w:bCs/>
        </w:rPr>
        <w:t>条第</w:t>
      </w:r>
      <w:r>
        <w:rPr>
          <w:rFonts w:ascii="KaiTi_GB2312" w:eastAsia="KaiTi_GB2312" w:hint="eastAsia"/>
          <w:b/>
          <w:bCs/>
        </w:rPr>
        <w:t>1</w:t>
      </w:r>
      <w:r>
        <w:rPr>
          <w:rFonts w:ascii="KaiTi_GB2312" w:eastAsia="KaiTi_GB2312" w:hint="eastAsia"/>
          <w:b/>
          <w:bCs/>
        </w:rPr>
        <w:t>、第</w:t>
      </w:r>
      <w:r>
        <w:rPr>
          <w:rFonts w:ascii="KaiTi_GB2312" w:eastAsia="KaiTi_GB2312" w:hint="eastAsia"/>
          <w:b/>
          <w:bCs/>
        </w:rPr>
        <w:t>2</w:t>
      </w:r>
      <w:r>
        <w:rPr>
          <w:rFonts w:ascii="KaiTi_GB2312" w:eastAsia="KaiTi_GB2312" w:hint="eastAsia"/>
          <w:b/>
          <w:bCs/>
        </w:rPr>
        <w:t>和第</w:t>
      </w:r>
      <w:r>
        <w:rPr>
          <w:rFonts w:ascii="KaiTi_GB2312" w:eastAsia="KaiTi_GB2312" w:hint="eastAsia"/>
          <w:b/>
          <w:bCs/>
        </w:rPr>
        <w:t>3</w:t>
      </w:r>
      <w:r>
        <w:rPr>
          <w:rFonts w:ascii="KaiTi_GB2312" w:eastAsia="KaiTi_GB2312" w:hint="eastAsia"/>
          <w:b/>
          <w:bCs/>
        </w:rPr>
        <w:t>款：</w:t>
      </w:r>
    </w:p>
    <w:p w:rsidR="00000000" w:rsidRDefault="004D2F83" w:rsidP="004D2F83">
      <w:pPr>
        <w:spacing w:after="240" w:line="360" w:lineRule="exact"/>
        <w:ind w:firstLineChars="200" w:firstLine="31680"/>
        <w:rPr>
          <w:rFonts w:hint="eastAsia"/>
        </w:rPr>
      </w:pPr>
      <w:r>
        <w:rPr>
          <w:rFonts w:hint="eastAsia"/>
        </w:rPr>
        <w:t>关于目前仍然有效的</w:t>
      </w:r>
      <w:r>
        <w:rPr>
          <w:rFonts w:hint="eastAsia"/>
        </w:rPr>
        <w:t>1916</w:t>
      </w:r>
      <w:r>
        <w:rPr>
          <w:rFonts w:hint="eastAsia"/>
        </w:rPr>
        <w:t>年的《民法典》，</w:t>
      </w:r>
      <w:r>
        <w:rPr>
          <w:rFonts w:hint="eastAsia"/>
        </w:rPr>
        <w:t>值得一提的是以下各条款，它们表明歧视性规定持续了相当长的时间。同样，通过</w:t>
      </w:r>
      <w:r>
        <w:rPr>
          <w:rFonts w:hint="eastAsia"/>
        </w:rPr>
        <w:t>2003</w:t>
      </w:r>
      <w:r>
        <w:rPr>
          <w:rFonts w:hint="eastAsia"/>
        </w:rPr>
        <w:t>年</w:t>
      </w:r>
      <w:r>
        <w:rPr>
          <w:rFonts w:hint="eastAsia"/>
        </w:rPr>
        <w:t>1</w:t>
      </w:r>
      <w:r>
        <w:rPr>
          <w:rFonts w:hint="eastAsia"/>
        </w:rPr>
        <w:t>月</w:t>
      </w:r>
      <w:r>
        <w:rPr>
          <w:rFonts w:hint="eastAsia"/>
        </w:rPr>
        <w:t>11</w:t>
      </w:r>
      <w:r>
        <w:rPr>
          <w:rFonts w:hint="eastAsia"/>
        </w:rPr>
        <w:t>日即将生效的《新民法典》来消除这些规定，将标志着重要的进步：</w:t>
      </w:r>
    </w:p>
    <w:p w:rsidR="00000000" w:rsidRDefault="004D2F83">
      <w:pPr>
        <w:numPr>
          <w:ilvl w:val="0"/>
          <w:numId w:val="748"/>
        </w:numPr>
        <w:tabs>
          <w:tab w:val="clear" w:pos="420"/>
          <w:tab w:val="num" w:pos="840"/>
        </w:tabs>
        <w:spacing w:after="240" w:line="360" w:lineRule="exact"/>
        <w:ind w:left="839" w:hanging="425"/>
        <w:rPr>
          <w:rFonts w:hint="eastAsia"/>
        </w:rPr>
      </w:pPr>
      <w:r>
        <w:rPr>
          <w:rFonts w:hint="eastAsia"/>
        </w:rPr>
        <w:t>第</w:t>
      </w:r>
      <w:r>
        <w:rPr>
          <w:rFonts w:hint="eastAsia"/>
        </w:rPr>
        <w:t>36</w:t>
      </w:r>
      <w:r>
        <w:rPr>
          <w:rFonts w:hint="eastAsia"/>
        </w:rPr>
        <w:t>条单立款规定，已婚妇女的居所应为其丈夫的居所，除非她已分居（第</w:t>
      </w:r>
      <w:r>
        <w:rPr>
          <w:rFonts w:hint="eastAsia"/>
        </w:rPr>
        <w:t>315</w:t>
      </w:r>
      <w:r>
        <w:rPr>
          <w:rFonts w:hint="eastAsia"/>
        </w:rPr>
        <w:t>条），或负责管理配偶的财产（第</w:t>
      </w:r>
      <w:r>
        <w:rPr>
          <w:rFonts w:hint="eastAsia"/>
        </w:rPr>
        <w:t>251</w:t>
      </w:r>
      <w:r>
        <w:rPr>
          <w:rFonts w:hint="eastAsia"/>
        </w:rPr>
        <w:t>条）；</w:t>
      </w:r>
    </w:p>
    <w:p w:rsidR="00000000" w:rsidRDefault="004D2F83">
      <w:pPr>
        <w:numPr>
          <w:ilvl w:val="0"/>
          <w:numId w:val="748"/>
        </w:numPr>
        <w:tabs>
          <w:tab w:val="clear" w:pos="420"/>
          <w:tab w:val="num" w:pos="840"/>
        </w:tabs>
        <w:spacing w:after="240" w:line="360" w:lineRule="exact"/>
        <w:ind w:left="839" w:hanging="425"/>
        <w:rPr>
          <w:rFonts w:hint="eastAsia"/>
        </w:rPr>
      </w:pPr>
      <w:r>
        <w:rPr>
          <w:rFonts w:hint="eastAsia"/>
        </w:rPr>
        <w:t>第</w:t>
      </w:r>
      <w:r>
        <w:rPr>
          <w:rFonts w:hint="eastAsia"/>
        </w:rPr>
        <w:t>219</w:t>
      </w:r>
      <w:r>
        <w:rPr>
          <w:rFonts w:hint="eastAsia"/>
        </w:rPr>
        <w:t>条第四项和第</w:t>
      </w:r>
      <w:r>
        <w:rPr>
          <w:rFonts w:hint="eastAsia"/>
        </w:rPr>
        <w:t>178</w:t>
      </w:r>
      <w:r>
        <w:rPr>
          <w:rFonts w:hint="eastAsia"/>
        </w:rPr>
        <w:t>条第</w:t>
      </w:r>
      <w:r>
        <w:rPr>
          <w:rFonts w:hint="eastAsia"/>
        </w:rPr>
        <w:t>1</w:t>
      </w:r>
      <w:r>
        <w:rPr>
          <w:rFonts w:hint="eastAsia"/>
        </w:rPr>
        <w:t>款认为，妇女失身而对丈夫隐瞒是女方的重大过错，并规定该丈夫在举行婚礼后十天内可采取行动，宣布他与已经失身妇女的婚姻无效；</w:t>
      </w:r>
    </w:p>
    <w:p w:rsidR="00000000" w:rsidRDefault="004D2F83">
      <w:pPr>
        <w:numPr>
          <w:ilvl w:val="0"/>
          <w:numId w:val="748"/>
        </w:numPr>
        <w:tabs>
          <w:tab w:val="clear" w:pos="420"/>
          <w:tab w:val="num" w:pos="840"/>
        </w:tabs>
        <w:spacing w:after="240" w:line="360" w:lineRule="exact"/>
        <w:ind w:left="839" w:hanging="425"/>
        <w:rPr>
          <w:rFonts w:hint="eastAsia"/>
        </w:rPr>
      </w:pPr>
      <w:r>
        <w:rPr>
          <w:rFonts w:hint="eastAsia"/>
        </w:rPr>
        <w:t>第</w:t>
      </w:r>
      <w:r>
        <w:rPr>
          <w:rFonts w:hint="eastAsia"/>
        </w:rPr>
        <w:t>247</w:t>
      </w:r>
      <w:r>
        <w:rPr>
          <w:rFonts w:hint="eastAsia"/>
        </w:rPr>
        <w:t>条规定，</w:t>
      </w:r>
      <w:r>
        <w:rPr>
          <w:rFonts w:eastAsia="KaiTi_GB2312" w:hint="eastAsia"/>
        </w:rPr>
        <w:t>“妻子应当听从丈夫的命令：一、购买（即使用贷款）理家所必需的物品；二、通</w:t>
      </w:r>
      <w:r>
        <w:rPr>
          <w:rFonts w:eastAsia="KaiTi_GB2312" w:hint="eastAsia"/>
        </w:rPr>
        <w:t>过贷款获得购买这些物品所需的款项；三、履行与工作有关的义务，或经其丈夫或法院批准她所从事的职业方面的义务。单立款：妇女担任公职或在婚姻家庭外从事职业工作达六个月以上，应被视为得到丈夫的批准”。</w:t>
      </w:r>
    </w:p>
    <w:p w:rsidR="00000000" w:rsidRDefault="004D2F83">
      <w:pPr>
        <w:numPr>
          <w:ilvl w:val="0"/>
          <w:numId w:val="748"/>
        </w:numPr>
        <w:tabs>
          <w:tab w:val="clear" w:pos="420"/>
          <w:tab w:val="num" w:pos="840"/>
        </w:tabs>
        <w:spacing w:after="240" w:line="360" w:lineRule="exact"/>
        <w:ind w:left="839" w:hanging="425"/>
        <w:rPr>
          <w:rFonts w:hint="eastAsia"/>
        </w:rPr>
      </w:pPr>
      <w:r>
        <w:rPr>
          <w:rFonts w:hint="eastAsia"/>
        </w:rPr>
        <w:t>第</w:t>
      </w:r>
      <w:r>
        <w:rPr>
          <w:rFonts w:hint="eastAsia"/>
        </w:rPr>
        <w:t>251</w:t>
      </w:r>
      <w:r>
        <w:rPr>
          <w:rFonts w:hint="eastAsia"/>
        </w:rPr>
        <w:t>条指出，</w:t>
      </w:r>
      <w:r>
        <w:rPr>
          <w:rFonts w:eastAsia="KaiTi_GB2312" w:hint="eastAsia"/>
        </w:rPr>
        <w:t>“丈夫在下列情况下，妇女负责管理配偶的财产：一、在远方或下落不明；二、被囚禁两年以上；三、法律上无行为能力。单立款：在这种情况下，妇女应负责：一、管理共同财产；二、处置财产和转让共同的不动产以及丈夫的不动产；三、管理丈夫的不动产；四。在得到法院特别授权时，转让共同的不动产以及丈夫的不动产”。</w:t>
      </w:r>
    </w:p>
    <w:p w:rsidR="00000000" w:rsidRDefault="004D2F83" w:rsidP="004D2F83">
      <w:pPr>
        <w:spacing w:after="240" w:line="360" w:lineRule="exact"/>
        <w:ind w:firstLineChars="200" w:firstLine="31680"/>
        <w:rPr>
          <w:rFonts w:hint="eastAsia"/>
        </w:rPr>
      </w:pPr>
      <w:r>
        <w:rPr>
          <w:rFonts w:hint="eastAsia"/>
        </w:rPr>
        <w:t>关于该法</w:t>
      </w:r>
      <w:r>
        <w:rPr>
          <w:rFonts w:hint="eastAsia"/>
        </w:rPr>
        <w:t>律文书，值得一提的是，下列规定与《联邦宪法》不一致：</w:t>
      </w:r>
    </w:p>
    <w:p w:rsidR="00000000" w:rsidRDefault="004D2F83">
      <w:pPr>
        <w:numPr>
          <w:ilvl w:val="0"/>
          <w:numId w:val="748"/>
        </w:numPr>
        <w:tabs>
          <w:tab w:val="clear" w:pos="420"/>
          <w:tab w:val="num" w:pos="840"/>
        </w:tabs>
        <w:spacing w:after="240" w:line="360" w:lineRule="exact"/>
        <w:ind w:left="839" w:hanging="425"/>
        <w:rPr>
          <w:rFonts w:hint="eastAsia"/>
        </w:rPr>
      </w:pPr>
      <w:r>
        <w:rPr>
          <w:rFonts w:hint="eastAsia"/>
        </w:rPr>
        <w:t>第</w:t>
      </w:r>
      <w:r>
        <w:t>1</w:t>
      </w:r>
      <w:r>
        <w:rPr>
          <w:rFonts w:hint="eastAsia"/>
        </w:rPr>
        <w:t xml:space="preserve"> </w:t>
      </w:r>
      <w:r>
        <w:t>538</w:t>
      </w:r>
      <w:r>
        <w:rPr>
          <w:rFonts w:hint="eastAsia"/>
        </w:rPr>
        <w:t>条规定，在受害者受伤或健康遭受任何其他伤害的情况下，犯罪者除了支付相应于中等惩治水平的罚金之外，应补偿受害者的医疗费和收益损失直至其康复为止。该条第</w:t>
      </w:r>
      <w:r>
        <w:rPr>
          <w:rFonts w:hint="eastAsia"/>
        </w:rPr>
        <w:t>2</w:t>
      </w:r>
      <w:r>
        <w:rPr>
          <w:rFonts w:hint="eastAsia"/>
        </w:rPr>
        <w:t>款规定，如果致残的受害者是单身妇女或能够再婚的寡妇，该赔偿金应包括与犯罪者财产、犯罪情节和伤害严重程度相称的嫁妆。</w:t>
      </w:r>
    </w:p>
    <w:p w:rsidR="00000000" w:rsidRDefault="004D2F83">
      <w:pPr>
        <w:numPr>
          <w:ilvl w:val="0"/>
          <w:numId w:val="748"/>
        </w:numPr>
        <w:tabs>
          <w:tab w:val="clear" w:pos="420"/>
          <w:tab w:val="num" w:pos="840"/>
        </w:tabs>
        <w:spacing w:after="240" w:line="360" w:lineRule="exact"/>
        <w:ind w:left="839" w:hanging="425"/>
        <w:rPr>
          <w:rFonts w:hint="eastAsia"/>
        </w:rPr>
      </w:pPr>
      <w:r>
        <w:rPr>
          <w:rFonts w:hint="eastAsia"/>
        </w:rPr>
        <w:t>第</w:t>
      </w:r>
      <w:r>
        <w:t>1</w:t>
      </w:r>
      <w:r>
        <w:rPr>
          <w:rFonts w:hint="eastAsia"/>
        </w:rPr>
        <w:t xml:space="preserve"> </w:t>
      </w:r>
      <w:r>
        <w:t>548</w:t>
      </w:r>
      <w:r>
        <w:rPr>
          <w:rFonts w:hint="eastAsia"/>
        </w:rPr>
        <w:t>条规定，如果犯罪者无法或拒绝通过婚姻来弥补所造成的损害，名誉遭受损害的妇女则有权向犯罪者要求与其自身条件和状况相称的嫁妆。在下列情况下，妇女的名誉将受到损害：是处女且未</w:t>
      </w:r>
      <w:r>
        <w:rPr>
          <w:rFonts w:hint="eastAsia"/>
        </w:rPr>
        <w:t>成年；失身；是个诚实的妇女并且遭受了性虐待或威胁恐吓；被婚姻承诺所诱骗；被诱拐；</w:t>
      </w:r>
    </w:p>
    <w:p w:rsidR="00000000" w:rsidRDefault="004D2F83">
      <w:pPr>
        <w:numPr>
          <w:ilvl w:val="0"/>
          <w:numId w:val="748"/>
        </w:numPr>
        <w:tabs>
          <w:tab w:val="clear" w:pos="420"/>
          <w:tab w:val="num" w:pos="840"/>
        </w:tabs>
        <w:spacing w:after="240" w:line="360" w:lineRule="exact"/>
        <w:ind w:left="839" w:hanging="425"/>
        <w:rPr>
          <w:rFonts w:hint="eastAsia"/>
        </w:rPr>
      </w:pPr>
      <w:r>
        <w:rPr>
          <w:rFonts w:hint="eastAsia"/>
        </w:rPr>
        <w:t>第</w:t>
      </w:r>
      <w:r>
        <w:t>1</w:t>
      </w:r>
      <w:r>
        <w:rPr>
          <w:rFonts w:hint="eastAsia"/>
        </w:rPr>
        <w:t xml:space="preserve"> </w:t>
      </w:r>
      <w:r>
        <w:t>744</w:t>
      </w:r>
      <w:r>
        <w:rPr>
          <w:rFonts w:hint="eastAsia"/>
        </w:rPr>
        <w:t>条规定，除第</w:t>
      </w:r>
      <w:r>
        <w:t>1</w:t>
      </w:r>
      <w:r>
        <w:rPr>
          <w:rFonts w:hint="eastAsia"/>
        </w:rPr>
        <w:t xml:space="preserve"> </w:t>
      </w:r>
      <w:r>
        <w:t>595</w:t>
      </w:r>
      <w:r>
        <w:rPr>
          <w:rFonts w:hint="eastAsia"/>
        </w:rPr>
        <w:t>条提到的原因外，如果证实在父亲家生活的女儿“不诚实”，父母有权取消其继承权。</w:t>
      </w:r>
    </w:p>
    <w:p w:rsidR="00000000" w:rsidRDefault="004D2F83" w:rsidP="004D2F83">
      <w:pPr>
        <w:spacing w:after="240" w:line="360" w:lineRule="exact"/>
        <w:ind w:firstLineChars="200" w:firstLine="31680"/>
        <w:rPr>
          <w:rFonts w:hint="eastAsia"/>
        </w:rPr>
      </w:pPr>
      <w:r>
        <w:rPr>
          <w:rFonts w:eastAsia="KaiTi_GB2312" w:hint="eastAsia"/>
          <w:b/>
          <w:bCs/>
        </w:rPr>
        <w:t>《已婚妇女法规》</w:t>
      </w:r>
      <w:r>
        <w:rPr>
          <w:rFonts w:hint="eastAsia"/>
        </w:rPr>
        <w:t>的颁布标志着取得了一大进步，该法规消除了《刑法典》中的以下规定：认为已婚妇女不太有能力，将其同荡妇、印第安人和青春发动期的未成年人放在一起。该法规还废除了已婚妇女从事商业活动须经丈夫批准这一要求。制订该法规的</w:t>
      </w:r>
      <w:r>
        <w:rPr>
          <w:rFonts w:hint="eastAsia"/>
        </w:rPr>
        <w:t>1962</w:t>
      </w:r>
      <w:r>
        <w:rPr>
          <w:rFonts w:hint="eastAsia"/>
        </w:rPr>
        <w:t>年</w:t>
      </w:r>
      <w:r>
        <w:rPr>
          <w:rFonts w:hint="eastAsia"/>
        </w:rPr>
        <w:t>8</w:t>
      </w:r>
      <w:r>
        <w:rPr>
          <w:rFonts w:hint="eastAsia"/>
        </w:rPr>
        <w:t>月</w:t>
      </w:r>
      <w:r>
        <w:rPr>
          <w:rFonts w:hint="eastAsia"/>
        </w:rPr>
        <w:t>27</w:t>
      </w:r>
      <w:r>
        <w:rPr>
          <w:rFonts w:hint="eastAsia"/>
        </w:rPr>
        <w:t>日第</w:t>
      </w:r>
      <w:r>
        <w:t>4</w:t>
      </w:r>
      <w:r>
        <w:rPr>
          <w:rFonts w:hint="eastAsia"/>
        </w:rPr>
        <w:t xml:space="preserve"> </w:t>
      </w:r>
      <w:r>
        <w:t>121</w:t>
      </w:r>
      <w:r>
        <w:rPr>
          <w:rFonts w:hint="eastAsia"/>
        </w:rPr>
        <w:t>号法律修改了《民法典》第</w:t>
      </w:r>
      <w:r>
        <w:rPr>
          <w:rFonts w:hint="eastAsia"/>
        </w:rPr>
        <w:t>233</w:t>
      </w:r>
      <w:r>
        <w:rPr>
          <w:rFonts w:hint="eastAsia"/>
        </w:rPr>
        <w:t>条的原文，该条赋予了男子对婚姻家</w:t>
      </w:r>
      <w:r>
        <w:rPr>
          <w:rFonts w:hint="eastAsia"/>
        </w:rPr>
        <w:t>庭的控制权。此项控制权现与妇女共享，以维护配偶及子女的共同利益。</w:t>
      </w:r>
    </w:p>
    <w:p w:rsidR="00000000" w:rsidRDefault="004D2F83" w:rsidP="004D2F83">
      <w:pPr>
        <w:spacing w:after="240" w:line="360" w:lineRule="exact"/>
        <w:ind w:firstLineChars="200" w:firstLine="31680"/>
        <w:rPr>
          <w:rFonts w:hint="eastAsia"/>
        </w:rPr>
      </w:pPr>
      <w:r>
        <w:rPr>
          <w:rFonts w:hint="eastAsia"/>
        </w:rPr>
        <w:t>值得一提的是，</w:t>
      </w:r>
      <w:r>
        <w:rPr>
          <w:rFonts w:eastAsia="KaiTi_GB2312" w:hint="eastAsia"/>
          <w:b/>
          <w:bCs/>
        </w:rPr>
        <w:t>《巴西新民法典》</w:t>
      </w:r>
      <w:r>
        <w:rPr>
          <w:rFonts w:hint="eastAsia"/>
        </w:rPr>
        <w:t>赋予了妇女“做决定权”，例如，就择居做出决定。在决定由男子做出的异常情况下，如果问题是重要的且不具有个人性质，妇女有权向法庭起诉以争取实现她的愿望（第</w:t>
      </w:r>
      <w:r>
        <w:t>1</w:t>
      </w:r>
      <w:r>
        <w:rPr>
          <w:rFonts w:hint="eastAsia"/>
        </w:rPr>
        <w:t xml:space="preserve"> </w:t>
      </w:r>
      <w:r>
        <w:t>569</w:t>
      </w:r>
      <w:r>
        <w:rPr>
          <w:rFonts w:hint="eastAsia"/>
        </w:rPr>
        <w:t>和第</w:t>
      </w:r>
      <w:r>
        <w:t>1567</w:t>
      </w:r>
      <w:r>
        <w:rPr>
          <w:rFonts w:hint="eastAsia"/>
        </w:rPr>
        <w:t>条，单立款）。</w:t>
      </w:r>
    </w:p>
    <w:p w:rsidR="00000000" w:rsidRDefault="004D2F83" w:rsidP="004D2F83">
      <w:pPr>
        <w:spacing w:after="240" w:line="360" w:lineRule="exact"/>
        <w:ind w:firstLineChars="200" w:firstLine="31680"/>
        <w:rPr>
          <w:rFonts w:hint="eastAsia"/>
        </w:rPr>
      </w:pPr>
      <w:r>
        <w:rPr>
          <w:rFonts w:hint="eastAsia"/>
        </w:rPr>
        <w:t>与</w:t>
      </w:r>
      <w:r>
        <w:rPr>
          <w:rFonts w:eastAsia="KaiTi_GB2312" w:hint="eastAsia"/>
          <w:b/>
          <w:bCs/>
        </w:rPr>
        <w:t>《刑法典》</w:t>
      </w:r>
      <w:r>
        <w:rPr>
          <w:rFonts w:hint="eastAsia"/>
          <w:b/>
          <w:bCs/>
        </w:rPr>
        <w:t>有</w:t>
      </w:r>
      <w:r>
        <w:rPr>
          <w:rFonts w:hint="eastAsia"/>
        </w:rPr>
        <w:t>关的方面请参阅《公约》第</w:t>
      </w:r>
      <w:r>
        <w:rPr>
          <w:rFonts w:hint="eastAsia"/>
        </w:rPr>
        <w:t>1</w:t>
      </w:r>
      <w:r>
        <w:rPr>
          <w:rFonts w:hint="eastAsia"/>
        </w:rPr>
        <w:t>和第</w:t>
      </w:r>
      <w:r>
        <w:rPr>
          <w:rFonts w:hint="eastAsia"/>
        </w:rPr>
        <w:t>2</w:t>
      </w:r>
      <w:r>
        <w:rPr>
          <w:rFonts w:hint="eastAsia"/>
        </w:rPr>
        <w:t>条的评注。</w:t>
      </w:r>
    </w:p>
    <w:p w:rsidR="00000000" w:rsidRDefault="004D2F83">
      <w:pPr>
        <w:spacing w:after="240" w:line="360" w:lineRule="exact"/>
        <w:rPr>
          <w:rFonts w:eastAsia="KaiTi_GB2312" w:hint="eastAsia"/>
          <w:b/>
          <w:bCs/>
        </w:rPr>
      </w:pPr>
      <w:r>
        <w:rPr>
          <w:rFonts w:eastAsia="KaiTi_GB2312" w:hint="eastAsia"/>
          <w:b/>
          <w:bCs/>
        </w:rPr>
        <w:t>关于《公约》第</w:t>
      </w:r>
      <w:r>
        <w:rPr>
          <w:rFonts w:eastAsia="KaiTi_GB2312" w:hint="eastAsia"/>
          <w:b/>
          <w:bCs/>
        </w:rPr>
        <w:t>15</w:t>
      </w:r>
      <w:r>
        <w:rPr>
          <w:rFonts w:eastAsia="KaiTi_GB2312" w:hint="eastAsia"/>
          <w:b/>
          <w:bCs/>
        </w:rPr>
        <w:t>条第</w:t>
      </w:r>
      <w:r>
        <w:rPr>
          <w:rFonts w:eastAsia="KaiTi_GB2312" w:hint="eastAsia"/>
          <w:b/>
          <w:bCs/>
        </w:rPr>
        <w:t>4</w:t>
      </w:r>
      <w:r>
        <w:rPr>
          <w:rFonts w:eastAsia="KaiTi_GB2312" w:hint="eastAsia"/>
          <w:b/>
          <w:bCs/>
        </w:rPr>
        <w:t>款：</w:t>
      </w:r>
    </w:p>
    <w:p w:rsidR="00000000" w:rsidRDefault="004D2F83" w:rsidP="004D2F83">
      <w:pPr>
        <w:spacing w:after="240" w:line="360" w:lineRule="exact"/>
        <w:ind w:firstLineChars="200" w:firstLine="31680"/>
        <w:rPr>
          <w:rFonts w:hint="eastAsia"/>
        </w:rPr>
      </w:pPr>
      <w:r>
        <w:rPr>
          <w:rFonts w:hint="eastAsia"/>
        </w:rPr>
        <w:t>关于择居自由，《民法典》第</w:t>
      </w:r>
      <w:r>
        <w:rPr>
          <w:rFonts w:hint="eastAsia"/>
        </w:rPr>
        <w:t>233</w:t>
      </w:r>
      <w:r>
        <w:rPr>
          <w:rFonts w:hint="eastAsia"/>
        </w:rPr>
        <w:t>条第三项确保丈夫有择居权，妻子应同意丈夫的选择。在这种情况下，该条款几乎全文指出，</w:t>
      </w:r>
      <w:r>
        <w:rPr>
          <w:rFonts w:hint="eastAsia"/>
        </w:rPr>
        <w:t>1988</w:t>
      </w:r>
      <w:r>
        <w:rPr>
          <w:rFonts w:hint="eastAsia"/>
        </w:rPr>
        <w:t>年《联邦宪法》没有</w:t>
      </w:r>
      <w:r>
        <w:rPr>
          <w:rFonts w:hint="eastAsia"/>
        </w:rPr>
        <w:t>采用这一规定，因为妇女</w:t>
      </w:r>
      <w:r>
        <w:rPr>
          <w:rFonts w:eastAsia="KaiTi_GB2312" w:hint="eastAsia"/>
          <w:b/>
          <w:bCs/>
        </w:rPr>
        <w:t>拥有</w:t>
      </w:r>
      <w:r>
        <w:rPr>
          <w:rFonts w:hint="eastAsia"/>
        </w:rPr>
        <w:t>选择婚后居所的权利。在这方面，</w:t>
      </w:r>
      <w:r>
        <w:rPr>
          <w:rFonts w:eastAsia="KaiTi_GB2312" w:hint="eastAsia"/>
          <w:b/>
          <w:bCs/>
        </w:rPr>
        <w:t>《新民法典》</w:t>
      </w:r>
      <w:r>
        <w:rPr>
          <w:rFonts w:hint="eastAsia"/>
        </w:rPr>
        <w:t>第</w:t>
      </w:r>
      <w:r>
        <w:t>1569</w:t>
      </w:r>
      <w:r>
        <w:rPr>
          <w:rFonts w:hint="eastAsia"/>
        </w:rPr>
        <w:t>条规定，</w:t>
      </w:r>
      <w:r>
        <w:rPr>
          <w:rFonts w:eastAsia="KaiTi_GB2312" w:hint="eastAsia"/>
        </w:rPr>
        <w:t>“配偶的居所应由配偶双方选择，尽管一方可能离开婚后居所去履行公务、从事其专业活动或寻求相关的个人利益”。</w:t>
      </w:r>
    </w:p>
    <w:p w:rsidR="00000000" w:rsidRDefault="004D2F83" w:rsidP="004D2F83">
      <w:pPr>
        <w:spacing w:after="240" w:line="360" w:lineRule="exact"/>
        <w:ind w:firstLineChars="200" w:firstLine="31680"/>
        <w:rPr>
          <w:rFonts w:hint="eastAsia"/>
        </w:rPr>
      </w:pPr>
      <w:r>
        <w:rPr>
          <w:rFonts w:hint="eastAsia"/>
        </w:rPr>
        <w:t>不过，巴西的法律仍规定在下列情况下，妇女可离开婚后居所：如果丈夫对妻子没有应有的尊重和照顾；如果丈夫打算让她跟自己一起过流浪生活或与他一起移居以逃避刑事定罪；如果丈夫任性地迁移到不适合居住、不健康或不舒适的地方。</w:t>
      </w:r>
    </w:p>
    <w:p w:rsidR="00000000" w:rsidRDefault="004D2F83" w:rsidP="004D2F83">
      <w:pPr>
        <w:spacing w:after="240" w:line="360" w:lineRule="exact"/>
        <w:ind w:firstLineChars="200" w:firstLine="31680"/>
        <w:rPr>
          <w:rFonts w:hint="eastAsia"/>
        </w:rPr>
      </w:pPr>
      <w:r>
        <w:rPr>
          <w:rFonts w:hint="eastAsia"/>
        </w:rPr>
        <w:t>妻子与丈夫在违反同居义务方面也有差别。如果妻子违反了这一义务：</w:t>
      </w:r>
      <w:r>
        <w:rPr>
          <w:rFonts w:hint="eastAsia"/>
        </w:rPr>
        <w:t>1</w:t>
      </w:r>
      <w:r>
        <w:rPr>
          <w:rFonts w:hint="eastAsia"/>
        </w:rPr>
        <w:t>）丈夫扶养她的义务将终止；</w:t>
      </w:r>
      <w:r>
        <w:rPr>
          <w:rFonts w:hint="eastAsia"/>
        </w:rPr>
        <w:t>2</w:t>
      </w:r>
      <w:r>
        <w:rPr>
          <w:rFonts w:hint="eastAsia"/>
        </w:rPr>
        <w:t>）可以决定代表</w:t>
      </w:r>
      <w:r>
        <w:rPr>
          <w:rFonts w:hint="eastAsia"/>
        </w:rPr>
        <w:t>丈夫和子女暂扣她的个人收入（《民法典》第</w:t>
      </w:r>
      <w:r>
        <w:rPr>
          <w:rFonts w:hint="eastAsia"/>
        </w:rPr>
        <w:t>234</w:t>
      </w:r>
      <w:r>
        <w:rPr>
          <w:rFonts w:hint="eastAsia"/>
        </w:rPr>
        <w:t>条和联邦最高法院第</w:t>
      </w:r>
      <w:r>
        <w:rPr>
          <w:rFonts w:hint="eastAsia"/>
        </w:rPr>
        <w:t>379</w:t>
      </w:r>
      <w:r>
        <w:rPr>
          <w:rFonts w:hint="eastAsia"/>
        </w:rPr>
        <w:t>号摘要）；</w:t>
      </w:r>
      <w:r>
        <w:rPr>
          <w:rFonts w:hint="eastAsia"/>
        </w:rPr>
        <w:t>3</w:t>
      </w:r>
      <w:r>
        <w:rPr>
          <w:rFonts w:hint="eastAsia"/>
        </w:rPr>
        <w:t>）如果在丈夫去世时她没有与他住在一起，她不能被指定为遗产管理人（《民法典》第</w:t>
      </w:r>
      <w:r>
        <w:rPr>
          <w:rFonts w:hint="eastAsia"/>
        </w:rPr>
        <w:t>579</w:t>
      </w:r>
      <w:r>
        <w:rPr>
          <w:rFonts w:hint="eastAsia"/>
        </w:rPr>
        <w:t>条第</w:t>
      </w:r>
      <w:r>
        <w:rPr>
          <w:rFonts w:hint="eastAsia"/>
        </w:rPr>
        <w:t>1</w:t>
      </w:r>
      <w:r>
        <w:rPr>
          <w:rFonts w:hint="eastAsia"/>
        </w:rPr>
        <w:t>款和《民事诉讼法典》第</w:t>
      </w:r>
      <w:r>
        <w:rPr>
          <w:rFonts w:hint="eastAsia"/>
        </w:rPr>
        <w:t>990</w:t>
      </w:r>
      <w:r>
        <w:rPr>
          <w:rFonts w:hint="eastAsia"/>
        </w:rPr>
        <w:t>条第一项）或在分配财产之前掌管遗产，如果妻子与丈夫住在一起，这些情况都可以出现。反过来，如果丈夫违反了同居义务，妻子可申请法院判决夫妇分居。不过，只要需要并可能，丈夫仍须扶养她。</w:t>
      </w:r>
    </w:p>
    <w:p w:rsidR="00000000" w:rsidRDefault="004D2F83" w:rsidP="004D2F83">
      <w:pPr>
        <w:spacing w:after="240" w:line="360" w:lineRule="exact"/>
        <w:ind w:firstLineChars="200" w:firstLine="31680"/>
        <w:rPr>
          <w:rFonts w:hint="eastAsia"/>
        </w:rPr>
      </w:pPr>
      <w:r>
        <w:rPr>
          <w:rFonts w:hint="eastAsia"/>
        </w:rPr>
        <w:t>在</w:t>
      </w:r>
      <w:r>
        <w:rPr>
          <w:rFonts w:hint="eastAsia"/>
        </w:rPr>
        <w:t>1977</w:t>
      </w:r>
      <w:r>
        <w:rPr>
          <w:rFonts w:hint="eastAsia"/>
        </w:rPr>
        <w:t>年的《离婚法》出台之前，妻子如果拒绝陪丈夫前往他所选择的居所达两年之久，则被判定为离家出走。如果拒绝时期较短，则构成严重的诋</w:t>
      </w:r>
      <w:r>
        <w:rPr>
          <w:rFonts w:hint="eastAsia"/>
        </w:rPr>
        <w:t>毁名誉罪。这两种情况为法院判决夫妇分居提供了充足而必要的理由。《离婚法》修改了导致法院判决夫妇分居的动机，现在配偶中任一方基于另一方不忠实行为或意味着严重侵犯婚姻义务的任何行为而要求法院判决夫妇分居。因此，如果妻子拒绝陪同丈夫到新居中定居，她便违反了同居义务。</w:t>
      </w:r>
    </w:p>
    <w:p w:rsidR="00000000" w:rsidRDefault="004D2F83" w:rsidP="004D2F83">
      <w:pPr>
        <w:spacing w:after="240" w:line="360" w:lineRule="exact"/>
        <w:ind w:firstLineChars="200" w:firstLine="31680"/>
        <w:rPr>
          <w:rFonts w:hint="eastAsia"/>
        </w:rPr>
      </w:pPr>
      <w:r>
        <w:rPr>
          <w:rFonts w:hint="eastAsia"/>
        </w:rPr>
        <w:t>不过，对《民法典》第</w:t>
      </w:r>
      <w:r>
        <w:rPr>
          <w:rFonts w:hint="eastAsia"/>
        </w:rPr>
        <w:t>233</w:t>
      </w:r>
      <w:r>
        <w:rPr>
          <w:rFonts w:hint="eastAsia"/>
        </w:rPr>
        <w:t>条第三项加以修改的第</w:t>
      </w:r>
      <w:r>
        <w:t>4</w:t>
      </w:r>
      <w:r>
        <w:rPr>
          <w:rFonts w:hint="eastAsia"/>
        </w:rPr>
        <w:t xml:space="preserve"> </w:t>
      </w:r>
      <w:r>
        <w:t>121/</w:t>
      </w:r>
      <w:r>
        <w:rPr>
          <w:rFonts w:hint="eastAsia"/>
        </w:rPr>
        <w:t>62</w:t>
      </w:r>
      <w:r>
        <w:rPr>
          <w:rFonts w:hint="eastAsia"/>
        </w:rPr>
        <w:t>号法律（已婚妇女法规）继续赋予丈夫选择和改变家庭居所的权利，但是，如果具体决定对妇女不利，该法规为她提供了诉诸法律的机会。小部分学说认为，根据仍然生效的《民法典》，妇女只有权通过诉诸法律来</w:t>
      </w:r>
      <w:r>
        <w:rPr>
          <w:rFonts w:hint="eastAsia"/>
        </w:rPr>
        <w:t>反对其配偶某种不利的选择。然而，配偶双方获得的司法平等使夫妻双方能够就婚姻家庭，如择居做出决定。如今，妻子拥有诉诸法律的“反对权”。“反对权”一词使人们认为，丈夫有决定权，如果妻子不同意，她可求助于法律规定。但是这种情况很少出现，因为如果妻子要想维持婚姻家庭，决不会求助于法院决定，因为这无疑会影响婚姻关系。</w:t>
      </w:r>
    </w:p>
    <w:p w:rsidR="00000000" w:rsidRDefault="004D2F83" w:rsidP="004D2F83">
      <w:pPr>
        <w:spacing w:after="240" w:line="360" w:lineRule="exact"/>
        <w:ind w:firstLineChars="200" w:firstLine="31680"/>
        <w:rPr>
          <w:rFonts w:hint="eastAsia"/>
        </w:rPr>
      </w:pPr>
      <w:r>
        <w:rPr>
          <w:rFonts w:hint="eastAsia"/>
        </w:rPr>
        <w:t>最后，值得一提的是，</w:t>
      </w:r>
      <w:r>
        <w:rPr>
          <w:rFonts w:hint="eastAsia"/>
        </w:rPr>
        <w:t>1994</w:t>
      </w:r>
      <w:r>
        <w:rPr>
          <w:rFonts w:hint="eastAsia"/>
        </w:rPr>
        <w:t>年</w:t>
      </w:r>
      <w:r>
        <w:rPr>
          <w:rFonts w:hint="eastAsia"/>
        </w:rPr>
        <w:t>12</w:t>
      </w:r>
      <w:r>
        <w:rPr>
          <w:rFonts w:hint="eastAsia"/>
        </w:rPr>
        <w:t>月</w:t>
      </w:r>
      <w:r>
        <w:rPr>
          <w:rFonts w:hint="eastAsia"/>
        </w:rPr>
        <w:t>20</w:t>
      </w:r>
      <w:r>
        <w:rPr>
          <w:rFonts w:hint="eastAsia"/>
        </w:rPr>
        <w:t>日，巴西撤回了它在</w:t>
      </w:r>
      <w:r>
        <w:rPr>
          <w:rFonts w:hint="eastAsia"/>
        </w:rPr>
        <w:t>1984</w:t>
      </w:r>
      <w:r>
        <w:rPr>
          <w:rFonts w:hint="eastAsia"/>
        </w:rPr>
        <w:t>年批准《消除对妇女一切形式歧视公约》第</w:t>
      </w:r>
      <w:r>
        <w:rPr>
          <w:rFonts w:hint="eastAsia"/>
        </w:rPr>
        <w:t>15</w:t>
      </w:r>
      <w:r>
        <w:rPr>
          <w:rFonts w:hint="eastAsia"/>
        </w:rPr>
        <w:t>条第</w:t>
      </w:r>
      <w:r>
        <w:rPr>
          <w:rFonts w:hint="eastAsia"/>
        </w:rPr>
        <w:t>4</w:t>
      </w:r>
      <w:r>
        <w:rPr>
          <w:rFonts w:hint="eastAsia"/>
        </w:rPr>
        <w:t>款时对该公约提出的保留意见。</w:t>
      </w:r>
    </w:p>
    <w:p w:rsidR="00000000" w:rsidRDefault="004D2F83">
      <w:pPr>
        <w:spacing w:after="240" w:line="360" w:lineRule="exact"/>
        <w:rPr>
          <w:rFonts w:eastAsia="KaiTi_GB2312" w:hint="eastAsia"/>
          <w:b/>
          <w:bCs/>
        </w:rPr>
      </w:pPr>
      <w:r>
        <w:rPr>
          <w:rFonts w:eastAsia="KaiTi_GB2312" w:hint="eastAsia"/>
          <w:b/>
          <w:bCs/>
        </w:rPr>
        <w:t>关于《公约》第</w:t>
      </w:r>
      <w:r>
        <w:rPr>
          <w:rFonts w:eastAsia="KaiTi_GB2312" w:hint="eastAsia"/>
          <w:b/>
          <w:bCs/>
        </w:rPr>
        <w:t>16</w:t>
      </w:r>
      <w:r>
        <w:rPr>
          <w:rFonts w:eastAsia="KaiTi_GB2312" w:hint="eastAsia"/>
          <w:b/>
          <w:bCs/>
        </w:rPr>
        <w:t>条第</w:t>
      </w:r>
      <w:r>
        <w:rPr>
          <w:rFonts w:eastAsia="KaiTi_GB2312" w:hint="eastAsia"/>
          <w:b/>
          <w:bCs/>
        </w:rPr>
        <w:t>1</w:t>
      </w:r>
      <w:r>
        <w:rPr>
          <w:rFonts w:eastAsia="KaiTi_GB2312" w:hint="eastAsia"/>
          <w:b/>
          <w:bCs/>
        </w:rPr>
        <w:t>款：</w:t>
      </w:r>
    </w:p>
    <w:p w:rsidR="00000000" w:rsidRDefault="004D2F83">
      <w:pPr>
        <w:spacing w:after="240" w:line="360" w:lineRule="exact"/>
        <w:rPr>
          <w:rFonts w:eastAsia="KaiTi_GB2312" w:hint="eastAsia"/>
          <w:b/>
          <w:bCs/>
        </w:rPr>
      </w:pPr>
      <w:r>
        <w:rPr>
          <w:rFonts w:eastAsia="KaiTi_GB2312"/>
          <w:b/>
          <w:bCs/>
        </w:rPr>
        <w:t>a</w:t>
      </w:r>
      <w:r>
        <w:rPr>
          <w:rFonts w:eastAsia="KaiTi_GB2312" w:hint="eastAsia"/>
          <w:b/>
          <w:bCs/>
        </w:rPr>
        <w:t>）和</w:t>
      </w:r>
      <w:r>
        <w:rPr>
          <w:rFonts w:eastAsia="KaiTi_GB2312"/>
          <w:b/>
          <w:bCs/>
        </w:rPr>
        <w:t>b</w:t>
      </w:r>
      <w:r>
        <w:rPr>
          <w:rFonts w:eastAsia="KaiTi_GB2312" w:hint="eastAsia"/>
          <w:b/>
          <w:bCs/>
        </w:rPr>
        <w:t>）项：缔婚和自由选择</w:t>
      </w:r>
      <w:r>
        <w:rPr>
          <w:rFonts w:eastAsia="KaiTi_GB2312" w:hint="eastAsia"/>
          <w:b/>
          <w:bCs/>
        </w:rPr>
        <w:t>配偶的权利</w:t>
      </w:r>
    </w:p>
    <w:p w:rsidR="00000000" w:rsidRDefault="004D2F83" w:rsidP="004D2F83">
      <w:pPr>
        <w:spacing w:after="240" w:line="360" w:lineRule="exact"/>
        <w:ind w:firstLineChars="200" w:firstLine="31680"/>
        <w:rPr>
          <w:rFonts w:hint="eastAsia"/>
        </w:rPr>
      </w:pPr>
      <w:r>
        <w:rPr>
          <w:rFonts w:hint="eastAsia"/>
        </w:rPr>
        <w:t>生效的《民法典》对结婚权施加了限制，规定了男女不同的结婚年龄。该法典第</w:t>
      </w:r>
      <w:r>
        <w:rPr>
          <w:rFonts w:hint="eastAsia"/>
        </w:rPr>
        <w:t>258</w:t>
      </w:r>
      <w:r>
        <w:rPr>
          <w:rFonts w:hint="eastAsia"/>
        </w:rPr>
        <w:t>条单立款第二项还规定，男子年满六十岁、妇女年满五十岁，如果希望结婚，必须遵守财产分开所有制。</w:t>
      </w:r>
    </w:p>
    <w:p w:rsidR="00000000" w:rsidRDefault="004D2F83" w:rsidP="004D2F83">
      <w:pPr>
        <w:spacing w:after="240" w:line="360" w:lineRule="exact"/>
        <w:ind w:firstLineChars="200" w:firstLine="31680"/>
        <w:rPr>
          <w:rFonts w:hint="eastAsia"/>
        </w:rPr>
      </w:pPr>
      <w:r>
        <w:rPr>
          <w:rFonts w:hint="eastAsia"/>
        </w:rPr>
        <w:t>不过，《新民法典》第</w:t>
      </w:r>
      <w:r>
        <w:t>1</w:t>
      </w:r>
      <w:r>
        <w:rPr>
          <w:rFonts w:hint="eastAsia"/>
        </w:rPr>
        <w:t xml:space="preserve"> </w:t>
      </w:r>
      <w:r>
        <w:t>517</w:t>
      </w:r>
      <w:r>
        <w:rPr>
          <w:rFonts w:hint="eastAsia"/>
        </w:rPr>
        <w:t>条规定，在到年龄之前，男女都可以在</w:t>
      </w:r>
      <w:r>
        <w:rPr>
          <w:rFonts w:hint="eastAsia"/>
        </w:rPr>
        <w:t>16</w:t>
      </w:r>
      <w:r>
        <w:rPr>
          <w:rFonts w:hint="eastAsia"/>
        </w:rPr>
        <w:t>岁结婚，只要经其父母或法定代表正式准许即可。</w:t>
      </w:r>
    </w:p>
    <w:p w:rsidR="00000000" w:rsidRDefault="004D2F83">
      <w:pPr>
        <w:spacing w:after="240" w:line="360" w:lineRule="exact"/>
        <w:rPr>
          <w:rFonts w:eastAsia="KaiTi_GB2312" w:hint="eastAsia"/>
          <w:b/>
          <w:bCs/>
        </w:rPr>
      </w:pPr>
      <w:r>
        <w:rPr>
          <w:rFonts w:eastAsia="KaiTi_GB2312"/>
          <w:b/>
          <w:bCs/>
        </w:rPr>
        <w:t>c</w:t>
      </w:r>
      <w:r>
        <w:rPr>
          <w:rFonts w:eastAsia="KaiTi_GB2312" w:hint="eastAsia"/>
          <w:b/>
          <w:bCs/>
        </w:rPr>
        <w:t>）项和</w:t>
      </w:r>
      <w:r>
        <w:rPr>
          <w:rFonts w:eastAsia="KaiTi_GB2312"/>
          <w:b/>
          <w:bCs/>
        </w:rPr>
        <w:t>h</w:t>
      </w:r>
      <w:r>
        <w:rPr>
          <w:rFonts w:eastAsia="KaiTi_GB2312" w:hint="eastAsia"/>
          <w:b/>
          <w:bCs/>
        </w:rPr>
        <w:t>）项：在婚姻存续期间配偶双方的权利和义务</w:t>
      </w:r>
    </w:p>
    <w:p w:rsidR="00000000" w:rsidRDefault="004D2F83" w:rsidP="004D2F83">
      <w:pPr>
        <w:spacing w:after="240" w:line="360" w:lineRule="exact"/>
        <w:ind w:firstLineChars="200" w:firstLine="31680"/>
        <w:rPr>
          <w:rFonts w:hint="eastAsia"/>
        </w:rPr>
      </w:pPr>
      <w:r>
        <w:rPr>
          <w:rFonts w:hint="eastAsia"/>
        </w:rPr>
        <w:t>这两项规定，缔约各国应采取一切适当措施，确保男女双方在婚姻存续期间及婚姻解除时在财产的所有、取得、管理、经营、享有和处置方面——不论是无偿的或是收取价值酬报——的权</w:t>
      </w:r>
      <w:r>
        <w:rPr>
          <w:rFonts w:hint="eastAsia"/>
        </w:rPr>
        <w:t>利。下文介绍了不同的婚姻制度：</w:t>
      </w:r>
    </w:p>
    <w:p w:rsidR="00000000" w:rsidRDefault="004D2F83" w:rsidP="004D2F83">
      <w:pPr>
        <w:spacing w:after="240" w:line="360" w:lineRule="exact"/>
        <w:ind w:firstLineChars="200" w:firstLine="31680"/>
        <w:rPr>
          <w:rFonts w:hint="eastAsia"/>
        </w:rPr>
      </w:pPr>
      <w:r>
        <w:rPr>
          <w:rFonts w:ascii="SimHei" w:eastAsia="SimHei" w:hint="eastAsia"/>
        </w:rPr>
        <w:t>1</w:t>
      </w:r>
      <w:r>
        <w:rPr>
          <w:rFonts w:ascii="SimHei" w:eastAsia="SimHei" w:hint="eastAsia"/>
        </w:rPr>
        <w:t>）法律</w:t>
      </w:r>
      <w:r>
        <w:rPr>
          <w:rFonts w:eastAsia="SimHei" w:hint="eastAsia"/>
        </w:rPr>
        <w:t>制度——部分夫妻共有财产：</w:t>
      </w:r>
      <w:r>
        <w:rPr>
          <w:rFonts w:hint="eastAsia"/>
        </w:rPr>
        <w:t>依据生效的《民法典》，男子负责管理财产（共同财产以及其本人和妻子的个人财产）。对于妇女的财产，男子将担任其代理人，因为妇女对属于她的一切财产拥有所有权。</w:t>
      </w:r>
    </w:p>
    <w:p w:rsidR="00000000" w:rsidRDefault="004D2F83" w:rsidP="004D2F83">
      <w:pPr>
        <w:spacing w:after="240" w:line="360" w:lineRule="exact"/>
        <w:ind w:firstLineChars="200" w:firstLine="31680"/>
        <w:rPr>
          <w:rFonts w:hint="eastAsia"/>
        </w:rPr>
      </w:pPr>
      <w:r>
        <w:rPr>
          <w:rFonts w:ascii="SimHei" w:eastAsia="SimHei" w:hint="eastAsia"/>
        </w:rPr>
        <w:t>2</w:t>
      </w:r>
      <w:r>
        <w:rPr>
          <w:rFonts w:ascii="SimHei" w:eastAsia="SimHei" w:hint="eastAsia"/>
        </w:rPr>
        <w:t>）夫</w:t>
      </w:r>
      <w:r>
        <w:rPr>
          <w:rFonts w:eastAsia="SimHei" w:hint="eastAsia"/>
        </w:rPr>
        <w:t>妻共有财产：</w:t>
      </w:r>
      <w:r>
        <w:rPr>
          <w:rFonts w:hint="eastAsia"/>
        </w:rPr>
        <w:t>共同财产制之外的财产中有个人财产，即已婚妇女从事不同于丈夫的营利活动所得的积蓄。因此，妇女的工作收入及用此收入购买的财产不是共有财产——尽管她是根据夫妻共有财产制结婚的（《民法典》，第</w:t>
      </w:r>
      <w:r>
        <w:rPr>
          <w:rFonts w:hint="eastAsia"/>
        </w:rPr>
        <w:t>246</w:t>
      </w:r>
      <w:r>
        <w:rPr>
          <w:rFonts w:hint="eastAsia"/>
        </w:rPr>
        <w:t>条单立款）——但可用来偿还男子为家庭所承担的债务。不过，只有男子的个人财产可用来偿还</w:t>
      </w:r>
      <w:r>
        <w:rPr>
          <w:rFonts w:hint="eastAsia"/>
        </w:rPr>
        <w:t>妇女为家庭所承担的债务。此项规定具有不平等待遇的性质，因为不属于妇女份内的财产数目比不属于男子份内的财产多，尽管这种区别没有任何理由。值得强调的是，对于保留资产，除不动产外，妇女有权管理、享有和处置这些资产，转让不动产要求丈夫批准。如果妇女去世，所有资产都转给其法定继承人。用男子工作收入购买的财产列入夫妻共有财产中。根据《民法典》第</w:t>
      </w:r>
      <w:r>
        <w:rPr>
          <w:rFonts w:hint="eastAsia"/>
        </w:rPr>
        <w:t>266</w:t>
      </w:r>
      <w:r>
        <w:rPr>
          <w:rFonts w:hint="eastAsia"/>
        </w:rPr>
        <w:t>条，在婚姻家庭里，配偶双方实行财产共同所有权。然而，关于由谁来管理财产，该法典仍有不一致的地方。有些规定赋予男子户主的地位，因此他们负责管理财产。这些规定又指出，妇女只有在</w:t>
      </w:r>
      <w:r>
        <w:rPr>
          <w:rFonts w:hint="eastAsia"/>
        </w:rPr>
        <w:t>其丈夫批准后或在《民法典》第</w:t>
      </w:r>
      <w:r>
        <w:rPr>
          <w:rFonts w:hint="eastAsia"/>
        </w:rPr>
        <w:t>248</w:t>
      </w:r>
      <w:r>
        <w:rPr>
          <w:rFonts w:hint="eastAsia"/>
        </w:rPr>
        <w:t>条第五项和第</w:t>
      </w:r>
      <w:r>
        <w:rPr>
          <w:rFonts w:hint="eastAsia"/>
        </w:rPr>
        <w:t>251</w:t>
      </w:r>
      <w:r>
        <w:rPr>
          <w:rFonts w:hint="eastAsia"/>
        </w:rPr>
        <w:t>条规定的情况下，才能管理配偶的财产。有关财产管理和继承权，管理财产方面有一项法律限制，且只适用于妇女：只有妇女与其丈夫共同生活，她才能成为财产的执行者。</w:t>
      </w:r>
    </w:p>
    <w:p w:rsidR="00000000" w:rsidRDefault="004D2F83" w:rsidP="004D2F83">
      <w:pPr>
        <w:spacing w:after="240" w:line="360" w:lineRule="exact"/>
        <w:ind w:firstLineChars="200" w:firstLine="31680"/>
        <w:rPr>
          <w:rFonts w:hint="eastAsia"/>
        </w:rPr>
      </w:pPr>
      <w:r>
        <w:rPr>
          <w:rFonts w:ascii="SimHei" w:eastAsia="SimHei" w:hint="eastAsia"/>
        </w:rPr>
        <w:t>3</w:t>
      </w:r>
      <w:r>
        <w:rPr>
          <w:rFonts w:ascii="SimHei" w:eastAsia="SimHei" w:hint="eastAsia"/>
        </w:rPr>
        <w:t>）独有财产：</w:t>
      </w:r>
      <w:r>
        <w:rPr>
          <w:rFonts w:hint="eastAsia"/>
        </w:rPr>
        <w:t>按照法律规定，这一制度应适用于缔婚的下列人士：</w:t>
      </w:r>
      <w:r>
        <w:t>a</w:t>
      </w:r>
      <w:r>
        <w:rPr>
          <w:rFonts w:hint="eastAsia"/>
        </w:rPr>
        <w:t>）</w:t>
      </w:r>
      <w:r>
        <w:rPr>
          <w:rFonts w:hint="eastAsia"/>
        </w:rPr>
        <w:t>16</w:t>
      </w:r>
      <w:r>
        <w:rPr>
          <w:rFonts w:hint="eastAsia"/>
        </w:rPr>
        <w:t>岁以下的妇女和</w:t>
      </w:r>
      <w:r>
        <w:rPr>
          <w:rFonts w:hint="eastAsia"/>
        </w:rPr>
        <w:t>18</w:t>
      </w:r>
      <w:r>
        <w:rPr>
          <w:rFonts w:hint="eastAsia"/>
        </w:rPr>
        <w:t>岁以下的男子。从生物心理角度讲这种要求有充分的理由，即这一年龄段的男女对于婚姻问题没有充足的洞察力；</w:t>
      </w:r>
      <w:r>
        <w:t>b</w:t>
      </w:r>
      <w:r>
        <w:rPr>
          <w:rFonts w:hint="eastAsia"/>
        </w:rPr>
        <w:t>）寡妇或其婚姻因失效或无效而被解除的妇女：在开始守寡、或解除婚姻关系或婚姻纽带后十个月之内，除非这一时期结束之前她生了</w:t>
      </w:r>
      <w:r>
        <w:rPr>
          <w:rFonts w:hint="eastAsia"/>
        </w:rPr>
        <w:t>孩子。在这种情况下，理由也很明显，因为这是为了避免血统混乱；</w:t>
      </w:r>
      <w:r>
        <w:t>c)</w:t>
      </w:r>
      <w:r>
        <w:rPr>
          <w:rFonts w:hint="eastAsia"/>
        </w:rPr>
        <w:t>60</w:t>
      </w:r>
      <w:r>
        <w:rPr>
          <w:rFonts w:hint="eastAsia"/>
        </w:rPr>
        <w:t>岁以上的男子和</w:t>
      </w:r>
      <w:r>
        <w:rPr>
          <w:rFonts w:hint="eastAsia"/>
        </w:rPr>
        <w:t>50</w:t>
      </w:r>
      <w:r>
        <w:rPr>
          <w:rFonts w:hint="eastAsia"/>
        </w:rPr>
        <w:t>岁以上的妇女。但是，如果男女双方共同生活达连续十年以上或有了孩子，此项规定则不适用。在这种情况下，配偶双方自由选择婚姻制度。但是与前两种情况不同的是，在这种情况下，似乎没有什么合理的理由来解释男女之间的年龄差别或法律限制。如下所述，《民法典》规定了配偶双方对所产生的债务的责任。只有妇女为了购买家庭的必需品、通过贷款获得购买上述物品所需的现金、或为了履行经其丈夫或法院批准的、她所从事的工作或职业方面的义务（第</w:t>
      </w:r>
      <w:r>
        <w:rPr>
          <w:rFonts w:hint="eastAsia"/>
        </w:rPr>
        <w:t>247</w:t>
      </w:r>
      <w:r>
        <w:rPr>
          <w:rFonts w:hint="eastAsia"/>
        </w:rPr>
        <w:t>条第一、第</w:t>
      </w:r>
      <w:r>
        <w:rPr>
          <w:rFonts w:hint="eastAsia"/>
        </w:rPr>
        <w:t>二和第三项和第</w:t>
      </w:r>
      <w:r>
        <w:rPr>
          <w:rFonts w:hint="eastAsia"/>
        </w:rPr>
        <w:t>254</w:t>
      </w:r>
      <w:r>
        <w:rPr>
          <w:rFonts w:hint="eastAsia"/>
        </w:rPr>
        <w:t>条）且丈夫从妻子的贷款中得到了好处，妻子所产生的债务才会转给男子。不过，丈夫的责任是从属的，即只有妻子的资产不够偿还贷款，丈夫才承担责任。第二部分（从事职业活动所产生的债务）似乎不公平，因为如果妇女是在劳动力市场中从事职业工作，她自己应该对在这种情况下所产生的债务负责。《巴西民法典》对第一部分描述得不完整，因为有的男子也在干家务劳动。在婚姻制度方面，《民法典》第</w:t>
      </w:r>
      <w:r>
        <w:rPr>
          <w:rFonts w:hint="eastAsia"/>
        </w:rPr>
        <w:t>277</w:t>
      </w:r>
      <w:r>
        <w:rPr>
          <w:rFonts w:hint="eastAsia"/>
        </w:rPr>
        <w:t>条规定，妇女应该用其资产收益来帮助支付配偶的支出，应按照这种收益价值与其丈夫的收益价值的比例来分摊，除非婚约中有其他规定。</w:t>
      </w:r>
    </w:p>
    <w:p w:rsidR="00000000" w:rsidRDefault="004D2F83" w:rsidP="004D2F83">
      <w:pPr>
        <w:spacing w:after="240" w:line="360" w:lineRule="exact"/>
        <w:ind w:firstLineChars="200" w:firstLine="31680"/>
        <w:rPr>
          <w:rFonts w:hint="eastAsia"/>
        </w:rPr>
      </w:pPr>
      <w:r>
        <w:rPr>
          <w:rFonts w:ascii="SimHei" w:eastAsia="SimHei" w:hint="eastAsia"/>
        </w:rPr>
        <w:t>4</w:t>
      </w:r>
      <w:r>
        <w:rPr>
          <w:rFonts w:ascii="SimHei" w:eastAsia="SimHei" w:hint="eastAsia"/>
        </w:rPr>
        <w:t>）嫁妆：</w:t>
      </w:r>
      <w:r>
        <w:rPr>
          <w:rFonts w:hint="eastAsia"/>
        </w:rPr>
        <w:t>根据此项制度，名为嫁妆的整套资产由妇女或由代表她的第三方转给其丈夫，以便支付婚后费用，丈夫能够从这种资产中拿出必要的金额来使用，但要在婚姻生活结束时予以归还。《新民法典》没有对嫁妆制度或妇女的个人财产做出规定。该法典没有规定在夫妻共有财产制中妇女的劳动收益不可转让。它选用了一种折衷的解决方案，规定女方工作所得将构成个人财产，但其收益投资所得将构成共同财产。婚前协议应该列入这方面的一项规定，即以同样方式考虑处理个人资产。</w:t>
      </w:r>
    </w:p>
    <w:p w:rsidR="00000000" w:rsidRDefault="004D2F83" w:rsidP="004D2F83">
      <w:pPr>
        <w:spacing w:after="240" w:line="360" w:lineRule="exact"/>
        <w:ind w:firstLineChars="200" w:firstLine="31680"/>
        <w:rPr>
          <w:rFonts w:hint="eastAsia"/>
        </w:rPr>
      </w:pPr>
      <w:r>
        <w:rPr>
          <w:rFonts w:hint="eastAsia"/>
        </w:rPr>
        <w:t>巴西法律制度要求无论在何种婚姻制度下，在处置不动产时要求配偶同意或批准，包括</w:t>
      </w:r>
      <w:r>
        <w:rPr>
          <w:rFonts w:hint="eastAsia"/>
        </w:rPr>
        <w:t>为了第三方的实际权利所产生的对该不动产的转让或留置（地役权、抵押、出租等）；配偶一方成为原告或被告时涉及实际权利的诉讼以及配偶一方成为被告且经过另一方批准，而这一方是原告且双方均被送达传票时涉及实际权利的诉讼。担保和捐款如果构成赠物，则要求另一配偶的批准。但是，此项规定不适用于信用票据上的担保签字，这种票据不要求这种授权。将于</w:t>
      </w:r>
      <w:r>
        <w:rPr>
          <w:rFonts w:hint="eastAsia"/>
        </w:rPr>
        <w:t>2003</w:t>
      </w:r>
      <w:r>
        <w:rPr>
          <w:rFonts w:hint="eastAsia"/>
        </w:rPr>
        <w:t>年</w:t>
      </w:r>
      <w:r>
        <w:rPr>
          <w:rFonts w:hint="eastAsia"/>
        </w:rPr>
        <w:t>1</w:t>
      </w:r>
      <w:r>
        <w:rPr>
          <w:rFonts w:hint="eastAsia"/>
        </w:rPr>
        <w:t>月</w:t>
      </w:r>
      <w:r>
        <w:rPr>
          <w:rFonts w:hint="eastAsia"/>
        </w:rPr>
        <w:t>10</w:t>
      </w:r>
      <w:r>
        <w:rPr>
          <w:rFonts w:hint="eastAsia"/>
        </w:rPr>
        <w:t>日生效的此项法律已经受到严厉的批评。此项法律没有规定配偶另一方在信用票据担保签字方面的授权，因为根据法律对配偶的行动自由加以限制时，妇女很少介入涉及信用票据的法律事务</w:t>
      </w:r>
      <w:r>
        <w:rPr>
          <w:rFonts w:hint="eastAsia"/>
        </w:rPr>
        <w:t>。这些事务几乎完全由男子处理，他们不同意妻子干预他们的事务。然而，从经济方面来看，签署信用票据比担保对家庭的意义更重大，担保则要求配偶另一方同意或批准。</w:t>
      </w:r>
    </w:p>
    <w:p w:rsidR="00000000" w:rsidRDefault="004D2F83" w:rsidP="004D2F83">
      <w:pPr>
        <w:spacing w:after="240" w:line="360" w:lineRule="exact"/>
        <w:ind w:firstLineChars="200" w:firstLine="31680"/>
        <w:rPr>
          <w:rFonts w:hint="eastAsia"/>
        </w:rPr>
      </w:pPr>
      <w:r>
        <w:rPr>
          <w:rFonts w:hint="eastAsia"/>
        </w:rPr>
        <w:t>前一段结论的根据是，《民法典》第</w:t>
      </w:r>
      <w:r>
        <w:rPr>
          <w:rFonts w:hint="eastAsia"/>
        </w:rPr>
        <w:t>242</w:t>
      </w:r>
      <w:r>
        <w:rPr>
          <w:rFonts w:hint="eastAsia"/>
        </w:rPr>
        <w:t>条第四段载有一项只适用于妇女的限制，即妇女承担义务可能意味着转让夫妻双方的资产。此项限制没有影响到丈夫，因为当制订夫妻双方行动限制的规定时，考虑到丈夫负责管理双方的财产，而且因为他在家庭外的职业活动明显包括获得信贷，当他每次要签署开立信用证合同、承兑汇票、开立商业汇票或期票时，都要求他得到妻子的批准或同意，是非常尴尬的</w:t>
      </w:r>
      <w:r>
        <w:rPr>
          <w:rFonts w:hint="eastAsia"/>
        </w:rPr>
        <w:t>事儿。但是，由于有第</w:t>
      </w:r>
      <w:r>
        <w:t>4</w:t>
      </w:r>
      <w:r>
        <w:rPr>
          <w:rFonts w:hint="eastAsia"/>
        </w:rPr>
        <w:t xml:space="preserve"> </w:t>
      </w:r>
      <w:r>
        <w:t>121/62</w:t>
      </w:r>
      <w:r>
        <w:rPr>
          <w:rFonts w:hint="eastAsia"/>
        </w:rPr>
        <w:t>号法律第</w:t>
      </w:r>
      <w:r>
        <w:rPr>
          <w:rFonts w:hint="eastAsia"/>
        </w:rPr>
        <w:t>3</w:t>
      </w:r>
      <w:r>
        <w:rPr>
          <w:rFonts w:hint="eastAsia"/>
        </w:rPr>
        <w:t>条的规定，《民法典》第</w:t>
      </w:r>
      <w:r>
        <w:rPr>
          <w:rFonts w:hint="eastAsia"/>
        </w:rPr>
        <w:t>246</w:t>
      </w:r>
      <w:r>
        <w:rPr>
          <w:rFonts w:hint="eastAsia"/>
        </w:rPr>
        <w:t>条失去了意义，前者规定不应该为了偿还男子的债务而处置妇女的资产，反之亦然。</w:t>
      </w:r>
    </w:p>
    <w:p w:rsidR="00000000" w:rsidRDefault="004D2F83" w:rsidP="004D2F83">
      <w:pPr>
        <w:spacing w:after="240" w:line="360" w:lineRule="exact"/>
        <w:ind w:firstLineChars="200" w:firstLine="31680"/>
        <w:rPr>
          <w:rFonts w:hint="eastAsia"/>
        </w:rPr>
      </w:pPr>
      <w:r>
        <w:rPr>
          <w:rFonts w:hint="eastAsia"/>
        </w:rPr>
        <w:t>关于授权，《民法典》第</w:t>
      </w:r>
      <w:r>
        <w:rPr>
          <w:rFonts w:hint="eastAsia"/>
        </w:rPr>
        <w:t>178</w:t>
      </w:r>
      <w:r>
        <w:rPr>
          <w:rFonts w:hint="eastAsia"/>
        </w:rPr>
        <w:t>条第</w:t>
      </w:r>
      <w:r>
        <w:rPr>
          <w:rFonts w:hint="eastAsia"/>
        </w:rPr>
        <w:t>7</w:t>
      </w:r>
      <w:r>
        <w:rPr>
          <w:rFonts w:hint="eastAsia"/>
        </w:rPr>
        <w:t>款第七项和第</w:t>
      </w:r>
      <w:r>
        <w:rPr>
          <w:rFonts w:hint="eastAsia"/>
        </w:rPr>
        <w:t>9</w:t>
      </w:r>
      <w:r>
        <w:rPr>
          <w:rFonts w:hint="eastAsia"/>
        </w:rPr>
        <w:t>款第一和第二项中仍存在着性别歧视，它们对妇女规定了更长的限制期。这种理论和判例没有讨论这些条款是否符合宪法，限制了对《民法典》中关于家庭法条款和对《民事诉讼法》中关于妇女在法院判决夫妇分居和婚姻无效方面的审判地特权的第</w:t>
      </w:r>
      <w:r>
        <w:rPr>
          <w:rFonts w:hint="eastAsia"/>
        </w:rPr>
        <w:t>100</w:t>
      </w:r>
      <w:r>
        <w:rPr>
          <w:rFonts w:hint="eastAsia"/>
        </w:rPr>
        <w:t>条第一项开展讨论。</w:t>
      </w:r>
    </w:p>
    <w:p w:rsidR="00000000" w:rsidRDefault="004D2F83" w:rsidP="004D2F83">
      <w:pPr>
        <w:spacing w:after="240" w:line="360" w:lineRule="exact"/>
        <w:ind w:firstLineChars="200" w:firstLine="31680"/>
        <w:rPr>
          <w:rFonts w:hint="eastAsia"/>
        </w:rPr>
      </w:pPr>
      <w:r>
        <w:rPr>
          <w:rFonts w:hint="eastAsia"/>
        </w:rPr>
        <w:t>《民法典》第</w:t>
      </w:r>
      <w:r>
        <w:rPr>
          <w:rFonts w:hint="eastAsia"/>
        </w:rPr>
        <w:t>248</w:t>
      </w:r>
      <w:r>
        <w:rPr>
          <w:rFonts w:hint="eastAsia"/>
        </w:rPr>
        <w:t>条规定妇女未经丈夫批准可做出的行为。但是，该法典没有</w:t>
      </w:r>
      <w:r>
        <w:rPr>
          <w:rFonts w:hint="eastAsia"/>
        </w:rPr>
        <w:t>任何条款规定未经妻子批准或同意丈夫能够采取的行动。</w:t>
      </w:r>
    </w:p>
    <w:p w:rsidR="00000000" w:rsidRDefault="004D2F83" w:rsidP="004D2F83">
      <w:pPr>
        <w:spacing w:after="240" w:line="360" w:lineRule="exact"/>
        <w:ind w:firstLineChars="200" w:firstLine="31680"/>
        <w:rPr>
          <w:rFonts w:hint="eastAsia"/>
        </w:rPr>
      </w:pPr>
      <w:r>
        <w:rPr>
          <w:rFonts w:hint="eastAsia"/>
        </w:rPr>
        <w:t>存在着对专门从事家务劳动而不从事营利活动的妇女的歧视。《民法典》中就有几个歧视例子，下文提到的第</w:t>
      </w:r>
      <w:r>
        <w:rPr>
          <w:rFonts w:hint="eastAsia"/>
        </w:rPr>
        <w:t>247</w:t>
      </w:r>
      <w:r>
        <w:rPr>
          <w:rFonts w:hint="eastAsia"/>
        </w:rPr>
        <w:t>条第一项就是其中之一：</w:t>
      </w:r>
    </w:p>
    <w:p w:rsidR="00000000" w:rsidRDefault="004D2F83" w:rsidP="004D2F83">
      <w:pPr>
        <w:spacing w:after="240" w:line="360" w:lineRule="exact"/>
        <w:ind w:firstLineChars="200" w:firstLine="31680"/>
        <w:rPr>
          <w:rFonts w:ascii="KaiTi_GB2312" w:eastAsia="KaiTi_GB2312" w:hint="eastAsia"/>
        </w:rPr>
      </w:pPr>
      <w:r>
        <w:rPr>
          <w:rFonts w:ascii="KaiTi_GB2312" w:eastAsia="KaiTi_GB2312" w:hint="eastAsia"/>
        </w:rPr>
        <w:t>“第</w:t>
      </w:r>
      <w:r>
        <w:rPr>
          <w:rFonts w:ascii="KaiTi_GB2312" w:eastAsia="KaiTi_GB2312" w:hint="eastAsia"/>
        </w:rPr>
        <w:t>247</w:t>
      </w:r>
      <w:r>
        <w:rPr>
          <w:rFonts w:ascii="KaiTi_GB2312" w:eastAsia="KaiTi_GB2312" w:hint="eastAsia"/>
        </w:rPr>
        <w:t>条。应假定妇女得到丈夫的批准：</w:t>
      </w:r>
    </w:p>
    <w:p w:rsidR="00000000" w:rsidRDefault="004D2F83" w:rsidP="004D2F83">
      <w:pPr>
        <w:spacing w:after="240" w:line="360" w:lineRule="exact"/>
        <w:ind w:firstLineChars="200" w:firstLine="31680"/>
        <w:rPr>
          <w:rFonts w:ascii="KaiTi_GB2312" w:eastAsia="KaiTi_GB2312" w:hint="eastAsia"/>
        </w:rPr>
      </w:pPr>
      <w:r>
        <w:rPr>
          <w:rFonts w:ascii="KaiTi_GB2312" w:eastAsia="KaiTi_GB2312" w:hint="eastAsia"/>
        </w:rPr>
        <w:t>一．即使通过信贷购买家用的必需品”。</w:t>
      </w:r>
    </w:p>
    <w:p w:rsidR="00000000" w:rsidRDefault="004D2F83" w:rsidP="004D2F83">
      <w:pPr>
        <w:spacing w:after="240" w:line="360" w:lineRule="exact"/>
        <w:ind w:firstLineChars="200" w:firstLine="31680"/>
        <w:rPr>
          <w:rFonts w:hint="eastAsia"/>
        </w:rPr>
      </w:pPr>
      <w:r>
        <w:rPr>
          <w:rFonts w:hint="eastAsia"/>
        </w:rPr>
        <w:t>依据《民法典》（第</w:t>
      </w:r>
      <w:r>
        <w:rPr>
          <w:rFonts w:hint="eastAsia"/>
        </w:rPr>
        <w:t>233</w:t>
      </w:r>
      <w:r>
        <w:rPr>
          <w:rFonts w:hint="eastAsia"/>
        </w:rPr>
        <w:t>条），丈夫仍然承担养家的责任。不过，妻子为家庭所作的支出应与其个人的资源成比例。当丈夫无法养家时，妇女将承担此任。但法律仍规定丈夫是主要债务人，但《民法典》第</w:t>
      </w:r>
      <w:r>
        <w:rPr>
          <w:rFonts w:hint="eastAsia"/>
        </w:rPr>
        <w:t>275</w:t>
      </w:r>
      <w:r>
        <w:rPr>
          <w:rFonts w:hint="eastAsia"/>
        </w:rPr>
        <w:t>和第</w:t>
      </w:r>
      <w:r>
        <w:rPr>
          <w:rFonts w:hint="eastAsia"/>
        </w:rPr>
        <w:t>377</w:t>
      </w:r>
      <w:r>
        <w:rPr>
          <w:rFonts w:hint="eastAsia"/>
        </w:rPr>
        <w:t>条除外，规定只有在婚姻实行财产分开所有制时，妇女才要用其</w:t>
      </w:r>
      <w:r>
        <w:rPr>
          <w:rFonts w:hint="eastAsia"/>
        </w:rPr>
        <w:t>资产收益分摊配偶的支出，而且分摊额按其收益价值与其丈夫的收益价值之适当比例计算，另外未经丈夫批准或当这种批准是不必要时，妻子产生债务也应该这样做。</w:t>
      </w:r>
    </w:p>
    <w:p w:rsidR="00000000" w:rsidRDefault="004D2F83" w:rsidP="004D2F83">
      <w:pPr>
        <w:spacing w:after="240" w:line="360" w:lineRule="exact"/>
        <w:ind w:firstLineChars="200" w:firstLine="31680"/>
        <w:rPr>
          <w:rFonts w:hint="eastAsia"/>
        </w:rPr>
      </w:pPr>
      <w:r>
        <w:rPr>
          <w:rFonts w:hint="eastAsia"/>
        </w:rPr>
        <w:t>不过，</w:t>
      </w:r>
      <w:r>
        <w:rPr>
          <w:rFonts w:eastAsia="KaiTi_GB2312" w:hint="eastAsia"/>
          <w:b/>
          <w:bCs/>
        </w:rPr>
        <w:t>《新民法典》</w:t>
      </w:r>
      <w:r>
        <w:rPr>
          <w:rFonts w:hint="eastAsia"/>
        </w:rPr>
        <w:t>有所创新（第</w:t>
      </w:r>
      <w:r>
        <w:t>1</w:t>
      </w:r>
      <w:r>
        <w:rPr>
          <w:rFonts w:hint="eastAsia"/>
        </w:rPr>
        <w:t xml:space="preserve"> </w:t>
      </w:r>
      <w:r>
        <w:t>565</w:t>
      </w:r>
      <w:r>
        <w:rPr>
          <w:rFonts w:hint="eastAsia"/>
        </w:rPr>
        <w:t>和第</w:t>
      </w:r>
      <w:r>
        <w:t>1</w:t>
      </w:r>
      <w:r>
        <w:rPr>
          <w:rFonts w:hint="eastAsia"/>
        </w:rPr>
        <w:t xml:space="preserve"> </w:t>
      </w:r>
      <w:r>
        <w:t>568</w:t>
      </w:r>
      <w:r>
        <w:rPr>
          <w:rFonts w:hint="eastAsia"/>
        </w:rPr>
        <w:t>条），规定不论实行何种婚姻制度，</w:t>
      </w:r>
      <w:r>
        <w:rPr>
          <w:rFonts w:eastAsia="KaiTi_GB2312" w:hint="eastAsia"/>
          <w:b/>
          <w:bCs/>
        </w:rPr>
        <w:t>夫妻的权利和义务绝对平等</w:t>
      </w:r>
      <w:r>
        <w:rPr>
          <w:rFonts w:hint="eastAsia"/>
        </w:rPr>
        <w:t>，并让配偶双方承担养家的责任，不仅用其资产收益，而且用其工作收益来养家。</w:t>
      </w:r>
    </w:p>
    <w:p w:rsidR="00000000" w:rsidRDefault="004D2F83" w:rsidP="004D2F83">
      <w:pPr>
        <w:spacing w:after="240" w:line="360" w:lineRule="exact"/>
        <w:ind w:firstLineChars="200" w:firstLine="31680"/>
        <w:rPr>
          <w:rFonts w:hint="eastAsia"/>
        </w:rPr>
      </w:pPr>
      <w:r>
        <w:rPr>
          <w:rFonts w:hint="eastAsia"/>
        </w:rPr>
        <w:t>法律文书再次与现实不合拍，因为妇女目前与丈夫共同承担养家糊口的责任，不只是在协作方面或补充家庭收入方面。</w:t>
      </w:r>
    </w:p>
    <w:p w:rsidR="00000000" w:rsidRDefault="004D2F83" w:rsidP="004D2F83">
      <w:pPr>
        <w:spacing w:after="240" w:line="360" w:lineRule="exact"/>
        <w:ind w:firstLineChars="200" w:firstLine="31680"/>
        <w:rPr>
          <w:rFonts w:hint="eastAsia"/>
        </w:rPr>
      </w:pPr>
      <w:r>
        <w:rPr>
          <w:rFonts w:hint="eastAsia"/>
        </w:rPr>
        <w:t>鉴于此，修订婚姻制度是极其重要的。如上所述，这种制度的根据是夫妻，特别是后</w:t>
      </w:r>
      <w:r>
        <w:rPr>
          <w:rFonts w:hint="eastAsia"/>
        </w:rPr>
        <w:t>者的法律条件。依据</w:t>
      </w:r>
      <w:r>
        <w:rPr>
          <w:rFonts w:hint="eastAsia"/>
        </w:rPr>
        <w:t>1916</w:t>
      </w:r>
      <w:r>
        <w:rPr>
          <w:rFonts w:hint="eastAsia"/>
        </w:rPr>
        <w:t>年的《民法典》，婚姻制度的根据是妇女能力较差和依赖丈夫。这些制度通过</w:t>
      </w:r>
      <w:r>
        <w:rPr>
          <w:rFonts w:hint="eastAsia"/>
        </w:rPr>
        <w:t>1962</w:t>
      </w:r>
      <w:r>
        <w:rPr>
          <w:rFonts w:hint="eastAsia"/>
        </w:rPr>
        <w:t>年</w:t>
      </w:r>
      <w:r>
        <w:rPr>
          <w:rFonts w:hint="eastAsia"/>
        </w:rPr>
        <w:t>8</w:t>
      </w:r>
      <w:r>
        <w:rPr>
          <w:rFonts w:hint="eastAsia"/>
        </w:rPr>
        <w:t>月</w:t>
      </w:r>
      <w:r>
        <w:rPr>
          <w:rFonts w:hint="eastAsia"/>
        </w:rPr>
        <w:t>27</w:t>
      </w:r>
      <w:r>
        <w:rPr>
          <w:rFonts w:hint="eastAsia"/>
        </w:rPr>
        <w:t>日颁布的《已婚妇女法规》加以修订，改变了妇女的法律条件。鉴于</w:t>
      </w:r>
      <w:r>
        <w:rPr>
          <w:rFonts w:hint="eastAsia"/>
        </w:rPr>
        <w:t>1988</w:t>
      </w:r>
      <w:r>
        <w:rPr>
          <w:rFonts w:hint="eastAsia"/>
        </w:rPr>
        <w:t>年《联邦宪法》（第</w:t>
      </w:r>
      <w:r>
        <w:rPr>
          <w:rFonts w:hint="eastAsia"/>
        </w:rPr>
        <w:t>226</w:t>
      </w:r>
      <w:r>
        <w:rPr>
          <w:rFonts w:hint="eastAsia"/>
        </w:rPr>
        <w:t>条第</w:t>
      </w:r>
      <w:r>
        <w:rPr>
          <w:rFonts w:hint="eastAsia"/>
        </w:rPr>
        <w:t>5</w:t>
      </w:r>
      <w:r>
        <w:rPr>
          <w:rFonts w:hint="eastAsia"/>
        </w:rPr>
        <w:t>款），必须采取紧急措施以修改现行的婚姻制度。</w:t>
      </w:r>
    </w:p>
    <w:p w:rsidR="00000000" w:rsidRDefault="004D2F83" w:rsidP="004D2F83">
      <w:pPr>
        <w:spacing w:after="240" w:line="360" w:lineRule="exact"/>
        <w:ind w:firstLineChars="200" w:firstLine="31680"/>
        <w:rPr>
          <w:rFonts w:hint="eastAsia"/>
        </w:rPr>
      </w:pPr>
      <w:r>
        <w:rPr>
          <w:rFonts w:hint="eastAsia"/>
        </w:rPr>
        <w:t>关于财产享有权问题，应该谈一谈所谓的妇女个人财产。巴西的部分法律学说认为，鉴于财产制度所包含的社会意义，应该维护这种制度。上述学说指出，如果要消除第</w:t>
      </w:r>
      <w:r>
        <w:rPr>
          <w:rFonts w:hint="eastAsia"/>
        </w:rPr>
        <w:t>226</w:t>
      </w:r>
      <w:r>
        <w:rPr>
          <w:rFonts w:hint="eastAsia"/>
        </w:rPr>
        <w:t>条第</w:t>
      </w:r>
      <w:r>
        <w:rPr>
          <w:rFonts w:hint="eastAsia"/>
        </w:rPr>
        <w:t>5</w:t>
      </w:r>
      <w:r>
        <w:rPr>
          <w:rFonts w:hint="eastAsia"/>
        </w:rPr>
        <w:t>款中所述的这种制度，那么，基于特殊考虑而做出的常规分居和合法分居将同样消除。独有财产制本身将受到</w:t>
      </w:r>
      <w:r>
        <w:rPr>
          <w:rFonts w:hint="eastAsia"/>
        </w:rPr>
        <w:t>影响，因为它规定订婚者在结婚时资产已经存在。另一方面，如果判例认为，当因为妻子或家庭的利益之外的原因产生债务而抵押资产时，需要保护妇女的财产，同理，丈夫应有权保护用其工作或活动所产生的资源购置的资产。然而，这种观点只有一小部分学说赞同，而大部分学说都根据《宪法》第</w:t>
      </w:r>
      <w:r>
        <w:rPr>
          <w:rFonts w:hint="eastAsia"/>
        </w:rPr>
        <w:t>226</w:t>
      </w:r>
      <w:r>
        <w:rPr>
          <w:rFonts w:hint="eastAsia"/>
        </w:rPr>
        <w:t>条第</w:t>
      </w:r>
      <w:r>
        <w:rPr>
          <w:rFonts w:hint="eastAsia"/>
        </w:rPr>
        <w:t>5</w:t>
      </w:r>
      <w:r>
        <w:rPr>
          <w:rFonts w:hint="eastAsia"/>
        </w:rPr>
        <w:t>款，申明</w:t>
      </w:r>
      <w:r>
        <w:rPr>
          <w:rFonts w:hint="eastAsia"/>
        </w:rPr>
        <w:t>1916</w:t>
      </w:r>
      <w:r>
        <w:rPr>
          <w:rFonts w:hint="eastAsia"/>
        </w:rPr>
        <w:t>年《民法典》第</w:t>
      </w:r>
      <w:r>
        <w:t>246</w:t>
      </w:r>
      <w:r>
        <w:rPr>
          <w:rFonts w:hint="eastAsia"/>
        </w:rPr>
        <w:t>条已经废除。</w:t>
      </w:r>
    </w:p>
    <w:p w:rsidR="00000000" w:rsidRDefault="004D2F83" w:rsidP="004D2F83">
      <w:pPr>
        <w:spacing w:after="240" w:line="360" w:lineRule="exact"/>
        <w:ind w:firstLineChars="200" w:firstLine="31680"/>
        <w:rPr>
          <w:rFonts w:hint="eastAsia"/>
        </w:rPr>
      </w:pPr>
      <w:r>
        <w:rPr>
          <w:rFonts w:hint="eastAsia"/>
        </w:rPr>
        <w:t>有必要对《民法典》第</w:t>
      </w:r>
      <w:r>
        <w:rPr>
          <w:rFonts w:hint="eastAsia"/>
        </w:rPr>
        <w:t>233</w:t>
      </w:r>
      <w:r>
        <w:rPr>
          <w:rFonts w:hint="eastAsia"/>
        </w:rPr>
        <w:t>条做进一步阐述，该条规定婚姻家庭的管制权。此项法律规定将管制权赋予丈夫。认为这不符合宪法规定的人指出，这仅仅在家庭和睦的情况下是可行的，因为整个社会集团要求统一</w:t>
      </w:r>
      <w:r>
        <w:rPr>
          <w:rFonts w:hint="eastAsia"/>
        </w:rPr>
        <w:t>管制以防不稳定并确保处理日常问题能够按照配偶一方意愿为主的原则。然而，最正确的理解是这样的：</w:t>
      </w:r>
      <w:r>
        <w:rPr>
          <w:rFonts w:hint="eastAsia"/>
        </w:rPr>
        <w:t>1988</w:t>
      </w:r>
      <w:r>
        <w:rPr>
          <w:rFonts w:hint="eastAsia"/>
        </w:rPr>
        <w:t>年《宪法》无疑废除了家长制。基于这种理解，男子不再享有任何特权，必须由配偶双方平等做出与家庭有关的决定（《联邦宪法》第</w:t>
      </w:r>
      <w:r>
        <w:t>226</w:t>
      </w:r>
      <w:r>
        <w:rPr>
          <w:rFonts w:hint="eastAsia"/>
        </w:rPr>
        <w:t>条第</w:t>
      </w:r>
      <w:r>
        <w:rPr>
          <w:rFonts w:hint="eastAsia"/>
        </w:rPr>
        <w:t>5</w:t>
      </w:r>
      <w:r>
        <w:rPr>
          <w:rFonts w:hint="eastAsia"/>
        </w:rPr>
        <w:t>款）。结果，《民法典》中赋予丈夫特权的所有规定都被废除，任何差别都将在法院中解决。</w:t>
      </w:r>
    </w:p>
    <w:p w:rsidR="00000000" w:rsidRDefault="004D2F83" w:rsidP="004D2F83">
      <w:pPr>
        <w:spacing w:after="240" w:line="360" w:lineRule="exact"/>
        <w:ind w:firstLineChars="200" w:firstLine="31680"/>
        <w:rPr>
          <w:rFonts w:hint="eastAsia"/>
        </w:rPr>
      </w:pPr>
      <w:r>
        <w:rPr>
          <w:rFonts w:hint="eastAsia"/>
        </w:rPr>
        <w:t>《已婚妇女法规》（第</w:t>
      </w:r>
      <w:r>
        <w:t>4</w:t>
      </w:r>
      <w:r>
        <w:rPr>
          <w:rFonts w:hint="eastAsia"/>
        </w:rPr>
        <w:t xml:space="preserve"> </w:t>
      </w:r>
      <w:r>
        <w:t>121/62</w:t>
      </w:r>
      <w:r>
        <w:rPr>
          <w:rFonts w:hint="eastAsia"/>
        </w:rPr>
        <w:t>号法律）修改了第</w:t>
      </w:r>
      <w:r>
        <w:rPr>
          <w:rFonts w:hint="eastAsia"/>
        </w:rPr>
        <w:t>233</w:t>
      </w:r>
      <w:r>
        <w:rPr>
          <w:rFonts w:hint="eastAsia"/>
        </w:rPr>
        <w:t>条第二部分，规定已婚妇女应该同丈夫一起养家。</w:t>
      </w:r>
    </w:p>
    <w:p w:rsidR="00000000" w:rsidRDefault="004D2F83" w:rsidP="004D2F83">
      <w:pPr>
        <w:spacing w:after="240" w:line="360" w:lineRule="exact"/>
        <w:ind w:firstLineChars="200" w:firstLine="31680"/>
        <w:rPr>
          <w:rFonts w:hint="eastAsia"/>
        </w:rPr>
      </w:pPr>
      <w:r>
        <w:rPr>
          <w:rFonts w:hint="eastAsia"/>
        </w:rPr>
        <w:t>《新民法典》第</w:t>
      </w:r>
      <w:r>
        <w:t>1</w:t>
      </w:r>
      <w:r>
        <w:rPr>
          <w:rFonts w:hint="eastAsia"/>
        </w:rPr>
        <w:t xml:space="preserve"> </w:t>
      </w:r>
      <w:r>
        <w:t>567</w:t>
      </w:r>
      <w:r>
        <w:rPr>
          <w:rFonts w:hint="eastAsia"/>
        </w:rPr>
        <w:t>条规定，“男女双方应共同行使对婚姻家庭的管制权，永远要以夫妻双方及子女</w:t>
      </w:r>
      <w:r>
        <w:rPr>
          <w:rFonts w:hint="eastAsia"/>
        </w:rPr>
        <w:t>的利益为重”。</w:t>
      </w:r>
    </w:p>
    <w:p w:rsidR="00000000" w:rsidRDefault="004D2F83" w:rsidP="004D2F83">
      <w:pPr>
        <w:spacing w:after="240" w:line="360" w:lineRule="exact"/>
        <w:ind w:firstLineChars="200" w:firstLine="31680"/>
        <w:rPr>
          <w:rFonts w:hint="eastAsia"/>
        </w:rPr>
      </w:pPr>
      <w:r>
        <w:rPr>
          <w:rFonts w:hint="eastAsia"/>
        </w:rPr>
        <w:t>需要强调的是，在滥用权力的案件中有可能进行司法干预。不过，本文介绍的只有丈夫应对婚姻家庭拥有管制权的制度无论是在斯堪的那维亚、俄罗斯、墨西哥和乌干达等国的普通法法律制度中，还是在《巴西宪法》和《巴西民法典法案》第</w:t>
      </w:r>
      <w:r>
        <w:t>1</w:t>
      </w:r>
      <w:r>
        <w:rPr>
          <w:rFonts w:hint="eastAsia"/>
        </w:rPr>
        <w:t xml:space="preserve"> 5</w:t>
      </w:r>
      <w:r>
        <w:t>67</w:t>
      </w:r>
      <w:r>
        <w:rPr>
          <w:rFonts w:hint="eastAsia"/>
        </w:rPr>
        <w:t>条单独的一段中都没有采用。这些文书规定了一种共同管理模式，不包含丈夫支配含义，还规定了在发生纠纷时诉诸法律的权利。</w:t>
      </w:r>
    </w:p>
    <w:p w:rsidR="00000000" w:rsidRDefault="004D2F83" w:rsidP="004D2F83">
      <w:pPr>
        <w:spacing w:after="240" w:line="360" w:lineRule="exact"/>
        <w:ind w:firstLineChars="200" w:firstLine="31680"/>
        <w:rPr>
          <w:rFonts w:hint="eastAsia"/>
        </w:rPr>
      </w:pPr>
      <w:r>
        <w:rPr>
          <w:rFonts w:hint="eastAsia"/>
        </w:rPr>
        <w:t>尽管《公约》只提及婚姻中固有的权利和义务，鉴于《联邦宪法》为了保护财产将婚姻与稳定的同居关系同等看待（第</w:t>
      </w:r>
      <w:r>
        <w:rPr>
          <w:rFonts w:hint="eastAsia"/>
        </w:rPr>
        <w:t>226</w:t>
      </w:r>
      <w:r>
        <w:rPr>
          <w:rFonts w:hint="eastAsia"/>
        </w:rPr>
        <w:t>条第</w:t>
      </w:r>
      <w:r>
        <w:rPr>
          <w:rFonts w:hint="eastAsia"/>
        </w:rPr>
        <w:t>3</w:t>
      </w:r>
      <w:r>
        <w:rPr>
          <w:rFonts w:hint="eastAsia"/>
        </w:rPr>
        <w:t>款），应该对依据巴西法律制度与男子生活在一</w:t>
      </w:r>
      <w:r>
        <w:rPr>
          <w:rFonts w:hint="eastAsia"/>
        </w:rPr>
        <w:t>起的妇女的地位给予某些考虑。</w:t>
      </w:r>
    </w:p>
    <w:p w:rsidR="00000000" w:rsidRDefault="004D2F83" w:rsidP="004D2F83">
      <w:pPr>
        <w:spacing w:after="240" w:line="360" w:lineRule="exact"/>
        <w:ind w:firstLineChars="200" w:firstLine="31680"/>
      </w:pPr>
      <w:r>
        <w:rPr>
          <w:rFonts w:hint="eastAsia"/>
        </w:rPr>
        <w:t>稳定的同居关系未得到法律承认。首先，基于判例，只得到了部分承认。妇女如果向与其同居的男子提供家务或农业服务，则应确保她获得赡养费的权利。后来，稳定的同居关系被视为事实上的婚姻。随着</w:t>
      </w:r>
      <w:r>
        <w:rPr>
          <w:rFonts w:hint="eastAsia"/>
        </w:rPr>
        <w:t>1988</w:t>
      </w:r>
      <w:r>
        <w:rPr>
          <w:rFonts w:hint="eastAsia"/>
        </w:rPr>
        <w:t>年《联邦宪法》的颁布，发生了一场革命。曾经被视为事实上的婚姻的同居形式被提升到稳定的同居关系一类，被视为家庭实体（《联邦宪法》第</w:t>
      </w:r>
      <w:r>
        <w:rPr>
          <w:rFonts w:hint="eastAsia"/>
        </w:rPr>
        <w:t>226</w:t>
      </w:r>
      <w:r>
        <w:rPr>
          <w:rFonts w:hint="eastAsia"/>
        </w:rPr>
        <w:t>条第</w:t>
      </w:r>
      <w:r>
        <w:rPr>
          <w:rFonts w:hint="eastAsia"/>
        </w:rPr>
        <w:t>3</w:t>
      </w:r>
      <w:r>
        <w:rPr>
          <w:rFonts w:hint="eastAsia"/>
        </w:rPr>
        <w:t>款）。《宪法》规定了三种家庭实体形式：公证结婚、男女之间的稳定同居关系；及父母一方与其子女所组成的群体。</w:t>
      </w:r>
      <w:r>
        <w:rPr>
          <w:rFonts w:hint="eastAsia"/>
        </w:rPr>
        <w:t>1994</w:t>
      </w:r>
      <w:r>
        <w:rPr>
          <w:rFonts w:hint="eastAsia"/>
        </w:rPr>
        <w:t>年</w:t>
      </w:r>
      <w:r>
        <w:rPr>
          <w:rFonts w:hint="eastAsia"/>
        </w:rPr>
        <w:t>12</w:t>
      </w:r>
      <w:r>
        <w:rPr>
          <w:rFonts w:hint="eastAsia"/>
        </w:rPr>
        <w:t>月</w:t>
      </w:r>
      <w:r>
        <w:rPr>
          <w:rFonts w:hint="eastAsia"/>
        </w:rPr>
        <w:t>29</w:t>
      </w:r>
      <w:r>
        <w:rPr>
          <w:rFonts w:hint="eastAsia"/>
        </w:rPr>
        <w:t>日第</w:t>
      </w:r>
      <w:r>
        <w:t>8</w:t>
      </w:r>
      <w:r>
        <w:rPr>
          <w:rFonts w:hint="eastAsia"/>
        </w:rPr>
        <w:t xml:space="preserve"> </w:t>
      </w:r>
      <w:r>
        <w:t>971</w:t>
      </w:r>
      <w:r>
        <w:rPr>
          <w:rFonts w:hint="eastAsia"/>
        </w:rPr>
        <w:t>号法律和</w:t>
      </w:r>
      <w:r>
        <w:rPr>
          <w:rFonts w:hint="eastAsia"/>
        </w:rPr>
        <w:t>1996</w:t>
      </w:r>
      <w:r>
        <w:rPr>
          <w:rFonts w:hint="eastAsia"/>
        </w:rPr>
        <w:t>年</w:t>
      </w:r>
      <w:r>
        <w:rPr>
          <w:rFonts w:hint="eastAsia"/>
        </w:rPr>
        <w:t>5</w:t>
      </w:r>
      <w:r>
        <w:rPr>
          <w:rFonts w:hint="eastAsia"/>
        </w:rPr>
        <w:t>月</w:t>
      </w:r>
      <w:r>
        <w:t>10</w:t>
      </w:r>
      <w:r>
        <w:rPr>
          <w:rFonts w:hint="eastAsia"/>
        </w:rPr>
        <w:t>日第</w:t>
      </w:r>
      <w:r>
        <w:t>9</w:t>
      </w:r>
      <w:r>
        <w:rPr>
          <w:rFonts w:hint="eastAsia"/>
        </w:rPr>
        <w:t xml:space="preserve"> 2</w:t>
      </w:r>
      <w:r>
        <w:t>78</w:t>
      </w:r>
      <w:r>
        <w:rPr>
          <w:rFonts w:hint="eastAsia"/>
        </w:rPr>
        <w:t>号法律规范了《联邦宪法》第</w:t>
      </w:r>
      <w:r>
        <w:t>226</w:t>
      </w:r>
      <w:r>
        <w:rPr>
          <w:rFonts w:hint="eastAsia"/>
        </w:rPr>
        <w:t>条第</w:t>
      </w:r>
      <w:r>
        <w:rPr>
          <w:rFonts w:hint="eastAsia"/>
        </w:rPr>
        <w:t>3</w:t>
      </w:r>
      <w:r>
        <w:rPr>
          <w:rFonts w:hint="eastAsia"/>
        </w:rPr>
        <w:t>款，巩固了稳定同居关系的合法地位。</w:t>
      </w:r>
    </w:p>
    <w:p w:rsidR="00000000" w:rsidRDefault="004D2F83">
      <w:pPr>
        <w:spacing w:after="240" w:line="360" w:lineRule="exact"/>
        <w:rPr>
          <w:rFonts w:eastAsia="KaiTi_GB2312" w:hint="eastAsia"/>
          <w:b/>
          <w:bCs/>
        </w:rPr>
      </w:pPr>
      <w:r>
        <w:rPr>
          <w:rFonts w:eastAsia="KaiTi_GB2312"/>
          <w:b/>
          <w:bCs/>
        </w:rPr>
        <w:t>d</w:t>
      </w:r>
      <w:r>
        <w:rPr>
          <w:rFonts w:eastAsia="KaiTi_GB2312" w:hint="eastAsia"/>
          <w:b/>
          <w:bCs/>
        </w:rPr>
        <w:t>）项：父母双方对其子女的权利和义务</w:t>
      </w:r>
    </w:p>
    <w:p w:rsidR="00000000" w:rsidRDefault="004D2F83" w:rsidP="004D2F83">
      <w:pPr>
        <w:spacing w:after="240" w:line="360" w:lineRule="exact"/>
        <w:ind w:firstLineChars="200" w:firstLine="31680"/>
        <w:rPr>
          <w:rFonts w:hint="eastAsia"/>
        </w:rPr>
      </w:pPr>
      <w:r>
        <w:rPr>
          <w:rFonts w:hint="eastAsia"/>
        </w:rPr>
        <w:t>《民法典》第</w:t>
      </w:r>
      <w:r>
        <w:rPr>
          <w:rFonts w:hint="eastAsia"/>
        </w:rPr>
        <w:t>380</w:t>
      </w:r>
      <w:r>
        <w:rPr>
          <w:rFonts w:hint="eastAsia"/>
        </w:rPr>
        <w:t>条单独的一段规定，当意见不同时，应以父亲的意见为准。不过，如果母亲从法院得到不同的决定，父亲的决定可能被否决，因为丈夫的决策权要服从司法管制。</w:t>
      </w:r>
    </w:p>
    <w:p w:rsidR="00000000" w:rsidRDefault="004D2F83" w:rsidP="004D2F83">
      <w:pPr>
        <w:spacing w:after="240" w:line="360" w:lineRule="exact"/>
        <w:ind w:firstLineChars="200" w:firstLine="31680"/>
        <w:rPr>
          <w:rFonts w:hint="eastAsia"/>
        </w:rPr>
      </w:pPr>
      <w:r>
        <w:rPr>
          <w:rFonts w:hint="eastAsia"/>
        </w:rPr>
        <w:t>再婚的寡妇失去了管理以前的婚姻中所生的未成年子女的财产的权利以及对该财产的使用权。不过，第</w:t>
      </w:r>
      <w:r>
        <w:rPr>
          <w:rFonts w:hint="eastAsia"/>
        </w:rPr>
        <w:t xml:space="preserve">4 </w:t>
      </w:r>
      <w:r>
        <w:t>121/</w:t>
      </w:r>
      <w:r>
        <w:rPr>
          <w:rFonts w:hint="eastAsia"/>
        </w:rPr>
        <w:t>62</w:t>
      </w:r>
      <w:r>
        <w:rPr>
          <w:rFonts w:hint="eastAsia"/>
        </w:rPr>
        <w:t>号法律对《民法典》第</w:t>
      </w:r>
      <w:r>
        <w:rPr>
          <w:rFonts w:hint="eastAsia"/>
        </w:rPr>
        <w:t>393</w:t>
      </w:r>
      <w:r>
        <w:rPr>
          <w:rFonts w:hint="eastAsia"/>
        </w:rPr>
        <w:t>条和第</w:t>
      </w:r>
      <w:r>
        <w:rPr>
          <w:rFonts w:hint="eastAsia"/>
        </w:rPr>
        <w:t>248</w:t>
      </w:r>
      <w:r>
        <w:rPr>
          <w:rFonts w:hint="eastAsia"/>
        </w:rPr>
        <w:t>条第一项增加了新的措词，规定再婚母亲对以前的婚姻中所生子女仍有家长权，</w:t>
      </w:r>
      <w:r>
        <w:rPr>
          <w:rFonts w:hint="eastAsia"/>
        </w:rPr>
        <w:t>能够自由行使她对该子女个人和财产的权利。</w:t>
      </w:r>
    </w:p>
    <w:p w:rsidR="00000000" w:rsidRDefault="004D2F83" w:rsidP="004D2F83">
      <w:pPr>
        <w:spacing w:after="240" w:line="360" w:lineRule="exact"/>
        <w:ind w:firstLineChars="200" w:firstLine="31680"/>
        <w:rPr>
          <w:rFonts w:hint="eastAsia"/>
        </w:rPr>
      </w:pPr>
      <w:r>
        <w:rPr>
          <w:rFonts w:hint="eastAsia"/>
        </w:rPr>
        <w:t>家长权不再是《民法典》第</w:t>
      </w:r>
      <w:r>
        <w:rPr>
          <w:rFonts w:hint="eastAsia"/>
        </w:rPr>
        <w:t>380</w:t>
      </w:r>
      <w:r>
        <w:rPr>
          <w:rFonts w:hint="eastAsia"/>
        </w:rPr>
        <w:t>条中规定的只有父亲行使、母亲只能合作的一项权利，而是《儿童和青少年法规》第</w:t>
      </w:r>
      <w:r>
        <w:rPr>
          <w:rFonts w:hint="eastAsia"/>
        </w:rPr>
        <w:t>21</w:t>
      </w:r>
      <w:r>
        <w:rPr>
          <w:rFonts w:hint="eastAsia"/>
        </w:rPr>
        <w:t>条中规定的父母双方在同等条件下行使的权利。</w:t>
      </w:r>
    </w:p>
    <w:p w:rsidR="00000000" w:rsidRDefault="004D2F83" w:rsidP="004D2F83">
      <w:pPr>
        <w:spacing w:after="240" w:line="360" w:lineRule="exact"/>
        <w:ind w:firstLineChars="200" w:firstLine="31680"/>
        <w:rPr>
          <w:rFonts w:hint="eastAsia"/>
        </w:rPr>
      </w:pPr>
      <w:r>
        <w:rPr>
          <w:rFonts w:hint="eastAsia"/>
        </w:rPr>
        <w:t>同样，父母双方有权在同等条件下管理其子女的资产。按照《民法典》第</w:t>
      </w:r>
      <w:r>
        <w:t>385</w:t>
      </w:r>
      <w:r>
        <w:rPr>
          <w:rFonts w:hint="eastAsia"/>
        </w:rPr>
        <w:t>条的规定，母亲的权利不再以没有父亲为条件。</w:t>
      </w:r>
    </w:p>
    <w:p w:rsidR="00000000" w:rsidRDefault="004D2F83" w:rsidP="004D2F83">
      <w:pPr>
        <w:spacing w:after="240" w:line="360" w:lineRule="exact"/>
        <w:ind w:firstLineChars="200" w:firstLine="31680"/>
        <w:rPr>
          <w:rFonts w:hint="eastAsia"/>
        </w:rPr>
      </w:pPr>
      <w:r>
        <w:rPr>
          <w:rFonts w:hint="eastAsia"/>
        </w:rPr>
        <w:t>关于该问题，《民法典》第</w:t>
      </w:r>
      <w:r>
        <w:rPr>
          <w:rFonts w:hint="eastAsia"/>
        </w:rPr>
        <w:t>378</w:t>
      </w:r>
      <w:r>
        <w:rPr>
          <w:rFonts w:hint="eastAsia"/>
        </w:rPr>
        <w:t>条中存在性别歧视：“自然亲属关系所产生的权利和义务不因收养而终止，但家长权除外，家长权应由生父转给养父”。法律文书只提及父亲是家长权的持有者。</w:t>
      </w:r>
    </w:p>
    <w:p w:rsidR="00000000" w:rsidRDefault="004D2F83" w:rsidP="004D2F83">
      <w:pPr>
        <w:spacing w:after="240" w:line="360" w:lineRule="exact"/>
        <w:ind w:firstLineChars="200" w:firstLine="31680"/>
        <w:rPr>
          <w:rFonts w:hint="eastAsia"/>
        </w:rPr>
      </w:pPr>
      <w:r>
        <w:rPr>
          <w:rFonts w:hint="eastAsia"/>
        </w:rPr>
        <w:t>《离婚法》第</w:t>
      </w:r>
      <w:r>
        <w:rPr>
          <w:rFonts w:hint="eastAsia"/>
        </w:rPr>
        <w:t>10</w:t>
      </w:r>
      <w:r>
        <w:rPr>
          <w:rFonts w:hint="eastAsia"/>
        </w:rPr>
        <w:t>条第</w:t>
      </w:r>
      <w:r>
        <w:rPr>
          <w:rFonts w:hint="eastAsia"/>
        </w:rPr>
        <w:t>1</w:t>
      </w:r>
      <w:r>
        <w:rPr>
          <w:rFonts w:hint="eastAsia"/>
        </w:rPr>
        <w:t>款规定，</w:t>
      </w:r>
      <w:r>
        <w:rPr>
          <w:rFonts w:hint="eastAsia"/>
        </w:rPr>
        <w:t>当配偶双方要求法院判决夫妇分居时，子女监护权最好判给母亲，除非法官依据《儿童和青少年法规》（第</w:t>
      </w:r>
      <w:r>
        <w:rPr>
          <w:rFonts w:hint="eastAsia"/>
        </w:rPr>
        <w:t>4</w:t>
      </w:r>
      <w:r>
        <w:rPr>
          <w:rFonts w:hint="eastAsia"/>
        </w:rPr>
        <w:t>条）的一项指导原则为了儿童或青少年的利益做出其他决定，该项原则规定，应以儿童或青少年的利益为重。此项法律决定，子女“应由没有提出分居的配偶一方监护”（第</w:t>
      </w:r>
      <w:r>
        <w:rPr>
          <w:rFonts w:hint="eastAsia"/>
        </w:rPr>
        <w:t>10</w:t>
      </w:r>
      <w:r>
        <w:rPr>
          <w:rFonts w:hint="eastAsia"/>
        </w:rPr>
        <w:t>条）。然而，如果配偶双方均要求法院判决夫妇分居，子女的监护权应判给母亲，除非法官认为这种解决方案会给子女带来“痛苦和伤害”。因此，责任一词代替了有罪一词，后者被《离婚法》之前的法律所采用。</w:t>
      </w:r>
    </w:p>
    <w:p w:rsidR="00000000" w:rsidRDefault="004D2F83" w:rsidP="004D2F83">
      <w:pPr>
        <w:spacing w:after="240" w:line="360" w:lineRule="exact"/>
        <w:ind w:firstLineChars="200" w:firstLine="31680"/>
        <w:rPr>
          <w:rFonts w:hint="eastAsia"/>
        </w:rPr>
      </w:pPr>
      <w:r>
        <w:rPr>
          <w:rFonts w:hint="eastAsia"/>
        </w:rPr>
        <w:t>在《离婚法》之前，在法院判决的夫妇分居案件中，未成年子女的监护权判给无</w:t>
      </w:r>
      <w:r>
        <w:rPr>
          <w:rFonts w:hint="eastAsia"/>
        </w:rPr>
        <w:t>罪的配偶（《民法典》第</w:t>
      </w:r>
      <w:r>
        <w:rPr>
          <w:rFonts w:hint="eastAsia"/>
        </w:rPr>
        <w:t>326</w:t>
      </w:r>
      <w:r>
        <w:rPr>
          <w:rFonts w:hint="eastAsia"/>
        </w:rPr>
        <w:t>条）。不过，第</w:t>
      </w:r>
      <w:r>
        <w:t>6</w:t>
      </w:r>
      <w:r>
        <w:rPr>
          <w:rFonts w:hint="eastAsia"/>
        </w:rPr>
        <w:t xml:space="preserve"> </w:t>
      </w:r>
      <w:r>
        <w:t>515/</w:t>
      </w:r>
      <w:r>
        <w:rPr>
          <w:rFonts w:hint="eastAsia"/>
        </w:rPr>
        <w:t>77</w:t>
      </w:r>
      <w:r>
        <w:rPr>
          <w:rFonts w:hint="eastAsia"/>
        </w:rPr>
        <w:t>号法律取消了家庭内无罪和有罪概念，这些概念包含了家长制意识。目前，对妇女行为进行道德评价降到了最低程度，因为法律以儿童和青少年的利益为重。</w:t>
      </w:r>
    </w:p>
    <w:p w:rsidR="00000000" w:rsidRDefault="004D2F83" w:rsidP="004D2F83">
      <w:pPr>
        <w:spacing w:after="240" w:line="360" w:lineRule="exact"/>
        <w:ind w:firstLineChars="200" w:firstLine="31680"/>
        <w:rPr>
          <w:rFonts w:hint="eastAsia"/>
        </w:rPr>
      </w:pPr>
      <w:r>
        <w:rPr>
          <w:rFonts w:hint="eastAsia"/>
        </w:rPr>
        <w:t>在这方面，《新民法典》第</w:t>
      </w:r>
      <w:r>
        <w:t>1</w:t>
      </w:r>
      <w:r>
        <w:rPr>
          <w:rFonts w:hint="eastAsia"/>
        </w:rPr>
        <w:t xml:space="preserve"> </w:t>
      </w:r>
      <w:r>
        <w:t>583</w:t>
      </w:r>
      <w:r>
        <w:rPr>
          <w:rFonts w:hint="eastAsia"/>
        </w:rPr>
        <w:t>条规定，在通过双方同意法院判决分居或直接自愿离婚而解除婚姻或婚姻关系的情况下，父母双方应该就子女的监护权达成协议。第</w:t>
      </w:r>
      <w:r>
        <w:t>1</w:t>
      </w:r>
      <w:r>
        <w:rPr>
          <w:rFonts w:hint="eastAsia"/>
        </w:rPr>
        <w:t xml:space="preserve"> </w:t>
      </w:r>
      <w:r>
        <w:t>584</w:t>
      </w:r>
      <w:r>
        <w:rPr>
          <w:rFonts w:hint="eastAsia"/>
        </w:rPr>
        <w:t>条是指</w:t>
      </w:r>
      <w:r>
        <w:rPr>
          <w:rFonts w:eastAsia="KaiTi_GB2312" w:hint="eastAsia"/>
        </w:rPr>
        <w:t>当未达成协议时子女的监护权</w:t>
      </w:r>
      <w:r>
        <w:rPr>
          <w:rFonts w:hint="eastAsia"/>
        </w:rPr>
        <w:t>，该条规定，应该将监护权判给父母中更有能力履行此项权利的一方。</w:t>
      </w:r>
    </w:p>
    <w:p w:rsidR="00000000" w:rsidRDefault="004D2F83" w:rsidP="004D2F83">
      <w:pPr>
        <w:spacing w:after="240" w:line="360" w:lineRule="exact"/>
        <w:ind w:firstLineChars="200" w:firstLine="31680"/>
        <w:rPr>
          <w:rFonts w:hint="eastAsia"/>
        </w:rPr>
      </w:pPr>
      <w:r>
        <w:rPr>
          <w:rFonts w:hint="eastAsia"/>
        </w:rPr>
        <w:t>立法者对巴西社会和法律现实的一个最微妙的主题很敏感，因此规</w:t>
      </w:r>
      <w:r>
        <w:rPr>
          <w:rFonts w:hint="eastAsia"/>
        </w:rPr>
        <w:t>定，在子女既不应该与</w:t>
      </w:r>
      <w:r>
        <w:rPr>
          <w:rFonts w:eastAsia="KaiTi_GB2312" w:hint="eastAsia"/>
        </w:rPr>
        <w:t>父亲</w:t>
      </w:r>
      <w:r>
        <w:rPr>
          <w:rFonts w:hint="eastAsia"/>
        </w:rPr>
        <w:t>也不应该与</w:t>
      </w:r>
      <w:r>
        <w:rPr>
          <w:rFonts w:eastAsia="KaiTi_GB2312" w:hint="eastAsia"/>
        </w:rPr>
        <w:t>母亲</w:t>
      </w:r>
      <w:r>
        <w:rPr>
          <w:rFonts w:hint="eastAsia"/>
        </w:rPr>
        <w:t>一起生活的情况下，法官在考虑到当事人的亲属关系和密切关系程度以及情感关系后决定监护权归谁所有。</w:t>
      </w:r>
    </w:p>
    <w:p w:rsidR="00000000" w:rsidRDefault="004D2F83" w:rsidP="004D2F83">
      <w:pPr>
        <w:spacing w:after="240" w:line="360" w:lineRule="exact"/>
        <w:ind w:firstLineChars="200" w:firstLine="31680"/>
      </w:pPr>
      <w:r>
        <w:rPr>
          <w:rFonts w:hint="eastAsia"/>
        </w:rPr>
        <w:t>值得强调的还有，《新民法典》将</w:t>
      </w:r>
      <w:r>
        <w:rPr>
          <w:rFonts w:eastAsia="KaiTi_GB2312" w:hint="eastAsia"/>
        </w:rPr>
        <w:t>父权</w:t>
      </w:r>
      <w:r>
        <w:rPr>
          <w:rFonts w:hint="eastAsia"/>
        </w:rPr>
        <w:t>一词改为</w:t>
      </w:r>
      <w:r>
        <w:rPr>
          <w:rFonts w:eastAsia="KaiTi_GB2312" w:hint="eastAsia"/>
        </w:rPr>
        <w:t>家庭权</w:t>
      </w:r>
      <w:r>
        <w:rPr>
          <w:rFonts w:hint="eastAsia"/>
        </w:rPr>
        <w:t>。我们认为，这是一项具有重要意义的决定，因为它意味着消除了一个引用父权、损害母权的词语。第</w:t>
      </w:r>
      <w:r>
        <w:t>1</w:t>
      </w:r>
      <w:r>
        <w:rPr>
          <w:rFonts w:hint="eastAsia"/>
        </w:rPr>
        <w:t xml:space="preserve"> </w:t>
      </w:r>
      <w:r>
        <w:t>630</w:t>
      </w:r>
      <w:r>
        <w:rPr>
          <w:rFonts w:hint="eastAsia"/>
        </w:rPr>
        <w:t>条规定，未成年子女须接受家庭权的约束。第</w:t>
      </w:r>
      <w:r>
        <w:t>1</w:t>
      </w:r>
      <w:r>
        <w:rPr>
          <w:rFonts w:hint="eastAsia"/>
        </w:rPr>
        <w:t xml:space="preserve"> </w:t>
      </w:r>
      <w:r>
        <w:t>631</w:t>
      </w:r>
      <w:r>
        <w:rPr>
          <w:rFonts w:hint="eastAsia"/>
        </w:rPr>
        <w:t>条规定，家庭权应由父母双方在婚姻或稳定的同居关系存续期间行使，缺少其中一方或受到其阻碍，应由另一方全权行使。</w:t>
      </w:r>
    </w:p>
    <w:p w:rsidR="00000000" w:rsidRDefault="004D2F83">
      <w:pPr>
        <w:spacing w:after="240" w:line="360" w:lineRule="exact"/>
        <w:rPr>
          <w:rFonts w:eastAsia="KaiTi_GB2312" w:hint="eastAsia"/>
          <w:b/>
          <w:bCs/>
        </w:rPr>
      </w:pPr>
      <w:r>
        <w:rPr>
          <w:rFonts w:eastAsia="KaiTi_GB2312"/>
          <w:b/>
          <w:bCs/>
        </w:rPr>
        <w:t>e</w:t>
      </w:r>
      <w:r>
        <w:rPr>
          <w:rFonts w:eastAsia="KaiTi_GB2312" w:hint="eastAsia"/>
          <w:b/>
          <w:bCs/>
        </w:rPr>
        <w:t>）计划生育</w:t>
      </w:r>
    </w:p>
    <w:p w:rsidR="00000000" w:rsidRDefault="004D2F83" w:rsidP="004D2F83">
      <w:pPr>
        <w:spacing w:after="240" w:line="360" w:lineRule="exact"/>
        <w:ind w:firstLineChars="200" w:firstLine="31680"/>
        <w:rPr>
          <w:rFonts w:hint="eastAsia"/>
        </w:rPr>
      </w:pPr>
      <w:r>
        <w:rPr>
          <w:rFonts w:hint="eastAsia"/>
        </w:rPr>
        <w:t>《联邦宪法》第</w:t>
      </w:r>
      <w:r>
        <w:rPr>
          <w:rFonts w:hint="eastAsia"/>
        </w:rPr>
        <w:t>226</w:t>
      </w:r>
      <w:r>
        <w:rPr>
          <w:rFonts w:hint="eastAsia"/>
        </w:rPr>
        <w:t>条第</w:t>
      </w:r>
      <w:r>
        <w:rPr>
          <w:rFonts w:hint="eastAsia"/>
        </w:rPr>
        <w:t>7</w:t>
      </w:r>
      <w:r>
        <w:rPr>
          <w:rFonts w:hint="eastAsia"/>
        </w:rPr>
        <w:t>款规定，计划生育应由配偶双方自</w:t>
      </w:r>
      <w:r>
        <w:rPr>
          <w:rFonts w:hint="eastAsia"/>
        </w:rPr>
        <w:t>由选择，国家的义务是为行使此项权利提供教育和科学资源，严禁官方或私人机构做出任何胁迫。此项宪法规定通过</w:t>
      </w:r>
      <w:r>
        <w:rPr>
          <w:rFonts w:hint="eastAsia"/>
        </w:rPr>
        <w:t>1996</w:t>
      </w:r>
      <w:r>
        <w:rPr>
          <w:rFonts w:hint="eastAsia"/>
        </w:rPr>
        <w:t>年</w:t>
      </w:r>
      <w:r>
        <w:rPr>
          <w:rFonts w:hint="eastAsia"/>
        </w:rPr>
        <w:t>1</w:t>
      </w:r>
      <w:r>
        <w:rPr>
          <w:rFonts w:hint="eastAsia"/>
        </w:rPr>
        <w:t>月</w:t>
      </w:r>
      <w:r>
        <w:rPr>
          <w:rFonts w:hint="eastAsia"/>
        </w:rPr>
        <w:t>12</w:t>
      </w:r>
      <w:r>
        <w:rPr>
          <w:rFonts w:hint="eastAsia"/>
        </w:rPr>
        <w:t>日第</w:t>
      </w:r>
      <w:r>
        <w:t>9</w:t>
      </w:r>
      <w:r>
        <w:rPr>
          <w:rFonts w:hint="eastAsia"/>
        </w:rPr>
        <w:t xml:space="preserve"> </w:t>
      </w:r>
      <w:r>
        <w:t>263</w:t>
      </w:r>
      <w:r>
        <w:rPr>
          <w:rFonts w:hint="eastAsia"/>
        </w:rPr>
        <w:t>号法律加以规范。</w:t>
      </w:r>
    </w:p>
    <w:p w:rsidR="00000000" w:rsidRDefault="004D2F83" w:rsidP="004D2F83">
      <w:pPr>
        <w:spacing w:after="240" w:line="360" w:lineRule="exact"/>
        <w:ind w:firstLineChars="200" w:firstLine="31680"/>
        <w:rPr>
          <w:rFonts w:hint="eastAsia"/>
        </w:rPr>
      </w:pPr>
      <w:r>
        <w:rPr>
          <w:rFonts w:hint="eastAsia"/>
        </w:rPr>
        <w:t>《新民法典》第</w:t>
      </w:r>
      <w:r>
        <w:t>1</w:t>
      </w:r>
      <w:r>
        <w:rPr>
          <w:rFonts w:hint="eastAsia"/>
        </w:rPr>
        <w:t xml:space="preserve"> </w:t>
      </w:r>
      <w:r>
        <w:t>565</w:t>
      </w:r>
      <w:r>
        <w:rPr>
          <w:rFonts w:hint="eastAsia"/>
        </w:rPr>
        <w:t>条第</w:t>
      </w:r>
      <w:r>
        <w:rPr>
          <w:rFonts w:hint="eastAsia"/>
        </w:rPr>
        <w:t>2</w:t>
      </w:r>
      <w:r>
        <w:rPr>
          <w:rFonts w:hint="eastAsia"/>
        </w:rPr>
        <w:t>款采用了《联邦宪法》第</w:t>
      </w:r>
      <w:r>
        <w:rPr>
          <w:rFonts w:hint="eastAsia"/>
        </w:rPr>
        <w:t>226</w:t>
      </w:r>
      <w:r>
        <w:rPr>
          <w:rFonts w:hint="eastAsia"/>
        </w:rPr>
        <w:t>条第</w:t>
      </w:r>
      <w:r>
        <w:t>7</w:t>
      </w:r>
      <w:r>
        <w:rPr>
          <w:rFonts w:hint="eastAsia"/>
        </w:rPr>
        <w:t>款的概念，规定计划生育由配偶双方自由选择，国家的义务是，为行使此项权利提供教育和科学资源，严禁官方或私人机构做出任何胁迫。</w:t>
      </w:r>
    </w:p>
    <w:p w:rsidR="00000000" w:rsidRDefault="004D2F83">
      <w:pPr>
        <w:spacing w:after="240" w:line="360" w:lineRule="exact"/>
        <w:rPr>
          <w:rFonts w:eastAsia="KaiTi_GB2312" w:hint="eastAsia"/>
          <w:b/>
          <w:bCs/>
        </w:rPr>
      </w:pPr>
      <w:r>
        <w:rPr>
          <w:rFonts w:eastAsia="KaiTi_GB2312"/>
          <w:b/>
          <w:bCs/>
        </w:rPr>
        <w:t>f</w:t>
      </w:r>
      <w:r>
        <w:rPr>
          <w:rFonts w:eastAsia="KaiTi_GB2312" w:hint="eastAsia"/>
          <w:b/>
          <w:bCs/>
        </w:rPr>
        <w:t>）项：在监护、看管、托管和收养子女方面的权利和义务</w:t>
      </w:r>
    </w:p>
    <w:p w:rsidR="00000000" w:rsidRDefault="004D2F83" w:rsidP="004D2F83">
      <w:pPr>
        <w:spacing w:after="240" w:line="360" w:lineRule="exact"/>
        <w:ind w:firstLineChars="200" w:firstLine="31680"/>
        <w:rPr>
          <w:rFonts w:hint="eastAsia"/>
        </w:rPr>
      </w:pPr>
      <w:r>
        <w:rPr>
          <w:rFonts w:hint="eastAsia"/>
        </w:rPr>
        <w:t>关于监护权，《民法典》第</w:t>
      </w:r>
      <w:r>
        <w:rPr>
          <w:rFonts w:hint="eastAsia"/>
        </w:rPr>
        <w:t>414</w:t>
      </w:r>
      <w:r>
        <w:rPr>
          <w:rFonts w:hint="eastAsia"/>
        </w:rPr>
        <w:t>条第一项具有歧视性，因为它允许妇女拒绝监护权。鉴于妇女的现状，她们不应享有此项特权（《联</w:t>
      </w:r>
      <w:r>
        <w:rPr>
          <w:rFonts w:hint="eastAsia"/>
        </w:rPr>
        <w:t>邦宪法》第</w:t>
      </w:r>
      <w:r>
        <w:rPr>
          <w:rFonts w:hint="eastAsia"/>
        </w:rPr>
        <w:t>5</w:t>
      </w:r>
      <w:r>
        <w:rPr>
          <w:rFonts w:hint="eastAsia"/>
        </w:rPr>
        <w:t>条第一项）。</w:t>
      </w:r>
    </w:p>
    <w:p w:rsidR="00000000" w:rsidRDefault="004D2F83" w:rsidP="004D2F83">
      <w:pPr>
        <w:spacing w:after="240" w:line="360" w:lineRule="exact"/>
        <w:ind w:firstLineChars="200" w:firstLine="31680"/>
        <w:rPr>
          <w:rFonts w:hint="eastAsia"/>
        </w:rPr>
      </w:pPr>
      <w:r>
        <w:rPr>
          <w:rFonts w:hint="eastAsia"/>
        </w:rPr>
        <w:t>还应指出的是，如上所述，《新民法典》坚持采用上述歧视性规定，因为其第</w:t>
      </w:r>
      <w:r>
        <w:t>1</w:t>
      </w:r>
      <w:r>
        <w:rPr>
          <w:rFonts w:hint="eastAsia"/>
        </w:rPr>
        <w:t xml:space="preserve"> </w:t>
      </w:r>
      <w:r>
        <w:t>736</w:t>
      </w:r>
      <w:r>
        <w:rPr>
          <w:rFonts w:hint="eastAsia"/>
        </w:rPr>
        <w:t>条规定，已婚妇女有权拒绝监护权。</w:t>
      </w:r>
    </w:p>
    <w:p w:rsidR="00000000" w:rsidRDefault="004D2F83" w:rsidP="004D2F83">
      <w:pPr>
        <w:spacing w:after="240" w:line="360" w:lineRule="exact"/>
        <w:ind w:firstLineChars="200" w:firstLine="31680"/>
        <w:rPr>
          <w:rFonts w:hint="eastAsia"/>
        </w:rPr>
      </w:pPr>
      <w:r>
        <w:rPr>
          <w:rFonts w:hint="eastAsia"/>
        </w:rPr>
        <w:t>关于监护权，《新民法典》第</w:t>
      </w:r>
      <w:r>
        <w:t>1</w:t>
      </w:r>
      <w:r>
        <w:rPr>
          <w:rFonts w:hint="eastAsia"/>
        </w:rPr>
        <w:t xml:space="preserve"> </w:t>
      </w:r>
      <w:r>
        <w:t>731</w:t>
      </w:r>
      <w:r>
        <w:rPr>
          <w:rFonts w:hint="eastAsia"/>
        </w:rPr>
        <w:t>条第一项规定，如果没有父母双方指定的监护人，未成年子女应该由血亲亲属来监护，其顺序为：近亲在先，远亲在后。这是一种创新，因为生效的《民法典》第</w:t>
      </w:r>
      <w:r>
        <w:rPr>
          <w:rFonts w:hint="eastAsia"/>
        </w:rPr>
        <w:t>409</w:t>
      </w:r>
      <w:r>
        <w:rPr>
          <w:rFonts w:hint="eastAsia"/>
        </w:rPr>
        <w:t>条第一项规定顺序如下：祖父、外祖父，如果没有外祖父，则是祖母或外祖母。</w:t>
      </w:r>
    </w:p>
    <w:p w:rsidR="00000000" w:rsidRDefault="004D2F83" w:rsidP="004D2F83">
      <w:pPr>
        <w:spacing w:after="240" w:line="360" w:lineRule="exact"/>
        <w:ind w:firstLineChars="200" w:firstLine="31680"/>
        <w:rPr>
          <w:rFonts w:hint="eastAsia"/>
        </w:rPr>
      </w:pPr>
      <w:r>
        <w:rPr>
          <w:rFonts w:hint="eastAsia"/>
        </w:rPr>
        <w:t>第</w:t>
      </w:r>
      <w:r>
        <w:rPr>
          <w:rFonts w:hint="eastAsia"/>
        </w:rPr>
        <w:t>454</w:t>
      </w:r>
      <w:r>
        <w:rPr>
          <w:rFonts w:hint="eastAsia"/>
        </w:rPr>
        <w:t>条第一款含有两性区别，该款提到法律上无行为能力的配偶不在的情况，第</w:t>
      </w:r>
      <w:r>
        <w:rPr>
          <w:rFonts w:hint="eastAsia"/>
        </w:rPr>
        <w:t>467</w:t>
      </w:r>
      <w:r>
        <w:rPr>
          <w:rFonts w:hint="eastAsia"/>
        </w:rPr>
        <w:t>条也包含两性区别，该条提到不在配偶的财</w:t>
      </w:r>
      <w:r>
        <w:rPr>
          <w:rFonts w:hint="eastAsia"/>
        </w:rPr>
        <w:t>产托管权，根据《宪法》，应不再实行这种差别，父母双方在托管权方面应拥有平等的权利。</w:t>
      </w:r>
    </w:p>
    <w:p w:rsidR="00000000" w:rsidRDefault="004D2F83" w:rsidP="004D2F83">
      <w:pPr>
        <w:spacing w:after="240" w:line="360" w:lineRule="exact"/>
        <w:ind w:firstLineChars="200" w:firstLine="31680"/>
        <w:rPr>
          <w:rFonts w:hint="eastAsia"/>
        </w:rPr>
      </w:pPr>
      <w:r>
        <w:rPr>
          <w:rFonts w:hint="eastAsia"/>
        </w:rPr>
        <w:t>关于将儿童和青少年安置在代管家庭问题，《儿童和青少年法规》（</w:t>
      </w:r>
      <w:r>
        <w:rPr>
          <w:rFonts w:hint="eastAsia"/>
        </w:rPr>
        <w:t>1990</w:t>
      </w:r>
      <w:r>
        <w:rPr>
          <w:rFonts w:hint="eastAsia"/>
        </w:rPr>
        <w:t>年</w:t>
      </w:r>
      <w:r>
        <w:rPr>
          <w:rFonts w:hint="eastAsia"/>
        </w:rPr>
        <w:t>7</w:t>
      </w:r>
      <w:r>
        <w:rPr>
          <w:rFonts w:hint="eastAsia"/>
        </w:rPr>
        <w:t>月</w:t>
      </w:r>
      <w:r>
        <w:rPr>
          <w:rFonts w:hint="eastAsia"/>
        </w:rPr>
        <w:t>13</w:t>
      </w:r>
      <w:r>
        <w:rPr>
          <w:rFonts w:hint="eastAsia"/>
        </w:rPr>
        <w:t>日第</w:t>
      </w:r>
      <w:r>
        <w:t>8</w:t>
      </w:r>
      <w:r>
        <w:rPr>
          <w:rFonts w:hint="eastAsia"/>
        </w:rPr>
        <w:t xml:space="preserve"> </w:t>
      </w:r>
      <w:r>
        <w:t>069</w:t>
      </w:r>
      <w:r>
        <w:rPr>
          <w:rFonts w:hint="eastAsia"/>
        </w:rPr>
        <w:t>号法律）第</w:t>
      </w:r>
      <w:r>
        <w:rPr>
          <w:rFonts w:hint="eastAsia"/>
        </w:rPr>
        <w:t>28</w:t>
      </w:r>
      <w:r>
        <w:rPr>
          <w:rFonts w:hint="eastAsia"/>
        </w:rPr>
        <w:t>至第</w:t>
      </w:r>
      <w:r>
        <w:rPr>
          <w:rFonts w:hint="eastAsia"/>
        </w:rPr>
        <w:t>52</w:t>
      </w:r>
      <w:r>
        <w:rPr>
          <w:rFonts w:hint="eastAsia"/>
        </w:rPr>
        <w:t>条规定了能使男女在同等条件下行使监护、看管和收养子女权利的规则。</w:t>
      </w:r>
    </w:p>
    <w:p w:rsidR="00000000" w:rsidRDefault="004D2F83">
      <w:pPr>
        <w:spacing w:after="240" w:line="360" w:lineRule="exact"/>
        <w:rPr>
          <w:rFonts w:eastAsia="KaiTi_GB2312"/>
          <w:b/>
          <w:bCs/>
        </w:rPr>
      </w:pPr>
      <w:r>
        <w:rPr>
          <w:rFonts w:eastAsia="KaiTi_GB2312"/>
          <w:b/>
          <w:bCs/>
        </w:rPr>
        <w:t>g</w:t>
      </w:r>
      <w:r>
        <w:rPr>
          <w:rFonts w:eastAsia="KaiTi_GB2312" w:hint="eastAsia"/>
          <w:b/>
          <w:bCs/>
        </w:rPr>
        <w:t>）项：选择姓氏、专业和职业的权利</w:t>
      </w:r>
    </w:p>
    <w:p w:rsidR="00000000" w:rsidRDefault="004D2F83" w:rsidP="004D2F83">
      <w:pPr>
        <w:spacing w:after="240" w:line="360" w:lineRule="exact"/>
        <w:ind w:firstLineChars="200" w:firstLine="31680"/>
        <w:rPr>
          <w:rFonts w:hint="eastAsia"/>
        </w:rPr>
      </w:pPr>
      <w:r>
        <w:rPr>
          <w:rFonts w:hint="eastAsia"/>
        </w:rPr>
        <w:t>通过婚姻，确保妇女将其丈夫姓氏加在其本人名字之后的权利（《民法典》第</w:t>
      </w:r>
      <w:r>
        <w:rPr>
          <w:rFonts w:hint="eastAsia"/>
        </w:rPr>
        <w:t>240</w:t>
      </w:r>
      <w:r>
        <w:rPr>
          <w:rFonts w:hint="eastAsia"/>
        </w:rPr>
        <w:t>条单立款）。在大多数情况下，妇女按照习俗采用了丈夫的姓氏。</w:t>
      </w:r>
    </w:p>
    <w:p w:rsidR="00000000" w:rsidRDefault="004D2F83" w:rsidP="004D2F83">
      <w:pPr>
        <w:spacing w:after="240" w:line="360" w:lineRule="exact"/>
        <w:ind w:firstLineChars="200" w:firstLine="31680"/>
        <w:rPr>
          <w:rFonts w:hint="eastAsia"/>
        </w:rPr>
      </w:pPr>
      <w:r>
        <w:rPr>
          <w:rFonts w:hint="eastAsia"/>
        </w:rPr>
        <w:t>《联邦宪法》（第</w:t>
      </w:r>
      <w:r>
        <w:rPr>
          <w:rFonts w:hint="eastAsia"/>
        </w:rPr>
        <w:t>226</w:t>
      </w:r>
      <w:r>
        <w:rPr>
          <w:rFonts w:hint="eastAsia"/>
        </w:rPr>
        <w:t>条第</w:t>
      </w:r>
      <w:r>
        <w:rPr>
          <w:rFonts w:hint="eastAsia"/>
        </w:rPr>
        <w:t>5</w:t>
      </w:r>
      <w:r>
        <w:rPr>
          <w:rFonts w:hint="eastAsia"/>
        </w:rPr>
        <w:t>款）规定的配偶双方法律平等，导致人们对丈夫能否采用</w:t>
      </w:r>
      <w:r>
        <w:rPr>
          <w:rFonts w:hint="eastAsia"/>
        </w:rPr>
        <w:t>妻子的姓氐展开讨论。</w:t>
      </w:r>
    </w:p>
    <w:p w:rsidR="00000000" w:rsidRDefault="004D2F83" w:rsidP="004D2F83">
      <w:pPr>
        <w:spacing w:after="240" w:line="360" w:lineRule="exact"/>
        <w:ind w:firstLineChars="200" w:firstLine="31680"/>
        <w:rPr>
          <w:rFonts w:hint="eastAsia"/>
        </w:rPr>
      </w:pPr>
      <w:r>
        <w:rPr>
          <w:rFonts w:hint="eastAsia"/>
        </w:rPr>
        <w:t>关于已婚妇女采用姓氏的问题，第</w:t>
      </w:r>
      <w:r>
        <w:t>6</w:t>
      </w:r>
      <w:r>
        <w:rPr>
          <w:rFonts w:hint="eastAsia"/>
        </w:rPr>
        <w:t xml:space="preserve"> </w:t>
      </w:r>
      <w:r>
        <w:t>515/77</w:t>
      </w:r>
      <w:r>
        <w:rPr>
          <w:rFonts w:hint="eastAsia"/>
        </w:rPr>
        <w:t>号法律第</w:t>
      </w:r>
      <w:r>
        <w:rPr>
          <w:rFonts w:hint="eastAsia"/>
        </w:rPr>
        <w:t>5</w:t>
      </w:r>
      <w:r>
        <w:rPr>
          <w:rFonts w:hint="eastAsia"/>
        </w:rPr>
        <w:t>条第</w:t>
      </w:r>
      <w:r>
        <w:rPr>
          <w:rFonts w:hint="eastAsia"/>
        </w:rPr>
        <w:t>1</w:t>
      </w:r>
      <w:r>
        <w:rPr>
          <w:rFonts w:hint="eastAsia"/>
        </w:rPr>
        <w:t>和第</w:t>
      </w:r>
      <w:r>
        <w:rPr>
          <w:rFonts w:hint="eastAsia"/>
        </w:rPr>
        <w:t>2</w:t>
      </w:r>
      <w:r>
        <w:rPr>
          <w:rFonts w:hint="eastAsia"/>
        </w:rPr>
        <w:t>款规定，如果妇女在分居诉讼中败诉或提出分居申请，她应恢复其婚前姓氏。在所有其他情况下，她可选择保留其丈夫的姓氏。不过，《离婚法》规定，该妇女必须恢复其婚前姓氏，该法第</w:t>
      </w:r>
      <w:r>
        <w:rPr>
          <w:rFonts w:hint="eastAsia"/>
        </w:rPr>
        <w:t>25</w:t>
      </w:r>
      <w:r>
        <w:rPr>
          <w:rFonts w:hint="eastAsia"/>
        </w:rPr>
        <w:t>条规定的情况除外（明显妨碍其身份、其姓氏与正在解除的婚姻关系中所生子女的姓氏明显不同以及法院规定的严重损害）。</w:t>
      </w:r>
    </w:p>
    <w:p w:rsidR="00000000" w:rsidRDefault="004D2F83" w:rsidP="004D2F83">
      <w:pPr>
        <w:spacing w:after="240" w:line="360" w:lineRule="exact"/>
        <w:ind w:firstLineChars="200" w:firstLine="31680"/>
        <w:rPr>
          <w:rFonts w:hint="eastAsia"/>
        </w:rPr>
      </w:pPr>
      <w:r>
        <w:rPr>
          <w:rFonts w:hint="eastAsia"/>
        </w:rPr>
        <w:t>最后，关于《公约》</w:t>
      </w:r>
      <w:r>
        <w:t>g</w:t>
      </w:r>
      <w:r>
        <w:rPr>
          <w:rFonts w:hint="eastAsia"/>
        </w:rPr>
        <w:t>项，值得一提的是，从事与其丈夫的活动不同的营利活动的妇女不再需要丈夫的批准和同意便可从事和开展其职业活动。经第</w:t>
      </w:r>
      <w:r>
        <w:t>4</w:t>
      </w:r>
      <w:r>
        <w:rPr>
          <w:rFonts w:hint="eastAsia"/>
        </w:rPr>
        <w:t xml:space="preserve"> </w:t>
      </w:r>
      <w:r>
        <w:t>121</w:t>
      </w:r>
      <w:r>
        <w:t>/62</w:t>
      </w:r>
      <w:r>
        <w:rPr>
          <w:rFonts w:hint="eastAsia"/>
        </w:rPr>
        <w:t>号法律修改的《民法典》第</w:t>
      </w:r>
      <w:r>
        <w:rPr>
          <w:rFonts w:hint="eastAsia"/>
        </w:rPr>
        <w:t>246</w:t>
      </w:r>
      <w:r>
        <w:rPr>
          <w:rFonts w:hint="eastAsia"/>
        </w:rPr>
        <w:t>条做了这方面的规定。新的宪法条文规定，即使夫妻双方从事同一种营利活动，妇女也不需要丈夫的同意并且可以在同等的条件下与他竞争。</w:t>
      </w:r>
    </w:p>
    <w:p w:rsidR="00000000" w:rsidRDefault="004D2F83" w:rsidP="004D2F83">
      <w:pPr>
        <w:spacing w:after="240" w:line="360" w:lineRule="exact"/>
        <w:ind w:firstLineChars="200" w:firstLine="31680"/>
        <w:rPr>
          <w:rFonts w:hint="eastAsia"/>
        </w:rPr>
      </w:pPr>
      <w:r>
        <w:rPr>
          <w:rFonts w:hint="eastAsia"/>
        </w:rPr>
        <w:t>《新民法典》第</w:t>
      </w:r>
      <w:r>
        <w:t>1565</w:t>
      </w:r>
      <w:r>
        <w:rPr>
          <w:rFonts w:hint="eastAsia"/>
        </w:rPr>
        <w:t>条第</w:t>
      </w:r>
      <w:r>
        <w:rPr>
          <w:rFonts w:hint="eastAsia"/>
        </w:rPr>
        <w:t>1</w:t>
      </w:r>
      <w:r>
        <w:rPr>
          <w:rFonts w:hint="eastAsia"/>
        </w:rPr>
        <w:t>款规定，任一方订婚者如果愿意，均可采用另一方的姓氏。</w:t>
      </w:r>
    </w:p>
    <w:p w:rsidR="00000000" w:rsidRDefault="004D2F83" w:rsidP="004D2F83">
      <w:pPr>
        <w:spacing w:after="240" w:line="360" w:lineRule="exact"/>
        <w:ind w:firstLineChars="200" w:firstLine="31680"/>
        <w:rPr>
          <w:rFonts w:hint="eastAsia"/>
        </w:rPr>
      </w:pPr>
      <w:r>
        <w:rPr>
          <w:rFonts w:hint="eastAsia"/>
        </w:rPr>
        <w:t>依据第</w:t>
      </w:r>
      <w:r>
        <w:t>1571</w:t>
      </w:r>
      <w:r>
        <w:rPr>
          <w:rFonts w:hint="eastAsia"/>
        </w:rPr>
        <w:t>条第</w:t>
      </w:r>
      <w:r>
        <w:rPr>
          <w:rFonts w:hint="eastAsia"/>
        </w:rPr>
        <w:t>2</w:t>
      </w:r>
      <w:r>
        <w:rPr>
          <w:rFonts w:hint="eastAsia"/>
        </w:rPr>
        <w:t>款，在通过离婚或其他方式解除婚约的情况下，配偶双方可保留其婚后姓名，除非法院判决夫妇分居的命令做了其他规定。</w:t>
      </w:r>
    </w:p>
    <w:p w:rsidR="00000000" w:rsidRDefault="004D2F83" w:rsidP="004D2F83">
      <w:pPr>
        <w:spacing w:after="240" w:line="360" w:lineRule="exact"/>
        <w:ind w:firstLineChars="200" w:firstLine="31680"/>
        <w:rPr>
          <w:rFonts w:hint="eastAsia"/>
        </w:rPr>
      </w:pPr>
      <w:r>
        <w:rPr>
          <w:rFonts w:hint="eastAsia"/>
        </w:rPr>
        <w:t>一些有意思的规定值得注意，即使在分居诉讼中判定配偶一方有罪，他也只会失去保留另一方姓氏的权利（如果后者提出这种要求），只要这种变更不会对希</w:t>
      </w:r>
      <w:r>
        <w:rPr>
          <w:rFonts w:hint="eastAsia"/>
        </w:rPr>
        <w:t>望保留婚后姓氏的配偶带来严重损害。此项规则与《离婚法》不同，《离婚法》第</w:t>
      </w:r>
      <w:r>
        <w:rPr>
          <w:rFonts w:hint="eastAsia"/>
        </w:rPr>
        <w:t>17</w:t>
      </w:r>
      <w:r>
        <w:rPr>
          <w:rFonts w:hint="eastAsia"/>
        </w:rPr>
        <w:t>条规定，在分居诉讼中败诉的妇女应恢复其婚前姓氏。</w:t>
      </w:r>
    </w:p>
    <w:p w:rsidR="00000000" w:rsidRDefault="004D2F83">
      <w:pPr>
        <w:spacing w:after="240" w:line="360" w:lineRule="exact"/>
        <w:rPr>
          <w:rFonts w:eastAsia="KaiTi_GB2312" w:hint="eastAsia"/>
          <w:b/>
          <w:bCs/>
        </w:rPr>
      </w:pPr>
      <w:r>
        <w:rPr>
          <w:rFonts w:eastAsia="KaiTi_GB2312" w:hint="eastAsia"/>
          <w:b/>
          <w:bCs/>
        </w:rPr>
        <w:t>关于《公约》第</w:t>
      </w:r>
      <w:r>
        <w:rPr>
          <w:rFonts w:eastAsia="KaiTi_GB2312" w:hint="eastAsia"/>
          <w:b/>
          <w:bCs/>
        </w:rPr>
        <w:t>2</w:t>
      </w:r>
      <w:r>
        <w:rPr>
          <w:rFonts w:eastAsia="KaiTi_GB2312" w:hint="eastAsia"/>
          <w:b/>
          <w:bCs/>
        </w:rPr>
        <w:t>款：结婚最低年龄</w:t>
      </w:r>
    </w:p>
    <w:p w:rsidR="00000000" w:rsidRDefault="004D2F83" w:rsidP="004D2F83">
      <w:pPr>
        <w:spacing w:after="240" w:line="360" w:lineRule="exact"/>
        <w:ind w:firstLineChars="200" w:firstLine="31680"/>
        <w:rPr>
          <w:rFonts w:hint="eastAsia"/>
        </w:rPr>
      </w:pPr>
      <w:r>
        <w:rPr>
          <w:rFonts w:hint="eastAsia"/>
        </w:rPr>
        <w:t>《民法典》规定最低结婚年龄为：妇女</w:t>
      </w:r>
      <w:r>
        <w:rPr>
          <w:rFonts w:hint="eastAsia"/>
        </w:rPr>
        <w:t>16</w:t>
      </w:r>
      <w:r>
        <w:rPr>
          <w:rFonts w:hint="eastAsia"/>
        </w:rPr>
        <w:t>岁、男子</w:t>
      </w:r>
      <w:r>
        <w:rPr>
          <w:rFonts w:hint="eastAsia"/>
        </w:rPr>
        <w:t>18</w:t>
      </w:r>
      <w:r>
        <w:rPr>
          <w:rFonts w:hint="eastAsia"/>
        </w:rPr>
        <w:t>岁，并要求订婚者应该由其父母代理。未达到法定结婚年龄的未成年人的婚姻，只有经司法授权并有重要理由才能生效。</w:t>
      </w:r>
    </w:p>
    <w:p w:rsidR="00000000" w:rsidRDefault="004D2F83" w:rsidP="004D2F83">
      <w:pPr>
        <w:spacing w:after="240" w:line="360" w:lineRule="exact"/>
        <w:ind w:firstLineChars="171" w:firstLine="31680"/>
        <w:rPr>
          <w:rFonts w:hint="eastAsia"/>
        </w:rPr>
      </w:pPr>
      <w:r>
        <w:rPr>
          <w:rFonts w:hint="eastAsia"/>
        </w:rPr>
        <w:t>法律规定，结婚都必须在官方登记处登记。根据</w:t>
      </w:r>
      <w:r>
        <w:rPr>
          <w:rFonts w:hint="eastAsia"/>
        </w:rPr>
        <w:t>1970</w:t>
      </w:r>
      <w:r>
        <w:rPr>
          <w:rFonts w:hint="eastAsia"/>
        </w:rPr>
        <w:t>年巴西通过的《婚姻公约》（联合国，</w:t>
      </w:r>
      <w:r>
        <w:rPr>
          <w:rFonts w:hint="eastAsia"/>
        </w:rPr>
        <w:t>1962</w:t>
      </w:r>
      <w:r>
        <w:rPr>
          <w:rFonts w:hint="eastAsia"/>
        </w:rPr>
        <w:t>年），各缔约国有权采取必要措施以决定适当的结婚年龄。</w:t>
      </w:r>
    </w:p>
    <w:p w:rsidR="00000000" w:rsidRDefault="004D2F83" w:rsidP="004D2F83">
      <w:pPr>
        <w:spacing w:after="240" w:line="360" w:lineRule="exact"/>
        <w:ind w:firstLineChars="171" w:firstLine="31680"/>
        <w:rPr>
          <w:rFonts w:hint="eastAsia"/>
        </w:rPr>
      </w:pPr>
      <w:r>
        <w:rPr>
          <w:rFonts w:hint="eastAsia"/>
        </w:rPr>
        <w:t>男女在适当的结婚年龄方面的差别是以生理特点为根据</w:t>
      </w:r>
      <w:r>
        <w:rPr>
          <w:rFonts w:hint="eastAsia"/>
        </w:rPr>
        <w:t>的。在这种情况下，妇女年龄较小，是因为据作出这一规定的人士讲，妇女在生理发育方面比男子早。然而，这种观点未得到一致认同，因为有人指出，第</w:t>
      </w:r>
      <w:r>
        <w:t>183</w:t>
      </w:r>
      <w:r>
        <w:rPr>
          <w:rFonts w:hint="eastAsia"/>
        </w:rPr>
        <w:t>条第十三款的规定与《宪法》第</w:t>
      </w:r>
      <w:r>
        <w:rPr>
          <w:rFonts w:hint="eastAsia"/>
        </w:rPr>
        <w:t>5</w:t>
      </w:r>
      <w:r>
        <w:rPr>
          <w:rFonts w:hint="eastAsia"/>
        </w:rPr>
        <w:t>条第一款所载的规则相悖。他们称，当男女双方处在同样的法律环境中，法律不能给予妇女特权而损害男子的平等权利，反之亦然。</w:t>
      </w:r>
    </w:p>
    <w:p w:rsidR="00000000" w:rsidRDefault="004D2F83" w:rsidP="004D2F83">
      <w:pPr>
        <w:spacing w:after="240" w:line="360" w:lineRule="exact"/>
        <w:ind w:firstLineChars="200" w:firstLine="31680"/>
        <w:rPr>
          <w:rFonts w:hint="eastAsia"/>
        </w:rPr>
      </w:pPr>
      <w:r>
        <w:rPr>
          <w:rFonts w:hint="eastAsia"/>
        </w:rPr>
        <w:t>另外重要的还有关于缔婚要由父母双方批准的问题。如果父母的决定意见不一致，将以父亲的决定为准。如果父母分居、离婚，或者如果其婚姻无效，将以对子女拥有监护权的父母一方的决定为准（经第</w:t>
      </w:r>
      <w:r>
        <w:t>6</w:t>
      </w:r>
      <w:r>
        <w:rPr>
          <w:rFonts w:hint="eastAsia"/>
        </w:rPr>
        <w:t xml:space="preserve"> </w:t>
      </w:r>
      <w:r>
        <w:t>515/77</w:t>
      </w:r>
      <w:r>
        <w:rPr>
          <w:rFonts w:hint="eastAsia"/>
        </w:rPr>
        <w:t>号法律修订的《民法典》第</w:t>
      </w:r>
      <w:r>
        <w:rPr>
          <w:rFonts w:hint="eastAsia"/>
        </w:rPr>
        <w:t>18</w:t>
      </w:r>
      <w:r>
        <w:rPr>
          <w:rFonts w:hint="eastAsia"/>
        </w:rPr>
        <w:t>6</w:t>
      </w:r>
      <w:r>
        <w:rPr>
          <w:rFonts w:hint="eastAsia"/>
        </w:rPr>
        <w:t>条）。如果子女是私生子女，承认该女子的父母一方同意即可，如果子女未得到承认，母亲同意即可（《民法典》第</w:t>
      </w:r>
      <w:r>
        <w:rPr>
          <w:rFonts w:hint="eastAsia"/>
        </w:rPr>
        <w:t>186</w:t>
      </w:r>
      <w:r>
        <w:rPr>
          <w:rFonts w:hint="eastAsia"/>
        </w:rPr>
        <w:t>条，单立款）。</w:t>
      </w:r>
    </w:p>
    <w:p w:rsidR="00000000" w:rsidRDefault="004D2F83" w:rsidP="004D2F83">
      <w:pPr>
        <w:spacing w:after="240" w:line="360" w:lineRule="exact"/>
        <w:ind w:firstLineChars="200" w:firstLine="31680"/>
        <w:rPr>
          <w:rFonts w:hint="eastAsia"/>
        </w:rPr>
      </w:pPr>
      <w:r>
        <w:rPr>
          <w:rFonts w:hint="eastAsia"/>
        </w:rPr>
        <w:t>将于</w:t>
      </w:r>
      <w:r>
        <w:rPr>
          <w:rFonts w:hint="eastAsia"/>
        </w:rPr>
        <w:t>2003</w:t>
      </w:r>
      <w:r>
        <w:rPr>
          <w:rFonts w:hint="eastAsia"/>
        </w:rPr>
        <w:t>年</w:t>
      </w:r>
      <w:r>
        <w:rPr>
          <w:rFonts w:hint="eastAsia"/>
        </w:rPr>
        <w:t>1</w:t>
      </w:r>
      <w:r>
        <w:rPr>
          <w:rFonts w:hint="eastAsia"/>
        </w:rPr>
        <w:t>月</w:t>
      </w:r>
      <w:r>
        <w:rPr>
          <w:rFonts w:hint="eastAsia"/>
        </w:rPr>
        <w:t>11</w:t>
      </w:r>
      <w:r>
        <w:rPr>
          <w:rFonts w:hint="eastAsia"/>
        </w:rPr>
        <w:t>日生效的《新民法典》规定，如果订婚者不满</w:t>
      </w:r>
      <w:r>
        <w:rPr>
          <w:rFonts w:hint="eastAsia"/>
        </w:rPr>
        <w:t>16</w:t>
      </w:r>
      <w:r>
        <w:rPr>
          <w:rFonts w:hint="eastAsia"/>
        </w:rPr>
        <w:t>岁，需要父母双方的批准。如果父母双方对批准这件事意见不一致，任何一方都有权诉诸法院以使问题得到解决。</w:t>
      </w:r>
    </w:p>
    <w:p w:rsidR="00000000" w:rsidRDefault="004D2F83">
      <w:pPr>
        <w:spacing w:after="240" w:line="360" w:lineRule="exact"/>
        <w:rPr>
          <w:rFonts w:eastAsia="KaiTi_GB2312" w:hint="eastAsia"/>
          <w:b/>
          <w:bCs/>
        </w:rPr>
      </w:pPr>
      <w:r>
        <w:rPr>
          <w:rFonts w:eastAsia="KaiTi_GB2312" w:hint="eastAsia"/>
          <w:b/>
          <w:bCs/>
        </w:rPr>
        <w:t>有关家庭暴力和家庭内暴力的问题：</w:t>
      </w:r>
    </w:p>
    <w:p w:rsidR="00000000" w:rsidRDefault="004D2F83" w:rsidP="004D2F83">
      <w:pPr>
        <w:spacing w:after="240" w:line="360" w:lineRule="exact"/>
        <w:ind w:firstLineChars="200" w:firstLine="31680"/>
        <w:rPr>
          <w:rFonts w:hint="eastAsia"/>
        </w:rPr>
      </w:pPr>
      <w:r>
        <w:rPr>
          <w:rFonts w:hint="eastAsia"/>
        </w:rPr>
        <w:t>值得强调的是，《公约》第</w:t>
      </w:r>
      <w:r>
        <w:rPr>
          <w:rFonts w:hint="eastAsia"/>
        </w:rPr>
        <w:t>1</w:t>
      </w:r>
      <w:r>
        <w:rPr>
          <w:rFonts w:hint="eastAsia"/>
        </w:rPr>
        <w:t>和第</w:t>
      </w:r>
      <w:r>
        <w:rPr>
          <w:rFonts w:hint="eastAsia"/>
        </w:rPr>
        <w:t>2</w:t>
      </w:r>
      <w:r>
        <w:rPr>
          <w:rFonts w:hint="eastAsia"/>
        </w:rPr>
        <w:t>条的评注中谈到对妇女和女童的家庭暴力和家庭内暴力问题。</w:t>
      </w:r>
    </w:p>
    <w:p w:rsidR="00000000" w:rsidRDefault="004D2F83">
      <w:pPr>
        <w:spacing w:after="240" w:line="360" w:lineRule="exact"/>
        <w:rPr>
          <w:rFonts w:eastAsia="SimHei" w:hint="eastAsia"/>
          <w:sz w:val="24"/>
        </w:rPr>
      </w:pPr>
      <w:r>
        <w:rPr>
          <w:rFonts w:eastAsia="SimHei" w:hint="eastAsia"/>
          <w:sz w:val="24"/>
        </w:rPr>
        <w:t>各州宪法和立法</w:t>
      </w:r>
    </w:p>
    <w:p w:rsidR="00000000" w:rsidRDefault="004D2F83" w:rsidP="004D2F83">
      <w:pPr>
        <w:spacing w:after="240" w:line="360" w:lineRule="exact"/>
        <w:ind w:firstLineChars="200" w:firstLine="31680"/>
        <w:rPr>
          <w:rFonts w:hint="eastAsia"/>
        </w:rPr>
      </w:pPr>
      <w:r>
        <w:rPr>
          <w:rFonts w:hint="eastAsia"/>
        </w:rPr>
        <w:t>16</w:t>
      </w:r>
      <w:r>
        <w:rPr>
          <w:rFonts w:hint="eastAsia"/>
        </w:rPr>
        <w:t>个州的《宪法》</w:t>
      </w:r>
      <w:r>
        <w:rPr>
          <w:rStyle w:val="FootnoteReference"/>
        </w:rPr>
        <w:footnoteReference w:customMarkFollows="1" w:id="154"/>
        <w:t>154</w:t>
      </w:r>
      <w:r>
        <w:rPr>
          <w:rFonts w:hint="eastAsia"/>
        </w:rPr>
        <w:t>和《联邦区组织法》规定</w:t>
      </w:r>
      <w:r>
        <w:rPr>
          <w:rFonts w:eastAsia="KaiTi_GB2312" w:hint="eastAsia"/>
          <w:b/>
          <w:bCs/>
        </w:rPr>
        <w:t>人人平等，毫无差别。</w:t>
      </w:r>
      <w:r>
        <w:rPr>
          <w:rFonts w:hint="eastAsia"/>
        </w:rPr>
        <w:t>其中，巴伊亚、</w:t>
      </w:r>
      <w:r>
        <w:rPr>
          <w:rFonts w:hint="eastAsia"/>
        </w:rPr>
        <w:t>阿马帕、塞阿拉和巴拉州的《宪法》和《联邦区组织法》明确规定妇女的平等权利，包括在州一级采取措施确保这种权利。</w:t>
      </w:r>
    </w:p>
    <w:p w:rsidR="00000000" w:rsidRDefault="004D2F83" w:rsidP="004D2F83">
      <w:pPr>
        <w:spacing w:after="240" w:line="360" w:lineRule="exact"/>
        <w:ind w:firstLineChars="200" w:firstLine="31680"/>
        <w:rPr>
          <w:rFonts w:hint="eastAsia"/>
        </w:rPr>
      </w:pPr>
      <w:r>
        <w:rPr>
          <w:rFonts w:hint="eastAsia"/>
        </w:rPr>
        <w:t>与《联邦宪法》的规定相悖的是，某些州的宪法载有男性至上的规定并表现出男女不平等，使用了“男人”一词作为“人类”或“人”的同义词。这些宪法有亚马孙、帕拉伊巴、皮奥伊和圣保罗州的宪法，《亚马孙州宪法》在该州优先目标中列入让</w:t>
      </w:r>
      <w:r>
        <w:rPr>
          <w:rFonts w:eastAsia="SimHei" w:hint="eastAsia"/>
        </w:rPr>
        <w:t>男人</w:t>
      </w:r>
      <w:r>
        <w:rPr>
          <w:rFonts w:hint="eastAsia"/>
        </w:rPr>
        <w:t>在农村定居并确保教育制度通过尊重</w:t>
      </w:r>
      <w:r>
        <w:rPr>
          <w:rFonts w:eastAsia="SimHei" w:hint="eastAsia"/>
        </w:rPr>
        <w:t>男人</w:t>
      </w:r>
      <w:r>
        <w:rPr>
          <w:rFonts w:hint="eastAsia"/>
        </w:rPr>
        <w:t>的普遍和民族特性，维护并突出亚马孙州人民的文化特征；《帕拉伊巴州宪法》规定设立保护</w:t>
      </w:r>
      <w:r>
        <w:rPr>
          <w:rFonts w:eastAsia="SimHei" w:hint="eastAsia"/>
        </w:rPr>
        <w:t>男子</w:t>
      </w:r>
      <w:r>
        <w:rPr>
          <w:rFonts w:hint="eastAsia"/>
        </w:rPr>
        <w:t>和公民权利的国务委员会；《皮奥伊州宪法》确保已故市长的遗孀</w:t>
      </w:r>
      <w:r>
        <w:rPr>
          <w:rFonts w:hint="eastAsia"/>
        </w:rPr>
        <w:t>有领取抚恤金的权利；而《圣保罗州宪法》确保</w:t>
      </w:r>
      <w:r>
        <w:rPr>
          <w:rFonts w:eastAsia="SimHei" w:hint="eastAsia"/>
        </w:rPr>
        <w:t>母亲</w:t>
      </w:r>
      <w:r>
        <w:rPr>
          <w:rFonts w:hint="eastAsia"/>
        </w:rPr>
        <w:t>有权在其</w:t>
      </w:r>
      <w:r>
        <w:rPr>
          <w:rFonts w:hint="eastAsia"/>
        </w:rPr>
        <w:t>12</w:t>
      </w:r>
      <w:r>
        <w:rPr>
          <w:rFonts w:hint="eastAsia"/>
        </w:rPr>
        <w:t>岁以下的子女住院时陪伴其子女。</w:t>
      </w:r>
    </w:p>
    <w:p w:rsidR="00000000" w:rsidRDefault="004D2F83" w:rsidP="004D2F83">
      <w:pPr>
        <w:spacing w:after="240" w:line="360" w:lineRule="exact"/>
        <w:ind w:firstLineChars="200" w:firstLine="31680"/>
        <w:rPr>
          <w:rFonts w:hint="eastAsia"/>
        </w:rPr>
      </w:pPr>
      <w:r>
        <w:rPr>
          <w:rFonts w:hint="eastAsia"/>
        </w:rPr>
        <w:t>关于婚姻关系中的平等，《亚马孙州宪法》规定，婚姻家庭中所固有的权利和义务将由男女平等地行使，包括在其子女登记方面。在这方面，里约热内卢和朗多尼亚州的《宪法》规定，与婚姻家庭有关的权利和义务应由男女平等地行使。</w:t>
      </w:r>
    </w:p>
    <w:p w:rsidR="00000000" w:rsidRDefault="004D2F83" w:rsidP="004D2F83">
      <w:pPr>
        <w:spacing w:after="240" w:line="360" w:lineRule="exact"/>
        <w:ind w:firstLineChars="200" w:firstLine="31680"/>
        <w:rPr>
          <w:rFonts w:hint="eastAsia"/>
        </w:rPr>
      </w:pPr>
      <w:r>
        <w:rPr>
          <w:rFonts w:hint="eastAsia"/>
        </w:rPr>
        <w:t>关于子女教育的责任，《巴伊亚州宪法》规定，根据法律，</w:t>
      </w:r>
      <w:r>
        <w:rPr>
          <w:rFonts w:eastAsia="KaiTi_GB2312" w:hint="eastAsia"/>
        </w:rPr>
        <w:t>本州对家庭予以保护，州政府自身或与其他机构合作实施如下目的的方案：确保本州承认母亲和父亲的相关社会作用，确保父母双方有必要的能力供其子女入托儿所以及获得教育、保</w:t>
      </w:r>
      <w:r>
        <w:rPr>
          <w:rFonts w:eastAsia="KaiTi_GB2312" w:hint="eastAsia"/>
        </w:rPr>
        <w:t>健、营养和安全。《塞尔希培州宪法》规定父母双方平等，双方均有义务帮助、抚养和教育其未成年子女，成年子女有义务帮助和赡养其贫穷、年老或体弱的父母。</w:t>
      </w:r>
    </w:p>
    <w:p w:rsidR="00000000" w:rsidRDefault="004D2F83" w:rsidP="004D2F83">
      <w:pPr>
        <w:spacing w:after="240" w:line="360" w:lineRule="exact"/>
        <w:ind w:firstLineChars="200" w:firstLine="31680"/>
        <w:rPr>
          <w:rFonts w:hint="eastAsia"/>
        </w:rPr>
      </w:pPr>
      <w:r>
        <w:rPr>
          <w:rFonts w:ascii="KaiTi_GB2312" w:eastAsia="KaiTi_GB2312" w:hint="eastAsia"/>
          <w:b/>
          <w:bCs/>
        </w:rPr>
        <w:t>关于《公约》第</w:t>
      </w:r>
      <w:r>
        <w:rPr>
          <w:rFonts w:ascii="KaiTi_GB2312" w:eastAsia="KaiTi_GB2312" w:hint="eastAsia"/>
          <w:b/>
          <w:bCs/>
        </w:rPr>
        <w:t>16</w:t>
      </w:r>
      <w:r>
        <w:rPr>
          <w:rFonts w:ascii="KaiTi_GB2312" w:eastAsia="KaiTi_GB2312" w:hint="eastAsia"/>
          <w:b/>
          <w:bCs/>
        </w:rPr>
        <w:t>条第</w:t>
      </w:r>
      <w:r>
        <w:rPr>
          <w:rFonts w:ascii="KaiTi_GB2312" w:eastAsia="KaiTi_GB2312" w:hint="eastAsia"/>
          <w:b/>
          <w:bCs/>
        </w:rPr>
        <w:t>1</w:t>
      </w:r>
      <w:r>
        <w:rPr>
          <w:rFonts w:ascii="KaiTi_GB2312" w:eastAsia="KaiTi_GB2312" w:hint="eastAsia"/>
          <w:b/>
          <w:bCs/>
        </w:rPr>
        <w:t>款“</w:t>
      </w:r>
      <w:r>
        <w:rPr>
          <w:rFonts w:ascii="KaiTi_GB2312" w:eastAsia="KaiTi_GB2312"/>
          <w:b/>
          <w:bCs/>
        </w:rPr>
        <w:t>d</w:t>
      </w:r>
      <w:r>
        <w:rPr>
          <w:rFonts w:ascii="KaiTi_GB2312" w:eastAsia="KaiTi_GB2312" w:hint="eastAsia"/>
          <w:b/>
          <w:bCs/>
        </w:rPr>
        <w:t>”项，</w:t>
      </w:r>
      <w:r>
        <w:rPr>
          <w:rFonts w:hint="eastAsia"/>
        </w:rPr>
        <w:t>值得强调的是，某些州的宪法在母亲和父亲照顾其子女的责任方面表现出不平等迹象。在这方面，已对第</w:t>
      </w:r>
      <w:r>
        <w:rPr>
          <w:rFonts w:hint="eastAsia"/>
        </w:rPr>
        <w:t>5</w:t>
      </w:r>
      <w:r>
        <w:rPr>
          <w:rFonts w:hint="eastAsia"/>
        </w:rPr>
        <w:t>、第</w:t>
      </w:r>
      <w:r>
        <w:rPr>
          <w:rFonts w:hint="eastAsia"/>
        </w:rPr>
        <w:t>7</w:t>
      </w:r>
      <w:r>
        <w:rPr>
          <w:rFonts w:hint="eastAsia"/>
        </w:rPr>
        <w:t>和第</w:t>
      </w:r>
      <w:r>
        <w:rPr>
          <w:rFonts w:hint="eastAsia"/>
        </w:rPr>
        <w:t>15</w:t>
      </w:r>
      <w:r>
        <w:rPr>
          <w:rFonts w:hint="eastAsia"/>
        </w:rPr>
        <w:t>条作了评论。</w:t>
      </w:r>
    </w:p>
    <w:p w:rsidR="00000000" w:rsidRDefault="004D2F83" w:rsidP="004D2F83">
      <w:pPr>
        <w:spacing w:after="240" w:line="360" w:lineRule="exact"/>
        <w:ind w:firstLineChars="200" w:firstLine="31680"/>
        <w:rPr>
          <w:rFonts w:hint="eastAsia"/>
        </w:rPr>
      </w:pPr>
      <w:r>
        <w:rPr>
          <w:rFonts w:hint="eastAsia"/>
        </w:rPr>
        <w:t>第</w:t>
      </w:r>
      <w:r>
        <w:rPr>
          <w:rFonts w:hint="eastAsia"/>
        </w:rPr>
        <w:t>12</w:t>
      </w:r>
      <w:r>
        <w:rPr>
          <w:rFonts w:hint="eastAsia"/>
        </w:rPr>
        <w:t>条的评注中已经提到，除阿克里、阿拉戈阿斯、米纳斯吉拉斯、皮奥伊、朗多尼亚和塞尔希培州的《宪法》外，几乎所有州的《宪法》</w:t>
      </w:r>
      <w:r>
        <w:rPr>
          <w:rStyle w:val="FootnoteReference"/>
        </w:rPr>
        <w:footnoteReference w:customMarkFollows="1" w:id="155"/>
        <w:t>155</w:t>
      </w:r>
      <w:r>
        <w:rPr>
          <w:rFonts w:hint="eastAsia"/>
        </w:rPr>
        <w:t>都规定计划生育。涉及这一主题的大多数州的《宪法》</w:t>
      </w:r>
      <w:r>
        <w:rPr>
          <w:rStyle w:val="FootnoteReference"/>
        </w:rPr>
        <w:footnoteReference w:customMarkFollows="1" w:id="156"/>
        <w:t>156</w:t>
      </w:r>
      <w:r>
        <w:rPr>
          <w:rFonts w:hint="eastAsia"/>
        </w:rPr>
        <w:t>规定，计划生育是配偶双方</w:t>
      </w:r>
      <w:r>
        <w:rPr>
          <w:rFonts w:hint="eastAsia"/>
        </w:rPr>
        <w:t>的自由选择。《戈亚斯州宪法》规定，计划生育应由</w:t>
      </w:r>
      <w:r>
        <w:rPr>
          <w:rFonts w:eastAsia="KaiTi_GB2312" w:hint="eastAsia"/>
        </w:rPr>
        <w:t>男女双方</w:t>
      </w:r>
      <w:r>
        <w:rPr>
          <w:rFonts w:hint="eastAsia"/>
        </w:rPr>
        <w:t>行使。《里约热内卢州宪法》规定，计划生育是</w:t>
      </w:r>
      <w:r>
        <w:rPr>
          <w:rFonts w:eastAsia="KaiTi_GB2312" w:hint="eastAsia"/>
        </w:rPr>
        <w:t>妇女、男子或配偶双方</w:t>
      </w:r>
      <w:r>
        <w:rPr>
          <w:rFonts w:hint="eastAsia"/>
        </w:rPr>
        <w:t>的份内之事（其顺序如此）。而《圣保罗州宪法》规定，计划生育是</w:t>
      </w:r>
      <w:r>
        <w:rPr>
          <w:rFonts w:eastAsia="KaiTi_GB2312" w:hint="eastAsia"/>
        </w:rPr>
        <w:t>男子、妇女和配偶双方</w:t>
      </w:r>
      <w:r>
        <w:rPr>
          <w:rFonts w:hint="eastAsia"/>
        </w:rPr>
        <w:t>的份内之事（其顺序亦如此）。《巴拉州宪法》将这种权限赋予</w:t>
      </w:r>
      <w:r>
        <w:rPr>
          <w:rFonts w:eastAsia="KaiTi_GB2312" w:hint="eastAsia"/>
        </w:rPr>
        <w:t>家庭</w:t>
      </w:r>
      <w:r>
        <w:rPr>
          <w:rFonts w:hint="eastAsia"/>
        </w:rPr>
        <w:t>。</w:t>
      </w:r>
    </w:p>
    <w:p w:rsidR="00000000" w:rsidRDefault="004D2F83">
      <w:pPr>
        <w:pStyle w:val="BodyTextIndent"/>
        <w:rPr>
          <w:rFonts w:hint="eastAsia"/>
        </w:rPr>
      </w:pPr>
      <w:r>
        <w:rPr>
          <w:rFonts w:hint="eastAsia"/>
        </w:rPr>
        <w:t>巴伊亚、戈亚斯、巴拉、里约热内卢、罗赖马和塞尔希培州的《宪法》明确规定使用、学习和检查各种避孕方法。其中应特别提到《巴伊亚州宪法》，该宪法在关于妇女的权利的一章中鼓励开展研究，以改进和扩大安全、有效且对人体没有伤害的男女家庭避孕方法。该宪法还明令禁止用</w:t>
      </w:r>
      <w:r>
        <w:rPr>
          <w:rFonts w:hint="eastAsia"/>
        </w:rPr>
        <w:t>人体做药物和避孕方法方面的下列试验：对健康有害，使用者不完全知情和未经主管当局检查。</w:t>
      </w:r>
    </w:p>
    <w:p w:rsidR="00000000" w:rsidRDefault="004D2F83" w:rsidP="004D2F83">
      <w:pPr>
        <w:spacing w:after="240" w:line="360" w:lineRule="exact"/>
        <w:ind w:firstLineChars="200" w:firstLine="31680"/>
        <w:rPr>
          <w:rFonts w:hint="eastAsia"/>
        </w:rPr>
      </w:pPr>
      <w:r>
        <w:rPr>
          <w:rFonts w:hint="eastAsia"/>
        </w:rPr>
        <w:t>《里约热内卢州宪法》还规定，在考虑从事保护妇女健康的团体或机构的经验时，可以采用与生育权有关的新做法。阿马帕、塞阿拉、伯南布哥、罗赖马和圣保罗州《宪法》和《联邦区组织法》规定，将性教育纳入中小学课程中。</w:t>
      </w:r>
    </w:p>
    <w:p w:rsidR="00000000" w:rsidRDefault="004D2F83">
      <w:pPr>
        <w:spacing w:after="240" w:line="360" w:lineRule="exact"/>
        <w:rPr>
          <w:rFonts w:eastAsia="SimHei" w:hint="eastAsia"/>
          <w:sz w:val="24"/>
        </w:rPr>
      </w:pPr>
      <w:r>
        <w:rPr>
          <w:rFonts w:eastAsia="SimHei" w:hint="eastAsia"/>
          <w:sz w:val="24"/>
        </w:rPr>
        <w:t>政府行动</w:t>
      </w:r>
    </w:p>
    <w:p w:rsidR="00000000" w:rsidRDefault="004D2F83" w:rsidP="004D2F83">
      <w:pPr>
        <w:spacing w:after="240" w:line="360" w:lineRule="exact"/>
        <w:ind w:firstLineChars="200" w:firstLine="31680"/>
        <w:rPr>
          <w:rFonts w:hint="eastAsia"/>
        </w:rPr>
      </w:pPr>
      <w:r>
        <w:rPr>
          <w:rFonts w:hint="eastAsia"/>
        </w:rPr>
        <w:t>《公约》第</w:t>
      </w:r>
      <w:r>
        <w:rPr>
          <w:rFonts w:hint="eastAsia"/>
        </w:rPr>
        <w:t>1</w:t>
      </w:r>
      <w:r>
        <w:rPr>
          <w:rFonts w:hint="eastAsia"/>
        </w:rPr>
        <w:t>和第</w:t>
      </w:r>
      <w:r>
        <w:rPr>
          <w:rFonts w:hint="eastAsia"/>
        </w:rPr>
        <w:t>2</w:t>
      </w:r>
      <w:r>
        <w:rPr>
          <w:rFonts w:hint="eastAsia"/>
        </w:rPr>
        <w:t>条评注中论述了政府采取的旨在通过公共政策消除对妇女的歧视和暴力，特别是家庭和家庭内暴力的行动。</w:t>
      </w:r>
    </w:p>
    <w:p w:rsidR="00000000" w:rsidRDefault="004D2F83">
      <w:pPr>
        <w:spacing w:after="240" w:line="360" w:lineRule="exact"/>
        <w:rPr>
          <w:rFonts w:eastAsia="SimHei"/>
          <w:sz w:val="24"/>
        </w:rPr>
      </w:pPr>
    </w:p>
    <w:p w:rsidR="00000000" w:rsidRDefault="004D2F83">
      <w:pPr>
        <w:spacing w:after="240" w:line="360" w:lineRule="exact"/>
        <w:rPr>
          <w:rFonts w:eastAsia="SimHei" w:hint="eastAsia"/>
          <w:sz w:val="24"/>
        </w:rPr>
      </w:pPr>
      <w:r>
        <w:rPr>
          <w:rFonts w:eastAsia="SimHei" w:hint="eastAsia"/>
          <w:sz w:val="24"/>
        </w:rPr>
        <w:t>司法措施</w:t>
      </w:r>
    </w:p>
    <w:p w:rsidR="00000000" w:rsidRDefault="004D2F83" w:rsidP="004D2F83">
      <w:pPr>
        <w:spacing w:after="240" w:line="360" w:lineRule="exact"/>
        <w:ind w:firstLineChars="200" w:firstLine="31680"/>
        <w:rPr>
          <w:rFonts w:hint="eastAsia"/>
        </w:rPr>
      </w:pPr>
      <w:r>
        <w:rPr>
          <w:rFonts w:hint="eastAsia"/>
        </w:rPr>
        <w:t>根据《联邦宪法》，对司法部门有权对侵犯权利或危害权利的行为进行评判。此项原则通过其他许</w:t>
      </w:r>
      <w:r>
        <w:rPr>
          <w:rFonts w:hint="eastAsia"/>
        </w:rPr>
        <w:t>多关于权利的规则得到了巩固，这些规则试图确保人人享有平等权利，并享有各项重要的社会权利。</w:t>
      </w:r>
    </w:p>
    <w:p w:rsidR="00000000" w:rsidRDefault="004D2F83" w:rsidP="004D2F83">
      <w:pPr>
        <w:spacing w:after="240" w:line="360" w:lineRule="exact"/>
        <w:ind w:firstLineChars="200" w:firstLine="31680"/>
        <w:rPr>
          <w:rFonts w:hint="eastAsia"/>
        </w:rPr>
      </w:pPr>
      <w:r>
        <w:rPr>
          <w:rFonts w:hint="eastAsia"/>
        </w:rPr>
        <w:t>然而，司法部门受到一些残余的性别、阶级和种族偏见的影响，有时对妇女不利。诸如“忠诚的妇女”、“无辜受害者”和“好母亲”等道德概念仍用来界定配偶分居、子女监护权、婚姻暴力和性犯罪等问题。</w:t>
      </w:r>
    </w:p>
    <w:p w:rsidR="00000000" w:rsidRDefault="004D2F83" w:rsidP="004D2F83">
      <w:pPr>
        <w:spacing w:after="240" w:line="360" w:lineRule="exact"/>
        <w:ind w:firstLineChars="200" w:firstLine="31680"/>
        <w:rPr>
          <w:rFonts w:hint="eastAsia"/>
        </w:rPr>
      </w:pPr>
      <w:r>
        <w:rPr>
          <w:rFonts w:hint="eastAsia"/>
        </w:rPr>
        <w:t>依然存在的各种形式的歧视是由社会的文化模式引起的，我们知道，这些歧视形式复杂且难以改变。</w:t>
      </w:r>
    </w:p>
    <w:p w:rsidR="00000000" w:rsidRDefault="004D2F83" w:rsidP="004D2F83">
      <w:pPr>
        <w:spacing w:after="240" w:line="360" w:lineRule="exact"/>
        <w:ind w:firstLineChars="200" w:firstLine="31680"/>
        <w:rPr>
          <w:rFonts w:hint="eastAsia"/>
        </w:rPr>
      </w:pPr>
      <w:r>
        <w:rPr>
          <w:rFonts w:hint="eastAsia"/>
        </w:rPr>
        <w:t>因此，充分落实巴西妇女的权利，前提条件是司法部门将平等和民主价值观纳入</w:t>
      </w:r>
      <w:r>
        <w:rPr>
          <w:rFonts w:hint="eastAsia"/>
        </w:rPr>
        <w:t>1988</w:t>
      </w:r>
      <w:r>
        <w:rPr>
          <w:rFonts w:hint="eastAsia"/>
        </w:rPr>
        <w:t>年《宪法》。</w:t>
      </w:r>
    </w:p>
    <w:p w:rsidR="00000000" w:rsidRDefault="004D2F83" w:rsidP="004D2F83">
      <w:pPr>
        <w:spacing w:after="240" w:line="360" w:lineRule="exact"/>
        <w:ind w:firstLineChars="200" w:firstLine="31680"/>
        <w:rPr>
          <w:rFonts w:hint="eastAsia"/>
        </w:rPr>
      </w:pPr>
      <w:r>
        <w:rPr>
          <w:rFonts w:hint="eastAsia"/>
        </w:rPr>
        <w:t>为了评价司法部门落实妇女权利的方式，家庭领域里的司法诉</w:t>
      </w:r>
      <w:r>
        <w:rPr>
          <w:rFonts w:hint="eastAsia"/>
        </w:rPr>
        <w:t>讼调查表明</w:t>
      </w:r>
      <w:r>
        <w:rPr>
          <w:rFonts w:hint="eastAsia"/>
          <w:color w:val="000000"/>
        </w:rPr>
        <w:t>，</w:t>
      </w:r>
      <w:r>
        <w:rPr>
          <w:rFonts w:eastAsia="KaiTi_GB2312" w:hint="eastAsia"/>
          <w:color w:val="000000"/>
        </w:rPr>
        <w:t>判决是一种对立统一</w:t>
      </w:r>
      <w:r>
        <w:rPr>
          <w:rFonts w:eastAsia="KaiTi_GB2312" w:hint="eastAsia"/>
        </w:rPr>
        <w:t>的动力，因此构成了充满进与退的异类领域。</w:t>
      </w:r>
      <w:r>
        <w:rPr>
          <w:rFonts w:hint="eastAsia"/>
        </w:rPr>
        <w:t>总之，司法讨论揭示了对妇女行为要求的双重道德标准，因为她们的行为是根据对男女行为具有不同影响的某些社会角色的调整来评价的。</w:t>
      </w:r>
      <w:r>
        <w:rPr>
          <w:rStyle w:val="FootnoteReference"/>
        </w:rPr>
        <w:footnoteReference w:customMarkFollows="1" w:id="157"/>
        <w:t>157</w:t>
      </w:r>
    </w:p>
    <w:p w:rsidR="00000000" w:rsidRDefault="004D2F83" w:rsidP="004D2F83">
      <w:pPr>
        <w:spacing w:after="240" w:line="360" w:lineRule="exact"/>
        <w:ind w:firstLineChars="200" w:firstLine="31680"/>
        <w:rPr>
          <w:rFonts w:hint="eastAsia"/>
        </w:rPr>
      </w:pPr>
      <w:r>
        <w:rPr>
          <w:rFonts w:hint="eastAsia"/>
        </w:rPr>
        <w:t>尽管当前法律从安抚的角度出发确定了一些歧视形式，但在巴西，对由于</w:t>
      </w:r>
      <w:r>
        <w:rPr>
          <w:b/>
          <w:bCs/>
          <w:i/>
          <w:iCs/>
        </w:rPr>
        <w:t>errorr virginitatis</w:t>
      </w:r>
      <w:r>
        <w:rPr>
          <w:rFonts w:hint="eastAsia"/>
        </w:rPr>
        <w:t>（男子对妻子的失身一无所知）而提出解除婚姻案件所作的判决不完全一致。</w:t>
      </w:r>
    </w:p>
    <w:p w:rsidR="00000000" w:rsidRDefault="004D2F83" w:rsidP="004D2F83">
      <w:pPr>
        <w:spacing w:after="240" w:line="360" w:lineRule="exact"/>
        <w:ind w:firstLineChars="200" w:firstLine="31680"/>
        <w:rPr>
          <w:rFonts w:hint="eastAsia"/>
        </w:rPr>
      </w:pPr>
      <w:r>
        <w:rPr>
          <w:rFonts w:hint="eastAsia"/>
        </w:rPr>
        <w:t>一方面，大多数判决导致</w:t>
      </w:r>
      <w:r>
        <w:rPr>
          <w:rFonts w:hint="eastAsia"/>
        </w:rPr>
        <w:t>2003</w:t>
      </w:r>
      <w:r>
        <w:rPr>
          <w:rFonts w:hint="eastAsia"/>
        </w:rPr>
        <w:t>年</w:t>
      </w:r>
      <w:r>
        <w:rPr>
          <w:rFonts w:hint="eastAsia"/>
        </w:rPr>
        <w:t>1</w:t>
      </w:r>
      <w:r>
        <w:rPr>
          <w:rFonts w:hint="eastAsia"/>
        </w:rPr>
        <w:t>月</w:t>
      </w:r>
      <w:r>
        <w:rPr>
          <w:rFonts w:hint="eastAsia"/>
        </w:rPr>
        <w:t>10</w:t>
      </w:r>
      <w:r>
        <w:rPr>
          <w:rFonts w:hint="eastAsia"/>
        </w:rPr>
        <w:t>日生效的《民法典》第</w:t>
      </w:r>
      <w:r>
        <w:rPr>
          <w:rFonts w:hint="eastAsia"/>
        </w:rPr>
        <w:t>219</w:t>
      </w:r>
      <w:r>
        <w:rPr>
          <w:rFonts w:hint="eastAsia"/>
        </w:rPr>
        <w:t>条第四项不能适用，其情况如下：</w:t>
      </w:r>
    </w:p>
    <w:p w:rsidR="00000000" w:rsidRDefault="004D2F83" w:rsidP="004D2F83">
      <w:pPr>
        <w:spacing w:after="240" w:line="360" w:lineRule="exact"/>
        <w:ind w:firstLineChars="200" w:firstLine="31680"/>
        <w:rPr>
          <w:rFonts w:ascii="KaiTi_GB2312" w:eastAsia="KaiTi_GB2312" w:hint="eastAsia"/>
        </w:rPr>
      </w:pPr>
      <w:r>
        <w:rPr>
          <w:rFonts w:ascii="KaiTi_GB2312" w:eastAsia="KaiTi_GB2312" w:hint="eastAsia"/>
        </w:rPr>
        <w:t>“鉴于宪法明确规定确保男女拥有平等的权利，</w:t>
      </w:r>
      <w:r>
        <w:rPr>
          <w:rFonts w:ascii="KaiTi_GB2312" w:eastAsia="KaiTi_GB2312" w:hint="eastAsia"/>
        </w:rPr>
        <w:t>因此，再也不可能依据本国的法律和民事制度，以不知道妻子失身为由而宣布婚姻无效了。考虑到人们无法验证男子是否纯洁，要求验证妇女将构成不平等待遇”（</w:t>
      </w:r>
      <w:r>
        <w:rPr>
          <w:rFonts w:ascii="KaiTi_GB2312" w:eastAsia="KaiTi_GB2312"/>
        </w:rPr>
        <w:t>RF 327/204</w:t>
      </w:r>
      <w:r>
        <w:rPr>
          <w:rFonts w:ascii="KaiTi_GB2312" w:eastAsia="KaiTi_GB2312" w:hint="eastAsia"/>
        </w:rPr>
        <w:t>和</w:t>
      </w:r>
      <w:r>
        <w:rPr>
          <w:rFonts w:ascii="KaiTi_GB2312" w:eastAsia="KaiTi_GB2312"/>
        </w:rPr>
        <w:t>RT 711/172</w:t>
      </w:r>
      <w:r>
        <w:rPr>
          <w:rFonts w:ascii="KaiTi_GB2312" w:eastAsia="KaiTi_GB2312" w:hint="eastAsia"/>
        </w:rPr>
        <w:t>）。</w:t>
      </w:r>
    </w:p>
    <w:p w:rsidR="00000000" w:rsidRDefault="004D2F83" w:rsidP="004D2F83">
      <w:pPr>
        <w:spacing w:after="240" w:line="360" w:lineRule="exact"/>
        <w:ind w:firstLineChars="200" w:firstLine="31680"/>
        <w:rPr>
          <w:rFonts w:hint="eastAsia"/>
        </w:rPr>
      </w:pPr>
      <w:r>
        <w:rPr>
          <w:rFonts w:hint="eastAsia"/>
        </w:rPr>
        <w:t>另一方面，由于这种法规的存在，导致法院仍根据这些法规作出判决，如下文提到的</w:t>
      </w:r>
      <w:r>
        <w:rPr>
          <w:rFonts w:hint="eastAsia"/>
        </w:rPr>
        <w:t>1998</w:t>
      </w:r>
      <w:r>
        <w:rPr>
          <w:rFonts w:hint="eastAsia"/>
        </w:rPr>
        <w:t>年圣埃斯皮里图州上诉法院所作的判决：</w:t>
      </w:r>
    </w:p>
    <w:p w:rsidR="00000000" w:rsidRDefault="004D2F83" w:rsidP="004D2F83">
      <w:pPr>
        <w:spacing w:after="240" w:line="360" w:lineRule="exact"/>
        <w:ind w:firstLineChars="200" w:firstLine="31680"/>
        <w:rPr>
          <w:rFonts w:ascii="KaiTi_GB2312" w:eastAsia="KaiTi_GB2312" w:hint="eastAsia"/>
        </w:rPr>
      </w:pPr>
      <w:r>
        <w:rPr>
          <w:rFonts w:ascii="KaiTi_GB2312" w:eastAsia="KaiTi_GB2312" w:hint="eastAsia"/>
        </w:rPr>
        <w:t>“依职权上诉。婚姻无效诉讼。丈夫不知道妻子已经失身。配偶另一方自身犯了大错。符合法律依据。驳回上诉。</w:t>
      </w:r>
    </w:p>
    <w:p w:rsidR="00000000" w:rsidRDefault="004D2F83" w:rsidP="004D2F83">
      <w:pPr>
        <w:spacing w:after="240" w:line="360" w:lineRule="exact"/>
        <w:ind w:firstLineChars="200" w:firstLine="31680"/>
        <w:rPr>
          <w:rFonts w:ascii="KaiTi_GB2312" w:eastAsia="KaiTi_GB2312" w:hint="eastAsia"/>
        </w:rPr>
      </w:pPr>
      <w:r>
        <w:rPr>
          <w:rFonts w:ascii="KaiTi_GB2312" w:eastAsia="KaiTi_GB2312" w:hint="eastAsia"/>
        </w:rPr>
        <w:t>1</w:t>
      </w:r>
      <w:r>
        <w:rPr>
          <w:rFonts w:ascii="KaiTi_GB2312" w:eastAsia="KaiTi_GB2312" w:hint="eastAsia"/>
        </w:rPr>
        <w:t>—检查结果记录显示，该妇女已经失身，该男子不知道这一事实，根据《民法典》第</w:t>
      </w:r>
      <w:r>
        <w:rPr>
          <w:rFonts w:ascii="KaiTi_GB2312" w:eastAsia="KaiTi_GB2312" w:hint="eastAsia"/>
        </w:rPr>
        <w:t>218</w:t>
      </w:r>
      <w:r>
        <w:rPr>
          <w:rFonts w:ascii="KaiTi_GB2312" w:eastAsia="KaiTi_GB2312" w:hint="eastAsia"/>
        </w:rPr>
        <w:t>和第</w:t>
      </w:r>
      <w:r>
        <w:rPr>
          <w:rFonts w:ascii="KaiTi_GB2312" w:eastAsia="KaiTi_GB2312" w:hint="eastAsia"/>
        </w:rPr>
        <w:t>219</w:t>
      </w:r>
      <w:r>
        <w:rPr>
          <w:rFonts w:ascii="KaiTi_GB2312" w:eastAsia="KaiTi_GB2312" w:hint="eastAsia"/>
        </w:rPr>
        <w:t>条第四</w:t>
      </w:r>
      <w:r>
        <w:rPr>
          <w:rFonts w:ascii="KaiTi_GB2312" w:eastAsia="KaiTi_GB2312" w:hint="eastAsia"/>
        </w:rPr>
        <w:t>项，由于配偶一方犯了大错，且诉讼是在举行婚礼后十天内提起的，特此宣布婚姻无效。</w:t>
      </w:r>
    </w:p>
    <w:p w:rsidR="00000000" w:rsidRDefault="004D2F83" w:rsidP="004D2F83">
      <w:pPr>
        <w:spacing w:after="240" w:line="360" w:lineRule="exact"/>
        <w:ind w:firstLineChars="200" w:firstLine="31680"/>
        <w:rPr>
          <w:rFonts w:ascii="KaiTi_GB2312" w:eastAsia="KaiTi_GB2312" w:hint="eastAsia"/>
        </w:rPr>
      </w:pPr>
      <w:r>
        <w:rPr>
          <w:rFonts w:ascii="KaiTi_GB2312" w:eastAsia="KaiTi_GB2312" w:hint="eastAsia"/>
        </w:rPr>
        <w:t>2</w:t>
      </w:r>
      <w:r>
        <w:rPr>
          <w:rFonts w:ascii="KaiTi_GB2312" w:eastAsia="KaiTi_GB2312" w:hint="eastAsia"/>
        </w:rPr>
        <w:t>—一致驳回上诉。（</w:t>
      </w:r>
      <w:r>
        <w:rPr>
          <w:rFonts w:ascii="KaiTi_GB2312" w:eastAsia="KaiTi_GB2312" w:hint="eastAsia"/>
        </w:rPr>
        <w:t>TJES</w:t>
      </w:r>
      <w:r>
        <w:rPr>
          <w:rFonts w:ascii="KaiTi_GB2312" w:eastAsia="KaiTi_GB2312" w:hint="eastAsia"/>
        </w:rPr>
        <w:t>：</w:t>
      </w:r>
      <w:r>
        <w:rPr>
          <w:rFonts w:ascii="KaiTi_GB2312" w:eastAsia="KaiTi_GB2312" w:hint="eastAsia"/>
        </w:rPr>
        <w:t>A</w:t>
      </w:r>
      <w:r>
        <w:rPr>
          <w:rFonts w:ascii="KaiTi_GB2312" w:eastAsia="KaiTi_GB2312"/>
        </w:rPr>
        <w:t>legrei</w:t>
      </w:r>
      <w:r>
        <w:rPr>
          <w:rFonts w:ascii="KaiTi_GB2312" w:eastAsia="KaiTi_GB2312" w:hint="eastAsia"/>
        </w:rPr>
        <w:t>区，必要的重审，第</w:t>
      </w:r>
      <w:r>
        <w:rPr>
          <w:rFonts w:ascii="KaiTi_GB2312" w:eastAsia="KaiTi_GB2312" w:hint="eastAsia"/>
        </w:rPr>
        <w:t>2979000136</w:t>
      </w:r>
      <w:r>
        <w:rPr>
          <w:rFonts w:ascii="KaiTi_GB2312" w:eastAsia="KaiTi_GB2312" w:hint="eastAsia"/>
        </w:rPr>
        <w:t>号；报告员：首席法官</w:t>
      </w:r>
      <w:r>
        <w:rPr>
          <w:rFonts w:ascii="KaiTi_GB2312" w:eastAsia="KaiTi_GB2312"/>
        </w:rPr>
        <w:t>Jose Eduardo Grandi Ribeiro</w:t>
      </w:r>
      <w:r>
        <w:rPr>
          <w:rFonts w:ascii="KaiTi_GB2312" w:eastAsia="KaiTi_GB2312" w:hint="eastAsia"/>
        </w:rPr>
        <w:t>：判决；</w:t>
      </w:r>
      <w:r>
        <w:rPr>
          <w:rFonts w:ascii="KaiTi_GB2312" w:eastAsia="KaiTi_GB2312" w:hint="eastAsia"/>
        </w:rPr>
        <w:t>1998</w:t>
      </w:r>
      <w:r>
        <w:rPr>
          <w:rFonts w:ascii="KaiTi_GB2312" w:eastAsia="KaiTi_GB2312" w:hint="eastAsia"/>
        </w:rPr>
        <w:t>年</w:t>
      </w:r>
      <w:r>
        <w:rPr>
          <w:rFonts w:ascii="KaiTi_GB2312" w:eastAsia="KaiTi_GB2312" w:hint="eastAsia"/>
        </w:rPr>
        <w:t>6</w:t>
      </w:r>
      <w:r>
        <w:rPr>
          <w:rFonts w:ascii="KaiTi_GB2312" w:eastAsia="KaiTi_GB2312" w:hint="eastAsia"/>
        </w:rPr>
        <w:t>月</w:t>
      </w:r>
      <w:r>
        <w:rPr>
          <w:rFonts w:ascii="KaiTi_GB2312" w:eastAsia="KaiTi_GB2312" w:hint="eastAsia"/>
        </w:rPr>
        <w:t>30</w:t>
      </w:r>
      <w:r>
        <w:rPr>
          <w:rFonts w:ascii="KaiTi_GB2312" w:eastAsia="KaiTi_GB2312" w:hint="eastAsia"/>
        </w:rPr>
        <w:t>日；</w:t>
      </w:r>
      <w:r>
        <w:rPr>
          <w:rFonts w:ascii="KaiTi_GB2312" w:eastAsia="KaiTi_GB2312"/>
        </w:rPr>
        <w:t>v.u.</w:t>
      </w:r>
      <w:r>
        <w:rPr>
          <w:rFonts w:ascii="KaiTi_GB2312" w:eastAsia="KaiTi_GB2312" w:hint="eastAsia"/>
        </w:rPr>
        <w:t>）。</w:t>
      </w:r>
    </w:p>
    <w:p w:rsidR="00000000" w:rsidRDefault="004D2F83" w:rsidP="004D2F83">
      <w:pPr>
        <w:spacing w:after="240" w:line="360" w:lineRule="exact"/>
        <w:ind w:firstLineChars="200" w:firstLine="31680"/>
        <w:rPr>
          <w:rFonts w:hint="eastAsia"/>
        </w:rPr>
      </w:pPr>
      <w:r>
        <w:rPr>
          <w:rFonts w:hint="eastAsia"/>
        </w:rPr>
        <w:t>如下述判决所示，有些判决也有利于</w:t>
      </w:r>
      <w:r>
        <w:rPr>
          <w:rFonts w:eastAsia="KaiTi_GB2312" w:hint="eastAsia"/>
          <w:b/>
          <w:bCs/>
        </w:rPr>
        <w:t>男子采用妇女的姓氏</w:t>
      </w:r>
      <w:r>
        <w:rPr>
          <w:rFonts w:hint="eastAsia"/>
        </w:rPr>
        <w:t>：</w:t>
      </w:r>
    </w:p>
    <w:p w:rsidR="00000000" w:rsidRDefault="004D2F83" w:rsidP="004D2F83">
      <w:pPr>
        <w:spacing w:after="240" w:line="360" w:lineRule="exact"/>
        <w:ind w:firstLineChars="200" w:firstLine="31680"/>
        <w:rPr>
          <w:rFonts w:ascii="KaiTi_GB2312" w:eastAsia="KaiTi_GB2312" w:hint="eastAsia"/>
        </w:rPr>
      </w:pPr>
      <w:r>
        <w:rPr>
          <w:rFonts w:ascii="KaiTi_GB2312" w:eastAsia="KaiTi_GB2312" w:hint="eastAsia"/>
        </w:rPr>
        <w:t>“</w:t>
      </w:r>
      <w:r>
        <w:rPr>
          <w:rFonts w:ascii="KaiTi_GB2312" w:eastAsia="KaiTi_GB2312" w:hint="eastAsia"/>
          <w:sz w:val="24"/>
        </w:rPr>
        <w:t>姓名—民事登记处</w:t>
      </w:r>
      <w:r>
        <w:rPr>
          <w:rFonts w:ascii="KaiTi_GB2312" w:eastAsia="KaiTi_GB2312" w:hint="eastAsia"/>
        </w:rPr>
        <w:t>—丈夫使用其未婚妻的姓氏。</w:t>
      </w:r>
      <w:r>
        <w:rPr>
          <w:rFonts w:ascii="KaiTi_GB2312" w:eastAsia="KaiTi_GB2312" w:hint="eastAsia"/>
        </w:rPr>
        <w:t>1988</w:t>
      </w:r>
      <w:r>
        <w:rPr>
          <w:rFonts w:ascii="KaiTi_GB2312" w:eastAsia="KaiTi_GB2312" w:hint="eastAsia"/>
        </w:rPr>
        <w:t>年《联邦宪法》规定男女享有平等的权利和义务。此项要求在法律上是可行的。（</w:t>
      </w:r>
      <w:r>
        <w:rPr>
          <w:rFonts w:ascii="KaiTi_GB2312" w:eastAsia="KaiTi_GB2312" w:hint="eastAsia"/>
        </w:rPr>
        <w:t>TJSP</w:t>
      </w:r>
      <w:r>
        <w:rPr>
          <w:rFonts w:ascii="KaiTi_GB2312" w:eastAsia="KaiTi_GB2312" w:hint="eastAsia"/>
        </w:rPr>
        <w:t>—第一民事上诉法院；第</w:t>
      </w:r>
      <w:r>
        <w:rPr>
          <w:rFonts w:ascii="KaiTi_GB2312" w:eastAsia="KaiTi_GB2312"/>
        </w:rPr>
        <w:t>198.349-1/7</w:t>
      </w:r>
      <w:r>
        <w:rPr>
          <w:rFonts w:ascii="KaiTi_GB2312" w:eastAsia="KaiTi_GB2312" w:hint="eastAsia"/>
        </w:rPr>
        <w:t>号</w:t>
      </w:r>
      <w:r>
        <w:rPr>
          <w:rFonts w:ascii="KaiTi_GB2312" w:eastAsia="KaiTi_GB2312" w:hint="eastAsia"/>
        </w:rPr>
        <w:t>民事上诉—</w:t>
      </w:r>
      <w:r>
        <w:rPr>
          <w:rFonts w:ascii="KaiTi_GB2312" w:eastAsia="KaiTi_GB2312"/>
        </w:rPr>
        <w:t>Lins</w:t>
      </w:r>
      <w:r>
        <w:rPr>
          <w:rFonts w:ascii="KaiTi_GB2312" w:eastAsia="KaiTi_GB2312" w:hint="eastAsia"/>
        </w:rPr>
        <w:t>；报告员：首席法官：</w:t>
      </w:r>
      <w:r>
        <w:rPr>
          <w:rFonts w:ascii="KaiTi_GB2312" w:eastAsia="KaiTi_GB2312"/>
        </w:rPr>
        <w:t>Guimaraes</w:t>
      </w:r>
      <w:r>
        <w:rPr>
          <w:rFonts w:ascii="KaiTi_GB2312" w:eastAsia="KaiTi_GB2312" w:hint="eastAsia"/>
        </w:rPr>
        <w:t>和</w:t>
      </w:r>
      <w:r>
        <w:rPr>
          <w:rFonts w:ascii="KaiTi_GB2312" w:eastAsia="KaiTi_GB2312"/>
        </w:rPr>
        <w:t>Souza</w:t>
      </w:r>
      <w:r>
        <w:rPr>
          <w:rFonts w:ascii="KaiTi_GB2312" w:eastAsia="KaiTi_GB2312" w:hint="eastAsia"/>
        </w:rPr>
        <w:t>；判决：</w:t>
      </w:r>
      <w:r>
        <w:rPr>
          <w:rFonts w:ascii="KaiTi_GB2312" w:eastAsia="KaiTi_GB2312"/>
        </w:rPr>
        <w:t>1993</w:t>
      </w:r>
      <w:r>
        <w:rPr>
          <w:rFonts w:ascii="KaiTi_GB2312" w:eastAsia="KaiTi_GB2312" w:hint="eastAsia"/>
        </w:rPr>
        <w:t>年</w:t>
      </w:r>
      <w:r>
        <w:rPr>
          <w:rFonts w:ascii="KaiTi_GB2312" w:eastAsia="KaiTi_GB2312" w:hint="eastAsia"/>
        </w:rPr>
        <w:t>8</w:t>
      </w:r>
      <w:r>
        <w:rPr>
          <w:rFonts w:ascii="KaiTi_GB2312" w:eastAsia="KaiTi_GB2312" w:hint="eastAsia"/>
        </w:rPr>
        <w:t>月</w:t>
      </w:r>
      <w:r>
        <w:rPr>
          <w:rFonts w:ascii="KaiTi_GB2312" w:eastAsia="KaiTi_GB2312" w:hint="eastAsia"/>
        </w:rPr>
        <w:t>3</w:t>
      </w:r>
      <w:r>
        <w:rPr>
          <w:rFonts w:ascii="KaiTi_GB2312" w:eastAsia="KaiTi_GB2312" w:hint="eastAsia"/>
        </w:rPr>
        <w:t>日；绝大多数投票赞成）”。</w:t>
      </w:r>
    </w:p>
    <w:p w:rsidR="00000000" w:rsidRDefault="004D2F83" w:rsidP="004D2F83">
      <w:pPr>
        <w:spacing w:after="240" w:line="360" w:lineRule="exact"/>
        <w:ind w:firstLineChars="200" w:firstLine="31680"/>
        <w:rPr>
          <w:rFonts w:hint="eastAsia"/>
        </w:rPr>
      </w:pPr>
      <w:r>
        <w:rPr>
          <w:rFonts w:hint="eastAsia"/>
        </w:rPr>
        <w:t>关于妇女寻求司法部门的援助，值得强调的是，妇女可以申请分居，继而离婚和解除婚姻，同时拥有审判地特权。《民法典》第</w:t>
      </w:r>
      <w:r>
        <w:rPr>
          <w:rFonts w:hint="eastAsia"/>
        </w:rPr>
        <w:t>100</w:t>
      </w:r>
      <w:r>
        <w:rPr>
          <w:rFonts w:hint="eastAsia"/>
        </w:rPr>
        <w:t>条第一项规定，妇女的居住地应成为提起上述诉讼的合适审判地点。</w:t>
      </w:r>
    </w:p>
    <w:p w:rsidR="00000000" w:rsidRDefault="004D2F83" w:rsidP="004D2F83">
      <w:pPr>
        <w:spacing w:after="240" w:line="360" w:lineRule="exact"/>
        <w:ind w:firstLineChars="200" w:firstLine="31680"/>
        <w:rPr>
          <w:rFonts w:hint="eastAsia"/>
        </w:rPr>
      </w:pPr>
      <w:r>
        <w:rPr>
          <w:rFonts w:hint="eastAsia"/>
        </w:rPr>
        <w:t>人们对《民事诉讼法典》第</w:t>
      </w:r>
      <w:r>
        <w:rPr>
          <w:rFonts w:hint="eastAsia"/>
        </w:rPr>
        <w:t>100</w:t>
      </w:r>
      <w:r>
        <w:rPr>
          <w:rFonts w:hint="eastAsia"/>
        </w:rPr>
        <w:t>条第一项的有效性进行了热烈的讨论，同时牢记第</w:t>
      </w:r>
      <w:r>
        <w:rPr>
          <w:rFonts w:hint="eastAsia"/>
        </w:rPr>
        <w:t>5</w:t>
      </w:r>
      <w:r>
        <w:rPr>
          <w:rFonts w:hint="eastAsia"/>
        </w:rPr>
        <w:t>条第一项的内容，该项就两性平等问题使用了与宪法条文相同的词语。学说和判例表明它们在这一问题上有分歧，但认为上述条款符合宪法的观点占上风。</w:t>
      </w:r>
    </w:p>
    <w:p w:rsidR="00000000" w:rsidRDefault="004D2F83" w:rsidP="004D2F83">
      <w:pPr>
        <w:spacing w:after="240" w:line="360" w:lineRule="exact"/>
        <w:ind w:firstLineChars="200" w:firstLine="31680"/>
        <w:rPr>
          <w:rFonts w:ascii="KaiTi_GB2312" w:eastAsia="KaiTi_GB2312" w:hint="eastAsia"/>
        </w:rPr>
      </w:pPr>
      <w:r>
        <w:rPr>
          <w:rFonts w:ascii="KaiTi_GB2312" w:eastAsia="KaiTi_GB2312" w:hint="eastAsia"/>
        </w:rPr>
        <w:t>“特别的权限规定与宪法规定的平等原则（《联邦宪法》，第</w:t>
      </w:r>
      <w:r>
        <w:rPr>
          <w:rFonts w:ascii="KaiTi_GB2312" w:eastAsia="KaiTi_GB2312" w:hint="eastAsia"/>
        </w:rPr>
        <w:t>5</w:t>
      </w:r>
      <w:r>
        <w:rPr>
          <w:rFonts w:ascii="KaiTi_GB2312" w:eastAsia="KaiTi_GB2312" w:hint="eastAsia"/>
        </w:rPr>
        <w:t>条第一项）并不矛盾，而且与配偶管理婚姻家庭方面的平等（《联邦宪法》第</w:t>
      </w:r>
      <w:r>
        <w:rPr>
          <w:rFonts w:ascii="KaiTi_GB2312" w:eastAsia="KaiTi_GB2312" w:hint="eastAsia"/>
        </w:rPr>
        <w:t>226</w:t>
      </w:r>
      <w:r>
        <w:rPr>
          <w:rFonts w:ascii="KaiTi_GB2312" w:eastAsia="KaiTi_GB2312" w:hint="eastAsia"/>
        </w:rPr>
        <w:t>条）并非不一致（</w:t>
      </w:r>
      <w:r>
        <w:rPr>
          <w:rFonts w:ascii="KaiTi_GB2312" w:eastAsia="KaiTi_GB2312" w:hint="eastAsia"/>
        </w:rPr>
        <w:t>RJTJSP 143</w:t>
      </w:r>
      <w:r>
        <w:rPr>
          <w:rFonts w:ascii="KaiTi_GB2312" w:eastAsia="KaiTi_GB2312"/>
        </w:rPr>
        <w:t>/283</w:t>
      </w:r>
      <w:r>
        <w:rPr>
          <w:rFonts w:ascii="KaiTi_GB2312" w:eastAsia="KaiTi_GB2312" w:hint="eastAsia"/>
        </w:rPr>
        <w:t>、</w:t>
      </w:r>
      <w:r>
        <w:rPr>
          <w:rFonts w:ascii="KaiTi_GB2312" w:eastAsia="KaiTi_GB2312" w:hint="eastAsia"/>
        </w:rPr>
        <w:t>132</w:t>
      </w:r>
      <w:r>
        <w:rPr>
          <w:rFonts w:ascii="KaiTi_GB2312" w:eastAsia="KaiTi_GB2312"/>
        </w:rPr>
        <w:t>/</w:t>
      </w:r>
      <w:r>
        <w:rPr>
          <w:rFonts w:ascii="KaiTi_GB2312" w:eastAsia="KaiTi_GB2312" w:hint="eastAsia"/>
        </w:rPr>
        <w:t>279</w:t>
      </w:r>
      <w:r>
        <w:rPr>
          <w:rFonts w:ascii="KaiTi_GB2312" w:eastAsia="KaiTi_GB2312" w:hint="eastAsia"/>
        </w:rPr>
        <w:t>）”。</w:t>
      </w:r>
    </w:p>
    <w:p w:rsidR="00000000" w:rsidRDefault="004D2F83" w:rsidP="004D2F83">
      <w:pPr>
        <w:spacing w:after="240" w:line="360" w:lineRule="exact"/>
        <w:ind w:firstLineChars="200" w:firstLine="31680"/>
        <w:rPr>
          <w:rFonts w:ascii="KaiTi_GB2312" w:eastAsia="KaiTi_GB2312" w:hint="eastAsia"/>
        </w:rPr>
      </w:pPr>
      <w:r>
        <w:rPr>
          <w:rFonts w:ascii="KaiTi_GB2312" w:eastAsia="KaiTi_GB2312" w:hint="eastAsia"/>
        </w:rPr>
        <w:t>“批准结婚年龄《民法典》第</w:t>
      </w:r>
      <w:r>
        <w:rPr>
          <w:rFonts w:ascii="KaiTi_GB2312" w:eastAsia="KaiTi_GB2312" w:hint="eastAsia"/>
        </w:rPr>
        <w:t>124</w:t>
      </w:r>
      <w:r>
        <w:rPr>
          <w:rFonts w:ascii="KaiTi_GB2312" w:eastAsia="KaiTi_GB2312" w:hint="eastAsia"/>
        </w:rPr>
        <w:t>条和新的《联邦宪法》足以成为批准十八岁以下的人结婚的法律依据，因为新的《宪法》禁止出现带性别歧视的法律规定。（</w:t>
      </w:r>
      <w:r>
        <w:rPr>
          <w:rFonts w:ascii="KaiTi_GB2312" w:eastAsia="KaiTi_GB2312" w:hint="eastAsia"/>
        </w:rPr>
        <w:t>TJRS</w:t>
      </w:r>
      <w:r>
        <w:rPr>
          <w:rFonts w:ascii="KaiTi_GB2312" w:eastAsia="KaiTi_GB2312" w:hint="eastAsia"/>
        </w:rPr>
        <w:t>—第</w:t>
      </w:r>
      <w:r>
        <w:rPr>
          <w:rFonts w:ascii="KaiTi_GB2312" w:eastAsia="KaiTi_GB2312"/>
        </w:rPr>
        <w:t>589.007.053-1 CC</w:t>
      </w:r>
      <w:r>
        <w:rPr>
          <w:rFonts w:ascii="KaiTi_GB2312" w:eastAsia="KaiTi_GB2312" w:hint="eastAsia"/>
        </w:rPr>
        <w:t>号上诉—报告员：首席法官</w:t>
      </w:r>
      <w:r>
        <w:rPr>
          <w:rFonts w:ascii="KaiTi_GB2312" w:eastAsia="KaiTi_GB2312"/>
        </w:rPr>
        <w:t>Milton dos Santos Martins</w:t>
      </w:r>
      <w:r>
        <w:rPr>
          <w:rFonts w:ascii="KaiTi_GB2312" w:eastAsia="KaiTi_GB2312" w:hint="eastAsia"/>
        </w:rPr>
        <w:t>—判决：</w:t>
      </w:r>
      <w:r>
        <w:rPr>
          <w:rFonts w:ascii="KaiTi_GB2312" w:eastAsia="KaiTi_GB2312" w:hint="eastAsia"/>
        </w:rPr>
        <w:t>1989</w:t>
      </w:r>
      <w:r>
        <w:rPr>
          <w:rFonts w:ascii="KaiTi_GB2312" w:eastAsia="KaiTi_GB2312" w:hint="eastAsia"/>
        </w:rPr>
        <w:t>年</w:t>
      </w:r>
      <w:r>
        <w:rPr>
          <w:rFonts w:ascii="KaiTi_GB2312" w:eastAsia="KaiTi_GB2312" w:hint="eastAsia"/>
        </w:rPr>
        <w:t>4</w:t>
      </w:r>
      <w:r>
        <w:rPr>
          <w:rFonts w:ascii="KaiTi_GB2312" w:eastAsia="KaiTi_GB2312" w:hint="eastAsia"/>
        </w:rPr>
        <w:t>月</w:t>
      </w:r>
      <w:r>
        <w:rPr>
          <w:rFonts w:ascii="KaiTi_GB2312" w:eastAsia="KaiTi_GB2312" w:hint="eastAsia"/>
        </w:rPr>
        <w:t>18</w:t>
      </w:r>
      <w:r>
        <w:rPr>
          <w:rFonts w:ascii="KaiTi_GB2312" w:eastAsia="KaiTi_GB2312" w:hint="eastAsia"/>
        </w:rPr>
        <w:t>日</w:t>
      </w:r>
      <w:r>
        <w:rPr>
          <w:rFonts w:ascii="KaiTi_GB2312" w:eastAsia="KaiTi_GB2312"/>
        </w:rPr>
        <w:t>-m.v.</w:t>
      </w:r>
      <w:r>
        <w:rPr>
          <w:rFonts w:ascii="KaiTi_GB2312" w:eastAsia="KaiTi_GB2312" w:hint="eastAsia"/>
        </w:rPr>
        <w:t>）”</w:t>
      </w:r>
    </w:p>
    <w:p w:rsidR="00000000" w:rsidRDefault="004D2F83" w:rsidP="004D2F83">
      <w:pPr>
        <w:spacing w:after="240" w:line="360" w:lineRule="exact"/>
        <w:ind w:firstLineChars="200" w:firstLine="31680"/>
        <w:rPr>
          <w:rFonts w:hint="eastAsia"/>
        </w:rPr>
      </w:pPr>
      <w:r>
        <w:rPr>
          <w:rFonts w:hint="eastAsia"/>
        </w:rPr>
        <w:t>还应该特</w:t>
      </w:r>
      <w:r>
        <w:rPr>
          <w:rFonts w:hint="eastAsia"/>
        </w:rPr>
        <w:t>别提到</w:t>
      </w:r>
      <w:r>
        <w:rPr>
          <w:rFonts w:ascii="KaiTi_GB2312" w:eastAsia="KaiTi_GB2312" w:hint="eastAsia"/>
          <w:b/>
          <w:bCs/>
        </w:rPr>
        <w:t>“分居转化为离婚以及修订分居协议中所载的规定”，</w:t>
      </w:r>
      <w:r>
        <w:rPr>
          <w:rFonts w:hint="eastAsia"/>
        </w:rPr>
        <w:t>这种做法试图采用本公约中所规定的平等和不歧视原则：</w:t>
      </w:r>
    </w:p>
    <w:p w:rsidR="00000000" w:rsidRDefault="004D2F83" w:rsidP="004D2F83">
      <w:pPr>
        <w:spacing w:after="240" w:line="360" w:lineRule="exact"/>
        <w:ind w:firstLineChars="200" w:firstLine="31680"/>
        <w:rPr>
          <w:rFonts w:ascii="KaiTi_GB2312" w:eastAsia="KaiTi_GB2312" w:hint="eastAsia"/>
        </w:rPr>
      </w:pPr>
      <w:r>
        <w:rPr>
          <w:rFonts w:ascii="KaiTi_GB2312" w:eastAsia="KaiTi_GB2312" w:hint="eastAsia"/>
          <w:b/>
          <w:bCs/>
          <w:sz w:val="24"/>
        </w:rPr>
        <w:t>AAA</w:t>
      </w:r>
      <w:r>
        <w:rPr>
          <w:rFonts w:ascii="SimSun" w:hint="eastAsia"/>
        </w:rPr>
        <w:t>……</w:t>
      </w:r>
      <w:r>
        <w:rPr>
          <w:rFonts w:ascii="KaiTi_GB2312" w:eastAsia="KaiTi_GB2312" w:hint="eastAsia"/>
        </w:rPr>
        <w:t>针对</w:t>
      </w:r>
      <w:r>
        <w:rPr>
          <w:rFonts w:ascii="KaiTi_GB2312" w:eastAsia="KaiTi_GB2312" w:hint="eastAsia"/>
          <w:b/>
          <w:bCs/>
          <w:sz w:val="24"/>
        </w:rPr>
        <w:t>BBB</w:t>
      </w:r>
      <w:r>
        <w:rPr>
          <w:rFonts w:ascii="KaiTi_GB2312" w:eastAsia="KaiTi_GB2312" w:hint="eastAsia"/>
        </w:rPr>
        <w:t>提起将法院判决的夫妇分居转为离婚的诉讼并要求修订分居协议中所载的规定，声称，依据特别法院</w:t>
      </w:r>
      <w:r>
        <w:rPr>
          <w:rFonts w:ascii="SimSun" w:hint="eastAsia"/>
        </w:rPr>
        <w:t>……</w:t>
      </w:r>
      <w:r>
        <w:rPr>
          <w:rFonts w:ascii="KaiTi_GB2312" w:eastAsia="KaiTi_GB2312" w:hint="eastAsia"/>
        </w:rPr>
        <w:t>1996</w:t>
      </w:r>
      <w:r>
        <w:rPr>
          <w:rFonts w:ascii="KaiTi_GB2312" w:eastAsia="KaiTi_GB2312" w:hint="eastAsia"/>
        </w:rPr>
        <w:t>年</w:t>
      </w:r>
      <w:r>
        <w:rPr>
          <w:rFonts w:ascii="KaiTi_GB2312" w:eastAsia="KaiTi_GB2312" w:hint="eastAsia"/>
        </w:rPr>
        <w:t>3</w:t>
      </w:r>
      <w:r>
        <w:rPr>
          <w:rFonts w:ascii="KaiTi_GB2312" w:eastAsia="KaiTi_GB2312" w:hint="eastAsia"/>
        </w:rPr>
        <w:t>月</w:t>
      </w:r>
      <w:r>
        <w:rPr>
          <w:rFonts w:ascii="KaiTi_GB2312" w:eastAsia="KaiTi_GB2312" w:hint="eastAsia"/>
        </w:rPr>
        <w:t>8</w:t>
      </w:r>
      <w:r>
        <w:rPr>
          <w:rFonts w:ascii="KaiTi_GB2312" w:eastAsia="KaiTi_GB2312" w:hint="eastAsia"/>
        </w:rPr>
        <w:t>日作出的判决所批准的协议，她已与对方分居两年以上。原告称她打算修订分居协议中的</w:t>
      </w:r>
      <w:r>
        <w:rPr>
          <w:rFonts w:ascii="SimSun" w:hint="eastAsia"/>
        </w:rPr>
        <w:t>……</w:t>
      </w:r>
      <w:r>
        <w:rPr>
          <w:rFonts w:ascii="KaiTi_GB2312" w:eastAsia="KaiTi_GB2312" w:hint="eastAsia"/>
        </w:rPr>
        <w:t>条款，条款规定该配偶子女的监护权将给予原告，条件是她不得迁出本市</w:t>
      </w:r>
      <w:r>
        <w:rPr>
          <w:rFonts w:ascii="SimSun" w:hint="eastAsia"/>
        </w:rPr>
        <w:t>……</w:t>
      </w:r>
      <w:r>
        <w:rPr>
          <w:rFonts w:ascii="KaiTi_GB2312" w:eastAsia="KaiTi_GB2312" w:hint="eastAsia"/>
        </w:rPr>
        <w:t>否则，子女的监护权将转给父亲，因此她认为这种条款侵犯了《宪法》所保障的迁徙权利。她还想修改赡养费金额（</w:t>
      </w:r>
      <w:r>
        <w:rPr>
          <w:rFonts w:ascii="SimSun" w:hint="eastAsia"/>
        </w:rPr>
        <w:t>……</w:t>
      </w:r>
      <w:r>
        <w:rPr>
          <w:rFonts w:ascii="KaiTi_GB2312" w:eastAsia="KaiTi_GB2312" w:hint="eastAsia"/>
        </w:rPr>
        <w:t>）。</w:t>
      </w:r>
    </w:p>
    <w:p w:rsidR="00000000" w:rsidRDefault="004D2F83">
      <w:pPr>
        <w:spacing w:after="240" w:line="360" w:lineRule="exact"/>
        <w:rPr>
          <w:rFonts w:eastAsia="SimHei" w:hint="eastAsia"/>
          <w:sz w:val="24"/>
        </w:rPr>
      </w:pPr>
      <w:r>
        <w:rPr>
          <w:rFonts w:eastAsia="SimHei" w:hint="eastAsia"/>
          <w:sz w:val="24"/>
        </w:rPr>
        <w:t>报告到此结束。裁</w:t>
      </w:r>
      <w:r>
        <w:rPr>
          <w:rFonts w:eastAsia="SimHei" w:hint="eastAsia"/>
          <w:sz w:val="24"/>
        </w:rPr>
        <w:t>决。</w:t>
      </w:r>
    </w:p>
    <w:p w:rsidR="00000000" w:rsidRDefault="004D2F83" w:rsidP="004D2F83">
      <w:pPr>
        <w:spacing w:after="240" w:line="360" w:lineRule="exact"/>
        <w:ind w:firstLineChars="200" w:firstLine="31680"/>
        <w:rPr>
          <w:rFonts w:ascii="KaiTi_GB2312" w:eastAsia="KaiTi_GB2312" w:hint="eastAsia"/>
        </w:rPr>
      </w:pPr>
      <w:r>
        <w:rPr>
          <w:rFonts w:ascii="KaiTi_GB2312" w:eastAsia="KaiTi_GB2312" w:hint="eastAsia"/>
        </w:rPr>
        <w:t>本诉讼涉及法院判决的夫妇分居转为离婚，原告质疑……特别民事法院批准的分居协议第</w:t>
      </w:r>
      <w:r>
        <w:rPr>
          <w:rFonts w:ascii="SimSun" w:hint="eastAsia"/>
        </w:rPr>
        <w:t>……</w:t>
      </w:r>
      <w:r>
        <w:rPr>
          <w:rFonts w:ascii="KaiTi_GB2312" w:eastAsia="KaiTi_GB2312" w:hint="eastAsia"/>
        </w:rPr>
        <w:t>项的有效性，当时原告和被告同意，其子女</w:t>
      </w:r>
      <w:r>
        <w:rPr>
          <w:rFonts w:ascii="KaiTi_GB2312" w:eastAsia="KaiTi_GB2312" w:hint="eastAsia"/>
          <w:b/>
          <w:bCs/>
        </w:rPr>
        <w:t>CCC</w:t>
      </w:r>
      <w:r>
        <w:rPr>
          <w:rFonts w:ascii="KaiTi_GB2312" w:eastAsia="KaiTi_GB2312" w:hint="eastAsia"/>
        </w:rPr>
        <w:t>和</w:t>
      </w:r>
      <w:r>
        <w:rPr>
          <w:rFonts w:ascii="KaiTi_GB2312" w:eastAsia="KaiTi_GB2312" w:hint="eastAsia"/>
          <w:b/>
          <w:bCs/>
        </w:rPr>
        <w:t>DDD</w:t>
      </w:r>
      <w:r>
        <w:rPr>
          <w:rFonts w:ascii="KaiTi_GB2312" w:eastAsia="KaiTi_GB2312" w:hint="eastAsia"/>
        </w:rPr>
        <w:t>将由母亲监护，条件是她不得迁出本市</w:t>
      </w:r>
      <w:r>
        <w:rPr>
          <w:rFonts w:ascii="SimSun" w:hint="eastAsia"/>
        </w:rPr>
        <w:t>……</w:t>
      </w:r>
      <w:r>
        <w:rPr>
          <w:rFonts w:ascii="KaiTi_GB2312" w:eastAsia="KaiTi_GB2312" w:hint="eastAsia"/>
        </w:rPr>
        <w:t>否则，子女的监护权将转给父亲，鉴于子女的日常支出有所增长，原告还要求修改赡养费。</w:t>
      </w:r>
    </w:p>
    <w:p w:rsidR="00000000" w:rsidRDefault="004D2F83" w:rsidP="004D2F83">
      <w:pPr>
        <w:spacing w:after="240" w:line="360" w:lineRule="exact"/>
        <w:ind w:firstLineChars="200" w:firstLine="31680"/>
        <w:rPr>
          <w:rFonts w:ascii="KaiTi_GB2312" w:eastAsia="KaiTi_GB2312" w:hint="eastAsia"/>
        </w:rPr>
      </w:pPr>
      <w:r>
        <w:rPr>
          <w:rFonts w:ascii="KaiTi_GB2312" w:eastAsia="KaiTi_GB2312" w:hint="eastAsia"/>
        </w:rPr>
        <w:t>只要读一下原告质疑的该条款就可以得出结论：该条阻碍了原告的自由，因为它使原告不能在她认为对她本人及其子女更方便的地方居住，她已得到其子女监护权。值得强调的是，根据这一观点，上述“协议”和被告提出的论点都含有</w:t>
      </w:r>
      <w:r>
        <w:rPr>
          <w:rFonts w:ascii="KaiTi_GB2312" w:eastAsia="KaiTi_GB2312" w:hint="eastAsia"/>
          <w:b/>
          <w:bCs/>
        </w:rPr>
        <w:t>对妇女的强烈歧视内容</w:t>
      </w:r>
      <w:r>
        <w:rPr>
          <w:rFonts w:ascii="KaiTi_GB2312" w:eastAsia="KaiTi_GB2312" w:hint="eastAsia"/>
        </w:rPr>
        <w:t>。基于对</w:t>
      </w:r>
      <w:r>
        <w:rPr>
          <w:rFonts w:ascii="KaiTi_GB2312" w:eastAsia="KaiTi_GB2312" w:hint="eastAsia"/>
          <w:b/>
          <w:bCs/>
        </w:rPr>
        <w:t>《联邦宪法》第</w:t>
      </w:r>
      <w:r>
        <w:rPr>
          <w:rFonts w:ascii="KaiTi_GB2312" w:eastAsia="KaiTi_GB2312" w:hint="eastAsia"/>
          <w:b/>
          <w:bCs/>
        </w:rPr>
        <w:t>5</w:t>
      </w:r>
      <w:r>
        <w:rPr>
          <w:rFonts w:ascii="KaiTi_GB2312" w:eastAsia="KaiTi_GB2312" w:hint="eastAsia"/>
          <w:b/>
          <w:bCs/>
        </w:rPr>
        <w:t>条</w:t>
      </w:r>
      <w:r>
        <w:rPr>
          <w:rFonts w:ascii="KaiTi_GB2312" w:eastAsia="KaiTi_GB2312" w:hint="eastAsia"/>
          <w:b/>
          <w:bCs/>
        </w:rPr>
        <w:t>第一项和第</w:t>
      </w:r>
      <w:r>
        <w:rPr>
          <w:rFonts w:ascii="KaiTi_GB2312" w:eastAsia="KaiTi_GB2312" w:hint="eastAsia"/>
          <w:b/>
          <w:bCs/>
        </w:rPr>
        <w:t>226</w:t>
      </w:r>
      <w:r>
        <w:rPr>
          <w:rFonts w:ascii="KaiTi_GB2312" w:eastAsia="KaiTi_GB2312" w:hint="eastAsia"/>
          <w:b/>
          <w:bCs/>
        </w:rPr>
        <w:t>条第</w:t>
      </w:r>
      <w:r>
        <w:rPr>
          <w:rFonts w:ascii="KaiTi_GB2312" w:eastAsia="KaiTi_GB2312" w:hint="eastAsia"/>
          <w:b/>
          <w:bCs/>
        </w:rPr>
        <w:t>5</w:t>
      </w:r>
      <w:r>
        <w:rPr>
          <w:rFonts w:ascii="KaiTi_GB2312" w:eastAsia="KaiTi_GB2312" w:hint="eastAsia"/>
          <w:b/>
          <w:bCs/>
        </w:rPr>
        <w:t>款</w:t>
      </w:r>
      <w:r>
        <w:rPr>
          <w:rFonts w:ascii="KaiTi_GB2312" w:eastAsia="KaiTi_GB2312" w:hint="eastAsia"/>
        </w:rPr>
        <w:t>的实际含义做出的正确解释，这一条款需要撤销。</w:t>
      </w:r>
    </w:p>
    <w:p w:rsidR="00000000" w:rsidRDefault="004D2F83" w:rsidP="004D2F83">
      <w:pPr>
        <w:pStyle w:val="BodyText"/>
        <w:spacing w:after="240" w:line="360" w:lineRule="exact"/>
        <w:ind w:firstLineChars="200" w:firstLine="31680"/>
        <w:rPr>
          <w:rFonts w:ascii="Times New Roman" w:eastAsia="SimHei" w:hint="eastAsia"/>
          <w:sz w:val="21"/>
        </w:rPr>
      </w:pPr>
      <w:r>
        <w:rPr>
          <w:rFonts w:ascii="Times New Roman" w:eastAsia="SimHei" w:hint="eastAsia"/>
          <w:sz w:val="21"/>
        </w:rPr>
        <w:t>事实上，在现代社会里，女权运动具有男女平等的特点，特别是在家庭关系方面，妇女除了照顾子女和操持家务之外，还在与男子平等的条件下从事各种各样的职业活动。</w:t>
      </w:r>
    </w:p>
    <w:p w:rsidR="00000000" w:rsidRDefault="004D2F83" w:rsidP="004D2F83">
      <w:pPr>
        <w:spacing w:after="240" w:line="360" w:lineRule="exact"/>
        <w:ind w:firstLineChars="200" w:firstLine="31680"/>
        <w:rPr>
          <w:rFonts w:ascii="KaiTi_GB2312" w:eastAsia="KaiTi_GB2312" w:hint="eastAsia"/>
        </w:rPr>
      </w:pPr>
      <w:r>
        <w:rPr>
          <w:rFonts w:ascii="KaiTi_GB2312" w:eastAsia="KaiTi_GB2312" w:hint="eastAsia"/>
        </w:rPr>
        <w:t>鉴于这种社会政治现实，《联邦宪法》规定男女享有平等的权利和义务（第</w:t>
      </w:r>
      <w:r>
        <w:rPr>
          <w:rFonts w:ascii="KaiTi_GB2312" w:eastAsia="KaiTi_GB2312" w:hint="eastAsia"/>
        </w:rPr>
        <w:t>226</w:t>
      </w:r>
      <w:r>
        <w:rPr>
          <w:rFonts w:ascii="KaiTi_GB2312" w:eastAsia="KaiTi_GB2312" w:hint="eastAsia"/>
        </w:rPr>
        <w:t>条第</w:t>
      </w:r>
      <w:r>
        <w:rPr>
          <w:rFonts w:ascii="KaiTi_GB2312" w:eastAsia="KaiTi_GB2312" w:hint="eastAsia"/>
        </w:rPr>
        <w:t>5</w:t>
      </w:r>
      <w:r>
        <w:rPr>
          <w:rFonts w:ascii="KaiTi_GB2312" w:eastAsia="KaiTi_GB2312" w:hint="eastAsia"/>
        </w:rPr>
        <w:t>款）。因此，在这一新的社会生活概念下，被告的大男子行为是没有市场的，他坚持认为该妇女失去了资格但又没有证据，竟然在听审时提出由一名“检查员”长期监视子女的日常活动，并建议原告返回首都居住，后者只能根据发出的防止令</w:t>
      </w:r>
      <w:r>
        <w:rPr>
          <w:rFonts w:ascii="KaiTi_GB2312" w:eastAsia="KaiTi_GB2312" w:hint="eastAsia"/>
        </w:rPr>
        <w:t>状迁徙（</w:t>
      </w:r>
      <w:r>
        <w:rPr>
          <w:rFonts w:ascii="SimSun" w:hint="eastAsia"/>
        </w:rPr>
        <w:t>……</w:t>
      </w:r>
      <w:r>
        <w:rPr>
          <w:rFonts w:ascii="KaiTi_GB2312" w:eastAsia="KaiTi_GB2312" w:hint="eastAsia"/>
        </w:rPr>
        <w:t>）。</w:t>
      </w:r>
    </w:p>
    <w:p w:rsidR="00000000" w:rsidRDefault="004D2F83" w:rsidP="004D2F83">
      <w:pPr>
        <w:spacing w:after="240" w:line="360" w:lineRule="exact"/>
        <w:ind w:firstLineChars="200" w:firstLine="31680"/>
        <w:rPr>
          <w:rFonts w:eastAsia="KaiTi_GB2312" w:hint="eastAsia"/>
        </w:rPr>
      </w:pPr>
      <w:r>
        <w:rPr>
          <w:rFonts w:eastAsia="KaiTi_GB2312" w:hint="eastAsia"/>
        </w:rPr>
        <w:t>因此，考虑到原告来去自由的权利以及在她认为更方便的地方定居的权利，我特此决定同意让原告迁</w:t>
      </w:r>
      <w:r>
        <w:rPr>
          <w:rFonts w:ascii="KaiTi_GB2312" w:eastAsia="KaiTi_GB2312" w:hint="eastAsia"/>
        </w:rPr>
        <w:t>徙</w:t>
      </w:r>
      <w:r>
        <w:rPr>
          <w:rFonts w:eastAsia="KaiTi_GB2312" w:hint="eastAsia"/>
        </w:rPr>
        <w:t>的理由</w:t>
      </w:r>
      <w:r>
        <w:rPr>
          <w:rFonts w:ascii="SimSun" w:hint="eastAsia"/>
        </w:rPr>
        <w:t>……</w:t>
      </w:r>
      <w:r>
        <w:rPr>
          <w:rFonts w:eastAsia="KaiTi_GB2312" w:hint="eastAsia"/>
        </w:rPr>
        <w:t>这是符合逻辑的且符合社会政治发展的趋势，更重要的是承认人权规则。</w:t>
      </w:r>
    </w:p>
    <w:p w:rsidR="00000000" w:rsidRDefault="004D2F83" w:rsidP="004D2F83">
      <w:pPr>
        <w:spacing w:after="240" w:line="360" w:lineRule="exact"/>
        <w:ind w:firstLineChars="200" w:firstLine="31680"/>
        <w:rPr>
          <w:rFonts w:hint="eastAsia"/>
        </w:rPr>
      </w:pPr>
      <w:r>
        <w:rPr>
          <w:rFonts w:eastAsia="KaiTi_GB2312" w:hint="eastAsia"/>
        </w:rPr>
        <w:t>值得回忆的是，</w:t>
      </w:r>
      <w:r>
        <w:rPr>
          <w:rFonts w:ascii="SimHei" w:eastAsia="SimHei" w:hint="eastAsia"/>
        </w:rPr>
        <w:t>1981</w:t>
      </w:r>
      <w:r>
        <w:rPr>
          <w:rFonts w:ascii="SimHei" w:eastAsia="SimHei" w:hint="eastAsia"/>
        </w:rPr>
        <w:t>年</w:t>
      </w:r>
      <w:r>
        <w:rPr>
          <w:rFonts w:ascii="SimHei" w:eastAsia="SimHei" w:hint="eastAsia"/>
        </w:rPr>
        <w:t>3</w:t>
      </w:r>
      <w:r>
        <w:rPr>
          <w:rFonts w:ascii="SimHei" w:eastAsia="SimHei" w:hint="eastAsia"/>
        </w:rPr>
        <w:t>月</w:t>
      </w:r>
      <w:r>
        <w:rPr>
          <w:rFonts w:ascii="SimHei" w:eastAsia="SimHei" w:hint="eastAsia"/>
        </w:rPr>
        <w:t>31</w:t>
      </w:r>
      <w:r>
        <w:rPr>
          <w:rFonts w:ascii="SimHei" w:eastAsia="SimHei" w:hint="eastAsia"/>
        </w:rPr>
        <w:t>日，巴西在签署了</w:t>
      </w:r>
      <w:r>
        <w:rPr>
          <w:rFonts w:ascii="SimHei" w:eastAsia="SimHei" w:hint="eastAsia"/>
        </w:rPr>
        <w:t>1979</w:t>
      </w:r>
      <w:r>
        <w:rPr>
          <w:rFonts w:ascii="SimHei" w:eastAsia="SimHei" w:hint="eastAsia"/>
        </w:rPr>
        <w:t>年《消除对妇女一切形式歧视公约》，但就家庭问题一节持有保留意见，国民议会于</w:t>
      </w:r>
      <w:r>
        <w:rPr>
          <w:rFonts w:ascii="SimHei" w:eastAsia="SimHei" w:hint="eastAsia"/>
        </w:rPr>
        <w:t>1984</w:t>
      </w:r>
      <w:r>
        <w:rPr>
          <w:rFonts w:ascii="SimHei" w:eastAsia="SimHei" w:hint="eastAsia"/>
        </w:rPr>
        <w:t>年</w:t>
      </w:r>
      <w:r>
        <w:rPr>
          <w:rFonts w:ascii="SimHei" w:eastAsia="SimHei" w:hint="eastAsia"/>
        </w:rPr>
        <w:t>2</w:t>
      </w:r>
      <w:r>
        <w:rPr>
          <w:rFonts w:ascii="SimHei" w:eastAsia="SimHei" w:hint="eastAsia"/>
        </w:rPr>
        <w:t>月</w:t>
      </w:r>
      <w:r>
        <w:rPr>
          <w:rFonts w:ascii="SimHei" w:eastAsia="SimHei" w:hint="eastAsia"/>
        </w:rPr>
        <w:t>1</w:t>
      </w:r>
      <w:r>
        <w:rPr>
          <w:rFonts w:ascii="SimHei" w:eastAsia="SimHei" w:hint="eastAsia"/>
        </w:rPr>
        <w:t>日批准。</w:t>
      </w:r>
      <w:r>
        <w:rPr>
          <w:rFonts w:ascii="SimHei" w:eastAsia="SimHei" w:hint="eastAsia"/>
        </w:rPr>
        <w:t>1994</w:t>
      </w:r>
      <w:r>
        <w:rPr>
          <w:rFonts w:ascii="SimHei" w:eastAsia="SimHei" w:hint="eastAsia"/>
        </w:rPr>
        <w:t>年，巴西《联邦宪法》承认男女在公共和私人生活领域，特别是在婚姻关系方面平等，所以巴西政府撤回了这些保留意见，从而批准了该公约全文。</w:t>
      </w:r>
      <w:r>
        <w:rPr>
          <w:rFonts w:ascii="KaiTi_GB2312" w:eastAsia="KaiTi_GB2312" w:hint="eastAsia"/>
        </w:rPr>
        <w:t>按照生效的《联邦宪法》第</w:t>
      </w:r>
      <w:r>
        <w:rPr>
          <w:rFonts w:ascii="KaiTi_GB2312" w:eastAsia="KaiTi_GB2312" w:hint="eastAsia"/>
        </w:rPr>
        <w:t>5</w:t>
      </w:r>
      <w:r>
        <w:rPr>
          <w:rFonts w:ascii="KaiTi_GB2312" w:eastAsia="KaiTi_GB2312" w:hint="eastAsia"/>
        </w:rPr>
        <w:t>条第</w:t>
      </w:r>
      <w:r>
        <w:rPr>
          <w:rFonts w:ascii="KaiTi_GB2312" w:eastAsia="KaiTi_GB2312" w:hint="eastAsia"/>
        </w:rPr>
        <w:t>2</w:t>
      </w:r>
      <w:r>
        <w:rPr>
          <w:rFonts w:ascii="KaiTi_GB2312" w:eastAsia="KaiTi_GB2312" w:hint="eastAsia"/>
        </w:rPr>
        <w:t>款的</w:t>
      </w:r>
      <w:r>
        <w:rPr>
          <w:rFonts w:ascii="KaiTi_GB2312" w:eastAsia="KaiTi_GB2312" w:hint="eastAsia"/>
        </w:rPr>
        <w:t>规定，该国际文书在巴西具有国内法的效力。</w:t>
      </w:r>
    </w:p>
    <w:p w:rsidR="00000000" w:rsidRDefault="004D2F83" w:rsidP="004D2F83">
      <w:pPr>
        <w:spacing w:after="240" w:line="360" w:lineRule="exact"/>
        <w:ind w:firstLineChars="200" w:firstLine="31680"/>
        <w:rPr>
          <w:rFonts w:hint="eastAsia"/>
          <w:b/>
          <w:bCs/>
        </w:rPr>
      </w:pPr>
      <w:r>
        <w:rPr>
          <w:rFonts w:eastAsia="KaiTi_GB2312" w:hint="eastAsia"/>
        </w:rPr>
        <w:t>此外：</w:t>
      </w:r>
      <w:r>
        <w:rPr>
          <w:rFonts w:ascii="SimHei" w:eastAsia="SimHei" w:hint="eastAsia"/>
        </w:rPr>
        <w:t>美洲国家组织（美洲组织）大会于</w:t>
      </w:r>
      <w:r>
        <w:rPr>
          <w:rFonts w:ascii="SimHei" w:eastAsia="SimHei" w:hint="eastAsia"/>
        </w:rPr>
        <w:t>1994</w:t>
      </w:r>
      <w:r>
        <w:rPr>
          <w:rFonts w:ascii="SimHei" w:eastAsia="SimHei" w:hint="eastAsia"/>
        </w:rPr>
        <w:t>年</w:t>
      </w:r>
      <w:r>
        <w:rPr>
          <w:rFonts w:ascii="SimHei" w:eastAsia="SimHei" w:hint="eastAsia"/>
        </w:rPr>
        <w:t>6</w:t>
      </w:r>
      <w:r>
        <w:rPr>
          <w:rFonts w:ascii="SimHei" w:eastAsia="SimHei" w:hint="eastAsia"/>
        </w:rPr>
        <w:t>月</w:t>
      </w:r>
      <w:r>
        <w:rPr>
          <w:rFonts w:ascii="SimHei" w:eastAsia="SimHei" w:hint="eastAsia"/>
        </w:rPr>
        <w:t>6</w:t>
      </w:r>
      <w:r>
        <w:rPr>
          <w:rFonts w:ascii="SimHei" w:eastAsia="SimHei" w:hint="eastAsia"/>
        </w:rPr>
        <w:t>日通过了《美洲防止、惩罚和根除对妇女暴力行为公约》，巴西于</w:t>
      </w:r>
      <w:r>
        <w:rPr>
          <w:rFonts w:ascii="SimHei" w:eastAsia="SimHei" w:hint="eastAsia"/>
        </w:rPr>
        <w:t>1995</w:t>
      </w:r>
      <w:r>
        <w:rPr>
          <w:rFonts w:ascii="SimHei" w:eastAsia="SimHei" w:hint="eastAsia"/>
        </w:rPr>
        <w:t>年</w:t>
      </w:r>
      <w:r>
        <w:rPr>
          <w:rFonts w:ascii="SimHei" w:eastAsia="SimHei" w:hint="eastAsia"/>
        </w:rPr>
        <w:t>11</w:t>
      </w:r>
      <w:r>
        <w:rPr>
          <w:rFonts w:ascii="SimHei" w:eastAsia="SimHei" w:hint="eastAsia"/>
        </w:rPr>
        <w:t>月</w:t>
      </w:r>
      <w:r>
        <w:rPr>
          <w:rFonts w:ascii="SimHei" w:eastAsia="SimHei" w:hint="eastAsia"/>
        </w:rPr>
        <w:t>27</w:t>
      </w:r>
      <w:r>
        <w:rPr>
          <w:rFonts w:ascii="SimHei" w:eastAsia="SimHei" w:hint="eastAsia"/>
        </w:rPr>
        <w:t>日批准了该公约。</w:t>
      </w:r>
      <w:r>
        <w:rPr>
          <w:rFonts w:ascii="KaiTi_GB2312" w:eastAsia="KaiTi_GB2312" w:hint="eastAsia"/>
        </w:rPr>
        <w:t>按照生效的《联邦宪法》第</w:t>
      </w:r>
      <w:r>
        <w:rPr>
          <w:rFonts w:ascii="KaiTi_GB2312" w:eastAsia="KaiTi_GB2312" w:hint="eastAsia"/>
        </w:rPr>
        <w:t>5</w:t>
      </w:r>
      <w:r>
        <w:rPr>
          <w:rFonts w:ascii="KaiTi_GB2312" w:eastAsia="KaiTi_GB2312" w:hint="eastAsia"/>
        </w:rPr>
        <w:t>条第</w:t>
      </w:r>
      <w:r>
        <w:rPr>
          <w:rFonts w:ascii="KaiTi_GB2312" w:eastAsia="KaiTi_GB2312" w:hint="eastAsia"/>
        </w:rPr>
        <w:t>2</w:t>
      </w:r>
      <w:r>
        <w:rPr>
          <w:rFonts w:ascii="KaiTi_GB2312" w:eastAsia="KaiTi_GB2312" w:hint="eastAsia"/>
        </w:rPr>
        <w:t>款的规定，该国际文书在巴西具有国内法的效力（</w:t>
      </w:r>
      <w:r>
        <w:rPr>
          <w:rFonts w:ascii="SimSun" w:hint="eastAsia"/>
        </w:rPr>
        <w:t>……</w:t>
      </w:r>
      <w:r>
        <w:rPr>
          <w:rFonts w:ascii="KaiTi_GB2312" w:eastAsia="KaiTi_GB2312" w:hint="eastAsia"/>
        </w:rPr>
        <w:t>）因此，我认为，审议的所有问题都已解决（</w:t>
      </w:r>
      <w:r>
        <w:rPr>
          <w:rFonts w:ascii="SimSun" w:hint="eastAsia"/>
        </w:rPr>
        <w:t>……</w:t>
      </w:r>
      <w:r>
        <w:rPr>
          <w:rFonts w:ascii="KaiTi_GB2312" w:eastAsia="KaiTi_GB2312" w:hint="eastAsia"/>
        </w:rPr>
        <w:t>）。特此批准</w:t>
      </w:r>
      <w:r>
        <w:rPr>
          <w:rFonts w:ascii="SimSun" w:hint="eastAsia"/>
        </w:rPr>
        <w:t>……</w:t>
      </w:r>
      <w:r>
        <w:rPr>
          <w:rFonts w:ascii="KaiTi_GB2312" w:eastAsia="KaiTi_GB2312" w:hint="eastAsia"/>
        </w:rPr>
        <w:t>提出的</w:t>
      </w:r>
      <w:r>
        <w:rPr>
          <w:rFonts w:ascii="KaiTi_GB2312" w:eastAsia="KaiTi_GB2312" w:hint="eastAsia"/>
          <w:b/>
          <w:bCs/>
        </w:rPr>
        <w:t>将法院判决的夫妇分居转为离婚</w:t>
      </w:r>
      <w:r>
        <w:rPr>
          <w:rFonts w:ascii="KaiTi_GB2312" w:eastAsia="KaiTi_GB2312" w:hint="eastAsia"/>
        </w:rPr>
        <w:t>的请求。</w:t>
      </w:r>
    </w:p>
    <w:p w:rsidR="00000000" w:rsidRDefault="004D2F83" w:rsidP="004D2F83">
      <w:pPr>
        <w:spacing w:after="240" w:line="360" w:lineRule="exact"/>
        <w:ind w:firstLineChars="200" w:firstLine="31680"/>
        <w:rPr>
          <w:rFonts w:ascii="KaiTi_GB2312" w:eastAsia="KaiTi_GB2312" w:hint="eastAsia"/>
        </w:rPr>
      </w:pPr>
      <w:r>
        <w:rPr>
          <w:rFonts w:ascii="KaiTi_GB2312" w:eastAsia="KaiTi_GB2312" w:hint="eastAsia"/>
        </w:rPr>
        <w:t>鉴于离婚协议的</w:t>
      </w:r>
      <w:r>
        <w:rPr>
          <w:rFonts w:ascii="SimSun" w:hint="eastAsia"/>
        </w:rPr>
        <w:t>……</w:t>
      </w:r>
      <w:r>
        <w:rPr>
          <w:rFonts w:ascii="KaiTi_GB2312" w:eastAsia="KaiTi_GB2312" w:hint="eastAsia"/>
        </w:rPr>
        <w:t>条款违背了宪法规定并损害了人的尊严。</w:t>
      </w:r>
      <w:r>
        <w:rPr>
          <w:rFonts w:ascii="KaiTi_GB2312" w:eastAsia="KaiTi_GB2312" w:hint="eastAsia"/>
          <w:b/>
          <w:bCs/>
        </w:rPr>
        <w:t>我特此决定</w:t>
      </w:r>
      <w:r>
        <w:rPr>
          <w:rFonts w:ascii="SimSun" w:hint="eastAsia"/>
        </w:rPr>
        <w:t>……</w:t>
      </w:r>
      <w:r>
        <w:rPr>
          <w:rFonts w:ascii="KaiTi_GB2312" w:eastAsia="KaiTi_GB2312" w:hint="eastAsia"/>
          <w:b/>
          <w:bCs/>
        </w:rPr>
        <w:t>应仍由母亲监护，</w:t>
      </w:r>
      <w:r>
        <w:rPr>
          <w:rFonts w:ascii="KaiTi_GB2312" w:eastAsia="KaiTi_GB2312" w:hint="eastAsia"/>
        </w:rPr>
        <w:t>父亲可随时前往</w:t>
      </w:r>
      <w:r>
        <w:rPr>
          <w:rFonts w:ascii="SimSun" w:hint="eastAsia"/>
        </w:rPr>
        <w:t>……</w:t>
      </w:r>
      <w:r>
        <w:rPr>
          <w:rFonts w:ascii="KaiTi_GB2312" w:eastAsia="KaiTi_GB2312" w:hint="eastAsia"/>
        </w:rPr>
        <w:t>居住的城市探视他们并在学校放假时与他们</w:t>
      </w:r>
      <w:r>
        <w:rPr>
          <w:rFonts w:ascii="KaiTi_GB2312" w:eastAsia="KaiTi_GB2312" w:hint="eastAsia"/>
        </w:rPr>
        <w:t>在一起（</w:t>
      </w:r>
      <w:r>
        <w:rPr>
          <w:rFonts w:ascii="SimSun" w:hint="eastAsia"/>
        </w:rPr>
        <w:t>……</w:t>
      </w:r>
      <w:r>
        <w:rPr>
          <w:rFonts w:ascii="KaiTi_GB2312" w:eastAsia="KaiTi_GB2312" w:hint="eastAsia"/>
        </w:rPr>
        <w:t>）</w:t>
      </w:r>
      <w:r>
        <w:rPr>
          <w:rFonts w:ascii="KaiTi_GB2312" w:eastAsia="KaiTi_GB2312" w:hint="eastAsia"/>
          <w:b/>
          <w:bCs/>
        </w:rPr>
        <w:t>我还决定同意修改赡养费的请求，</w:t>
      </w:r>
      <w:r>
        <w:rPr>
          <w:rFonts w:ascii="KaiTi_GB2312" w:eastAsia="KaiTi_GB2312" w:hint="eastAsia"/>
        </w:rPr>
        <w:t>特此确定赡养费为被告净收入的</w:t>
      </w:r>
      <w:r>
        <w:rPr>
          <w:rFonts w:ascii="KaiTi_GB2312" w:eastAsia="KaiTi_GB2312"/>
        </w:rPr>
        <w:t>20%</w:t>
      </w:r>
      <w:r>
        <w:rPr>
          <w:rFonts w:ascii="KaiTi_GB2312" w:eastAsia="KaiTi_GB2312" w:hint="eastAsia"/>
        </w:rPr>
        <w:t>，</w:t>
      </w:r>
      <w:r>
        <w:rPr>
          <w:rFonts w:ascii="KaiTi_GB2312" w:eastAsia="KaiTi_GB2312" w:hint="eastAsia"/>
        </w:rPr>
        <w:t>P</w:t>
      </w:r>
      <w:r>
        <w:rPr>
          <w:rFonts w:ascii="KaiTi_GB2312" w:eastAsia="KaiTi_GB2312"/>
        </w:rPr>
        <w:t>.R.I. Cuiaba</w:t>
      </w:r>
      <w:r>
        <w:rPr>
          <w:rFonts w:ascii="KaiTi_GB2312" w:eastAsia="KaiTi_GB2312" w:hint="eastAsia"/>
        </w:rPr>
        <w:t>，</w:t>
      </w:r>
      <w:r>
        <w:rPr>
          <w:rFonts w:ascii="KaiTi_GB2312" w:eastAsia="KaiTi_GB2312" w:hint="eastAsia"/>
        </w:rPr>
        <w:t>2001</w:t>
      </w:r>
      <w:r>
        <w:rPr>
          <w:rFonts w:ascii="KaiTi_GB2312" w:eastAsia="KaiTi_GB2312" w:hint="eastAsia"/>
        </w:rPr>
        <w:t>年</w:t>
      </w:r>
      <w:r>
        <w:rPr>
          <w:rFonts w:ascii="KaiTi_GB2312" w:eastAsia="KaiTi_GB2312" w:hint="eastAsia"/>
        </w:rPr>
        <w:t>2</w:t>
      </w:r>
      <w:r>
        <w:rPr>
          <w:rFonts w:ascii="KaiTi_GB2312" w:eastAsia="KaiTi_GB2312" w:hint="eastAsia"/>
        </w:rPr>
        <w:t>月</w:t>
      </w:r>
      <w:r>
        <w:rPr>
          <w:rFonts w:ascii="KaiTi_GB2312" w:eastAsia="KaiTi_GB2312" w:hint="eastAsia"/>
        </w:rPr>
        <w:t>12</w:t>
      </w:r>
      <w:r>
        <w:rPr>
          <w:rFonts w:ascii="KaiTi_GB2312" w:eastAsia="KaiTi_GB2312" w:hint="eastAsia"/>
        </w:rPr>
        <w:t>日。</w:t>
      </w:r>
      <w:r>
        <w:rPr>
          <w:rFonts w:ascii="KaiTi_GB2312" w:eastAsia="KaiTi_GB2312"/>
          <w:b/>
          <w:bCs/>
        </w:rPr>
        <w:t>Clarice Claudino da Silva</w:t>
      </w:r>
      <w:r>
        <w:rPr>
          <w:rFonts w:ascii="KaiTi_GB2312" w:eastAsia="KaiTi_GB2312" w:hint="eastAsia"/>
          <w:b/>
          <w:bCs/>
        </w:rPr>
        <w:t>、</w:t>
      </w:r>
      <w:r>
        <w:rPr>
          <w:rFonts w:ascii="KaiTi_GB2312" w:eastAsia="KaiTi_GB2312"/>
          <w:b/>
          <w:bCs/>
        </w:rPr>
        <w:t>Juiza de Direito</w:t>
      </w:r>
      <w:r>
        <w:rPr>
          <w:rFonts w:ascii="KaiTi_GB2312" w:eastAsia="KaiTi_GB2312" w:hint="eastAsia"/>
          <w:b/>
          <w:bCs/>
        </w:rPr>
        <w:t>。</w:t>
      </w:r>
    </w:p>
    <w:p w:rsidR="00000000" w:rsidRDefault="004D2F83">
      <w:pPr>
        <w:spacing w:after="240" w:line="360" w:lineRule="exact"/>
        <w:rPr>
          <w:rFonts w:eastAsia="SimHei" w:hint="eastAsia"/>
          <w:sz w:val="24"/>
        </w:rPr>
      </w:pPr>
      <w:r>
        <w:rPr>
          <w:rFonts w:eastAsia="SimHei" w:hint="eastAsia"/>
          <w:sz w:val="24"/>
        </w:rPr>
        <w:t>因素和困难</w:t>
      </w:r>
    </w:p>
    <w:p w:rsidR="00000000" w:rsidRDefault="004D2F83" w:rsidP="004D2F83">
      <w:pPr>
        <w:spacing w:after="240" w:line="360" w:lineRule="exact"/>
        <w:ind w:firstLineChars="200" w:firstLine="31680"/>
        <w:rPr>
          <w:rFonts w:hint="eastAsia"/>
        </w:rPr>
      </w:pPr>
      <w:r>
        <w:rPr>
          <w:rFonts w:hint="eastAsia"/>
        </w:rPr>
        <w:t>总的说来，《联邦宪法》和各州《宪法》只承认法律意义的平等：</w:t>
      </w:r>
      <w:r>
        <w:rPr>
          <w:rFonts w:eastAsia="KaiTi_GB2312" w:hint="eastAsia"/>
          <w:b/>
          <w:bCs/>
        </w:rPr>
        <w:t>法律面前人人平等</w:t>
      </w:r>
      <w:r>
        <w:rPr>
          <w:rFonts w:hint="eastAsia"/>
        </w:rPr>
        <w:t>。</w:t>
      </w:r>
      <w:r>
        <w:rPr>
          <w:rStyle w:val="FootnoteReference"/>
        </w:rPr>
        <w:footnoteReference w:customMarkFollows="1" w:id="158"/>
        <w:t>158</w:t>
      </w:r>
      <w:r>
        <w:rPr>
          <w:rFonts w:hint="eastAsia"/>
        </w:rPr>
        <w:t>真正平等包括在“行动原则中，根据此项原则，同一类人应得到同样的待遇。”</w:t>
      </w:r>
      <w:r>
        <w:rPr>
          <w:rFonts w:hint="eastAsia"/>
        </w:rPr>
        <w:t xml:space="preserve"> </w:t>
      </w:r>
      <w:r>
        <w:rPr>
          <w:rFonts w:hint="eastAsia"/>
        </w:rPr>
        <w:t>“法律面前人人平等”意指法律规定的平等，此项原则面向立法者和执法者。</w:t>
      </w:r>
      <w:r>
        <w:rPr>
          <w:rStyle w:val="FootnoteReference"/>
        </w:rPr>
        <w:footnoteReference w:customMarkFollows="1" w:id="159"/>
        <w:t>159</w:t>
      </w:r>
    </w:p>
    <w:p w:rsidR="00000000" w:rsidRDefault="004D2F83" w:rsidP="004D2F83">
      <w:pPr>
        <w:spacing w:after="240" w:line="360" w:lineRule="exact"/>
        <w:ind w:firstLineChars="200" w:firstLine="31680"/>
        <w:rPr>
          <w:rFonts w:hint="eastAsia"/>
        </w:rPr>
      </w:pPr>
      <w:r>
        <w:rPr>
          <w:rFonts w:hint="eastAsia"/>
        </w:rPr>
        <w:t>1988</w:t>
      </w:r>
      <w:r>
        <w:rPr>
          <w:rFonts w:hint="eastAsia"/>
        </w:rPr>
        <w:t>年《联邦宪法》无疑是妇女权利在法律领域取得成</w:t>
      </w:r>
      <w:r>
        <w:rPr>
          <w:rFonts w:hint="eastAsia"/>
        </w:rPr>
        <w:t>就的一个里程碑。然而，该宪法颁布后并没有推出必要、有效且适当的宪法下法规。同样，巴西政府在联合国相关的国际会议上做出政治承诺后并没有对其国内法进行适当的调整。巴西尤其在</w:t>
      </w:r>
      <w:r>
        <w:rPr>
          <w:rFonts w:hint="eastAsia"/>
        </w:rPr>
        <w:t>1990</w:t>
      </w:r>
      <w:r>
        <w:rPr>
          <w:rFonts w:hint="eastAsia"/>
        </w:rPr>
        <w:t>年代批准各项国际人权条约，特别是妇女权利条约时做出法律上的承诺后的情况也是一样，这些条约主要是：</w:t>
      </w:r>
      <w:r>
        <w:rPr>
          <w:rFonts w:hint="eastAsia"/>
        </w:rPr>
        <w:t>1984</w:t>
      </w:r>
      <w:r>
        <w:rPr>
          <w:rFonts w:hint="eastAsia"/>
        </w:rPr>
        <w:t>年巴西批准的《消除对妇女一切形式歧视公约》（妇女公约，</w:t>
      </w:r>
      <w:r>
        <w:rPr>
          <w:rFonts w:hint="eastAsia"/>
        </w:rPr>
        <w:t>1979</w:t>
      </w:r>
      <w:r>
        <w:rPr>
          <w:rFonts w:hint="eastAsia"/>
        </w:rPr>
        <w:t>年联合国）和</w:t>
      </w:r>
      <w:r>
        <w:rPr>
          <w:rFonts w:hint="eastAsia"/>
        </w:rPr>
        <w:t>1995</w:t>
      </w:r>
      <w:r>
        <w:rPr>
          <w:rFonts w:hint="eastAsia"/>
        </w:rPr>
        <w:t>年巴西批准的《美洲防止、惩罚和根除对妇女暴力行为公约》（</w:t>
      </w:r>
      <w:r>
        <w:t>Belem do Para Convention</w:t>
      </w:r>
      <w:r>
        <w:rPr>
          <w:rFonts w:hint="eastAsia"/>
        </w:rPr>
        <w:t>，</w:t>
      </w:r>
      <w:r>
        <w:rPr>
          <w:rFonts w:hint="eastAsia"/>
        </w:rPr>
        <w:t>1994</w:t>
      </w:r>
      <w:r>
        <w:rPr>
          <w:rFonts w:hint="eastAsia"/>
        </w:rPr>
        <w:t>年美洲组织）。</w:t>
      </w:r>
    </w:p>
    <w:p w:rsidR="00000000" w:rsidRDefault="004D2F83" w:rsidP="004D2F83">
      <w:pPr>
        <w:spacing w:after="240" w:line="360" w:lineRule="exact"/>
        <w:ind w:firstLineChars="200" w:firstLine="31680"/>
        <w:rPr>
          <w:rFonts w:hint="eastAsia"/>
        </w:rPr>
      </w:pPr>
      <w:r>
        <w:rPr>
          <w:rFonts w:hint="eastAsia"/>
        </w:rPr>
        <w:t>关于《公约》第</w:t>
      </w:r>
      <w:r>
        <w:rPr>
          <w:rFonts w:hint="eastAsia"/>
        </w:rPr>
        <w:t>15</w:t>
      </w:r>
      <w:r>
        <w:rPr>
          <w:rFonts w:hint="eastAsia"/>
        </w:rPr>
        <w:t>和</w:t>
      </w:r>
      <w:r>
        <w:rPr>
          <w:rFonts w:hint="eastAsia"/>
        </w:rPr>
        <w:t>第</w:t>
      </w:r>
      <w:r>
        <w:rPr>
          <w:rFonts w:hint="eastAsia"/>
        </w:rPr>
        <w:t>16</w:t>
      </w:r>
      <w:r>
        <w:rPr>
          <w:rFonts w:hint="eastAsia"/>
        </w:rPr>
        <w:t>条规定的促进男女实质平等，在制定和修改</w:t>
      </w:r>
      <w:r>
        <w:rPr>
          <w:rFonts w:eastAsia="KaiTi_GB2312" w:hint="eastAsia"/>
          <w:b/>
          <w:bCs/>
        </w:rPr>
        <w:t>宪法下立法</w:t>
      </w:r>
      <w:r>
        <w:rPr>
          <w:rFonts w:hint="eastAsia"/>
        </w:rPr>
        <w:t>以及执行</w:t>
      </w:r>
      <w:r>
        <w:rPr>
          <w:rFonts w:eastAsia="KaiTi_GB2312" w:hint="eastAsia"/>
          <w:b/>
          <w:bCs/>
        </w:rPr>
        <w:t>公共政策</w:t>
      </w:r>
      <w:r>
        <w:rPr>
          <w:rFonts w:hint="eastAsia"/>
        </w:rPr>
        <w:t>和</w:t>
      </w:r>
      <w:r>
        <w:rPr>
          <w:rFonts w:eastAsia="KaiTi_GB2312" w:hint="eastAsia"/>
          <w:b/>
          <w:bCs/>
        </w:rPr>
        <w:t>司法措施</w:t>
      </w:r>
      <w:r>
        <w:rPr>
          <w:rFonts w:hint="eastAsia"/>
        </w:rPr>
        <w:t>方面仍有许多工作要做。</w:t>
      </w:r>
    </w:p>
    <w:p w:rsidR="00000000" w:rsidRDefault="004D2F83" w:rsidP="004D2F83">
      <w:pPr>
        <w:spacing w:after="240" w:line="360" w:lineRule="exact"/>
        <w:ind w:firstLineChars="200" w:firstLine="31680"/>
        <w:rPr>
          <w:rFonts w:hint="eastAsia"/>
        </w:rPr>
      </w:pPr>
      <w:r>
        <w:rPr>
          <w:rFonts w:hint="eastAsia"/>
        </w:rPr>
        <w:t>巴西的民法和刑法——都是</w:t>
      </w:r>
      <w:r>
        <w:rPr>
          <w:rFonts w:hint="eastAsia"/>
        </w:rPr>
        <w:t>20</w:t>
      </w:r>
      <w:r>
        <w:rPr>
          <w:rFonts w:hint="eastAsia"/>
        </w:rPr>
        <w:t>世纪初制订的——中有关婚姻的一些条例违背了《联邦宪法》和保护妇女人权国际条约中规定的两性平等原则。</w:t>
      </w:r>
    </w:p>
    <w:p w:rsidR="00000000" w:rsidRDefault="004D2F83" w:rsidP="004D2F83">
      <w:pPr>
        <w:spacing w:after="240" w:line="360" w:lineRule="exact"/>
        <w:ind w:firstLineChars="200" w:firstLine="31680"/>
        <w:rPr>
          <w:rFonts w:hint="eastAsia"/>
        </w:rPr>
      </w:pPr>
      <w:r>
        <w:rPr>
          <w:rFonts w:hint="eastAsia"/>
        </w:rPr>
        <w:t>现行的《民法典》中所载的性别歧视主要涉及到已婚妇女，因为它对妇女在婚姻生活和社会生活中的角色规定了不平等和歧视性的条件。</w:t>
      </w:r>
    </w:p>
    <w:p w:rsidR="00000000" w:rsidRDefault="004D2F83" w:rsidP="004D2F83">
      <w:pPr>
        <w:spacing w:after="240" w:line="360" w:lineRule="exact"/>
        <w:ind w:firstLineChars="200" w:firstLine="31680"/>
        <w:rPr>
          <w:rFonts w:hint="eastAsia"/>
        </w:rPr>
      </w:pPr>
      <w:r>
        <w:rPr>
          <w:rFonts w:hint="eastAsia"/>
        </w:rPr>
        <w:t>尽管颁布了</w:t>
      </w:r>
      <w:r>
        <w:rPr>
          <w:rFonts w:hint="eastAsia"/>
        </w:rPr>
        <w:t>1988</w:t>
      </w:r>
      <w:r>
        <w:rPr>
          <w:rFonts w:hint="eastAsia"/>
        </w:rPr>
        <w:t>年《联邦宪法》，但《民法典》中有一些条款违背了平等原则，如：关于已婚妇女居所的规定；剥夺住在父亲家的不忠女儿的继承权；男子在婚姻家庭中的管制</w:t>
      </w:r>
      <w:r>
        <w:rPr>
          <w:rFonts w:hint="eastAsia"/>
        </w:rPr>
        <w:t>权；父亲在家长权方面至高无上；男子管理配偶双方的财产，包括妻子的个人财产以及男子基于妇女不再是处女而宣布婚姻无效等。</w:t>
      </w:r>
    </w:p>
    <w:p w:rsidR="00000000" w:rsidRDefault="004D2F83" w:rsidP="004D2F83">
      <w:pPr>
        <w:spacing w:after="240" w:line="360" w:lineRule="exact"/>
        <w:ind w:firstLineChars="200" w:firstLine="31680"/>
        <w:rPr>
          <w:rFonts w:hint="eastAsia"/>
        </w:rPr>
      </w:pPr>
      <w:r>
        <w:rPr>
          <w:rFonts w:hint="eastAsia"/>
        </w:rPr>
        <w:t>另外，刑法也损害了妇女的尊严和平等原则，例如，规定在发生性犯罪的情况下，当罪犯与受害者结婚或在某些情况下受害者与第三方结婚，则罪犯不受处罚。因此，在这种情况下，结婚是弥补或维护性暴力受害妇女的名誉的一种方式。</w:t>
      </w:r>
    </w:p>
    <w:p w:rsidR="00000000" w:rsidRDefault="004D2F83">
      <w:pPr>
        <w:pStyle w:val="BodyTextIndent"/>
        <w:rPr>
          <w:rFonts w:hint="eastAsia"/>
        </w:rPr>
      </w:pPr>
      <w:r>
        <w:rPr>
          <w:rFonts w:hint="eastAsia"/>
        </w:rPr>
        <w:t>这只是宪法下条例中存在的一些差异实例，与男女平等原则不合拍。这些条例违背了巴西《联邦宪法》和保护人权的国际法律。</w:t>
      </w:r>
    </w:p>
    <w:p w:rsidR="00000000" w:rsidRDefault="004D2F83" w:rsidP="004D2F83">
      <w:pPr>
        <w:spacing w:after="240" w:line="360" w:lineRule="exact"/>
        <w:ind w:firstLineChars="200" w:firstLine="31680"/>
        <w:rPr>
          <w:rFonts w:hint="eastAsia"/>
        </w:rPr>
      </w:pPr>
      <w:r>
        <w:rPr>
          <w:rFonts w:hint="eastAsia"/>
        </w:rPr>
        <w:t>因此，有必要完成对巴西法律制度的修订，即从《民法典》和《刑法典》中删除</w:t>
      </w:r>
      <w:r>
        <w:rPr>
          <w:rFonts w:hint="eastAsia"/>
        </w:rPr>
        <w:t>对妇女权利产生恶劣影响的歧视性的性别规定。</w:t>
      </w:r>
    </w:p>
    <w:p w:rsidR="00000000" w:rsidRDefault="004D2F83" w:rsidP="004D2F83">
      <w:pPr>
        <w:spacing w:after="240" w:line="360" w:lineRule="exact"/>
        <w:ind w:firstLineChars="200" w:firstLine="31680"/>
        <w:rPr>
          <w:rFonts w:hint="eastAsia"/>
        </w:rPr>
      </w:pPr>
      <w:r>
        <w:rPr>
          <w:rFonts w:hint="eastAsia"/>
        </w:rPr>
        <w:t>为了使人们对巴西所经历的历史性时刻有清楚的了解，本报告对仍然生效的《民法典》进行了详细研究，指出即使在</w:t>
      </w:r>
      <w:r>
        <w:rPr>
          <w:rFonts w:hint="eastAsia"/>
        </w:rPr>
        <w:t>1988</w:t>
      </w:r>
      <w:r>
        <w:rPr>
          <w:rFonts w:hint="eastAsia"/>
        </w:rPr>
        <w:t>年《联邦宪法》颁布后，巴西法律中也充斥着由来已久的歧视性规定。这方面的一个重要里程碑是巴西</w:t>
      </w:r>
      <w:r>
        <w:rPr>
          <w:rFonts w:eastAsia="KaiTi_GB2312" w:hint="eastAsia"/>
          <w:b/>
          <w:bCs/>
        </w:rPr>
        <w:t>《新民法典》</w:t>
      </w:r>
      <w:r>
        <w:rPr>
          <w:rFonts w:hint="eastAsia"/>
        </w:rPr>
        <w:t>将生效（于</w:t>
      </w:r>
      <w:r>
        <w:rPr>
          <w:rFonts w:hint="eastAsia"/>
        </w:rPr>
        <w:t>2003</w:t>
      </w:r>
      <w:r>
        <w:rPr>
          <w:rFonts w:hint="eastAsia"/>
        </w:rPr>
        <w:t>年</w:t>
      </w:r>
      <w:r>
        <w:rPr>
          <w:rFonts w:hint="eastAsia"/>
        </w:rPr>
        <w:t>1</w:t>
      </w:r>
      <w:r>
        <w:rPr>
          <w:rFonts w:hint="eastAsia"/>
        </w:rPr>
        <w:t>月</w:t>
      </w:r>
      <w:r>
        <w:rPr>
          <w:rFonts w:hint="eastAsia"/>
        </w:rPr>
        <w:t>11</w:t>
      </w:r>
      <w:r>
        <w:rPr>
          <w:rFonts w:hint="eastAsia"/>
        </w:rPr>
        <w:t>日），该法典将明确废除大多数对妇女的歧视性规定，特别是与婚姻家庭中男女平等有关的规定。关于刑法领域，行政部门拟订的</w:t>
      </w:r>
      <w:r>
        <w:rPr>
          <w:rFonts w:eastAsia="KaiTi_GB2312" w:hint="eastAsia"/>
          <w:b/>
          <w:bCs/>
        </w:rPr>
        <w:t>《刑法特别章节修订法案》</w:t>
      </w:r>
      <w:r>
        <w:rPr>
          <w:rFonts w:hint="eastAsia"/>
        </w:rPr>
        <w:t>仍有待于国民议会审查。</w:t>
      </w:r>
    </w:p>
    <w:p w:rsidR="00000000" w:rsidRDefault="004D2F83" w:rsidP="004D2F83">
      <w:pPr>
        <w:spacing w:after="240" w:line="360" w:lineRule="exact"/>
        <w:ind w:firstLineChars="200" w:firstLine="31680"/>
        <w:rPr>
          <w:rFonts w:hint="eastAsia"/>
        </w:rPr>
      </w:pPr>
      <w:r>
        <w:rPr>
          <w:rFonts w:hint="eastAsia"/>
        </w:rPr>
        <w:t>通过前述立法改革和有效地落实妇女权利，为巴西卓有成效地执行《消除对</w:t>
      </w:r>
      <w:r>
        <w:rPr>
          <w:rFonts w:hint="eastAsia"/>
        </w:rPr>
        <w:t>妇女一切形式歧视公约》的各项规定做出了贡献。具体方法是采取连贯一致的全球公共政策和持续不懈地促进政府关于培训公共代理、立法者和执法者方案，这些方案特别与性别和人权有关，着重于消除对妇女的歧视和暴力。</w:t>
      </w:r>
    </w:p>
    <w:p w:rsidR="00000000" w:rsidRDefault="004D2F83" w:rsidP="004D2F83">
      <w:pPr>
        <w:spacing w:after="240" w:line="360" w:lineRule="exact"/>
        <w:ind w:firstLineChars="200" w:firstLine="31680"/>
        <w:rPr>
          <w:rFonts w:hint="eastAsia"/>
        </w:rPr>
      </w:pPr>
      <w:r>
        <w:rPr>
          <w:rFonts w:hint="eastAsia"/>
        </w:rPr>
        <w:t>因此，执行《公约》的挑战涉及如何</w:t>
      </w:r>
      <w:r>
        <w:rPr>
          <w:rFonts w:eastAsia="KaiTi_GB2312" w:hint="eastAsia"/>
          <w:b/>
          <w:bCs/>
        </w:rPr>
        <w:t>真正理解妇女的权利以及如何在社会和法规中将妇女的权利列为人权</w:t>
      </w:r>
      <w:r>
        <w:rPr>
          <w:rFonts w:hint="eastAsia"/>
        </w:rPr>
        <w:t>，因此这必然意味着</w:t>
      </w:r>
      <w:r>
        <w:rPr>
          <w:rFonts w:eastAsia="KaiTi_GB2312" w:hint="eastAsia"/>
          <w:b/>
          <w:bCs/>
        </w:rPr>
        <w:t>文化价值观念和做法上的改变</w:t>
      </w:r>
      <w:r>
        <w:rPr>
          <w:rFonts w:hint="eastAsia"/>
        </w:rPr>
        <w:t>。这还涉及如何真正理解</w:t>
      </w:r>
      <w:r>
        <w:rPr>
          <w:rFonts w:eastAsia="KaiTi_GB2312" w:hint="eastAsia"/>
          <w:b/>
          <w:bCs/>
        </w:rPr>
        <w:t>社会公正和平等的新范例并将其纳入国内政治法律和社会经济体系中，</w:t>
      </w:r>
      <w:r>
        <w:rPr>
          <w:rFonts w:hint="eastAsia"/>
        </w:rPr>
        <w:t>以便《公约》中呼吁的平等和不歧视原则能够在</w:t>
      </w:r>
      <w:r>
        <w:rPr>
          <w:rFonts w:eastAsia="KaiTi_GB2312" w:hint="eastAsia"/>
          <w:b/>
          <w:bCs/>
        </w:rPr>
        <w:t>法律领域以及公共政策和执法领域</w:t>
      </w:r>
      <w:r>
        <w:rPr>
          <w:rFonts w:hint="eastAsia"/>
        </w:rPr>
        <w:t>得到适当执行。</w:t>
      </w:r>
    </w:p>
    <w:p w:rsidR="00000000" w:rsidRDefault="004D2F83">
      <w:pPr>
        <w:pStyle w:val="Heading3"/>
        <w:numPr>
          <w:ilvl w:val="0"/>
          <w:numId w:val="0"/>
        </w:numPr>
        <w:rPr>
          <w:rFonts w:hint="eastAsia"/>
          <w:u w:val="none"/>
        </w:rPr>
      </w:pPr>
      <w:r>
        <w:br w:type="page"/>
      </w:r>
      <w:bookmarkStart w:id="23" w:name="_Toc36367093"/>
      <w:r>
        <w:rPr>
          <w:rFonts w:hint="eastAsia"/>
          <w:u w:val="none"/>
        </w:rPr>
        <w:t>文</w:t>
      </w:r>
      <w:r>
        <w:rPr>
          <w:rFonts w:hint="eastAsia"/>
          <w:u w:val="none"/>
        </w:rPr>
        <w:t>献目录</w:t>
      </w:r>
    </w:p>
    <w:p w:rsidR="00000000" w:rsidRDefault="004D2F83">
      <w:pPr>
        <w:rPr>
          <w:rFonts w:hint="eastAsia"/>
        </w:rPr>
      </w:pPr>
      <w:r>
        <w:rPr>
          <w:noProof/>
          <w:sz w:val="20"/>
        </w:rPr>
        <w:pict>
          <v:shapetype id="_x0000_t202" coordsize="21600,21600" o:spt="202" path="m,l,21600r21600,l21600,xe">
            <v:stroke joinstyle="miter"/>
            <v:path gradientshapeok="t" o:connecttype="rect"/>
          </v:shapetype>
          <v:shape id="_x0000_s1027" type="#_x0000_t202" style="position:absolute;left:0;text-align:left;margin-left:0;margin-top:-5.6pt;width:480pt;height:592.8pt;z-index:1" filled="f" stroked="f">
            <v:textbox>
              <w:txbxContent>
                <w:p w:rsidR="00000000" w:rsidRDefault="004D2F83">
                  <w:pPr>
                    <w:jc w:val="center"/>
                    <w:rPr>
                      <w:rFonts w:hint="eastAsia"/>
                    </w:rPr>
                  </w:pPr>
                  <w:r>
                    <w:pict>
                      <v:shape id="_x0000_i1026" type="#_x0000_t75" style="width:443.25pt;height:585pt">
                        <v:imagedata r:id="rId15" o:title=""/>
                      </v:shape>
                    </w:pict>
                  </w:r>
                </w:p>
                <w:p w:rsidR="00000000" w:rsidRDefault="004D2F83">
                  <w:pPr>
                    <w:rPr>
                      <w:rFonts w:hint="eastAsia"/>
                    </w:rPr>
                  </w:pPr>
                </w:p>
              </w:txbxContent>
            </v:textbox>
          </v:shape>
        </w:pict>
      </w:r>
    </w:p>
    <w:p w:rsidR="00000000" w:rsidRDefault="004D2F83">
      <w:pPr>
        <w:rPr>
          <w:rFonts w:hint="eastAsia"/>
        </w:rPr>
      </w:pPr>
    </w:p>
    <w:p w:rsidR="00000000" w:rsidRDefault="004D2F83">
      <w:pPr>
        <w:rPr>
          <w:rFonts w:hint="eastAsia"/>
        </w:rPr>
      </w:pPr>
    </w:p>
    <w:p w:rsidR="00000000" w:rsidRDefault="004D2F83">
      <w:pPr>
        <w:rPr>
          <w:rFonts w:hint="eastAsia"/>
        </w:rPr>
      </w:pPr>
    </w:p>
    <w:p w:rsidR="00000000" w:rsidRDefault="004D2F83">
      <w:pPr>
        <w:spacing w:line="360" w:lineRule="exact"/>
        <w:rPr>
          <w:rFonts w:hint="eastAsia"/>
        </w:rPr>
      </w:pPr>
      <w:r>
        <w:br w:type="page"/>
      </w:r>
    </w:p>
    <w:p w:rsidR="00000000" w:rsidRDefault="004D2F83">
      <w:pPr>
        <w:spacing w:line="360" w:lineRule="exact"/>
        <w:rPr>
          <w:rFonts w:hint="eastAsia"/>
        </w:rPr>
      </w:pPr>
      <w:r>
        <w:rPr>
          <w:noProof/>
          <w:sz w:val="20"/>
        </w:rPr>
        <w:pict>
          <v:shape id="_x0000_s1028" type="#_x0000_t202" style="position:absolute;left:0;text-align:left;margin-left:6pt;margin-top:-12.8pt;width:462pt;height:622.05pt;z-index:2" filled="f" stroked="f">
            <v:textbox>
              <w:txbxContent>
                <w:p w:rsidR="00000000" w:rsidRDefault="004D2F83">
                  <w:pPr>
                    <w:rPr>
                      <w:rFonts w:hint="eastAsia"/>
                    </w:rPr>
                  </w:pPr>
                  <w:r>
                    <w:pict>
                      <v:shape id="_x0000_i1027" type="#_x0000_t75" style="width:448.5pt;height:615pt">
                        <v:imagedata r:id="rId16" o:title=""/>
                      </v:shape>
                    </w:pict>
                  </w:r>
                </w:p>
                <w:p w:rsidR="00000000" w:rsidRDefault="004D2F83">
                  <w:pPr>
                    <w:rPr>
                      <w:rFonts w:hint="eastAsia"/>
                    </w:rPr>
                  </w:pPr>
                </w:p>
              </w:txbxContent>
            </v:textbox>
          </v:shape>
        </w:pict>
      </w:r>
    </w:p>
    <w:p w:rsidR="00000000" w:rsidRDefault="004D2F83">
      <w:pPr>
        <w:spacing w:line="360" w:lineRule="exact"/>
        <w:rPr>
          <w:rFonts w:hint="eastAsia"/>
        </w:rPr>
      </w:pPr>
    </w:p>
    <w:p w:rsidR="00000000" w:rsidRDefault="004D2F83">
      <w:pPr>
        <w:spacing w:line="360" w:lineRule="exact"/>
        <w:rPr>
          <w:rFonts w:hint="eastAsia"/>
        </w:rPr>
      </w:pPr>
    </w:p>
    <w:p w:rsidR="00000000" w:rsidRDefault="004D2F83">
      <w:pPr>
        <w:spacing w:line="360" w:lineRule="exact"/>
        <w:rPr>
          <w:rFonts w:hint="eastAsia"/>
        </w:rPr>
      </w:pPr>
    </w:p>
    <w:p w:rsidR="00000000" w:rsidRDefault="004D2F83">
      <w:pPr>
        <w:spacing w:line="360" w:lineRule="exact"/>
        <w:rPr>
          <w:rFonts w:hint="eastAsia"/>
        </w:rPr>
      </w:pPr>
      <w:r>
        <w:br w:type="page"/>
      </w:r>
    </w:p>
    <w:p w:rsidR="00000000" w:rsidRDefault="004D2F83">
      <w:pPr>
        <w:spacing w:line="360" w:lineRule="exact"/>
        <w:rPr>
          <w:rFonts w:hint="eastAsia"/>
        </w:rPr>
      </w:pPr>
      <w:r>
        <w:rPr>
          <w:noProof/>
          <w:sz w:val="20"/>
        </w:rPr>
        <w:pict>
          <v:shape id="_x0000_s1029" type="#_x0000_t202" style="position:absolute;left:0;text-align:left;margin-left:12pt;margin-top:-12.8pt;width:462pt;height:621.65pt;z-index:3" filled="f" stroked="f">
            <v:textbox>
              <w:txbxContent>
                <w:p w:rsidR="00000000" w:rsidRDefault="004D2F83">
                  <w:pPr>
                    <w:rPr>
                      <w:rFonts w:hint="eastAsia"/>
                    </w:rPr>
                  </w:pPr>
                  <w:r>
                    <w:pict>
                      <v:shape id="_x0000_i1028" type="#_x0000_t75" style="width:442.5pt;height:603pt">
                        <v:imagedata r:id="rId17" o:title=""/>
                      </v:shape>
                    </w:pict>
                  </w:r>
                </w:p>
                <w:p w:rsidR="00000000" w:rsidRDefault="004D2F83">
                  <w:pPr>
                    <w:rPr>
                      <w:rFonts w:hint="eastAsia"/>
                    </w:rPr>
                  </w:pPr>
                </w:p>
              </w:txbxContent>
            </v:textbox>
          </v:shape>
        </w:pict>
      </w:r>
    </w:p>
    <w:p w:rsidR="00000000" w:rsidRDefault="004D2F83">
      <w:pPr>
        <w:spacing w:line="360" w:lineRule="exact"/>
        <w:rPr>
          <w:rFonts w:hint="eastAsia"/>
        </w:rPr>
      </w:pPr>
      <w:r>
        <w:br w:type="page"/>
      </w:r>
    </w:p>
    <w:p w:rsidR="00000000" w:rsidRDefault="004D2F83">
      <w:pPr>
        <w:spacing w:line="360" w:lineRule="exact"/>
        <w:rPr>
          <w:rFonts w:hint="eastAsia"/>
        </w:rPr>
      </w:pPr>
      <w:r>
        <w:rPr>
          <w:noProof/>
          <w:sz w:val="20"/>
        </w:rPr>
        <w:pict>
          <v:shape id="_x0000_s1030" type="#_x0000_t202" style="position:absolute;left:0;text-align:left;margin-left:12pt;margin-top:-17.85pt;width:462pt;height:621.7pt;z-index:4" filled="f" stroked="f">
            <v:textbox>
              <w:txbxContent>
                <w:p w:rsidR="00000000" w:rsidRDefault="004D2F83">
                  <w:pPr>
                    <w:rPr>
                      <w:rFonts w:hint="eastAsia"/>
                    </w:rPr>
                  </w:pPr>
                  <w:r>
                    <w:pict>
                      <v:shape id="_x0000_i1029" type="#_x0000_t75" style="width:448.5pt;height:615pt">
                        <v:imagedata r:id="rId18" o:title=""/>
                      </v:shape>
                    </w:pict>
                  </w:r>
                </w:p>
                <w:p w:rsidR="00000000" w:rsidRDefault="004D2F83">
                  <w:pPr>
                    <w:rPr>
                      <w:rFonts w:hint="eastAsia"/>
                    </w:rPr>
                  </w:pPr>
                </w:p>
              </w:txbxContent>
            </v:textbox>
          </v:shape>
        </w:pict>
      </w:r>
    </w:p>
    <w:p w:rsidR="00000000" w:rsidRDefault="004D2F83">
      <w:pPr>
        <w:spacing w:line="360" w:lineRule="exact"/>
        <w:rPr>
          <w:rFonts w:hint="eastAsia"/>
        </w:rPr>
      </w:pPr>
      <w:r>
        <w:br w:type="page"/>
      </w:r>
    </w:p>
    <w:p w:rsidR="00000000" w:rsidRDefault="004D2F83">
      <w:pPr>
        <w:spacing w:line="360" w:lineRule="exact"/>
        <w:rPr>
          <w:rFonts w:hint="eastAsia"/>
        </w:rPr>
      </w:pPr>
      <w:r>
        <w:rPr>
          <w:noProof/>
          <w:sz w:val="20"/>
        </w:rPr>
        <w:pict>
          <v:shape id="_x0000_s1031" type="#_x0000_t202" style="position:absolute;left:0;text-align:left;margin-left:12pt;margin-top:-17.85pt;width:474pt;height:621.9pt;z-index:5" filled="f" stroked="f">
            <v:textbox>
              <w:txbxContent>
                <w:p w:rsidR="00000000" w:rsidRDefault="004D2F83">
                  <w:pPr>
                    <w:rPr>
                      <w:rFonts w:hint="eastAsia"/>
                    </w:rPr>
                  </w:pPr>
                  <w:r>
                    <w:pict>
                      <v:shape id="_x0000_i1030" type="#_x0000_t75" style="width:454.5pt;height:615pt">
                        <v:imagedata r:id="rId19" o:title=""/>
                      </v:shape>
                    </w:pict>
                  </w:r>
                </w:p>
                <w:p w:rsidR="00000000" w:rsidRDefault="004D2F83">
                  <w:pPr>
                    <w:rPr>
                      <w:rFonts w:hint="eastAsia"/>
                    </w:rPr>
                  </w:pPr>
                </w:p>
                <w:p w:rsidR="00000000" w:rsidRDefault="004D2F83">
                  <w:pPr>
                    <w:rPr>
                      <w:rFonts w:hint="eastAsia"/>
                    </w:rPr>
                  </w:pPr>
                </w:p>
              </w:txbxContent>
            </v:textbox>
          </v:shape>
        </w:pict>
      </w:r>
    </w:p>
    <w:p w:rsidR="00000000" w:rsidRDefault="004D2F83">
      <w:pPr>
        <w:spacing w:line="360" w:lineRule="exact"/>
        <w:rPr>
          <w:rFonts w:hint="eastAsia"/>
        </w:rPr>
      </w:pPr>
    </w:p>
    <w:p w:rsidR="00000000" w:rsidRDefault="004D2F83">
      <w:pPr>
        <w:spacing w:line="360" w:lineRule="exact"/>
        <w:rPr>
          <w:rFonts w:hint="eastAsia"/>
        </w:rPr>
      </w:pPr>
    </w:p>
    <w:p w:rsidR="00000000" w:rsidRDefault="004D2F83">
      <w:pPr>
        <w:spacing w:line="360" w:lineRule="exact"/>
        <w:rPr>
          <w:rFonts w:hint="eastAsia"/>
        </w:rPr>
      </w:pPr>
      <w:r>
        <w:br w:type="page"/>
      </w:r>
    </w:p>
    <w:p w:rsidR="00000000" w:rsidRDefault="004D2F83">
      <w:pPr>
        <w:spacing w:line="360" w:lineRule="exact"/>
        <w:rPr>
          <w:rFonts w:hint="eastAsia"/>
        </w:rPr>
      </w:pPr>
      <w:r>
        <w:rPr>
          <w:noProof/>
          <w:sz w:val="20"/>
        </w:rPr>
        <w:pict>
          <v:shape id="_x0000_s1032" type="#_x0000_t202" style="position:absolute;left:0;text-align:left;margin-left:12pt;margin-top:-17.85pt;width:468pt;height:622.05pt;z-index:6" filled="f" stroked="f">
            <v:textbox>
              <w:txbxContent>
                <w:p w:rsidR="00000000" w:rsidRDefault="004D2F83">
                  <w:pPr>
                    <w:rPr>
                      <w:rFonts w:hint="eastAsia"/>
                    </w:rPr>
                  </w:pPr>
                  <w:r>
                    <w:pict>
                      <v:shape id="_x0000_i1031" type="#_x0000_t75" style="width:448.5pt;height:615pt">
                        <v:imagedata r:id="rId20" o:title=""/>
                      </v:shape>
                    </w:pict>
                  </w:r>
                </w:p>
                <w:p w:rsidR="00000000" w:rsidRDefault="004D2F83">
                  <w:pPr>
                    <w:rPr>
                      <w:rFonts w:hint="eastAsia"/>
                    </w:rPr>
                  </w:pPr>
                </w:p>
              </w:txbxContent>
            </v:textbox>
          </v:shape>
        </w:pict>
      </w:r>
    </w:p>
    <w:p w:rsidR="00000000" w:rsidRDefault="004D2F83">
      <w:pPr>
        <w:spacing w:line="360" w:lineRule="exact"/>
        <w:rPr>
          <w:rFonts w:hint="eastAsia"/>
        </w:rPr>
      </w:pPr>
    </w:p>
    <w:p w:rsidR="00000000" w:rsidRDefault="004D2F83">
      <w:pPr>
        <w:spacing w:line="360" w:lineRule="exact"/>
        <w:rPr>
          <w:rFonts w:hint="eastAsia"/>
        </w:rPr>
      </w:pPr>
    </w:p>
    <w:p w:rsidR="00000000" w:rsidRDefault="004D2F83">
      <w:pPr>
        <w:spacing w:line="360" w:lineRule="exact"/>
        <w:rPr>
          <w:rFonts w:hint="eastAsia"/>
        </w:rPr>
      </w:pPr>
      <w:r>
        <w:br w:type="page"/>
      </w:r>
    </w:p>
    <w:p w:rsidR="00000000" w:rsidRDefault="004D2F83">
      <w:pPr>
        <w:spacing w:line="360" w:lineRule="exact"/>
        <w:rPr>
          <w:rFonts w:hint="eastAsia"/>
        </w:rPr>
      </w:pPr>
      <w:r>
        <w:rPr>
          <w:noProof/>
          <w:sz w:val="20"/>
        </w:rPr>
        <w:pict>
          <v:shape id="_x0000_s1033" type="#_x0000_t202" style="position:absolute;left:0;text-align:left;margin-left:12pt;margin-top:-17.85pt;width:468pt;height:621.65pt;z-index:7" filled="f" stroked="f">
            <v:textbox>
              <w:txbxContent>
                <w:p w:rsidR="00000000" w:rsidRDefault="004D2F83">
                  <w:pPr>
                    <w:rPr>
                      <w:rFonts w:hint="eastAsia"/>
                    </w:rPr>
                  </w:pPr>
                  <w:r>
                    <w:pict>
                      <v:shape id="_x0000_i1032" type="#_x0000_t75" style="width:448.5pt;height:613.5pt">
                        <v:imagedata r:id="rId21" o:title=""/>
                      </v:shape>
                    </w:pict>
                  </w:r>
                </w:p>
                <w:p w:rsidR="00000000" w:rsidRDefault="004D2F83">
                  <w:pPr>
                    <w:rPr>
                      <w:rFonts w:hint="eastAsia"/>
                    </w:rPr>
                  </w:pPr>
                </w:p>
              </w:txbxContent>
            </v:textbox>
          </v:shape>
        </w:pict>
      </w:r>
    </w:p>
    <w:p w:rsidR="00000000" w:rsidRDefault="004D2F83">
      <w:pPr>
        <w:spacing w:line="360" w:lineRule="exact"/>
        <w:rPr>
          <w:rFonts w:hint="eastAsia"/>
        </w:rPr>
      </w:pPr>
    </w:p>
    <w:p w:rsidR="00000000" w:rsidRDefault="004D2F83">
      <w:pPr>
        <w:spacing w:line="360" w:lineRule="exact"/>
        <w:rPr>
          <w:rFonts w:hint="eastAsia"/>
        </w:rPr>
      </w:pPr>
      <w:r>
        <w:br w:type="page"/>
      </w:r>
    </w:p>
    <w:p w:rsidR="00000000" w:rsidRDefault="004D2F83">
      <w:pPr>
        <w:spacing w:line="360" w:lineRule="exact"/>
        <w:rPr>
          <w:rFonts w:hint="eastAsia"/>
        </w:rPr>
      </w:pPr>
      <w:r>
        <w:rPr>
          <w:noProof/>
          <w:sz w:val="20"/>
        </w:rPr>
        <w:pict>
          <v:shape id="_x0000_s1034" type="#_x0000_t202" style="position:absolute;left:0;text-align:left;margin-left:12pt;margin-top:-17.85pt;width:468pt;height:622.05pt;z-index:8" filled="f" stroked="f">
            <v:textbox>
              <w:txbxContent>
                <w:p w:rsidR="00000000" w:rsidRDefault="004D2F83">
                  <w:pPr>
                    <w:rPr>
                      <w:rFonts w:hint="eastAsia"/>
                    </w:rPr>
                  </w:pPr>
                  <w:r>
                    <w:pict>
                      <v:shape id="_x0000_i1033" type="#_x0000_t75" style="width:448.5pt;height:615pt">
                        <v:imagedata r:id="rId22" o:title=""/>
                      </v:shape>
                    </w:pict>
                  </w:r>
                </w:p>
                <w:p w:rsidR="00000000" w:rsidRDefault="004D2F83">
                  <w:pPr>
                    <w:rPr>
                      <w:rFonts w:hint="eastAsia"/>
                    </w:rPr>
                  </w:pPr>
                </w:p>
              </w:txbxContent>
            </v:textbox>
          </v:shape>
        </w:pict>
      </w:r>
    </w:p>
    <w:p w:rsidR="00000000" w:rsidRDefault="004D2F83">
      <w:pPr>
        <w:spacing w:line="360" w:lineRule="exact"/>
        <w:rPr>
          <w:rFonts w:hint="eastAsia"/>
        </w:rPr>
      </w:pPr>
    </w:p>
    <w:p w:rsidR="00000000" w:rsidRDefault="004D2F83">
      <w:pPr>
        <w:spacing w:line="360" w:lineRule="exact"/>
        <w:rPr>
          <w:rFonts w:hint="eastAsia"/>
        </w:rPr>
      </w:pPr>
      <w:r>
        <w:br w:type="page"/>
      </w:r>
    </w:p>
    <w:p w:rsidR="00000000" w:rsidRDefault="004D2F83">
      <w:pPr>
        <w:spacing w:line="360" w:lineRule="exact"/>
        <w:rPr>
          <w:rFonts w:hint="eastAsia"/>
        </w:rPr>
      </w:pPr>
      <w:r>
        <w:rPr>
          <w:noProof/>
          <w:sz w:val="20"/>
        </w:rPr>
        <w:pict>
          <v:shape id="_x0000_s1035" type="#_x0000_t202" style="position:absolute;left:0;text-align:left;margin-left:12pt;margin-top:-17.85pt;width:474pt;height:621.7pt;z-index:9" filled="f" stroked="f">
            <v:textbox>
              <w:txbxContent>
                <w:p w:rsidR="00000000" w:rsidRDefault="004D2F83">
                  <w:pPr>
                    <w:rPr>
                      <w:rFonts w:hint="eastAsia"/>
                    </w:rPr>
                  </w:pPr>
                  <w:r>
                    <w:pict>
                      <v:shape id="_x0000_i1034" type="#_x0000_t75" style="width:454.5pt;height:615pt">
                        <v:imagedata r:id="rId23" o:title=""/>
                      </v:shape>
                    </w:pict>
                  </w:r>
                </w:p>
                <w:p w:rsidR="00000000" w:rsidRDefault="004D2F83">
                  <w:pPr>
                    <w:rPr>
                      <w:rFonts w:hint="eastAsia"/>
                    </w:rPr>
                  </w:pPr>
                </w:p>
              </w:txbxContent>
            </v:textbox>
          </v:shape>
        </w:pict>
      </w:r>
    </w:p>
    <w:p w:rsidR="00000000" w:rsidRDefault="004D2F83">
      <w:pPr>
        <w:spacing w:line="360" w:lineRule="exact"/>
      </w:pPr>
      <w:r>
        <w:br w:type="page"/>
        <w:t xml:space="preserve">THOMPSON. John B.(1995). </w:t>
      </w:r>
      <w:r>
        <w:rPr>
          <w:i/>
          <w:iCs/>
        </w:rPr>
        <w:t>Ideologia e Cultura de Massas</w:t>
      </w:r>
      <w:r>
        <w:t>. Petrópolis. Vozes.</w:t>
      </w:r>
    </w:p>
    <w:p w:rsidR="00000000" w:rsidRDefault="004D2F83">
      <w:pPr>
        <w:spacing w:line="360" w:lineRule="exact"/>
      </w:pPr>
      <w:r>
        <w:t xml:space="preserve">UNICEF(1991). </w:t>
      </w:r>
      <w:r>
        <w:rPr>
          <w:i/>
          <w:iCs/>
        </w:rPr>
        <w:t>The girl child</w:t>
      </w:r>
      <w:r>
        <w:t>: na investment in the future. New York. UNICEF.</w:t>
      </w:r>
    </w:p>
    <w:p w:rsidR="00000000" w:rsidRDefault="004D2F83">
      <w:pPr>
        <w:spacing w:after="240" w:line="360" w:lineRule="exact"/>
      </w:pPr>
      <w:r>
        <w:t>(revised edition).</w:t>
      </w:r>
    </w:p>
    <w:p w:rsidR="00000000" w:rsidRDefault="004D2F83">
      <w:pPr>
        <w:spacing w:after="120" w:line="360" w:lineRule="exact"/>
        <w:rPr>
          <w:rFonts w:ascii="SimHei" w:eastAsia="SimHei" w:hint="eastAsia"/>
          <w:sz w:val="24"/>
        </w:rPr>
      </w:pPr>
      <w:r>
        <w:rPr>
          <w:rFonts w:ascii="SimHei" w:eastAsia="SimHei" w:hint="eastAsia"/>
          <w:sz w:val="24"/>
        </w:rPr>
        <w:t>因特网网址：</w:t>
      </w:r>
    </w:p>
    <w:p w:rsidR="00000000" w:rsidRDefault="004D2F83">
      <w:pPr>
        <w:spacing w:after="120" w:line="360" w:lineRule="exact"/>
      </w:pPr>
      <w:hyperlink r:id="rId24" w:history="1">
        <w:r>
          <w:rPr>
            <w:rStyle w:val="Hyperlink"/>
          </w:rPr>
          <w:t>www.camara.gov.br/ritacamata</w:t>
        </w:r>
      </w:hyperlink>
    </w:p>
    <w:p w:rsidR="00000000" w:rsidRDefault="004D2F83">
      <w:pPr>
        <w:spacing w:after="120" w:line="360" w:lineRule="exact"/>
      </w:pPr>
      <w:hyperlink r:id="rId25" w:history="1">
        <w:r>
          <w:rPr>
            <w:rStyle w:val="Hyperlink"/>
          </w:rPr>
          <w:t>www.casarcnascer.org.br</w:t>
        </w:r>
      </w:hyperlink>
    </w:p>
    <w:p w:rsidR="00000000" w:rsidRDefault="004D2F83">
      <w:pPr>
        <w:spacing w:after="120" w:line="360" w:lineRule="exact"/>
      </w:pPr>
      <w:hyperlink r:id="rId26" w:history="1">
        <w:r>
          <w:rPr>
            <w:rStyle w:val="Hyperlink"/>
          </w:rPr>
          <w:t>www.cccria.org.br</w:t>
        </w:r>
      </w:hyperlink>
    </w:p>
    <w:p w:rsidR="00000000" w:rsidRDefault="004D2F83">
      <w:pPr>
        <w:spacing w:after="120" w:line="360" w:lineRule="exact"/>
      </w:pPr>
      <w:hyperlink r:id="rId27" w:history="1">
        <w:r>
          <w:rPr>
            <w:rStyle w:val="Hyperlink"/>
          </w:rPr>
          <w:t>www.cfemea.org.br</w:t>
        </w:r>
      </w:hyperlink>
    </w:p>
    <w:p w:rsidR="00000000" w:rsidRDefault="004D2F83">
      <w:pPr>
        <w:spacing w:after="120" w:line="360" w:lineRule="exact"/>
      </w:pPr>
      <w:hyperlink r:id="rId28" w:history="1">
        <w:r>
          <w:rPr>
            <w:rStyle w:val="Hyperlink"/>
          </w:rPr>
          <w:t>www.ipea.gov.br</w:t>
        </w:r>
      </w:hyperlink>
    </w:p>
    <w:p w:rsidR="00000000" w:rsidRDefault="004D2F83">
      <w:pPr>
        <w:spacing w:after="120" w:line="360" w:lineRule="exact"/>
      </w:pPr>
      <w:hyperlink r:id="rId29" w:history="1">
        <w:r>
          <w:rPr>
            <w:rStyle w:val="Hyperlink"/>
          </w:rPr>
          <w:t>www.mda.gov.br/mulher</w:t>
        </w:r>
      </w:hyperlink>
    </w:p>
    <w:p w:rsidR="00000000" w:rsidRDefault="004D2F83">
      <w:pPr>
        <w:spacing w:after="120" w:line="360" w:lineRule="exact"/>
      </w:pPr>
      <w:hyperlink r:id="rId30" w:history="1">
        <w:r>
          <w:rPr>
            <w:rStyle w:val="Hyperlink"/>
          </w:rPr>
          <w:t>www.mj.gov.br/sedh.cndm</w:t>
        </w:r>
      </w:hyperlink>
    </w:p>
    <w:p w:rsidR="00000000" w:rsidRDefault="004D2F83">
      <w:pPr>
        <w:spacing w:after="120" w:line="360" w:lineRule="exact"/>
      </w:pPr>
      <w:hyperlink r:id="rId31" w:history="1">
        <w:r>
          <w:rPr>
            <w:rStyle w:val="Hyperlink"/>
          </w:rPr>
          <w:t>www.planejamento.gov.b</w:t>
        </w:r>
        <w:r>
          <w:rPr>
            <w:rStyle w:val="Hyperlink"/>
          </w:rPr>
          <w:t>r</w:t>
        </w:r>
      </w:hyperlink>
    </w:p>
    <w:p w:rsidR="00000000" w:rsidRDefault="004D2F83">
      <w:pPr>
        <w:spacing w:after="120" w:line="360" w:lineRule="exact"/>
      </w:pPr>
      <w:hyperlink r:id="rId32" w:history="1">
        <w:r>
          <w:rPr>
            <w:rStyle w:val="Hyperlink"/>
          </w:rPr>
          <w:t>www.redegoverno.gov.br/mulhergoverno</w:t>
        </w:r>
      </w:hyperlink>
    </w:p>
    <w:p w:rsidR="00000000" w:rsidRDefault="004D2F83">
      <w:pPr>
        <w:spacing w:after="240" w:line="360" w:lineRule="exact"/>
      </w:pPr>
      <w:hyperlink r:id="rId33" w:history="1">
        <w:r>
          <w:rPr>
            <w:rStyle w:val="Hyperlink"/>
          </w:rPr>
          <w:t>www.saude.gov.br</w:t>
        </w:r>
      </w:hyperlink>
    </w:p>
    <w:p w:rsidR="00000000" w:rsidRDefault="004D2F83">
      <w:pPr>
        <w:spacing w:after="240" w:line="360" w:lineRule="exact"/>
      </w:pPr>
      <w:r>
        <w:t>YANNOULAS. Silivia C.Notas para a integraçào do enfoque de gênero na educaçào profissional. In: V</w:t>
      </w:r>
      <w:r>
        <w:t>ogel, Arno(org.). Trabalhando com a diversidade no PLANFOR: reça/cor, gênero e pessoas portadoras de necessidades especiais. Sào Paulo: Editora UNESP; Brasília, DF.:FLCASO do Brasil, 2001.</w:t>
      </w:r>
    </w:p>
    <w:p w:rsidR="00000000" w:rsidRDefault="004D2F83">
      <w:pPr>
        <w:spacing w:after="120" w:line="360" w:lineRule="exact"/>
        <w:rPr>
          <w:rFonts w:ascii="SimHei" w:eastAsia="SimHei" w:hint="eastAsia"/>
          <w:sz w:val="24"/>
        </w:rPr>
      </w:pPr>
      <w:r>
        <w:rPr>
          <w:rFonts w:ascii="SimHei" w:eastAsia="SimHei" w:hint="eastAsia"/>
          <w:sz w:val="24"/>
        </w:rPr>
        <w:t>总协调和修订机构</w:t>
      </w:r>
    </w:p>
    <w:p w:rsidR="00000000" w:rsidRDefault="004D2F83">
      <w:pPr>
        <w:spacing w:after="240" w:line="360" w:lineRule="exact"/>
        <w:rPr>
          <w:rFonts w:hint="eastAsia"/>
        </w:rPr>
      </w:pPr>
      <w:r>
        <w:rPr>
          <w:rFonts w:hint="eastAsia"/>
        </w:rPr>
        <w:t>外交部</w:t>
      </w:r>
    </w:p>
    <w:p w:rsidR="00000000" w:rsidRDefault="004D2F83">
      <w:pPr>
        <w:spacing w:after="240" w:line="360" w:lineRule="exact"/>
        <w:rPr>
          <w:rFonts w:ascii="SimHei" w:eastAsia="SimHei" w:hint="eastAsia"/>
          <w:sz w:val="24"/>
        </w:rPr>
      </w:pPr>
      <w:r>
        <w:rPr>
          <w:rFonts w:ascii="SimHei" w:eastAsia="SimHei" w:hint="eastAsia"/>
          <w:sz w:val="24"/>
        </w:rPr>
        <w:t>负责小组</w:t>
      </w:r>
    </w:p>
    <w:p w:rsidR="00000000" w:rsidRDefault="004D2F83">
      <w:pPr>
        <w:spacing w:after="240" w:line="360" w:lineRule="exact"/>
        <w:rPr>
          <w:rFonts w:ascii="SimHei" w:eastAsia="SimHei" w:hint="eastAsia"/>
          <w:sz w:val="24"/>
        </w:rPr>
      </w:pPr>
      <w:r>
        <w:rPr>
          <w:rFonts w:ascii="SimHei" w:eastAsia="SimHei" w:hint="eastAsia"/>
          <w:sz w:val="24"/>
        </w:rPr>
        <w:t>组织和民间团体</w:t>
      </w:r>
    </w:p>
    <w:p w:rsidR="00000000" w:rsidRDefault="004D2F83">
      <w:pPr>
        <w:spacing w:after="240" w:line="360" w:lineRule="exact"/>
        <w:rPr>
          <w:rFonts w:hint="eastAsia"/>
        </w:rPr>
      </w:pPr>
      <w:r>
        <w:rPr>
          <w:rFonts w:hint="eastAsia"/>
        </w:rPr>
        <w:t>人权事务公民宣传组织；争取两性平等、公民资格和发展行动；公民、研究、调查、信息中心；妇女运动研究和咨询中心；拉加妇权会；黑人妇女研究所；圣保罗大学暴力问题研究中心；法律咨询与性别问题研究所</w:t>
      </w:r>
    </w:p>
    <w:p w:rsidR="00000000" w:rsidRDefault="004D2F83">
      <w:pPr>
        <w:spacing w:after="120" w:line="360" w:lineRule="exact"/>
        <w:rPr>
          <w:rFonts w:ascii="SimHei" w:eastAsia="SimHei" w:hint="eastAsia"/>
          <w:sz w:val="24"/>
        </w:rPr>
      </w:pPr>
    </w:p>
    <w:p w:rsidR="00000000" w:rsidRDefault="004D2F83">
      <w:pPr>
        <w:spacing w:after="120" w:line="360" w:lineRule="exact"/>
        <w:rPr>
          <w:rFonts w:ascii="SimHei" w:eastAsia="SimHei" w:hint="eastAsia"/>
          <w:sz w:val="24"/>
        </w:rPr>
      </w:pPr>
      <w:r>
        <w:rPr>
          <w:rFonts w:ascii="SimHei" w:eastAsia="SimHei" w:hint="eastAsia"/>
          <w:sz w:val="24"/>
        </w:rPr>
        <w:t>协调</w:t>
      </w:r>
    </w:p>
    <w:p w:rsidR="00000000" w:rsidRDefault="004D2F83">
      <w:pPr>
        <w:spacing w:after="240" w:line="360" w:lineRule="exact"/>
        <w:rPr>
          <w:rFonts w:hint="eastAsia"/>
        </w:rPr>
      </w:pPr>
      <w:r>
        <w:rPr>
          <w:i/>
          <w:iCs/>
        </w:rPr>
        <w:t>Flavia Piovesan</w:t>
      </w:r>
      <w:r>
        <w:t>-</w:t>
      </w:r>
      <w:r>
        <w:rPr>
          <w:rFonts w:hint="eastAsia"/>
        </w:rPr>
        <w:t>拉加妇权会</w:t>
      </w:r>
    </w:p>
    <w:p w:rsidR="00000000" w:rsidRDefault="004D2F83">
      <w:pPr>
        <w:spacing w:after="240" w:line="360" w:lineRule="exact"/>
        <w:rPr>
          <w:rFonts w:hint="eastAsia"/>
        </w:rPr>
      </w:pPr>
      <w:r>
        <w:rPr>
          <w:i/>
          <w:iCs/>
        </w:rPr>
        <w:t>Silvia Pimentel</w:t>
      </w:r>
      <w:r>
        <w:t>-</w:t>
      </w:r>
      <w:r>
        <w:rPr>
          <w:rFonts w:hint="eastAsia"/>
        </w:rPr>
        <w:t>拉加妇权会促进平等研究所</w:t>
      </w:r>
    </w:p>
    <w:p w:rsidR="00000000" w:rsidRDefault="004D2F83">
      <w:pPr>
        <w:spacing w:after="240" w:line="360" w:lineRule="exact"/>
        <w:rPr>
          <w:rFonts w:eastAsia="SimHei" w:hint="eastAsia"/>
          <w:sz w:val="24"/>
        </w:rPr>
      </w:pPr>
      <w:r>
        <w:rPr>
          <w:rFonts w:eastAsia="SimHei" w:hint="eastAsia"/>
          <w:sz w:val="24"/>
        </w:rPr>
        <w:t>执行机构和人员</w:t>
      </w:r>
    </w:p>
    <w:p w:rsidR="00000000" w:rsidRDefault="004D2F83">
      <w:pPr>
        <w:spacing w:line="360" w:lineRule="exact"/>
        <w:rPr>
          <w:rFonts w:hint="eastAsia"/>
        </w:rPr>
      </w:pPr>
      <w:r>
        <w:rPr>
          <w:rFonts w:hint="eastAsia"/>
        </w:rPr>
        <w:t>ADVOCACI-</w:t>
      </w:r>
      <w:r>
        <w:rPr>
          <w:rFonts w:hint="eastAsia"/>
        </w:rPr>
        <w:t>人权事务公民宣传组织</w:t>
      </w:r>
    </w:p>
    <w:p w:rsidR="00000000" w:rsidRDefault="004D2F83">
      <w:pPr>
        <w:spacing w:after="120" w:line="360" w:lineRule="exact"/>
        <w:rPr>
          <w:i/>
          <w:iCs/>
        </w:rPr>
      </w:pPr>
      <w:r>
        <w:rPr>
          <w:rFonts w:hint="eastAsia"/>
          <w:i/>
          <w:iCs/>
        </w:rPr>
        <w:t>B</w:t>
      </w:r>
      <w:r>
        <w:rPr>
          <w:i/>
          <w:iCs/>
        </w:rPr>
        <w:t>eatriz Galli</w:t>
      </w:r>
    </w:p>
    <w:p w:rsidR="00000000" w:rsidRDefault="004D2F83">
      <w:pPr>
        <w:pStyle w:val="Heading5"/>
      </w:pPr>
      <w:r>
        <w:t>Miriam Ventura da Silva</w:t>
      </w:r>
    </w:p>
    <w:p w:rsidR="00000000" w:rsidRDefault="004D2F83">
      <w:pPr>
        <w:spacing w:line="360" w:lineRule="exact"/>
        <w:rPr>
          <w:rFonts w:hint="eastAsia"/>
        </w:rPr>
      </w:pPr>
    </w:p>
    <w:p w:rsidR="00000000" w:rsidRDefault="004D2F83">
      <w:pPr>
        <w:spacing w:line="360" w:lineRule="exact"/>
        <w:rPr>
          <w:rFonts w:hint="eastAsia"/>
        </w:rPr>
      </w:pPr>
      <w:r>
        <w:t>AGENDE-</w:t>
      </w:r>
      <w:r>
        <w:rPr>
          <w:rFonts w:hint="eastAsia"/>
        </w:rPr>
        <w:t>争取两性平等</w:t>
      </w:r>
      <w:r>
        <w:rPr>
          <w:rFonts w:hint="eastAsia"/>
        </w:rPr>
        <w:t>、公民资格和发展行动</w:t>
      </w:r>
    </w:p>
    <w:p w:rsidR="00000000" w:rsidRDefault="004D2F83">
      <w:pPr>
        <w:spacing w:line="360" w:lineRule="exact"/>
        <w:rPr>
          <w:i/>
          <w:iCs/>
        </w:rPr>
      </w:pPr>
      <w:r>
        <w:rPr>
          <w:rFonts w:hint="eastAsia"/>
          <w:i/>
          <w:iCs/>
        </w:rPr>
        <w:t>A</w:t>
      </w:r>
      <w:r>
        <w:rPr>
          <w:i/>
          <w:iCs/>
        </w:rPr>
        <w:t>ndréa Mesquita de Menezes</w:t>
      </w:r>
    </w:p>
    <w:p w:rsidR="00000000" w:rsidRDefault="004D2F83">
      <w:pPr>
        <w:spacing w:line="360" w:lineRule="exact"/>
        <w:rPr>
          <w:i/>
          <w:iCs/>
        </w:rPr>
      </w:pPr>
      <w:r>
        <w:rPr>
          <w:i/>
          <w:iCs/>
        </w:rPr>
        <w:t>Marlene Libardoni</w:t>
      </w:r>
    </w:p>
    <w:p w:rsidR="00000000" w:rsidRDefault="004D2F83">
      <w:pPr>
        <w:spacing w:after="240" w:line="360" w:lineRule="exact"/>
        <w:rPr>
          <w:i/>
          <w:iCs/>
        </w:rPr>
      </w:pPr>
      <w:r>
        <w:rPr>
          <w:i/>
          <w:iCs/>
        </w:rPr>
        <w:t>Mireya Suarez</w:t>
      </w:r>
    </w:p>
    <w:p w:rsidR="00000000" w:rsidRDefault="004D2F83">
      <w:pPr>
        <w:spacing w:line="360" w:lineRule="exact"/>
        <w:rPr>
          <w:rFonts w:hint="eastAsia"/>
        </w:rPr>
      </w:pPr>
      <w:r>
        <w:t>CEPIA-</w:t>
      </w:r>
      <w:r>
        <w:rPr>
          <w:rFonts w:hint="eastAsia"/>
        </w:rPr>
        <w:t>公民、研究、调查、信息中心</w:t>
      </w:r>
    </w:p>
    <w:p w:rsidR="00000000" w:rsidRDefault="004D2F83">
      <w:pPr>
        <w:pStyle w:val="Heading5"/>
        <w:spacing w:after="240"/>
      </w:pPr>
      <w:r>
        <w:t>Leila Linhares Barsted</w:t>
      </w:r>
    </w:p>
    <w:p w:rsidR="00000000" w:rsidRDefault="004D2F83">
      <w:pPr>
        <w:spacing w:line="360" w:lineRule="exact"/>
        <w:rPr>
          <w:rFonts w:hint="eastAsia"/>
        </w:rPr>
      </w:pPr>
      <w:r>
        <w:t>CFEMEA-</w:t>
      </w:r>
      <w:r>
        <w:rPr>
          <w:rFonts w:hint="eastAsia"/>
        </w:rPr>
        <w:t>女权运动研究和咨询中心</w:t>
      </w:r>
    </w:p>
    <w:p w:rsidR="00000000" w:rsidRDefault="004D2F83">
      <w:pPr>
        <w:spacing w:line="360" w:lineRule="exact"/>
        <w:rPr>
          <w:i/>
          <w:iCs/>
        </w:rPr>
      </w:pPr>
      <w:r>
        <w:rPr>
          <w:i/>
          <w:iCs/>
        </w:rPr>
        <w:t>Almira Correia de Caldas Rodrigues</w:t>
      </w:r>
    </w:p>
    <w:p w:rsidR="00000000" w:rsidRDefault="004D2F83">
      <w:pPr>
        <w:spacing w:line="360" w:lineRule="exact"/>
        <w:rPr>
          <w:i/>
          <w:iCs/>
        </w:rPr>
      </w:pPr>
      <w:r>
        <w:rPr>
          <w:i/>
          <w:iCs/>
        </w:rPr>
        <w:t>Fabiana Zamora</w:t>
      </w:r>
    </w:p>
    <w:p w:rsidR="00000000" w:rsidRDefault="004D2F83">
      <w:pPr>
        <w:spacing w:after="240" w:line="360" w:lineRule="exact"/>
        <w:rPr>
          <w:i/>
          <w:iCs/>
        </w:rPr>
      </w:pPr>
      <w:r>
        <w:rPr>
          <w:i/>
          <w:iCs/>
        </w:rPr>
        <w:t>Sônia Malheiros Miguel</w:t>
      </w:r>
    </w:p>
    <w:p w:rsidR="00000000" w:rsidRDefault="004D2F83">
      <w:pPr>
        <w:spacing w:line="360" w:lineRule="exact"/>
        <w:rPr>
          <w:rFonts w:hint="eastAsia"/>
        </w:rPr>
      </w:pPr>
      <w:r>
        <w:t>CLADEM-</w:t>
      </w:r>
      <w:r>
        <w:rPr>
          <w:rFonts w:hint="eastAsia"/>
        </w:rPr>
        <w:t>拉丁美洲和加勒比保卫妇女权利委员会（拉加妇权会）</w:t>
      </w:r>
    </w:p>
    <w:p w:rsidR="00000000" w:rsidRDefault="004D2F83">
      <w:pPr>
        <w:spacing w:line="360" w:lineRule="exact"/>
        <w:rPr>
          <w:i/>
          <w:iCs/>
        </w:rPr>
      </w:pPr>
      <w:r>
        <w:rPr>
          <w:rFonts w:hint="eastAsia"/>
          <w:i/>
          <w:iCs/>
        </w:rPr>
        <w:t>F</w:t>
      </w:r>
      <w:r>
        <w:rPr>
          <w:i/>
          <w:iCs/>
        </w:rPr>
        <w:t>lavia Piovesan</w:t>
      </w:r>
    </w:p>
    <w:p w:rsidR="00000000" w:rsidRDefault="004D2F83">
      <w:pPr>
        <w:spacing w:line="360" w:lineRule="exact"/>
        <w:rPr>
          <w:i/>
          <w:iCs/>
        </w:rPr>
      </w:pPr>
      <w:r>
        <w:rPr>
          <w:i/>
          <w:iCs/>
        </w:rPr>
        <w:t>Let</w:t>
      </w:r>
      <w:r>
        <w:rPr>
          <w:i/>
          <w:iCs/>
        </w:rPr>
        <w:t>ícia Massula</w:t>
      </w:r>
    </w:p>
    <w:p w:rsidR="00000000" w:rsidRDefault="004D2F83">
      <w:pPr>
        <w:spacing w:after="240" w:line="360" w:lineRule="exact"/>
        <w:rPr>
          <w:rFonts w:hint="eastAsia"/>
        </w:rPr>
      </w:pPr>
      <w:r>
        <w:rPr>
          <w:i/>
          <w:iCs/>
        </w:rPr>
        <w:t>Silvia Pimentel</w:t>
      </w:r>
      <w:r>
        <w:t xml:space="preserve"> (</w:t>
      </w:r>
      <w:r>
        <w:rPr>
          <w:rFonts w:hint="eastAsia"/>
        </w:rPr>
        <w:t>拉加妇权会</w:t>
      </w:r>
      <w:r>
        <w:t>/</w:t>
      </w:r>
      <w:r>
        <w:rPr>
          <w:rFonts w:hint="eastAsia"/>
        </w:rPr>
        <w:t>促进平等研究所</w:t>
      </w:r>
      <w:r>
        <w:rPr>
          <w:rFonts w:hint="eastAsia"/>
        </w:rPr>
        <w:t>)</w:t>
      </w:r>
    </w:p>
    <w:p w:rsidR="00000000" w:rsidRDefault="004D2F83">
      <w:pPr>
        <w:spacing w:after="240" w:line="360" w:lineRule="exact"/>
        <w:rPr>
          <w:rFonts w:hint="eastAsia"/>
        </w:rPr>
      </w:pPr>
      <w:r>
        <w:rPr>
          <w:i/>
          <w:iCs/>
        </w:rPr>
        <w:t>Valéria Pandjiarjian</w:t>
      </w:r>
      <w:r>
        <w:t>（</w:t>
      </w:r>
      <w:r>
        <w:rPr>
          <w:rFonts w:hint="eastAsia"/>
        </w:rPr>
        <w:t>拉加妇权会</w:t>
      </w:r>
      <w:r>
        <w:t>/</w:t>
      </w:r>
      <w:r>
        <w:rPr>
          <w:rFonts w:hint="eastAsia"/>
        </w:rPr>
        <w:t>促进平等研究所）</w:t>
      </w:r>
    </w:p>
    <w:p w:rsidR="00000000" w:rsidRDefault="004D2F83">
      <w:pPr>
        <w:spacing w:line="360" w:lineRule="exact"/>
        <w:rPr>
          <w:rFonts w:hint="eastAsia"/>
        </w:rPr>
      </w:pPr>
      <w:r>
        <w:rPr>
          <w:rFonts w:hint="eastAsia"/>
        </w:rPr>
        <w:t>GELED</w:t>
      </w:r>
      <w:r>
        <w:t>É</w:t>
      </w:r>
      <w:r>
        <w:rPr>
          <w:rFonts w:hint="eastAsia"/>
        </w:rPr>
        <w:t>S-</w:t>
      </w:r>
      <w:r>
        <w:rPr>
          <w:rFonts w:hint="eastAsia"/>
        </w:rPr>
        <w:t>黑人妇女研究所</w:t>
      </w:r>
    </w:p>
    <w:p w:rsidR="00000000" w:rsidRDefault="004D2F83">
      <w:pPr>
        <w:spacing w:after="240" w:line="360" w:lineRule="exact"/>
        <w:rPr>
          <w:i/>
          <w:iCs/>
        </w:rPr>
      </w:pPr>
      <w:r>
        <w:rPr>
          <w:i/>
          <w:iCs/>
        </w:rPr>
        <w:t>Lucila Bandeira Beato</w:t>
      </w:r>
    </w:p>
    <w:p w:rsidR="00000000" w:rsidRDefault="004D2F83">
      <w:pPr>
        <w:spacing w:line="360" w:lineRule="exact"/>
        <w:rPr>
          <w:rFonts w:hint="eastAsia"/>
        </w:rPr>
      </w:pPr>
      <w:r>
        <w:t>NEV-</w:t>
      </w:r>
      <w:r>
        <w:rPr>
          <w:rFonts w:hint="eastAsia"/>
        </w:rPr>
        <w:t>圣保罗大学暴力问题研究中心</w:t>
      </w:r>
    </w:p>
    <w:p w:rsidR="00000000" w:rsidRDefault="004D2F83">
      <w:pPr>
        <w:spacing w:after="240" w:line="360" w:lineRule="exact"/>
        <w:rPr>
          <w:i/>
          <w:iCs/>
        </w:rPr>
      </w:pPr>
      <w:r>
        <w:rPr>
          <w:rFonts w:hint="eastAsia"/>
          <w:i/>
          <w:iCs/>
        </w:rPr>
        <w:t>W</w:t>
      </w:r>
      <w:r>
        <w:rPr>
          <w:i/>
          <w:iCs/>
        </w:rPr>
        <w:t>ânia Izumino</w:t>
      </w:r>
    </w:p>
    <w:p w:rsidR="00000000" w:rsidRDefault="004D2F83">
      <w:pPr>
        <w:spacing w:line="360" w:lineRule="exact"/>
        <w:rPr>
          <w:rFonts w:hint="eastAsia"/>
        </w:rPr>
      </w:pPr>
      <w:r>
        <w:t>THEMIS-</w:t>
      </w:r>
      <w:r>
        <w:rPr>
          <w:rFonts w:hint="eastAsia"/>
        </w:rPr>
        <w:t>法律咨询与性别问题研究所</w:t>
      </w:r>
    </w:p>
    <w:p w:rsidR="00000000" w:rsidRDefault="004D2F83">
      <w:pPr>
        <w:spacing w:line="360" w:lineRule="exact"/>
        <w:rPr>
          <w:i/>
          <w:iCs/>
        </w:rPr>
      </w:pPr>
      <w:r>
        <w:rPr>
          <w:i/>
          <w:iCs/>
        </w:rPr>
        <w:t>Samantha Buglione</w:t>
      </w:r>
    </w:p>
    <w:p w:rsidR="00000000" w:rsidRDefault="004D2F83">
      <w:pPr>
        <w:spacing w:after="240" w:line="360" w:lineRule="exact"/>
        <w:rPr>
          <w:i/>
          <w:iCs/>
        </w:rPr>
      </w:pPr>
      <w:r>
        <w:rPr>
          <w:i/>
          <w:iCs/>
        </w:rPr>
        <w:t>Virginia Feix</w:t>
      </w:r>
    </w:p>
    <w:p w:rsidR="00000000" w:rsidRDefault="004D2F83">
      <w:pPr>
        <w:spacing w:line="360" w:lineRule="exact"/>
        <w:rPr>
          <w:rFonts w:hint="eastAsia"/>
        </w:rPr>
      </w:pPr>
      <w:r>
        <w:rPr>
          <w:i/>
          <w:iCs/>
        </w:rPr>
        <w:t>Cristina Bruschini</w:t>
      </w:r>
      <w:r>
        <w:t>-Carlos Chagas</w:t>
      </w:r>
      <w:r>
        <w:rPr>
          <w:rFonts w:hint="eastAsia"/>
        </w:rPr>
        <w:t>基金会</w:t>
      </w:r>
    </w:p>
    <w:p w:rsidR="00000000" w:rsidRDefault="004D2F83">
      <w:pPr>
        <w:spacing w:line="360" w:lineRule="exact"/>
        <w:rPr>
          <w:rFonts w:hint="eastAsia"/>
        </w:rPr>
      </w:pPr>
      <w:r>
        <w:rPr>
          <w:i/>
          <w:iCs/>
        </w:rPr>
        <w:t>Fúlvia Rosemberg</w:t>
      </w:r>
      <w:r>
        <w:t>-</w:t>
      </w:r>
      <w:r>
        <w:t>Carlos Chagas</w:t>
      </w:r>
      <w:r>
        <w:rPr>
          <w:rFonts w:hint="eastAsia"/>
        </w:rPr>
        <w:t>基金会</w:t>
      </w:r>
    </w:p>
    <w:p w:rsidR="00000000" w:rsidRDefault="004D2F83">
      <w:pPr>
        <w:spacing w:line="360" w:lineRule="exact"/>
        <w:rPr>
          <w:rFonts w:hint="eastAsia"/>
        </w:rPr>
      </w:pPr>
      <w:r>
        <w:rPr>
          <w:rFonts w:hint="eastAsia"/>
          <w:i/>
          <w:iCs/>
        </w:rPr>
        <w:t>S</w:t>
      </w:r>
      <w:r>
        <w:rPr>
          <w:i/>
          <w:iCs/>
        </w:rPr>
        <w:t>andra G. Unbehaum</w:t>
      </w:r>
      <w:r>
        <w:t>-Carlos Chagas</w:t>
      </w:r>
      <w:r>
        <w:rPr>
          <w:rFonts w:hint="eastAsia"/>
        </w:rPr>
        <w:t>基金会</w:t>
      </w:r>
    </w:p>
    <w:p w:rsidR="00000000" w:rsidRDefault="004D2F83">
      <w:pPr>
        <w:spacing w:line="360" w:lineRule="exact"/>
        <w:rPr>
          <w:rFonts w:hint="eastAsia"/>
        </w:rPr>
      </w:pPr>
      <w:r>
        <w:rPr>
          <w:i/>
          <w:iCs/>
        </w:rPr>
        <w:t>Maria das Neves Araújo</w:t>
      </w:r>
      <w:r>
        <w:t>-</w:t>
      </w:r>
      <w:r>
        <w:rPr>
          <w:rFonts w:hint="eastAsia"/>
        </w:rPr>
        <w:t>司法部</w:t>
      </w:r>
    </w:p>
    <w:p w:rsidR="00000000" w:rsidRDefault="004D2F83">
      <w:pPr>
        <w:spacing w:after="120" w:line="360" w:lineRule="exact"/>
        <w:rPr>
          <w:rFonts w:hint="eastAsia"/>
        </w:rPr>
      </w:pPr>
      <w:r>
        <w:rPr>
          <w:i/>
          <w:iCs/>
        </w:rPr>
        <w:t>Mônica de Melo</w:t>
      </w:r>
      <w:r>
        <w:t>-</w:t>
      </w:r>
      <w:r>
        <w:rPr>
          <w:rFonts w:hint="eastAsia"/>
        </w:rPr>
        <w:t>妇女权利问题讲习班</w:t>
      </w:r>
    </w:p>
    <w:p w:rsidR="00000000" w:rsidRDefault="004D2F83">
      <w:pPr>
        <w:spacing w:after="120" w:line="360" w:lineRule="exact"/>
        <w:rPr>
          <w:rFonts w:ascii="SimHei" w:eastAsia="SimHei" w:hint="eastAsia"/>
          <w:sz w:val="24"/>
        </w:rPr>
      </w:pPr>
    </w:p>
    <w:p w:rsidR="00000000" w:rsidRDefault="004D2F83">
      <w:pPr>
        <w:spacing w:after="120" w:line="360" w:lineRule="exact"/>
        <w:rPr>
          <w:rFonts w:ascii="SimHei" w:eastAsia="SimHei" w:hint="eastAsia"/>
          <w:sz w:val="24"/>
        </w:rPr>
      </w:pPr>
      <w:r>
        <w:rPr>
          <w:rFonts w:ascii="SimHei" w:eastAsia="SimHei" w:hint="eastAsia"/>
          <w:sz w:val="24"/>
        </w:rPr>
        <w:t>系统化委员会</w:t>
      </w:r>
    </w:p>
    <w:p w:rsidR="00000000" w:rsidRDefault="004D2F83">
      <w:pPr>
        <w:spacing w:after="120" w:line="360" w:lineRule="exact"/>
        <w:rPr>
          <w:rFonts w:hint="eastAsia"/>
        </w:rPr>
      </w:pPr>
      <w:r>
        <w:rPr>
          <w:i/>
          <w:iCs/>
        </w:rPr>
        <w:t>Carla Bertucci Barbieri</w:t>
      </w:r>
      <w:r>
        <w:t>-</w:t>
      </w:r>
      <w:r>
        <w:rPr>
          <w:rFonts w:hint="eastAsia"/>
        </w:rPr>
        <w:t>拉加妇权会</w:t>
      </w:r>
    </w:p>
    <w:p w:rsidR="00000000" w:rsidRDefault="004D2F83">
      <w:pPr>
        <w:spacing w:after="120" w:line="360" w:lineRule="exact"/>
        <w:rPr>
          <w:rFonts w:hint="eastAsia"/>
        </w:rPr>
      </w:pPr>
      <w:r>
        <w:rPr>
          <w:rFonts w:hint="eastAsia"/>
          <w:i/>
          <w:iCs/>
        </w:rPr>
        <w:t>F</w:t>
      </w:r>
      <w:r>
        <w:rPr>
          <w:i/>
          <w:iCs/>
        </w:rPr>
        <w:t>lavia Piovesan</w:t>
      </w:r>
      <w:r>
        <w:t>-</w:t>
      </w:r>
      <w:r>
        <w:rPr>
          <w:rFonts w:hint="eastAsia"/>
        </w:rPr>
        <w:t>拉加妇权会</w:t>
      </w:r>
    </w:p>
    <w:p w:rsidR="00000000" w:rsidRDefault="004D2F83">
      <w:pPr>
        <w:spacing w:after="120" w:line="360" w:lineRule="exact"/>
        <w:rPr>
          <w:rFonts w:hint="eastAsia"/>
        </w:rPr>
      </w:pPr>
      <w:r>
        <w:rPr>
          <w:rFonts w:hint="eastAsia"/>
          <w:i/>
          <w:iCs/>
        </w:rPr>
        <w:t>S</w:t>
      </w:r>
      <w:r>
        <w:rPr>
          <w:i/>
          <w:iCs/>
        </w:rPr>
        <w:t>ilvia Pimentel</w:t>
      </w:r>
      <w:r>
        <w:t>-</w:t>
      </w:r>
      <w:r>
        <w:rPr>
          <w:rFonts w:hint="eastAsia"/>
        </w:rPr>
        <w:t>拉加妇权会</w:t>
      </w:r>
      <w:r>
        <w:rPr>
          <w:rFonts w:hint="eastAsia"/>
        </w:rPr>
        <w:t>/</w:t>
      </w:r>
      <w:r>
        <w:rPr>
          <w:rFonts w:hint="eastAsia"/>
        </w:rPr>
        <w:t>促进平等研究所</w:t>
      </w:r>
    </w:p>
    <w:p w:rsidR="00000000" w:rsidRDefault="004D2F83">
      <w:pPr>
        <w:spacing w:after="120" w:line="360" w:lineRule="exact"/>
        <w:rPr>
          <w:rFonts w:hint="eastAsia"/>
        </w:rPr>
      </w:pPr>
      <w:r>
        <w:rPr>
          <w:i/>
          <w:iCs/>
        </w:rPr>
        <w:t>Valéria Pandjiarjian</w:t>
      </w:r>
      <w:r>
        <w:t>-</w:t>
      </w:r>
      <w:r>
        <w:rPr>
          <w:rFonts w:hint="eastAsia"/>
        </w:rPr>
        <w:t>拉加妇权会</w:t>
      </w:r>
      <w:r>
        <w:rPr>
          <w:rFonts w:hint="eastAsia"/>
        </w:rPr>
        <w:t>/</w:t>
      </w:r>
      <w:r>
        <w:rPr>
          <w:rFonts w:hint="eastAsia"/>
        </w:rPr>
        <w:t>促进平等研究所</w:t>
      </w:r>
    </w:p>
    <w:p w:rsidR="00000000" w:rsidRDefault="004D2F83">
      <w:pPr>
        <w:spacing w:after="240" w:line="360" w:lineRule="exact"/>
        <w:rPr>
          <w:rFonts w:hint="eastAsia"/>
        </w:rPr>
      </w:pPr>
      <w:r>
        <w:rPr>
          <w:rFonts w:hint="eastAsia"/>
          <w:i/>
          <w:iCs/>
        </w:rPr>
        <w:t>V</w:t>
      </w:r>
      <w:r>
        <w:rPr>
          <w:i/>
          <w:iCs/>
        </w:rPr>
        <w:t>irginia Feix</w:t>
      </w:r>
      <w:r>
        <w:t>-</w:t>
      </w:r>
      <w:r>
        <w:rPr>
          <w:rFonts w:hint="eastAsia"/>
        </w:rPr>
        <w:t>法律咨询与性别问题研究所</w:t>
      </w:r>
    </w:p>
    <w:p w:rsidR="00000000" w:rsidRDefault="004D2F83">
      <w:pPr>
        <w:spacing w:after="120" w:line="360" w:lineRule="exact"/>
        <w:rPr>
          <w:rFonts w:ascii="SimHei" w:eastAsia="SimHei" w:hint="eastAsia"/>
          <w:sz w:val="24"/>
        </w:rPr>
      </w:pPr>
      <w:r>
        <w:rPr>
          <w:rFonts w:ascii="SimHei" w:eastAsia="SimHei" w:hint="eastAsia"/>
          <w:sz w:val="24"/>
        </w:rPr>
        <w:t>研究助理</w:t>
      </w:r>
    </w:p>
    <w:p w:rsidR="00000000" w:rsidRDefault="004D2F83">
      <w:pPr>
        <w:spacing w:after="120" w:line="360" w:lineRule="exact"/>
      </w:pPr>
      <w:r>
        <w:rPr>
          <w:rFonts w:hint="eastAsia"/>
          <w:i/>
          <w:iCs/>
        </w:rPr>
        <w:t>A</w:t>
      </w:r>
      <w:r>
        <w:rPr>
          <w:i/>
          <w:iCs/>
        </w:rPr>
        <w:t>lessandra Passos Gotti</w:t>
      </w:r>
    </w:p>
    <w:p w:rsidR="00000000" w:rsidRDefault="004D2F83">
      <w:pPr>
        <w:spacing w:after="120" w:line="360" w:lineRule="exact"/>
      </w:pPr>
      <w:r>
        <w:rPr>
          <w:i/>
          <w:iCs/>
        </w:rPr>
        <w:t>Carla Bertucci Barbieri</w:t>
      </w:r>
    </w:p>
    <w:p w:rsidR="00000000" w:rsidRDefault="004D2F83">
      <w:pPr>
        <w:spacing w:after="120" w:line="360" w:lineRule="exact"/>
      </w:pPr>
      <w:r>
        <w:rPr>
          <w:i/>
          <w:iCs/>
        </w:rPr>
        <w:t>Carolina de Mattos Ricardo</w:t>
      </w:r>
    </w:p>
    <w:p w:rsidR="00000000" w:rsidRDefault="004D2F83">
      <w:pPr>
        <w:spacing w:after="120" w:line="360" w:lineRule="exact"/>
      </w:pPr>
      <w:r>
        <w:rPr>
          <w:i/>
          <w:iCs/>
        </w:rPr>
        <w:t xml:space="preserve">Daniela </w:t>
      </w:r>
      <w:r>
        <w:rPr>
          <w:rFonts w:hint="eastAsia"/>
          <w:i/>
          <w:iCs/>
        </w:rPr>
        <w:t>I</w:t>
      </w:r>
      <w:r>
        <w:rPr>
          <w:i/>
          <w:iCs/>
        </w:rPr>
        <w:t>kawa</w:t>
      </w:r>
    </w:p>
    <w:p w:rsidR="00000000" w:rsidRDefault="004D2F83">
      <w:pPr>
        <w:spacing w:after="240" w:line="360" w:lineRule="exact"/>
      </w:pPr>
      <w:r>
        <w:rPr>
          <w:i/>
          <w:iCs/>
        </w:rPr>
        <w:t>José Guilherme Carneiro Queiroz</w:t>
      </w:r>
    </w:p>
    <w:p w:rsidR="00000000" w:rsidRDefault="004D2F83">
      <w:pPr>
        <w:spacing w:after="120" w:line="360" w:lineRule="exact"/>
        <w:rPr>
          <w:rFonts w:ascii="SimHei" w:eastAsia="SimHei" w:hint="eastAsia"/>
          <w:sz w:val="24"/>
        </w:rPr>
      </w:pPr>
    </w:p>
    <w:p w:rsidR="00000000" w:rsidRDefault="004D2F83">
      <w:pPr>
        <w:spacing w:after="120" w:line="360" w:lineRule="exact"/>
        <w:rPr>
          <w:rFonts w:ascii="SimHei" w:eastAsia="SimHei" w:hint="eastAsia"/>
          <w:sz w:val="24"/>
        </w:rPr>
      </w:pPr>
      <w:r>
        <w:rPr>
          <w:rFonts w:ascii="SimHei" w:eastAsia="SimHei" w:hint="eastAsia"/>
          <w:sz w:val="24"/>
        </w:rPr>
        <w:t>协作人员</w:t>
      </w:r>
    </w:p>
    <w:p w:rsidR="00000000" w:rsidRDefault="004D2F83">
      <w:pPr>
        <w:spacing w:after="120" w:line="360" w:lineRule="exact"/>
        <w:rPr>
          <w:i/>
          <w:iCs/>
        </w:rPr>
      </w:pPr>
      <w:r>
        <w:rPr>
          <w:i/>
          <w:iCs/>
        </w:rPr>
        <w:t>Ana Alice Alcantara Costa</w:t>
      </w:r>
    </w:p>
    <w:p w:rsidR="00000000" w:rsidRDefault="004D2F83">
      <w:pPr>
        <w:spacing w:after="120" w:line="360" w:lineRule="exact"/>
        <w:rPr>
          <w:i/>
          <w:iCs/>
        </w:rPr>
      </w:pPr>
      <w:r>
        <w:rPr>
          <w:i/>
          <w:iCs/>
        </w:rPr>
        <w:t>Ana Araujo</w:t>
      </w:r>
    </w:p>
    <w:p w:rsidR="00000000" w:rsidRDefault="004D2F83">
      <w:pPr>
        <w:spacing w:after="120" w:line="360" w:lineRule="exact"/>
        <w:rPr>
          <w:i/>
          <w:iCs/>
        </w:rPr>
      </w:pPr>
      <w:r>
        <w:rPr>
          <w:i/>
          <w:iCs/>
        </w:rPr>
        <w:t>Ângelo Motti</w:t>
      </w:r>
    </w:p>
    <w:p w:rsidR="00000000" w:rsidRDefault="004D2F83">
      <w:pPr>
        <w:spacing w:after="120" w:line="360" w:lineRule="exact"/>
        <w:rPr>
          <w:i/>
          <w:iCs/>
        </w:rPr>
      </w:pPr>
      <w:r>
        <w:rPr>
          <w:i/>
          <w:iCs/>
        </w:rPr>
        <w:t>Alice Mendes</w:t>
      </w:r>
    </w:p>
    <w:p w:rsidR="00000000" w:rsidRDefault="004D2F83">
      <w:pPr>
        <w:spacing w:after="120" w:line="360" w:lineRule="exact"/>
        <w:rPr>
          <w:i/>
          <w:iCs/>
        </w:rPr>
      </w:pPr>
      <w:r>
        <w:rPr>
          <w:i/>
          <w:iCs/>
        </w:rPr>
        <w:t>Camila Moreno</w:t>
      </w:r>
    </w:p>
    <w:p w:rsidR="00000000" w:rsidRDefault="004D2F83">
      <w:pPr>
        <w:spacing w:after="120" w:line="360" w:lineRule="exact"/>
        <w:rPr>
          <w:i/>
          <w:iCs/>
        </w:rPr>
      </w:pPr>
      <w:r>
        <w:rPr>
          <w:i/>
          <w:iCs/>
        </w:rPr>
        <w:t>Carmelina dos Santos Rosa</w:t>
      </w:r>
    </w:p>
    <w:p w:rsidR="00000000" w:rsidRDefault="004D2F83">
      <w:pPr>
        <w:spacing w:after="120" w:line="360" w:lineRule="exact"/>
        <w:rPr>
          <w:i/>
          <w:iCs/>
        </w:rPr>
      </w:pPr>
      <w:r>
        <w:rPr>
          <w:i/>
          <w:iCs/>
        </w:rPr>
        <w:t>Ceres Prates</w:t>
      </w:r>
    </w:p>
    <w:p w:rsidR="00000000" w:rsidRDefault="004D2F83">
      <w:pPr>
        <w:spacing w:after="120" w:line="360" w:lineRule="exact"/>
        <w:rPr>
          <w:i/>
          <w:iCs/>
        </w:rPr>
      </w:pPr>
      <w:r>
        <w:rPr>
          <w:i/>
          <w:iCs/>
        </w:rPr>
        <w:t xml:space="preserve">Denise </w:t>
      </w:r>
      <w:r>
        <w:rPr>
          <w:i/>
          <w:iCs/>
        </w:rPr>
        <w:t>Dourado Dora</w:t>
      </w:r>
    </w:p>
    <w:p w:rsidR="00000000" w:rsidRDefault="004D2F83">
      <w:pPr>
        <w:spacing w:after="120" w:line="360" w:lineRule="exact"/>
        <w:rPr>
          <w:i/>
          <w:iCs/>
        </w:rPr>
      </w:pPr>
      <w:r>
        <w:rPr>
          <w:i/>
          <w:iCs/>
        </w:rPr>
        <w:t>Denise Hirao</w:t>
      </w:r>
    </w:p>
    <w:p w:rsidR="00000000" w:rsidRDefault="004D2F83">
      <w:pPr>
        <w:spacing w:after="120" w:line="360" w:lineRule="exact"/>
        <w:rPr>
          <w:i/>
          <w:iCs/>
        </w:rPr>
      </w:pPr>
      <w:r>
        <w:rPr>
          <w:i/>
          <w:iCs/>
        </w:rPr>
        <w:t>Elcylene Leocádio</w:t>
      </w:r>
    </w:p>
    <w:p w:rsidR="00000000" w:rsidRDefault="004D2F83">
      <w:pPr>
        <w:spacing w:after="120" w:line="360" w:lineRule="exact"/>
        <w:rPr>
          <w:i/>
          <w:iCs/>
        </w:rPr>
      </w:pPr>
      <w:r>
        <w:rPr>
          <w:i/>
          <w:iCs/>
        </w:rPr>
        <w:t>Francisco Facó</w:t>
      </w:r>
    </w:p>
    <w:p w:rsidR="00000000" w:rsidRDefault="004D2F83">
      <w:pPr>
        <w:spacing w:after="120" w:line="360" w:lineRule="exact"/>
        <w:rPr>
          <w:i/>
          <w:iCs/>
        </w:rPr>
      </w:pPr>
      <w:r>
        <w:rPr>
          <w:i/>
          <w:iCs/>
        </w:rPr>
        <w:t>Grasiela Gerutti</w:t>
      </w:r>
    </w:p>
    <w:p w:rsidR="00000000" w:rsidRDefault="004D2F83">
      <w:pPr>
        <w:spacing w:after="120" w:line="360" w:lineRule="exact"/>
        <w:rPr>
          <w:i/>
          <w:iCs/>
        </w:rPr>
      </w:pPr>
      <w:r>
        <w:rPr>
          <w:i/>
          <w:iCs/>
        </w:rPr>
        <w:t>Leilá Leonardos</w:t>
      </w:r>
    </w:p>
    <w:p w:rsidR="00000000" w:rsidRDefault="004D2F83">
      <w:pPr>
        <w:spacing w:after="120" w:line="360" w:lineRule="exact"/>
        <w:rPr>
          <w:i/>
          <w:iCs/>
        </w:rPr>
      </w:pPr>
      <w:r>
        <w:rPr>
          <w:i/>
          <w:iCs/>
        </w:rPr>
        <w:t>Lúcia Avelar</w:t>
      </w:r>
    </w:p>
    <w:p w:rsidR="00000000" w:rsidRDefault="004D2F83">
      <w:pPr>
        <w:spacing w:after="120" w:line="360" w:lineRule="exact"/>
        <w:rPr>
          <w:i/>
          <w:iCs/>
        </w:rPr>
      </w:pPr>
      <w:r>
        <w:rPr>
          <w:i/>
          <w:iCs/>
        </w:rPr>
        <w:t>Maria das Graças Ribeiro Cabral</w:t>
      </w:r>
    </w:p>
    <w:p w:rsidR="00000000" w:rsidRDefault="004D2F83">
      <w:pPr>
        <w:spacing w:after="120" w:line="360" w:lineRule="exact"/>
        <w:rPr>
          <w:i/>
          <w:iCs/>
        </w:rPr>
      </w:pPr>
      <w:r>
        <w:rPr>
          <w:i/>
          <w:iCs/>
        </w:rPr>
        <w:t>Paula Coelho</w:t>
      </w:r>
    </w:p>
    <w:p w:rsidR="00000000" w:rsidRDefault="004D2F83">
      <w:pPr>
        <w:spacing w:after="120" w:line="360" w:lineRule="exact"/>
        <w:rPr>
          <w:i/>
          <w:iCs/>
        </w:rPr>
      </w:pPr>
      <w:r>
        <w:rPr>
          <w:i/>
          <w:iCs/>
        </w:rPr>
        <w:t>Pedro Garcia</w:t>
      </w:r>
    </w:p>
    <w:p w:rsidR="00000000" w:rsidRDefault="004D2F83">
      <w:pPr>
        <w:spacing w:after="120" w:line="360" w:lineRule="exact"/>
        <w:rPr>
          <w:i/>
          <w:iCs/>
        </w:rPr>
      </w:pPr>
      <w:r>
        <w:rPr>
          <w:i/>
          <w:iCs/>
        </w:rPr>
        <w:t>Raimundo Sérgio Barros Leitào</w:t>
      </w:r>
    </w:p>
    <w:p w:rsidR="00000000" w:rsidRDefault="004D2F83">
      <w:pPr>
        <w:spacing w:after="120" w:line="360" w:lineRule="exact"/>
        <w:rPr>
          <w:i/>
          <w:iCs/>
        </w:rPr>
      </w:pPr>
      <w:r>
        <w:rPr>
          <w:i/>
          <w:iCs/>
        </w:rPr>
        <w:t>Roberto da Rocha Leào</w:t>
      </w:r>
    </w:p>
    <w:p w:rsidR="00000000" w:rsidRDefault="004D2F83">
      <w:pPr>
        <w:spacing w:after="120" w:line="360" w:lineRule="exact"/>
        <w:rPr>
          <w:i/>
          <w:iCs/>
        </w:rPr>
      </w:pPr>
      <w:r>
        <w:rPr>
          <w:i/>
          <w:iCs/>
        </w:rPr>
        <w:t>Solange Bentes Jurema</w:t>
      </w:r>
    </w:p>
    <w:p w:rsidR="00000000" w:rsidRDefault="004D2F83">
      <w:pPr>
        <w:pStyle w:val="Heading5"/>
        <w:rPr>
          <w:rFonts w:hint="eastAsia"/>
        </w:rPr>
      </w:pPr>
      <w:r>
        <w:t>Soleny Hamú</w:t>
      </w:r>
    </w:p>
    <w:p w:rsidR="00000000" w:rsidRDefault="004D2F83">
      <w:pPr>
        <w:spacing w:after="120" w:line="360" w:lineRule="exact"/>
        <w:rPr>
          <w:i/>
          <w:iCs/>
        </w:rPr>
      </w:pPr>
      <w:r>
        <w:rPr>
          <w:i/>
          <w:iCs/>
        </w:rPr>
        <w:t>Sônia W</w:t>
      </w:r>
      <w:r>
        <w:rPr>
          <w:i/>
          <w:iCs/>
        </w:rPr>
        <w:t>olf</w:t>
      </w:r>
    </w:p>
    <w:p w:rsidR="00000000" w:rsidRDefault="004D2F83">
      <w:pPr>
        <w:pStyle w:val="Heading5"/>
      </w:pPr>
      <w:r>
        <w:t>Stefânia Serzanink</w:t>
      </w:r>
    </w:p>
    <w:p w:rsidR="00000000" w:rsidRDefault="004D2F83">
      <w:pPr>
        <w:spacing w:after="120" w:line="360" w:lineRule="exact"/>
        <w:rPr>
          <w:i/>
          <w:iCs/>
        </w:rPr>
      </w:pPr>
      <w:r>
        <w:rPr>
          <w:i/>
          <w:iCs/>
        </w:rPr>
        <w:t>Sueli Galhardo</w:t>
      </w:r>
    </w:p>
    <w:p w:rsidR="00000000" w:rsidRDefault="004D2F83">
      <w:pPr>
        <w:spacing w:after="120" w:line="360" w:lineRule="exact"/>
        <w:rPr>
          <w:i/>
          <w:iCs/>
        </w:rPr>
      </w:pPr>
      <w:r>
        <w:rPr>
          <w:i/>
          <w:iCs/>
        </w:rPr>
        <w:t>Thereza Maria Machado Quintella</w:t>
      </w:r>
    </w:p>
    <w:p w:rsidR="00000000" w:rsidRDefault="004D2F83">
      <w:pPr>
        <w:spacing w:after="240" w:line="360" w:lineRule="exact"/>
        <w:rPr>
          <w:i/>
          <w:iCs/>
        </w:rPr>
      </w:pPr>
      <w:r>
        <w:rPr>
          <w:i/>
          <w:iCs/>
        </w:rPr>
        <w:t>Vera Soares</w:t>
      </w:r>
    </w:p>
    <w:p w:rsidR="00000000" w:rsidRDefault="004D2F83">
      <w:pPr>
        <w:spacing w:after="240" w:line="360" w:lineRule="exact"/>
        <w:rPr>
          <w:rFonts w:hint="eastAsia"/>
        </w:rPr>
      </w:pPr>
    </w:p>
    <w:p w:rsidR="00000000" w:rsidRDefault="004D2F83">
      <w:pPr>
        <w:spacing w:after="240" w:line="360" w:lineRule="exact"/>
        <w:rPr>
          <w:rFonts w:eastAsia="SimHei" w:hint="eastAsia"/>
          <w:sz w:val="24"/>
        </w:rPr>
      </w:pPr>
    </w:p>
    <w:p w:rsidR="00000000" w:rsidRDefault="004D2F83">
      <w:pPr>
        <w:spacing w:after="240" w:line="360" w:lineRule="exact"/>
        <w:rPr>
          <w:rFonts w:eastAsia="SimHei" w:hint="eastAsia"/>
          <w:sz w:val="24"/>
        </w:rPr>
      </w:pPr>
      <w:r>
        <w:rPr>
          <w:rFonts w:eastAsia="SimHei" w:hint="eastAsia"/>
          <w:sz w:val="24"/>
        </w:rPr>
        <w:t>协作机构</w:t>
      </w:r>
    </w:p>
    <w:p w:rsidR="00000000" w:rsidRDefault="004D2F83">
      <w:pPr>
        <w:spacing w:line="400" w:lineRule="exact"/>
        <w:rPr>
          <w:rFonts w:hint="eastAsia"/>
        </w:rPr>
      </w:pPr>
      <w:r>
        <w:rPr>
          <w:rFonts w:hint="eastAsia"/>
        </w:rPr>
        <w:t>众议院</w:t>
      </w:r>
      <w:r>
        <w:rPr>
          <w:rFonts w:hint="eastAsia"/>
        </w:rPr>
        <w:sym w:font="Symbol" w:char="F02D"/>
      </w:r>
      <w:r>
        <w:rPr>
          <w:rFonts w:hint="eastAsia"/>
        </w:rPr>
        <w:t>立法研究中心</w:t>
      </w:r>
      <w:r>
        <w:rPr>
          <w:rFonts w:hint="eastAsia"/>
        </w:rPr>
        <w:sym w:font="Symbol" w:char="F02D"/>
      </w:r>
      <w:r>
        <w:rPr>
          <w:rFonts w:hint="eastAsia"/>
        </w:rPr>
        <w:t>议会文件处</w:t>
      </w:r>
    </w:p>
    <w:p w:rsidR="00000000" w:rsidRDefault="004D2F83">
      <w:pPr>
        <w:spacing w:line="400" w:lineRule="exact"/>
        <w:rPr>
          <w:rFonts w:hint="eastAsia"/>
        </w:rPr>
      </w:pPr>
      <w:r>
        <w:rPr>
          <w:rFonts w:hint="eastAsia"/>
        </w:rPr>
        <w:t>全国妇女权利委员会</w:t>
      </w:r>
    </w:p>
    <w:p w:rsidR="00000000" w:rsidRDefault="004D2F83">
      <w:pPr>
        <w:spacing w:line="400" w:lineRule="exact"/>
        <w:rPr>
          <w:rFonts w:hint="eastAsia"/>
        </w:rPr>
      </w:pPr>
      <w:r>
        <w:rPr>
          <w:rFonts w:hint="eastAsia"/>
        </w:rPr>
        <w:t>儿童和青少年部</w:t>
      </w:r>
    </w:p>
    <w:p w:rsidR="00000000" w:rsidRDefault="004D2F83">
      <w:pPr>
        <w:spacing w:line="400" w:lineRule="exact"/>
        <w:rPr>
          <w:rFonts w:hint="eastAsia"/>
        </w:rPr>
      </w:pPr>
      <w:r>
        <w:rPr>
          <w:rFonts w:hint="eastAsia"/>
        </w:rPr>
        <w:t>国家公共行政学校</w:t>
      </w:r>
    </w:p>
    <w:p w:rsidR="00000000" w:rsidRDefault="004D2F83">
      <w:pPr>
        <w:spacing w:line="400" w:lineRule="exact"/>
        <w:rPr>
          <w:rFonts w:hint="eastAsia"/>
        </w:rPr>
      </w:pPr>
      <w:r>
        <w:t>Alexandre de Gusmão</w:t>
      </w:r>
      <w:r>
        <w:rPr>
          <w:rFonts w:hint="eastAsia"/>
        </w:rPr>
        <w:t>基金会</w:t>
      </w:r>
    </w:p>
    <w:p w:rsidR="00000000" w:rsidRDefault="004D2F83">
      <w:pPr>
        <w:spacing w:line="400" w:lineRule="exact"/>
        <w:rPr>
          <w:rFonts w:hint="eastAsia"/>
        </w:rPr>
      </w:pPr>
      <w:r>
        <w:rPr>
          <w:rFonts w:hint="eastAsia"/>
        </w:rPr>
        <w:t>福特基金会</w:t>
      </w:r>
    </w:p>
    <w:p w:rsidR="00000000" w:rsidRDefault="004D2F83">
      <w:pPr>
        <w:spacing w:line="400" w:lineRule="exact"/>
        <w:rPr>
          <w:rFonts w:hint="eastAsia"/>
        </w:rPr>
      </w:pPr>
      <w:r>
        <w:rPr>
          <w:rFonts w:hint="eastAsia"/>
        </w:rPr>
        <w:t>社会经济研究所</w:t>
      </w:r>
    </w:p>
    <w:p w:rsidR="00000000" w:rsidRDefault="004D2F83">
      <w:pPr>
        <w:spacing w:line="400" w:lineRule="exact"/>
        <w:rPr>
          <w:rFonts w:hint="eastAsia"/>
        </w:rPr>
      </w:pPr>
      <w:r>
        <w:rPr>
          <w:rFonts w:hint="eastAsia"/>
        </w:rPr>
        <w:t>应用经济研究所</w:t>
      </w:r>
    </w:p>
    <w:p w:rsidR="00000000" w:rsidRDefault="004D2F83">
      <w:pPr>
        <w:spacing w:line="400" w:lineRule="exact"/>
        <w:rPr>
          <w:rFonts w:hint="eastAsia"/>
        </w:rPr>
      </w:pPr>
      <w:r>
        <w:rPr>
          <w:rFonts w:hint="eastAsia"/>
        </w:rPr>
        <w:t>农业发展部</w:t>
      </w:r>
      <w:r>
        <w:rPr>
          <w:rFonts w:hint="eastAsia"/>
        </w:rPr>
        <w:sym w:font="Symbol" w:char="F02D"/>
      </w:r>
      <w:r>
        <w:rPr>
          <w:rFonts w:hint="eastAsia"/>
        </w:rPr>
        <w:t>平权行动方案</w:t>
      </w:r>
    </w:p>
    <w:p w:rsidR="00000000" w:rsidRDefault="004D2F83">
      <w:pPr>
        <w:spacing w:line="400" w:lineRule="exact"/>
        <w:rPr>
          <w:rFonts w:hint="eastAsia"/>
        </w:rPr>
      </w:pPr>
      <w:r>
        <w:rPr>
          <w:rFonts w:hint="eastAsia"/>
        </w:rPr>
        <w:t>全国一体化部</w:t>
      </w:r>
      <w:r>
        <w:rPr>
          <w:rFonts w:hint="eastAsia"/>
        </w:rPr>
        <w:sym w:font="Symbol" w:char="F02D"/>
      </w:r>
      <w:r>
        <w:rPr>
          <w:rFonts w:hint="eastAsia"/>
        </w:rPr>
        <w:t>贫困地区创造就业机会和创收方案</w:t>
      </w:r>
    </w:p>
    <w:p w:rsidR="00000000" w:rsidRDefault="004D2F83">
      <w:pPr>
        <w:spacing w:line="400" w:lineRule="exact"/>
        <w:rPr>
          <w:rFonts w:hint="eastAsia"/>
        </w:rPr>
      </w:pPr>
      <w:r>
        <w:rPr>
          <w:rFonts w:hint="eastAsia"/>
        </w:rPr>
        <w:t>司法部</w:t>
      </w:r>
    </w:p>
    <w:p w:rsidR="00000000" w:rsidRDefault="004D2F83">
      <w:pPr>
        <w:spacing w:line="400" w:lineRule="exact"/>
        <w:rPr>
          <w:rFonts w:hint="eastAsia"/>
        </w:rPr>
      </w:pPr>
      <w:r>
        <w:rPr>
          <w:rFonts w:hint="eastAsia"/>
        </w:rPr>
        <w:t>计划、预算和管理部</w:t>
      </w:r>
    </w:p>
    <w:p w:rsidR="00000000" w:rsidRDefault="004D2F83">
      <w:pPr>
        <w:spacing w:line="400" w:lineRule="exact"/>
        <w:rPr>
          <w:rFonts w:hint="eastAsia"/>
        </w:rPr>
      </w:pPr>
      <w:r>
        <w:rPr>
          <w:rFonts w:hint="eastAsia"/>
        </w:rPr>
        <w:t>社会保险和福利部</w:t>
      </w:r>
      <w:r>
        <w:rPr>
          <w:rFonts w:hint="eastAsia"/>
        </w:rPr>
        <w:sym w:font="Symbol" w:char="F02D"/>
      </w:r>
      <w:r>
        <w:rPr>
          <w:rFonts w:hint="eastAsia"/>
        </w:rPr>
        <w:t>S</w:t>
      </w:r>
      <w:r>
        <w:t xml:space="preserve">entinela </w:t>
      </w:r>
      <w:r>
        <w:rPr>
          <w:rFonts w:hint="eastAsia"/>
        </w:rPr>
        <w:t>方案</w:t>
      </w:r>
    </w:p>
    <w:p w:rsidR="00000000" w:rsidRDefault="004D2F83">
      <w:pPr>
        <w:spacing w:line="400" w:lineRule="exact"/>
        <w:rPr>
          <w:rFonts w:hint="eastAsia"/>
        </w:rPr>
      </w:pPr>
      <w:r>
        <w:rPr>
          <w:rFonts w:hint="eastAsia"/>
        </w:rPr>
        <w:t>外交部</w:t>
      </w:r>
      <w:r>
        <w:rPr>
          <w:rFonts w:hint="eastAsia"/>
        </w:rPr>
        <w:sym w:font="Symbol" w:char="F02D"/>
      </w:r>
      <w:r>
        <w:rPr>
          <w:rFonts w:hint="eastAsia"/>
        </w:rPr>
        <w:t>领事援助司</w:t>
      </w:r>
    </w:p>
    <w:p w:rsidR="00000000" w:rsidRDefault="004D2F83">
      <w:pPr>
        <w:pStyle w:val="Date"/>
        <w:spacing w:line="400" w:lineRule="exact"/>
        <w:rPr>
          <w:rFonts w:hint="eastAsia"/>
        </w:rPr>
      </w:pPr>
      <w:r>
        <w:rPr>
          <w:rFonts w:hint="eastAsia"/>
        </w:rPr>
        <w:t>社会主题司</w:t>
      </w:r>
    </w:p>
    <w:p w:rsidR="00000000" w:rsidRDefault="004D2F83">
      <w:pPr>
        <w:spacing w:line="400" w:lineRule="exact"/>
        <w:rPr>
          <w:rFonts w:hint="eastAsia"/>
        </w:rPr>
      </w:pPr>
      <w:r>
        <w:rPr>
          <w:rFonts w:hint="eastAsia"/>
        </w:rPr>
        <w:t>卫生部</w:t>
      </w:r>
      <w:r>
        <w:rPr>
          <w:rFonts w:hint="eastAsia"/>
        </w:rPr>
        <w:sym w:font="Symbol" w:char="F02D"/>
      </w:r>
      <w:r>
        <w:rPr>
          <w:rFonts w:hint="eastAsia"/>
        </w:rPr>
        <w:t>妇女保健技术领域</w:t>
      </w:r>
    </w:p>
    <w:p w:rsidR="00000000" w:rsidRDefault="004D2F83">
      <w:pPr>
        <w:spacing w:line="400" w:lineRule="exact"/>
        <w:rPr>
          <w:rFonts w:hint="eastAsia"/>
        </w:rPr>
      </w:pPr>
      <w:r>
        <w:rPr>
          <w:rFonts w:hint="eastAsia"/>
        </w:rPr>
        <w:t>劳动就业部</w:t>
      </w:r>
    </w:p>
    <w:p w:rsidR="00000000" w:rsidRDefault="004D2F83">
      <w:pPr>
        <w:spacing w:line="400" w:lineRule="exact"/>
      </w:pPr>
      <w:r>
        <w:rPr>
          <w:rFonts w:hint="eastAsia"/>
        </w:rPr>
        <w:t>人权问题国务秘书处</w:t>
      </w:r>
    </w:p>
    <w:p w:rsidR="00000000" w:rsidRDefault="004D2F83">
      <w:pPr>
        <w:spacing w:line="240" w:lineRule="auto"/>
        <w:rPr>
          <w:sz w:val="20"/>
        </w:rPr>
      </w:pPr>
      <w:r>
        <w:rPr>
          <w:noProof/>
          <w:sz w:val="20"/>
        </w:rPr>
        <w:pict>
          <v:line id="_x0000_s1036" style="position:absolute;left:0;text-align:left;z-index:10;mso-position-horizontal:center" from="0,30pt" to="1in,30pt" strokeweight=".25pt"/>
        </w:pict>
      </w:r>
    </w:p>
    <w:bookmarkEnd w:id="23"/>
    <w:p w:rsidR="00000000" w:rsidRDefault="004D2F83"/>
    <w:sectPr w:rsidR="00000000">
      <w:headerReference w:type="even" r:id="rId34"/>
      <w:headerReference w:type="default" r:id="rId35"/>
      <w:footerReference w:type="even" r:id="rId36"/>
      <w:footerReference w:type="default" r:id="rId37"/>
      <w:headerReference w:type="first" r:id="rId38"/>
      <w:footerReference w:type="first" r:id="rId39"/>
      <w:pgSz w:w="12242" w:h="15842" w:code="1"/>
      <w:pgMar w:top="1729" w:right="1247" w:bottom="1814" w:left="1247" w:header="1134" w:footer="1021"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ezuo CAO" w:initials="CDZ">
    <w:p w:rsidR="00000000" w:rsidRDefault="004D2F83">
      <w:pPr>
        <w:pStyle w:val="PlainText"/>
        <w:rPr>
          <w:rFonts w:hint="eastAsia"/>
        </w:rPr>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rPr>
          <w:rFonts w:hint="eastAsia"/>
        </w:rPr>
        <w:t>&lt;&lt;ODS JOB NO&gt;&gt;N0</w:t>
      </w:r>
      <w:r>
        <w:t>268724</w:t>
      </w:r>
      <w:r>
        <w:rPr>
          <w:rFonts w:hint="eastAsia"/>
        </w:rPr>
        <w:t>C&lt;&lt;ODS JOB NO&gt;&gt;</w:t>
      </w:r>
    </w:p>
    <w:p w:rsidR="00000000" w:rsidRDefault="004D2F83">
      <w:pPr>
        <w:pStyle w:val="PlainText"/>
        <w:rPr>
          <w:rFonts w:hint="eastAsia"/>
        </w:rPr>
      </w:pPr>
      <w:r>
        <w:rPr>
          <w:rFonts w:hint="eastAsia"/>
        </w:rPr>
        <w:t>&lt;&lt;ODS DOC SYMBOL1&gt;&gt;</w:t>
      </w:r>
      <w:r>
        <w:t>CEDAW/C/BRA/1-5</w:t>
      </w:r>
      <w:r>
        <w:rPr>
          <w:rFonts w:hint="eastAsia"/>
        </w:rPr>
        <w:t>&lt;&lt;ODS DOC SYMBOL1&gt;&gt;</w:t>
      </w:r>
    </w:p>
    <w:p w:rsidR="00000000" w:rsidRDefault="004D2F83">
      <w:pPr>
        <w:pStyle w:val="PlainText"/>
      </w:pPr>
      <w:r>
        <w:rPr>
          <w:rFonts w:hint="eastAsia"/>
        </w:rPr>
        <w:t>&lt;&lt;ODS DOC SYMBOL2&gt;&gt;&lt;&lt;ODS DOC SYMBOL2&gt;&gt;</w:t>
      </w:r>
    </w:p>
    <w:p w:rsidR="00000000" w:rsidRDefault="004D2F83">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D2F83">
      <w:pPr>
        <w:spacing w:line="240" w:lineRule="auto"/>
      </w:pPr>
      <w:r>
        <w:separator/>
      </w:r>
    </w:p>
  </w:endnote>
  <w:endnote w:type="continuationSeparator" w:id="0">
    <w:p w:rsidR="00000000" w:rsidRDefault="004D2F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D2F83">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222</w:t>
    </w:r>
    <w:r>
      <w:rPr>
        <w:rStyle w:val="PageNumber"/>
      </w:rPr>
      <w:fldChar w:fldCharType="end"/>
    </w:r>
  </w:p>
  <w:p w:rsidR="00000000" w:rsidRDefault="004D2F83">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D2F83">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221</w:t>
    </w:r>
    <w:r>
      <w:rPr>
        <w:rStyle w:val="PageNumber"/>
      </w:rPr>
      <w:fldChar w:fldCharType="end"/>
    </w:r>
  </w:p>
  <w:p w:rsidR="00000000" w:rsidRDefault="004D2F83">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D2F83">
    <w:pPr>
      <w:pStyle w:val="Footer"/>
    </w:pPr>
    <w:r>
      <w:rPr>
        <w:rFonts w:hint="eastAsia"/>
        <w:sz w:val="21"/>
      </w:rPr>
      <w:t>02-</w:t>
    </w:r>
    <w:r>
      <w:rPr>
        <w:sz w:val="21"/>
      </w:rPr>
      <w:t>68724 (C)   310303   010403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D2F83">
      <w:pPr>
        <w:spacing w:line="240" w:lineRule="auto"/>
      </w:pPr>
      <w:r>
        <w:separator/>
      </w:r>
    </w:p>
  </w:footnote>
  <w:footnote w:type="continuationSeparator" w:id="0">
    <w:p w:rsidR="00000000" w:rsidRDefault="004D2F83">
      <w:pPr>
        <w:spacing w:line="240" w:lineRule="auto"/>
      </w:pPr>
      <w:r>
        <w:continuationSeparator/>
      </w:r>
    </w:p>
  </w:footnote>
  <w:footnote w:id="1">
    <w:p w:rsidR="00000000" w:rsidRDefault="004D2F83">
      <w:pPr>
        <w:pStyle w:val="FootnoteText"/>
        <w:spacing w:afterLines="30" w:after="72" w:line="240" w:lineRule="auto"/>
        <w:jc w:val="both"/>
        <w:rPr>
          <w:rFonts w:eastAsia="SimSun"/>
          <w:b/>
          <w:bCs/>
        </w:rPr>
      </w:pPr>
      <w:r>
        <w:rPr>
          <w:rStyle w:val="FootnoteReference"/>
          <w:rFonts w:eastAsia="SimSun"/>
        </w:rPr>
        <w:t>*</w:t>
      </w:r>
      <w:r>
        <w:rPr>
          <w:rFonts w:eastAsia="SimSun"/>
        </w:rPr>
        <w:t xml:space="preserve">  </w:t>
      </w:r>
      <w:r>
        <w:rPr>
          <w:rFonts w:eastAsia="SimSun" w:hint="eastAsia"/>
        </w:rPr>
        <w:t>本文件未经正式编辑予以印发。</w:t>
      </w:r>
    </w:p>
  </w:footnote>
  <w:footnote w:id="2">
    <w:p w:rsidR="00000000" w:rsidRDefault="004D2F83">
      <w:pPr>
        <w:pStyle w:val="FootnoteText"/>
        <w:spacing w:afterLines="30" w:after="72" w:line="240" w:lineRule="auto"/>
        <w:rPr>
          <w:rFonts w:eastAsia="SimSun" w:hint="eastAsia"/>
        </w:rPr>
      </w:pPr>
      <w:r>
        <w:rPr>
          <w:rStyle w:val="FootnoteReference"/>
          <w:rFonts w:eastAsia="SimSun"/>
        </w:rPr>
        <w:t>1</w:t>
      </w:r>
      <w:r>
        <w:rPr>
          <w:rFonts w:eastAsia="SimSun"/>
        </w:rPr>
        <w:t xml:space="preserve"> </w:t>
      </w:r>
      <w:r>
        <w:rPr>
          <w:rFonts w:eastAsia="SimSun" w:hint="eastAsia"/>
        </w:rPr>
        <w:t>《</w:t>
      </w:r>
      <w:r>
        <w:rPr>
          <w:rFonts w:eastAsia="SimSun" w:hint="eastAsia"/>
        </w:rPr>
        <w:t>2000</w:t>
      </w:r>
      <w:r>
        <w:rPr>
          <w:rFonts w:eastAsia="SimSun" w:hint="eastAsia"/>
        </w:rPr>
        <w:t>年社会综合指标》。里约热内卢，巴西</w:t>
      </w:r>
      <w:r>
        <w:rPr>
          <w:rFonts w:eastAsia="SimSun" w:hint="eastAsia"/>
        </w:rPr>
        <w:t>地理统计局（</w:t>
      </w:r>
      <w:r>
        <w:rPr>
          <w:rFonts w:eastAsia="SimSun" w:hint="eastAsia"/>
        </w:rPr>
        <w:t>IBGE</w:t>
      </w:r>
      <w:r>
        <w:rPr>
          <w:rFonts w:eastAsia="SimSun" w:hint="eastAsia"/>
        </w:rPr>
        <w:t>），</w:t>
      </w:r>
      <w:r>
        <w:rPr>
          <w:rFonts w:eastAsia="SimSun" w:hint="eastAsia"/>
        </w:rPr>
        <w:t>2001</w:t>
      </w:r>
      <w:r>
        <w:rPr>
          <w:rFonts w:eastAsia="SimSun" w:hint="eastAsia"/>
        </w:rPr>
        <w:t>年。人口总出生率——育龄妇女的平均子女人数——从</w:t>
      </w:r>
      <w:r>
        <w:rPr>
          <w:rFonts w:eastAsia="SimSun" w:hint="eastAsia"/>
        </w:rPr>
        <w:t>1970</w:t>
      </w:r>
      <w:r>
        <w:rPr>
          <w:rFonts w:eastAsia="SimSun" w:hint="eastAsia"/>
        </w:rPr>
        <w:t>年的</w:t>
      </w:r>
      <w:r>
        <w:rPr>
          <w:rFonts w:eastAsia="SimSun" w:hint="eastAsia"/>
        </w:rPr>
        <w:t>5.8</w:t>
      </w:r>
      <w:r>
        <w:rPr>
          <w:rFonts w:eastAsia="SimSun" w:hint="eastAsia"/>
        </w:rPr>
        <w:t>个子女降至</w:t>
      </w:r>
      <w:r>
        <w:rPr>
          <w:rFonts w:eastAsia="SimSun" w:hint="eastAsia"/>
        </w:rPr>
        <w:t>1999</w:t>
      </w:r>
      <w:r>
        <w:rPr>
          <w:rFonts w:eastAsia="SimSun" w:hint="eastAsia"/>
        </w:rPr>
        <w:t>年的</w:t>
      </w:r>
      <w:r>
        <w:rPr>
          <w:rFonts w:eastAsia="SimSun" w:hint="eastAsia"/>
        </w:rPr>
        <w:t>2.3</w:t>
      </w:r>
      <w:r>
        <w:rPr>
          <w:rFonts w:eastAsia="SimSun" w:hint="eastAsia"/>
        </w:rPr>
        <w:t>个子女。</w:t>
      </w:r>
    </w:p>
  </w:footnote>
  <w:footnote w:id="3">
    <w:p w:rsidR="00000000" w:rsidRDefault="004D2F83">
      <w:pPr>
        <w:pStyle w:val="FootnoteText"/>
        <w:spacing w:afterLines="30" w:after="72" w:line="240" w:lineRule="auto"/>
        <w:rPr>
          <w:rFonts w:eastAsia="SimSun" w:hint="eastAsia"/>
        </w:rPr>
      </w:pPr>
      <w:r>
        <w:rPr>
          <w:rStyle w:val="FootnoteReference"/>
          <w:rFonts w:eastAsia="SimSun"/>
        </w:rPr>
        <w:t>2</w:t>
      </w:r>
      <w:r>
        <w:rPr>
          <w:rFonts w:eastAsia="SimSun"/>
        </w:rPr>
        <w:t xml:space="preserve"> </w:t>
      </w:r>
      <w:r>
        <w:rPr>
          <w:rFonts w:eastAsia="SimSun" w:hint="eastAsia"/>
        </w:rPr>
        <w:t>《</w:t>
      </w:r>
      <w:r>
        <w:rPr>
          <w:rFonts w:eastAsia="SimSun" w:hint="eastAsia"/>
        </w:rPr>
        <w:t>2000</w:t>
      </w:r>
      <w:r>
        <w:rPr>
          <w:rFonts w:eastAsia="SimSun" w:hint="eastAsia"/>
        </w:rPr>
        <w:t>年人口普查初步概要》，里约热内卢。里约热内卢，巴西地理统计局（</w:t>
      </w:r>
      <w:r>
        <w:rPr>
          <w:rFonts w:eastAsia="SimSun" w:hint="eastAsia"/>
        </w:rPr>
        <w:t>IBGE</w:t>
      </w:r>
      <w:r>
        <w:rPr>
          <w:rFonts w:eastAsia="SimSun" w:hint="eastAsia"/>
        </w:rPr>
        <w:t>），</w:t>
      </w:r>
      <w:r>
        <w:rPr>
          <w:rFonts w:eastAsia="SimSun" w:hint="eastAsia"/>
        </w:rPr>
        <w:t>2001</w:t>
      </w:r>
      <w:r>
        <w:rPr>
          <w:rFonts w:eastAsia="SimSun" w:hint="eastAsia"/>
        </w:rPr>
        <w:t>年。</w:t>
      </w:r>
    </w:p>
  </w:footnote>
  <w:footnote w:id="4">
    <w:p w:rsidR="00000000" w:rsidRDefault="004D2F83">
      <w:pPr>
        <w:pStyle w:val="FootnoteText"/>
        <w:spacing w:afterLines="30" w:after="72" w:line="240" w:lineRule="auto"/>
        <w:rPr>
          <w:rFonts w:eastAsia="SimSun" w:hint="eastAsia"/>
        </w:rPr>
      </w:pPr>
      <w:r>
        <w:rPr>
          <w:rStyle w:val="FootnoteReference"/>
          <w:rFonts w:eastAsia="SimSun"/>
        </w:rPr>
        <w:t>3</w:t>
      </w:r>
      <w:r>
        <w:rPr>
          <w:rFonts w:eastAsia="SimSun"/>
        </w:rPr>
        <w:t xml:space="preserve"> </w:t>
      </w:r>
      <w:r>
        <w:rPr>
          <w:rFonts w:eastAsia="SimSun" w:hint="eastAsia"/>
        </w:rPr>
        <w:t>《</w:t>
      </w:r>
      <w:r>
        <w:rPr>
          <w:rFonts w:eastAsia="SimSun" w:hint="eastAsia"/>
        </w:rPr>
        <w:t>2000</w:t>
      </w:r>
      <w:r>
        <w:rPr>
          <w:rFonts w:eastAsia="SimSun" w:hint="eastAsia"/>
        </w:rPr>
        <w:t>年社会综合指标》。里约热内卢，巴西地理统计局（</w:t>
      </w:r>
      <w:r>
        <w:rPr>
          <w:rFonts w:eastAsia="SimSun" w:hint="eastAsia"/>
        </w:rPr>
        <w:t>IBGE</w:t>
      </w:r>
      <w:r>
        <w:rPr>
          <w:rFonts w:eastAsia="SimSun" w:hint="eastAsia"/>
        </w:rPr>
        <w:t>），</w:t>
      </w:r>
      <w:r>
        <w:rPr>
          <w:rFonts w:eastAsia="SimSun" w:hint="eastAsia"/>
        </w:rPr>
        <w:t>2001</w:t>
      </w:r>
      <w:r>
        <w:rPr>
          <w:rFonts w:eastAsia="SimSun" w:hint="eastAsia"/>
        </w:rPr>
        <w:t>年。</w:t>
      </w:r>
    </w:p>
  </w:footnote>
  <w:footnote w:id="5">
    <w:p w:rsidR="00000000" w:rsidRDefault="004D2F83">
      <w:pPr>
        <w:pStyle w:val="FootnoteText"/>
        <w:spacing w:afterLines="30" w:after="72" w:line="240" w:lineRule="auto"/>
        <w:rPr>
          <w:rFonts w:eastAsia="SimSun" w:hint="eastAsia"/>
        </w:rPr>
      </w:pPr>
      <w:r>
        <w:rPr>
          <w:rStyle w:val="FootnoteReference"/>
          <w:rFonts w:eastAsia="SimSun"/>
        </w:rPr>
        <w:t>4</w:t>
      </w:r>
      <w:r>
        <w:rPr>
          <w:rFonts w:eastAsia="SimSun"/>
        </w:rPr>
        <w:t xml:space="preserve"> </w:t>
      </w:r>
      <w:r>
        <w:rPr>
          <w:rFonts w:eastAsia="SimSun" w:hint="eastAsia"/>
        </w:rPr>
        <w:t>《</w:t>
      </w:r>
      <w:r>
        <w:rPr>
          <w:rFonts w:eastAsia="SimSun" w:hint="eastAsia"/>
        </w:rPr>
        <w:t>2001</w:t>
      </w:r>
      <w:r>
        <w:rPr>
          <w:rFonts w:eastAsia="SimSun" w:hint="eastAsia"/>
        </w:rPr>
        <w:t>年世界发展指标》。世界银行。</w:t>
      </w:r>
    </w:p>
  </w:footnote>
  <w:footnote w:id="6">
    <w:p w:rsidR="00000000" w:rsidRDefault="004D2F83">
      <w:pPr>
        <w:pStyle w:val="FootnoteText"/>
        <w:spacing w:afterLines="30" w:after="72" w:line="240" w:lineRule="auto"/>
        <w:rPr>
          <w:rFonts w:eastAsia="SimSun" w:hint="eastAsia"/>
        </w:rPr>
      </w:pPr>
      <w:r>
        <w:rPr>
          <w:rStyle w:val="FootnoteReference"/>
          <w:rFonts w:eastAsia="SimSun"/>
        </w:rPr>
        <w:t>5</w:t>
      </w:r>
      <w:r>
        <w:rPr>
          <w:rFonts w:eastAsia="SimSun"/>
        </w:rPr>
        <w:t xml:space="preserve"> </w:t>
      </w:r>
      <w:r>
        <w:rPr>
          <w:rFonts w:eastAsia="SimSun" w:hint="eastAsia"/>
        </w:rPr>
        <w:t>“</w:t>
      </w:r>
      <w:r>
        <w:rPr>
          <w:rFonts w:eastAsia="SimSun" w:hint="eastAsia"/>
        </w:rPr>
        <w:t>2000</w:t>
      </w:r>
      <w:r>
        <w:rPr>
          <w:rFonts w:eastAsia="SimSun" w:hint="eastAsia"/>
        </w:rPr>
        <w:t>年社会指标报告”。巴西地理统计局基金会，</w:t>
      </w:r>
      <w:r>
        <w:rPr>
          <w:rFonts w:eastAsia="SimSun" w:hint="eastAsia"/>
        </w:rPr>
        <w:t>2001</w:t>
      </w:r>
      <w:r>
        <w:rPr>
          <w:rFonts w:eastAsia="SimSun" w:hint="eastAsia"/>
        </w:rPr>
        <w:t>年</w:t>
      </w:r>
      <w:r>
        <w:rPr>
          <w:rFonts w:eastAsia="SimSun" w:hint="eastAsia"/>
        </w:rPr>
        <w:t>5</w:t>
      </w:r>
      <w:r>
        <w:rPr>
          <w:rFonts w:eastAsia="SimSun" w:hint="eastAsia"/>
        </w:rPr>
        <w:t>月。</w:t>
      </w:r>
    </w:p>
  </w:footnote>
  <w:footnote w:id="7">
    <w:p w:rsidR="00000000" w:rsidRDefault="004D2F83">
      <w:pPr>
        <w:pStyle w:val="FootnoteText"/>
        <w:spacing w:afterLines="30" w:after="72" w:line="240" w:lineRule="auto"/>
        <w:rPr>
          <w:rFonts w:eastAsia="SimSun" w:hint="eastAsia"/>
        </w:rPr>
      </w:pPr>
      <w:r>
        <w:rPr>
          <w:rStyle w:val="FootnoteReference"/>
          <w:rFonts w:eastAsia="SimSun"/>
        </w:rPr>
        <w:t>6</w:t>
      </w:r>
      <w:r>
        <w:rPr>
          <w:rFonts w:eastAsia="SimSun"/>
        </w:rPr>
        <w:t xml:space="preserve"> </w:t>
      </w:r>
      <w:r>
        <w:rPr>
          <w:rFonts w:eastAsia="SimSun" w:hint="eastAsia"/>
        </w:rPr>
        <w:t>文盲是指不能用母语读写简单文字的人。这个指标仅指</w:t>
      </w:r>
      <w:r>
        <w:rPr>
          <w:rFonts w:eastAsia="SimSun" w:hint="eastAsia"/>
        </w:rPr>
        <w:t>15</w:t>
      </w:r>
      <w:r>
        <w:rPr>
          <w:rFonts w:eastAsia="SimSun" w:hint="eastAsia"/>
        </w:rPr>
        <w:t>岁和</w:t>
      </w:r>
      <w:r>
        <w:rPr>
          <w:rFonts w:eastAsia="SimSun" w:hint="eastAsia"/>
        </w:rPr>
        <w:t>15</w:t>
      </w:r>
      <w:r>
        <w:rPr>
          <w:rFonts w:eastAsia="SimSun" w:hint="eastAsia"/>
        </w:rPr>
        <w:t>岁以上年</w:t>
      </w:r>
      <w:r>
        <w:rPr>
          <w:rFonts w:eastAsia="SimSun" w:hint="eastAsia"/>
        </w:rPr>
        <w:t>龄组中不能读写的人口。</w:t>
      </w:r>
    </w:p>
  </w:footnote>
  <w:footnote w:id="8">
    <w:p w:rsidR="00000000" w:rsidRDefault="004D2F83">
      <w:pPr>
        <w:pStyle w:val="FootnoteText"/>
        <w:spacing w:afterLines="30" w:after="72" w:line="240" w:lineRule="auto"/>
        <w:rPr>
          <w:rFonts w:eastAsia="SimSun" w:hint="eastAsia"/>
        </w:rPr>
      </w:pPr>
      <w:r>
        <w:rPr>
          <w:rStyle w:val="FootnoteReference"/>
          <w:rFonts w:eastAsia="SimSun"/>
        </w:rPr>
        <w:t>7</w:t>
      </w:r>
      <w:r>
        <w:rPr>
          <w:rFonts w:eastAsia="SimSun"/>
        </w:rPr>
        <w:t xml:space="preserve"> </w:t>
      </w:r>
      <w:r>
        <w:rPr>
          <w:rFonts w:eastAsia="SimSun" w:hint="eastAsia"/>
        </w:rPr>
        <w:t>教育是以平均入学年份来衡量的。</w:t>
      </w:r>
    </w:p>
  </w:footnote>
  <w:footnote w:id="9">
    <w:p w:rsidR="00000000" w:rsidRDefault="004D2F83">
      <w:pPr>
        <w:pStyle w:val="FootnoteText"/>
        <w:spacing w:afterLines="30" w:after="72" w:line="240" w:lineRule="auto"/>
        <w:rPr>
          <w:rFonts w:eastAsia="SimSun" w:hint="eastAsia"/>
        </w:rPr>
      </w:pPr>
      <w:r>
        <w:rPr>
          <w:rStyle w:val="FootnoteReference"/>
          <w:rFonts w:eastAsia="SimSun"/>
        </w:rPr>
        <w:t>8</w:t>
      </w:r>
      <w:r>
        <w:rPr>
          <w:rFonts w:eastAsia="SimSun"/>
        </w:rPr>
        <w:t xml:space="preserve"> </w:t>
      </w:r>
      <w:r>
        <w:rPr>
          <w:rFonts w:eastAsia="SimSun" w:hint="eastAsia"/>
        </w:rPr>
        <w:t>入学率是指入学接受初级教育的学龄儿童所占的比例。</w:t>
      </w:r>
    </w:p>
  </w:footnote>
  <w:footnote w:id="10">
    <w:p w:rsidR="00000000" w:rsidRDefault="004D2F83">
      <w:pPr>
        <w:pStyle w:val="FootnoteText"/>
        <w:spacing w:afterLines="30" w:after="72" w:line="240" w:lineRule="auto"/>
        <w:rPr>
          <w:rFonts w:eastAsia="SimSun" w:hint="eastAsia"/>
        </w:rPr>
      </w:pPr>
      <w:r>
        <w:rPr>
          <w:rStyle w:val="FootnoteReference"/>
          <w:rFonts w:eastAsia="SimSun"/>
        </w:rPr>
        <w:t>9</w:t>
      </w:r>
      <w:r>
        <w:rPr>
          <w:rFonts w:eastAsia="SimSun"/>
        </w:rPr>
        <w:t xml:space="preserve"> </w:t>
      </w:r>
      <w:r>
        <w:rPr>
          <w:rFonts w:eastAsia="SimSun" w:hint="eastAsia"/>
        </w:rPr>
        <w:t>《</w:t>
      </w:r>
      <w:r>
        <w:rPr>
          <w:rFonts w:eastAsia="SimSun" w:hint="eastAsia"/>
        </w:rPr>
        <w:t>2000</w:t>
      </w:r>
      <w:r>
        <w:rPr>
          <w:rFonts w:eastAsia="SimSun" w:hint="eastAsia"/>
        </w:rPr>
        <w:t>年社会综合指标》。里约热内卢，巴西地理统计局（</w:t>
      </w:r>
      <w:r>
        <w:rPr>
          <w:rFonts w:eastAsia="SimSun" w:hint="eastAsia"/>
        </w:rPr>
        <w:t>IBGE</w:t>
      </w:r>
      <w:r>
        <w:rPr>
          <w:rFonts w:eastAsia="SimSun" w:hint="eastAsia"/>
        </w:rPr>
        <w:t>），</w:t>
      </w:r>
      <w:r>
        <w:rPr>
          <w:rFonts w:eastAsia="SimSun" w:hint="eastAsia"/>
        </w:rPr>
        <w:t>2001</w:t>
      </w:r>
      <w:r>
        <w:rPr>
          <w:rFonts w:eastAsia="SimSun" w:hint="eastAsia"/>
        </w:rPr>
        <w:t>年。</w:t>
      </w:r>
    </w:p>
  </w:footnote>
  <w:footnote w:id="11">
    <w:p w:rsidR="00000000" w:rsidRDefault="004D2F83">
      <w:pPr>
        <w:pStyle w:val="FootnoteText"/>
        <w:spacing w:afterLines="30" w:after="72" w:line="240" w:lineRule="auto"/>
        <w:rPr>
          <w:rFonts w:eastAsia="SimSun" w:hint="eastAsia"/>
        </w:rPr>
      </w:pPr>
      <w:r>
        <w:rPr>
          <w:rStyle w:val="FootnoteReference"/>
          <w:rFonts w:eastAsia="SimSun"/>
        </w:rPr>
        <w:t>10</w:t>
      </w:r>
      <w:r>
        <w:rPr>
          <w:rFonts w:eastAsia="SimSun"/>
        </w:rPr>
        <w:t xml:space="preserve"> </w:t>
      </w:r>
      <w:r>
        <w:rPr>
          <w:rFonts w:eastAsia="SimSun" w:hint="eastAsia"/>
        </w:rPr>
        <w:t>1995</w:t>
      </w:r>
      <w:r>
        <w:rPr>
          <w:rFonts w:eastAsia="SimSun" w:hint="eastAsia"/>
        </w:rPr>
        <w:t>年数据。</w:t>
      </w:r>
    </w:p>
  </w:footnote>
  <w:footnote w:id="12">
    <w:p w:rsidR="00000000" w:rsidRDefault="004D2F83">
      <w:pPr>
        <w:pStyle w:val="FootnoteText"/>
        <w:spacing w:afterLines="30" w:after="72" w:line="240" w:lineRule="auto"/>
        <w:rPr>
          <w:rFonts w:eastAsia="SimSun" w:hint="eastAsia"/>
        </w:rPr>
      </w:pPr>
      <w:r>
        <w:rPr>
          <w:rStyle w:val="FootnoteReference"/>
          <w:rFonts w:eastAsia="SimSun"/>
        </w:rPr>
        <w:t>11</w:t>
      </w:r>
      <w:r>
        <w:rPr>
          <w:rFonts w:eastAsia="SimSun"/>
        </w:rPr>
        <w:t xml:space="preserve"> </w:t>
      </w:r>
      <w:r>
        <w:rPr>
          <w:rFonts w:eastAsia="SimSun" w:hint="eastAsia"/>
        </w:rPr>
        <w:t>自</w:t>
      </w:r>
      <w:r>
        <w:rPr>
          <w:rFonts w:eastAsia="SimSun" w:hint="eastAsia"/>
        </w:rPr>
        <w:t>1990</w:t>
      </w:r>
      <w:r>
        <w:rPr>
          <w:rFonts w:eastAsia="SimSun" w:hint="eastAsia"/>
        </w:rPr>
        <w:t>年以来，联合国开发计划署（开发计划署）发表了许多人类发展报告。其目的是评估</w:t>
      </w:r>
      <w:r>
        <w:rPr>
          <w:rFonts w:eastAsia="SimSun" w:hint="eastAsia"/>
        </w:rPr>
        <w:t>174</w:t>
      </w:r>
      <w:r>
        <w:rPr>
          <w:rFonts w:eastAsia="SimSun" w:hint="eastAsia"/>
        </w:rPr>
        <w:t>个参与调查的国家的人口生活质量。经济发展指数包括三个指标：人均收入、寿命——用</w:t>
      </w:r>
      <w:r>
        <w:rPr>
          <w:rFonts w:eastAsia="SimSun" w:hint="eastAsia"/>
          <w:color w:val="000000"/>
        </w:rPr>
        <w:t>出生时预期寿命</w:t>
      </w:r>
      <w:r>
        <w:rPr>
          <w:rFonts w:eastAsia="SimSun" w:hint="eastAsia"/>
        </w:rPr>
        <w:t>表示——和受教育程度——通过识字率和文盲率变量来评估。评估分在</w:t>
      </w:r>
      <w:r>
        <w:rPr>
          <w:rFonts w:eastAsia="SimSun" w:hint="eastAsia"/>
        </w:rPr>
        <w:t>0</w:t>
      </w:r>
      <w:r>
        <w:rPr>
          <w:rFonts w:eastAsia="SimSun" w:hint="eastAsia"/>
        </w:rPr>
        <w:t>和</w:t>
      </w:r>
      <w:r>
        <w:rPr>
          <w:rFonts w:eastAsia="SimSun" w:hint="eastAsia"/>
        </w:rPr>
        <w:t>1</w:t>
      </w:r>
      <w:r>
        <w:rPr>
          <w:rFonts w:eastAsia="SimSun" w:hint="eastAsia"/>
        </w:rPr>
        <w:t>之间不等。人类发展指数低于</w:t>
      </w:r>
      <w:r>
        <w:rPr>
          <w:rFonts w:eastAsia="SimSun" w:hint="eastAsia"/>
        </w:rPr>
        <w:t>0.5</w:t>
      </w:r>
      <w:r>
        <w:rPr>
          <w:rFonts w:eastAsia="SimSun" w:hint="eastAsia"/>
        </w:rPr>
        <w:t>00</w:t>
      </w:r>
      <w:r>
        <w:rPr>
          <w:rFonts w:eastAsia="SimSun" w:hint="eastAsia"/>
        </w:rPr>
        <w:t>的国家被视为人口发展率低。人类发展指数在</w:t>
      </w:r>
      <w:r>
        <w:rPr>
          <w:rFonts w:eastAsia="SimSun" w:hint="eastAsia"/>
        </w:rPr>
        <w:t>0.500</w:t>
      </w:r>
      <w:r>
        <w:rPr>
          <w:rFonts w:eastAsia="SimSun" w:hint="eastAsia"/>
        </w:rPr>
        <w:t>到</w:t>
      </w:r>
      <w:r>
        <w:rPr>
          <w:rFonts w:eastAsia="SimSun" w:hint="eastAsia"/>
        </w:rPr>
        <w:t>0.799</w:t>
      </w:r>
      <w:r>
        <w:rPr>
          <w:rFonts w:eastAsia="SimSun" w:hint="eastAsia"/>
        </w:rPr>
        <w:t>之间的国家的人类发展率居中，人类发展指数高于</w:t>
      </w:r>
      <w:r>
        <w:rPr>
          <w:rFonts w:eastAsia="SimSun" w:hint="eastAsia"/>
        </w:rPr>
        <w:t>0.800</w:t>
      </w:r>
      <w:r>
        <w:rPr>
          <w:rFonts w:eastAsia="SimSun" w:hint="eastAsia"/>
        </w:rPr>
        <w:t>的国家的人类发展率高。</w:t>
      </w:r>
    </w:p>
  </w:footnote>
  <w:footnote w:id="13">
    <w:p w:rsidR="00000000" w:rsidRDefault="004D2F83">
      <w:pPr>
        <w:pStyle w:val="FootnoteText"/>
        <w:spacing w:afterLines="30" w:after="72" w:line="240" w:lineRule="auto"/>
        <w:rPr>
          <w:rFonts w:eastAsia="SimSun" w:hint="eastAsia"/>
        </w:rPr>
      </w:pPr>
      <w:r>
        <w:rPr>
          <w:rStyle w:val="FootnoteReference"/>
          <w:rFonts w:eastAsia="SimSun"/>
        </w:rPr>
        <w:t>12</w:t>
      </w:r>
      <w:r>
        <w:rPr>
          <w:rFonts w:eastAsia="SimSun"/>
        </w:rPr>
        <w:t xml:space="preserve"> </w:t>
      </w:r>
      <w:r>
        <w:rPr>
          <w:rFonts w:eastAsia="SimSun" w:hint="eastAsia"/>
        </w:rPr>
        <w:t>1991</w:t>
      </w:r>
      <w:r>
        <w:rPr>
          <w:rFonts w:eastAsia="SimSun" w:hint="eastAsia"/>
        </w:rPr>
        <w:t>年和</w:t>
      </w:r>
      <w:r>
        <w:rPr>
          <w:rFonts w:eastAsia="SimSun" w:hint="eastAsia"/>
        </w:rPr>
        <w:t>1998</w:t>
      </w:r>
      <w:r>
        <w:rPr>
          <w:rFonts w:eastAsia="SimSun" w:hint="eastAsia"/>
        </w:rPr>
        <w:t>年的该指数分别为</w:t>
      </w:r>
      <w:r>
        <w:rPr>
          <w:rFonts w:eastAsia="SimSun" w:hint="eastAsia"/>
        </w:rPr>
        <w:t>0.787</w:t>
      </w:r>
      <w:r>
        <w:rPr>
          <w:rFonts w:eastAsia="SimSun" w:hint="eastAsia"/>
        </w:rPr>
        <w:t>和</w:t>
      </w:r>
      <w:r>
        <w:rPr>
          <w:rFonts w:eastAsia="SimSun" w:hint="eastAsia"/>
        </w:rPr>
        <w:t>0.734</w:t>
      </w:r>
      <w:r>
        <w:rPr>
          <w:rFonts w:eastAsia="SimSun" w:hint="eastAsia"/>
        </w:rPr>
        <w:t>。</w:t>
      </w:r>
    </w:p>
  </w:footnote>
  <w:footnote w:id="14">
    <w:p w:rsidR="00000000" w:rsidRDefault="004D2F83">
      <w:pPr>
        <w:pStyle w:val="FootnoteText"/>
        <w:spacing w:afterLines="30" w:after="72" w:line="240" w:lineRule="auto"/>
        <w:rPr>
          <w:rFonts w:eastAsia="SimSun" w:hint="eastAsia"/>
        </w:rPr>
      </w:pPr>
      <w:r>
        <w:rPr>
          <w:rStyle w:val="FootnoteReference"/>
          <w:rFonts w:eastAsia="SimSun"/>
        </w:rPr>
        <w:t>13</w:t>
      </w:r>
      <w:r>
        <w:rPr>
          <w:rFonts w:eastAsia="SimSun"/>
        </w:rPr>
        <w:t xml:space="preserve"> </w:t>
      </w:r>
      <w:r>
        <w:rPr>
          <w:rFonts w:eastAsia="SimSun" w:hint="eastAsia"/>
        </w:rPr>
        <w:t>《</w:t>
      </w:r>
      <w:r>
        <w:rPr>
          <w:rFonts w:eastAsia="SimSun" w:hint="eastAsia"/>
        </w:rPr>
        <w:t>2001</w:t>
      </w:r>
      <w:r>
        <w:rPr>
          <w:rFonts w:eastAsia="SimSun" w:hint="eastAsia"/>
        </w:rPr>
        <w:t>年世界发展指标》。世界银行。</w:t>
      </w:r>
    </w:p>
  </w:footnote>
  <w:footnote w:id="15">
    <w:p w:rsidR="00000000" w:rsidRDefault="004D2F83">
      <w:pPr>
        <w:pStyle w:val="FootnoteText"/>
        <w:spacing w:afterLines="30" w:after="72" w:line="240" w:lineRule="auto"/>
        <w:rPr>
          <w:rFonts w:eastAsia="SimSun" w:hint="eastAsia"/>
        </w:rPr>
      </w:pPr>
      <w:r>
        <w:rPr>
          <w:rStyle w:val="FootnoteReference"/>
          <w:rFonts w:eastAsia="SimSun"/>
        </w:rPr>
        <w:t>14</w:t>
      </w:r>
      <w:r>
        <w:rPr>
          <w:rFonts w:eastAsia="SimSun"/>
        </w:rPr>
        <w:t xml:space="preserve"> </w:t>
      </w:r>
      <w:r>
        <w:rPr>
          <w:rFonts w:eastAsia="SimSun" w:hint="eastAsia"/>
        </w:rPr>
        <w:t>“贫困状态”一词在巴西地理统计局</w:t>
      </w:r>
      <w:r>
        <w:rPr>
          <w:rFonts w:eastAsia="SimSun" w:hint="eastAsia"/>
        </w:rPr>
        <w:t>1996</w:t>
      </w:r>
      <w:r>
        <w:rPr>
          <w:rFonts w:eastAsia="SimSun" w:hint="eastAsia"/>
        </w:rPr>
        <w:t>年的全国住户抽样调查中是指“家庭人均收入不超过最低工资的一半的人口”。</w:t>
      </w:r>
    </w:p>
  </w:footnote>
  <w:footnote w:id="16">
    <w:p w:rsidR="00000000" w:rsidRDefault="004D2F83">
      <w:pPr>
        <w:pStyle w:val="NormalIndent"/>
        <w:spacing w:afterLines="30" w:after="72"/>
        <w:ind w:firstLine="0"/>
        <w:rPr>
          <w:rFonts w:hint="eastAsia"/>
          <w:sz w:val="18"/>
        </w:rPr>
      </w:pPr>
      <w:r>
        <w:rPr>
          <w:rStyle w:val="FootnoteReference"/>
          <w:sz w:val="18"/>
        </w:rPr>
        <w:t>15</w:t>
      </w:r>
      <w:r>
        <w:rPr>
          <w:sz w:val="18"/>
        </w:rPr>
        <w:t xml:space="preserve"> </w:t>
      </w:r>
      <w:r>
        <w:rPr>
          <w:rFonts w:hint="eastAsia"/>
          <w:sz w:val="18"/>
        </w:rPr>
        <w:t>考虑的各项因素是以</w:t>
      </w:r>
      <w:r>
        <w:rPr>
          <w:rFonts w:hint="eastAsia"/>
          <w:sz w:val="18"/>
        </w:rPr>
        <w:t>W</w:t>
      </w:r>
      <w:r>
        <w:rPr>
          <w:sz w:val="18"/>
        </w:rPr>
        <w:t>â</w:t>
      </w:r>
      <w:r>
        <w:rPr>
          <w:rFonts w:hint="eastAsia"/>
          <w:sz w:val="18"/>
        </w:rPr>
        <w:t>nia Sant</w:t>
      </w:r>
      <w:r>
        <w:rPr>
          <w:sz w:val="18"/>
        </w:rPr>
        <w:t>’</w:t>
      </w:r>
      <w:r>
        <w:rPr>
          <w:rFonts w:hint="eastAsia"/>
          <w:sz w:val="18"/>
        </w:rPr>
        <w:t>Anna</w:t>
      </w:r>
      <w:r>
        <w:rPr>
          <w:rFonts w:hint="eastAsia"/>
          <w:sz w:val="18"/>
        </w:rPr>
        <w:t>（</w:t>
      </w:r>
      <w:r>
        <w:rPr>
          <w:rFonts w:hint="eastAsia"/>
          <w:sz w:val="18"/>
        </w:rPr>
        <w:t>2001</w:t>
      </w:r>
      <w:r>
        <w:rPr>
          <w:rFonts w:hint="eastAsia"/>
          <w:sz w:val="18"/>
        </w:rPr>
        <w:t>年）所作的研究为基础。</w:t>
      </w:r>
    </w:p>
  </w:footnote>
  <w:footnote w:id="17">
    <w:p w:rsidR="00000000" w:rsidRDefault="004D2F83">
      <w:pPr>
        <w:pStyle w:val="FootnoteText"/>
        <w:spacing w:afterLines="30" w:after="72" w:line="240" w:lineRule="auto"/>
        <w:rPr>
          <w:rFonts w:eastAsia="SimSun" w:hint="eastAsia"/>
        </w:rPr>
      </w:pPr>
      <w:r>
        <w:rPr>
          <w:rStyle w:val="FootnoteReference"/>
          <w:rFonts w:eastAsia="SimSun"/>
        </w:rPr>
        <w:t>16</w:t>
      </w:r>
      <w:r>
        <w:rPr>
          <w:rFonts w:eastAsia="SimSun"/>
        </w:rPr>
        <w:t xml:space="preserve"> </w:t>
      </w:r>
      <w:r>
        <w:rPr>
          <w:rFonts w:eastAsia="SimSun" w:hint="eastAsia"/>
        </w:rPr>
        <w:t>1999</w:t>
      </w:r>
      <w:r>
        <w:rPr>
          <w:rFonts w:eastAsia="SimSun" w:hint="eastAsia"/>
        </w:rPr>
        <w:t>年，约</w:t>
      </w:r>
      <w:r>
        <w:rPr>
          <w:rFonts w:eastAsia="SimSun" w:hint="eastAsia"/>
        </w:rPr>
        <w:t>2 500</w:t>
      </w:r>
      <w:r>
        <w:rPr>
          <w:rFonts w:eastAsia="SimSun" w:hint="eastAsia"/>
        </w:rPr>
        <w:t>万非洲人后裔居住在</w:t>
      </w:r>
      <w:r>
        <w:rPr>
          <w:rFonts w:eastAsia="SimSun" w:hint="eastAsia"/>
        </w:rPr>
        <w:t>东南部地区。</w:t>
      </w:r>
    </w:p>
  </w:footnote>
  <w:footnote w:id="18">
    <w:p w:rsidR="00000000" w:rsidRDefault="004D2F83">
      <w:pPr>
        <w:pStyle w:val="FootnoteText"/>
        <w:spacing w:afterLines="30" w:after="72" w:line="240" w:lineRule="auto"/>
        <w:rPr>
          <w:rFonts w:eastAsia="SimSun" w:hint="eastAsia"/>
        </w:rPr>
      </w:pPr>
      <w:r>
        <w:rPr>
          <w:rStyle w:val="FootnoteReference"/>
          <w:rFonts w:eastAsia="SimSun"/>
        </w:rPr>
        <w:t>17</w:t>
      </w:r>
      <w:r>
        <w:rPr>
          <w:rFonts w:eastAsia="SimSun"/>
        </w:rPr>
        <w:t xml:space="preserve"> </w:t>
      </w:r>
      <w:r>
        <w:rPr>
          <w:rFonts w:eastAsia="SimSun" w:hint="eastAsia"/>
        </w:rPr>
        <w:t>SANT</w:t>
      </w:r>
      <w:r>
        <w:rPr>
          <w:rFonts w:eastAsia="SimSun"/>
        </w:rPr>
        <w:t>’</w:t>
      </w:r>
      <w:r>
        <w:rPr>
          <w:rFonts w:eastAsia="SimSun" w:hint="eastAsia"/>
        </w:rPr>
        <w:t>ANNA</w:t>
      </w:r>
      <w:r>
        <w:rPr>
          <w:rFonts w:eastAsia="SimSun" w:hint="eastAsia"/>
          <w:lang w:val="en-GB"/>
        </w:rPr>
        <w:t>，</w:t>
      </w:r>
      <w:r>
        <w:rPr>
          <w:rFonts w:eastAsia="SimSun" w:hint="eastAsia"/>
        </w:rPr>
        <w:t>W</w:t>
      </w:r>
      <w:r>
        <w:rPr>
          <w:rFonts w:eastAsia="SimSun"/>
        </w:rPr>
        <w:t>â</w:t>
      </w:r>
      <w:r>
        <w:rPr>
          <w:rFonts w:eastAsia="SimSun" w:hint="eastAsia"/>
        </w:rPr>
        <w:t>nia</w:t>
      </w:r>
      <w:r>
        <w:rPr>
          <w:rFonts w:eastAsia="SimSun" w:hint="eastAsia"/>
        </w:rPr>
        <w:t>。《巴西的民族</w:t>
      </w:r>
      <w:r>
        <w:rPr>
          <w:rFonts w:eastAsia="SimSun" w:hint="eastAsia"/>
        </w:rPr>
        <w:t>/</w:t>
      </w:r>
      <w:r>
        <w:rPr>
          <w:rFonts w:eastAsia="SimSun" w:hint="eastAsia"/>
        </w:rPr>
        <w:t>种族和性别不平等</w:t>
      </w:r>
      <w:r>
        <w:rPr>
          <w:rFonts w:eastAsia="SimSun" w:hint="eastAsia"/>
        </w:rPr>
        <w:t xml:space="preserve"> </w:t>
      </w:r>
      <w:r>
        <w:rPr>
          <w:rFonts w:eastAsia="SimSun" w:hint="eastAsia"/>
        </w:rPr>
        <w:t>—</w:t>
      </w:r>
      <w:r>
        <w:rPr>
          <w:rFonts w:eastAsia="SimSun" w:hint="eastAsia"/>
        </w:rPr>
        <w:t xml:space="preserve"> </w:t>
      </w:r>
      <w:r>
        <w:rPr>
          <w:rFonts w:eastAsia="SimSun" w:hint="eastAsia"/>
        </w:rPr>
        <w:t>人类发展指数和按性别调整的发展指数的可能资料，第</w:t>
      </w:r>
      <w:r>
        <w:rPr>
          <w:rFonts w:eastAsia="SimSun" w:hint="eastAsia"/>
        </w:rPr>
        <w:t>88/89</w:t>
      </w:r>
      <w:r>
        <w:rPr>
          <w:rFonts w:eastAsia="SimSun" w:hint="eastAsia"/>
        </w:rPr>
        <w:t>号提案》，</w:t>
      </w:r>
      <w:r>
        <w:rPr>
          <w:rFonts w:eastAsia="SimSun" w:hint="eastAsia"/>
        </w:rPr>
        <w:t>2001</w:t>
      </w:r>
      <w:r>
        <w:rPr>
          <w:rFonts w:eastAsia="SimSun" w:hint="eastAsia"/>
        </w:rPr>
        <w:t>年</w:t>
      </w:r>
      <w:r>
        <w:rPr>
          <w:rFonts w:eastAsia="SimSun" w:hint="eastAsia"/>
        </w:rPr>
        <w:t>3</w:t>
      </w:r>
      <w:r>
        <w:rPr>
          <w:rFonts w:eastAsia="SimSun" w:hint="eastAsia"/>
        </w:rPr>
        <w:t>月</w:t>
      </w:r>
      <w:r>
        <w:rPr>
          <w:rFonts w:eastAsia="SimSun" w:hint="eastAsia"/>
        </w:rPr>
        <w:t>-8</w:t>
      </w:r>
      <w:r>
        <w:rPr>
          <w:rFonts w:eastAsia="SimSun" w:hint="eastAsia"/>
        </w:rPr>
        <w:t>月，第</w:t>
      </w:r>
      <w:r>
        <w:rPr>
          <w:rFonts w:eastAsia="SimSun" w:hint="eastAsia"/>
        </w:rPr>
        <w:t>23</w:t>
      </w:r>
      <w:r>
        <w:rPr>
          <w:rFonts w:eastAsia="SimSun" w:hint="eastAsia"/>
        </w:rPr>
        <w:t>页。</w:t>
      </w:r>
    </w:p>
  </w:footnote>
  <w:footnote w:id="19">
    <w:p w:rsidR="00000000" w:rsidRDefault="004D2F83">
      <w:pPr>
        <w:pStyle w:val="FootnoteText"/>
        <w:spacing w:afterLines="30" w:after="72" w:line="240" w:lineRule="auto"/>
        <w:rPr>
          <w:rFonts w:eastAsia="SimSun" w:hint="eastAsia"/>
        </w:rPr>
      </w:pPr>
      <w:r>
        <w:rPr>
          <w:rStyle w:val="FootnoteReference"/>
          <w:rFonts w:eastAsia="SimSun"/>
        </w:rPr>
        <w:t>18</w:t>
      </w:r>
      <w:r>
        <w:rPr>
          <w:rFonts w:eastAsia="SimSun"/>
        </w:rPr>
        <w:t xml:space="preserve"> </w:t>
      </w:r>
      <w:r>
        <w:rPr>
          <w:rFonts w:eastAsia="SimSun" w:hint="eastAsia"/>
        </w:rPr>
        <w:t>极端贫困线是指按地区界定的基本粮食的价格，这个价格满足一个人的最低卡路里需求；贫困线除了粮食支出之外，还包括个人在衣物、住房和交通方面的最低支出。见</w:t>
      </w:r>
      <w:r>
        <w:rPr>
          <w:rFonts w:eastAsia="SimSun" w:hint="eastAsia"/>
        </w:rPr>
        <w:t>Henriques, Ricardo</w:t>
      </w:r>
      <w:r>
        <w:rPr>
          <w:rFonts w:eastAsia="SimSun" w:hint="eastAsia"/>
        </w:rPr>
        <w:t>的“巴西的种族不平等：</w:t>
      </w:r>
      <w:r>
        <w:rPr>
          <w:rFonts w:eastAsia="SimSun" w:hint="eastAsia"/>
        </w:rPr>
        <w:t>1990</w:t>
      </w:r>
      <w:r>
        <w:rPr>
          <w:rFonts w:eastAsia="SimSun" w:hint="eastAsia"/>
        </w:rPr>
        <w:t>年代生活条件的演变”。应用经济研究所，讨论本第</w:t>
      </w:r>
      <w:r>
        <w:rPr>
          <w:rFonts w:eastAsia="SimSun" w:hint="eastAsia"/>
        </w:rPr>
        <w:t>807</w:t>
      </w:r>
      <w:r>
        <w:rPr>
          <w:rFonts w:eastAsia="SimSun" w:hint="eastAsia"/>
        </w:rPr>
        <w:t>号。里约热内卢，</w:t>
      </w:r>
      <w:r>
        <w:rPr>
          <w:rFonts w:eastAsia="SimSun" w:hint="eastAsia"/>
        </w:rPr>
        <w:t>2001</w:t>
      </w:r>
      <w:r>
        <w:rPr>
          <w:rFonts w:eastAsia="SimSun" w:hint="eastAsia"/>
        </w:rPr>
        <w:t>年</w:t>
      </w:r>
      <w:r>
        <w:rPr>
          <w:rFonts w:eastAsia="SimSun" w:hint="eastAsia"/>
        </w:rPr>
        <w:t>7</w:t>
      </w:r>
      <w:r>
        <w:rPr>
          <w:rFonts w:eastAsia="SimSun" w:hint="eastAsia"/>
        </w:rPr>
        <w:t>月。</w:t>
      </w:r>
    </w:p>
  </w:footnote>
  <w:footnote w:id="20">
    <w:p w:rsidR="00000000" w:rsidRDefault="004D2F83">
      <w:pPr>
        <w:pStyle w:val="FootnoteText"/>
        <w:spacing w:afterLines="30" w:after="72" w:line="240" w:lineRule="auto"/>
        <w:rPr>
          <w:rFonts w:eastAsia="SimSun" w:hint="eastAsia"/>
        </w:rPr>
      </w:pPr>
      <w:r>
        <w:rPr>
          <w:rStyle w:val="FootnoteReference"/>
          <w:rFonts w:eastAsia="SimSun"/>
        </w:rPr>
        <w:t>19</w:t>
      </w:r>
      <w:r>
        <w:rPr>
          <w:rFonts w:eastAsia="SimSun"/>
        </w:rPr>
        <w:t xml:space="preserve"> </w:t>
      </w:r>
      <w:r>
        <w:rPr>
          <w:rFonts w:eastAsia="SimSun" w:hint="eastAsia"/>
        </w:rPr>
        <w:t>据巴西地理</w:t>
      </w:r>
      <w:r>
        <w:rPr>
          <w:rFonts w:eastAsia="SimSun" w:hint="eastAsia"/>
        </w:rPr>
        <w:t>统计局基金会的人口统计学家</w:t>
      </w:r>
      <w:r>
        <w:rPr>
          <w:rFonts w:eastAsia="SimSun" w:hint="eastAsia"/>
        </w:rPr>
        <w:t>Juarez de Castro Oliveira</w:t>
      </w:r>
      <w:r>
        <w:rPr>
          <w:rFonts w:eastAsia="SimSun" w:hint="eastAsia"/>
        </w:rPr>
        <w:t>的计算。</w:t>
      </w:r>
    </w:p>
    <w:p w:rsidR="00000000" w:rsidRDefault="004D2F83">
      <w:pPr>
        <w:pStyle w:val="FootnoteText"/>
        <w:spacing w:afterLines="30" w:after="72" w:line="240" w:lineRule="auto"/>
        <w:rPr>
          <w:rFonts w:eastAsia="SimSun" w:hint="eastAsia"/>
        </w:rPr>
      </w:pPr>
      <w:r>
        <w:rPr>
          <w:rFonts w:eastAsia="SimSun" w:hint="eastAsia"/>
          <w:vertAlign w:val="superscript"/>
        </w:rPr>
        <w:t xml:space="preserve">20 </w:t>
      </w:r>
      <w:r>
        <w:rPr>
          <w:rFonts w:eastAsia="SimSun" w:hint="eastAsia"/>
        </w:rPr>
        <w:t>Barbosa</w:t>
      </w:r>
      <w:r>
        <w:rPr>
          <w:rFonts w:eastAsia="SimSun" w:hint="eastAsia"/>
        </w:rPr>
        <w:t>，</w:t>
      </w:r>
      <w:r>
        <w:rPr>
          <w:rFonts w:eastAsia="SimSun" w:hint="eastAsia"/>
        </w:rPr>
        <w:t>Maria Ines da S.,</w:t>
      </w:r>
      <w:r>
        <w:rPr>
          <w:rFonts w:eastAsia="SimSun" w:hint="eastAsia"/>
        </w:rPr>
        <w:t>“她是个女人，但她是个黑人：‘贫民窟’中的死亡率概况”。《</w:t>
      </w:r>
      <w:r>
        <w:rPr>
          <w:rFonts w:eastAsia="SimSun" w:hint="eastAsia"/>
        </w:rPr>
        <w:t>RedeSaude</w:t>
      </w:r>
      <w:r>
        <w:rPr>
          <w:rFonts w:eastAsia="SimSun" w:hint="eastAsia"/>
        </w:rPr>
        <w:t>杂志》，第</w:t>
      </w:r>
      <w:r>
        <w:rPr>
          <w:rFonts w:eastAsia="SimSun" w:hint="eastAsia"/>
        </w:rPr>
        <w:t>23</w:t>
      </w:r>
      <w:r>
        <w:rPr>
          <w:rFonts w:eastAsia="SimSun" w:hint="eastAsia"/>
        </w:rPr>
        <w:t>期。</w:t>
      </w:r>
    </w:p>
  </w:footnote>
  <w:footnote w:id="21">
    <w:p w:rsidR="00000000" w:rsidRDefault="004D2F83">
      <w:pPr>
        <w:pStyle w:val="FootnoteText"/>
        <w:spacing w:afterLines="30" w:after="72" w:line="240" w:lineRule="auto"/>
        <w:rPr>
          <w:rFonts w:eastAsia="SimSun" w:hint="eastAsia"/>
        </w:rPr>
      </w:pPr>
      <w:r>
        <w:rPr>
          <w:rStyle w:val="FootnoteReference"/>
          <w:rFonts w:eastAsia="SimSun"/>
        </w:rPr>
        <w:t>21</w:t>
      </w:r>
      <w:r>
        <w:rPr>
          <w:rFonts w:eastAsia="SimSun" w:hint="eastAsia"/>
        </w:rPr>
        <w:t xml:space="preserve"> </w:t>
      </w:r>
      <w:r>
        <w:rPr>
          <w:rFonts w:eastAsia="SimSun" w:hint="eastAsia"/>
        </w:rPr>
        <w:t>见“黑人妇女：巴西种族歧视概观”。《巴西妇女总动员》，巴西利亚，</w:t>
      </w:r>
      <w:r>
        <w:rPr>
          <w:rFonts w:eastAsia="SimSun" w:hint="eastAsia"/>
        </w:rPr>
        <w:t>2001</w:t>
      </w:r>
      <w:r>
        <w:rPr>
          <w:rFonts w:eastAsia="SimSun" w:hint="eastAsia"/>
        </w:rPr>
        <w:t>年</w:t>
      </w:r>
      <w:r>
        <w:rPr>
          <w:rFonts w:eastAsia="SimSun" w:hint="eastAsia"/>
        </w:rPr>
        <w:t>5</w:t>
      </w:r>
      <w:r>
        <w:rPr>
          <w:rFonts w:eastAsia="SimSun" w:hint="eastAsia"/>
        </w:rPr>
        <w:t>月。</w:t>
      </w:r>
    </w:p>
  </w:footnote>
  <w:footnote w:id="22">
    <w:p w:rsidR="00000000" w:rsidRDefault="004D2F83">
      <w:pPr>
        <w:pStyle w:val="FootnoteText"/>
        <w:spacing w:afterLines="30" w:after="72" w:line="240" w:lineRule="auto"/>
        <w:rPr>
          <w:rFonts w:eastAsia="SimSun" w:hint="eastAsia"/>
        </w:rPr>
      </w:pPr>
      <w:r>
        <w:rPr>
          <w:rStyle w:val="FootnoteReference"/>
          <w:rFonts w:eastAsia="SimSun"/>
        </w:rPr>
        <w:t>22</w:t>
      </w:r>
      <w:r>
        <w:rPr>
          <w:rFonts w:eastAsia="SimSun"/>
        </w:rPr>
        <w:t xml:space="preserve"> </w:t>
      </w:r>
      <w:r>
        <w:rPr>
          <w:rFonts w:eastAsia="SimSun" w:hint="eastAsia"/>
        </w:rPr>
        <w:t>接受正规教育不满四年的人。</w:t>
      </w:r>
    </w:p>
  </w:footnote>
  <w:footnote w:id="23">
    <w:p w:rsidR="00000000" w:rsidRDefault="004D2F83">
      <w:pPr>
        <w:pStyle w:val="FootnoteText"/>
        <w:spacing w:afterLines="30" w:after="72" w:line="240" w:lineRule="auto"/>
        <w:rPr>
          <w:rFonts w:eastAsia="SimSun" w:hint="eastAsia"/>
        </w:rPr>
      </w:pPr>
      <w:r>
        <w:rPr>
          <w:rStyle w:val="FootnoteReference"/>
          <w:rFonts w:eastAsia="SimSun"/>
        </w:rPr>
        <w:t>23</w:t>
      </w:r>
      <w:r>
        <w:rPr>
          <w:rFonts w:eastAsia="SimSun"/>
        </w:rPr>
        <w:t xml:space="preserve"> </w:t>
      </w:r>
      <w:r>
        <w:rPr>
          <w:rFonts w:eastAsia="SimSun" w:hint="eastAsia"/>
        </w:rPr>
        <w:t>“尽管存在教育方面影响人口的差距，但在</w:t>
      </w:r>
      <w:r>
        <w:rPr>
          <w:rFonts w:eastAsia="SimSun" w:hint="eastAsia"/>
        </w:rPr>
        <w:t>1960</w:t>
      </w:r>
      <w:r>
        <w:rPr>
          <w:rFonts w:eastAsia="SimSun" w:hint="eastAsia"/>
        </w:rPr>
        <w:t>年至</w:t>
      </w:r>
      <w:r>
        <w:rPr>
          <w:rFonts w:eastAsia="SimSun" w:hint="eastAsia"/>
        </w:rPr>
        <w:t>1980</w:t>
      </w:r>
      <w:r>
        <w:rPr>
          <w:rFonts w:eastAsia="SimSun" w:hint="eastAsia"/>
        </w:rPr>
        <w:t>年期间，高等教育院校黑人妇女入学率的增长幅度为白人妇女的三倍：分别为</w:t>
      </w:r>
      <w:r>
        <w:rPr>
          <w:rFonts w:eastAsia="SimSun" w:hint="eastAsia"/>
        </w:rPr>
        <w:t>7.33</w:t>
      </w:r>
      <w:r>
        <w:rPr>
          <w:rFonts w:eastAsia="SimSun" w:hint="eastAsia"/>
        </w:rPr>
        <w:t>和</w:t>
      </w:r>
      <w:r>
        <w:rPr>
          <w:rFonts w:eastAsia="SimSun" w:hint="eastAsia"/>
        </w:rPr>
        <w:t>2.53</w:t>
      </w:r>
      <w:r>
        <w:rPr>
          <w:rFonts w:eastAsia="SimSun" w:hint="eastAsia"/>
        </w:rPr>
        <w:t>倍</w:t>
      </w:r>
      <w:r>
        <w:rPr>
          <w:rFonts w:eastAsia="SimSun" w:hint="eastAsia"/>
        </w:rPr>
        <w:t>。”资料来源：</w:t>
      </w:r>
      <w:r>
        <w:rPr>
          <w:rFonts w:eastAsia="SimSun" w:hint="eastAsia"/>
        </w:rPr>
        <w:t>P. Lovell</w:t>
      </w:r>
      <w:r>
        <w:rPr>
          <w:rFonts w:eastAsia="SimSun" w:hint="eastAsia"/>
        </w:rPr>
        <w:t>，“巴西的种族、阶级、性别和工资歧视”，载于“黑人妇女：巴西的种族歧视概观”。《巴西妇女总动员》，巴西利亚，</w:t>
      </w:r>
      <w:r>
        <w:rPr>
          <w:rFonts w:eastAsia="SimSun" w:hint="eastAsia"/>
        </w:rPr>
        <w:t>2001</w:t>
      </w:r>
      <w:r>
        <w:rPr>
          <w:rFonts w:eastAsia="SimSun" w:hint="eastAsia"/>
        </w:rPr>
        <w:t>年</w:t>
      </w:r>
      <w:r>
        <w:rPr>
          <w:rFonts w:eastAsia="SimSun" w:hint="eastAsia"/>
        </w:rPr>
        <w:t>5</w:t>
      </w:r>
      <w:r>
        <w:rPr>
          <w:rFonts w:eastAsia="SimSun" w:hint="eastAsia"/>
        </w:rPr>
        <w:t>月。</w:t>
      </w:r>
    </w:p>
  </w:footnote>
  <w:footnote w:id="24">
    <w:p w:rsidR="00000000" w:rsidRDefault="004D2F83">
      <w:pPr>
        <w:pStyle w:val="FootnoteText"/>
        <w:spacing w:afterLines="30" w:after="72" w:line="240" w:lineRule="auto"/>
        <w:rPr>
          <w:rFonts w:eastAsia="SimSun" w:hint="eastAsia"/>
        </w:rPr>
      </w:pPr>
      <w:r>
        <w:rPr>
          <w:rStyle w:val="FootnoteReference"/>
          <w:rFonts w:eastAsia="SimSun"/>
        </w:rPr>
        <w:t>24</w:t>
      </w:r>
      <w:r>
        <w:rPr>
          <w:rFonts w:eastAsia="SimSun"/>
        </w:rPr>
        <w:t xml:space="preserve"> </w:t>
      </w:r>
      <w:r>
        <w:rPr>
          <w:rFonts w:eastAsia="SimSun" w:hint="eastAsia"/>
          <w:spacing w:val="4"/>
        </w:rPr>
        <w:t>诺伯托·博比奥（</w:t>
      </w:r>
      <w:r>
        <w:rPr>
          <w:rFonts w:eastAsia="SimSun" w:hint="eastAsia"/>
          <w:spacing w:val="4"/>
        </w:rPr>
        <w:t>Norberto Bobbio</w:t>
      </w:r>
      <w:r>
        <w:rPr>
          <w:rFonts w:eastAsia="SimSun" w:hint="eastAsia"/>
          <w:spacing w:val="4"/>
        </w:rPr>
        <w:t>）的《权利时代》，第</w:t>
      </w:r>
      <w:r>
        <w:rPr>
          <w:rFonts w:eastAsia="SimSun" w:hint="eastAsia"/>
          <w:spacing w:val="4"/>
        </w:rPr>
        <w:t>30</w:t>
      </w:r>
      <w:r>
        <w:rPr>
          <w:rFonts w:eastAsia="SimSun" w:hint="eastAsia"/>
          <w:spacing w:val="4"/>
        </w:rPr>
        <w:t>页。</w:t>
      </w:r>
      <w:r>
        <w:rPr>
          <w:rFonts w:eastAsia="SimSun" w:hint="eastAsia"/>
          <w:spacing w:val="4"/>
        </w:rPr>
        <w:t>Carlos Nelson Coutinho</w:t>
      </w:r>
      <w:r>
        <w:rPr>
          <w:rFonts w:eastAsia="SimSun" w:hint="eastAsia"/>
          <w:spacing w:val="4"/>
        </w:rPr>
        <w:t>译，里约热内卢，坎普斯，</w:t>
      </w:r>
      <w:r>
        <w:rPr>
          <w:rFonts w:eastAsia="SimSun" w:hint="eastAsia"/>
          <w:spacing w:val="4"/>
        </w:rPr>
        <w:t>1988</w:t>
      </w:r>
      <w:r>
        <w:rPr>
          <w:rFonts w:eastAsia="SimSun" w:hint="eastAsia"/>
          <w:spacing w:val="4"/>
        </w:rPr>
        <w:t>年。</w:t>
      </w:r>
    </w:p>
  </w:footnote>
  <w:footnote w:id="25">
    <w:p w:rsidR="00000000" w:rsidRDefault="004D2F83">
      <w:pPr>
        <w:pStyle w:val="FootnoteText"/>
        <w:spacing w:afterLines="30" w:after="72" w:line="240" w:lineRule="auto"/>
        <w:rPr>
          <w:rFonts w:eastAsia="SimSun" w:hint="eastAsia"/>
        </w:rPr>
      </w:pPr>
      <w:r>
        <w:rPr>
          <w:rStyle w:val="FootnoteReference"/>
          <w:rFonts w:eastAsia="SimSun"/>
        </w:rPr>
        <w:t>25</w:t>
      </w:r>
      <w:r>
        <w:rPr>
          <w:rFonts w:eastAsia="SimSun"/>
        </w:rPr>
        <w:t xml:space="preserve"> </w:t>
      </w:r>
      <w:r>
        <w:rPr>
          <w:rFonts w:eastAsia="SimSun" w:hint="eastAsia"/>
        </w:rPr>
        <w:t>在这方面，值得一提的是截至</w:t>
      </w:r>
      <w:r>
        <w:rPr>
          <w:rFonts w:eastAsia="SimSun" w:hint="eastAsia"/>
        </w:rPr>
        <w:t>2001</w:t>
      </w:r>
      <w:r>
        <w:rPr>
          <w:rFonts w:eastAsia="SimSun" w:hint="eastAsia"/>
        </w:rPr>
        <w:t>年</w:t>
      </w:r>
      <w:r>
        <w:rPr>
          <w:rFonts w:eastAsia="SimSun" w:hint="eastAsia"/>
        </w:rPr>
        <w:t>6</w:t>
      </w:r>
      <w:r>
        <w:rPr>
          <w:rFonts w:eastAsia="SimSun" w:hint="eastAsia"/>
        </w:rPr>
        <w:t>月，已有</w:t>
      </w:r>
      <w:r>
        <w:rPr>
          <w:rFonts w:eastAsia="SimSun" w:hint="eastAsia"/>
        </w:rPr>
        <w:t>147</w:t>
      </w:r>
      <w:r>
        <w:rPr>
          <w:rFonts w:eastAsia="SimSun" w:hint="eastAsia"/>
        </w:rPr>
        <w:t>个国家批准了《公民权利和政治权利国际公约》；</w:t>
      </w:r>
      <w:r>
        <w:rPr>
          <w:rFonts w:eastAsia="SimSun" w:hint="eastAsia"/>
        </w:rPr>
        <w:t>145</w:t>
      </w:r>
      <w:r>
        <w:rPr>
          <w:rFonts w:eastAsia="SimSun" w:hint="eastAsia"/>
        </w:rPr>
        <w:t>个国家批准了《经济、社会、文化权利国际公约》；</w:t>
      </w:r>
      <w:r>
        <w:rPr>
          <w:rFonts w:eastAsia="SimSun" w:hint="eastAsia"/>
        </w:rPr>
        <w:t>124</w:t>
      </w:r>
      <w:r>
        <w:rPr>
          <w:rFonts w:eastAsia="SimSun" w:hint="eastAsia"/>
        </w:rPr>
        <w:t>个国家批准了《禁止酷刑和其他残忍</w:t>
      </w:r>
      <w:r>
        <w:rPr>
          <w:rFonts w:eastAsia="SimSun" w:hint="eastAsia"/>
        </w:rPr>
        <w:t>、不人道或有辱人格的待遇或处罚公约》；</w:t>
      </w:r>
      <w:r>
        <w:rPr>
          <w:rFonts w:eastAsia="SimSun" w:hint="eastAsia"/>
        </w:rPr>
        <w:t>157</w:t>
      </w:r>
      <w:r>
        <w:rPr>
          <w:rFonts w:eastAsia="SimSun" w:hint="eastAsia"/>
        </w:rPr>
        <w:t>个国家批准了《消除一切形式种族歧视公约》；</w:t>
      </w:r>
      <w:r>
        <w:rPr>
          <w:rFonts w:eastAsia="SimSun" w:hint="eastAsia"/>
        </w:rPr>
        <w:t>168</w:t>
      </w:r>
      <w:r>
        <w:rPr>
          <w:rFonts w:eastAsia="SimSun" w:hint="eastAsia"/>
        </w:rPr>
        <w:t>个国家批准了《消除对妇女一切形式歧视公约》；</w:t>
      </w:r>
      <w:r>
        <w:rPr>
          <w:rFonts w:eastAsia="SimSun" w:hint="eastAsia"/>
        </w:rPr>
        <w:t>191</w:t>
      </w:r>
      <w:r>
        <w:rPr>
          <w:rFonts w:eastAsia="SimSun" w:hint="eastAsia"/>
        </w:rPr>
        <w:t>个国家批准了《儿童权利公约》。关于这方面，见《</w:t>
      </w:r>
      <w:r>
        <w:rPr>
          <w:rFonts w:eastAsia="SimSun" w:hint="eastAsia"/>
        </w:rPr>
        <w:t>2001</w:t>
      </w:r>
      <w:r>
        <w:rPr>
          <w:rFonts w:eastAsia="SimSun" w:hint="eastAsia"/>
        </w:rPr>
        <w:t>年人类发展报告》，开发计划署，纽约</w:t>
      </w:r>
      <w:r>
        <w:rPr>
          <w:rFonts w:eastAsia="SimSun" w:hint="eastAsia"/>
        </w:rPr>
        <w:t>/</w:t>
      </w:r>
      <w:r>
        <w:rPr>
          <w:rFonts w:eastAsia="SimSun" w:hint="eastAsia"/>
        </w:rPr>
        <w:t>牛津，牛津大学出版社，</w:t>
      </w:r>
      <w:r>
        <w:rPr>
          <w:rFonts w:eastAsia="SimSun" w:hint="eastAsia"/>
        </w:rPr>
        <w:t>2001</w:t>
      </w:r>
      <w:r>
        <w:rPr>
          <w:rFonts w:eastAsia="SimSun" w:hint="eastAsia"/>
        </w:rPr>
        <w:t>年。</w:t>
      </w:r>
    </w:p>
  </w:footnote>
  <w:footnote w:id="26">
    <w:p w:rsidR="00000000" w:rsidRDefault="004D2F83">
      <w:pPr>
        <w:pStyle w:val="FootnoteText"/>
        <w:spacing w:afterLines="30" w:after="72" w:line="240" w:lineRule="auto"/>
        <w:rPr>
          <w:rFonts w:eastAsia="SimSun" w:hint="eastAsia"/>
        </w:rPr>
      </w:pPr>
      <w:r>
        <w:rPr>
          <w:rStyle w:val="FootnoteReference"/>
          <w:rFonts w:eastAsia="SimSun"/>
        </w:rPr>
        <w:t>26</w:t>
      </w:r>
      <w:r>
        <w:rPr>
          <w:rFonts w:eastAsia="SimSun"/>
        </w:rPr>
        <w:t xml:space="preserve"> </w:t>
      </w:r>
      <w:r>
        <w:rPr>
          <w:rFonts w:eastAsia="SimSun" w:hint="eastAsia"/>
        </w:rPr>
        <w:t>实际上，</w:t>
      </w:r>
      <w:r>
        <w:rPr>
          <w:rFonts w:eastAsia="SimSun" w:hint="eastAsia"/>
        </w:rPr>
        <w:t>100</w:t>
      </w:r>
      <w:r>
        <w:rPr>
          <w:rFonts w:eastAsia="SimSun" w:hint="eastAsia"/>
        </w:rPr>
        <w:t>多个会员国中至少有</w:t>
      </w:r>
      <w:r>
        <w:rPr>
          <w:rFonts w:eastAsia="SimSun" w:hint="eastAsia"/>
        </w:rPr>
        <w:t>23</w:t>
      </w:r>
      <w:r>
        <w:rPr>
          <w:rFonts w:eastAsia="SimSun" w:hint="eastAsia"/>
        </w:rPr>
        <w:t>个提出了</w:t>
      </w:r>
      <w:r>
        <w:rPr>
          <w:rFonts w:eastAsia="SimSun" w:hint="eastAsia"/>
        </w:rPr>
        <w:t>88</w:t>
      </w:r>
      <w:r>
        <w:rPr>
          <w:rFonts w:eastAsia="SimSun" w:hint="eastAsia"/>
        </w:rPr>
        <w:t>条实质性的保留意见。《消除对妇女一切形式歧视公约》面临两难境地，最大限度地普遍执行《公约》要以其完整性为代价。</w:t>
      </w:r>
    </w:p>
  </w:footnote>
  <w:footnote w:id="27">
    <w:p w:rsidR="00000000" w:rsidRDefault="004D2F83">
      <w:pPr>
        <w:pStyle w:val="FootnoteText"/>
        <w:spacing w:afterLines="30" w:after="72" w:line="240" w:lineRule="auto"/>
        <w:rPr>
          <w:rFonts w:eastAsia="SimSun" w:hint="eastAsia"/>
        </w:rPr>
      </w:pPr>
      <w:r>
        <w:rPr>
          <w:rStyle w:val="FootnoteReference"/>
          <w:rFonts w:eastAsia="SimSun"/>
        </w:rPr>
        <w:t>27</w:t>
      </w:r>
      <w:r>
        <w:rPr>
          <w:rFonts w:eastAsia="SimSun"/>
        </w:rPr>
        <w:t xml:space="preserve"> </w:t>
      </w:r>
      <w:r>
        <w:rPr>
          <w:rFonts w:eastAsia="SimSun" w:hint="eastAsia"/>
        </w:rPr>
        <w:t>第</w:t>
      </w:r>
      <w:r>
        <w:rPr>
          <w:rFonts w:eastAsia="SimSun" w:hint="eastAsia"/>
        </w:rPr>
        <w:t>15</w:t>
      </w:r>
      <w:r>
        <w:rPr>
          <w:rFonts w:eastAsia="SimSun" w:hint="eastAsia"/>
        </w:rPr>
        <w:t>条确保男女均享有自由选择户籍和居住地的权利。另一方面，第</w:t>
      </w:r>
      <w:r>
        <w:rPr>
          <w:rFonts w:eastAsia="SimSun" w:hint="eastAsia"/>
        </w:rPr>
        <w:t>16</w:t>
      </w:r>
      <w:r>
        <w:rPr>
          <w:rFonts w:eastAsia="SimSun" w:hint="eastAsia"/>
        </w:rPr>
        <w:t>条规定</w:t>
      </w:r>
      <w:r>
        <w:rPr>
          <w:rFonts w:eastAsia="SimSun" w:hint="eastAsia"/>
        </w:rPr>
        <w:t>男女在婚姻和家庭关系范围内权利平等。</w:t>
      </w:r>
      <w:r>
        <w:rPr>
          <w:rFonts w:eastAsia="SimSun" w:hint="eastAsia"/>
        </w:rPr>
        <w:t>1994</w:t>
      </w:r>
      <w:r>
        <w:rPr>
          <w:rFonts w:eastAsia="SimSun" w:hint="eastAsia"/>
        </w:rPr>
        <w:t>年</w:t>
      </w:r>
      <w:r>
        <w:rPr>
          <w:rFonts w:eastAsia="SimSun" w:hint="eastAsia"/>
        </w:rPr>
        <w:t>12</w:t>
      </w:r>
      <w:r>
        <w:rPr>
          <w:rFonts w:eastAsia="SimSun" w:hint="eastAsia"/>
        </w:rPr>
        <w:t>月</w:t>
      </w:r>
      <w:r>
        <w:rPr>
          <w:rFonts w:eastAsia="SimSun" w:hint="eastAsia"/>
        </w:rPr>
        <w:t>20</w:t>
      </w:r>
      <w:r>
        <w:rPr>
          <w:rFonts w:eastAsia="SimSun" w:hint="eastAsia"/>
        </w:rPr>
        <w:t>日，巴西通知联合国秘书长，巴西收回其保留意见。</w:t>
      </w:r>
    </w:p>
  </w:footnote>
  <w:footnote w:id="28">
    <w:p w:rsidR="00000000" w:rsidRDefault="004D2F83">
      <w:pPr>
        <w:pStyle w:val="FootnoteText"/>
        <w:spacing w:afterLines="30" w:after="72" w:line="240" w:lineRule="auto"/>
        <w:rPr>
          <w:rFonts w:eastAsia="SimSun" w:hint="eastAsia"/>
        </w:rPr>
      </w:pPr>
      <w:r>
        <w:rPr>
          <w:rStyle w:val="FootnoteReference"/>
          <w:rFonts w:eastAsia="SimSun"/>
        </w:rPr>
        <w:t>28</w:t>
      </w:r>
      <w:r>
        <w:rPr>
          <w:rFonts w:eastAsia="SimSun"/>
        </w:rPr>
        <w:t xml:space="preserve"> </w:t>
      </w:r>
      <w:r>
        <w:rPr>
          <w:rFonts w:eastAsia="SimSun" w:hint="eastAsia"/>
        </w:rPr>
        <w:t>《维也纳宣言》第</w:t>
      </w:r>
      <w:r>
        <w:rPr>
          <w:rFonts w:eastAsia="SimSun" w:hint="eastAsia"/>
        </w:rPr>
        <w:t>39</w:t>
      </w:r>
      <w:r>
        <w:rPr>
          <w:rFonts w:eastAsia="SimSun" w:hint="eastAsia"/>
        </w:rPr>
        <w:t>条规定：“世界人权会议敦促各国消除对妇女一切形式的歧视，不论是隐蔽的还是明显的。联合国应推动到</w:t>
      </w:r>
      <w:r>
        <w:rPr>
          <w:rFonts w:eastAsia="SimSun" w:hint="eastAsia"/>
        </w:rPr>
        <w:t>2000</w:t>
      </w:r>
      <w:r>
        <w:rPr>
          <w:rFonts w:eastAsia="SimSun" w:hint="eastAsia"/>
        </w:rPr>
        <w:t>年实现各国普遍批准《消除对妇女一切形式歧视公约》的目标。应当鼓励提出解决对《公约》的大量保留意见的方法和手段。除了其他措施以外，消除对妇女歧视委员会应当继续审查对《公约》的保留意见。敦促各国收回有悖于《公约》的目标和宗旨或不符合国际条约法的保留意见。”</w:t>
      </w:r>
    </w:p>
  </w:footnote>
  <w:footnote w:id="29">
    <w:p w:rsidR="00000000" w:rsidRDefault="004D2F83">
      <w:pPr>
        <w:pStyle w:val="FootnoteText"/>
        <w:spacing w:afterLines="30" w:after="72" w:line="240" w:lineRule="auto"/>
        <w:rPr>
          <w:rFonts w:eastAsia="SimSun" w:hint="eastAsia"/>
        </w:rPr>
      </w:pPr>
      <w:r>
        <w:rPr>
          <w:rStyle w:val="FootnoteReference"/>
          <w:rFonts w:eastAsia="SimSun"/>
        </w:rPr>
        <w:t>29</w:t>
      </w:r>
      <w:r>
        <w:rPr>
          <w:rFonts w:eastAsia="SimSun"/>
        </w:rPr>
        <w:t xml:space="preserve"> </w:t>
      </w:r>
      <w:r>
        <w:rPr>
          <w:rFonts w:eastAsia="SimSun" w:hint="eastAsia"/>
        </w:rPr>
        <w:t>关于巴西人权保护公约</w:t>
      </w:r>
      <w:r>
        <w:rPr>
          <w:rFonts w:eastAsia="SimSun" w:hint="eastAsia"/>
        </w:rPr>
        <w:t>的层次，存在理论和判例上的巨大分歧。现有的四种趋势是：</w:t>
      </w:r>
      <w:r>
        <w:rPr>
          <w:rFonts w:eastAsia="SimSun" w:hint="eastAsia"/>
        </w:rPr>
        <w:t xml:space="preserve">a) </w:t>
      </w:r>
      <w:r>
        <w:rPr>
          <w:rFonts w:eastAsia="SimSun" w:hint="eastAsia"/>
        </w:rPr>
        <w:t>人权条约的超宪法层次；</w:t>
      </w:r>
      <w:r>
        <w:rPr>
          <w:rFonts w:eastAsia="SimSun" w:hint="eastAsia"/>
        </w:rPr>
        <w:t xml:space="preserve">b) </w:t>
      </w:r>
      <w:r>
        <w:rPr>
          <w:rFonts w:eastAsia="SimSun" w:hint="eastAsia"/>
        </w:rPr>
        <w:t>宪法层次；</w:t>
      </w:r>
      <w:r>
        <w:rPr>
          <w:rFonts w:eastAsia="SimSun" w:hint="eastAsia"/>
        </w:rPr>
        <w:t xml:space="preserve">c) </w:t>
      </w:r>
      <w:r>
        <w:rPr>
          <w:rFonts w:eastAsia="SimSun" w:hint="eastAsia"/>
        </w:rPr>
        <w:t>这些条约的超法律但宪法下层次；和</w:t>
      </w:r>
      <w:r>
        <w:rPr>
          <w:rFonts w:eastAsia="SimSun" w:hint="eastAsia"/>
        </w:rPr>
        <w:t xml:space="preserve">d) </w:t>
      </w:r>
      <w:r>
        <w:rPr>
          <w:rFonts w:eastAsia="SimSun" w:hint="eastAsia"/>
        </w:rPr>
        <w:t>条约与联邦法之间的平等层次（联邦最高法院多数所持的立场）。</w:t>
      </w:r>
    </w:p>
  </w:footnote>
  <w:footnote w:id="30">
    <w:p w:rsidR="00000000" w:rsidRDefault="004D2F83">
      <w:pPr>
        <w:pStyle w:val="FootnoteText"/>
        <w:spacing w:afterLines="30" w:after="72" w:line="240" w:lineRule="auto"/>
        <w:rPr>
          <w:rFonts w:eastAsia="SimSun" w:hint="eastAsia"/>
        </w:rPr>
      </w:pPr>
      <w:r>
        <w:rPr>
          <w:rStyle w:val="FootnoteReference"/>
          <w:rFonts w:eastAsia="SimSun"/>
        </w:rPr>
        <w:t>30</w:t>
      </w:r>
      <w:r>
        <w:rPr>
          <w:rFonts w:eastAsia="SimSun"/>
        </w:rPr>
        <w:t xml:space="preserve"> </w:t>
      </w:r>
      <w:r>
        <w:rPr>
          <w:rFonts w:eastAsia="SimSun" w:hint="eastAsia"/>
        </w:rPr>
        <w:t>不过，应当指出的是，</w:t>
      </w:r>
      <w:r>
        <w:rPr>
          <w:rFonts w:eastAsia="SimSun" w:hint="eastAsia"/>
        </w:rPr>
        <w:t>2002</w:t>
      </w:r>
      <w:r>
        <w:rPr>
          <w:rFonts w:eastAsia="SimSun" w:hint="eastAsia"/>
        </w:rPr>
        <w:t>年</w:t>
      </w:r>
      <w:r>
        <w:rPr>
          <w:rFonts w:eastAsia="SimSun" w:hint="eastAsia"/>
        </w:rPr>
        <w:t>1</w:t>
      </w:r>
      <w:r>
        <w:rPr>
          <w:rFonts w:eastAsia="SimSun" w:hint="eastAsia"/>
        </w:rPr>
        <w:t>月</w:t>
      </w:r>
      <w:r>
        <w:rPr>
          <w:rFonts w:eastAsia="SimSun" w:hint="eastAsia"/>
        </w:rPr>
        <w:t>10</w:t>
      </w:r>
      <w:r>
        <w:rPr>
          <w:rFonts w:eastAsia="SimSun" w:hint="eastAsia"/>
        </w:rPr>
        <w:t>日的第</w:t>
      </w:r>
      <w:r>
        <w:rPr>
          <w:rFonts w:eastAsia="SimSun" w:hint="eastAsia"/>
        </w:rPr>
        <w:t>10406</w:t>
      </w:r>
      <w:r>
        <w:rPr>
          <w:rFonts w:eastAsia="SimSun" w:hint="eastAsia"/>
        </w:rPr>
        <w:t>号法律制定了《新民法》，新法律将于</w:t>
      </w:r>
      <w:r>
        <w:rPr>
          <w:rFonts w:eastAsia="SimSun" w:hint="eastAsia"/>
        </w:rPr>
        <w:t>2003</w:t>
      </w:r>
      <w:r>
        <w:rPr>
          <w:rFonts w:eastAsia="SimSun" w:hint="eastAsia"/>
        </w:rPr>
        <w:t>年</w:t>
      </w:r>
      <w:r>
        <w:rPr>
          <w:rFonts w:eastAsia="SimSun" w:hint="eastAsia"/>
        </w:rPr>
        <w:t>1</w:t>
      </w:r>
      <w:r>
        <w:rPr>
          <w:rFonts w:eastAsia="SimSun" w:hint="eastAsia"/>
        </w:rPr>
        <w:t>月</w:t>
      </w:r>
      <w:r>
        <w:rPr>
          <w:rFonts w:eastAsia="SimSun" w:hint="eastAsia"/>
        </w:rPr>
        <w:t>11</w:t>
      </w:r>
      <w:r>
        <w:rPr>
          <w:rFonts w:eastAsia="SimSun" w:hint="eastAsia"/>
        </w:rPr>
        <w:t>日生效，作了实质性改动，比如，通过废除“父权”此后将被称为“家庭权”，以及使用“人”（</w:t>
      </w:r>
      <w:r>
        <w:rPr>
          <w:rFonts w:eastAsia="SimSun" w:hint="eastAsia"/>
        </w:rPr>
        <w:t>human being</w:t>
      </w:r>
      <w:r>
        <w:rPr>
          <w:rFonts w:eastAsia="SimSun" w:hint="eastAsia"/>
        </w:rPr>
        <w:t>）一词取代通用的“男人”（</w:t>
      </w:r>
      <w:r>
        <w:rPr>
          <w:rFonts w:eastAsia="SimSun" w:hint="eastAsia"/>
        </w:rPr>
        <w:t>man</w:t>
      </w:r>
      <w:r>
        <w:rPr>
          <w:rFonts w:eastAsia="SimSun" w:hint="eastAsia"/>
        </w:rPr>
        <w:t>）一词，实现配偶的绝对平等。</w:t>
      </w:r>
    </w:p>
  </w:footnote>
  <w:footnote w:id="31">
    <w:p w:rsidR="00000000" w:rsidRDefault="004D2F83">
      <w:pPr>
        <w:pStyle w:val="FootnoteText"/>
        <w:spacing w:afterLines="30" w:after="72" w:line="240" w:lineRule="auto"/>
        <w:rPr>
          <w:rFonts w:eastAsia="SimSun" w:hint="eastAsia"/>
        </w:rPr>
      </w:pPr>
      <w:r>
        <w:rPr>
          <w:rStyle w:val="FootnoteReference"/>
          <w:rFonts w:eastAsia="SimSun"/>
        </w:rPr>
        <w:t>31</w:t>
      </w:r>
      <w:r>
        <w:rPr>
          <w:rFonts w:eastAsia="SimSun"/>
        </w:rPr>
        <w:t xml:space="preserve"> </w:t>
      </w:r>
      <w:r>
        <w:rPr>
          <w:rFonts w:eastAsia="SimSun" w:hint="eastAsia"/>
        </w:rPr>
        <w:t>举例来说，除了《刑法》</w:t>
      </w:r>
      <w:r>
        <w:rPr>
          <w:rFonts w:eastAsia="SimSun" w:hint="eastAsia"/>
        </w:rPr>
        <w:t>的规定之外，应当提到的是《民法》第</w:t>
      </w:r>
      <w:r>
        <w:rPr>
          <w:rFonts w:eastAsia="SimSun" w:hint="eastAsia"/>
        </w:rPr>
        <w:t>233</w:t>
      </w:r>
      <w:r>
        <w:rPr>
          <w:rFonts w:eastAsia="SimSun" w:hint="eastAsia"/>
        </w:rPr>
        <w:t>、</w:t>
      </w:r>
      <w:r>
        <w:rPr>
          <w:rFonts w:eastAsia="SimSun" w:hint="eastAsia"/>
        </w:rPr>
        <w:t>247</w:t>
      </w:r>
      <w:r>
        <w:rPr>
          <w:rFonts w:eastAsia="SimSun" w:hint="eastAsia"/>
        </w:rPr>
        <w:t>、</w:t>
      </w:r>
      <w:r>
        <w:rPr>
          <w:rFonts w:eastAsia="SimSun" w:hint="eastAsia"/>
        </w:rPr>
        <w:t>219</w:t>
      </w:r>
      <w:r>
        <w:rPr>
          <w:rFonts w:eastAsia="SimSun" w:hint="eastAsia"/>
        </w:rPr>
        <w:t>、</w:t>
      </w:r>
      <w:r>
        <w:rPr>
          <w:rFonts w:eastAsia="SimSun" w:hint="eastAsia"/>
        </w:rPr>
        <w:t>380</w:t>
      </w:r>
      <w:r>
        <w:rPr>
          <w:rFonts w:eastAsia="SimSun" w:hint="eastAsia"/>
        </w:rPr>
        <w:t>条和</w:t>
      </w:r>
      <w:r>
        <w:rPr>
          <w:rFonts w:eastAsia="SimSun" w:hint="eastAsia"/>
        </w:rPr>
        <w:t>1744</w:t>
      </w:r>
      <w:r>
        <w:rPr>
          <w:rFonts w:eastAsia="SimSun" w:hint="eastAsia"/>
        </w:rPr>
        <w:t>条，“</w:t>
      </w:r>
      <w:r>
        <w:rPr>
          <w:rFonts w:eastAsia="SimSun" w:hint="eastAsia"/>
        </w:rPr>
        <w:t>c</w:t>
      </w:r>
      <w:r>
        <w:rPr>
          <w:rFonts w:eastAsia="SimSun" w:hint="eastAsia"/>
        </w:rPr>
        <w:t>”，</w:t>
      </w:r>
      <w:r>
        <w:rPr>
          <w:rFonts w:eastAsia="SimSun" w:hint="eastAsia"/>
        </w:rPr>
        <w:t>II</w:t>
      </w:r>
      <w:r>
        <w:rPr>
          <w:rFonts w:eastAsia="SimSun" w:hint="eastAsia"/>
        </w:rPr>
        <w:t>，这些条款也对妇女采取了同样的歧视办法，本报告将对此进行分析。</w:t>
      </w:r>
    </w:p>
  </w:footnote>
  <w:footnote w:id="32">
    <w:p w:rsidR="00000000" w:rsidRDefault="004D2F83">
      <w:pPr>
        <w:pStyle w:val="FootnoteText"/>
        <w:spacing w:afterLines="30" w:after="72" w:line="240" w:lineRule="auto"/>
        <w:rPr>
          <w:rFonts w:eastAsia="SimSun" w:hint="eastAsia"/>
        </w:rPr>
      </w:pPr>
      <w:r>
        <w:rPr>
          <w:rStyle w:val="FootnoteReference"/>
          <w:rFonts w:eastAsia="SimSun"/>
        </w:rPr>
        <w:t>32</w:t>
      </w:r>
      <w:r>
        <w:rPr>
          <w:rFonts w:eastAsia="SimSun"/>
        </w:rPr>
        <w:t xml:space="preserve"> </w:t>
      </w:r>
      <w:r>
        <w:rPr>
          <w:rFonts w:eastAsia="SimSun" w:hint="eastAsia"/>
        </w:rPr>
        <w:t>在这方面，应当强调的是“妇女在家庭中的形象</w:t>
      </w:r>
      <w:r>
        <w:rPr>
          <w:rFonts w:eastAsia="SimSun" w:hint="eastAsia"/>
        </w:rPr>
        <w:t>/</w:t>
      </w:r>
      <w:r>
        <w:rPr>
          <w:rFonts w:eastAsia="SimSun" w:hint="eastAsia"/>
        </w:rPr>
        <w:t>角色”，</w:t>
      </w:r>
      <w:r>
        <w:rPr>
          <w:rFonts w:eastAsia="SimSun" w:hint="eastAsia"/>
        </w:rPr>
        <w:t>Silvia Pimentel</w:t>
      </w:r>
      <w:r>
        <w:rPr>
          <w:rFonts w:eastAsia="SimSun" w:hint="eastAsia"/>
        </w:rPr>
        <w:t>，</w:t>
      </w:r>
      <w:r>
        <w:rPr>
          <w:rFonts w:eastAsia="SimSun" w:hint="eastAsia"/>
        </w:rPr>
        <w:t>Beariz Di Giorgi</w:t>
      </w:r>
      <w:r>
        <w:rPr>
          <w:rFonts w:eastAsia="SimSun" w:hint="eastAsia"/>
        </w:rPr>
        <w:t>和</w:t>
      </w:r>
      <w:r>
        <w:rPr>
          <w:rFonts w:eastAsia="SimSun" w:hint="eastAsia"/>
        </w:rPr>
        <w:t>Flavia Piovesan</w:t>
      </w:r>
      <w:r>
        <w:rPr>
          <w:rFonts w:eastAsia="SimSun" w:hint="eastAsia"/>
        </w:rPr>
        <w:t>著，</w:t>
      </w:r>
      <w:r>
        <w:rPr>
          <w:rFonts w:eastAsia="SimSun" w:hint="eastAsia"/>
        </w:rPr>
        <w:t>1993</w:t>
      </w:r>
      <w:r>
        <w:rPr>
          <w:rFonts w:eastAsia="SimSun" w:hint="eastAsia"/>
        </w:rPr>
        <w:t>年；“强奸：犯罪还是礼遇：对性别问题的社会</w:t>
      </w:r>
      <w:r>
        <w:rPr>
          <w:rFonts w:eastAsia="SimSun" w:hint="eastAsia"/>
        </w:rPr>
        <w:t>-</w:t>
      </w:r>
      <w:r>
        <w:rPr>
          <w:rFonts w:eastAsia="SimSun" w:hint="eastAsia"/>
        </w:rPr>
        <w:t>司法态度”，</w:t>
      </w:r>
      <w:r>
        <w:rPr>
          <w:rFonts w:eastAsia="SimSun" w:hint="eastAsia"/>
        </w:rPr>
        <w:t>Silvia Pimentel</w:t>
      </w:r>
      <w:r>
        <w:rPr>
          <w:rFonts w:eastAsia="SimSun" w:hint="eastAsia"/>
        </w:rPr>
        <w:t>，</w:t>
      </w:r>
      <w:r>
        <w:rPr>
          <w:rFonts w:eastAsia="SimSun" w:hint="eastAsia"/>
        </w:rPr>
        <w:t>Ana Lucia P. Schrizmeyer</w:t>
      </w:r>
      <w:r>
        <w:rPr>
          <w:rFonts w:eastAsia="SimSun" w:hint="eastAsia"/>
        </w:rPr>
        <w:t>和</w:t>
      </w:r>
      <w:r>
        <w:rPr>
          <w:rFonts w:eastAsia="SimSun" w:hint="eastAsia"/>
        </w:rPr>
        <w:t>Valeria Pandjiarjian</w:t>
      </w:r>
      <w:r>
        <w:rPr>
          <w:rFonts w:eastAsia="SimSun" w:hint="eastAsia"/>
        </w:rPr>
        <w:t>著，</w:t>
      </w:r>
      <w:r>
        <w:rPr>
          <w:rFonts w:eastAsia="SimSun" w:hint="eastAsia"/>
        </w:rPr>
        <w:t>1998</w:t>
      </w:r>
      <w:r>
        <w:rPr>
          <w:rFonts w:eastAsia="SimSun" w:hint="eastAsia"/>
        </w:rPr>
        <w:t>年，等等各项研究。另外，值得一提的是，“妇女与公民权利”丛书，由公民权、学习、研究、信息和行动局出版，妇发基金、</w:t>
      </w:r>
      <w:r>
        <w:rPr>
          <w:rFonts w:eastAsia="SimSun" w:hint="eastAsia"/>
        </w:rPr>
        <w:t>FNUAP</w:t>
      </w:r>
      <w:r>
        <w:rPr>
          <w:rFonts w:eastAsia="SimSun" w:hint="eastAsia"/>
        </w:rPr>
        <w:t>、福特基金会和欧洲委员会提供支持，目前共有</w:t>
      </w:r>
      <w:r>
        <w:rPr>
          <w:rFonts w:eastAsia="SimSun" w:hint="eastAsia"/>
        </w:rPr>
        <w:t>3</w:t>
      </w:r>
      <w:r>
        <w:rPr>
          <w:rFonts w:eastAsia="SimSun" w:hint="eastAsia"/>
        </w:rPr>
        <w:t>卷，收录了有关这一专题的很多论文。</w:t>
      </w:r>
    </w:p>
  </w:footnote>
  <w:footnote w:id="33">
    <w:p w:rsidR="00000000" w:rsidRDefault="004D2F83">
      <w:pPr>
        <w:pStyle w:val="FootnoteText"/>
        <w:spacing w:afterLines="30" w:after="72" w:line="240" w:lineRule="auto"/>
        <w:jc w:val="both"/>
        <w:rPr>
          <w:rFonts w:eastAsia="SimSun" w:hint="eastAsia"/>
        </w:rPr>
      </w:pPr>
      <w:r>
        <w:rPr>
          <w:rStyle w:val="FootnoteReference"/>
          <w:rFonts w:eastAsia="SimSun"/>
        </w:rPr>
        <w:t>33</w:t>
      </w:r>
      <w:r>
        <w:rPr>
          <w:rFonts w:eastAsia="SimSun"/>
        </w:rPr>
        <w:t xml:space="preserve"> </w:t>
      </w:r>
      <w:r>
        <w:rPr>
          <w:rFonts w:eastAsia="SimSun" w:hint="eastAsia"/>
        </w:rPr>
        <w:t>国民议会还通过了</w:t>
      </w:r>
      <w:r>
        <w:rPr>
          <w:rFonts w:eastAsia="SimSun" w:hint="eastAsia"/>
        </w:rPr>
        <w:t>Socorro Gomes</w:t>
      </w:r>
      <w:r>
        <w:rPr>
          <w:rFonts w:eastAsia="SimSun" w:hint="eastAsia"/>
        </w:rPr>
        <w:t>代表提出的第</w:t>
      </w:r>
      <w:r>
        <w:rPr>
          <w:rFonts w:eastAsia="SimSun" w:hint="eastAsia"/>
        </w:rPr>
        <w:t>3692/93</w:t>
      </w:r>
      <w:r>
        <w:rPr>
          <w:rFonts w:eastAsia="SimSun" w:hint="eastAsia"/>
        </w:rPr>
        <w:t>号议案，对公共健康网络在开展</w:t>
      </w:r>
      <w:r>
        <w:rPr>
          <w:rFonts w:eastAsia="SimSun" w:hint="eastAsia"/>
        </w:rPr>
        <w:t>DNA</w:t>
      </w:r>
      <w:r>
        <w:rPr>
          <w:rFonts w:eastAsia="SimSun" w:hint="eastAsia"/>
        </w:rPr>
        <w:t>检测方面的义务作了规定。这项议案被共和国总统否决（</w:t>
      </w:r>
      <w:r>
        <w:rPr>
          <w:rFonts w:eastAsia="SimSun" w:hint="eastAsia"/>
        </w:rPr>
        <w:t>MSC 239/95</w:t>
      </w:r>
      <w:r>
        <w:rPr>
          <w:rFonts w:eastAsia="SimSun" w:hint="eastAsia"/>
        </w:rPr>
        <w:t>）。国民议会于</w:t>
      </w:r>
      <w:r>
        <w:rPr>
          <w:rFonts w:eastAsia="SimSun" w:hint="eastAsia"/>
        </w:rPr>
        <w:t>1995</w:t>
      </w:r>
      <w:r>
        <w:rPr>
          <w:rFonts w:eastAsia="SimSun" w:hint="eastAsia"/>
        </w:rPr>
        <w:t>年</w:t>
      </w:r>
      <w:r>
        <w:rPr>
          <w:rFonts w:eastAsia="SimSun" w:hint="eastAsia"/>
        </w:rPr>
        <w:t>8</w:t>
      </w:r>
      <w:r>
        <w:rPr>
          <w:rFonts w:eastAsia="SimSun" w:hint="eastAsia"/>
        </w:rPr>
        <w:t>月</w:t>
      </w:r>
      <w:r>
        <w:rPr>
          <w:rFonts w:eastAsia="SimSun" w:hint="eastAsia"/>
        </w:rPr>
        <w:t>16</w:t>
      </w:r>
      <w:r>
        <w:rPr>
          <w:rFonts w:eastAsia="SimSun" w:hint="eastAsia"/>
        </w:rPr>
        <w:t>日维持了总统的否决。议会通过了议会调查委员会提交的第</w:t>
      </w:r>
      <w:r>
        <w:rPr>
          <w:rFonts w:eastAsia="SimSun" w:hint="eastAsia"/>
        </w:rPr>
        <w:t>2802/92</w:t>
      </w:r>
      <w:r>
        <w:rPr>
          <w:rFonts w:eastAsia="SimSun" w:hint="eastAsia"/>
        </w:rPr>
        <w:t>号议案，委员会调查了灭绝少数民族的</w:t>
      </w:r>
      <w:r>
        <w:rPr>
          <w:rFonts w:eastAsia="SimSun" w:hint="eastAsia"/>
        </w:rPr>
        <w:t>情况。这项议案于</w:t>
      </w:r>
      <w:r>
        <w:rPr>
          <w:rFonts w:eastAsia="SimSun" w:hint="eastAsia"/>
        </w:rPr>
        <w:t>1997</w:t>
      </w:r>
      <w:r>
        <w:rPr>
          <w:rFonts w:eastAsia="SimSun" w:hint="eastAsia"/>
        </w:rPr>
        <w:t>年</w:t>
      </w:r>
      <w:r>
        <w:rPr>
          <w:rFonts w:eastAsia="SimSun" w:hint="eastAsia"/>
        </w:rPr>
        <w:t>12</w:t>
      </w:r>
      <w:r>
        <w:rPr>
          <w:rFonts w:eastAsia="SimSun" w:hint="eastAsia"/>
        </w:rPr>
        <w:t>月</w:t>
      </w:r>
      <w:r>
        <w:rPr>
          <w:rFonts w:eastAsia="SimSun" w:hint="eastAsia"/>
        </w:rPr>
        <w:t>30</w:t>
      </w:r>
      <w:r>
        <w:rPr>
          <w:rFonts w:eastAsia="SimSun" w:hint="eastAsia"/>
        </w:rPr>
        <w:t>日被共和国总统完全否决。议会通过了</w:t>
      </w:r>
      <w:r>
        <w:rPr>
          <w:rFonts w:eastAsia="SimSun" w:hint="eastAsia"/>
        </w:rPr>
        <w:t>Maria Laura</w:t>
      </w:r>
      <w:r>
        <w:rPr>
          <w:rFonts w:eastAsia="SimSun" w:hint="eastAsia"/>
        </w:rPr>
        <w:t>代表提出的第</w:t>
      </w:r>
      <w:r>
        <w:rPr>
          <w:rFonts w:eastAsia="SimSun" w:hint="eastAsia"/>
        </w:rPr>
        <w:t>26/96</w:t>
      </w:r>
      <w:r>
        <w:rPr>
          <w:rFonts w:eastAsia="SimSun" w:hint="eastAsia"/>
        </w:rPr>
        <w:t>号补充议案，其中对社会保障受益人因劳动或交通事故致死的情况下赔偿其配偶作了规定。这项议案于</w:t>
      </w:r>
      <w:r>
        <w:rPr>
          <w:rFonts w:eastAsia="SimSun" w:hint="eastAsia"/>
        </w:rPr>
        <w:t>1999</w:t>
      </w:r>
      <w:r>
        <w:rPr>
          <w:rFonts w:eastAsia="SimSun" w:hint="eastAsia"/>
        </w:rPr>
        <w:t>年</w:t>
      </w:r>
      <w:r>
        <w:rPr>
          <w:rFonts w:eastAsia="SimSun" w:hint="eastAsia"/>
        </w:rPr>
        <w:t>7</w:t>
      </w:r>
      <w:r>
        <w:rPr>
          <w:rFonts w:eastAsia="SimSun" w:hint="eastAsia"/>
        </w:rPr>
        <w:t>月</w:t>
      </w:r>
      <w:r>
        <w:rPr>
          <w:rFonts w:eastAsia="SimSun" w:hint="eastAsia"/>
        </w:rPr>
        <w:t>6</w:t>
      </w:r>
      <w:r>
        <w:rPr>
          <w:rFonts w:eastAsia="SimSun" w:hint="eastAsia"/>
        </w:rPr>
        <w:t>日被完全否决。议会通过了</w:t>
      </w:r>
      <w:r>
        <w:rPr>
          <w:rFonts w:eastAsia="SimSun" w:hint="eastAsia"/>
        </w:rPr>
        <w:t>Jackson Pereira</w:t>
      </w:r>
      <w:r>
        <w:rPr>
          <w:rFonts w:eastAsia="SimSun" w:hint="eastAsia"/>
        </w:rPr>
        <w:t>代表提出的第</w:t>
      </w:r>
      <w:r>
        <w:rPr>
          <w:rFonts w:eastAsia="SimSun" w:hint="eastAsia"/>
        </w:rPr>
        <w:t>50/95</w:t>
      </w:r>
      <w:r>
        <w:rPr>
          <w:rFonts w:eastAsia="SimSun" w:hint="eastAsia"/>
        </w:rPr>
        <w:t>号补充议案，该议案是对</w:t>
      </w:r>
      <w:r>
        <w:rPr>
          <w:rFonts w:eastAsia="SimSun" w:hint="eastAsia"/>
        </w:rPr>
        <w:t>1990</w:t>
      </w:r>
      <w:r>
        <w:rPr>
          <w:rFonts w:eastAsia="SimSun" w:hint="eastAsia"/>
        </w:rPr>
        <w:t>年</w:t>
      </w:r>
      <w:r>
        <w:rPr>
          <w:rFonts w:eastAsia="SimSun" w:hint="eastAsia"/>
        </w:rPr>
        <w:t>1</w:t>
      </w:r>
      <w:r>
        <w:rPr>
          <w:rFonts w:eastAsia="SimSun" w:hint="eastAsia"/>
        </w:rPr>
        <w:t>月</w:t>
      </w:r>
      <w:r>
        <w:rPr>
          <w:rFonts w:eastAsia="SimSun" w:hint="eastAsia"/>
        </w:rPr>
        <w:t>11</w:t>
      </w:r>
      <w:r>
        <w:rPr>
          <w:rFonts w:eastAsia="SimSun" w:hint="eastAsia"/>
        </w:rPr>
        <w:t>日第</w:t>
      </w:r>
      <w:r>
        <w:rPr>
          <w:rFonts w:eastAsia="SimSun" w:hint="eastAsia"/>
        </w:rPr>
        <w:t>7998</w:t>
      </w:r>
      <w:r>
        <w:rPr>
          <w:rFonts w:eastAsia="SimSun" w:hint="eastAsia"/>
        </w:rPr>
        <w:t>号法律的修正案，特别对失业作了规定，旨在让国家公务员享受这项福利。这项议案也被完全否决。议会通过了第</w:t>
      </w:r>
      <w:r>
        <w:rPr>
          <w:rFonts w:eastAsia="SimSun" w:hint="eastAsia"/>
        </w:rPr>
        <w:t>3189/97</w:t>
      </w:r>
      <w:r>
        <w:rPr>
          <w:rFonts w:eastAsia="SimSun" w:hint="eastAsia"/>
        </w:rPr>
        <w:t>号议案（原第</w:t>
      </w:r>
      <w:r>
        <w:rPr>
          <w:rFonts w:eastAsia="SimSun" w:hint="eastAsia"/>
        </w:rPr>
        <w:t>135/96</w:t>
      </w:r>
      <w:r>
        <w:rPr>
          <w:rFonts w:eastAsia="SimSun" w:hint="eastAsia"/>
        </w:rPr>
        <w:t>号补充议案），该议案是《刑</w:t>
      </w:r>
      <w:r>
        <w:rPr>
          <w:rFonts w:eastAsia="SimSun" w:hint="eastAsia"/>
        </w:rPr>
        <w:t>法》的修正案，规定如受害人不满</w:t>
      </w:r>
      <w:r>
        <w:rPr>
          <w:rFonts w:eastAsia="SimSun" w:hint="eastAsia"/>
        </w:rPr>
        <w:t>14</w:t>
      </w:r>
      <w:r>
        <w:rPr>
          <w:rFonts w:eastAsia="SimSun" w:hint="eastAsia"/>
        </w:rPr>
        <w:t>岁，患精神病或智障，且犯罪行为人了解这一情况，则可作出存在暴力的结论推定；如受害人不能反抗，则可作出存在暴力的相对推定。这项议案被完全否决。</w:t>
      </w:r>
    </w:p>
  </w:footnote>
  <w:footnote w:id="34">
    <w:p w:rsidR="00000000" w:rsidRDefault="004D2F83">
      <w:pPr>
        <w:pStyle w:val="FootnoteText"/>
        <w:spacing w:afterLines="30" w:after="72" w:line="240" w:lineRule="auto"/>
        <w:rPr>
          <w:rFonts w:eastAsia="SimSun" w:hint="eastAsia"/>
        </w:rPr>
      </w:pPr>
      <w:r>
        <w:rPr>
          <w:rStyle w:val="FootnoteReference"/>
          <w:rFonts w:eastAsia="SimSun"/>
        </w:rPr>
        <w:t>34</w:t>
      </w:r>
      <w:r>
        <w:rPr>
          <w:rFonts w:eastAsia="SimSun"/>
        </w:rPr>
        <w:t xml:space="preserve"> </w:t>
      </w:r>
      <w:r>
        <w:rPr>
          <w:rFonts w:eastAsia="SimSun" w:hint="eastAsia"/>
        </w:rPr>
        <w:t>妇女运动批评劳动合同具有固定期限，认为在许多情况下，规定最低期限和合同中规定的工作时间的依据损害了该文件中规定的两项“保障”：产假和孕妇工作临时稳定的权利。</w:t>
      </w:r>
    </w:p>
  </w:footnote>
  <w:footnote w:id="35">
    <w:p w:rsidR="00000000" w:rsidRDefault="004D2F83">
      <w:pPr>
        <w:pStyle w:val="FootnoteText"/>
        <w:spacing w:afterLines="30" w:after="72" w:line="240" w:lineRule="auto"/>
        <w:rPr>
          <w:rFonts w:eastAsia="SimSun" w:hint="eastAsia"/>
        </w:rPr>
      </w:pPr>
      <w:r>
        <w:rPr>
          <w:rStyle w:val="FootnoteReference"/>
          <w:rFonts w:eastAsia="SimSun"/>
        </w:rPr>
        <w:t>35</w:t>
      </w:r>
      <w:r>
        <w:rPr>
          <w:rFonts w:eastAsia="SimSun"/>
        </w:rPr>
        <w:t xml:space="preserve"> </w:t>
      </w:r>
      <w:r>
        <w:rPr>
          <w:rFonts w:eastAsia="SimSun" w:hint="eastAsia"/>
        </w:rPr>
        <w:t>在评估妇女运动时，该修正案削弱了社会保障体系中普遍流行的社会保障概念，加强了以贡献为依据的性质。</w:t>
      </w:r>
    </w:p>
  </w:footnote>
  <w:footnote w:id="36">
    <w:p w:rsidR="00000000" w:rsidRDefault="004D2F83">
      <w:pPr>
        <w:pStyle w:val="FootnoteText"/>
        <w:spacing w:afterLines="30" w:after="72" w:line="240" w:lineRule="auto"/>
        <w:rPr>
          <w:rFonts w:eastAsia="SimSun" w:hint="eastAsia"/>
        </w:rPr>
      </w:pPr>
      <w:r>
        <w:rPr>
          <w:rStyle w:val="FootnoteReference"/>
          <w:rFonts w:eastAsia="SimSun"/>
        </w:rPr>
        <w:t>36</w:t>
      </w:r>
      <w:r>
        <w:rPr>
          <w:rFonts w:eastAsia="SimSun"/>
        </w:rPr>
        <w:t xml:space="preserve"> </w:t>
      </w:r>
      <w:r>
        <w:rPr>
          <w:rFonts w:eastAsia="SimSun" w:hint="eastAsia"/>
        </w:rPr>
        <w:t>第</w:t>
      </w:r>
      <w:r>
        <w:rPr>
          <w:rFonts w:eastAsia="SimSun" w:hint="eastAsia"/>
        </w:rPr>
        <w:t>390A</w:t>
      </w:r>
      <w:r>
        <w:rPr>
          <w:rFonts w:eastAsia="SimSun" w:hint="eastAsia"/>
        </w:rPr>
        <w:t>、</w:t>
      </w:r>
      <w:r>
        <w:rPr>
          <w:rFonts w:eastAsia="SimSun" w:hint="eastAsia"/>
        </w:rPr>
        <w:t>390D</w:t>
      </w:r>
      <w:r>
        <w:rPr>
          <w:rFonts w:eastAsia="SimSun" w:hint="eastAsia"/>
        </w:rPr>
        <w:t>、</w:t>
      </w:r>
      <w:r>
        <w:rPr>
          <w:rFonts w:eastAsia="SimSun" w:hint="eastAsia"/>
        </w:rPr>
        <w:t>401A</w:t>
      </w:r>
      <w:r>
        <w:rPr>
          <w:rFonts w:eastAsia="SimSun" w:hint="eastAsia"/>
        </w:rPr>
        <w:t>和</w:t>
      </w:r>
      <w:r>
        <w:rPr>
          <w:rFonts w:eastAsia="SimSun" w:hint="eastAsia"/>
        </w:rPr>
        <w:t>401B</w:t>
      </w:r>
      <w:r>
        <w:rPr>
          <w:rFonts w:eastAsia="SimSun" w:hint="eastAsia"/>
        </w:rPr>
        <w:t>条已被否决。</w:t>
      </w:r>
    </w:p>
    <w:p w:rsidR="00000000" w:rsidRDefault="004D2F83" w:rsidP="004D2F83">
      <w:pPr>
        <w:pStyle w:val="FootnoteText"/>
        <w:spacing w:afterLines="30" w:after="72" w:line="240" w:lineRule="auto"/>
        <w:ind w:firstLineChars="200" w:firstLine="31680"/>
        <w:rPr>
          <w:rFonts w:eastAsia="SimSun" w:hint="eastAsia"/>
        </w:rPr>
      </w:pPr>
      <w:r>
        <w:rPr>
          <w:rFonts w:eastAsia="SimSun" w:hint="eastAsia"/>
        </w:rPr>
        <w:t>第</w:t>
      </w:r>
      <w:r>
        <w:rPr>
          <w:rFonts w:eastAsia="SimSun" w:hint="eastAsia"/>
        </w:rPr>
        <w:t>390</w:t>
      </w:r>
      <w:r>
        <w:rPr>
          <w:rFonts w:eastAsia="SimSun" w:hint="eastAsia"/>
        </w:rPr>
        <w:t>A</w:t>
      </w:r>
      <w:r>
        <w:rPr>
          <w:rFonts w:eastAsia="SimSun" w:hint="eastAsia"/>
        </w:rPr>
        <w:t>条规定：“凡以违反男女职业平等和机会均等原则为由提起诉讼，而导致解雇工人的决定无效。”这一条因下列原因遭到否决：</w:t>
      </w:r>
    </w:p>
    <w:p w:rsidR="00000000" w:rsidRDefault="004D2F83" w:rsidP="004D2F83">
      <w:pPr>
        <w:pStyle w:val="FootnoteText"/>
        <w:spacing w:afterLines="30" w:after="72" w:line="240" w:lineRule="auto"/>
        <w:ind w:firstLineChars="200" w:firstLine="31680"/>
        <w:rPr>
          <w:rFonts w:eastAsia="SimSun" w:hint="eastAsia"/>
        </w:rPr>
      </w:pPr>
      <w:r>
        <w:rPr>
          <w:rFonts w:eastAsia="SimSun" w:hint="eastAsia"/>
        </w:rPr>
        <w:t>“该条款通过规定对以歧视为由提起诉讼的工人予以解雇为无效来稳定就业，不符合《联邦宪法》第</w:t>
      </w:r>
      <w:r>
        <w:rPr>
          <w:rFonts w:eastAsia="SimSun" w:hint="eastAsia"/>
        </w:rPr>
        <w:t>7</w:t>
      </w:r>
      <w:r>
        <w:rPr>
          <w:rFonts w:eastAsia="SimSun" w:hint="eastAsia"/>
        </w:rPr>
        <w:t>条第一款，该款并未把永久稳定定为一般准则。此外，这一条款会助长把起诉这类行为作为一种预防手段来实现就业稳定，最终会适得其反，进一步限制妇女的就业机会，而不是保护她们。该条款并未对稳定的最终期限做出规定，只是泛指，不符合宪法，因此应当予以否决。”</w:t>
      </w:r>
    </w:p>
    <w:p w:rsidR="00000000" w:rsidRDefault="004D2F83" w:rsidP="004D2F83">
      <w:pPr>
        <w:pStyle w:val="FootnoteText"/>
        <w:spacing w:afterLines="30" w:after="72" w:line="240" w:lineRule="auto"/>
        <w:ind w:firstLineChars="200" w:firstLine="31680"/>
        <w:rPr>
          <w:rFonts w:eastAsia="SimSun" w:hint="eastAsia"/>
        </w:rPr>
      </w:pPr>
      <w:r>
        <w:rPr>
          <w:rFonts w:eastAsia="SimSun" w:hint="eastAsia"/>
        </w:rPr>
        <w:t>第</w:t>
      </w:r>
      <w:r>
        <w:rPr>
          <w:rFonts w:eastAsia="SimSun" w:hint="eastAsia"/>
        </w:rPr>
        <w:t>390D</w:t>
      </w:r>
      <w:r>
        <w:rPr>
          <w:rFonts w:eastAsia="SimSun" w:hint="eastAsia"/>
        </w:rPr>
        <w:t>条规定：“第</w:t>
      </w:r>
      <w:r>
        <w:rPr>
          <w:rFonts w:eastAsia="SimSun" w:hint="eastAsia"/>
        </w:rPr>
        <w:t>390D</w:t>
      </w:r>
      <w:r>
        <w:rPr>
          <w:rFonts w:eastAsia="SimSun" w:hint="eastAsia"/>
        </w:rPr>
        <w:t>条。如出现因歧视行为破坏就业关</w:t>
      </w:r>
      <w:r>
        <w:rPr>
          <w:rFonts w:eastAsia="SimSun" w:hint="eastAsia"/>
        </w:rPr>
        <w:t>系，员工有权选择下列之一：一、重新被录用，全额赔偿其被迫离职期间的损失，包括所有应付薪酬（应随货币贬值进行调整）加上合法权益；或二、</w:t>
      </w:r>
      <w:r>
        <w:rPr>
          <w:rFonts w:eastAsia="SimSun" w:hint="eastAsia"/>
        </w:rPr>
        <w:t xml:space="preserve"> </w:t>
      </w:r>
      <w:r>
        <w:rPr>
          <w:rFonts w:eastAsia="SimSun" w:hint="eastAsia"/>
        </w:rPr>
        <w:t>获得其被迫离职期间的双倍薪酬（应随货币贬值进行调整），另加合法权益。”否决原因如下：“法律已对这种情况作了规定。这一条款仅为目前仍有效的第</w:t>
      </w:r>
      <w:r>
        <w:rPr>
          <w:rFonts w:eastAsia="SimSun" w:hint="eastAsia"/>
        </w:rPr>
        <w:t>9029/95</w:t>
      </w:r>
      <w:r>
        <w:rPr>
          <w:rFonts w:eastAsia="SimSun" w:hint="eastAsia"/>
        </w:rPr>
        <w:t>号法律第</w:t>
      </w:r>
      <w:r>
        <w:rPr>
          <w:rFonts w:eastAsia="SimSun" w:hint="eastAsia"/>
        </w:rPr>
        <w:t>4</w:t>
      </w:r>
      <w:r>
        <w:rPr>
          <w:rFonts w:eastAsia="SimSun" w:hint="eastAsia"/>
        </w:rPr>
        <w:t>条的翻版，因此违反了第</w:t>
      </w:r>
      <w:r>
        <w:rPr>
          <w:rFonts w:eastAsia="SimSun" w:hint="eastAsia"/>
        </w:rPr>
        <w:t>95/98</w:t>
      </w:r>
      <w:r>
        <w:rPr>
          <w:rFonts w:eastAsia="SimSun" w:hint="eastAsia"/>
        </w:rPr>
        <w:t>号补充法律第</w:t>
      </w:r>
      <w:r>
        <w:rPr>
          <w:rFonts w:eastAsia="SimSun" w:hint="eastAsia"/>
        </w:rPr>
        <w:t>7</w:t>
      </w:r>
      <w:r>
        <w:rPr>
          <w:rFonts w:eastAsia="SimSun" w:hint="eastAsia"/>
        </w:rPr>
        <w:t>条第四款的规定，其中禁止一项以上的法律对同一事项做出规定。由于这项议案并不是要取代第</w:t>
      </w:r>
      <w:r>
        <w:rPr>
          <w:rFonts w:eastAsia="SimSun" w:hint="eastAsia"/>
        </w:rPr>
        <w:t>9029/95</w:t>
      </w:r>
      <w:r>
        <w:rPr>
          <w:rFonts w:eastAsia="SimSun" w:hint="eastAsia"/>
        </w:rPr>
        <w:t>号法律，没有明确地取消该法律，因此应当否决这一条款，因为它推行对同一内容</w:t>
      </w:r>
      <w:r>
        <w:rPr>
          <w:rFonts w:eastAsia="SimSun" w:hint="eastAsia"/>
        </w:rPr>
        <w:t>作出多种法律规定，不符合公共利益。”</w:t>
      </w:r>
    </w:p>
    <w:p w:rsidR="00000000" w:rsidRDefault="004D2F83" w:rsidP="004D2F83">
      <w:pPr>
        <w:pStyle w:val="FootnoteText"/>
        <w:spacing w:afterLines="30" w:after="72" w:line="240" w:lineRule="auto"/>
        <w:ind w:firstLineChars="200" w:firstLine="31680"/>
        <w:rPr>
          <w:rFonts w:eastAsia="SimSun" w:hint="eastAsia"/>
        </w:rPr>
      </w:pPr>
      <w:r>
        <w:rPr>
          <w:rFonts w:eastAsia="SimSun" w:hint="eastAsia"/>
        </w:rPr>
        <w:t>第</w:t>
      </w:r>
      <w:r>
        <w:rPr>
          <w:rFonts w:eastAsia="SimSun" w:hint="eastAsia"/>
        </w:rPr>
        <w:t>401A</w:t>
      </w:r>
      <w:r>
        <w:rPr>
          <w:rFonts w:eastAsia="SimSun" w:hint="eastAsia"/>
        </w:rPr>
        <w:t>条规定：“第</w:t>
      </w:r>
      <w:r>
        <w:rPr>
          <w:rFonts w:eastAsia="SimSun" w:hint="eastAsia"/>
        </w:rPr>
        <w:t>401A</w:t>
      </w:r>
      <w:r>
        <w:rPr>
          <w:rFonts w:eastAsia="SimSun" w:hint="eastAsia"/>
        </w:rPr>
        <w:t>条。下列歧视性做法应被视为犯罪：一、</w:t>
      </w:r>
      <w:r>
        <w:rPr>
          <w:rFonts w:eastAsia="SimSun" w:hint="eastAsia"/>
        </w:rPr>
        <w:t xml:space="preserve"> </w:t>
      </w:r>
      <w:r>
        <w:rPr>
          <w:rFonts w:eastAsia="SimSun" w:hint="eastAsia"/>
        </w:rPr>
        <w:t>要求做与绝育或怀孕有关的测试、检查、调查、专家报告、申明或任何其他程序；二、雇主采取任何下列措施：</w:t>
      </w:r>
      <w:r>
        <w:rPr>
          <w:rFonts w:eastAsia="SimSun" w:hint="eastAsia"/>
        </w:rPr>
        <w:t xml:space="preserve">a) </w:t>
      </w:r>
      <w:r>
        <w:rPr>
          <w:rFonts w:eastAsia="SimSun" w:hint="eastAsia"/>
        </w:rPr>
        <w:t>诱使或唆使他人进行绝育；</w:t>
      </w:r>
      <w:r>
        <w:rPr>
          <w:rFonts w:eastAsia="SimSun" w:hint="eastAsia"/>
        </w:rPr>
        <w:t xml:space="preserve">b) </w:t>
      </w:r>
      <w:r>
        <w:rPr>
          <w:rFonts w:eastAsia="SimSun" w:hint="eastAsia"/>
        </w:rPr>
        <w:t>推行生育控制，遵照单一卫生系统条例营业的公共或私营机构提供的咨询或计划生物服务除外。刑罚</w:t>
      </w:r>
      <w:r>
        <w:rPr>
          <w:rFonts w:eastAsia="SimSun" w:hint="eastAsia"/>
        </w:rPr>
        <w:t xml:space="preserve"> </w:t>
      </w:r>
      <w:r>
        <w:rPr>
          <w:rFonts w:eastAsia="SimSun"/>
        </w:rPr>
        <w:t>–</w:t>
      </w:r>
      <w:r>
        <w:rPr>
          <w:rFonts w:eastAsia="SimSun" w:hint="eastAsia"/>
        </w:rPr>
        <w:t xml:space="preserve"> 1-2</w:t>
      </w:r>
      <w:r>
        <w:rPr>
          <w:rFonts w:eastAsia="SimSun" w:hint="eastAsia"/>
        </w:rPr>
        <w:t>年监禁加上罚款；单立款。下列个人在本条所述情况下被视为罪犯：一、雇主；二、《劳动法》规定的雇主的法定代表；三、公共机构和直接或间接公共管理机构，以及政府三大权力机关、各州、</w:t>
      </w:r>
      <w:r>
        <w:rPr>
          <w:rFonts w:eastAsia="SimSun" w:hint="eastAsia"/>
        </w:rPr>
        <w:t>联邦区和各市的基金会的直接或授权负责人。”否决的原因如下：“第</w:t>
      </w:r>
      <w:r>
        <w:rPr>
          <w:rFonts w:eastAsia="SimSun" w:hint="eastAsia"/>
        </w:rPr>
        <w:t>9029/95</w:t>
      </w:r>
      <w:r>
        <w:rPr>
          <w:rFonts w:eastAsia="SimSun" w:hint="eastAsia"/>
        </w:rPr>
        <w:t>号法律已经对此做出规定，此外，它把不必要的刑罚规定写入《劳动法》，因此违反了第</w:t>
      </w:r>
      <w:r>
        <w:rPr>
          <w:rFonts w:eastAsia="SimSun" w:hint="eastAsia"/>
        </w:rPr>
        <w:t>95/98</w:t>
      </w:r>
      <w:r>
        <w:rPr>
          <w:rFonts w:eastAsia="SimSun" w:hint="eastAsia"/>
        </w:rPr>
        <w:t>号补充法律第</w:t>
      </w:r>
      <w:r>
        <w:rPr>
          <w:rFonts w:eastAsia="SimSun" w:hint="eastAsia"/>
        </w:rPr>
        <w:t>7</w:t>
      </w:r>
      <w:r>
        <w:rPr>
          <w:rFonts w:eastAsia="SimSun" w:hint="eastAsia"/>
        </w:rPr>
        <w:t>条第二和四款的规定，其中禁止用同一法律规定不同事项，如果把刑罚写进劳动法规的话，就会出现这种情况。请注意，对劳动组织的犯罪是个与劳动有关的议题，应在《刑法典》中，而不是在《劳动法》中提及。因此应当否决这一条款，它不符合公众利益。”</w:t>
      </w:r>
    </w:p>
    <w:p w:rsidR="00000000" w:rsidRDefault="004D2F83" w:rsidP="004D2F83">
      <w:pPr>
        <w:pStyle w:val="FootnoteText"/>
        <w:spacing w:afterLines="30" w:after="72" w:line="240" w:lineRule="auto"/>
        <w:ind w:firstLineChars="200" w:firstLine="31680"/>
        <w:rPr>
          <w:rFonts w:eastAsia="SimSun" w:hint="eastAsia"/>
        </w:rPr>
      </w:pPr>
      <w:r>
        <w:rPr>
          <w:rFonts w:eastAsia="SimSun" w:hint="eastAsia"/>
        </w:rPr>
        <w:t>最后，第</w:t>
      </w:r>
      <w:r>
        <w:rPr>
          <w:rFonts w:eastAsia="SimSun" w:hint="eastAsia"/>
        </w:rPr>
        <w:t>401B</w:t>
      </w:r>
      <w:r>
        <w:rPr>
          <w:rFonts w:eastAsia="SimSun" w:hint="eastAsia"/>
        </w:rPr>
        <w:t>条规定：“第</w:t>
      </w:r>
      <w:r>
        <w:rPr>
          <w:rFonts w:eastAsia="SimSun" w:hint="eastAsia"/>
        </w:rPr>
        <w:t>401B</w:t>
      </w:r>
      <w:r>
        <w:rPr>
          <w:rFonts w:eastAsia="SimSun" w:hint="eastAsia"/>
        </w:rPr>
        <w:t>条。在不影响原条款规定的情况下，那些违反了本《劳动法》第</w:t>
      </w:r>
      <w:r>
        <w:rPr>
          <w:rFonts w:eastAsia="SimSun" w:hint="eastAsia"/>
        </w:rPr>
        <w:t>373A</w:t>
      </w:r>
      <w:r>
        <w:rPr>
          <w:rFonts w:eastAsia="SimSun" w:hint="eastAsia"/>
        </w:rPr>
        <w:t>、</w:t>
      </w:r>
      <w:r>
        <w:rPr>
          <w:rFonts w:eastAsia="SimSun" w:hint="eastAsia"/>
        </w:rPr>
        <w:t>390A</w:t>
      </w:r>
      <w:r>
        <w:rPr>
          <w:rFonts w:eastAsia="SimSun" w:hint="eastAsia"/>
        </w:rPr>
        <w:t>、</w:t>
      </w:r>
      <w:r>
        <w:rPr>
          <w:rFonts w:eastAsia="SimSun" w:hint="eastAsia"/>
        </w:rPr>
        <w:t>390B</w:t>
      </w:r>
      <w:r>
        <w:rPr>
          <w:rFonts w:eastAsia="SimSun" w:hint="eastAsia"/>
        </w:rPr>
        <w:t>、</w:t>
      </w:r>
      <w:r>
        <w:rPr>
          <w:rFonts w:eastAsia="SimSun" w:hint="eastAsia"/>
        </w:rPr>
        <w:t>390C</w:t>
      </w:r>
      <w:r>
        <w:rPr>
          <w:rFonts w:eastAsia="SimSun" w:hint="eastAsia"/>
        </w:rPr>
        <w:t>、</w:t>
      </w:r>
      <w:r>
        <w:rPr>
          <w:rFonts w:eastAsia="SimSun" w:hint="eastAsia"/>
        </w:rPr>
        <w:t>390D</w:t>
      </w:r>
      <w:r>
        <w:rPr>
          <w:rFonts w:eastAsia="SimSun" w:hint="eastAsia"/>
        </w:rPr>
        <w:t>、</w:t>
      </w:r>
      <w:r>
        <w:rPr>
          <w:rFonts w:eastAsia="SimSun" w:hint="eastAsia"/>
        </w:rPr>
        <w:t>392</w:t>
      </w:r>
      <w:r>
        <w:rPr>
          <w:rFonts w:eastAsia="SimSun" w:hint="eastAsia"/>
        </w:rPr>
        <w:t>条第</w:t>
      </w:r>
      <w:r>
        <w:rPr>
          <w:rFonts w:eastAsia="SimSun" w:hint="eastAsia"/>
        </w:rPr>
        <w:t>4</w:t>
      </w:r>
      <w:r>
        <w:rPr>
          <w:rFonts w:eastAsia="SimSun" w:hint="eastAsia"/>
        </w:rPr>
        <w:t>款的情况应处以下列惩罚：一、金额等于雇主支付的最高工资的</w:t>
      </w:r>
      <w:r>
        <w:rPr>
          <w:rFonts w:eastAsia="SimSun" w:hint="eastAsia"/>
        </w:rPr>
        <w:t>10</w:t>
      </w:r>
      <w:r>
        <w:rPr>
          <w:rFonts w:eastAsia="SimSun" w:hint="eastAsia"/>
        </w:rPr>
        <w:t>倍的行政罚款，如为重犯加刑</w:t>
      </w:r>
      <w:r>
        <w:rPr>
          <w:rFonts w:eastAsia="SimSun" w:hint="eastAsia"/>
        </w:rPr>
        <w:t>50%</w:t>
      </w:r>
      <w:r>
        <w:rPr>
          <w:rFonts w:eastAsia="SimSun" w:hint="eastAsia"/>
        </w:rPr>
        <w:t>；二、禁止从官方金融机构取得贷款和融资。”否决的原因如下：“第</w:t>
      </w:r>
      <w:r>
        <w:rPr>
          <w:rFonts w:eastAsia="SimSun" w:hint="eastAsia"/>
        </w:rPr>
        <w:t>9029/95</w:t>
      </w:r>
      <w:r>
        <w:rPr>
          <w:rFonts w:eastAsia="SimSun" w:hint="eastAsia"/>
        </w:rPr>
        <w:t>号法律第</w:t>
      </w:r>
      <w:r>
        <w:rPr>
          <w:rFonts w:eastAsia="SimSun" w:hint="eastAsia"/>
        </w:rPr>
        <w:t>3</w:t>
      </w:r>
      <w:r>
        <w:rPr>
          <w:rFonts w:eastAsia="SimSun" w:hint="eastAsia"/>
        </w:rPr>
        <w:t>条已对这种情况作了规定，根据前述规定的解释，应当予以否决，因为它有违公众利益。”</w:t>
      </w:r>
    </w:p>
  </w:footnote>
  <w:footnote w:id="37">
    <w:p w:rsidR="00000000" w:rsidRDefault="004D2F83">
      <w:pPr>
        <w:pStyle w:val="FootnoteText"/>
        <w:spacing w:afterLines="30" w:after="72" w:line="240" w:lineRule="auto"/>
        <w:rPr>
          <w:rFonts w:eastAsia="SimSun" w:hint="eastAsia"/>
        </w:rPr>
      </w:pPr>
      <w:r>
        <w:rPr>
          <w:rStyle w:val="FootnoteReference"/>
          <w:rFonts w:eastAsia="SimSun"/>
        </w:rPr>
        <w:t>37</w:t>
      </w:r>
      <w:r>
        <w:rPr>
          <w:rFonts w:eastAsia="SimSun"/>
        </w:rPr>
        <w:t xml:space="preserve"> </w:t>
      </w:r>
      <w:r>
        <w:rPr>
          <w:rFonts w:eastAsia="SimSun" w:hint="eastAsia"/>
        </w:rPr>
        <w:t>第</w:t>
      </w:r>
      <w:r>
        <w:rPr>
          <w:rFonts w:eastAsia="SimSun" w:hint="eastAsia"/>
        </w:rPr>
        <w:t>216-A</w:t>
      </w:r>
      <w:r>
        <w:rPr>
          <w:rFonts w:eastAsia="SimSun" w:hint="eastAsia"/>
        </w:rPr>
        <w:t>条第一和第二款也被否决，该条规定：“第</w:t>
      </w:r>
      <w:r>
        <w:rPr>
          <w:rFonts w:eastAsia="SimSun" w:hint="eastAsia"/>
        </w:rPr>
        <w:t>216-A</w:t>
      </w:r>
      <w:r>
        <w:rPr>
          <w:rFonts w:eastAsia="SimSun" w:hint="eastAsia"/>
        </w:rPr>
        <w:t>条</w:t>
      </w:r>
      <w:r>
        <w:rPr>
          <w:rFonts w:eastAsia="SimSun" w:hint="eastAsia"/>
        </w:rPr>
        <w:t xml:space="preserve"> </w:t>
      </w:r>
      <w:r>
        <w:rPr>
          <w:rFonts w:eastAsia="SimSun"/>
        </w:rPr>
        <w:t>–</w:t>
      </w:r>
      <w:r>
        <w:rPr>
          <w:rFonts w:eastAsia="SimSun" w:hint="eastAsia"/>
        </w:rPr>
        <w:t xml:space="preserve"> </w:t>
      </w:r>
      <w:r>
        <w:rPr>
          <w:rFonts w:eastAsia="SimSun" w:hint="eastAsia"/>
        </w:rPr>
        <w:t>单立款。通过下列方式犯罪的人应处以同样的惩罚：一、利用家庭、同居或连带关系；二、滥用或违反职权。否决的原因如下：“关于第</w:t>
      </w:r>
      <w:r>
        <w:rPr>
          <w:rFonts w:eastAsia="SimSun" w:hint="eastAsia"/>
        </w:rPr>
        <w:t>216</w:t>
      </w:r>
      <w:r>
        <w:rPr>
          <w:rFonts w:eastAsia="SimSun" w:hint="eastAsia"/>
        </w:rPr>
        <w:t>-A</w:t>
      </w:r>
      <w:r>
        <w:rPr>
          <w:rFonts w:eastAsia="SimSun" w:hint="eastAsia"/>
        </w:rPr>
        <w:t>条单立款，值得一提的是，通过施加与该款所述情况下所犯的性骚扰罪规定的惩罚相同的制裁，该款所载的规则不可否认地表明违反了《刑法典》规定的惩罚制度，为罪犯提供了不当惠益。《刑法典》第</w:t>
      </w:r>
      <w:r>
        <w:rPr>
          <w:rFonts w:eastAsia="SimSun" w:hint="eastAsia"/>
        </w:rPr>
        <w:t>226</w:t>
      </w:r>
      <w:r>
        <w:rPr>
          <w:rFonts w:eastAsia="SimSun" w:hint="eastAsia"/>
        </w:rPr>
        <w:t>条明确规定了加刑的特殊原因，普遍适用于各种有伤风化的罪行，其中包括第</w:t>
      </w:r>
      <w:r>
        <w:rPr>
          <w:rFonts w:eastAsia="SimSun" w:hint="eastAsia"/>
        </w:rPr>
        <w:t>216-A</w:t>
      </w:r>
      <w:r>
        <w:rPr>
          <w:rFonts w:eastAsia="SimSun" w:hint="eastAsia"/>
        </w:rPr>
        <w:t>条单立款所述的情况。因此，如果这一单立款成为法律制度的一部分，该款中所述的情况中犯下的性骚扰罪就不能适用第</w:t>
      </w:r>
      <w:r>
        <w:rPr>
          <w:rFonts w:eastAsia="SimSun" w:hint="eastAsia"/>
        </w:rPr>
        <w:t>216-A</w:t>
      </w:r>
      <w:r>
        <w:rPr>
          <w:rFonts w:eastAsia="SimSun" w:hint="eastAsia"/>
        </w:rPr>
        <w:t>条规定的加刑，鉴于那些利用家庭、同居或连带关系的罪犯所犯罪行比较严重，这一假定显然不符合公众利益。”</w:t>
      </w:r>
    </w:p>
  </w:footnote>
  <w:footnote w:id="38">
    <w:p w:rsidR="00000000" w:rsidRDefault="004D2F83">
      <w:pPr>
        <w:pStyle w:val="FootnoteText"/>
        <w:spacing w:afterLines="30" w:after="72" w:line="240" w:lineRule="auto"/>
        <w:rPr>
          <w:rFonts w:eastAsia="SimSun" w:hint="eastAsia"/>
        </w:rPr>
      </w:pPr>
      <w:r>
        <w:rPr>
          <w:rStyle w:val="FootnoteReference"/>
          <w:rFonts w:eastAsia="SimSun"/>
        </w:rPr>
        <w:t>38</w:t>
      </w:r>
      <w:r>
        <w:rPr>
          <w:rFonts w:eastAsia="SimSun"/>
        </w:rPr>
        <w:t xml:space="preserve"> </w:t>
      </w:r>
      <w:r>
        <w:rPr>
          <w:rFonts w:eastAsia="SimSun" w:hint="eastAsia"/>
        </w:rPr>
        <w:t>这也从根本上影响了联合</w:t>
      </w:r>
      <w:r>
        <w:rPr>
          <w:rFonts w:eastAsia="SimSun" w:hint="eastAsia"/>
        </w:rPr>
        <w:t>国开罗人口与发展会议（</w:t>
      </w:r>
      <w:r>
        <w:rPr>
          <w:rFonts w:eastAsia="SimSun" w:hint="eastAsia"/>
        </w:rPr>
        <w:t>1994</w:t>
      </w:r>
      <w:r>
        <w:rPr>
          <w:rFonts w:eastAsia="SimSun" w:hint="eastAsia"/>
        </w:rPr>
        <w:t>年）和北京妇女问题世界会议（</w:t>
      </w:r>
      <w:r>
        <w:rPr>
          <w:rFonts w:eastAsia="SimSun" w:hint="eastAsia"/>
        </w:rPr>
        <w:t>1990</w:t>
      </w:r>
      <w:r>
        <w:rPr>
          <w:rFonts w:eastAsia="SimSun" w:hint="eastAsia"/>
        </w:rPr>
        <w:t>年）提出的国际文书，这些文书承认性权利和生殖权利的存在，确保妇女有选择的充分自由和在行使其性权利和生殖权利时的自主权。</w:t>
      </w:r>
    </w:p>
  </w:footnote>
  <w:footnote w:id="39">
    <w:p w:rsidR="00000000" w:rsidRDefault="004D2F83">
      <w:pPr>
        <w:pStyle w:val="FootnoteText"/>
        <w:spacing w:afterLines="30" w:after="72" w:line="240" w:lineRule="auto"/>
        <w:rPr>
          <w:rFonts w:eastAsia="SimSun" w:hint="eastAsia"/>
        </w:rPr>
      </w:pPr>
      <w:r>
        <w:rPr>
          <w:rStyle w:val="FootnoteReference"/>
          <w:rFonts w:eastAsia="SimSun"/>
        </w:rPr>
        <w:t>39</w:t>
      </w:r>
      <w:r>
        <w:rPr>
          <w:rFonts w:eastAsia="SimSun"/>
        </w:rPr>
        <w:t xml:space="preserve"> Monica de Melo. “Assedio sexual:um caso de inconstitucuonalidade por omossao”.(“</w:t>
      </w:r>
      <w:r>
        <w:rPr>
          <w:rFonts w:eastAsia="SimSun" w:hint="eastAsia"/>
        </w:rPr>
        <w:t>性骚扰：由于不作为导致的违宪案件</w:t>
      </w:r>
      <w:r>
        <w:rPr>
          <w:rFonts w:eastAsia="SimSun"/>
        </w:rPr>
        <w:t>”)</w:t>
      </w:r>
      <w:r>
        <w:rPr>
          <w:rFonts w:eastAsia="SimSun" w:hint="eastAsia"/>
        </w:rPr>
        <w:t>。法律信息杂志，巴西：联邦参议院，技术事务副国务秘书处，</w:t>
      </w:r>
      <w:r>
        <w:rPr>
          <w:rFonts w:eastAsia="SimSun" w:hint="eastAsia"/>
        </w:rPr>
        <w:t>36</w:t>
      </w:r>
      <w:r>
        <w:rPr>
          <w:rFonts w:eastAsia="SimSun" w:hint="eastAsia"/>
        </w:rPr>
        <w:t>岁，第</w:t>
      </w:r>
      <w:r>
        <w:rPr>
          <w:rFonts w:eastAsia="SimSun" w:hint="eastAsia"/>
        </w:rPr>
        <w:t>143</w:t>
      </w:r>
      <w:r>
        <w:rPr>
          <w:rFonts w:eastAsia="SimSun" w:hint="eastAsia"/>
        </w:rPr>
        <w:t>号，</w:t>
      </w:r>
      <w:r>
        <w:rPr>
          <w:rFonts w:eastAsia="SimSun" w:hint="eastAsia"/>
        </w:rPr>
        <w:t>1999</w:t>
      </w:r>
      <w:r>
        <w:rPr>
          <w:rFonts w:eastAsia="SimSun" w:hint="eastAsia"/>
        </w:rPr>
        <w:t>年</w:t>
      </w:r>
      <w:r>
        <w:rPr>
          <w:rFonts w:eastAsia="SimSun" w:hint="eastAsia"/>
        </w:rPr>
        <w:t>7</w:t>
      </w:r>
      <w:r>
        <w:rPr>
          <w:rFonts w:eastAsia="SimSun" w:hint="eastAsia"/>
        </w:rPr>
        <w:t>月</w:t>
      </w:r>
      <w:r>
        <w:rPr>
          <w:rFonts w:eastAsia="SimSun" w:hint="eastAsia"/>
        </w:rPr>
        <w:t>/9</w:t>
      </w:r>
      <w:r>
        <w:rPr>
          <w:rFonts w:eastAsia="SimSun" w:hint="eastAsia"/>
        </w:rPr>
        <w:t>月。据作者称，美国福特汽车公司</w:t>
      </w:r>
      <w:r>
        <w:rPr>
          <w:rFonts w:eastAsia="SimSun" w:hint="eastAsia"/>
        </w:rPr>
        <w:t>对该公司设在芝加哥的两所工厂报道的性骚扰、性歧视、虐待和具有性意味的口头侮辱的控告已经同意向大约</w:t>
      </w:r>
      <w:r>
        <w:rPr>
          <w:rFonts w:eastAsia="SimSun" w:hint="eastAsia"/>
        </w:rPr>
        <w:t>900</w:t>
      </w:r>
      <w:r>
        <w:rPr>
          <w:rFonts w:eastAsia="SimSun" w:hint="eastAsia"/>
        </w:rPr>
        <w:t>名妇女支付</w:t>
      </w:r>
      <w:r>
        <w:rPr>
          <w:rFonts w:eastAsia="SimSun" w:hint="eastAsia"/>
        </w:rPr>
        <w:t>775</w:t>
      </w:r>
      <w:r>
        <w:rPr>
          <w:rFonts w:eastAsia="SimSun" w:hint="eastAsia"/>
        </w:rPr>
        <w:t>万美元。此外，该公司还向美国平等就业机会委员会承诺，将投入</w:t>
      </w:r>
      <w:r>
        <w:rPr>
          <w:rFonts w:eastAsia="SimSun" w:hint="eastAsia"/>
        </w:rPr>
        <w:t>1000</w:t>
      </w:r>
      <w:r>
        <w:rPr>
          <w:rFonts w:eastAsia="SimSun" w:hint="eastAsia"/>
        </w:rPr>
        <w:t>万美元以上用于教育政策、培训和查明真相，旨在防止今后发生此类情况。</w:t>
      </w:r>
      <w:r>
        <w:rPr>
          <w:rFonts w:eastAsia="SimSun" w:hint="eastAsia"/>
        </w:rPr>
        <w:t>1998</w:t>
      </w:r>
      <w:r>
        <w:rPr>
          <w:rFonts w:eastAsia="SimSun" w:hint="eastAsia"/>
        </w:rPr>
        <w:t>年，三菱公司同意支付</w:t>
      </w:r>
      <w:r>
        <w:rPr>
          <w:rFonts w:eastAsia="SimSun" w:hint="eastAsia"/>
        </w:rPr>
        <w:t>3400</w:t>
      </w:r>
      <w:r>
        <w:rPr>
          <w:rFonts w:eastAsia="SimSun" w:hint="eastAsia"/>
        </w:rPr>
        <w:t>万美元以中止该公司</w:t>
      </w:r>
      <w:r>
        <w:rPr>
          <w:rFonts w:eastAsia="SimSun" w:hint="eastAsia"/>
        </w:rPr>
        <w:t>300</w:t>
      </w:r>
      <w:r>
        <w:rPr>
          <w:rFonts w:eastAsia="SimSun" w:hint="eastAsia"/>
        </w:rPr>
        <w:t>名女员工提起的性骚扰诉讼。</w:t>
      </w:r>
    </w:p>
  </w:footnote>
  <w:footnote w:id="40">
    <w:p w:rsidR="00000000" w:rsidRDefault="004D2F83">
      <w:pPr>
        <w:pStyle w:val="FootnoteText"/>
        <w:spacing w:afterLines="30" w:after="72" w:line="240" w:lineRule="auto"/>
        <w:rPr>
          <w:rFonts w:eastAsia="SimSun"/>
        </w:rPr>
      </w:pPr>
      <w:r>
        <w:rPr>
          <w:rStyle w:val="FootnoteReference"/>
          <w:rFonts w:eastAsia="SimSun"/>
        </w:rPr>
        <w:t>40</w:t>
      </w:r>
      <w:r>
        <w:rPr>
          <w:rFonts w:eastAsia="SimSun" w:hint="eastAsia"/>
        </w:rPr>
        <w:t>全国妇女权利委员会，议事性质的合议机构，根据</w:t>
      </w:r>
      <w:r>
        <w:rPr>
          <w:rFonts w:eastAsia="SimSun" w:hint="eastAsia"/>
        </w:rPr>
        <w:t>1985</w:t>
      </w:r>
      <w:r>
        <w:rPr>
          <w:rFonts w:eastAsia="SimSun" w:hint="eastAsia"/>
        </w:rPr>
        <w:t>年</w:t>
      </w:r>
      <w:r>
        <w:rPr>
          <w:rFonts w:eastAsia="SimSun" w:hint="eastAsia"/>
        </w:rPr>
        <w:t>8</w:t>
      </w:r>
      <w:r>
        <w:rPr>
          <w:rFonts w:eastAsia="SimSun" w:hint="eastAsia"/>
        </w:rPr>
        <w:t>月</w:t>
      </w:r>
      <w:r>
        <w:rPr>
          <w:rFonts w:eastAsia="SimSun" w:hint="eastAsia"/>
        </w:rPr>
        <w:t>29</w:t>
      </w:r>
      <w:r>
        <w:rPr>
          <w:rFonts w:eastAsia="SimSun" w:hint="eastAsia"/>
        </w:rPr>
        <w:t>日第</w:t>
      </w:r>
      <w:r>
        <w:rPr>
          <w:rFonts w:eastAsia="SimSun" w:hint="eastAsia"/>
        </w:rPr>
        <w:t>7353</w:t>
      </w:r>
      <w:r>
        <w:rPr>
          <w:rFonts w:eastAsia="SimSun" w:hint="eastAsia"/>
        </w:rPr>
        <w:t>号法律建立，宗旨是在全国范围内推动公共政策，旨在消除对妇女一切形式的歧视并确保她们的自由和权利平</w:t>
      </w:r>
      <w:r>
        <w:rPr>
          <w:rFonts w:eastAsia="SimSun" w:hint="eastAsia"/>
        </w:rPr>
        <w:t>等以及充分参与国家政治、经济和社会</w:t>
      </w:r>
      <w:r>
        <w:rPr>
          <w:rFonts w:eastAsia="SimSun" w:hint="eastAsia"/>
        </w:rPr>
        <w:t>-</w:t>
      </w:r>
      <w:r>
        <w:rPr>
          <w:rFonts w:eastAsia="SimSun" w:hint="eastAsia"/>
        </w:rPr>
        <w:t>文化活动的条件。该委员会由</w:t>
      </w:r>
      <w:r>
        <w:rPr>
          <w:rFonts w:eastAsia="SimSun" w:hint="eastAsia"/>
        </w:rPr>
        <w:t>20</w:t>
      </w:r>
      <w:r>
        <w:rPr>
          <w:rFonts w:eastAsia="SimSun" w:hint="eastAsia"/>
        </w:rPr>
        <w:t>名顾问组成，由共和国总统任命，任期四年。值得强调的是，</w:t>
      </w:r>
      <w:r>
        <w:rPr>
          <w:rFonts w:eastAsia="SimSun" w:hint="eastAsia"/>
        </w:rPr>
        <w:t>2000</w:t>
      </w:r>
      <w:r>
        <w:rPr>
          <w:rFonts w:eastAsia="SimSun" w:hint="eastAsia"/>
        </w:rPr>
        <w:t>年</w:t>
      </w:r>
      <w:r>
        <w:rPr>
          <w:rFonts w:eastAsia="SimSun" w:hint="eastAsia"/>
        </w:rPr>
        <w:t>6</w:t>
      </w:r>
      <w:r>
        <w:rPr>
          <w:rFonts w:eastAsia="SimSun" w:hint="eastAsia"/>
        </w:rPr>
        <w:t>月</w:t>
      </w:r>
      <w:r>
        <w:rPr>
          <w:rFonts w:eastAsia="SimSun" w:hint="eastAsia"/>
        </w:rPr>
        <w:t>16</w:t>
      </w:r>
      <w:r>
        <w:rPr>
          <w:rFonts w:eastAsia="SimSun" w:hint="eastAsia"/>
        </w:rPr>
        <w:t>日根据第</w:t>
      </w:r>
      <w:r>
        <w:rPr>
          <w:rFonts w:eastAsia="SimSun" w:hint="eastAsia"/>
        </w:rPr>
        <w:t>3511</w:t>
      </w:r>
      <w:r>
        <w:rPr>
          <w:rFonts w:eastAsia="SimSun" w:hint="eastAsia"/>
        </w:rPr>
        <w:t>号法令建立了一个与司法部人权事务州秘书处相关的执行秘书处，以便确保执行全国妇女权利委员会负责的政府行动。该秘书处由一名执行秘书、三名方案管理员、三名协调员和三名助理组成。</w:t>
      </w:r>
    </w:p>
  </w:footnote>
  <w:footnote w:id="41">
    <w:p w:rsidR="00000000" w:rsidRDefault="004D2F83">
      <w:pPr>
        <w:pStyle w:val="FootnoteText"/>
        <w:spacing w:afterLines="30" w:after="72" w:line="240" w:lineRule="auto"/>
        <w:rPr>
          <w:rFonts w:eastAsia="SimSun" w:hint="eastAsia"/>
        </w:rPr>
      </w:pPr>
      <w:r>
        <w:rPr>
          <w:rStyle w:val="FootnoteReference"/>
          <w:rFonts w:eastAsia="SimSun"/>
        </w:rPr>
        <w:t>41</w:t>
      </w:r>
      <w:r>
        <w:rPr>
          <w:rFonts w:eastAsia="SimSun"/>
        </w:rPr>
        <w:t xml:space="preserve"> </w:t>
      </w:r>
      <w:r>
        <w:rPr>
          <w:rFonts w:eastAsia="SimSun" w:hint="eastAsia"/>
        </w:rPr>
        <w:t>见“</w:t>
      </w:r>
      <w:r>
        <w:rPr>
          <w:rFonts w:eastAsia="SimSun"/>
        </w:rPr>
        <w:t>ministerio da justica cria cotas para negro, mulher e deficiente</w:t>
      </w:r>
      <w:r>
        <w:rPr>
          <w:rFonts w:eastAsia="SimSun" w:hint="eastAsia"/>
        </w:rPr>
        <w:t>”（司法部确定巴西黑人、妇女和肢体残疾人的名额（</w:t>
      </w:r>
      <w:r>
        <w:rPr>
          <w:rFonts w:eastAsia="SimSun" w:hint="eastAsia"/>
        </w:rPr>
        <w:t>F</w:t>
      </w:r>
      <w:r>
        <w:rPr>
          <w:rFonts w:eastAsia="SimSun"/>
        </w:rPr>
        <w:t>olha de Sao Paulo newspaper, 2</w:t>
      </w:r>
      <w:r>
        <w:rPr>
          <w:rFonts w:eastAsia="SimSun" w:hint="eastAsia"/>
        </w:rPr>
        <w:t>001</w:t>
      </w:r>
      <w:r>
        <w:rPr>
          <w:rFonts w:eastAsia="SimSun" w:hint="eastAsia"/>
        </w:rPr>
        <w:t>年</w:t>
      </w:r>
      <w:r>
        <w:rPr>
          <w:rFonts w:eastAsia="SimSun" w:hint="eastAsia"/>
        </w:rPr>
        <w:t>12</w:t>
      </w:r>
      <w:r>
        <w:rPr>
          <w:rFonts w:eastAsia="SimSun" w:hint="eastAsia"/>
        </w:rPr>
        <w:t>月</w:t>
      </w:r>
      <w:r>
        <w:rPr>
          <w:rFonts w:eastAsia="SimSun" w:hint="eastAsia"/>
        </w:rPr>
        <w:t>20</w:t>
      </w:r>
      <w:r>
        <w:rPr>
          <w:rFonts w:eastAsia="SimSun" w:hint="eastAsia"/>
        </w:rPr>
        <w:t>日）；“</w:t>
      </w:r>
      <w:r>
        <w:rPr>
          <w:rFonts w:eastAsia="SimSun"/>
        </w:rPr>
        <w:t>Edital do STF preve reserva de 20% das vagas para profissionais negros</w:t>
      </w:r>
      <w:r>
        <w:rPr>
          <w:rFonts w:eastAsia="SimSun" w:hint="eastAsia"/>
        </w:rPr>
        <w:t>”“联邦最高法院规定，在所有工作机会中，应该为巴西黑人专业人员留出</w:t>
      </w:r>
      <w:r>
        <w:rPr>
          <w:rFonts w:eastAsia="SimSun" w:hint="eastAsia"/>
        </w:rPr>
        <w:t>20%</w:t>
      </w:r>
      <w:r>
        <w:rPr>
          <w:rFonts w:eastAsia="SimSun" w:hint="eastAsia"/>
        </w:rPr>
        <w:t>的机会。”）（</w:t>
      </w:r>
      <w:r>
        <w:rPr>
          <w:rFonts w:eastAsia="SimSun" w:hint="eastAsia"/>
        </w:rPr>
        <w:t>F</w:t>
      </w:r>
      <w:r>
        <w:rPr>
          <w:rFonts w:eastAsia="SimSun"/>
        </w:rPr>
        <w:t>olha de Sao Paulo newspaper, 2</w:t>
      </w:r>
      <w:r>
        <w:rPr>
          <w:rFonts w:eastAsia="SimSun" w:hint="eastAsia"/>
        </w:rPr>
        <w:t>002</w:t>
      </w:r>
      <w:r>
        <w:rPr>
          <w:rFonts w:eastAsia="SimSun" w:hint="eastAsia"/>
        </w:rPr>
        <w:t>年</w:t>
      </w:r>
      <w:r>
        <w:rPr>
          <w:rFonts w:eastAsia="SimSun" w:hint="eastAsia"/>
        </w:rPr>
        <w:t>1</w:t>
      </w:r>
      <w:r>
        <w:rPr>
          <w:rFonts w:eastAsia="SimSun" w:hint="eastAsia"/>
        </w:rPr>
        <w:t>月</w:t>
      </w:r>
      <w:r>
        <w:rPr>
          <w:rFonts w:eastAsia="SimSun" w:hint="eastAsia"/>
        </w:rPr>
        <w:t>8</w:t>
      </w:r>
      <w:r>
        <w:rPr>
          <w:rFonts w:eastAsia="SimSun" w:hint="eastAsia"/>
        </w:rPr>
        <w:t>日）；</w:t>
      </w:r>
      <w:r>
        <w:rPr>
          <w:rFonts w:eastAsia="SimSun" w:hint="eastAsia"/>
        </w:rPr>
        <w:t xml:space="preserve"> </w:t>
      </w:r>
      <w:r>
        <w:rPr>
          <w:rFonts w:eastAsia="SimSun"/>
        </w:rPr>
        <w:t xml:space="preserve">Rio da a negros e pardos 40% das vagas </w:t>
      </w:r>
      <w:r>
        <w:rPr>
          <w:rFonts w:eastAsia="SimSun" w:hint="eastAsia"/>
        </w:rPr>
        <w:t>（</w:t>
      </w:r>
      <w:r>
        <w:rPr>
          <w:rFonts w:eastAsia="SimSun"/>
        </w:rPr>
        <w:t xml:space="preserve">em Universidades </w:t>
      </w:r>
      <w:r>
        <w:rPr>
          <w:rFonts w:eastAsia="SimSun"/>
        </w:rPr>
        <w:t>publicas</w:t>
      </w:r>
      <w:r>
        <w:rPr>
          <w:rFonts w:eastAsia="SimSun" w:hint="eastAsia"/>
        </w:rPr>
        <w:t>）</w:t>
      </w:r>
      <w:r>
        <w:rPr>
          <w:rFonts w:eastAsia="SimSun"/>
        </w:rPr>
        <w:t xml:space="preserve"> (</w:t>
      </w:r>
      <w:r>
        <w:rPr>
          <w:rFonts w:eastAsia="SimSun" w:hint="eastAsia"/>
        </w:rPr>
        <w:t>里约热内卢向巴西黑人和穆拉托人提供</w:t>
      </w:r>
      <w:r>
        <w:rPr>
          <w:rFonts w:eastAsia="SimSun" w:hint="eastAsia"/>
        </w:rPr>
        <w:t>40%</w:t>
      </w:r>
      <w:r>
        <w:rPr>
          <w:rFonts w:eastAsia="SimSun" w:hint="eastAsia"/>
        </w:rPr>
        <w:t>的职位（在公立大学）。</w:t>
      </w:r>
      <w:r>
        <w:rPr>
          <w:rFonts w:eastAsia="SimSun" w:hint="eastAsia"/>
        </w:rPr>
        <w:t>F</w:t>
      </w:r>
      <w:r>
        <w:rPr>
          <w:rFonts w:eastAsia="SimSun"/>
        </w:rPr>
        <w:t>olha de Sao Paulo newspaper, 2</w:t>
      </w:r>
      <w:r>
        <w:rPr>
          <w:rFonts w:eastAsia="SimSun" w:hint="eastAsia"/>
        </w:rPr>
        <w:t>001</w:t>
      </w:r>
      <w:r>
        <w:rPr>
          <w:rFonts w:eastAsia="SimSun" w:hint="eastAsia"/>
        </w:rPr>
        <w:t>年</w:t>
      </w:r>
      <w:r>
        <w:rPr>
          <w:rFonts w:eastAsia="SimSun" w:hint="eastAsia"/>
        </w:rPr>
        <w:t>10</w:t>
      </w:r>
      <w:r>
        <w:rPr>
          <w:rFonts w:eastAsia="SimSun" w:hint="eastAsia"/>
        </w:rPr>
        <w:t>月</w:t>
      </w:r>
      <w:r>
        <w:rPr>
          <w:rFonts w:eastAsia="SimSun" w:hint="eastAsia"/>
        </w:rPr>
        <w:t>10</w:t>
      </w:r>
      <w:r>
        <w:rPr>
          <w:rFonts w:eastAsia="SimSun" w:hint="eastAsia"/>
        </w:rPr>
        <w:t>日</w:t>
      </w:r>
      <w:r>
        <w:rPr>
          <w:rFonts w:eastAsia="SimSun" w:hint="eastAsia"/>
        </w:rPr>
        <w:t>)</w:t>
      </w:r>
      <w:r>
        <w:rPr>
          <w:rFonts w:eastAsia="SimSun" w:hint="eastAsia"/>
        </w:rPr>
        <w:t>。</w:t>
      </w:r>
    </w:p>
  </w:footnote>
  <w:footnote w:id="42">
    <w:p w:rsidR="00000000" w:rsidRDefault="004D2F83">
      <w:pPr>
        <w:pStyle w:val="FootnoteText"/>
        <w:spacing w:afterLines="30" w:after="72" w:line="240" w:lineRule="auto"/>
        <w:rPr>
          <w:rFonts w:eastAsia="SimSun"/>
        </w:rPr>
      </w:pPr>
      <w:r>
        <w:rPr>
          <w:rStyle w:val="FootnoteReference"/>
          <w:rFonts w:eastAsia="SimSun"/>
        </w:rPr>
        <w:t>42</w:t>
      </w:r>
      <w:r>
        <w:rPr>
          <w:rFonts w:eastAsia="SimSun"/>
        </w:rPr>
        <w:t xml:space="preserve"> </w:t>
      </w:r>
      <w:r>
        <w:rPr>
          <w:rFonts w:eastAsia="SimSun" w:hint="eastAsia"/>
        </w:rPr>
        <w:t>B</w:t>
      </w:r>
      <w:r>
        <w:rPr>
          <w:rFonts w:eastAsia="SimSun" w:hint="eastAsia"/>
          <w:spacing w:val="-4"/>
        </w:rPr>
        <w:t>IERRENBACH</w:t>
      </w:r>
      <w:r>
        <w:rPr>
          <w:rFonts w:eastAsia="SimSun" w:hint="eastAsia"/>
          <w:spacing w:val="-4"/>
        </w:rPr>
        <w:t>，</w:t>
      </w:r>
      <w:r>
        <w:rPr>
          <w:rFonts w:eastAsia="SimSun"/>
          <w:spacing w:val="-4"/>
        </w:rPr>
        <w:t>Maria Ignes</w:t>
      </w:r>
      <w:r>
        <w:rPr>
          <w:rFonts w:eastAsia="SimSun" w:hint="eastAsia"/>
          <w:spacing w:val="-4"/>
        </w:rPr>
        <w:t>，</w:t>
      </w:r>
      <w:r>
        <w:rPr>
          <w:rFonts w:eastAsia="SimSun" w:hint="eastAsia"/>
          <w:spacing w:val="-4"/>
        </w:rPr>
        <w:t xml:space="preserve"> </w:t>
      </w:r>
      <w:r>
        <w:rPr>
          <w:rFonts w:eastAsia="SimSun" w:hint="eastAsia"/>
          <w:spacing w:val="-4"/>
        </w:rPr>
        <w:t>“</w:t>
      </w:r>
      <w:r>
        <w:rPr>
          <w:rFonts w:eastAsia="SimSun"/>
          <w:spacing w:val="-4"/>
        </w:rPr>
        <w:t>A Mulher Presa</w:t>
      </w:r>
      <w:r>
        <w:rPr>
          <w:rFonts w:eastAsia="SimSun" w:hint="eastAsia"/>
          <w:spacing w:val="-4"/>
        </w:rPr>
        <w:t>”</w:t>
      </w:r>
      <w:r>
        <w:rPr>
          <w:rFonts w:eastAsia="SimSun"/>
          <w:spacing w:val="-4"/>
        </w:rPr>
        <w:t>(“</w:t>
      </w:r>
      <w:r>
        <w:rPr>
          <w:rFonts w:eastAsia="SimSun" w:hint="eastAsia"/>
          <w:spacing w:val="-4"/>
        </w:rPr>
        <w:t>女囚犯</w:t>
      </w:r>
      <w:r>
        <w:rPr>
          <w:rFonts w:eastAsia="SimSun"/>
          <w:spacing w:val="-4"/>
        </w:rPr>
        <w:t>”)</w:t>
      </w:r>
      <w:r>
        <w:rPr>
          <w:rFonts w:eastAsia="SimSun" w:hint="eastAsia"/>
          <w:spacing w:val="-4"/>
        </w:rPr>
        <w:t>，</w:t>
      </w:r>
      <w:r>
        <w:rPr>
          <w:rFonts w:eastAsia="SimSun" w:hint="eastAsia"/>
          <w:spacing w:val="-4"/>
        </w:rPr>
        <w:t>T</w:t>
      </w:r>
      <w:r>
        <w:rPr>
          <w:rFonts w:eastAsia="SimSun"/>
          <w:spacing w:val="-4"/>
        </w:rPr>
        <w:t>extos Reunidos, Ilanud Journal,</w:t>
      </w:r>
      <w:r>
        <w:rPr>
          <w:rFonts w:eastAsia="SimSun" w:hint="eastAsia"/>
          <w:spacing w:val="-4"/>
        </w:rPr>
        <w:t xml:space="preserve"> </w:t>
      </w:r>
      <w:r>
        <w:rPr>
          <w:rFonts w:eastAsia="SimSun" w:hint="eastAsia"/>
          <w:spacing w:val="-4"/>
        </w:rPr>
        <w:t>第</w:t>
      </w:r>
      <w:r>
        <w:rPr>
          <w:rFonts w:eastAsia="SimSun" w:hint="eastAsia"/>
          <w:spacing w:val="-4"/>
        </w:rPr>
        <w:t>12</w:t>
      </w:r>
      <w:r>
        <w:rPr>
          <w:rFonts w:eastAsia="SimSun" w:hint="eastAsia"/>
          <w:spacing w:val="-4"/>
        </w:rPr>
        <w:t>号，</w:t>
      </w:r>
      <w:r>
        <w:rPr>
          <w:rFonts w:eastAsia="SimSun" w:hint="eastAsia"/>
          <w:spacing w:val="-4"/>
        </w:rPr>
        <w:t>1998</w:t>
      </w:r>
      <w:r>
        <w:rPr>
          <w:rFonts w:eastAsia="SimSun" w:hint="eastAsia"/>
          <w:spacing w:val="-4"/>
        </w:rPr>
        <w:t>年，第</w:t>
      </w:r>
      <w:r>
        <w:rPr>
          <w:rFonts w:eastAsia="SimSun" w:hint="eastAsia"/>
          <w:spacing w:val="-4"/>
        </w:rPr>
        <w:t>71</w:t>
      </w:r>
      <w:r>
        <w:rPr>
          <w:rFonts w:eastAsia="SimSun" w:hint="eastAsia"/>
          <w:spacing w:val="-4"/>
        </w:rPr>
        <w:t>页。</w:t>
      </w:r>
    </w:p>
  </w:footnote>
  <w:footnote w:id="43">
    <w:p w:rsidR="00000000" w:rsidRDefault="004D2F83">
      <w:pPr>
        <w:pStyle w:val="FootnoteText"/>
        <w:spacing w:afterLines="30" w:after="72" w:line="240" w:lineRule="auto"/>
        <w:rPr>
          <w:rFonts w:eastAsia="SimSun" w:hint="eastAsia"/>
        </w:rPr>
      </w:pPr>
      <w:r>
        <w:rPr>
          <w:rStyle w:val="FootnoteReference"/>
          <w:rFonts w:eastAsia="SimSun"/>
        </w:rPr>
        <w:t>43</w:t>
      </w:r>
      <w:r>
        <w:rPr>
          <w:rFonts w:eastAsia="SimSun"/>
        </w:rPr>
        <w:t xml:space="preserve"> </w:t>
      </w:r>
      <w:r>
        <w:rPr>
          <w:rFonts w:eastAsia="SimSun" w:hint="eastAsia"/>
        </w:rPr>
        <w:t>PIMENTEL</w:t>
      </w:r>
      <w:r>
        <w:rPr>
          <w:rFonts w:eastAsia="SimSun" w:hint="eastAsia"/>
        </w:rPr>
        <w:t>，</w:t>
      </w:r>
      <w:r>
        <w:rPr>
          <w:rFonts w:eastAsia="SimSun" w:hint="eastAsia"/>
        </w:rPr>
        <w:t xml:space="preserve"> </w:t>
      </w:r>
      <w:r>
        <w:rPr>
          <w:rFonts w:eastAsia="SimSun"/>
        </w:rPr>
        <w:t>Silvia Pimentel, “Evolucao dos Direitos da Mulher: Norm</w:t>
      </w:r>
      <w:r>
        <w:rPr>
          <w:rFonts w:eastAsia="SimSun"/>
        </w:rPr>
        <w:t>a, fato, Valor”,(“</w:t>
      </w:r>
      <w:r>
        <w:rPr>
          <w:rFonts w:eastAsia="SimSun" w:hint="eastAsia"/>
        </w:rPr>
        <w:t>妇女权利的发展：规范、事实、价值</w:t>
      </w:r>
      <w:r>
        <w:rPr>
          <w:rFonts w:eastAsia="SimSun"/>
        </w:rPr>
        <w:t>”)</w:t>
      </w:r>
      <w:r>
        <w:rPr>
          <w:rFonts w:eastAsia="SimSun" w:hint="eastAsia"/>
        </w:rPr>
        <w:t>，圣保罗：法院期刊</w:t>
      </w:r>
      <w:r>
        <w:rPr>
          <w:rFonts w:eastAsia="SimSun" w:hint="eastAsia"/>
        </w:rPr>
        <w:t>1978</w:t>
      </w:r>
      <w:r>
        <w:rPr>
          <w:rFonts w:eastAsia="SimSun" w:hint="eastAsia"/>
        </w:rPr>
        <w:t>年，第</w:t>
      </w:r>
      <w:r>
        <w:rPr>
          <w:rFonts w:eastAsia="SimSun" w:hint="eastAsia"/>
        </w:rPr>
        <w:t>3</w:t>
      </w:r>
      <w:r>
        <w:rPr>
          <w:rFonts w:eastAsia="SimSun" w:hint="eastAsia"/>
        </w:rPr>
        <w:t>页和第</w:t>
      </w:r>
      <w:r>
        <w:rPr>
          <w:rFonts w:eastAsia="SimSun" w:hint="eastAsia"/>
        </w:rPr>
        <w:t>4</w:t>
      </w:r>
      <w:r>
        <w:rPr>
          <w:rFonts w:eastAsia="SimSun" w:hint="eastAsia"/>
        </w:rPr>
        <w:t>页。</w:t>
      </w:r>
    </w:p>
  </w:footnote>
  <w:footnote w:id="44">
    <w:p w:rsidR="00000000" w:rsidRDefault="004D2F83">
      <w:pPr>
        <w:pStyle w:val="FootnoteText"/>
        <w:spacing w:afterLines="30" w:after="72" w:line="240" w:lineRule="auto"/>
        <w:rPr>
          <w:rFonts w:eastAsia="SimSun" w:hint="eastAsia"/>
        </w:rPr>
      </w:pPr>
      <w:r>
        <w:rPr>
          <w:rStyle w:val="FootnoteReference"/>
          <w:rFonts w:eastAsia="SimSun"/>
        </w:rPr>
        <w:t>44</w:t>
      </w:r>
      <w:r>
        <w:rPr>
          <w:rFonts w:eastAsia="SimSun"/>
        </w:rPr>
        <w:t xml:space="preserve"> </w:t>
      </w:r>
      <w:r>
        <w:rPr>
          <w:rFonts w:eastAsia="SimSun" w:hint="eastAsia"/>
        </w:rPr>
        <w:t>此调查由</w:t>
      </w:r>
      <w:r>
        <w:rPr>
          <w:rFonts w:eastAsia="SimSun"/>
        </w:rPr>
        <w:t>Themis</w:t>
      </w:r>
      <w:r>
        <w:rPr>
          <w:rFonts w:eastAsia="SimSun" w:hint="eastAsia"/>
        </w:rPr>
        <w:t>——法律咨询和性别问题研究所开展，分析法院中使用的公平“概念”。此次调查包括了</w:t>
      </w:r>
      <w:r>
        <w:rPr>
          <w:rFonts w:eastAsia="SimSun" w:hint="eastAsia"/>
        </w:rPr>
        <w:t>1998</w:t>
      </w:r>
      <w:r>
        <w:rPr>
          <w:rFonts w:eastAsia="SimSun" w:hint="eastAsia"/>
        </w:rPr>
        <w:t>至</w:t>
      </w:r>
      <w:r>
        <w:rPr>
          <w:rFonts w:eastAsia="SimSun" w:hint="eastAsia"/>
        </w:rPr>
        <w:t>2000</w:t>
      </w:r>
      <w:r>
        <w:rPr>
          <w:rFonts w:eastAsia="SimSun" w:hint="eastAsia"/>
        </w:rPr>
        <w:t>年间颁布的判决。</w:t>
      </w:r>
    </w:p>
  </w:footnote>
  <w:footnote w:id="45">
    <w:p w:rsidR="00000000" w:rsidRDefault="004D2F83">
      <w:pPr>
        <w:pStyle w:val="FootnoteText"/>
        <w:spacing w:afterLines="30" w:after="72" w:line="240" w:lineRule="auto"/>
        <w:rPr>
          <w:rFonts w:eastAsia="SimSun" w:hint="eastAsia"/>
        </w:rPr>
      </w:pPr>
      <w:r>
        <w:rPr>
          <w:rStyle w:val="FootnoteReference"/>
          <w:rFonts w:eastAsia="SimSun"/>
        </w:rPr>
        <w:t>45</w:t>
      </w:r>
      <w:r>
        <w:rPr>
          <w:rFonts w:eastAsia="SimSun"/>
        </w:rPr>
        <w:t xml:space="preserve"> </w:t>
      </w:r>
      <w:r>
        <w:rPr>
          <w:rFonts w:eastAsia="SimSun" w:hint="eastAsia"/>
        </w:rPr>
        <w:t>利用“公平”、“平等原则”和“权利平等”等条目进行的调查发现了</w:t>
      </w:r>
      <w:r>
        <w:rPr>
          <w:rFonts w:eastAsia="SimSun" w:hint="eastAsia"/>
        </w:rPr>
        <w:t>150</w:t>
      </w:r>
      <w:r>
        <w:rPr>
          <w:rFonts w:eastAsia="SimSun" w:hint="eastAsia"/>
        </w:rPr>
        <w:t>个判决并选择了</w:t>
      </w:r>
      <w:r>
        <w:rPr>
          <w:rFonts w:eastAsia="SimSun" w:hint="eastAsia"/>
        </w:rPr>
        <w:t>27</w:t>
      </w:r>
      <w:r>
        <w:rPr>
          <w:rFonts w:eastAsia="SimSun" w:hint="eastAsia"/>
        </w:rPr>
        <w:t>个表明司法部门想法的有关“法律平等”的法院摘要。其他一些判决是关于程序问题的。这些摘要总的来说讨论了形式上的公平并努力</w:t>
      </w:r>
      <w:r>
        <w:rPr>
          <w:rFonts w:eastAsia="SimSun"/>
        </w:rPr>
        <w:t>a)</w:t>
      </w:r>
      <w:r>
        <w:rPr>
          <w:rFonts w:eastAsia="SimSun" w:hint="eastAsia"/>
        </w:rPr>
        <w:t>保障男方的临时赡养费；</w:t>
      </w:r>
      <w:r>
        <w:rPr>
          <w:rFonts w:eastAsia="SimSun"/>
        </w:rPr>
        <w:t>b)</w:t>
      </w:r>
      <w:r>
        <w:rPr>
          <w:rFonts w:eastAsia="SimSun" w:hint="eastAsia"/>
        </w:rPr>
        <w:t>向男子发放社</w:t>
      </w:r>
      <w:r>
        <w:rPr>
          <w:rFonts w:eastAsia="SimSun" w:hint="eastAsia"/>
        </w:rPr>
        <w:t>会保障补贴；并</w:t>
      </w:r>
      <w:r>
        <w:rPr>
          <w:rFonts w:eastAsia="SimSun"/>
        </w:rPr>
        <w:t>c)</w:t>
      </w:r>
      <w:r>
        <w:rPr>
          <w:rFonts w:eastAsia="SimSun" w:hint="eastAsia"/>
        </w:rPr>
        <w:t>宣布妇女的依赖性的想法及其特殊的审判地点不符合宪法。但是，所调查的判决中没有一个讨论了实际公平或不平等和歧视性的现状。也没有发现任何“平等”的定义。因此，利用以下条目又开展了一次新调查：“歧视”、“两性之间的歧视”、“男女之间的歧视”、“性歧视”、“公平”、“两性之间的公平”、“两性之间的权利平等”、“男女之间的权利平等”和“妇女的尊严”。此次调查没有发现关于“男女之间的歧视”、“性别的”和“公平”方面的判决。选择的</w:t>
      </w:r>
      <w:r>
        <w:rPr>
          <w:rFonts w:eastAsia="SimSun" w:hint="eastAsia"/>
        </w:rPr>
        <w:t>15</w:t>
      </w:r>
      <w:r>
        <w:rPr>
          <w:rFonts w:eastAsia="SimSun" w:hint="eastAsia"/>
        </w:rPr>
        <w:t>个摘要是关于：</w:t>
      </w:r>
      <w:r>
        <w:rPr>
          <w:rFonts w:eastAsia="SimSun"/>
        </w:rPr>
        <w:t xml:space="preserve"> a)</w:t>
      </w:r>
      <w:r>
        <w:rPr>
          <w:rFonts w:eastAsia="SimSun" w:hint="eastAsia"/>
        </w:rPr>
        <w:t>在公开录用考试中平等的条件；</w:t>
      </w:r>
      <w:r>
        <w:rPr>
          <w:rFonts w:eastAsia="SimSun"/>
        </w:rPr>
        <w:t>b)</w:t>
      </w:r>
      <w:r>
        <w:rPr>
          <w:rFonts w:eastAsia="SimSun" w:hint="eastAsia"/>
        </w:rPr>
        <w:t>为社会保障的目的将</w:t>
      </w:r>
      <w:r>
        <w:rPr>
          <w:rFonts w:eastAsia="SimSun" w:hint="eastAsia"/>
        </w:rPr>
        <w:t>丈夫列为受养人；</w:t>
      </w:r>
      <w:r>
        <w:rPr>
          <w:rFonts w:eastAsia="SimSun"/>
        </w:rPr>
        <w:t>c)</w:t>
      </w:r>
      <w:r>
        <w:rPr>
          <w:rFonts w:eastAsia="SimSun" w:hint="eastAsia"/>
        </w:rPr>
        <w:t>扣押妇女的财产拍卖抵税；</w:t>
      </w:r>
      <w:r>
        <w:rPr>
          <w:rFonts w:eastAsia="SimSun"/>
        </w:rPr>
        <w:t>d)</w:t>
      </w:r>
      <w:r>
        <w:rPr>
          <w:rFonts w:eastAsia="SimSun" w:hint="eastAsia"/>
        </w:rPr>
        <w:t>妇女支付赡养费的义务；</w:t>
      </w:r>
      <w:r>
        <w:rPr>
          <w:rFonts w:eastAsia="SimSun"/>
        </w:rPr>
        <w:t>e)</w:t>
      </w:r>
      <w:r>
        <w:rPr>
          <w:rFonts w:eastAsia="SimSun" w:hint="eastAsia"/>
        </w:rPr>
        <w:t>丈夫不承担支付赡养费的义务；和</w:t>
      </w:r>
      <w:r>
        <w:rPr>
          <w:rFonts w:eastAsia="SimSun"/>
        </w:rPr>
        <w:t>f)</w:t>
      </w:r>
      <w:r>
        <w:rPr>
          <w:rFonts w:eastAsia="SimSun" w:hint="eastAsia"/>
        </w:rPr>
        <w:t>向犯人发放《刑事执行法》第</w:t>
      </w:r>
      <w:r>
        <w:rPr>
          <w:rFonts w:eastAsia="SimSun" w:hint="eastAsia"/>
        </w:rPr>
        <w:t>17</w:t>
      </w:r>
      <w:r>
        <w:rPr>
          <w:rFonts w:eastAsia="SimSun" w:hint="eastAsia"/>
        </w:rPr>
        <w:t>条第三款规定的津贴，该法规定从半公开制度获得津贴的犯人只允许呆在私人住所，如果这些犯人为带有未成年子女或身心残疾子女的女性的话。</w:t>
      </w:r>
    </w:p>
  </w:footnote>
  <w:footnote w:id="46">
    <w:p w:rsidR="00000000" w:rsidRDefault="004D2F83">
      <w:pPr>
        <w:pStyle w:val="FootnoteText"/>
        <w:spacing w:afterLines="30" w:after="72" w:line="240" w:lineRule="auto"/>
        <w:rPr>
          <w:rFonts w:eastAsia="SimSun" w:hint="eastAsia"/>
        </w:rPr>
      </w:pPr>
      <w:r>
        <w:rPr>
          <w:rStyle w:val="FootnoteReference"/>
          <w:rFonts w:eastAsia="SimSun"/>
        </w:rPr>
        <w:t>46</w:t>
      </w:r>
      <w:r>
        <w:rPr>
          <w:rFonts w:eastAsia="SimSun"/>
        </w:rPr>
        <w:t xml:space="preserve"> </w:t>
      </w:r>
      <w:r>
        <w:rPr>
          <w:rFonts w:eastAsia="SimSun" w:hint="eastAsia"/>
        </w:rPr>
        <w:t>根据</w:t>
      </w:r>
      <w:r>
        <w:rPr>
          <w:rFonts w:eastAsia="SimSun" w:hint="eastAsia"/>
        </w:rPr>
        <w:t>2000</w:t>
      </w:r>
      <w:r>
        <w:rPr>
          <w:rFonts w:eastAsia="SimSun" w:hint="eastAsia"/>
        </w:rPr>
        <w:t>年的人口普查，男女比例为</w:t>
      </w:r>
      <w:r>
        <w:rPr>
          <w:rFonts w:eastAsia="SimSun" w:hint="eastAsia"/>
        </w:rPr>
        <w:t>96</w:t>
      </w:r>
      <w:r>
        <w:rPr>
          <w:rFonts w:eastAsia="SimSun"/>
        </w:rPr>
        <w:t>.6:100</w:t>
      </w:r>
      <w:r>
        <w:rPr>
          <w:rFonts w:eastAsia="SimSun" w:hint="eastAsia"/>
        </w:rPr>
        <w:t>。这就是说，巴西的女性人口比男性人口多出</w:t>
      </w:r>
      <w:r>
        <w:rPr>
          <w:rFonts w:eastAsia="SimSun" w:hint="eastAsia"/>
        </w:rPr>
        <w:t>270</w:t>
      </w:r>
      <w:r>
        <w:rPr>
          <w:rFonts w:eastAsia="SimSun" w:hint="eastAsia"/>
        </w:rPr>
        <w:t>万。</w:t>
      </w:r>
      <w:r>
        <w:rPr>
          <w:rFonts w:eastAsia="SimSun" w:hint="eastAsia"/>
        </w:rPr>
        <w:t>1991</w:t>
      </w:r>
      <w:r>
        <w:rPr>
          <w:rFonts w:eastAsia="SimSun" w:hint="eastAsia"/>
        </w:rPr>
        <w:t>年的男女比例为</w:t>
      </w:r>
      <w:r>
        <w:rPr>
          <w:rFonts w:eastAsia="SimSun" w:hint="eastAsia"/>
        </w:rPr>
        <w:t>97</w:t>
      </w:r>
      <w:r>
        <w:rPr>
          <w:rFonts w:eastAsia="SimSun"/>
        </w:rPr>
        <w:t>.5:100</w:t>
      </w:r>
      <w:r>
        <w:rPr>
          <w:rFonts w:eastAsia="SimSun" w:hint="eastAsia"/>
        </w:rPr>
        <w:t>。男子比例最低的是东南部地区，为</w:t>
      </w:r>
      <w:r>
        <w:rPr>
          <w:rFonts w:eastAsia="SimSun" w:hint="eastAsia"/>
        </w:rPr>
        <w:t>95</w:t>
      </w:r>
      <w:r>
        <w:rPr>
          <w:rFonts w:eastAsia="SimSun"/>
        </w:rPr>
        <w:t>.8:</w:t>
      </w:r>
      <w:r>
        <w:rPr>
          <w:rFonts w:eastAsia="SimSun" w:hint="eastAsia"/>
        </w:rPr>
        <w:t>100</w:t>
      </w:r>
      <w:r>
        <w:rPr>
          <w:rFonts w:eastAsia="SimSun" w:hint="eastAsia"/>
        </w:rPr>
        <w:t>。北部地区是唯一一个男性人口超过女性人口的地区，男</w:t>
      </w:r>
      <w:r>
        <w:rPr>
          <w:rFonts w:eastAsia="SimSun" w:hint="eastAsia"/>
        </w:rPr>
        <w:t>女比例为</w:t>
      </w:r>
      <w:r>
        <w:rPr>
          <w:rFonts w:eastAsia="SimSun" w:hint="eastAsia"/>
        </w:rPr>
        <w:t>102</w:t>
      </w:r>
      <w:r>
        <w:rPr>
          <w:rFonts w:eastAsia="SimSun"/>
        </w:rPr>
        <w:t>.4:100</w:t>
      </w:r>
      <w:r>
        <w:rPr>
          <w:rFonts w:eastAsia="SimSun" w:hint="eastAsia"/>
        </w:rPr>
        <w:t>。</w:t>
      </w:r>
    </w:p>
  </w:footnote>
  <w:footnote w:id="47">
    <w:p w:rsidR="00000000" w:rsidRDefault="004D2F83">
      <w:pPr>
        <w:pStyle w:val="FootnoteText"/>
        <w:spacing w:afterLines="30" w:after="72" w:line="240" w:lineRule="auto"/>
        <w:rPr>
          <w:rFonts w:eastAsia="SimSun" w:hint="eastAsia"/>
        </w:rPr>
      </w:pPr>
      <w:r>
        <w:rPr>
          <w:rStyle w:val="FootnoteReference"/>
          <w:rFonts w:eastAsia="SimSun"/>
        </w:rPr>
        <w:t>47</w:t>
      </w:r>
      <w:r>
        <w:rPr>
          <w:rFonts w:eastAsia="SimSun"/>
        </w:rPr>
        <w:t xml:space="preserve"> </w:t>
      </w:r>
      <w:r>
        <w:rPr>
          <w:rFonts w:eastAsia="SimSun" w:hint="eastAsia"/>
        </w:rPr>
        <w:t>有关妇女死亡率的数据是从“巴西女性发病率——死亡率（</w:t>
      </w:r>
      <w:r>
        <w:rPr>
          <w:rFonts w:eastAsia="SimSun" w:hint="eastAsia"/>
        </w:rPr>
        <w:t>1979-1995</w:t>
      </w:r>
      <w:r>
        <w:rPr>
          <w:rFonts w:eastAsia="SimSun" w:hint="eastAsia"/>
        </w:rPr>
        <w:t>年）”一书中摘录，由</w:t>
      </w:r>
      <w:r>
        <w:rPr>
          <w:rFonts w:eastAsia="SimSun"/>
        </w:rPr>
        <w:t>Elza Berquo</w:t>
      </w:r>
      <w:r>
        <w:rPr>
          <w:rFonts w:eastAsia="SimSun" w:hint="eastAsia"/>
        </w:rPr>
        <w:t>和</w:t>
      </w:r>
      <w:r>
        <w:rPr>
          <w:rFonts w:eastAsia="SimSun"/>
        </w:rPr>
        <w:t>Estela Maria da Cunha</w:t>
      </w:r>
      <w:r>
        <w:rPr>
          <w:rFonts w:eastAsia="SimSun" w:hint="eastAsia"/>
        </w:rPr>
        <w:t>组织起来的。</w:t>
      </w:r>
      <w:r>
        <w:rPr>
          <w:rFonts w:eastAsia="SimSun"/>
        </w:rPr>
        <w:t>Campinas,2000</w:t>
      </w:r>
      <w:r>
        <w:rPr>
          <w:rFonts w:eastAsia="SimSun" w:hint="eastAsia"/>
        </w:rPr>
        <w:t>年。</w:t>
      </w:r>
    </w:p>
  </w:footnote>
  <w:footnote w:id="48">
    <w:p w:rsidR="00000000" w:rsidRDefault="004D2F83">
      <w:pPr>
        <w:pStyle w:val="FootnoteText"/>
        <w:spacing w:afterLines="30" w:after="72" w:line="240" w:lineRule="auto"/>
        <w:rPr>
          <w:rFonts w:eastAsia="SimSun" w:hint="eastAsia"/>
        </w:rPr>
      </w:pPr>
      <w:r>
        <w:rPr>
          <w:rStyle w:val="FootnoteReference"/>
          <w:rFonts w:eastAsia="SimSun"/>
        </w:rPr>
        <w:t>48</w:t>
      </w:r>
      <w:r>
        <w:rPr>
          <w:rFonts w:eastAsia="SimSun"/>
        </w:rPr>
        <w:t xml:space="preserve"> </w:t>
      </w:r>
      <w:r>
        <w:rPr>
          <w:rFonts w:eastAsia="SimSun" w:hint="eastAsia"/>
        </w:rPr>
        <w:t>巴西妇女公共政策：北京会议后五年全国评估。巴西妇女的声音——巴西：</w:t>
      </w:r>
      <w:r>
        <w:rPr>
          <w:rFonts w:eastAsia="SimSun" w:hint="eastAsia"/>
        </w:rPr>
        <w:t>AMB</w:t>
      </w:r>
      <w:r>
        <w:rPr>
          <w:rFonts w:eastAsia="SimSun" w:hint="eastAsia"/>
        </w:rPr>
        <w:t>，</w:t>
      </w:r>
      <w:r>
        <w:rPr>
          <w:rFonts w:eastAsia="SimSun" w:hint="eastAsia"/>
        </w:rPr>
        <w:t>2000</w:t>
      </w:r>
      <w:r>
        <w:rPr>
          <w:rFonts w:eastAsia="SimSun" w:hint="eastAsia"/>
        </w:rPr>
        <w:t>年。第</w:t>
      </w:r>
      <w:r>
        <w:rPr>
          <w:rFonts w:eastAsia="SimSun" w:hint="eastAsia"/>
        </w:rPr>
        <w:t>25-26</w:t>
      </w:r>
      <w:r>
        <w:rPr>
          <w:rFonts w:eastAsia="SimSun" w:hint="eastAsia"/>
        </w:rPr>
        <w:t>页。</w:t>
      </w:r>
    </w:p>
  </w:footnote>
  <w:footnote w:id="49">
    <w:p w:rsidR="00000000" w:rsidRDefault="004D2F83">
      <w:pPr>
        <w:pStyle w:val="FootnoteText"/>
        <w:spacing w:afterLines="30" w:after="72" w:line="240" w:lineRule="auto"/>
        <w:rPr>
          <w:rFonts w:eastAsia="SimSun" w:hint="eastAsia"/>
        </w:rPr>
      </w:pPr>
      <w:r>
        <w:rPr>
          <w:rStyle w:val="FootnoteReference"/>
          <w:rFonts w:eastAsia="SimSun"/>
        </w:rPr>
        <w:t>49</w:t>
      </w:r>
      <w:r>
        <w:rPr>
          <w:rFonts w:eastAsia="SimSun"/>
        </w:rPr>
        <w:t xml:space="preserve"> </w:t>
      </w:r>
      <w:r>
        <w:rPr>
          <w:rFonts w:eastAsia="SimSun" w:hint="eastAsia"/>
        </w:rPr>
        <w:t>有关肯定行动的资料，见</w:t>
      </w:r>
      <w:r>
        <w:rPr>
          <w:rFonts w:eastAsia="SimSun"/>
        </w:rPr>
        <w:t>Monica de Melo</w:t>
      </w:r>
      <w:r>
        <w:rPr>
          <w:rFonts w:eastAsia="SimSun" w:hint="eastAsia"/>
        </w:rPr>
        <w:t>，前引书。</w:t>
      </w:r>
    </w:p>
  </w:footnote>
  <w:footnote w:id="50">
    <w:p w:rsidR="00000000" w:rsidRDefault="004D2F83">
      <w:pPr>
        <w:pStyle w:val="FootnoteText"/>
        <w:spacing w:afterLines="30" w:after="72" w:line="240" w:lineRule="auto"/>
        <w:rPr>
          <w:rFonts w:eastAsia="SimSun" w:hint="eastAsia"/>
        </w:rPr>
      </w:pPr>
      <w:r>
        <w:rPr>
          <w:rStyle w:val="FootnoteReference"/>
          <w:rFonts w:eastAsia="SimSun"/>
        </w:rPr>
        <w:t>50</w:t>
      </w:r>
      <w:r>
        <w:rPr>
          <w:rFonts w:eastAsia="SimSun"/>
        </w:rPr>
        <w:t xml:space="preserve"> </w:t>
      </w:r>
      <w:r>
        <w:rPr>
          <w:rFonts w:eastAsia="SimSun" w:hint="eastAsia"/>
        </w:rPr>
        <w:t>在本报告几节中均有论述，尤其是在关于第</w:t>
      </w:r>
      <w:r>
        <w:rPr>
          <w:rFonts w:eastAsia="SimSun" w:hint="eastAsia"/>
        </w:rPr>
        <w:t>11</w:t>
      </w:r>
      <w:r>
        <w:rPr>
          <w:rFonts w:eastAsia="SimSun" w:hint="eastAsia"/>
        </w:rPr>
        <w:t>条的评论意见中。</w:t>
      </w:r>
    </w:p>
  </w:footnote>
  <w:footnote w:id="51">
    <w:p w:rsidR="00000000" w:rsidRDefault="004D2F83">
      <w:pPr>
        <w:pStyle w:val="FootnoteText"/>
        <w:spacing w:afterLines="30" w:after="72" w:line="240" w:lineRule="auto"/>
        <w:rPr>
          <w:rFonts w:eastAsia="SimSun" w:hint="eastAsia"/>
        </w:rPr>
      </w:pPr>
      <w:r>
        <w:rPr>
          <w:rStyle w:val="FootnoteReference"/>
          <w:rFonts w:eastAsia="SimSun"/>
        </w:rPr>
        <w:t>51</w:t>
      </w:r>
      <w:r>
        <w:rPr>
          <w:rFonts w:eastAsia="SimSun"/>
        </w:rPr>
        <w:t xml:space="preserve"> </w:t>
      </w:r>
      <w:r>
        <w:rPr>
          <w:rFonts w:eastAsia="SimSun" w:hint="eastAsia"/>
        </w:rPr>
        <w:t>联邦众议员</w:t>
      </w:r>
      <w:r>
        <w:rPr>
          <w:rFonts w:eastAsia="SimSun"/>
        </w:rPr>
        <w:t>Rita Cam</w:t>
      </w:r>
      <w:r>
        <w:rPr>
          <w:rFonts w:eastAsia="SimSun"/>
        </w:rPr>
        <w:t>ata</w:t>
      </w:r>
      <w:r>
        <w:rPr>
          <w:rFonts w:eastAsia="SimSun" w:hint="eastAsia"/>
        </w:rPr>
        <w:t>提交的法案。</w:t>
      </w:r>
    </w:p>
  </w:footnote>
  <w:footnote w:id="52">
    <w:p w:rsidR="00000000" w:rsidRDefault="004D2F83">
      <w:pPr>
        <w:pStyle w:val="FootnoteText"/>
        <w:spacing w:afterLines="30" w:after="72" w:line="240" w:lineRule="auto"/>
        <w:rPr>
          <w:rFonts w:eastAsia="SimSun" w:hint="eastAsia"/>
        </w:rPr>
      </w:pPr>
      <w:r>
        <w:rPr>
          <w:rStyle w:val="FootnoteReference"/>
          <w:rFonts w:eastAsia="SimSun"/>
        </w:rPr>
        <w:t>52</w:t>
      </w:r>
      <w:r>
        <w:rPr>
          <w:rFonts w:eastAsia="SimSun"/>
        </w:rPr>
        <w:t xml:space="preserve"> </w:t>
      </w:r>
      <w:r>
        <w:rPr>
          <w:rFonts w:eastAsia="SimSun" w:hint="eastAsia"/>
        </w:rPr>
        <w:t>RT</w:t>
      </w:r>
      <w:r>
        <w:rPr>
          <w:rFonts w:eastAsia="SimSun"/>
        </w:rPr>
        <w:t xml:space="preserve">/716 – </w:t>
      </w:r>
      <w:r>
        <w:rPr>
          <w:rFonts w:eastAsia="SimSun" w:hint="eastAsia"/>
        </w:rPr>
        <w:t>286</w:t>
      </w:r>
      <w:r>
        <w:rPr>
          <w:rFonts w:eastAsia="SimSun" w:hint="eastAsia"/>
        </w:rPr>
        <w:t>中公布的判决，</w:t>
      </w:r>
      <w:r>
        <w:rPr>
          <w:rFonts w:eastAsia="SimSun" w:hint="eastAsia"/>
        </w:rPr>
        <w:t>1995</w:t>
      </w:r>
      <w:r>
        <w:rPr>
          <w:rFonts w:eastAsia="SimSun" w:hint="eastAsia"/>
        </w:rPr>
        <w:t>年</w:t>
      </w:r>
      <w:r>
        <w:rPr>
          <w:rFonts w:eastAsia="SimSun" w:hint="eastAsia"/>
        </w:rPr>
        <w:t>6</w:t>
      </w:r>
      <w:r>
        <w:rPr>
          <w:rFonts w:eastAsia="SimSun" w:hint="eastAsia"/>
        </w:rPr>
        <w:t>月。</w:t>
      </w:r>
    </w:p>
  </w:footnote>
  <w:footnote w:id="53">
    <w:p w:rsidR="00000000" w:rsidRDefault="004D2F83">
      <w:pPr>
        <w:pStyle w:val="FootnoteText"/>
        <w:spacing w:afterLines="30" w:after="72" w:line="240" w:lineRule="auto"/>
        <w:rPr>
          <w:rFonts w:eastAsia="SimSun" w:hint="eastAsia"/>
        </w:rPr>
      </w:pPr>
      <w:r>
        <w:rPr>
          <w:rStyle w:val="FootnoteReference"/>
          <w:rFonts w:eastAsia="SimSun"/>
        </w:rPr>
        <w:t>53</w:t>
      </w:r>
      <w:r>
        <w:rPr>
          <w:rFonts w:eastAsia="SimSun"/>
        </w:rPr>
        <w:t xml:space="preserve"> </w:t>
      </w:r>
      <w:r>
        <w:rPr>
          <w:rFonts w:eastAsia="SimSun" w:hint="eastAsia"/>
        </w:rPr>
        <w:t>阿拉戈阿斯、阿克里、阿马帕、亚马孙、巴伊亚、戈亚斯、马托格罗索、马拉尼昂、米纳斯吉拉斯、巴拉、巴拉那、伯南布哥、皮奥伊、里约热内卢、北里约格朗德、南里约格朗德、朗多尼亚、圣卡塔林纳、圣保罗、塞尔希培和托坎廷斯等州。</w:t>
      </w:r>
    </w:p>
  </w:footnote>
  <w:footnote w:id="54">
    <w:p w:rsidR="00000000" w:rsidRDefault="004D2F83">
      <w:pPr>
        <w:pStyle w:val="FootnoteText"/>
        <w:spacing w:afterLines="30" w:after="72" w:line="240" w:lineRule="auto"/>
        <w:rPr>
          <w:rFonts w:eastAsia="SimSun" w:hint="eastAsia"/>
        </w:rPr>
      </w:pPr>
      <w:r>
        <w:rPr>
          <w:rStyle w:val="FootnoteReference"/>
          <w:rFonts w:eastAsia="SimSun"/>
        </w:rPr>
        <w:t>54</w:t>
      </w:r>
      <w:r>
        <w:rPr>
          <w:rFonts w:eastAsia="SimSun"/>
        </w:rPr>
        <w:t xml:space="preserve"> </w:t>
      </w:r>
      <w:r>
        <w:rPr>
          <w:rFonts w:eastAsia="SimSun" w:hint="eastAsia"/>
        </w:rPr>
        <w:t>《偏见和歧视罪：</w:t>
      </w:r>
      <w:r>
        <w:rPr>
          <w:rFonts w:eastAsia="SimSun" w:hint="eastAsia"/>
        </w:rPr>
        <w:t>1989</w:t>
      </w:r>
      <w:r>
        <w:rPr>
          <w:rFonts w:eastAsia="SimSun" w:hint="eastAsia"/>
        </w:rPr>
        <w:t>年第</w:t>
      </w:r>
      <w:r>
        <w:rPr>
          <w:rFonts w:eastAsia="SimSun"/>
        </w:rPr>
        <w:t>7716</w:t>
      </w:r>
      <w:r>
        <w:rPr>
          <w:rFonts w:eastAsia="SimSun" w:hint="eastAsia"/>
        </w:rPr>
        <w:t>号法律——刑法分析及相关方面》，第一版，圣保罗：</w:t>
      </w:r>
      <w:r>
        <w:rPr>
          <w:rFonts w:eastAsia="SimSun"/>
        </w:rPr>
        <w:t xml:space="preserve"> Max Limonad</w:t>
      </w:r>
      <w:r>
        <w:rPr>
          <w:rFonts w:eastAsia="SimSun" w:hint="eastAsia"/>
        </w:rPr>
        <w:t>编辑</w:t>
      </w:r>
      <w:r>
        <w:rPr>
          <w:rFonts w:eastAsia="SimSun"/>
        </w:rPr>
        <w:t>,</w:t>
      </w:r>
      <w:r>
        <w:rPr>
          <w:rFonts w:eastAsia="SimSun" w:hint="eastAsia"/>
        </w:rPr>
        <w:t xml:space="preserve"> 2001</w:t>
      </w:r>
      <w:r>
        <w:rPr>
          <w:rFonts w:eastAsia="SimSun" w:hint="eastAsia"/>
        </w:rPr>
        <w:t>年。</w:t>
      </w:r>
    </w:p>
  </w:footnote>
  <w:footnote w:id="55">
    <w:p w:rsidR="00000000" w:rsidRDefault="004D2F83">
      <w:pPr>
        <w:pStyle w:val="FootnoteText"/>
        <w:spacing w:afterLines="30" w:after="72" w:line="240" w:lineRule="auto"/>
        <w:rPr>
          <w:rFonts w:eastAsia="SimSun" w:hint="eastAsia"/>
        </w:rPr>
      </w:pPr>
      <w:r>
        <w:rPr>
          <w:rStyle w:val="FootnoteReference"/>
          <w:rFonts w:eastAsia="SimSun"/>
        </w:rPr>
        <w:t>55</w:t>
      </w:r>
      <w:r>
        <w:rPr>
          <w:rFonts w:eastAsia="SimSun"/>
        </w:rPr>
        <w:t xml:space="preserve"> </w:t>
      </w:r>
      <w:r>
        <w:rPr>
          <w:rFonts w:eastAsia="SimSun" w:hint="eastAsia"/>
        </w:rPr>
        <w:t>区域秘书处是劳动就业部的地方分支机构。它们在由其负责的各个不同领域</w:t>
      </w:r>
      <w:r>
        <w:rPr>
          <w:rFonts w:eastAsia="SimSun" w:hint="eastAsia"/>
        </w:rPr>
        <w:t>开展行动，除其他外，检查规则的执行情况、出版文件和向公众提供信息。</w:t>
      </w:r>
    </w:p>
  </w:footnote>
  <w:footnote w:id="56">
    <w:p w:rsidR="00000000" w:rsidRDefault="004D2F83">
      <w:pPr>
        <w:pStyle w:val="FootnoteText"/>
        <w:spacing w:afterLines="30" w:after="72" w:line="240" w:lineRule="auto"/>
        <w:rPr>
          <w:rFonts w:eastAsia="SimSun" w:hint="eastAsia"/>
        </w:rPr>
      </w:pPr>
      <w:r>
        <w:rPr>
          <w:rStyle w:val="FootnoteReference"/>
          <w:rFonts w:eastAsia="SimSun"/>
        </w:rPr>
        <w:t>56</w:t>
      </w:r>
      <w:r>
        <w:rPr>
          <w:rFonts w:eastAsia="SimSun"/>
        </w:rPr>
        <w:t xml:space="preserve"> </w:t>
      </w:r>
      <w:r>
        <w:rPr>
          <w:rFonts w:eastAsia="SimSun" w:hint="eastAsia"/>
        </w:rPr>
        <w:t>1988</w:t>
      </w:r>
      <w:r>
        <w:rPr>
          <w:rFonts w:eastAsia="SimSun" w:hint="eastAsia"/>
        </w:rPr>
        <w:t>年《巴西宪法》第</w:t>
      </w:r>
      <w:r>
        <w:rPr>
          <w:rFonts w:eastAsia="SimSun" w:hint="eastAsia"/>
        </w:rPr>
        <w:t>6</w:t>
      </w:r>
      <w:r>
        <w:rPr>
          <w:rFonts w:eastAsia="SimSun" w:hint="eastAsia"/>
        </w:rPr>
        <w:t>条规定的社会权利有：受教育权、健康权、工作权、休息权、安全权、社会保障权、母亲和儿童受保护权及贫困受援助权。第</w:t>
      </w:r>
      <w:r>
        <w:rPr>
          <w:rFonts w:eastAsia="SimSun" w:hint="eastAsia"/>
        </w:rPr>
        <w:t>7</w:t>
      </w:r>
      <w:r>
        <w:rPr>
          <w:rFonts w:eastAsia="SimSun" w:hint="eastAsia"/>
        </w:rPr>
        <w:t>条除其他外也规定：休假、第</w:t>
      </w:r>
      <w:r>
        <w:rPr>
          <w:rFonts w:eastAsia="SimSun" w:hint="eastAsia"/>
        </w:rPr>
        <w:t>13</w:t>
      </w:r>
      <w:r>
        <w:rPr>
          <w:rFonts w:eastAsia="SimSun" w:hint="eastAsia"/>
        </w:rPr>
        <w:t>个月薪金、带薪休息及解职费。此项宪法规定也确保妇女的某些专属权，如产假、产妇工资和保护妇女进入劳动力市场。</w:t>
      </w:r>
    </w:p>
  </w:footnote>
  <w:footnote w:id="57">
    <w:p w:rsidR="00000000" w:rsidRDefault="004D2F83">
      <w:pPr>
        <w:pStyle w:val="FootnoteText"/>
        <w:spacing w:afterLines="30" w:after="72" w:line="240" w:lineRule="auto"/>
        <w:rPr>
          <w:rFonts w:eastAsia="SimSun" w:hint="eastAsia"/>
        </w:rPr>
      </w:pPr>
      <w:r>
        <w:rPr>
          <w:rStyle w:val="FootnoteReference"/>
          <w:rFonts w:eastAsia="SimSun"/>
        </w:rPr>
        <w:t>57</w:t>
      </w:r>
      <w:r>
        <w:rPr>
          <w:rFonts w:eastAsia="SimSun"/>
        </w:rPr>
        <w:t xml:space="preserve"> </w:t>
      </w:r>
      <w:r>
        <w:rPr>
          <w:rFonts w:eastAsia="SimSun" w:hint="eastAsia"/>
        </w:rPr>
        <w:t>共和国成立后，除</w:t>
      </w:r>
      <w:r>
        <w:rPr>
          <w:rFonts w:eastAsia="SimSun" w:hint="eastAsia"/>
        </w:rPr>
        <w:t>1937</w:t>
      </w:r>
      <w:r>
        <w:rPr>
          <w:rFonts w:eastAsia="SimSun" w:hint="eastAsia"/>
        </w:rPr>
        <w:t>年《宪法》之外，巴西各部《宪法》都有形式上平等的规定。</w:t>
      </w:r>
      <w:r>
        <w:rPr>
          <w:rFonts w:eastAsia="SimSun" w:hint="eastAsia"/>
        </w:rPr>
        <w:t>1934</w:t>
      </w:r>
      <w:r>
        <w:rPr>
          <w:rFonts w:eastAsia="SimSun" w:hint="eastAsia"/>
        </w:rPr>
        <w:t>年《宪法》第</w:t>
      </w:r>
      <w:r>
        <w:rPr>
          <w:rFonts w:eastAsia="SimSun" w:hint="eastAsia"/>
        </w:rPr>
        <w:t>113</w:t>
      </w:r>
      <w:r>
        <w:rPr>
          <w:rFonts w:eastAsia="SimSun"/>
        </w:rPr>
        <w:t>, I</w:t>
      </w:r>
      <w:r>
        <w:rPr>
          <w:rFonts w:eastAsia="SimSun" w:hint="eastAsia"/>
        </w:rPr>
        <w:t>条确保形式上平等，规定“法律面前人人平等。不得</w:t>
      </w:r>
      <w:r>
        <w:rPr>
          <w:rFonts w:eastAsia="SimSun" w:hint="eastAsia"/>
        </w:rPr>
        <w:t>因出生、性别、种族、职业、社会阶级、财富、宗教信仰或政治主张而享有特权或差别待遇”。</w:t>
      </w:r>
      <w:r>
        <w:rPr>
          <w:rFonts w:eastAsia="SimSun" w:hint="eastAsia"/>
        </w:rPr>
        <w:t>1937</w:t>
      </w:r>
      <w:r>
        <w:rPr>
          <w:rFonts w:eastAsia="SimSun" w:hint="eastAsia"/>
        </w:rPr>
        <w:t>年《宪法》具有专制性，为了国家安全取消了平等权利。</w:t>
      </w:r>
      <w:r>
        <w:rPr>
          <w:rFonts w:eastAsia="SimSun" w:hint="eastAsia"/>
        </w:rPr>
        <w:t>1946</w:t>
      </w:r>
      <w:r>
        <w:rPr>
          <w:rFonts w:eastAsia="SimSun" w:hint="eastAsia"/>
        </w:rPr>
        <w:t>年《宪法》第</w:t>
      </w:r>
      <w:r>
        <w:rPr>
          <w:rFonts w:eastAsia="SimSun" w:hint="eastAsia"/>
        </w:rPr>
        <w:t>114</w:t>
      </w:r>
      <w:r>
        <w:rPr>
          <w:rFonts w:eastAsia="SimSun" w:hint="eastAsia"/>
        </w:rPr>
        <w:t>条第</w:t>
      </w:r>
      <w:r>
        <w:rPr>
          <w:rFonts w:eastAsia="SimSun" w:hint="eastAsia"/>
        </w:rPr>
        <w:t>1</w:t>
      </w:r>
      <w:r>
        <w:rPr>
          <w:rFonts w:eastAsia="SimSun" w:hint="eastAsia"/>
        </w:rPr>
        <w:t>款恢复了正式平等原则：“法律面前人人平等”。</w:t>
      </w:r>
      <w:r>
        <w:rPr>
          <w:rFonts w:eastAsia="SimSun" w:hint="eastAsia"/>
        </w:rPr>
        <w:t>1967</w:t>
      </w:r>
      <w:r>
        <w:rPr>
          <w:rFonts w:eastAsia="SimSun" w:hint="eastAsia"/>
        </w:rPr>
        <w:t>年的正式平等规则被确定为一项所有其他法律都应遵守的规则。</w:t>
      </w:r>
    </w:p>
  </w:footnote>
  <w:footnote w:id="58">
    <w:p w:rsidR="00000000" w:rsidRDefault="004D2F83">
      <w:pPr>
        <w:pStyle w:val="FootnoteText"/>
        <w:spacing w:afterLines="30" w:after="72" w:line="240" w:lineRule="auto"/>
        <w:rPr>
          <w:rFonts w:eastAsia="SimSun" w:hint="eastAsia"/>
        </w:rPr>
      </w:pPr>
      <w:r>
        <w:rPr>
          <w:rStyle w:val="FootnoteReference"/>
          <w:rFonts w:eastAsia="SimSun"/>
        </w:rPr>
        <w:t>58</w:t>
      </w:r>
      <w:r>
        <w:rPr>
          <w:rFonts w:eastAsia="SimSun"/>
        </w:rPr>
        <w:t xml:space="preserve"> </w:t>
      </w:r>
      <w:r>
        <w:rPr>
          <w:rFonts w:eastAsia="SimSun" w:hint="eastAsia"/>
        </w:rPr>
        <w:t>这里值得强调的是，</w:t>
      </w:r>
      <w:r>
        <w:rPr>
          <w:rFonts w:eastAsia="SimSun" w:hint="eastAsia"/>
        </w:rPr>
        <w:t>2002</w:t>
      </w:r>
      <w:r>
        <w:rPr>
          <w:rFonts w:eastAsia="SimSun" w:hint="eastAsia"/>
        </w:rPr>
        <w:t>年</w:t>
      </w:r>
      <w:r>
        <w:rPr>
          <w:rFonts w:eastAsia="SimSun" w:hint="eastAsia"/>
        </w:rPr>
        <w:t>5</w:t>
      </w:r>
      <w:r>
        <w:rPr>
          <w:rFonts w:eastAsia="SimSun" w:hint="eastAsia"/>
        </w:rPr>
        <w:t>月</w:t>
      </w:r>
      <w:r>
        <w:rPr>
          <w:rFonts w:eastAsia="SimSun" w:hint="eastAsia"/>
        </w:rPr>
        <w:t>13</w:t>
      </w:r>
      <w:r>
        <w:rPr>
          <w:rFonts w:eastAsia="SimSun" w:hint="eastAsia"/>
        </w:rPr>
        <w:t>日颁布了第</w:t>
      </w:r>
      <w:r>
        <w:rPr>
          <w:rFonts w:eastAsia="SimSun"/>
        </w:rPr>
        <w:t>4.229</w:t>
      </w:r>
      <w:r>
        <w:rPr>
          <w:rFonts w:eastAsia="SimSun" w:hint="eastAsia"/>
        </w:rPr>
        <w:t>号法令，该法令审查了《全国人权计划》并为国家在性取向领域里采取行动提出了下列建议：修正《联邦宪法》以保障自由性取向的权利并禁止因性取向做出歧视；管制同一性别人士之间的</w:t>
      </w:r>
      <w:r>
        <w:rPr>
          <w:rFonts w:eastAsia="SimSun" w:hint="eastAsia"/>
        </w:rPr>
        <w:t>民事伙伴关系和管制重新确定换性者的性别和民事登记变更的法律；改进有关性取向引起的歧视和暴力问题的刑法；从《军事刑法》中删除“鸡奸”一词；在人口普查和官方调查中列入有关性取向的数据。</w:t>
      </w:r>
    </w:p>
  </w:footnote>
  <w:footnote w:id="59">
    <w:p w:rsidR="00000000" w:rsidRDefault="004D2F83">
      <w:pPr>
        <w:pStyle w:val="FootnoteText"/>
        <w:spacing w:afterLines="30" w:after="72" w:line="240" w:lineRule="auto"/>
        <w:rPr>
          <w:rFonts w:eastAsia="SimSun" w:hint="eastAsia"/>
        </w:rPr>
      </w:pPr>
      <w:r>
        <w:rPr>
          <w:rStyle w:val="FootnoteReference"/>
          <w:rFonts w:eastAsia="SimSun"/>
        </w:rPr>
        <w:t>59</w:t>
      </w:r>
      <w:r>
        <w:rPr>
          <w:rFonts w:eastAsia="SimSun" w:hint="eastAsia"/>
        </w:rPr>
        <w:t>《新民法典》第</w:t>
      </w:r>
      <w:r>
        <w:rPr>
          <w:rFonts w:eastAsia="SimSun" w:hint="eastAsia"/>
        </w:rPr>
        <w:t>1511</w:t>
      </w:r>
      <w:r>
        <w:rPr>
          <w:rFonts w:eastAsia="SimSun" w:hint="eastAsia"/>
        </w:rPr>
        <w:t>条规定，“婚姻确定了基于配偶平等的融洽关系，并建立合法家庭”。第</w:t>
      </w:r>
      <w:r>
        <w:rPr>
          <w:rFonts w:eastAsia="SimSun" w:hint="eastAsia"/>
        </w:rPr>
        <w:t>1517</w:t>
      </w:r>
      <w:r>
        <w:rPr>
          <w:rFonts w:eastAsia="SimSun" w:hint="eastAsia"/>
        </w:rPr>
        <w:t>条规定，“在法定成年之前，如经父母双方或其法定代表批准，男子</w:t>
      </w:r>
      <w:r>
        <w:rPr>
          <w:rFonts w:eastAsia="SimSun" w:hint="eastAsia"/>
        </w:rPr>
        <w:t>16</w:t>
      </w:r>
      <w:r>
        <w:rPr>
          <w:rFonts w:eastAsia="SimSun" w:hint="eastAsia"/>
        </w:rPr>
        <w:t>岁可以结婚”。</w:t>
      </w:r>
    </w:p>
  </w:footnote>
  <w:footnote w:id="60">
    <w:p w:rsidR="00000000" w:rsidRDefault="004D2F83">
      <w:pPr>
        <w:pStyle w:val="FootnoteText"/>
        <w:spacing w:afterLines="30" w:after="72" w:line="240" w:lineRule="auto"/>
        <w:rPr>
          <w:rFonts w:eastAsia="SimSun" w:hint="eastAsia"/>
        </w:rPr>
      </w:pPr>
      <w:r>
        <w:rPr>
          <w:rStyle w:val="FootnoteReference"/>
          <w:rFonts w:eastAsia="SimSun"/>
        </w:rPr>
        <w:t>60</w:t>
      </w:r>
      <w:r>
        <w:rPr>
          <w:rFonts w:eastAsia="SimSun"/>
        </w:rPr>
        <w:t xml:space="preserve"> </w:t>
      </w:r>
      <w:r>
        <w:rPr>
          <w:rFonts w:eastAsia="SimSun" w:hint="eastAsia"/>
        </w:rPr>
        <w:t>同上，第</w:t>
      </w:r>
      <w:r>
        <w:rPr>
          <w:rFonts w:eastAsia="SimSun" w:hint="eastAsia"/>
        </w:rPr>
        <w:t>325</w:t>
      </w:r>
      <w:r>
        <w:rPr>
          <w:rFonts w:eastAsia="SimSun" w:hint="eastAsia"/>
        </w:rPr>
        <w:t>至</w:t>
      </w:r>
      <w:r>
        <w:rPr>
          <w:rFonts w:eastAsia="SimSun" w:hint="eastAsia"/>
        </w:rPr>
        <w:t>326</w:t>
      </w:r>
      <w:r>
        <w:rPr>
          <w:rFonts w:eastAsia="SimSun" w:hint="eastAsia"/>
        </w:rPr>
        <w:t>页。</w:t>
      </w:r>
    </w:p>
  </w:footnote>
  <w:footnote w:id="61">
    <w:p w:rsidR="00000000" w:rsidRDefault="004D2F83">
      <w:pPr>
        <w:pStyle w:val="FootnoteText"/>
        <w:spacing w:afterLines="30" w:after="72" w:line="240" w:lineRule="auto"/>
        <w:rPr>
          <w:rFonts w:eastAsia="SimSun" w:hint="eastAsia"/>
        </w:rPr>
      </w:pPr>
      <w:r>
        <w:rPr>
          <w:rStyle w:val="FootnoteReference"/>
          <w:rFonts w:eastAsia="SimSun"/>
        </w:rPr>
        <w:t>61</w:t>
      </w:r>
      <w:r>
        <w:rPr>
          <w:rFonts w:eastAsia="SimSun"/>
        </w:rPr>
        <w:t xml:space="preserve"> </w:t>
      </w:r>
      <w:r>
        <w:rPr>
          <w:rFonts w:eastAsia="SimSun" w:hint="eastAsia"/>
        </w:rPr>
        <w:t>阿拉戈阿斯、阿马帕、塞阿拉、戈亚斯、圣埃斯皮里图、马托格罗索、米纳斯吉拉斯、巴拉那、巴拉、帕拉伊巴、里约热内卢、</w:t>
      </w:r>
      <w:r>
        <w:rPr>
          <w:rFonts w:eastAsia="SimSun" w:hint="eastAsia"/>
        </w:rPr>
        <w:t>伯南布哥、皮奥伊、朗多尼亚、北里约格朗德、南里约格朗德、罗赖马、塞尔希培、圣保罗和托坎廷斯等州。</w:t>
      </w:r>
    </w:p>
  </w:footnote>
  <w:footnote w:id="62">
    <w:p w:rsidR="00000000" w:rsidRDefault="004D2F83">
      <w:pPr>
        <w:pStyle w:val="FootnoteText"/>
        <w:spacing w:afterLines="30" w:after="72" w:line="240" w:lineRule="auto"/>
        <w:rPr>
          <w:rFonts w:eastAsia="SimSun"/>
        </w:rPr>
      </w:pPr>
      <w:r>
        <w:rPr>
          <w:rStyle w:val="FootnoteReference"/>
          <w:rFonts w:eastAsia="SimSun"/>
        </w:rPr>
        <w:t>62</w:t>
      </w:r>
      <w:r>
        <w:rPr>
          <w:rFonts w:eastAsia="SimSun" w:hint="eastAsia"/>
        </w:rPr>
        <w:t>阿马帕、巴伊亚、塞阿拉、联邦区、南马托格罗索、巴拉那、里约热内卢、南里约格朗德和托坎廷斯等州。</w:t>
      </w:r>
    </w:p>
  </w:footnote>
  <w:footnote w:id="63">
    <w:p w:rsidR="00000000" w:rsidRDefault="004D2F83">
      <w:pPr>
        <w:pStyle w:val="FootnoteText"/>
        <w:spacing w:afterLines="30" w:after="72" w:line="240" w:lineRule="auto"/>
        <w:rPr>
          <w:rFonts w:eastAsia="SimSun"/>
        </w:rPr>
      </w:pPr>
      <w:r>
        <w:rPr>
          <w:rStyle w:val="FootnoteReference"/>
          <w:rFonts w:eastAsia="SimSun"/>
        </w:rPr>
        <w:t>63</w:t>
      </w:r>
      <w:r>
        <w:rPr>
          <w:rFonts w:eastAsia="SimSun" w:hint="eastAsia"/>
        </w:rPr>
        <w:t>巴伊亚、戈亚斯、巴拉、巴拉那、南里约格朗德、圣保罗和托坎廷斯等州。</w:t>
      </w:r>
    </w:p>
  </w:footnote>
  <w:footnote w:id="64">
    <w:p w:rsidR="00000000" w:rsidRDefault="004D2F83">
      <w:pPr>
        <w:pStyle w:val="FootnoteText"/>
        <w:spacing w:afterLines="30" w:after="72" w:line="240" w:lineRule="auto"/>
        <w:rPr>
          <w:rFonts w:eastAsia="SimSun"/>
        </w:rPr>
      </w:pPr>
      <w:r>
        <w:rPr>
          <w:rStyle w:val="FootnoteReference"/>
          <w:rFonts w:eastAsia="SimSun"/>
        </w:rPr>
        <w:t>64</w:t>
      </w:r>
      <w:r>
        <w:rPr>
          <w:rFonts w:eastAsia="SimSun" w:hint="eastAsia"/>
        </w:rPr>
        <w:t>巴伊亚、塞阿拉、联邦区、马托格罗索、巴拉那、皮奥伊、里约热内卢和托坎廷斯等州。</w:t>
      </w:r>
    </w:p>
  </w:footnote>
  <w:footnote w:id="65">
    <w:p w:rsidR="00000000" w:rsidRDefault="004D2F83">
      <w:pPr>
        <w:pStyle w:val="FootnoteText"/>
        <w:spacing w:afterLines="30" w:after="72" w:line="240" w:lineRule="auto"/>
        <w:rPr>
          <w:rFonts w:eastAsia="SimSun" w:hint="eastAsia"/>
        </w:rPr>
      </w:pPr>
      <w:r>
        <w:rPr>
          <w:rStyle w:val="FootnoteReference"/>
          <w:rFonts w:eastAsia="SimSun"/>
        </w:rPr>
        <w:t>65</w:t>
      </w:r>
      <w:r>
        <w:rPr>
          <w:rFonts w:eastAsia="SimSun"/>
        </w:rPr>
        <w:t xml:space="preserve"> </w:t>
      </w:r>
      <w:r>
        <w:rPr>
          <w:rFonts w:eastAsia="SimSun" w:hint="eastAsia"/>
        </w:rPr>
        <w:t>在这种情况下，性别被视为在某些历史背景下在社会中形成的且贯穿和塑造男女特征的人与人之间的关系。性别也是社会关系的支柱之一，因为它管制着男子与妇女、男子与</w:t>
      </w:r>
      <w:r>
        <w:rPr>
          <w:rFonts w:eastAsia="SimSun" w:hint="eastAsia"/>
        </w:rPr>
        <w:t>男子和妇女与妇女之间的关系。因为性别存在于社会中，性别包含了作为一种权力行使的性特征（而不是相反）。因此，两性关系由权力来贯穿，性特征就成为两性不平等的支柱。</w:t>
      </w:r>
    </w:p>
  </w:footnote>
  <w:footnote w:id="66">
    <w:p w:rsidR="00000000" w:rsidRDefault="004D2F83">
      <w:pPr>
        <w:pStyle w:val="FootnoteText"/>
        <w:spacing w:afterLines="30" w:after="72" w:line="240" w:lineRule="auto"/>
        <w:rPr>
          <w:rFonts w:eastAsia="SimSun" w:hint="eastAsia"/>
        </w:rPr>
      </w:pPr>
      <w:r>
        <w:rPr>
          <w:rStyle w:val="FootnoteReference"/>
          <w:rFonts w:eastAsia="SimSun"/>
        </w:rPr>
        <w:t>66</w:t>
      </w:r>
      <w:r>
        <w:rPr>
          <w:rFonts w:eastAsia="SimSun"/>
        </w:rPr>
        <w:t xml:space="preserve"> </w:t>
      </w:r>
      <w:r>
        <w:rPr>
          <w:rFonts w:eastAsia="SimSun" w:hint="eastAsia"/>
        </w:rPr>
        <w:t>本报告前面提到过，在巴西，在保护人权条约的层次方面，理论上与判例上存在着很大差异。有四种不同的思路支持：</w:t>
      </w:r>
      <w:r>
        <w:rPr>
          <w:rFonts w:eastAsia="SimSun"/>
        </w:rPr>
        <w:t>a</w:t>
      </w:r>
      <w:r>
        <w:rPr>
          <w:rFonts w:eastAsia="SimSun" w:hint="eastAsia"/>
        </w:rPr>
        <w:t>）人权条约在前的层次；</w:t>
      </w:r>
      <w:r>
        <w:rPr>
          <w:rFonts w:eastAsia="SimSun"/>
        </w:rPr>
        <w:t>b</w:t>
      </w:r>
      <w:r>
        <w:rPr>
          <w:rFonts w:eastAsia="SimSun" w:hint="eastAsia"/>
        </w:rPr>
        <w:t>）结构层次；</w:t>
      </w:r>
      <w:r>
        <w:rPr>
          <w:rFonts w:eastAsia="SimSun"/>
        </w:rPr>
        <w:t>c</w:t>
      </w:r>
      <w:r>
        <w:rPr>
          <w:rFonts w:eastAsia="SimSun" w:hint="eastAsia"/>
        </w:rPr>
        <w:t>）这些条约的结构在下组法律规定在上的层次；及</w:t>
      </w:r>
      <w:r>
        <w:rPr>
          <w:rFonts w:eastAsia="SimSun"/>
        </w:rPr>
        <w:t>d</w:t>
      </w:r>
      <w:r>
        <w:rPr>
          <w:rFonts w:eastAsia="SimSun" w:hint="eastAsia"/>
        </w:rPr>
        <w:t>）条约与联邦法律平等的层次（这是联邦最高法院大多数人的立场）。</w:t>
      </w:r>
    </w:p>
  </w:footnote>
  <w:footnote w:id="67">
    <w:p w:rsidR="00000000" w:rsidRDefault="004D2F83">
      <w:pPr>
        <w:pStyle w:val="FootnoteText"/>
        <w:spacing w:afterLines="30" w:after="72" w:line="240" w:lineRule="auto"/>
        <w:rPr>
          <w:rFonts w:eastAsia="SimSun" w:hint="eastAsia"/>
        </w:rPr>
      </w:pPr>
      <w:r>
        <w:rPr>
          <w:rStyle w:val="FootnoteReference"/>
          <w:rFonts w:eastAsia="SimSun"/>
        </w:rPr>
        <w:t>67</w:t>
      </w:r>
      <w:r>
        <w:rPr>
          <w:rFonts w:eastAsia="SimSun"/>
        </w:rPr>
        <w:t xml:space="preserve"> </w:t>
      </w:r>
      <w:r>
        <w:rPr>
          <w:rFonts w:eastAsia="SimSun" w:hint="eastAsia"/>
        </w:rPr>
        <w:t>调查对妇女的暴力行为议会调查委员会，最后报告，</w:t>
      </w:r>
      <w:r>
        <w:rPr>
          <w:rFonts w:eastAsia="SimSun" w:hint="eastAsia"/>
        </w:rPr>
        <w:t>1993</w:t>
      </w:r>
      <w:r>
        <w:rPr>
          <w:rFonts w:eastAsia="SimSun" w:hint="eastAsia"/>
        </w:rPr>
        <w:t>年</w:t>
      </w:r>
      <w:r>
        <w:rPr>
          <w:rFonts w:eastAsia="SimSun" w:hint="eastAsia"/>
        </w:rPr>
        <w:t>12</w:t>
      </w:r>
      <w:r>
        <w:rPr>
          <w:rFonts w:eastAsia="SimSun" w:hint="eastAsia"/>
        </w:rPr>
        <w:t>月</w:t>
      </w:r>
      <w:r>
        <w:rPr>
          <w:rFonts w:eastAsia="SimSun" w:hint="eastAsia"/>
        </w:rPr>
        <w:t>14</w:t>
      </w:r>
      <w:r>
        <w:rPr>
          <w:rFonts w:eastAsia="SimSun" w:hint="eastAsia"/>
        </w:rPr>
        <w:t>日在第</w:t>
      </w:r>
      <w:r>
        <w:rPr>
          <w:rFonts w:eastAsia="SimSun"/>
        </w:rPr>
        <w:t>202</w:t>
      </w:r>
      <w:r>
        <w:rPr>
          <w:rFonts w:eastAsia="SimSun" w:hint="eastAsia"/>
        </w:rPr>
        <w:t>号补编上</w:t>
      </w:r>
      <w:r>
        <w:rPr>
          <w:rFonts w:eastAsia="SimSun" w:hint="eastAsia"/>
        </w:rPr>
        <w:t>颁布，巴西利亚—</w:t>
      </w:r>
      <w:r>
        <w:rPr>
          <w:rFonts w:eastAsia="SimSun" w:hint="eastAsia"/>
        </w:rPr>
        <w:t>DF</w:t>
      </w:r>
      <w:r>
        <w:rPr>
          <w:rFonts w:eastAsia="SimSun" w:hint="eastAsia"/>
        </w:rPr>
        <w:t>，第</w:t>
      </w:r>
      <w:r>
        <w:rPr>
          <w:rFonts w:eastAsia="SimSun" w:hint="eastAsia"/>
        </w:rPr>
        <w:t>32</w:t>
      </w:r>
      <w:r>
        <w:rPr>
          <w:rFonts w:eastAsia="SimSun" w:hint="eastAsia"/>
        </w:rPr>
        <w:t>页。</w:t>
      </w:r>
    </w:p>
  </w:footnote>
  <w:footnote w:id="68">
    <w:p w:rsidR="00000000" w:rsidRDefault="004D2F83">
      <w:pPr>
        <w:pStyle w:val="FootnoteText"/>
        <w:spacing w:afterLines="30" w:after="72" w:line="240" w:lineRule="auto"/>
        <w:rPr>
          <w:rFonts w:eastAsia="SimSun" w:hint="eastAsia"/>
        </w:rPr>
      </w:pPr>
      <w:r>
        <w:rPr>
          <w:rStyle w:val="FootnoteReference"/>
          <w:rFonts w:eastAsia="SimSun"/>
        </w:rPr>
        <w:t>68</w:t>
      </w:r>
      <w:r>
        <w:rPr>
          <w:rFonts w:eastAsia="SimSun"/>
        </w:rPr>
        <w:t xml:space="preserve"> </w:t>
      </w:r>
      <w:r>
        <w:rPr>
          <w:rFonts w:eastAsia="SimSun" w:hint="eastAsia"/>
        </w:rPr>
        <w:t>数据载列于劳动就业部</w:t>
      </w:r>
      <w:r>
        <w:rPr>
          <w:rFonts w:eastAsia="SimSun"/>
        </w:rPr>
        <w:t>/</w:t>
      </w:r>
      <w:r>
        <w:rPr>
          <w:rFonts w:eastAsia="SimSun" w:hint="eastAsia"/>
        </w:rPr>
        <w:t>全国劳动者资格培训计划的下列出版物上：“多样性和机会平等：从性别角度看专业资格”，巴西利亚州，</w:t>
      </w:r>
      <w:r>
        <w:rPr>
          <w:rFonts w:eastAsia="SimSun" w:hint="eastAsia"/>
        </w:rPr>
        <w:t>2000</w:t>
      </w:r>
      <w:r>
        <w:rPr>
          <w:rFonts w:eastAsia="SimSun" w:hint="eastAsia"/>
        </w:rPr>
        <w:t>年，第</w:t>
      </w:r>
      <w:r>
        <w:rPr>
          <w:rFonts w:eastAsia="SimSun" w:hint="eastAsia"/>
        </w:rPr>
        <w:t>25</w:t>
      </w:r>
      <w:r>
        <w:rPr>
          <w:rFonts w:eastAsia="SimSun" w:hint="eastAsia"/>
        </w:rPr>
        <w:t>页。</w:t>
      </w:r>
    </w:p>
  </w:footnote>
  <w:footnote w:id="69">
    <w:p w:rsidR="00000000" w:rsidRDefault="004D2F83">
      <w:pPr>
        <w:pStyle w:val="FootnoteText"/>
        <w:spacing w:afterLines="30" w:after="72" w:line="240" w:lineRule="auto"/>
        <w:rPr>
          <w:rFonts w:eastAsia="SimSun" w:hint="eastAsia"/>
        </w:rPr>
      </w:pPr>
      <w:r>
        <w:rPr>
          <w:rStyle w:val="FootnoteReference"/>
          <w:rFonts w:eastAsia="SimSun"/>
        </w:rPr>
        <w:t>69</w:t>
      </w:r>
      <w:r>
        <w:rPr>
          <w:rFonts w:eastAsia="SimSun"/>
        </w:rPr>
        <w:t xml:space="preserve"> </w:t>
      </w:r>
      <w:r>
        <w:rPr>
          <w:rFonts w:eastAsia="SimSun" w:hint="eastAsia"/>
        </w:rPr>
        <w:t>目前由设有领事处的</w:t>
      </w:r>
      <w:r>
        <w:rPr>
          <w:rFonts w:eastAsia="SimSun" w:hint="eastAsia"/>
        </w:rPr>
        <w:t>80</w:t>
      </w:r>
      <w:r>
        <w:rPr>
          <w:rFonts w:eastAsia="SimSun" w:hint="eastAsia"/>
        </w:rPr>
        <w:t>个大使馆、</w:t>
      </w:r>
      <w:r>
        <w:rPr>
          <w:rFonts w:eastAsia="SimSun" w:hint="eastAsia"/>
        </w:rPr>
        <w:t>29</w:t>
      </w:r>
      <w:r>
        <w:rPr>
          <w:rFonts w:eastAsia="SimSun" w:hint="eastAsia"/>
        </w:rPr>
        <w:t>个总领事馆、</w:t>
      </w:r>
      <w:r>
        <w:rPr>
          <w:rFonts w:eastAsia="SimSun" w:hint="eastAsia"/>
        </w:rPr>
        <w:t>7</w:t>
      </w:r>
      <w:r>
        <w:rPr>
          <w:rFonts w:eastAsia="SimSun" w:hint="eastAsia"/>
        </w:rPr>
        <w:t>个职业领事馆和</w:t>
      </w:r>
      <w:r>
        <w:rPr>
          <w:rFonts w:eastAsia="SimSun" w:hint="eastAsia"/>
        </w:rPr>
        <w:t>13</w:t>
      </w:r>
      <w:r>
        <w:rPr>
          <w:rFonts w:eastAsia="SimSun" w:hint="eastAsia"/>
        </w:rPr>
        <w:t>个次领事馆组成。</w:t>
      </w:r>
    </w:p>
  </w:footnote>
  <w:footnote w:id="70">
    <w:p w:rsidR="00000000" w:rsidRDefault="004D2F83">
      <w:pPr>
        <w:pStyle w:val="FootnoteText"/>
        <w:spacing w:afterLines="30" w:after="72" w:line="240" w:lineRule="auto"/>
        <w:rPr>
          <w:rFonts w:eastAsia="SimSun" w:hint="eastAsia"/>
        </w:rPr>
      </w:pPr>
      <w:r>
        <w:rPr>
          <w:rStyle w:val="FootnoteReference"/>
          <w:rFonts w:eastAsia="SimSun"/>
        </w:rPr>
        <w:t>70</w:t>
      </w:r>
      <w:r>
        <w:rPr>
          <w:rFonts w:eastAsia="SimSun"/>
        </w:rPr>
        <w:t xml:space="preserve"> </w:t>
      </w:r>
      <w:r>
        <w:rPr>
          <w:rFonts w:eastAsia="SimSun" w:hint="eastAsia"/>
        </w:rPr>
        <w:t>按照</w:t>
      </w:r>
      <w:r>
        <w:rPr>
          <w:rFonts w:eastAsia="SimSun" w:hint="eastAsia"/>
        </w:rPr>
        <w:t>1963</w:t>
      </w:r>
      <w:r>
        <w:rPr>
          <w:rFonts w:eastAsia="SimSun" w:hint="eastAsia"/>
        </w:rPr>
        <w:t>年《维也纳领事关系公约》的条款，向国民提供援助是领事馆在外国最重要的职能之一。值得忆及的是，领事馆的外交职能由四个程序组成：谈判、陈述、通知和提供领事援助。外交部正是基于这一理解，为其打击贩运人口行为的行动提供指导。事实上</w:t>
      </w:r>
      <w:r>
        <w:rPr>
          <w:rFonts w:eastAsia="SimSun" w:hint="eastAsia"/>
        </w:rPr>
        <w:t>，巴西是《联合国禁止贩运人口和拉皮条公约》缔约国，巴西于</w:t>
      </w:r>
      <w:r>
        <w:rPr>
          <w:rFonts w:eastAsia="SimSun" w:hint="eastAsia"/>
        </w:rPr>
        <w:t>1958</w:t>
      </w:r>
      <w:r>
        <w:rPr>
          <w:rFonts w:eastAsia="SimSun" w:hint="eastAsia"/>
        </w:rPr>
        <w:t>年批准了</w:t>
      </w:r>
      <w:r>
        <w:rPr>
          <w:rFonts w:eastAsia="SimSun" w:hint="eastAsia"/>
        </w:rPr>
        <w:t>1950</w:t>
      </w:r>
      <w:r>
        <w:rPr>
          <w:rFonts w:eastAsia="SimSun" w:hint="eastAsia"/>
        </w:rPr>
        <w:t>年在纽约缔结的此项公约。</w:t>
      </w:r>
    </w:p>
  </w:footnote>
  <w:footnote w:id="71">
    <w:p w:rsidR="00000000" w:rsidRDefault="004D2F83">
      <w:pPr>
        <w:pStyle w:val="FootnoteText"/>
        <w:spacing w:afterLines="30" w:after="72" w:line="240" w:lineRule="auto"/>
        <w:rPr>
          <w:rFonts w:eastAsia="SimSun" w:hint="eastAsia"/>
        </w:rPr>
      </w:pPr>
      <w:r>
        <w:rPr>
          <w:rStyle w:val="FootnoteReference"/>
          <w:rFonts w:eastAsia="SimSun"/>
        </w:rPr>
        <w:t>71</w:t>
      </w:r>
      <w:r>
        <w:rPr>
          <w:rFonts w:eastAsia="SimSun"/>
        </w:rPr>
        <w:t xml:space="preserve"> </w:t>
      </w:r>
      <w:r>
        <w:rPr>
          <w:rFonts w:eastAsia="SimSun" w:hint="eastAsia"/>
        </w:rPr>
        <w:t>SEDH</w:t>
      </w:r>
      <w:r>
        <w:rPr>
          <w:rFonts w:eastAsia="SimSun" w:hint="eastAsia"/>
        </w:rPr>
        <w:t>援助妇女警察局</w:t>
      </w:r>
      <w:r>
        <w:rPr>
          <w:rFonts w:eastAsia="SimSun"/>
        </w:rPr>
        <w:t>/</w:t>
      </w:r>
      <w:r>
        <w:rPr>
          <w:rFonts w:eastAsia="SimSun" w:hint="eastAsia"/>
        </w:rPr>
        <w:t>全国妇女权利委员会执行秘书处工作条件全国调查最后报告中所列的数据，</w:t>
      </w:r>
      <w:r>
        <w:rPr>
          <w:rFonts w:eastAsia="SimSun" w:hint="eastAsia"/>
        </w:rPr>
        <w:t>2002</w:t>
      </w:r>
      <w:r>
        <w:rPr>
          <w:rFonts w:eastAsia="SimSun" w:hint="eastAsia"/>
        </w:rPr>
        <w:t>年，巴西利亚，第</w:t>
      </w:r>
      <w:r>
        <w:rPr>
          <w:rFonts w:eastAsia="SimSun" w:hint="eastAsia"/>
        </w:rPr>
        <w:t>1</w:t>
      </w:r>
      <w:r>
        <w:rPr>
          <w:rFonts w:eastAsia="SimSun" w:hint="eastAsia"/>
        </w:rPr>
        <w:t>页。</w:t>
      </w:r>
    </w:p>
  </w:footnote>
  <w:footnote w:id="72">
    <w:p w:rsidR="00000000" w:rsidRDefault="004D2F83">
      <w:pPr>
        <w:pStyle w:val="FootnoteText"/>
        <w:spacing w:afterLines="30" w:after="72" w:line="240" w:lineRule="auto"/>
        <w:rPr>
          <w:rFonts w:eastAsia="SimSun" w:hint="eastAsia"/>
        </w:rPr>
      </w:pPr>
      <w:r>
        <w:rPr>
          <w:rStyle w:val="FootnoteReference"/>
          <w:rFonts w:eastAsia="SimSun"/>
        </w:rPr>
        <w:t>72</w:t>
      </w:r>
      <w:r>
        <w:rPr>
          <w:rFonts w:eastAsia="SimSun"/>
        </w:rPr>
        <w:t xml:space="preserve"> </w:t>
      </w:r>
      <w:r>
        <w:rPr>
          <w:rFonts w:eastAsia="SimSun" w:hint="eastAsia"/>
        </w:rPr>
        <w:t>现为人权事务国务秘书处。</w:t>
      </w:r>
    </w:p>
  </w:footnote>
  <w:footnote w:id="73">
    <w:p w:rsidR="00000000" w:rsidRDefault="004D2F83">
      <w:pPr>
        <w:pStyle w:val="FootnoteText"/>
        <w:spacing w:afterLines="30" w:after="72" w:line="240" w:lineRule="auto"/>
        <w:rPr>
          <w:rFonts w:eastAsia="SimSun" w:hint="eastAsia"/>
        </w:rPr>
      </w:pPr>
      <w:r>
        <w:rPr>
          <w:rStyle w:val="FootnoteReference"/>
          <w:rFonts w:eastAsia="SimSun"/>
        </w:rPr>
        <w:t>73</w:t>
      </w:r>
      <w:r>
        <w:rPr>
          <w:rFonts w:eastAsia="SimSun"/>
        </w:rPr>
        <w:t xml:space="preserve"> </w:t>
      </w:r>
      <w:r>
        <w:rPr>
          <w:rFonts w:eastAsia="SimSun" w:hint="eastAsia"/>
        </w:rPr>
        <w:t>儿童和青少年司主任</w:t>
      </w:r>
      <w:r>
        <w:rPr>
          <w:rFonts w:eastAsia="SimSun"/>
        </w:rPr>
        <w:t>Alayde Sant’Anna</w:t>
      </w:r>
      <w:r>
        <w:rPr>
          <w:rFonts w:eastAsia="SimSun" w:hint="eastAsia"/>
        </w:rPr>
        <w:t>博士在小组中就“打击措施”这一主题所做的发言：“对儿童和青少年的性暴力和剥削”，儿童和青少年权利全国委员会第二届会议记录。</w:t>
      </w:r>
    </w:p>
  </w:footnote>
  <w:footnote w:id="74">
    <w:p w:rsidR="00000000" w:rsidRDefault="004D2F83">
      <w:pPr>
        <w:pStyle w:val="FootnoteText"/>
        <w:spacing w:afterLines="30" w:after="72" w:line="240" w:lineRule="auto"/>
        <w:rPr>
          <w:rFonts w:eastAsia="SimSun" w:hint="eastAsia"/>
        </w:rPr>
      </w:pPr>
      <w:r>
        <w:rPr>
          <w:rStyle w:val="FootnoteReference"/>
          <w:rFonts w:eastAsia="SimSun"/>
        </w:rPr>
        <w:t>74</w:t>
      </w:r>
      <w:r>
        <w:rPr>
          <w:rFonts w:eastAsia="SimSun"/>
        </w:rPr>
        <w:t xml:space="preserve"> </w:t>
      </w:r>
      <w:r>
        <w:rPr>
          <w:rFonts w:eastAsia="SimSun" w:hint="eastAsia"/>
        </w:rPr>
        <w:t>NOGUEIRA NETO</w:t>
      </w:r>
      <w:r>
        <w:rPr>
          <w:rFonts w:eastAsia="SimSun" w:hint="eastAsia"/>
        </w:rPr>
        <w:t>，权利保障系统——保护中心的作用，</w:t>
      </w:r>
      <w:r>
        <w:rPr>
          <w:rFonts w:eastAsia="SimSun" w:hint="eastAsia"/>
        </w:rPr>
        <w:t>CENDHEC</w:t>
      </w:r>
      <w:r>
        <w:rPr>
          <w:rFonts w:eastAsia="SimSun" w:hint="eastAsia"/>
        </w:rPr>
        <w:t>，累西腓。</w:t>
      </w:r>
    </w:p>
  </w:footnote>
  <w:footnote w:id="75">
    <w:p w:rsidR="00000000" w:rsidRDefault="004D2F83">
      <w:pPr>
        <w:pStyle w:val="FootnoteText"/>
        <w:spacing w:afterLines="30" w:after="72" w:line="240" w:lineRule="auto"/>
        <w:rPr>
          <w:rFonts w:eastAsia="SimSun" w:hint="eastAsia"/>
        </w:rPr>
      </w:pPr>
      <w:r>
        <w:rPr>
          <w:rStyle w:val="FootnoteReference"/>
          <w:rFonts w:eastAsia="SimSun"/>
        </w:rPr>
        <w:t>75</w:t>
      </w:r>
      <w:r>
        <w:rPr>
          <w:rFonts w:eastAsia="SimSun"/>
        </w:rPr>
        <w:t xml:space="preserve"> </w:t>
      </w:r>
      <w:r>
        <w:rPr>
          <w:rFonts w:eastAsia="SimSun" w:hint="eastAsia"/>
        </w:rPr>
        <w:t>根据儿童和青少年司所做调查，</w:t>
      </w:r>
      <w:r>
        <w:rPr>
          <w:rFonts w:eastAsia="SimSun" w:hint="eastAsia"/>
        </w:rPr>
        <w:t>1999</w:t>
      </w:r>
      <w:r>
        <w:rPr>
          <w:rFonts w:eastAsia="SimSun" w:hint="eastAsia"/>
        </w:rPr>
        <w:t>年，巴西共有</w:t>
      </w:r>
      <w:r>
        <w:rPr>
          <w:rFonts w:eastAsia="SimSun" w:hint="eastAsia"/>
        </w:rPr>
        <w:t>1 502</w:t>
      </w:r>
      <w:r>
        <w:rPr>
          <w:rFonts w:eastAsia="SimSun" w:hint="eastAsia"/>
        </w:rPr>
        <w:t>个监护委员会和</w:t>
      </w:r>
      <w:r>
        <w:rPr>
          <w:rFonts w:eastAsia="SimSun" w:hint="eastAsia"/>
        </w:rPr>
        <w:t>2 273</w:t>
      </w:r>
      <w:r>
        <w:rPr>
          <w:rFonts w:eastAsia="SimSun" w:hint="eastAsia"/>
        </w:rPr>
        <w:t>个市权利委员会。</w:t>
      </w:r>
    </w:p>
  </w:footnote>
  <w:footnote w:id="76">
    <w:p w:rsidR="00000000" w:rsidRDefault="004D2F83">
      <w:pPr>
        <w:pStyle w:val="FootnoteText"/>
        <w:spacing w:afterLines="30" w:after="72" w:line="240" w:lineRule="auto"/>
        <w:rPr>
          <w:rFonts w:eastAsia="SimSun" w:hint="eastAsia"/>
        </w:rPr>
      </w:pPr>
      <w:r>
        <w:rPr>
          <w:rStyle w:val="FootnoteReference"/>
          <w:rFonts w:eastAsia="SimSun"/>
        </w:rPr>
        <w:t>76</w:t>
      </w:r>
      <w:r>
        <w:rPr>
          <w:rFonts w:eastAsia="SimSun"/>
        </w:rPr>
        <w:t xml:space="preserve"> </w:t>
      </w:r>
      <w:r>
        <w:rPr>
          <w:rFonts w:eastAsia="SimSun" w:hint="eastAsia"/>
        </w:rPr>
        <w:t>在</w:t>
      </w:r>
      <w:r>
        <w:rPr>
          <w:rFonts w:eastAsia="SimSun" w:hint="eastAsia"/>
        </w:rPr>
        <w:t>CEDECA/BA</w:t>
      </w:r>
      <w:r>
        <w:rPr>
          <w:rFonts w:eastAsia="SimSun" w:hint="eastAsia"/>
        </w:rPr>
        <w:t>的网站：</w:t>
      </w:r>
      <w:hyperlink r:id="rId1" w:history="1">
        <w:r>
          <w:rPr>
            <w:rStyle w:val="Hyperlink"/>
            <w:rFonts w:eastAsia="SimSun" w:hint="eastAsia"/>
          </w:rPr>
          <w:t>www.violeciasexual.org.br</w:t>
        </w:r>
      </w:hyperlink>
      <w:r>
        <w:rPr>
          <w:rFonts w:eastAsia="SimSun" w:hint="eastAsia"/>
        </w:rPr>
        <w:t>上有介绍。</w:t>
      </w:r>
    </w:p>
  </w:footnote>
  <w:footnote w:id="77">
    <w:p w:rsidR="00000000" w:rsidRDefault="004D2F83">
      <w:pPr>
        <w:pStyle w:val="FootnoteText"/>
        <w:spacing w:afterLines="30" w:after="72" w:line="240" w:lineRule="auto"/>
        <w:rPr>
          <w:rFonts w:eastAsia="SimSun" w:hint="eastAsia"/>
        </w:rPr>
      </w:pPr>
      <w:r>
        <w:rPr>
          <w:rStyle w:val="FootnoteReference"/>
          <w:rFonts w:eastAsia="SimSun"/>
        </w:rPr>
        <w:t>77</w:t>
      </w:r>
      <w:r>
        <w:rPr>
          <w:rFonts w:eastAsia="SimSun"/>
        </w:rPr>
        <w:t xml:space="preserve"> </w:t>
      </w:r>
      <w:r>
        <w:rPr>
          <w:rFonts w:eastAsia="SimSun" w:hint="eastAsia"/>
        </w:rPr>
        <w:t>在本文件中，按照《打击跨国有组织犯罪公约关于防止、禁止和惩治贩运人口特别是妇女和儿童行为的补充议定书》（联合国</w:t>
      </w:r>
      <w:r>
        <w:rPr>
          <w:rFonts w:eastAsia="SimSun" w:hint="eastAsia"/>
        </w:rPr>
        <w:t>2000</w:t>
      </w:r>
      <w:r>
        <w:rPr>
          <w:rFonts w:eastAsia="SimSun" w:hint="eastAsia"/>
        </w:rPr>
        <w:t>年），“贩运”一词是指采用威胁、武力或其他形式或胁迫、诱拐、</w:t>
      </w:r>
      <w:r>
        <w:rPr>
          <w:rFonts w:eastAsia="SimSun" w:hint="eastAsia"/>
        </w:rPr>
        <w:t>欺诈、欺骗、滥用职权、脆弱状态等手段，招募、运送、转让、收容或收留某人，支出或收取付款或好处以取得管制他人的人的同意，以达到剥削的目的。</w:t>
      </w:r>
    </w:p>
  </w:footnote>
  <w:footnote w:id="78">
    <w:p w:rsidR="00000000" w:rsidRDefault="004D2F83">
      <w:pPr>
        <w:pStyle w:val="FootnoteText"/>
        <w:spacing w:afterLines="30" w:after="72" w:line="240" w:lineRule="auto"/>
        <w:rPr>
          <w:rFonts w:eastAsia="SimSun" w:hint="eastAsia"/>
        </w:rPr>
      </w:pPr>
      <w:r>
        <w:rPr>
          <w:rStyle w:val="FootnoteReference"/>
          <w:rFonts w:eastAsia="SimSun"/>
        </w:rPr>
        <w:t>78</w:t>
      </w:r>
      <w:r>
        <w:rPr>
          <w:rFonts w:eastAsia="SimSun"/>
        </w:rPr>
        <w:t xml:space="preserve"> </w:t>
      </w:r>
      <w:r>
        <w:rPr>
          <w:rFonts w:eastAsia="SimSun" w:hint="eastAsia"/>
        </w:rPr>
        <w:t>消除对儿童和青少年的剥削、暴力和色情旅游国家运动</w:t>
      </w:r>
      <w:r>
        <w:rPr>
          <w:rFonts w:eastAsia="SimHei" w:hint="eastAsia"/>
        </w:rPr>
        <w:t>——</w:t>
      </w:r>
      <w:r>
        <w:rPr>
          <w:rFonts w:eastAsia="SimSun" w:hint="eastAsia"/>
        </w:rPr>
        <w:t>执行秘书处：</w:t>
      </w:r>
      <w:r>
        <w:rPr>
          <w:rFonts w:eastAsia="SimSun"/>
        </w:rPr>
        <w:t>Casa Renascer</w:t>
      </w:r>
      <w:r>
        <w:rPr>
          <w:rFonts w:eastAsia="SimSun" w:hint="eastAsia"/>
        </w:rPr>
        <w:t>，纳塔尔</w:t>
      </w:r>
      <w:r>
        <w:rPr>
          <w:rFonts w:eastAsia="SimSun" w:hint="eastAsia"/>
        </w:rPr>
        <w:t>/</w:t>
      </w:r>
      <w:r>
        <w:rPr>
          <w:rFonts w:eastAsia="SimSun" w:hint="eastAsia"/>
        </w:rPr>
        <w:t>北里约格朗德，</w:t>
      </w:r>
      <w:r>
        <w:rPr>
          <w:rFonts w:eastAsia="SimSun" w:hint="eastAsia"/>
        </w:rPr>
        <w:t>1997</w:t>
      </w:r>
      <w:r>
        <w:rPr>
          <w:rFonts w:eastAsia="SimSun" w:hint="eastAsia"/>
        </w:rPr>
        <w:t>年。</w:t>
      </w:r>
    </w:p>
  </w:footnote>
  <w:footnote w:id="79">
    <w:p w:rsidR="00000000" w:rsidRDefault="004D2F83">
      <w:pPr>
        <w:pStyle w:val="FootnoteText"/>
        <w:spacing w:afterLines="30" w:after="72" w:line="240" w:lineRule="auto"/>
        <w:rPr>
          <w:rFonts w:eastAsia="SimSun" w:hint="eastAsia"/>
        </w:rPr>
      </w:pPr>
      <w:r>
        <w:rPr>
          <w:rStyle w:val="FootnoteReference"/>
          <w:rFonts w:eastAsia="SimSun"/>
        </w:rPr>
        <w:t>79</w:t>
      </w:r>
      <w:r>
        <w:rPr>
          <w:rFonts w:eastAsia="SimSun"/>
        </w:rPr>
        <w:t xml:space="preserve"> </w:t>
      </w:r>
      <w:r>
        <w:rPr>
          <w:rFonts w:eastAsia="SimSun" w:hint="eastAsia"/>
        </w:rPr>
        <w:t>“禁止对儿童和青少年剥削和性虐待的基本原则和政策</w:t>
      </w:r>
      <w:r>
        <w:rPr>
          <w:rFonts w:eastAsia="SimHei" w:hint="eastAsia"/>
        </w:rPr>
        <w:t>——</w:t>
      </w:r>
      <w:r>
        <w:rPr>
          <w:rFonts w:eastAsia="SimSun" w:hint="eastAsia"/>
        </w:rPr>
        <w:t>研究报告，司法部</w:t>
      </w:r>
      <w:r>
        <w:rPr>
          <w:rFonts w:eastAsia="SimSun" w:hint="eastAsia"/>
        </w:rPr>
        <w:t>/</w:t>
      </w:r>
      <w:r>
        <w:rPr>
          <w:rFonts w:eastAsia="SimSun" w:hint="eastAsia"/>
        </w:rPr>
        <w:t>儿童和青少年咨询、研究和行动中心，</w:t>
      </w:r>
      <w:r>
        <w:rPr>
          <w:rFonts w:eastAsia="SimSun" w:hint="eastAsia"/>
        </w:rPr>
        <w:t>1997</w:t>
      </w:r>
      <w:r>
        <w:rPr>
          <w:rFonts w:eastAsia="SimSun" w:hint="eastAsia"/>
        </w:rPr>
        <w:t>年。</w:t>
      </w:r>
    </w:p>
  </w:footnote>
  <w:footnote w:id="80">
    <w:p w:rsidR="00000000" w:rsidRDefault="004D2F83">
      <w:pPr>
        <w:pStyle w:val="FootnoteText"/>
        <w:spacing w:afterLines="30" w:after="72" w:line="240" w:lineRule="auto"/>
        <w:rPr>
          <w:rFonts w:eastAsia="SimSun" w:hint="eastAsia"/>
        </w:rPr>
      </w:pPr>
      <w:r>
        <w:rPr>
          <w:rStyle w:val="FootnoteReference"/>
          <w:rFonts w:eastAsia="SimSun"/>
        </w:rPr>
        <w:t>80</w:t>
      </w:r>
      <w:r>
        <w:rPr>
          <w:rFonts w:eastAsia="SimSun"/>
        </w:rPr>
        <w:t xml:space="preserve"> </w:t>
      </w:r>
      <w:r>
        <w:rPr>
          <w:rFonts w:eastAsia="SimSun" w:hint="eastAsia"/>
        </w:rPr>
        <w:t>LEAL</w:t>
      </w:r>
      <w:r>
        <w:rPr>
          <w:rFonts w:eastAsia="SimSun" w:hint="eastAsia"/>
        </w:rPr>
        <w:t>，</w:t>
      </w:r>
      <w:r>
        <w:rPr>
          <w:rFonts w:eastAsia="SimSun" w:hint="eastAsia"/>
        </w:rPr>
        <w:t>M</w:t>
      </w:r>
      <w:r>
        <w:rPr>
          <w:rFonts w:eastAsia="SimSun" w:hint="eastAsia"/>
          <w:vertAlign w:val="superscript"/>
        </w:rPr>
        <w:t>a</w:t>
      </w:r>
      <w:r>
        <w:rPr>
          <w:rFonts w:eastAsia="SimSun" w:hint="eastAsia"/>
        </w:rPr>
        <w:t>Lucia</w:t>
      </w:r>
      <w:r>
        <w:rPr>
          <w:rFonts w:eastAsia="SimSun" w:hint="eastAsia"/>
        </w:rPr>
        <w:t>，拉丁美洲和加勒比地区对男童、女童和青少年的商业性剥削（最后报告</w:t>
      </w:r>
      <w:r>
        <w:rPr>
          <w:rFonts w:eastAsia="SimHei" w:hint="eastAsia"/>
        </w:rPr>
        <w:t>——</w:t>
      </w:r>
      <w:r>
        <w:rPr>
          <w:rFonts w:eastAsia="SimSun" w:hint="eastAsia"/>
        </w:rPr>
        <w:t>巴西），</w:t>
      </w:r>
      <w:r>
        <w:rPr>
          <w:rFonts w:eastAsia="SimSun" w:hint="eastAsia"/>
        </w:rPr>
        <w:t>1999</w:t>
      </w:r>
      <w:r>
        <w:rPr>
          <w:rFonts w:eastAsia="SimSun" w:hint="eastAsia"/>
        </w:rPr>
        <w:t>年</w:t>
      </w:r>
      <w:r>
        <w:rPr>
          <w:rFonts w:eastAsia="SimSun" w:hint="eastAsia"/>
        </w:rPr>
        <w:t>，巴西利亚。</w:t>
      </w:r>
    </w:p>
  </w:footnote>
  <w:footnote w:id="81">
    <w:p w:rsidR="00000000" w:rsidRDefault="004D2F83">
      <w:pPr>
        <w:pStyle w:val="FootnoteText"/>
        <w:spacing w:afterLines="30" w:after="72" w:line="240" w:lineRule="auto"/>
        <w:rPr>
          <w:rFonts w:eastAsia="SimSun"/>
        </w:rPr>
      </w:pPr>
      <w:r>
        <w:rPr>
          <w:rStyle w:val="FootnoteReference"/>
          <w:rFonts w:eastAsia="SimSun"/>
        </w:rPr>
        <w:t>81</w:t>
      </w:r>
      <w:r>
        <w:rPr>
          <w:rFonts w:eastAsia="SimSun" w:hint="eastAsia"/>
        </w:rPr>
        <w:t>“对儿童和青少年剥削和性虐待的基本原则和政策”——研究报告，司法部</w:t>
      </w:r>
      <w:r>
        <w:rPr>
          <w:rFonts w:eastAsia="SimSun" w:hint="eastAsia"/>
        </w:rPr>
        <w:t>/</w:t>
      </w:r>
      <w:r>
        <w:rPr>
          <w:rFonts w:eastAsia="SimSun" w:hint="eastAsia"/>
        </w:rPr>
        <w:t>儿童和青少年咨询、研究和行动中心，</w:t>
      </w:r>
      <w:r>
        <w:rPr>
          <w:rFonts w:eastAsia="SimSun" w:hint="eastAsia"/>
        </w:rPr>
        <w:t>1997</w:t>
      </w:r>
      <w:r>
        <w:rPr>
          <w:rFonts w:eastAsia="SimSun" w:hint="eastAsia"/>
        </w:rPr>
        <w:t>年。</w:t>
      </w:r>
    </w:p>
  </w:footnote>
  <w:footnote w:id="82">
    <w:p w:rsidR="00000000" w:rsidRDefault="004D2F83">
      <w:pPr>
        <w:pStyle w:val="FootnoteText"/>
        <w:spacing w:afterLines="30" w:after="72" w:line="240" w:lineRule="auto"/>
        <w:rPr>
          <w:rFonts w:eastAsia="SimSun" w:hint="eastAsia"/>
        </w:rPr>
      </w:pPr>
      <w:r>
        <w:rPr>
          <w:rStyle w:val="FootnoteReference"/>
          <w:rFonts w:eastAsia="SimSun"/>
        </w:rPr>
        <w:t>82</w:t>
      </w:r>
      <w:r>
        <w:rPr>
          <w:rFonts w:eastAsia="SimSun"/>
        </w:rPr>
        <w:t xml:space="preserve"> </w:t>
      </w:r>
      <w:r>
        <w:rPr>
          <w:rFonts w:eastAsia="SimSun" w:hint="eastAsia"/>
        </w:rPr>
        <w:t>GARCIA</w:t>
      </w:r>
      <w:r>
        <w:rPr>
          <w:rFonts w:eastAsia="SimSun" w:hint="eastAsia"/>
        </w:rPr>
        <w:t>，</w:t>
      </w:r>
      <w:r>
        <w:rPr>
          <w:rFonts w:eastAsia="SimSun" w:hint="eastAsia"/>
        </w:rPr>
        <w:t>Margarita Bosch</w:t>
      </w:r>
      <w:r>
        <w:rPr>
          <w:rFonts w:eastAsia="SimSun" w:hint="eastAsia"/>
        </w:rPr>
        <w:t>。“保护中心在权利保障系统中的作用”，累西腓，</w:t>
      </w:r>
      <w:r>
        <w:rPr>
          <w:rFonts w:eastAsia="SimSun" w:hint="eastAsia"/>
        </w:rPr>
        <w:t>1999</w:t>
      </w:r>
      <w:r>
        <w:rPr>
          <w:rFonts w:eastAsia="SimSun" w:hint="eastAsia"/>
        </w:rPr>
        <w:t>年，第</w:t>
      </w:r>
      <w:r>
        <w:rPr>
          <w:rFonts w:eastAsia="SimSun" w:hint="eastAsia"/>
        </w:rPr>
        <w:t>209</w:t>
      </w:r>
      <w:r>
        <w:rPr>
          <w:rFonts w:eastAsia="SimSun" w:hint="eastAsia"/>
        </w:rPr>
        <w:t>页。</w:t>
      </w:r>
    </w:p>
  </w:footnote>
  <w:footnote w:id="83">
    <w:p w:rsidR="00000000" w:rsidRDefault="004D2F83">
      <w:pPr>
        <w:pStyle w:val="FootnoteText"/>
        <w:spacing w:afterLines="30" w:after="72" w:line="240" w:lineRule="auto"/>
        <w:rPr>
          <w:rFonts w:eastAsia="SimSun" w:hint="eastAsia"/>
        </w:rPr>
      </w:pPr>
      <w:r>
        <w:rPr>
          <w:rStyle w:val="FootnoteReference"/>
          <w:rFonts w:eastAsia="SimSun"/>
        </w:rPr>
        <w:t>83</w:t>
      </w:r>
      <w:r>
        <w:rPr>
          <w:rFonts w:eastAsia="SimSun"/>
        </w:rPr>
        <w:t xml:space="preserve"> </w:t>
      </w:r>
      <w:r>
        <w:rPr>
          <w:rFonts w:eastAsia="SimSun" w:hint="eastAsia"/>
        </w:rPr>
        <w:t>Ela Wiecko</w:t>
      </w:r>
      <w:r>
        <w:rPr>
          <w:rFonts w:eastAsia="SimSun" w:hint="eastAsia"/>
        </w:rPr>
        <w:t>提交小组的关于“保护性措施”的论文：对儿童和青少年的性暴力和剥削，摘自儿童和青少年权利全国委员会会议年刊。</w:t>
      </w:r>
    </w:p>
  </w:footnote>
  <w:footnote w:id="84">
    <w:p w:rsidR="00000000" w:rsidRDefault="004D2F83">
      <w:pPr>
        <w:pStyle w:val="FootnoteText"/>
        <w:spacing w:afterLines="30" w:after="72" w:line="240" w:lineRule="auto"/>
        <w:rPr>
          <w:rFonts w:eastAsia="SimSun" w:hint="eastAsia"/>
        </w:rPr>
      </w:pPr>
      <w:r>
        <w:rPr>
          <w:rStyle w:val="FootnoteReference"/>
          <w:rFonts w:eastAsia="SimSun"/>
        </w:rPr>
        <w:t>84</w:t>
      </w:r>
      <w:r>
        <w:rPr>
          <w:rFonts w:eastAsia="SimSun"/>
        </w:rPr>
        <w:t xml:space="preserve"> </w:t>
      </w:r>
      <w:r>
        <w:rPr>
          <w:rFonts w:eastAsia="SimSun" w:hint="eastAsia"/>
        </w:rPr>
        <w:t>《暂行规定》第</w:t>
      </w:r>
      <w:r>
        <w:rPr>
          <w:rFonts w:eastAsia="SimSun" w:hint="eastAsia"/>
        </w:rPr>
        <w:t>80</w:t>
      </w:r>
      <w:r>
        <w:rPr>
          <w:rFonts w:eastAsia="SimSun" w:hint="eastAsia"/>
        </w:rPr>
        <w:t>条规定，在将于</w:t>
      </w:r>
      <w:r>
        <w:rPr>
          <w:rFonts w:eastAsia="SimSun" w:hint="eastAsia"/>
        </w:rPr>
        <w:t>1998</w:t>
      </w:r>
      <w:r>
        <w:rPr>
          <w:rFonts w:eastAsia="SimSun" w:hint="eastAsia"/>
        </w:rPr>
        <w:t>年举行的选举中，各政党或联盟推举的男女候选人各自占登记候选人总数的比例最低不</w:t>
      </w:r>
      <w:r>
        <w:rPr>
          <w:rFonts w:eastAsia="SimSun" w:hint="eastAsia"/>
        </w:rPr>
        <w:t>得少于</w:t>
      </w:r>
      <w:r>
        <w:rPr>
          <w:rFonts w:eastAsia="SimSun" w:hint="eastAsia"/>
        </w:rPr>
        <w:t>25%</w:t>
      </w:r>
      <w:r>
        <w:rPr>
          <w:rFonts w:eastAsia="SimSun" w:hint="eastAsia"/>
        </w:rPr>
        <w:t>，最高不得超过</w:t>
      </w:r>
      <w:r>
        <w:rPr>
          <w:rFonts w:eastAsia="SimSun" w:hint="eastAsia"/>
        </w:rPr>
        <w:t>75%</w:t>
      </w:r>
      <w:r>
        <w:rPr>
          <w:rFonts w:eastAsia="SimSun" w:hint="eastAsia"/>
        </w:rPr>
        <w:t>。</w:t>
      </w:r>
    </w:p>
  </w:footnote>
  <w:footnote w:id="85">
    <w:p w:rsidR="00000000" w:rsidRDefault="004D2F83">
      <w:pPr>
        <w:pStyle w:val="FootnoteText"/>
        <w:spacing w:afterLines="30" w:after="72" w:line="240" w:lineRule="auto"/>
        <w:rPr>
          <w:rFonts w:eastAsia="SimSun" w:hint="eastAsia"/>
        </w:rPr>
      </w:pPr>
      <w:r>
        <w:rPr>
          <w:rStyle w:val="FootnoteReference"/>
          <w:rFonts w:eastAsia="SimSun"/>
        </w:rPr>
        <w:t>85</w:t>
      </w:r>
      <w:r>
        <w:rPr>
          <w:rFonts w:eastAsia="SimSun"/>
        </w:rPr>
        <w:t xml:space="preserve"> </w:t>
      </w:r>
      <w:r>
        <w:rPr>
          <w:rFonts w:eastAsia="SimSun" w:hint="eastAsia"/>
        </w:rPr>
        <w:t>第</w:t>
      </w:r>
      <w:r>
        <w:rPr>
          <w:rFonts w:eastAsia="SimSun" w:hint="eastAsia"/>
        </w:rPr>
        <w:t>16</w:t>
      </w:r>
      <w:r>
        <w:rPr>
          <w:rFonts w:eastAsia="SimSun" w:hint="eastAsia"/>
        </w:rPr>
        <w:t>条：在选举日之前</w:t>
      </w:r>
      <w:r>
        <w:rPr>
          <w:rFonts w:eastAsia="SimSun" w:hint="eastAsia"/>
        </w:rPr>
        <w:t>45</w:t>
      </w:r>
      <w:r>
        <w:rPr>
          <w:rFonts w:eastAsia="SimSun" w:hint="eastAsia"/>
        </w:rPr>
        <w:t>天，地区选举法院应为数据汇总和分发之目的向最高选举法院提交多数票选举和比例选举的候选人名单，其中必须列出候选人的性别及其意欲竞选的职位。</w:t>
      </w:r>
    </w:p>
  </w:footnote>
  <w:footnote w:id="86">
    <w:p w:rsidR="00000000" w:rsidRDefault="004D2F83">
      <w:pPr>
        <w:pStyle w:val="FootnoteText"/>
        <w:spacing w:afterLines="30" w:after="72" w:line="240" w:lineRule="auto"/>
        <w:rPr>
          <w:rFonts w:eastAsia="SimSun" w:hint="eastAsia"/>
        </w:rPr>
      </w:pPr>
      <w:r>
        <w:rPr>
          <w:rStyle w:val="FootnoteReference"/>
          <w:rFonts w:eastAsia="SimSun"/>
        </w:rPr>
        <w:t>86</w:t>
      </w:r>
      <w:r>
        <w:rPr>
          <w:rFonts w:eastAsia="SimSun"/>
        </w:rPr>
        <w:t xml:space="preserve"> </w:t>
      </w:r>
      <w:r>
        <w:rPr>
          <w:rFonts w:eastAsia="SimSun" w:hint="eastAsia"/>
        </w:rPr>
        <w:t>1932</w:t>
      </w:r>
      <w:r>
        <w:rPr>
          <w:rFonts w:eastAsia="SimSun" w:hint="eastAsia"/>
        </w:rPr>
        <w:t>年颁布的《选举法》规定了选举权，</w:t>
      </w:r>
      <w:r>
        <w:rPr>
          <w:rFonts w:eastAsia="SimSun" w:hint="eastAsia"/>
        </w:rPr>
        <w:t>1934</w:t>
      </w:r>
      <w:r>
        <w:rPr>
          <w:rFonts w:eastAsia="SimSun" w:hint="eastAsia"/>
        </w:rPr>
        <w:t>年宪法又重申了这项权利。</w:t>
      </w:r>
    </w:p>
  </w:footnote>
  <w:footnote w:id="87">
    <w:p w:rsidR="00000000" w:rsidRDefault="004D2F83">
      <w:pPr>
        <w:pStyle w:val="FootnoteText"/>
        <w:spacing w:afterLines="30" w:after="72" w:line="240" w:lineRule="auto"/>
        <w:rPr>
          <w:rFonts w:eastAsia="SimSun" w:hint="eastAsia"/>
        </w:rPr>
      </w:pPr>
      <w:r>
        <w:rPr>
          <w:rStyle w:val="FootnoteReference"/>
          <w:rFonts w:eastAsia="SimSun"/>
        </w:rPr>
        <w:t>87</w:t>
      </w:r>
      <w:r>
        <w:rPr>
          <w:rFonts w:eastAsia="SimSun"/>
        </w:rPr>
        <w:t xml:space="preserve"> </w:t>
      </w:r>
      <w:r>
        <w:rPr>
          <w:rFonts w:eastAsia="SimSun" w:hint="eastAsia"/>
        </w:rPr>
        <w:t>在她之前，曾有其他人作为替代人选成为参议员。首先是尤妮斯·米基莱斯（民主社会党</w:t>
      </w:r>
      <w:r>
        <w:rPr>
          <w:rFonts w:eastAsia="SimSun" w:hint="eastAsia"/>
        </w:rPr>
        <w:t>/</w:t>
      </w:r>
      <w:r>
        <w:rPr>
          <w:rFonts w:eastAsia="SimSun" w:hint="eastAsia"/>
        </w:rPr>
        <w:t>自由阵线党</w:t>
      </w:r>
      <w:r>
        <w:rPr>
          <w:rFonts w:eastAsia="SimSun" w:hint="eastAsia"/>
        </w:rPr>
        <w:t>/AM</w:t>
      </w:r>
      <w:r>
        <w:rPr>
          <w:rFonts w:eastAsia="SimSun" w:hint="eastAsia"/>
        </w:rPr>
        <w:t>），在任参议员若昂·博斯科死后，米基莱斯接替了他的职位，任期是</w:t>
      </w:r>
      <w:r>
        <w:rPr>
          <w:rFonts w:eastAsia="SimSun" w:hint="eastAsia"/>
        </w:rPr>
        <w:t>1979</w:t>
      </w:r>
      <w:r>
        <w:rPr>
          <w:rFonts w:eastAsia="SimSun" w:hint="eastAsia"/>
        </w:rPr>
        <w:t>年</w:t>
      </w:r>
      <w:r>
        <w:rPr>
          <w:rFonts w:eastAsia="SimSun" w:hint="eastAsia"/>
        </w:rPr>
        <w:t>5</w:t>
      </w:r>
      <w:r>
        <w:rPr>
          <w:rFonts w:eastAsia="SimSun" w:hint="eastAsia"/>
        </w:rPr>
        <w:t>月</w:t>
      </w:r>
      <w:r>
        <w:rPr>
          <w:rFonts w:eastAsia="SimSun" w:hint="eastAsia"/>
        </w:rPr>
        <w:t>31</w:t>
      </w:r>
      <w:r>
        <w:rPr>
          <w:rFonts w:eastAsia="SimSun" w:hint="eastAsia"/>
        </w:rPr>
        <w:t>日至</w:t>
      </w:r>
      <w:r>
        <w:rPr>
          <w:rFonts w:eastAsia="SimSun" w:hint="eastAsia"/>
        </w:rPr>
        <w:t>1987</w:t>
      </w:r>
      <w:r>
        <w:rPr>
          <w:rFonts w:eastAsia="SimSun" w:hint="eastAsia"/>
        </w:rPr>
        <w:t>年</w:t>
      </w:r>
      <w:r>
        <w:rPr>
          <w:rFonts w:eastAsia="SimSun" w:hint="eastAsia"/>
        </w:rPr>
        <w:t>1</w:t>
      </w:r>
      <w:r>
        <w:rPr>
          <w:rFonts w:eastAsia="SimSun" w:hint="eastAsia"/>
        </w:rPr>
        <w:t>月</w:t>
      </w:r>
      <w:r>
        <w:rPr>
          <w:rFonts w:eastAsia="SimSun" w:hint="eastAsia"/>
        </w:rPr>
        <w:t>31</w:t>
      </w:r>
      <w:r>
        <w:rPr>
          <w:rFonts w:eastAsia="SimSun" w:hint="eastAsia"/>
        </w:rPr>
        <w:t>日。其次是拉埃利娅·德</w:t>
      </w:r>
      <w:r>
        <w:rPr>
          <w:rFonts w:eastAsia="SimSun" w:hint="eastAsia"/>
        </w:rPr>
        <w:t>·阿尔坎塔拉（巴西民主运动党</w:t>
      </w:r>
      <w:r>
        <w:rPr>
          <w:rFonts w:eastAsia="SimSun" w:hint="eastAsia"/>
        </w:rPr>
        <w:t>/AC</w:t>
      </w:r>
      <w:r>
        <w:rPr>
          <w:rFonts w:eastAsia="SimSun" w:hint="eastAsia"/>
        </w:rPr>
        <w:t>），由于参议员阿达尔贝托·塞纳离任休假，阿尔坎塔拉暂时接任，任期为</w:t>
      </w:r>
      <w:r>
        <w:rPr>
          <w:rFonts w:eastAsia="SimSun" w:hint="eastAsia"/>
        </w:rPr>
        <w:t>1981</w:t>
      </w:r>
      <w:r>
        <w:rPr>
          <w:rFonts w:eastAsia="SimSun" w:hint="eastAsia"/>
        </w:rPr>
        <w:t>年</w:t>
      </w:r>
      <w:r>
        <w:rPr>
          <w:rFonts w:eastAsia="SimSun" w:hint="eastAsia"/>
        </w:rPr>
        <w:t>4</w:t>
      </w:r>
      <w:r>
        <w:rPr>
          <w:rFonts w:eastAsia="SimSun" w:hint="eastAsia"/>
        </w:rPr>
        <w:t>月</w:t>
      </w:r>
      <w:r>
        <w:rPr>
          <w:rFonts w:eastAsia="SimSun" w:hint="eastAsia"/>
        </w:rPr>
        <w:t>3</w:t>
      </w:r>
      <w:r>
        <w:rPr>
          <w:rFonts w:eastAsia="SimSun" w:hint="eastAsia"/>
        </w:rPr>
        <w:t>日至</w:t>
      </w:r>
      <w:r>
        <w:rPr>
          <w:rFonts w:eastAsia="SimSun" w:hint="eastAsia"/>
        </w:rPr>
        <w:t>1981</w:t>
      </w:r>
      <w:r>
        <w:rPr>
          <w:rFonts w:eastAsia="SimSun" w:hint="eastAsia"/>
        </w:rPr>
        <w:t>年</w:t>
      </w:r>
      <w:r>
        <w:rPr>
          <w:rFonts w:eastAsia="SimSun" w:hint="eastAsia"/>
        </w:rPr>
        <w:t>7</w:t>
      </w:r>
      <w:r>
        <w:rPr>
          <w:rFonts w:eastAsia="SimSun" w:hint="eastAsia"/>
        </w:rPr>
        <w:t>月</w:t>
      </w:r>
      <w:r>
        <w:rPr>
          <w:rFonts w:eastAsia="SimSun" w:hint="eastAsia"/>
        </w:rPr>
        <w:t>29</w:t>
      </w:r>
      <w:r>
        <w:rPr>
          <w:rFonts w:eastAsia="SimSun" w:hint="eastAsia"/>
        </w:rPr>
        <w:t>日。第三位是玛丽亚·西尔莱（巴西民主运动党</w:t>
      </w:r>
      <w:r>
        <w:rPr>
          <w:rFonts w:eastAsia="SimSun" w:hint="eastAsia"/>
        </w:rPr>
        <w:t>/SC</w:t>
      </w:r>
      <w:r>
        <w:rPr>
          <w:rFonts w:eastAsia="SimSun" w:hint="eastAsia"/>
        </w:rPr>
        <w:t>），由于参议员雅伊松·巴雷托离任休假，第一替代人选——参议员德雅蒂尔·达尔帕斯夸莱因故无法接任，于是由第二替代人选——西尔莱女士填补巴雷托参议员留下的空缺，任期为</w:t>
      </w:r>
      <w:r>
        <w:rPr>
          <w:rFonts w:eastAsia="SimSun" w:hint="eastAsia"/>
        </w:rPr>
        <w:t>1981</w:t>
      </w:r>
      <w:r>
        <w:rPr>
          <w:rFonts w:eastAsia="SimSun" w:hint="eastAsia"/>
        </w:rPr>
        <w:t>年</w:t>
      </w:r>
      <w:r>
        <w:rPr>
          <w:rFonts w:eastAsia="SimSun" w:hint="eastAsia"/>
        </w:rPr>
        <w:t>6</w:t>
      </w:r>
      <w:r>
        <w:rPr>
          <w:rFonts w:eastAsia="SimSun" w:hint="eastAsia"/>
        </w:rPr>
        <w:t>月</w:t>
      </w:r>
      <w:r>
        <w:rPr>
          <w:rFonts w:eastAsia="SimSun" w:hint="eastAsia"/>
        </w:rPr>
        <w:t>11</w:t>
      </w:r>
      <w:r>
        <w:rPr>
          <w:rFonts w:eastAsia="SimSun" w:hint="eastAsia"/>
        </w:rPr>
        <w:t>日至</w:t>
      </w:r>
      <w:r>
        <w:rPr>
          <w:rFonts w:eastAsia="SimSun" w:hint="eastAsia"/>
        </w:rPr>
        <w:t>1981</w:t>
      </w:r>
      <w:r>
        <w:rPr>
          <w:rFonts w:eastAsia="SimSun" w:hint="eastAsia"/>
        </w:rPr>
        <w:t>年</w:t>
      </w:r>
      <w:r>
        <w:rPr>
          <w:rFonts w:eastAsia="SimSun" w:hint="eastAsia"/>
        </w:rPr>
        <w:t>8</w:t>
      </w:r>
      <w:r>
        <w:rPr>
          <w:rFonts w:eastAsia="SimSun" w:hint="eastAsia"/>
        </w:rPr>
        <w:t>月</w:t>
      </w:r>
      <w:r>
        <w:rPr>
          <w:rFonts w:eastAsia="SimSun" w:hint="eastAsia"/>
        </w:rPr>
        <w:t>5</w:t>
      </w:r>
      <w:r>
        <w:rPr>
          <w:rFonts w:eastAsia="SimSun" w:hint="eastAsia"/>
        </w:rPr>
        <w:t>日。第四位是杜尔塞·布拉加（民主社会党</w:t>
      </w:r>
      <w:r>
        <w:rPr>
          <w:rFonts w:eastAsia="SimSun" w:hint="eastAsia"/>
        </w:rPr>
        <w:t>/SP</w:t>
      </w:r>
      <w:r>
        <w:rPr>
          <w:rFonts w:eastAsia="SimSun" w:hint="eastAsia"/>
        </w:rPr>
        <w:t>），由于第一替代人选——参议员费雷拉·菲略去世，布拉加女士作为第二替代人选，在参议</w:t>
      </w:r>
      <w:r>
        <w:rPr>
          <w:rFonts w:eastAsia="SimSun" w:hint="eastAsia"/>
        </w:rPr>
        <w:t>员阿马拉尔·富尔兰休假期间接替其职务，任期为</w:t>
      </w:r>
      <w:r>
        <w:rPr>
          <w:rFonts w:eastAsia="SimSun" w:hint="eastAsia"/>
        </w:rPr>
        <w:t>1982</w:t>
      </w:r>
      <w:r>
        <w:rPr>
          <w:rFonts w:eastAsia="SimSun" w:hint="eastAsia"/>
        </w:rPr>
        <w:t>年</w:t>
      </w:r>
      <w:r>
        <w:rPr>
          <w:rFonts w:eastAsia="SimSun" w:hint="eastAsia"/>
        </w:rPr>
        <w:t>6</w:t>
      </w:r>
      <w:r>
        <w:rPr>
          <w:rFonts w:eastAsia="SimSun" w:hint="eastAsia"/>
        </w:rPr>
        <w:t>月</w:t>
      </w:r>
      <w:r>
        <w:rPr>
          <w:rFonts w:eastAsia="SimSun" w:hint="eastAsia"/>
        </w:rPr>
        <w:t>30</w:t>
      </w:r>
      <w:r>
        <w:rPr>
          <w:rFonts w:eastAsia="SimSun" w:hint="eastAsia"/>
        </w:rPr>
        <w:t>日至</w:t>
      </w:r>
      <w:r>
        <w:rPr>
          <w:rFonts w:eastAsia="SimSun" w:hint="eastAsia"/>
        </w:rPr>
        <w:t>1982</w:t>
      </w:r>
      <w:r>
        <w:rPr>
          <w:rFonts w:eastAsia="SimSun" w:hint="eastAsia"/>
        </w:rPr>
        <w:t>年</w:t>
      </w:r>
      <w:r>
        <w:rPr>
          <w:rFonts w:eastAsia="SimSun" w:hint="eastAsia"/>
        </w:rPr>
        <w:t>11</w:t>
      </w:r>
      <w:r>
        <w:rPr>
          <w:rFonts w:eastAsia="SimSun" w:hint="eastAsia"/>
        </w:rPr>
        <w:t>月</w:t>
      </w:r>
      <w:r>
        <w:rPr>
          <w:rFonts w:eastAsia="SimSun" w:hint="eastAsia"/>
        </w:rPr>
        <w:t>29</w:t>
      </w:r>
      <w:r>
        <w:rPr>
          <w:rFonts w:eastAsia="SimSun" w:hint="eastAsia"/>
        </w:rPr>
        <w:t>日。第五位是伊丽丝·塞利亚（民主社会党</w:t>
      </w:r>
      <w:r>
        <w:rPr>
          <w:rFonts w:eastAsia="SimSun" w:hint="eastAsia"/>
        </w:rPr>
        <w:t>/AC</w:t>
      </w:r>
      <w:r>
        <w:rPr>
          <w:rFonts w:eastAsia="SimSun" w:hint="eastAsia"/>
        </w:rPr>
        <w:t>），她于</w:t>
      </w:r>
      <w:r>
        <w:rPr>
          <w:rFonts w:eastAsia="SimSun" w:hint="eastAsia"/>
        </w:rPr>
        <w:t>1983</w:t>
      </w:r>
      <w:r>
        <w:rPr>
          <w:rFonts w:eastAsia="SimSun" w:hint="eastAsia"/>
        </w:rPr>
        <w:t>年</w:t>
      </w:r>
      <w:r>
        <w:rPr>
          <w:rFonts w:eastAsia="SimSun" w:hint="eastAsia"/>
        </w:rPr>
        <w:t>9</w:t>
      </w:r>
      <w:r>
        <w:rPr>
          <w:rFonts w:eastAsia="SimSun" w:hint="eastAsia"/>
        </w:rPr>
        <w:t>月</w:t>
      </w:r>
      <w:r>
        <w:rPr>
          <w:rFonts w:eastAsia="SimSun" w:hint="eastAsia"/>
        </w:rPr>
        <w:t>14</w:t>
      </w:r>
      <w:r>
        <w:rPr>
          <w:rFonts w:eastAsia="SimSun" w:hint="eastAsia"/>
        </w:rPr>
        <w:t>日至</w:t>
      </w:r>
      <w:r>
        <w:rPr>
          <w:rFonts w:eastAsia="SimSun" w:hint="eastAsia"/>
        </w:rPr>
        <w:t>1984</w:t>
      </w:r>
      <w:r>
        <w:rPr>
          <w:rFonts w:eastAsia="SimSun" w:hint="eastAsia"/>
        </w:rPr>
        <w:t>年</w:t>
      </w:r>
      <w:r>
        <w:rPr>
          <w:rFonts w:eastAsia="SimSun" w:hint="eastAsia"/>
        </w:rPr>
        <w:t>1</w:t>
      </w:r>
      <w:r>
        <w:rPr>
          <w:rFonts w:eastAsia="SimSun" w:hint="eastAsia"/>
        </w:rPr>
        <w:t>月</w:t>
      </w:r>
      <w:r>
        <w:rPr>
          <w:rFonts w:eastAsia="SimSun" w:hint="eastAsia"/>
        </w:rPr>
        <w:t>11</w:t>
      </w:r>
      <w:r>
        <w:rPr>
          <w:rFonts w:eastAsia="SimSun" w:hint="eastAsia"/>
        </w:rPr>
        <w:t>日接替参议员若热·卡卢姆的职位。第六位是阿拉科克·贝泽拉（自由阵线党</w:t>
      </w:r>
      <w:r>
        <w:rPr>
          <w:rFonts w:eastAsia="SimSun" w:hint="eastAsia"/>
        </w:rPr>
        <w:t>/CE</w:t>
      </w:r>
      <w:r>
        <w:rPr>
          <w:rFonts w:eastAsia="SimSun" w:hint="eastAsia"/>
        </w:rPr>
        <w:t>），她于</w:t>
      </w:r>
      <w:r>
        <w:rPr>
          <w:rFonts w:eastAsia="SimSun" w:hint="eastAsia"/>
        </w:rPr>
        <w:t>1989</w:t>
      </w:r>
      <w:r>
        <w:rPr>
          <w:rFonts w:eastAsia="SimSun" w:hint="eastAsia"/>
        </w:rPr>
        <w:t>年</w:t>
      </w:r>
      <w:r>
        <w:rPr>
          <w:rFonts w:eastAsia="SimSun" w:hint="eastAsia"/>
        </w:rPr>
        <w:t>10</w:t>
      </w:r>
      <w:r>
        <w:rPr>
          <w:rFonts w:eastAsia="SimSun" w:hint="eastAsia"/>
        </w:rPr>
        <w:t>月</w:t>
      </w:r>
      <w:r>
        <w:rPr>
          <w:rFonts w:eastAsia="SimSun" w:hint="eastAsia"/>
        </w:rPr>
        <w:t>19</w:t>
      </w:r>
      <w:r>
        <w:rPr>
          <w:rFonts w:eastAsia="SimSun" w:hint="eastAsia"/>
        </w:rPr>
        <w:t>日至</w:t>
      </w:r>
      <w:r>
        <w:rPr>
          <w:rFonts w:eastAsia="SimSun" w:hint="eastAsia"/>
        </w:rPr>
        <w:t>1990</w:t>
      </w:r>
      <w:r>
        <w:rPr>
          <w:rFonts w:eastAsia="SimSun" w:hint="eastAsia"/>
        </w:rPr>
        <w:t>年</w:t>
      </w:r>
      <w:r>
        <w:rPr>
          <w:rFonts w:eastAsia="SimSun" w:hint="eastAsia"/>
        </w:rPr>
        <w:t>2</w:t>
      </w:r>
      <w:r>
        <w:rPr>
          <w:rFonts w:eastAsia="SimSun" w:hint="eastAsia"/>
        </w:rPr>
        <w:t>月</w:t>
      </w:r>
      <w:r>
        <w:rPr>
          <w:rFonts w:eastAsia="SimSun" w:hint="eastAsia"/>
        </w:rPr>
        <w:t>15</w:t>
      </w:r>
      <w:r>
        <w:rPr>
          <w:rFonts w:eastAsia="SimSun" w:hint="eastAsia"/>
        </w:rPr>
        <w:t>日接替参议员阿丰索·桑舒的职位。</w:t>
      </w:r>
    </w:p>
  </w:footnote>
  <w:footnote w:id="88">
    <w:p w:rsidR="00000000" w:rsidRDefault="004D2F83">
      <w:pPr>
        <w:pStyle w:val="FootnoteText"/>
        <w:spacing w:afterLines="30" w:after="72" w:line="240" w:lineRule="auto"/>
        <w:rPr>
          <w:rFonts w:eastAsia="SimSun" w:hint="eastAsia"/>
        </w:rPr>
      </w:pPr>
      <w:r>
        <w:rPr>
          <w:rStyle w:val="FootnoteReference"/>
          <w:rFonts w:eastAsia="SimSun"/>
        </w:rPr>
        <w:t>88</w:t>
      </w:r>
      <w:r>
        <w:rPr>
          <w:rFonts w:eastAsia="SimSun"/>
        </w:rPr>
        <w:t xml:space="preserve"> </w:t>
      </w:r>
      <w:r>
        <w:rPr>
          <w:rFonts w:eastAsia="SimSun" w:hint="eastAsia"/>
        </w:rPr>
        <w:t>罗丝安娜·萨尔内</w:t>
      </w:r>
      <w:r>
        <w:rPr>
          <w:rFonts w:eastAsia="SimSun" w:hint="eastAsia"/>
        </w:rPr>
        <w:t>/</w:t>
      </w:r>
      <w:r>
        <w:rPr>
          <w:rFonts w:eastAsia="SimSun" w:hint="eastAsia"/>
        </w:rPr>
        <w:t>自由阵线党，马拉尼昂州州长。</w:t>
      </w:r>
    </w:p>
  </w:footnote>
  <w:footnote w:id="89">
    <w:p w:rsidR="00000000" w:rsidRDefault="004D2F83">
      <w:pPr>
        <w:pStyle w:val="FootnoteText"/>
        <w:spacing w:afterLines="30" w:after="72" w:line="240" w:lineRule="auto"/>
        <w:rPr>
          <w:rFonts w:eastAsia="SimSun" w:hint="eastAsia"/>
        </w:rPr>
      </w:pPr>
      <w:r>
        <w:rPr>
          <w:rStyle w:val="FootnoteReference"/>
          <w:rFonts w:eastAsia="SimSun"/>
        </w:rPr>
        <w:t>89</w:t>
      </w:r>
      <w:r>
        <w:rPr>
          <w:rFonts w:eastAsia="SimSun"/>
        </w:rPr>
        <w:t xml:space="preserve"> </w:t>
      </w:r>
      <w:r>
        <w:rPr>
          <w:rFonts w:eastAsia="SimSun" w:hint="eastAsia"/>
        </w:rPr>
        <w:t>这条资料源自巴西女权运动先驱——贝尔塔·卢茨夫人写于</w:t>
      </w:r>
      <w:r>
        <w:rPr>
          <w:rFonts w:eastAsia="SimSun" w:hint="eastAsia"/>
        </w:rPr>
        <w:t>1963</w:t>
      </w:r>
      <w:r>
        <w:rPr>
          <w:rFonts w:eastAsia="SimSun" w:hint="eastAsia"/>
        </w:rPr>
        <w:t>年</w:t>
      </w:r>
      <w:r>
        <w:rPr>
          <w:rFonts w:eastAsia="SimSun" w:hint="eastAsia"/>
        </w:rPr>
        <w:t>4</w:t>
      </w:r>
      <w:r>
        <w:rPr>
          <w:rFonts w:eastAsia="SimSun" w:hint="eastAsia"/>
        </w:rPr>
        <w:t>月</w:t>
      </w:r>
      <w:r>
        <w:rPr>
          <w:rFonts w:eastAsia="SimSun" w:hint="eastAsia"/>
        </w:rPr>
        <w:t>4</w:t>
      </w:r>
      <w:r>
        <w:rPr>
          <w:rFonts w:eastAsia="SimSun" w:hint="eastAsia"/>
        </w:rPr>
        <w:t>日的一封信，《巴西妇女的政治权利与公民权利》第二</w:t>
      </w:r>
      <w:r>
        <w:rPr>
          <w:rFonts w:eastAsia="SimSun" w:hint="eastAsia"/>
        </w:rPr>
        <w:t>版（</w:t>
      </w:r>
      <w:r>
        <w:rPr>
          <w:rFonts w:eastAsia="SimSun" w:hint="eastAsia"/>
        </w:rPr>
        <w:t>1982</w:t>
      </w:r>
      <w:r>
        <w:rPr>
          <w:rFonts w:eastAsia="SimSun" w:hint="eastAsia"/>
        </w:rPr>
        <w:t>）对此也有记载，该书的作者是若昂·巴蒂斯塔·卡斯特罗·罗德里格斯。</w:t>
      </w:r>
    </w:p>
  </w:footnote>
  <w:footnote w:id="90">
    <w:p w:rsidR="00000000" w:rsidRDefault="004D2F83">
      <w:pPr>
        <w:pStyle w:val="FootnoteText"/>
        <w:spacing w:afterLines="30" w:after="72" w:line="240" w:lineRule="auto"/>
        <w:rPr>
          <w:rFonts w:eastAsia="SimSun" w:hint="eastAsia"/>
        </w:rPr>
      </w:pPr>
      <w:r>
        <w:rPr>
          <w:rStyle w:val="FootnoteReference"/>
          <w:rFonts w:eastAsia="SimSun"/>
        </w:rPr>
        <w:t>90</w:t>
      </w:r>
      <w:r>
        <w:rPr>
          <w:rFonts w:eastAsia="SimSun"/>
        </w:rPr>
        <w:t xml:space="preserve"> </w:t>
      </w:r>
      <w:r>
        <w:rPr>
          <w:rFonts w:eastAsia="SimSun" w:hint="eastAsia"/>
        </w:rPr>
        <w:t>根据上面提到的那封信，在玛丽亚·若泽的问题上，“鲁伊·巴尔博扎本人发表了法律意见”。鲁伊·巴尔博扎历任众议员、参议员和政府部长，曾两度竞选共和国总统，其竞选活动令人难忘。他历来表现出坚定的民族原则和强烈的政治独立性，他参与了当时所有重大问题的讨论，如废除奴隶制、保卫联邦、建立共和国、以及民权运动。作为无与伦比的葡萄牙语演讲大师和研究者，他接替大作家马沙多·德·阿西斯，担任巴西文学院院长。在海牙举行的第二届国际和平会议上，鲁</w:t>
      </w:r>
      <w:r>
        <w:rPr>
          <w:rFonts w:eastAsia="SimSun" w:hint="eastAsia"/>
        </w:rPr>
        <w:t>伊·巴尔博扎出色地代表了巴西，他在晚年被选为海牙国际法院的法官。</w:t>
      </w:r>
    </w:p>
  </w:footnote>
  <w:footnote w:id="91">
    <w:p w:rsidR="00000000" w:rsidRDefault="004D2F83">
      <w:pPr>
        <w:pStyle w:val="FootnoteText"/>
        <w:spacing w:afterLines="30" w:after="72" w:line="240" w:lineRule="auto"/>
        <w:rPr>
          <w:rFonts w:eastAsia="SimSun" w:hint="eastAsia"/>
        </w:rPr>
      </w:pPr>
      <w:r>
        <w:rPr>
          <w:rStyle w:val="FootnoteReference"/>
          <w:rFonts w:eastAsia="SimSun"/>
        </w:rPr>
        <w:t>91</w:t>
      </w:r>
      <w:r>
        <w:rPr>
          <w:rFonts w:eastAsia="SimSun"/>
        </w:rPr>
        <w:t xml:space="preserve"> </w:t>
      </w:r>
      <w:r>
        <w:rPr>
          <w:rFonts w:eastAsia="SimSun" w:hint="eastAsia"/>
        </w:rPr>
        <w:t>从</w:t>
      </w:r>
      <w:r>
        <w:rPr>
          <w:rFonts w:eastAsia="SimSun" w:hint="eastAsia"/>
        </w:rPr>
        <w:t>1956</w:t>
      </w:r>
      <w:r>
        <w:rPr>
          <w:rFonts w:eastAsia="SimSun" w:hint="eastAsia"/>
        </w:rPr>
        <w:t>至</w:t>
      </w:r>
      <w:r>
        <w:rPr>
          <w:rFonts w:eastAsia="SimSun" w:hint="eastAsia"/>
        </w:rPr>
        <w:t>1959</w:t>
      </w:r>
      <w:r>
        <w:rPr>
          <w:rFonts w:eastAsia="SimSun" w:hint="eastAsia"/>
        </w:rPr>
        <w:t>年，索萨女士担任对外关系部政治司司长，在当代组织框架中，这个职位相当于双边政策秘书长助理和多边政策秘书长助理。</w:t>
      </w:r>
    </w:p>
  </w:footnote>
  <w:footnote w:id="92">
    <w:p w:rsidR="00000000" w:rsidRDefault="004D2F83">
      <w:pPr>
        <w:pStyle w:val="FootnoteText"/>
        <w:spacing w:afterLines="30" w:after="72" w:line="240" w:lineRule="auto"/>
        <w:rPr>
          <w:rFonts w:eastAsia="SimSun" w:hint="eastAsia"/>
        </w:rPr>
      </w:pPr>
      <w:r>
        <w:rPr>
          <w:rStyle w:val="FootnoteReference"/>
          <w:rFonts w:eastAsia="SimSun"/>
        </w:rPr>
        <w:t>92</w:t>
      </w:r>
      <w:r>
        <w:rPr>
          <w:rFonts w:eastAsia="SimSun"/>
        </w:rPr>
        <w:t xml:space="preserve"> </w:t>
      </w:r>
      <w:r>
        <w:rPr>
          <w:rFonts w:eastAsia="SimSun" w:hint="eastAsia"/>
        </w:rPr>
        <w:t>阿克里、阿拉戈斯、阿马帕地区、亚马孙、巴伊亚、塞阿拉、戈亚斯、马拉尼昂、马托格罗索、南马托格罗索、米纳斯吉拉斯、帕拉、帕拉伊巴、巴拉那、伯南布哥、皮奥伊、里约热内卢、北里奥格兰德、南里奥格兰德、圣卡塔琳娜、圣保罗和托坎廷斯等州。</w:t>
      </w:r>
    </w:p>
  </w:footnote>
  <w:footnote w:id="93">
    <w:p w:rsidR="00000000" w:rsidRDefault="004D2F83">
      <w:pPr>
        <w:pStyle w:val="FootnoteText"/>
        <w:spacing w:afterLines="30" w:after="72" w:line="240" w:lineRule="auto"/>
        <w:rPr>
          <w:rFonts w:eastAsia="SimSun" w:hint="eastAsia"/>
        </w:rPr>
      </w:pPr>
      <w:r>
        <w:rPr>
          <w:rStyle w:val="FootnoteReference"/>
          <w:rFonts w:eastAsia="SimSun"/>
        </w:rPr>
        <w:t>93</w:t>
      </w:r>
      <w:r>
        <w:rPr>
          <w:rFonts w:eastAsia="SimSun"/>
        </w:rPr>
        <w:t xml:space="preserve"> </w:t>
      </w:r>
      <w:r>
        <w:rPr>
          <w:rFonts w:eastAsia="SimSun" w:hint="eastAsia"/>
        </w:rPr>
        <w:t>迪皮耶罗，</w:t>
      </w:r>
      <w:r>
        <w:rPr>
          <w:rFonts w:eastAsia="SimSun" w:hint="eastAsia"/>
        </w:rPr>
        <w:t>2000</w:t>
      </w:r>
      <w:r>
        <w:rPr>
          <w:rFonts w:eastAsia="SimSun" w:hint="eastAsia"/>
        </w:rPr>
        <w:t>年；罗森贝格，</w:t>
      </w:r>
      <w:r>
        <w:rPr>
          <w:rFonts w:eastAsia="SimSun" w:hint="eastAsia"/>
        </w:rPr>
        <w:t>2001</w:t>
      </w:r>
      <w:r>
        <w:rPr>
          <w:rFonts w:eastAsia="SimSun" w:hint="eastAsia"/>
        </w:rPr>
        <w:t>年。</w:t>
      </w:r>
    </w:p>
  </w:footnote>
  <w:footnote w:id="94">
    <w:p w:rsidR="00000000" w:rsidRDefault="004D2F83">
      <w:pPr>
        <w:pStyle w:val="FootnoteText"/>
        <w:spacing w:afterLines="30" w:after="72" w:line="240" w:lineRule="auto"/>
        <w:jc w:val="both"/>
        <w:rPr>
          <w:rFonts w:eastAsia="SimSun"/>
        </w:rPr>
      </w:pPr>
      <w:r>
        <w:rPr>
          <w:rStyle w:val="FootnoteReference"/>
          <w:rFonts w:eastAsia="SimSun"/>
        </w:rPr>
        <w:t>94</w:t>
      </w:r>
      <w:r>
        <w:rPr>
          <w:rFonts w:eastAsia="SimSun"/>
        </w:rPr>
        <w:t xml:space="preserve"> </w:t>
      </w:r>
      <w:r>
        <w:rPr>
          <w:rFonts w:eastAsia="SimSun" w:hint="eastAsia"/>
        </w:rPr>
        <w:t>在此我们特别要</w:t>
      </w:r>
      <w:r>
        <w:rPr>
          <w:rFonts w:eastAsia="SimSun" w:hint="eastAsia"/>
        </w:rPr>
        <w:t>使用现有资料来源的数据，尤其是巴西地理统计局、劳动部和其他来源的数据，这些数据表明社会和经济政策对劳动力市场的影响。这里介绍的信息大部分都是通过</w:t>
      </w:r>
      <w:r>
        <w:rPr>
          <w:rFonts w:eastAsia="SimSun"/>
          <w:lang w:val="fr-FR"/>
        </w:rPr>
        <w:t>Cristina Bruschini</w:t>
      </w:r>
      <w:r>
        <w:rPr>
          <w:rFonts w:eastAsia="SimSun" w:hint="eastAsia"/>
          <w:lang w:val="fr-FR"/>
        </w:rPr>
        <w:t>在二十年的时间里以及最近在</w:t>
      </w:r>
      <w:r>
        <w:rPr>
          <w:rFonts w:eastAsia="SimSun"/>
        </w:rPr>
        <w:t>Maria Rosa Lombardi</w:t>
      </w:r>
      <w:r>
        <w:rPr>
          <w:rFonts w:eastAsia="SimSun" w:hint="eastAsia"/>
        </w:rPr>
        <w:t>参与下进行的对统计数据的广泛研究和分析中收集来的，研究和分析的结果发表在各种文章和书籍中。表中列出的数据可以在妇女工作数据库中找到（</w:t>
      </w:r>
      <w:hyperlink r:id="rId2" w:history="1">
        <w:r>
          <w:rPr>
            <w:rStyle w:val="Hyperlink"/>
            <w:rFonts w:eastAsia="SimSun"/>
          </w:rPr>
          <w:t>http://www.fcc.org.br</w:t>
        </w:r>
      </w:hyperlink>
      <w:r>
        <w:rPr>
          <w:rFonts w:eastAsia="SimSun" w:hint="eastAsia"/>
        </w:rPr>
        <w:t>）。关于立法和</w:t>
      </w:r>
      <w:r>
        <w:rPr>
          <w:rFonts w:eastAsia="SimSun" w:hint="eastAsia"/>
        </w:rPr>
        <w:t>实施措施的信息来自劳动和就业部及（司法部）全国妇女权利委员会的网站。</w:t>
      </w:r>
    </w:p>
  </w:footnote>
  <w:footnote w:id="95">
    <w:p w:rsidR="00000000" w:rsidRDefault="004D2F83">
      <w:pPr>
        <w:pStyle w:val="FootnoteText"/>
        <w:spacing w:afterLines="30" w:after="72" w:line="240" w:lineRule="auto"/>
        <w:rPr>
          <w:rFonts w:eastAsia="SimSun"/>
        </w:rPr>
      </w:pPr>
      <w:r>
        <w:rPr>
          <w:rStyle w:val="FootnoteReference"/>
          <w:rFonts w:eastAsia="SimSun"/>
        </w:rPr>
        <w:t>95</w:t>
      </w:r>
      <w:r>
        <w:rPr>
          <w:rFonts w:eastAsia="SimSun"/>
        </w:rPr>
        <w:t xml:space="preserve"> </w:t>
      </w:r>
      <w:r>
        <w:rPr>
          <w:rFonts w:eastAsia="SimSun" w:hint="eastAsia"/>
        </w:rPr>
        <w:t>阿克里、阿马帕、亚马孙、巴伊亚、戈亚斯、米纳斯吉拉斯、马拉尼昂、马托格罗索、巴拉、巴拉那、伯南布哥、皮奥伊、里约热内卢、北里约格朗德、南里约格朗德、朗多尼亚、圣卡塔林纳、圣保罗、塞尔希培和托坎廷斯等州。</w:t>
      </w:r>
    </w:p>
  </w:footnote>
  <w:footnote w:id="96">
    <w:p w:rsidR="00000000" w:rsidRDefault="004D2F83">
      <w:pPr>
        <w:pStyle w:val="FootnoteText"/>
        <w:spacing w:afterLines="30" w:after="72" w:line="240" w:lineRule="auto"/>
        <w:rPr>
          <w:rFonts w:eastAsia="SimSun"/>
        </w:rPr>
      </w:pPr>
      <w:r>
        <w:rPr>
          <w:rStyle w:val="FootnoteReference"/>
          <w:rFonts w:eastAsia="SimSun"/>
        </w:rPr>
        <w:t>96</w:t>
      </w:r>
      <w:r>
        <w:rPr>
          <w:rFonts w:eastAsia="SimSun"/>
        </w:rPr>
        <w:t xml:space="preserve"> BRUSCHINI</w:t>
      </w:r>
      <w:r>
        <w:rPr>
          <w:rFonts w:eastAsia="SimSun" w:hint="eastAsia"/>
        </w:rPr>
        <w:t>，</w:t>
      </w:r>
      <w:r>
        <w:rPr>
          <w:rFonts w:eastAsia="SimSun"/>
        </w:rPr>
        <w:t>Cristina</w:t>
      </w:r>
      <w:r>
        <w:rPr>
          <w:rFonts w:eastAsia="SimSun" w:hint="eastAsia"/>
        </w:rPr>
        <w:t>，</w:t>
      </w:r>
      <w:r>
        <w:rPr>
          <w:rFonts w:eastAsia="SimSun"/>
        </w:rPr>
        <w:t>LOMBARDI</w:t>
      </w:r>
      <w:r>
        <w:rPr>
          <w:rFonts w:eastAsia="SimSun" w:hint="eastAsia"/>
        </w:rPr>
        <w:t>，</w:t>
      </w:r>
      <w:r>
        <w:rPr>
          <w:rFonts w:eastAsia="SimSun"/>
        </w:rPr>
        <w:t>Maria R</w:t>
      </w:r>
      <w:r>
        <w:rPr>
          <w:rFonts w:eastAsia="SimSun" w:hint="eastAsia"/>
        </w:rPr>
        <w:t>，女性劳动力数据库。妇女和正规劳动力市场丛刊。卡洛斯·沙加斯基金会</w:t>
      </w:r>
      <w:r>
        <w:rPr>
          <w:rFonts w:eastAsia="SimSun" w:hint="eastAsia"/>
          <w:lang w:val="fr-FR"/>
        </w:rPr>
        <w:t>。</w:t>
      </w:r>
      <w:r>
        <w:rPr>
          <w:rFonts w:eastAsia="SimSun"/>
        </w:rPr>
        <w:t>[http://www.fcc.org.br]</w:t>
      </w:r>
      <w:r>
        <w:rPr>
          <w:rFonts w:eastAsia="SimSun"/>
        </w:rPr>
        <w:t>。</w:t>
      </w:r>
      <w:r>
        <w:rPr>
          <w:rFonts w:eastAsia="SimSun"/>
        </w:rPr>
        <w:t>1998</w:t>
      </w:r>
      <w:r>
        <w:rPr>
          <w:rFonts w:eastAsia="SimSun" w:hint="eastAsia"/>
        </w:rPr>
        <w:t>年</w:t>
      </w:r>
      <w:r>
        <w:rPr>
          <w:rFonts w:eastAsia="SimSun"/>
        </w:rPr>
        <w:t>。</w:t>
      </w:r>
      <w:r>
        <w:rPr>
          <w:rFonts w:eastAsia="SimSun"/>
        </w:rPr>
        <w:t xml:space="preserve"> </w:t>
      </w:r>
    </w:p>
  </w:footnote>
  <w:footnote w:id="97">
    <w:p w:rsidR="00000000" w:rsidRDefault="004D2F83">
      <w:pPr>
        <w:pStyle w:val="FootnoteText"/>
        <w:spacing w:afterLines="30" w:after="72" w:line="240" w:lineRule="auto"/>
        <w:rPr>
          <w:rFonts w:eastAsia="SimSun"/>
        </w:rPr>
      </w:pPr>
      <w:r>
        <w:rPr>
          <w:rStyle w:val="FootnoteReference"/>
          <w:rFonts w:eastAsia="SimSun"/>
        </w:rPr>
        <w:t>97</w:t>
      </w:r>
      <w:r>
        <w:rPr>
          <w:rFonts w:eastAsia="SimSun"/>
        </w:rPr>
        <w:t xml:space="preserve"> </w:t>
      </w:r>
      <w:r>
        <w:rPr>
          <w:rFonts w:eastAsia="SimSun" w:hint="eastAsia"/>
        </w:rPr>
        <w:t>统计和社会经济研究</w:t>
      </w:r>
      <w:r>
        <w:rPr>
          <w:rFonts w:eastAsia="SimSun" w:hint="eastAsia"/>
        </w:rPr>
        <w:t>协会间部门和州统计数据分析系统联合会每月进行的调查。</w:t>
      </w:r>
    </w:p>
  </w:footnote>
  <w:footnote w:id="98">
    <w:p w:rsidR="00000000" w:rsidRDefault="004D2F83">
      <w:pPr>
        <w:pStyle w:val="FootnoteText"/>
        <w:spacing w:afterLines="30" w:after="72" w:line="240" w:lineRule="auto"/>
        <w:rPr>
          <w:rFonts w:eastAsia="SimSun"/>
        </w:rPr>
      </w:pPr>
      <w:r>
        <w:rPr>
          <w:rStyle w:val="FootnoteReference"/>
          <w:rFonts w:eastAsia="SimSun"/>
        </w:rPr>
        <w:t>98</w:t>
      </w:r>
      <w:r>
        <w:rPr>
          <w:rFonts w:eastAsia="SimSun"/>
        </w:rPr>
        <w:t xml:space="preserve"> </w:t>
      </w:r>
      <w:r>
        <w:rPr>
          <w:rFonts w:eastAsia="SimSun" w:hint="eastAsia"/>
        </w:rPr>
        <w:t>如果使用巴西地理统计局的每月就业情况调查数据，那么</w:t>
      </w:r>
      <w:r>
        <w:rPr>
          <w:rFonts w:eastAsia="SimSun" w:hint="eastAsia"/>
        </w:rPr>
        <w:t>1994</w:t>
      </w:r>
      <w:r>
        <w:rPr>
          <w:rFonts w:eastAsia="SimSun" w:hint="eastAsia"/>
        </w:rPr>
        <w:t>年的比率会提高大约</w:t>
      </w:r>
      <w:r>
        <w:rPr>
          <w:rFonts w:eastAsia="SimSun"/>
        </w:rPr>
        <w:t>5%</w:t>
      </w:r>
      <w:r>
        <w:rPr>
          <w:rFonts w:eastAsia="SimSun" w:hint="eastAsia"/>
        </w:rPr>
        <w:t>，</w:t>
      </w:r>
      <w:r>
        <w:rPr>
          <w:rFonts w:eastAsia="SimSun" w:hint="eastAsia"/>
        </w:rPr>
        <w:t>1999</w:t>
      </w:r>
      <w:r>
        <w:rPr>
          <w:rFonts w:eastAsia="SimSun" w:hint="eastAsia"/>
        </w:rPr>
        <w:t>年则达到估计的</w:t>
      </w:r>
      <w:r>
        <w:rPr>
          <w:rFonts w:eastAsia="SimSun"/>
        </w:rPr>
        <w:t>8%</w:t>
      </w:r>
      <w:r>
        <w:rPr>
          <w:rFonts w:eastAsia="SimSun" w:hint="eastAsia"/>
        </w:rPr>
        <w:t>——估计提高</w:t>
      </w:r>
      <w:r>
        <w:rPr>
          <w:rFonts w:eastAsia="SimSun"/>
        </w:rPr>
        <w:t>60%</w:t>
      </w:r>
      <w:r>
        <w:rPr>
          <w:rFonts w:eastAsia="SimSun" w:hint="eastAsia"/>
        </w:rPr>
        <w:t>。统计和社会经济研究协会间部门和州统计数据分析系统联合会在就业和失业调查中使用的失业概念比巴西地理统计局在每月就业情况调查中使用的概念更广泛：除了象后者一样衡量显性失业率外，就业和失业调查还考虑令人灰心的和不稳定的工作所表示的隐性失业。关于在两项调查中使用的概念的其他信息见</w:t>
      </w:r>
      <w:r>
        <w:rPr>
          <w:rFonts w:eastAsia="SimSun"/>
        </w:rPr>
        <w:t>http//www.dieese.org.br</w:t>
      </w:r>
      <w:r>
        <w:rPr>
          <w:rFonts w:eastAsia="SimSun" w:hint="eastAsia"/>
        </w:rPr>
        <w:t>和</w:t>
      </w:r>
      <w:hyperlink r:id="rId3" w:history="1">
        <w:r>
          <w:rPr>
            <w:rStyle w:val="Hyperlink"/>
            <w:rFonts w:eastAsia="SimSun"/>
          </w:rPr>
          <w:t>www.ibge.gov.br</w:t>
        </w:r>
      </w:hyperlink>
      <w:r>
        <w:rPr>
          <w:rFonts w:eastAsia="SimSun" w:hint="eastAsia"/>
        </w:rPr>
        <w:t>两个网站。</w:t>
      </w:r>
    </w:p>
  </w:footnote>
  <w:footnote w:id="99">
    <w:p w:rsidR="00000000" w:rsidRDefault="004D2F83">
      <w:pPr>
        <w:pStyle w:val="FootnoteText"/>
        <w:spacing w:afterLines="30" w:after="72" w:line="240" w:lineRule="auto"/>
        <w:jc w:val="both"/>
        <w:rPr>
          <w:rFonts w:eastAsia="SimSun"/>
        </w:rPr>
      </w:pPr>
      <w:r>
        <w:rPr>
          <w:rStyle w:val="FootnoteReference"/>
          <w:rFonts w:eastAsia="SimSun"/>
        </w:rPr>
        <w:t>99</w:t>
      </w:r>
      <w:r>
        <w:rPr>
          <w:rFonts w:eastAsia="SimSun"/>
        </w:rPr>
        <w:t xml:space="preserve"> </w:t>
      </w:r>
      <w:r>
        <w:rPr>
          <w:rFonts w:eastAsia="SimSun" w:hint="eastAsia"/>
          <w:spacing w:val="2"/>
        </w:rPr>
        <w:t>人口出生率从</w:t>
      </w:r>
      <w:r>
        <w:rPr>
          <w:rFonts w:eastAsia="SimSun"/>
          <w:spacing w:val="2"/>
        </w:rPr>
        <w:t>1980</w:t>
      </w:r>
      <w:r>
        <w:rPr>
          <w:rFonts w:eastAsia="SimSun" w:hint="eastAsia"/>
          <w:spacing w:val="2"/>
        </w:rPr>
        <w:t>年的每个妇女生育</w:t>
      </w:r>
      <w:r>
        <w:rPr>
          <w:rFonts w:eastAsia="SimSun"/>
          <w:spacing w:val="2"/>
        </w:rPr>
        <w:t>4.5</w:t>
      </w:r>
      <w:r>
        <w:rPr>
          <w:rFonts w:eastAsia="SimSun" w:hint="eastAsia"/>
          <w:spacing w:val="2"/>
        </w:rPr>
        <w:t>个孩子减少至</w:t>
      </w:r>
      <w:r>
        <w:rPr>
          <w:rFonts w:eastAsia="SimSun"/>
          <w:spacing w:val="2"/>
        </w:rPr>
        <w:t>1991</w:t>
      </w:r>
      <w:r>
        <w:rPr>
          <w:rFonts w:eastAsia="SimSun" w:hint="eastAsia"/>
          <w:spacing w:val="2"/>
        </w:rPr>
        <w:t>年的</w:t>
      </w:r>
      <w:r>
        <w:rPr>
          <w:rFonts w:eastAsia="SimSun"/>
          <w:spacing w:val="2"/>
        </w:rPr>
        <w:t>2.5</w:t>
      </w:r>
      <w:r>
        <w:rPr>
          <w:rFonts w:eastAsia="SimSun" w:hint="eastAsia"/>
          <w:spacing w:val="2"/>
        </w:rPr>
        <w:t>个孩子（巴西地理统计局，</w:t>
      </w:r>
      <w:r>
        <w:rPr>
          <w:rFonts w:eastAsia="SimSun"/>
          <w:spacing w:val="2"/>
        </w:rPr>
        <w:t>1994</w:t>
      </w:r>
      <w:r>
        <w:rPr>
          <w:rFonts w:eastAsia="SimSun" w:hint="eastAsia"/>
          <w:spacing w:val="2"/>
        </w:rPr>
        <w:t>年）。《巴西统计年鉴》，</w:t>
      </w:r>
      <w:r>
        <w:rPr>
          <w:rFonts w:eastAsia="SimSun"/>
          <w:spacing w:val="2"/>
        </w:rPr>
        <w:t>1994</w:t>
      </w:r>
      <w:r>
        <w:rPr>
          <w:rFonts w:eastAsia="SimSun" w:hint="eastAsia"/>
          <w:spacing w:val="2"/>
        </w:rPr>
        <w:t>年。</w:t>
      </w:r>
      <w:r>
        <w:rPr>
          <w:rFonts w:eastAsia="SimSun"/>
          <w:spacing w:val="2"/>
        </w:rPr>
        <w:t>RJ</w:t>
      </w:r>
      <w:r>
        <w:rPr>
          <w:rFonts w:eastAsia="SimSun" w:hint="eastAsia"/>
          <w:spacing w:val="2"/>
        </w:rPr>
        <w:t>：巴西地理统计局，</w:t>
      </w:r>
      <w:r>
        <w:rPr>
          <w:rFonts w:eastAsia="SimSun"/>
          <w:spacing w:val="2"/>
        </w:rPr>
        <w:t>1994</w:t>
      </w:r>
      <w:r>
        <w:rPr>
          <w:rFonts w:eastAsia="SimSun" w:hint="eastAsia"/>
          <w:spacing w:val="2"/>
        </w:rPr>
        <w:t>年。在</w:t>
      </w:r>
      <w:r>
        <w:rPr>
          <w:rFonts w:eastAsia="SimSun"/>
          <w:spacing w:val="2"/>
        </w:rPr>
        <w:t>2000</w:t>
      </w:r>
      <w:r>
        <w:rPr>
          <w:rFonts w:eastAsia="SimSun" w:hint="eastAsia"/>
          <w:spacing w:val="2"/>
        </w:rPr>
        <w:t>年（巴西地理统计局，</w:t>
      </w:r>
      <w:r>
        <w:rPr>
          <w:rFonts w:eastAsia="SimSun"/>
          <w:spacing w:val="2"/>
        </w:rPr>
        <w:t>2000</w:t>
      </w:r>
      <w:r>
        <w:rPr>
          <w:rFonts w:eastAsia="SimSun" w:hint="eastAsia"/>
          <w:spacing w:val="2"/>
        </w:rPr>
        <w:t>年），巴西平均人口出生率降低到每个妇女生育</w:t>
      </w:r>
      <w:r>
        <w:rPr>
          <w:rFonts w:eastAsia="SimSun" w:hint="eastAsia"/>
          <w:spacing w:val="2"/>
        </w:rPr>
        <w:t>2</w:t>
      </w:r>
      <w:r>
        <w:rPr>
          <w:rFonts w:eastAsia="SimSun"/>
          <w:spacing w:val="2"/>
        </w:rPr>
        <w:t>.</w:t>
      </w:r>
      <w:r>
        <w:rPr>
          <w:rFonts w:eastAsia="SimSun" w:hint="eastAsia"/>
          <w:spacing w:val="2"/>
        </w:rPr>
        <w:t>3</w:t>
      </w:r>
      <w:r>
        <w:rPr>
          <w:rFonts w:eastAsia="SimSun"/>
          <w:spacing w:val="2"/>
        </w:rPr>
        <w:t>3</w:t>
      </w:r>
      <w:r>
        <w:rPr>
          <w:rFonts w:eastAsia="SimSun" w:hint="eastAsia"/>
          <w:spacing w:val="2"/>
        </w:rPr>
        <w:t>个孩子。随着人口出生率和死亡率的降低，巴西人口正在进入老龄化结构：根据</w:t>
      </w:r>
      <w:r>
        <w:rPr>
          <w:rFonts w:eastAsia="SimSun"/>
          <w:spacing w:val="2"/>
        </w:rPr>
        <w:t>1991</w:t>
      </w:r>
      <w:r>
        <w:rPr>
          <w:rFonts w:eastAsia="SimSun" w:hint="eastAsia"/>
          <w:spacing w:val="2"/>
        </w:rPr>
        <w:t>年人口普查，平均年龄从</w:t>
      </w:r>
      <w:r>
        <w:rPr>
          <w:rFonts w:eastAsia="SimSun"/>
          <w:spacing w:val="2"/>
        </w:rPr>
        <w:t>21.7</w:t>
      </w:r>
      <w:r>
        <w:rPr>
          <w:rFonts w:eastAsia="SimSun" w:hint="eastAsia"/>
          <w:spacing w:val="2"/>
        </w:rPr>
        <w:t>岁上升到了</w:t>
      </w:r>
      <w:r>
        <w:rPr>
          <w:rFonts w:eastAsia="SimSun"/>
          <w:spacing w:val="2"/>
        </w:rPr>
        <w:t>200</w:t>
      </w:r>
      <w:r>
        <w:rPr>
          <w:rFonts w:eastAsia="SimSun"/>
          <w:spacing w:val="2"/>
        </w:rPr>
        <w:t>0</w:t>
      </w:r>
      <w:r>
        <w:rPr>
          <w:rFonts w:eastAsia="SimSun" w:hint="eastAsia"/>
          <w:spacing w:val="2"/>
        </w:rPr>
        <w:t>年的</w:t>
      </w:r>
      <w:r>
        <w:rPr>
          <w:rFonts w:eastAsia="SimSun"/>
          <w:spacing w:val="2"/>
        </w:rPr>
        <w:t>24.2</w:t>
      </w:r>
      <w:r>
        <w:rPr>
          <w:rFonts w:eastAsia="SimSun" w:hint="eastAsia"/>
          <w:spacing w:val="2"/>
        </w:rPr>
        <w:t>岁。历史数据系列表明总人口出生率降低了，不过不同地区和年龄段降低的幅度不同。妇女开始生育的平均年龄是</w:t>
      </w:r>
      <w:r>
        <w:rPr>
          <w:rFonts w:eastAsia="SimSun"/>
          <w:spacing w:val="2"/>
        </w:rPr>
        <w:t>22</w:t>
      </w:r>
      <w:r>
        <w:rPr>
          <w:rFonts w:eastAsia="SimSun" w:hint="eastAsia"/>
          <w:spacing w:val="2"/>
        </w:rPr>
        <w:t>岁，</w:t>
      </w:r>
      <w:r>
        <w:rPr>
          <w:rFonts w:eastAsia="SimSun"/>
          <w:spacing w:val="2"/>
        </w:rPr>
        <w:t>20-24</w:t>
      </w:r>
      <w:r>
        <w:rPr>
          <w:rFonts w:eastAsia="SimSun" w:hint="eastAsia"/>
          <w:spacing w:val="2"/>
        </w:rPr>
        <w:t>岁年龄组的生育比率较高：城市地区为</w:t>
      </w:r>
      <w:r>
        <w:rPr>
          <w:rFonts w:eastAsia="SimSun"/>
          <w:spacing w:val="2"/>
        </w:rPr>
        <w:t>30%</w:t>
      </w:r>
      <w:r>
        <w:rPr>
          <w:rFonts w:eastAsia="SimSun" w:hint="eastAsia"/>
          <w:spacing w:val="2"/>
        </w:rPr>
        <w:t>，农村地区为</w:t>
      </w:r>
      <w:r>
        <w:rPr>
          <w:rFonts w:eastAsia="SimSun"/>
          <w:spacing w:val="2"/>
        </w:rPr>
        <w:t>27%</w:t>
      </w:r>
      <w:r>
        <w:rPr>
          <w:rFonts w:eastAsia="SimSun" w:hint="eastAsia"/>
          <w:spacing w:val="2"/>
        </w:rPr>
        <w:t>。人口出生率因受教育水平不同而有很大差异。例如，在完全没有受过教育的妇女中人口出生率达到</w:t>
      </w:r>
      <w:r>
        <w:rPr>
          <w:rFonts w:eastAsia="SimSun"/>
          <w:spacing w:val="2"/>
        </w:rPr>
        <w:t>5.0</w:t>
      </w:r>
      <w:r>
        <w:rPr>
          <w:rFonts w:eastAsia="SimSun" w:hint="eastAsia"/>
          <w:spacing w:val="2"/>
        </w:rPr>
        <w:t>，而在受过</w:t>
      </w:r>
      <w:r>
        <w:rPr>
          <w:rFonts w:eastAsia="SimSun"/>
          <w:spacing w:val="2"/>
        </w:rPr>
        <w:t>12</w:t>
      </w:r>
      <w:r>
        <w:rPr>
          <w:rFonts w:eastAsia="SimSun" w:hint="eastAsia"/>
          <w:spacing w:val="2"/>
        </w:rPr>
        <w:t>年以上学校教育的妇女中，人口出生率为</w:t>
      </w:r>
      <w:r>
        <w:rPr>
          <w:rFonts w:eastAsia="SimSun"/>
          <w:spacing w:val="2"/>
        </w:rPr>
        <w:t>1.5</w:t>
      </w:r>
      <w:r>
        <w:rPr>
          <w:rFonts w:eastAsia="SimSun" w:hint="eastAsia"/>
          <w:spacing w:val="2"/>
        </w:rPr>
        <w:t>（</w:t>
      </w:r>
      <w:r>
        <w:rPr>
          <w:rFonts w:eastAsia="SimSun"/>
          <w:spacing w:val="2"/>
        </w:rPr>
        <w:t>BEMFAM</w:t>
      </w:r>
      <w:r>
        <w:rPr>
          <w:rFonts w:eastAsia="SimSun" w:hint="eastAsia"/>
          <w:spacing w:val="2"/>
        </w:rPr>
        <w:t>，</w:t>
      </w:r>
      <w:r>
        <w:rPr>
          <w:rFonts w:eastAsia="SimSun"/>
          <w:spacing w:val="2"/>
        </w:rPr>
        <w:t>PNDS</w:t>
      </w:r>
      <w:r>
        <w:rPr>
          <w:rFonts w:eastAsia="SimSun" w:hint="eastAsia"/>
          <w:spacing w:val="2"/>
        </w:rPr>
        <w:t>，</w:t>
      </w:r>
      <w:r>
        <w:rPr>
          <w:rFonts w:eastAsia="SimSun"/>
          <w:spacing w:val="2"/>
        </w:rPr>
        <w:t>1996</w:t>
      </w:r>
      <w:r>
        <w:rPr>
          <w:rFonts w:eastAsia="SimSun" w:hint="eastAsia"/>
          <w:spacing w:val="2"/>
        </w:rPr>
        <w:t>）。鉴于人口老龄化的趋势，有必要制订旨在避免老年人受到社会排斥的政府政策。</w:t>
      </w:r>
    </w:p>
  </w:footnote>
  <w:footnote w:id="100">
    <w:p w:rsidR="00000000" w:rsidRDefault="004D2F83">
      <w:pPr>
        <w:pStyle w:val="FootnoteText"/>
        <w:spacing w:afterLines="30" w:after="72" w:line="240" w:lineRule="auto"/>
        <w:rPr>
          <w:rFonts w:eastAsia="SimSun"/>
        </w:rPr>
      </w:pPr>
      <w:r>
        <w:rPr>
          <w:rStyle w:val="FootnoteReference"/>
          <w:rFonts w:eastAsia="SimSun"/>
        </w:rPr>
        <w:t>100</w:t>
      </w:r>
      <w:r>
        <w:rPr>
          <w:rFonts w:eastAsia="SimSun"/>
        </w:rPr>
        <w:t xml:space="preserve"> </w:t>
      </w:r>
      <w:r>
        <w:rPr>
          <w:rFonts w:eastAsia="SimSun" w:hint="eastAsia"/>
        </w:rPr>
        <w:t>另见</w:t>
      </w:r>
      <w:r>
        <w:rPr>
          <w:rFonts w:eastAsia="SimSun"/>
        </w:rPr>
        <w:t>Bruschini</w:t>
      </w:r>
      <w:r>
        <w:rPr>
          <w:rFonts w:eastAsia="SimSun" w:hint="eastAsia"/>
        </w:rPr>
        <w:t>，</w:t>
      </w:r>
      <w:r>
        <w:rPr>
          <w:rFonts w:eastAsia="SimSun"/>
        </w:rPr>
        <w:t>1998</w:t>
      </w:r>
      <w:r>
        <w:rPr>
          <w:rFonts w:eastAsia="SimSun" w:hint="eastAsia"/>
        </w:rPr>
        <w:t>年；</w:t>
      </w:r>
      <w:r>
        <w:rPr>
          <w:rFonts w:eastAsia="SimSun"/>
        </w:rPr>
        <w:t>Bruschini</w:t>
      </w:r>
      <w:r>
        <w:rPr>
          <w:rFonts w:eastAsia="SimSun" w:hint="eastAsia"/>
        </w:rPr>
        <w:t>和</w:t>
      </w:r>
      <w:r>
        <w:rPr>
          <w:rFonts w:eastAsia="SimSun"/>
        </w:rPr>
        <w:t>Lombardi</w:t>
      </w:r>
      <w:r>
        <w:rPr>
          <w:rFonts w:eastAsia="SimSun" w:hint="eastAsia"/>
        </w:rPr>
        <w:t>，</w:t>
      </w:r>
      <w:r>
        <w:rPr>
          <w:rFonts w:eastAsia="SimSun"/>
        </w:rPr>
        <w:t>2000</w:t>
      </w:r>
      <w:r>
        <w:rPr>
          <w:rFonts w:eastAsia="SimSun" w:hint="eastAsia"/>
        </w:rPr>
        <w:t>年。</w:t>
      </w:r>
    </w:p>
  </w:footnote>
  <w:footnote w:id="101">
    <w:p w:rsidR="00000000" w:rsidRDefault="004D2F83">
      <w:pPr>
        <w:pStyle w:val="FootnoteText"/>
        <w:spacing w:afterLines="30" w:after="72" w:line="240" w:lineRule="auto"/>
        <w:rPr>
          <w:rFonts w:eastAsia="SimSun"/>
        </w:rPr>
      </w:pPr>
      <w:r>
        <w:rPr>
          <w:rStyle w:val="FootnoteReference"/>
          <w:rFonts w:eastAsia="SimSun"/>
        </w:rPr>
        <w:t>101</w:t>
      </w:r>
      <w:r>
        <w:rPr>
          <w:rFonts w:eastAsia="SimSun"/>
        </w:rPr>
        <w:t xml:space="preserve"> </w:t>
      </w:r>
      <w:r>
        <w:rPr>
          <w:rFonts w:eastAsia="SimSun" w:hint="eastAsia"/>
        </w:rPr>
        <w:t>自</w:t>
      </w:r>
      <w:r>
        <w:rPr>
          <w:rFonts w:eastAsia="SimSun"/>
        </w:rPr>
        <w:t>1992</w:t>
      </w:r>
      <w:r>
        <w:rPr>
          <w:rFonts w:eastAsia="SimSun" w:hint="eastAsia"/>
        </w:rPr>
        <w:t>年起在全国住户抽样调查中引入了佣仆这个类别，指的是有报酬的劳动，而不是家庭妇女从事的家务劳动，这类劳动在调查中被列为非经济活动。</w:t>
      </w:r>
    </w:p>
  </w:footnote>
  <w:footnote w:id="102">
    <w:p w:rsidR="00000000" w:rsidRDefault="004D2F83">
      <w:pPr>
        <w:pStyle w:val="FootnoteText"/>
        <w:spacing w:afterLines="30" w:after="72" w:line="240" w:lineRule="auto"/>
        <w:rPr>
          <w:rFonts w:eastAsia="SimSun"/>
        </w:rPr>
      </w:pPr>
      <w:r>
        <w:rPr>
          <w:rStyle w:val="FootnoteReference"/>
          <w:rFonts w:eastAsia="SimSun"/>
        </w:rPr>
        <w:t>102</w:t>
      </w:r>
      <w:r>
        <w:rPr>
          <w:rFonts w:eastAsia="SimSun"/>
        </w:rPr>
        <w:t xml:space="preserve"> 2002</w:t>
      </w:r>
      <w:r>
        <w:rPr>
          <w:rFonts w:eastAsia="SimSun" w:hint="eastAsia"/>
        </w:rPr>
        <w:t>年</w:t>
      </w:r>
      <w:r>
        <w:rPr>
          <w:rFonts w:eastAsia="SimSun"/>
        </w:rPr>
        <w:t>6</w:t>
      </w:r>
      <w:r>
        <w:rPr>
          <w:rFonts w:eastAsia="SimSun" w:hint="eastAsia"/>
        </w:rPr>
        <w:t>月，巴西的最低工作相当于</w:t>
      </w:r>
      <w:r>
        <w:rPr>
          <w:rFonts w:eastAsia="SimSun"/>
        </w:rPr>
        <w:t>200.00</w:t>
      </w:r>
      <w:r>
        <w:rPr>
          <w:rFonts w:eastAsia="SimSun" w:hint="eastAsia"/>
        </w:rPr>
        <w:t>雷业尔或约</w:t>
      </w:r>
      <w:r>
        <w:rPr>
          <w:rFonts w:eastAsia="SimSun"/>
        </w:rPr>
        <w:t>75.00</w:t>
      </w:r>
      <w:r>
        <w:rPr>
          <w:rFonts w:eastAsia="SimSun" w:hint="eastAsia"/>
        </w:rPr>
        <w:t>美元。</w:t>
      </w:r>
    </w:p>
  </w:footnote>
  <w:footnote w:id="103">
    <w:p w:rsidR="00000000" w:rsidRDefault="004D2F83">
      <w:pPr>
        <w:pStyle w:val="FootnoteText"/>
        <w:spacing w:afterLines="30" w:after="72" w:line="240" w:lineRule="auto"/>
        <w:rPr>
          <w:rFonts w:eastAsia="SimSun"/>
        </w:rPr>
      </w:pPr>
      <w:r>
        <w:rPr>
          <w:rStyle w:val="FootnoteReference"/>
          <w:rFonts w:eastAsia="SimSun"/>
        </w:rPr>
        <w:t>103</w:t>
      </w:r>
      <w:r>
        <w:rPr>
          <w:rFonts w:eastAsia="SimSun"/>
        </w:rPr>
        <w:t xml:space="preserve"> </w:t>
      </w:r>
      <w:r>
        <w:rPr>
          <w:rFonts w:eastAsia="SimSun" w:hint="eastAsia"/>
        </w:rPr>
        <w:t>州数据分析系统基金会</w:t>
      </w:r>
      <w:r>
        <w:rPr>
          <w:rFonts w:eastAsia="SimSun"/>
        </w:rPr>
        <w:t>/</w:t>
      </w:r>
      <w:r>
        <w:rPr>
          <w:rFonts w:eastAsia="SimSun" w:hint="eastAsia"/>
        </w:rPr>
        <w:t>州数据分析系统，《妇女与工作——寻求社会平等，圣保罗：州数据分析系统基金会，第</w:t>
      </w:r>
      <w:r>
        <w:rPr>
          <w:rFonts w:eastAsia="SimSun"/>
        </w:rPr>
        <w:t>3</w:t>
      </w:r>
      <w:r>
        <w:rPr>
          <w:rFonts w:eastAsia="SimSun" w:hint="eastAsia"/>
        </w:rPr>
        <w:t>期，</w:t>
      </w:r>
      <w:r>
        <w:rPr>
          <w:rFonts w:eastAsia="SimSun"/>
        </w:rPr>
        <w:t>2001</w:t>
      </w:r>
      <w:r>
        <w:rPr>
          <w:rFonts w:eastAsia="SimSun" w:hint="eastAsia"/>
        </w:rPr>
        <w:t>年</w:t>
      </w:r>
      <w:r>
        <w:rPr>
          <w:rFonts w:eastAsia="SimSun"/>
        </w:rPr>
        <w:t>3</w:t>
      </w:r>
      <w:r>
        <w:rPr>
          <w:rFonts w:eastAsia="SimSun" w:hint="eastAsia"/>
        </w:rPr>
        <w:t>月；</w:t>
      </w:r>
      <w:r>
        <w:rPr>
          <w:rFonts w:eastAsia="SimSun"/>
        </w:rPr>
        <w:t>AMB/</w:t>
      </w:r>
      <w:r>
        <w:rPr>
          <w:rFonts w:eastAsia="SimSun" w:hint="eastAsia"/>
        </w:rPr>
        <w:t>巴西妇女动员运动，</w:t>
      </w:r>
      <w:r>
        <w:rPr>
          <w:rFonts w:eastAsia="SimSun"/>
        </w:rPr>
        <w:t>CFEMEA/</w:t>
      </w:r>
      <w:r>
        <w:rPr>
          <w:rFonts w:eastAsia="SimSun" w:hint="eastAsia"/>
        </w:rPr>
        <w:t>女权运动研究和咨询中心，《黑人妇女——巴西种族歧视一瞥》，巴西利亚：</w:t>
      </w:r>
      <w:r>
        <w:rPr>
          <w:rFonts w:eastAsia="SimSun"/>
        </w:rPr>
        <w:t>CFEM</w:t>
      </w:r>
      <w:r>
        <w:rPr>
          <w:rFonts w:eastAsia="SimSun"/>
        </w:rPr>
        <w:t>EA</w:t>
      </w:r>
      <w:r>
        <w:rPr>
          <w:rFonts w:eastAsia="SimSun" w:hint="eastAsia"/>
        </w:rPr>
        <w:t>、</w:t>
      </w:r>
      <w:r>
        <w:rPr>
          <w:rFonts w:eastAsia="SimSun"/>
        </w:rPr>
        <w:t>AMB</w:t>
      </w:r>
      <w:r>
        <w:rPr>
          <w:rFonts w:eastAsia="SimSun" w:hint="eastAsia"/>
        </w:rPr>
        <w:t>，</w:t>
      </w:r>
      <w:r>
        <w:rPr>
          <w:rFonts w:eastAsia="SimSun"/>
        </w:rPr>
        <w:t>2001</w:t>
      </w:r>
      <w:r>
        <w:rPr>
          <w:rFonts w:eastAsia="SimSun" w:hint="eastAsia"/>
        </w:rPr>
        <w:t>年；</w:t>
      </w:r>
      <w:r>
        <w:rPr>
          <w:rFonts w:eastAsia="SimSun"/>
        </w:rPr>
        <w:t>IPEA/</w:t>
      </w:r>
      <w:r>
        <w:rPr>
          <w:rFonts w:eastAsia="SimSun" w:hint="eastAsia"/>
        </w:rPr>
        <w:t>应用经济研究所——《劳动力市场——状况与分析》，巴西利亚，里约热内卢：劳动部，应用经济研究所，第</w:t>
      </w:r>
      <w:r>
        <w:rPr>
          <w:rFonts w:eastAsia="SimSun"/>
        </w:rPr>
        <w:t>13</w:t>
      </w:r>
      <w:r>
        <w:rPr>
          <w:rFonts w:eastAsia="SimSun" w:hint="eastAsia"/>
        </w:rPr>
        <w:t>期，第五年，</w:t>
      </w:r>
      <w:r>
        <w:rPr>
          <w:rFonts w:eastAsia="SimSun"/>
        </w:rPr>
        <w:t>2000</w:t>
      </w:r>
      <w:r>
        <w:rPr>
          <w:rFonts w:eastAsia="SimSun" w:hint="eastAsia"/>
        </w:rPr>
        <w:t>年</w:t>
      </w:r>
      <w:r>
        <w:rPr>
          <w:rFonts w:eastAsia="SimSun"/>
        </w:rPr>
        <w:t>6</w:t>
      </w:r>
      <w:r>
        <w:rPr>
          <w:rFonts w:eastAsia="SimSun" w:hint="eastAsia"/>
        </w:rPr>
        <w:t>月。</w:t>
      </w:r>
    </w:p>
  </w:footnote>
  <w:footnote w:id="104">
    <w:p w:rsidR="00000000" w:rsidRDefault="004D2F83">
      <w:pPr>
        <w:pStyle w:val="FootnoteText"/>
        <w:spacing w:afterLines="30" w:after="72" w:line="240" w:lineRule="auto"/>
        <w:rPr>
          <w:rFonts w:eastAsia="SimSun"/>
        </w:rPr>
      </w:pPr>
      <w:r>
        <w:rPr>
          <w:rStyle w:val="FootnoteReference"/>
          <w:rFonts w:eastAsia="SimSun"/>
        </w:rPr>
        <w:t>104</w:t>
      </w:r>
      <w:r>
        <w:rPr>
          <w:rFonts w:eastAsia="SimSun" w:hint="eastAsia"/>
        </w:rPr>
        <w:t>州数据分析系统，同上，第</w:t>
      </w:r>
      <w:r>
        <w:rPr>
          <w:rFonts w:eastAsia="SimSun"/>
        </w:rPr>
        <w:t>21</w:t>
      </w:r>
      <w:r>
        <w:rPr>
          <w:rFonts w:eastAsia="SimSun" w:hint="eastAsia"/>
        </w:rPr>
        <w:t>页。</w:t>
      </w:r>
    </w:p>
  </w:footnote>
  <w:footnote w:id="105">
    <w:p w:rsidR="00000000" w:rsidRDefault="004D2F83">
      <w:pPr>
        <w:pStyle w:val="FootnoteText"/>
        <w:spacing w:afterLines="30" w:after="72" w:line="240" w:lineRule="auto"/>
        <w:rPr>
          <w:rFonts w:eastAsia="SimSun"/>
        </w:rPr>
      </w:pPr>
      <w:r>
        <w:rPr>
          <w:rStyle w:val="FootnoteReference"/>
          <w:rFonts w:eastAsia="SimSun"/>
        </w:rPr>
        <w:t>105</w:t>
      </w:r>
      <w:r>
        <w:rPr>
          <w:rFonts w:eastAsia="SimSun"/>
        </w:rPr>
        <w:t xml:space="preserve"> </w:t>
      </w:r>
      <w:r>
        <w:rPr>
          <w:rFonts w:eastAsia="SimSun" w:hint="eastAsia"/>
        </w:rPr>
        <w:t>通过第</w:t>
      </w:r>
      <w:r>
        <w:rPr>
          <w:rFonts w:eastAsia="SimSun"/>
        </w:rPr>
        <w:t>1.928/99</w:t>
      </w:r>
      <w:r>
        <w:rPr>
          <w:rFonts w:eastAsia="SimSun" w:hint="eastAsia"/>
        </w:rPr>
        <w:t>号暂行法，联邦政府成立了旨在促进维护保健方面公共利益的辅助性全国卫生机构。</w:t>
      </w:r>
    </w:p>
  </w:footnote>
  <w:footnote w:id="106">
    <w:p w:rsidR="00000000" w:rsidRDefault="004D2F83">
      <w:pPr>
        <w:pStyle w:val="FootnoteText"/>
        <w:spacing w:afterLines="30" w:after="72" w:line="240" w:lineRule="auto"/>
        <w:rPr>
          <w:rFonts w:eastAsia="SimSun"/>
        </w:rPr>
      </w:pPr>
      <w:r>
        <w:rPr>
          <w:rStyle w:val="FootnoteReference"/>
          <w:rFonts w:eastAsia="SimSun"/>
        </w:rPr>
        <w:t>106</w:t>
      </w:r>
      <w:r>
        <w:rPr>
          <w:rFonts w:eastAsia="SimSun"/>
        </w:rPr>
        <w:t xml:space="preserve"> </w:t>
      </w:r>
      <w:r>
        <w:rPr>
          <w:rFonts w:eastAsia="SimSun" w:hint="eastAsia"/>
        </w:rPr>
        <w:t>共和国总统否决了以下条款：第</w:t>
      </w:r>
      <w:r>
        <w:rPr>
          <w:rFonts w:eastAsia="SimSun"/>
        </w:rPr>
        <w:t>10</w:t>
      </w:r>
      <w:r>
        <w:rPr>
          <w:rFonts w:eastAsia="SimSun" w:hint="eastAsia"/>
        </w:rPr>
        <w:t>条；第</w:t>
      </w:r>
      <w:r>
        <w:rPr>
          <w:rFonts w:eastAsia="SimSun"/>
        </w:rPr>
        <w:t>11</w:t>
      </w:r>
      <w:r>
        <w:rPr>
          <w:rFonts w:eastAsia="SimSun" w:hint="eastAsia"/>
        </w:rPr>
        <w:t>条；第</w:t>
      </w:r>
      <w:r>
        <w:rPr>
          <w:rFonts w:eastAsia="SimSun"/>
        </w:rPr>
        <w:t>14</w:t>
      </w:r>
      <w:r>
        <w:rPr>
          <w:rFonts w:eastAsia="SimSun" w:hint="eastAsia"/>
        </w:rPr>
        <w:t>条单立款；和第</w:t>
      </w:r>
      <w:r>
        <w:rPr>
          <w:rFonts w:eastAsia="SimSun"/>
        </w:rPr>
        <w:t>15</w:t>
      </w:r>
      <w:r>
        <w:rPr>
          <w:rFonts w:eastAsia="SimSun" w:hint="eastAsia"/>
        </w:rPr>
        <w:t>条，所有这些条款都规定了绝育手术。</w:t>
      </w:r>
    </w:p>
  </w:footnote>
  <w:footnote w:id="107">
    <w:p w:rsidR="00000000" w:rsidRDefault="004D2F83">
      <w:pPr>
        <w:pStyle w:val="FootnoteText"/>
        <w:spacing w:afterLines="30" w:after="72" w:line="240" w:lineRule="auto"/>
        <w:rPr>
          <w:rFonts w:eastAsia="SimSun"/>
        </w:rPr>
      </w:pPr>
      <w:r>
        <w:rPr>
          <w:rStyle w:val="FootnoteReference"/>
          <w:rFonts w:eastAsia="SimSun"/>
        </w:rPr>
        <w:t>107</w:t>
      </w:r>
      <w:r>
        <w:rPr>
          <w:rFonts w:eastAsia="SimSun"/>
        </w:rPr>
        <w:t xml:space="preserve"> </w:t>
      </w:r>
      <w:r>
        <w:rPr>
          <w:rFonts w:eastAsia="SimSun" w:hint="eastAsia"/>
        </w:rPr>
        <w:t>阿克里、阿马帕、巴伊亚、塞阿拉、戈亚斯、南马托格罗索、巴拉那、里约热内卢、圣保</w:t>
      </w:r>
      <w:r>
        <w:rPr>
          <w:rFonts w:eastAsia="SimSun" w:hint="eastAsia"/>
        </w:rPr>
        <w:t>罗和托坎廷斯等州。</w:t>
      </w:r>
    </w:p>
  </w:footnote>
  <w:footnote w:id="108">
    <w:p w:rsidR="00000000" w:rsidRDefault="004D2F83">
      <w:pPr>
        <w:pStyle w:val="FootnoteText"/>
        <w:spacing w:afterLines="30" w:after="72" w:line="240" w:lineRule="auto"/>
        <w:rPr>
          <w:rFonts w:eastAsia="SimSun"/>
        </w:rPr>
      </w:pPr>
      <w:r>
        <w:rPr>
          <w:rStyle w:val="FootnoteReference"/>
          <w:rFonts w:eastAsia="SimSun"/>
        </w:rPr>
        <w:t>108</w:t>
      </w:r>
      <w:r>
        <w:rPr>
          <w:rFonts w:eastAsia="SimSun"/>
        </w:rPr>
        <w:t xml:space="preserve"> </w:t>
      </w:r>
      <w:r>
        <w:rPr>
          <w:rFonts w:eastAsia="SimSun" w:hint="eastAsia"/>
        </w:rPr>
        <w:t>阿马帕、亚马孙、巴伊亚、塞阿拉、圣埃斯皮里托、戈亚斯、马拉尼昂、南马托格罗索、巴拉、巴拉那、帕拉伊巴、伯南布哥、里约热内卢、北里越格朗德、南里越格朗德、圣卡塔林纳、圣保罗和托坎廷斯等州。</w:t>
      </w:r>
    </w:p>
  </w:footnote>
  <w:footnote w:id="109">
    <w:p w:rsidR="00000000" w:rsidRDefault="004D2F83">
      <w:pPr>
        <w:pStyle w:val="FootnoteText"/>
        <w:spacing w:afterLines="30" w:after="72" w:line="240" w:lineRule="auto"/>
        <w:rPr>
          <w:rFonts w:eastAsia="SimSun"/>
        </w:rPr>
      </w:pPr>
      <w:r>
        <w:rPr>
          <w:rStyle w:val="FootnoteReference"/>
          <w:rFonts w:eastAsia="SimSun"/>
        </w:rPr>
        <w:t>109</w:t>
      </w:r>
      <w:r>
        <w:rPr>
          <w:rFonts w:eastAsia="SimSun"/>
        </w:rPr>
        <w:t xml:space="preserve"> </w:t>
      </w:r>
      <w:r>
        <w:rPr>
          <w:rFonts w:eastAsia="SimSun" w:hint="eastAsia"/>
        </w:rPr>
        <w:t>巴伊亚、塞阿拉、圣埃斯皮里托、南马托格罗索、伯南布哥、北里越格朗德、南里越格朗德、圣卡塔林纳等州和联邦区。</w:t>
      </w:r>
    </w:p>
  </w:footnote>
  <w:footnote w:id="110">
    <w:p w:rsidR="00000000" w:rsidRDefault="004D2F83">
      <w:pPr>
        <w:pStyle w:val="FootnoteText"/>
        <w:spacing w:afterLines="30" w:after="72" w:line="240" w:lineRule="auto"/>
        <w:rPr>
          <w:rFonts w:eastAsia="SimSun"/>
          <w:lang w:val="fr-FR"/>
        </w:rPr>
      </w:pPr>
      <w:r>
        <w:rPr>
          <w:rStyle w:val="FootnoteReference"/>
          <w:rFonts w:eastAsia="SimSun"/>
        </w:rPr>
        <w:t>110</w:t>
      </w:r>
      <w:r>
        <w:rPr>
          <w:rFonts w:eastAsia="SimSun"/>
        </w:rPr>
        <w:t xml:space="preserve"> </w:t>
      </w:r>
      <w:r>
        <w:rPr>
          <w:rFonts w:eastAsia="SimSun" w:hint="eastAsia"/>
        </w:rPr>
        <w:t>公民与生育委员会公布的最后报告，补编</w:t>
      </w:r>
      <w:r>
        <w:rPr>
          <w:rFonts w:eastAsia="SimSun"/>
        </w:rPr>
        <w:t>CCR2</w:t>
      </w:r>
      <w:r>
        <w:rPr>
          <w:rFonts w:eastAsia="SimSun" w:hint="eastAsia"/>
        </w:rPr>
        <w:t>，作为</w:t>
      </w:r>
      <w:r>
        <w:rPr>
          <w:rFonts w:eastAsia="SimSun"/>
          <w:lang w:val="fr-FR"/>
        </w:rPr>
        <w:t>Silviq Pi</w:t>
      </w:r>
      <w:r>
        <w:rPr>
          <w:rFonts w:eastAsia="SimSun"/>
        </w:rPr>
        <w:t>m</w:t>
      </w:r>
      <w:r>
        <w:rPr>
          <w:rFonts w:eastAsia="SimSun"/>
          <w:lang w:val="fr-FR"/>
        </w:rPr>
        <w:t>entel</w:t>
      </w:r>
      <w:r>
        <w:rPr>
          <w:rFonts w:eastAsia="SimSun" w:hint="eastAsia"/>
          <w:lang w:val="fr-FR"/>
        </w:rPr>
        <w:t>关于《生育权利和巴西法律制度：对政治</w:t>
      </w:r>
      <w:r>
        <w:rPr>
          <w:rFonts w:eastAsia="SimSun"/>
          <w:lang w:val="fr-FR"/>
        </w:rPr>
        <w:t>-</w:t>
      </w:r>
      <w:r>
        <w:rPr>
          <w:rFonts w:eastAsia="SimSun" w:hint="eastAsia"/>
          <w:lang w:val="fr-FR"/>
        </w:rPr>
        <w:t>法律转化行动的投入》的研究的附录，</w:t>
      </w:r>
      <w:r>
        <w:rPr>
          <w:rFonts w:eastAsia="SimSun"/>
          <w:lang w:val="fr-FR"/>
        </w:rPr>
        <w:t>1993</w:t>
      </w:r>
      <w:r>
        <w:rPr>
          <w:rFonts w:eastAsia="SimSun" w:hint="eastAsia"/>
          <w:lang w:val="fr-FR"/>
        </w:rPr>
        <w:t>年，第</w:t>
      </w:r>
      <w:r>
        <w:rPr>
          <w:rFonts w:eastAsia="SimSun"/>
          <w:lang w:val="fr-FR"/>
        </w:rPr>
        <w:t>96-</w:t>
      </w:r>
      <w:r>
        <w:rPr>
          <w:rFonts w:eastAsia="SimSun"/>
          <w:lang w:val="fr-FR"/>
        </w:rPr>
        <w:t>111</w:t>
      </w:r>
      <w:r>
        <w:rPr>
          <w:rFonts w:eastAsia="SimSun" w:hint="eastAsia"/>
          <w:lang w:val="fr-FR"/>
        </w:rPr>
        <w:t>页。</w:t>
      </w:r>
    </w:p>
  </w:footnote>
  <w:footnote w:id="111">
    <w:p w:rsidR="00000000" w:rsidRDefault="004D2F83">
      <w:pPr>
        <w:pStyle w:val="FootnoteText"/>
        <w:spacing w:afterLines="30" w:after="72" w:line="240" w:lineRule="auto"/>
        <w:rPr>
          <w:rFonts w:eastAsia="SimSun"/>
        </w:rPr>
      </w:pPr>
      <w:r>
        <w:rPr>
          <w:rStyle w:val="FootnoteReference"/>
          <w:rFonts w:eastAsia="SimSun"/>
        </w:rPr>
        <w:t>111</w:t>
      </w:r>
      <w:r>
        <w:rPr>
          <w:rFonts w:eastAsia="SimSun"/>
        </w:rPr>
        <w:t xml:space="preserve"> </w:t>
      </w:r>
      <w:r>
        <w:rPr>
          <w:rFonts w:eastAsia="SimSun" w:hint="eastAsia"/>
        </w:rPr>
        <w:t>根据巴西地理统计局的数据，到</w:t>
      </w:r>
      <w:r>
        <w:rPr>
          <w:rFonts w:eastAsia="SimSun"/>
        </w:rPr>
        <w:t>1986</w:t>
      </w:r>
      <w:r>
        <w:rPr>
          <w:rFonts w:eastAsia="SimSun" w:hint="eastAsia"/>
        </w:rPr>
        <w:t>年，有</w:t>
      </w:r>
      <w:r>
        <w:rPr>
          <w:rFonts w:eastAsia="SimSun"/>
        </w:rPr>
        <w:t>5 900 238</w:t>
      </w:r>
      <w:r>
        <w:rPr>
          <w:rFonts w:eastAsia="SimSun" w:hint="eastAsia"/>
        </w:rPr>
        <w:t>名巴西妇女做过绝育手术。这个数字占</w:t>
      </w:r>
      <w:r>
        <w:rPr>
          <w:rFonts w:eastAsia="SimSun"/>
        </w:rPr>
        <w:t>15-54</w:t>
      </w:r>
      <w:r>
        <w:rPr>
          <w:rFonts w:eastAsia="SimSun" w:hint="eastAsia"/>
        </w:rPr>
        <w:t>岁年龄段所有妇女的</w:t>
      </w:r>
      <w:r>
        <w:rPr>
          <w:rFonts w:eastAsia="SimSun"/>
        </w:rPr>
        <w:t>13.8%</w:t>
      </w:r>
      <w:r>
        <w:rPr>
          <w:rFonts w:eastAsia="SimSun" w:hint="eastAsia"/>
        </w:rPr>
        <w:t>。</w:t>
      </w:r>
    </w:p>
  </w:footnote>
  <w:footnote w:id="112">
    <w:p w:rsidR="00000000" w:rsidRDefault="004D2F83">
      <w:pPr>
        <w:pStyle w:val="FootnoteText"/>
        <w:spacing w:afterLines="30" w:after="72" w:line="240" w:lineRule="auto"/>
        <w:rPr>
          <w:rFonts w:eastAsia="SimSun"/>
        </w:rPr>
      </w:pPr>
      <w:r>
        <w:rPr>
          <w:rStyle w:val="FootnoteReference"/>
          <w:rFonts w:eastAsia="SimSun"/>
        </w:rPr>
        <w:t>112</w:t>
      </w:r>
      <w:r>
        <w:rPr>
          <w:rFonts w:eastAsia="SimSun" w:hint="eastAsia"/>
        </w:rPr>
        <w:t>在州、地区和市各级设立了产妇死亡率问题委员会，隶属卫生部管理。政府和公民社会通过这些委员会的工作，共同查明、调查和分析产妇死亡问题并就防范措施提出建议。</w:t>
      </w:r>
    </w:p>
  </w:footnote>
  <w:footnote w:id="113">
    <w:p w:rsidR="00000000" w:rsidRDefault="004D2F83">
      <w:pPr>
        <w:pStyle w:val="FootnoteText"/>
        <w:spacing w:afterLines="30" w:after="72" w:line="240" w:lineRule="auto"/>
        <w:rPr>
          <w:rFonts w:eastAsia="SimSun"/>
        </w:rPr>
      </w:pPr>
      <w:r>
        <w:rPr>
          <w:rStyle w:val="FootnoteReference"/>
          <w:rFonts w:eastAsia="SimSun"/>
        </w:rPr>
        <w:t>113</w:t>
      </w:r>
      <w:r>
        <w:rPr>
          <w:rFonts w:eastAsia="SimSun"/>
        </w:rPr>
        <w:t xml:space="preserve"> </w:t>
      </w:r>
      <w:hyperlink r:id="rId4" w:history="1">
        <w:r>
          <w:rPr>
            <w:rStyle w:val="Hyperlink"/>
            <w:rFonts w:eastAsia="SimSun"/>
          </w:rPr>
          <w:t>http://www.saude.gov.b</w:t>
        </w:r>
        <w:r>
          <w:rPr>
            <w:rStyle w:val="Hyperlink"/>
            <w:rFonts w:eastAsia="SimSun"/>
          </w:rPr>
          <w:t>r/Programas/mulher/operaciona.htm</w:t>
        </w:r>
      </w:hyperlink>
      <w:r>
        <w:rPr>
          <w:rFonts w:eastAsia="SimSun" w:hint="eastAsia"/>
        </w:rPr>
        <w:t>。</w:t>
      </w:r>
    </w:p>
  </w:footnote>
  <w:footnote w:id="114">
    <w:p w:rsidR="00000000" w:rsidRDefault="004D2F83">
      <w:pPr>
        <w:pStyle w:val="FootnoteText"/>
        <w:spacing w:afterLines="30" w:after="72" w:line="240" w:lineRule="auto"/>
        <w:rPr>
          <w:rFonts w:eastAsia="SimSun"/>
        </w:rPr>
      </w:pPr>
      <w:r>
        <w:rPr>
          <w:rStyle w:val="FootnoteReference"/>
          <w:rFonts w:eastAsia="SimSun"/>
        </w:rPr>
        <w:t>114</w:t>
      </w:r>
      <w:r>
        <w:rPr>
          <w:rFonts w:eastAsia="SimSun"/>
        </w:rPr>
        <w:t xml:space="preserve"> </w:t>
      </w:r>
      <w:r>
        <w:rPr>
          <w:rFonts w:eastAsia="SimSun" w:hint="eastAsia"/>
        </w:rPr>
        <w:t>数据来自对《关于巴西</w:t>
      </w:r>
      <w:r>
        <w:rPr>
          <w:rFonts w:eastAsia="SimSun"/>
        </w:rPr>
        <w:t>15</w:t>
      </w:r>
      <w:r>
        <w:rPr>
          <w:rFonts w:eastAsia="SimSun" w:hint="eastAsia"/>
        </w:rPr>
        <w:t>个城市中产妇死亡率极高状况的研究》的研究，研究由</w:t>
      </w:r>
      <w:r>
        <w:rPr>
          <w:rFonts w:eastAsia="SimSun"/>
        </w:rPr>
        <w:t>Ana Cristina D’Andreatta Tanaka</w:t>
      </w:r>
      <w:r>
        <w:rPr>
          <w:rFonts w:eastAsia="SimSun" w:hint="eastAsia"/>
        </w:rPr>
        <w:t>和</w:t>
      </w:r>
      <w:r>
        <w:rPr>
          <w:rFonts w:eastAsia="SimSun"/>
        </w:rPr>
        <w:t>Lia Mitsuiki</w:t>
      </w:r>
      <w:r>
        <w:rPr>
          <w:rFonts w:eastAsia="SimSun" w:hint="eastAsia"/>
        </w:rPr>
        <w:t>进行，并且得到了儿童基金会的资助，圣保罗，</w:t>
      </w:r>
      <w:r>
        <w:rPr>
          <w:rFonts w:eastAsia="SimSun"/>
        </w:rPr>
        <w:t>1999</w:t>
      </w:r>
      <w:r>
        <w:rPr>
          <w:rFonts w:eastAsia="SimSun" w:hint="eastAsia"/>
        </w:rPr>
        <w:t>年。可上卫生部的主页上查阅，</w:t>
      </w:r>
      <w:hyperlink r:id="rId5" w:history="1">
        <w:r>
          <w:rPr>
            <w:rStyle w:val="Hyperlink"/>
            <w:rFonts w:eastAsia="SimSun"/>
          </w:rPr>
          <w:t>http://www.saude.gov.htm</w:t>
        </w:r>
      </w:hyperlink>
      <w:r>
        <w:rPr>
          <w:rFonts w:eastAsia="SimSun" w:hint="eastAsia"/>
        </w:rPr>
        <w:t>。</w:t>
      </w:r>
    </w:p>
  </w:footnote>
  <w:footnote w:id="115">
    <w:p w:rsidR="00000000" w:rsidRDefault="004D2F83">
      <w:pPr>
        <w:pStyle w:val="FootnoteText"/>
        <w:spacing w:afterLines="30" w:after="72" w:line="240" w:lineRule="auto"/>
        <w:jc w:val="both"/>
        <w:rPr>
          <w:rFonts w:eastAsia="SimSun"/>
        </w:rPr>
      </w:pPr>
      <w:r>
        <w:rPr>
          <w:rStyle w:val="FootnoteReference"/>
          <w:rFonts w:eastAsia="SimSun"/>
        </w:rPr>
        <w:t>115</w:t>
      </w:r>
      <w:r>
        <w:rPr>
          <w:rFonts w:eastAsia="SimSun"/>
        </w:rPr>
        <w:t xml:space="preserve"> </w:t>
      </w:r>
      <w:r>
        <w:rPr>
          <w:rFonts w:eastAsia="SimSun" w:hint="eastAsia"/>
          <w:spacing w:val="-2"/>
        </w:rPr>
        <w:t>关于这一点，见题为《通过公开的民间行动保护性权利</w:t>
      </w:r>
      <w:r>
        <w:rPr>
          <w:rFonts w:eastAsia="SimSun" w:hint="eastAsia"/>
          <w:spacing w:val="-2"/>
        </w:rPr>
        <w:t>和生殖权利》的研究报告，作者</w:t>
      </w:r>
      <w:r>
        <w:rPr>
          <w:rFonts w:eastAsia="SimSun"/>
          <w:spacing w:val="-2"/>
        </w:rPr>
        <w:t>Monica de Melo</w:t>
      </w:r>
      <w:r>
        <w:rPr>
          <w:rFonts w:eastAsia="SimSun" w:hint="eastAsia"/>
          <w:spacing w:val="-2"/>
        </w:rPr>
        <w:t>，油印本，</w:t>
      </w:r>
      <w:r>
        <w:rPr>
          <w:rFonts w:eastAsia="SimSun"/>
          <w:spacing w:val="-2"/>
        </w:rPr>
        <w:t>2001</w:t>
      </w:r>
      <w:r>
        <w:rPr>
          <w:rFonts w:eastAsia="SimSun" w:hint="eastAsia"/>
          <w:spacing w:val="-2"/>
        </w:rPr>
        <w:t>年。</w:t>
      </w:r>
    </w:p>
  </w:footnote>
  <w:footnote w:id="116">
    <w:p w:rsidR="00000000" w:rsidRDefault="004D2F83">
      <w:pPr>
        <w:pStyle w:val="FootnoteText"/>
        <w:spacing w:afterLines="30" w:after="72" w:line="240" w:lineRule="auto"/>
        <w:rPr>
          <w:rFonts w:eastAsia="SimSun"/>
        </w:rPr>
      </w:pPr>
      <w:r>
        <w:rPr>
          <w:rStyle w:val="FootnoteReference"/>
          <w:rFonts w:eastAsia="SimSun"/>
        </w:rPr>
        <w:t>116</w:t>
      </w:r>
      <w:r>
        <w:rPr>
          <w:rFonts w:eastAsia="SimSun"/>
        </w:rPr>
        <w:t xml:space="preserve"> </w:t>
      </w:r>
      <w:r>
        <w:rPr>
          <w:rFonts w:eastAsia="SimSun" w:hint="eastAsia"/>
        </w:rPr>
        <w:t>“生殖与性行为：一个司法问题”，研究者：</w:t>
      </w:r>
      <w:r>
        <w:rPr>
          <w:rFonts w:eastAsia="SimSun"/>
        </w:rPr>
        <w:t>Sanamtha Buglione</w:t>
      </w:r>
      <w:r>
        <w:rPr>
          <w:rFonts w:eastAsia="SimSun" w:hint="eastAsia"/>
        </w:rPr>
        <w:t>，项目：保护和保障妇女权利：新的文书和机制，由</w:t>
      </w:r>
      <w:r>
        <w:rPr>
          <w:rFonts w:eastAsia="SimSun"/>
        </w:rPr>
        <w:t>Themis</w:t>
      </w:r>
      <w:r>
        <w:rPr>
          <w:rFonts w:eastAsia="SimSun" w:hint="eastAsia"/>
        </w:rPr>
        <w:t>——法律咨询与性研究进行。资助：福特基金会。</w:t>
      </w:r>
    </w:p>
  </w:footnote>
  <w:footnote w:id="117">
    <w:p w:rsidR="00000000" w:rsidRDefault="004D2F83">
      <w:pPr>
        <w:pStyle w:val="FootnoteText"/>
        <w:spacing w:afterLines="30" w:after="72" w:line="240" w:lineRule="auto"/>
        <w:rPr>
          <w:rFonts w:eastAsia="SimSun"/>
        </w:rPr>
      </w:pPr>
      <w:r>
        <w:rPr>
          <w:rStyle w:val="FootnoteReference"/>
          <w:rFonts w:eastAsia="SimSun"/>
        </w:rPr>
        <w:t>117</w:t>
      </w:r>
      <w:r>
        <w:rPr>
          <w:rFonts w:eastAsia="SimSun"/>
        </w:rPr>
        <w:t xml:space="preserve"> AGRG in RE.no.271.286-8 RS</w:t>
      </w:r>
      <w:r>
        <w:rPr>
          <w:rFonts w:eastAsia="SimSun" w:hint="eastAsia"/>
        </w:rPr>
        <w:t>，</w:t>
      </w:r>
      <w:r>
        <w:rPr>
          <w:rFonts w:eastAsia="SimSun"/>
        </w:rPr>
        <w:t>j.12/9/00</w:t>
      </w:r>
      <w:r>
        <w:rPr>
          <w:rFonts w:eastAsia="SimSun" w:hint="eastAsia"/>
        </w:rPr>
        <w:t>，</w:t>
      </w:r>
      <w:r>
        <w:rPr>
          <w:rFonts w:eastAsia="SimSun" w:hint="eastAsia"/>
          <w:lang w:val="de-DE"/>
        </w:rPr>
        <w:t>报告人</w:t>
      </w:r>
      <w:r>
        <w:rPr>
          <w:rFonts w:eastAsia="SimSun" w:hint="eastAsia"/>
        </w:rPr>
        <w:t>：</w:t>
      </w:r>
      <w:r>
        <w:rPr>
          <w:rFonts w:eastAsia="SimSun" w:hint="eastAsia"/>
          <w:lang w:val="de-DE"/>
        </w:rPr>
        <w:t>首席法官</w:t>
      </w:r>
      <w:r>
        <w:rPr>
          <w:rFonts w:eastAsia="SimSun"/>
        </w:rPr>
        <w:t>Celso de Mello</w:t>
      </w:r>
      <w:r>
        <w:rPr>
          <w:rFonts w:eastAsia="SimSun" w:hint="eastAsia"/>
        </w:rPr>
        <w:t>和</w:t>
      </w:r>
      <w:r>
        <w:rPr>
          <w:rFonts w:eastAsia="SimSun"/>
        </w:rPr>
        <w:t>AGRG</w:t>
      </w:r>
      <w:r>
        <w:rPr>
          <w:rFonts w:eastAsia="SimSun" w:hint="eastAsia"/>
        </w:rPr>
        <w:t>，</w:t>
      </w:r>
      <w:r>
        <w:rPr>
          <w:rFonts w:eastAsia="SimSun"/>
        </w:rPr>
        <w:t xml:space="preserve"> Rext.no.255.627-1/RS</w:t>
      </w:r>
      <w:r>
        <w:rPr>
          <w:rFonts w:eastAsia="SimSun" w:hint="eastAsia"/>
        </w:rPr>
        <w:t>，</w:t>
      </w:r>
      <w:r>
        <w:rPr>
          <w:rFonts w:eastAsia="SimSun"/>
        </w:rPr>
        <w:t>j.21.11.00</w:t>
      </w:r>
      <w:r>
        <w:rPr>
          <w:rFonts w:eastAsia="SimSun" w:hint="eastAsia"/>
        </w:rPr>
        <w:t>，报告人：首席法官</w:t>
      </w:r>
      <w:r>
        <w:rPr>
          <w:rFonts w:eastAsia="SimSun"/>
        </w:rPr>
        <w:t>Nelson Jobim</w:t>
      </w:r>
      <w:r>
        <w:rPr>
          <w:rFonts w:eastAsia="SimSun" w:hint="eastAsia"/>
        </w:rPr>
        <w:t>。</w:t>
      </w:r>
      <w:r>
        <w:rPr>
          <w:rFonts w:eastAsia="SimSun" w:hint="eastAsia"/>
        </w:rPr>
        <w:t>值得一提的是特别上诉——南里越格朗德的</w:t>
      </w:r>
      <w:r>
        <w:rPr>
          <w:rFonts w:eastAsia="SimSun"/>
        </w:rPr>
        <w:t>195.192-3</w:t>
      </w:r>
      <w:r>
        <w:rPr>
          <w:rFonts w:eastAsia="SimSun" w:hint="eastAsia"/>
        </w:rPr>
        <w:t>：向贫困的人发放药品。审判委员会依据第</w:t>
      </w:r>
      <w:r>
        <w:rPr>
          <w:rFonts w:eastAsia="SimSun"/>
        </w:rPr>
        <w:t>8908/93</w:t>
      </w:r>
      <w:r>
        <w:rPr>
          <w:rFonts w:eastAsia="SimSun" w:hint="eastAsia"/>
        </w:rPr>
        <w:t>号州法律，维持了南里越格朗德上诉法院作出的判决，承认该州有义务向艾滋病病毒感染者免费提供药品，他们若不用尽自己和家人必需的生活费就无力承担药费。委员会认为被上诉的判决依据的是对联邦宪法第</w:t>
      </w:r>
      <w:r>
        <w:rPr>
          <w:rFonts w:eastAsia="SimSun"/>
        </w:rPr>
        <w:t>196</w:t>
      </w:r>
      <w:r>
        <w:rPr>
          <w:rFonts w:eastAsia="SimSun" w:hint="eastAsia"/>
        </w:rPr>
        <w:t>条（“享有健康是每个人的权利和国家的义务，它通过社会和经济政策加以保障。这种政策旨在减少疾病和其他危险，并确保普遍和平等地参与促进、保护和恢复健康的活动和享受其服务”）做出详细规定的州法律，而没有考虑以前的规则。</w:t>
      </w:r>
      <w:r>
        <w:rPr>
          <w:rFonts w:eastAsia="SimSun"/>
        </w:rPr>
        <w:t>RE 242.859-RS</w:t>
      </w:r>
      <w:r>
        <w:rPr>
          <w:rFonts w:eastAsia="SimSun" w:hint="eastAsia"/>
        </w:rPr>
        <w:t>。报告人：首席法官</w:t>
      </w:r>
      <w:r>
        <w:rPr>
          <w:rFonts w:eastAsia="SimSun"/>
        </w:rPr>
        <w:t>Ilmar Galvao</w:t>
      </w:r>
      <w:r>
        <w:rPr>
          <w:rFonts w:eastAsia="SimSun" w:hint="eastAsia"/>
        </w:rPr>
        <w:t>，</w:t>
      </w:r>
      <w:r>
        <w:rPr>
          <w:rFonts w:eastAsia="SimSun"/>
        </w:rPr>
        <w:t>29.6.99</w:t>
      </w:r>
      <w:r>
        <w:rPr>
          <w:rFonts w:eastAsia="SimSun" w:hint="eastAsia"/>
        </w:rPr>
        <w:t>。</w:t>
      </w:r>
    </w:p>
  </w:footnote>
  <w:footnote w:id="118">
    <w:p w:rsidR="00000000" w:rsidRDefault="004D2F83">
      <w:pPr>
        <w:pStyle w:val="FootnoteText"/>
        <w:spacing w:afterLines="30" w:after="72" w:line="240" w:lineRule="auto"/>
        <w:rPr>
          <w:rFonts w:eastAsia="SimSun"/>
        </w:rPr>
      </w:pPr>
      <w:r>
        <w:rPr>
          <w:rStyle w:val="FootnoteReference"/>
          <w:rFonts w:eastAsia="SimSun"/>
        </w:rPr>
        <w:t>118</w:t>
      </w:r>
      <w:r>
        <w:rPr>
          <w:rFonts w:eastAsia="SimSun"/>
        </w:rPr>
        <w:t xml:space="preserve"> Monica de Melo</w:t>
      </w:r>
      <w:r>
        <w:rPr>
          <w:rFonts w:eastAsia="SimSun" w:hint="eastAsia"/>
        </w:rPr>
        <w:t>，《通过公开的民间行动保护性权利和生殖权利》，油印本，</w:t>
      </w:r>
      <w:r>
        <w:rPr>
          <w:rFonts w:eastAsia="SimSun"/>
        </w:rPr>
        <w:t>2001</w:t>
      </w:r>
      <w:r>
        <w:rPr>
          <w:rFonts w:eastAsia="SimSun" w:hint="eastAsia"/>
        </w:rPr>
        <w:t>年。</w:t>
      </w:r>
    </w:p>
  </w:footnote>
  <w:footnote w:id="119">
    <w:p w:rsidR="00000000" w:rsidRDefault="004D2F83">
      <w:pPr>
        <w:pStyle w:val="FootnoteText"/>
        <w:spacing w:afterLines="30" w:after="72" w:line="240" w:lineRule="auto"/>
        <w:rPr>
          <w:rFonts w:eastAsia="SimSun"/>
        </w:rPr>
      </w:pPr>
      <w:r>
        <w:rPr>
          <w:rStyle w:val="FootnoteReference"/>
          <w:rFonts w:eastAsia="SimSun"/>
        </w:rPr>
        <w:t>119</w:t>
      </w:r>
      <w:r>
        <w:rPr>
          <w:rFonts w:eastAsia="SimSun"/>
        </w:rPr>
        <w:t xml:space="preserve"> </w:t>
      </w:r>
      <w:r>
        <w:rPr>
          <w:rFonts w:eastAsia="SimSun" w:hint="eastAsia"/>
        </w:rPr>
        <w:t>出生时预期寿命：从</w:t>
      </w:r>
      <w:r>
        <w:rPr>
          <w:rFonts w:eastAsia="SimSun"/>
        </w:rPr>
        <w:t>1940</w:t>
      </w:r>
      <w:r>
        <w:rPr>
          <w:rFonts w:eastAsia="SimSun" w:hint="eastAsia"/>
        </w:rPr>
        <w:t>年到</w:t>
      </w:r>
      <w:r>
        <w:rPr>
          <w:rFonts w:eastAsia="SimSun"/>
        </w:rPr>
        <w:t>1990</w:t>
      </w:r>
      <w:r>
        <w:rPr>
          <w:rFonts w:eastAsia="SimSun" w:hint="eastAsia"/>
        </w:rPr>
        <w:t>年，出生时预期寿命从</w:t>
      </w:r>
      <w:r>
        <w:rPr>
          <w:rFonts w:eastAsia="SimSun"/>
        </w:rPr>
        <w:t>41.5</w:t>
      </w:r>
      <w:r>
        <w:rPr>
          <w:rFonts w:eastAsia="SimSun" w:hint="eastAsia"/>
        </w:rPr>
        <w:t>岁增加到了</w:t>
      </w:r>
      <w:r>
        <w:rPr>
          <w:rFonts w:eastAsia="SimSun"/>
        </w:rPr>
        <w:t>67.7</w:t>
      </w:r>
      <w:r>
        <w:rPr>
          <w:rFonts w:eastAsia="SimSun" w:hint="eastAsia"/>
        </w:rPr>
        <w:t>岁，也就是说每十年平均增加五岁多（巴西地理统计局，人口普查）。预期寿命增长最多的时期是</w:t>
      </w:r>
      <w:r>
        <w:rPr>
          <w:rFonts w:eastAsia="SimSun"/>
        </w:rPr>
        <w:t>1980</w:t>
      </w:r>
      <w:r>
        <w:rPr>
          <w:rFonts w:eastAsia="SimSun" w:hint="eastAsia"/>
        </w:rPr>
        <w:t>年代，预期寿命从</w:t>
      </w:r>
      <w:r>
        <w:rPr>
          <w:rFonts w:eastAsia="SimSun"/>
        </w:rPr>
        <w:t>1970</w:t>
      </w:r>
      <w:r>
        <w:rPr>
          <w:rFonts w:eastAsia="SimSun" w:hint="eastAsia"/>
        </w:rPr>
        <w:t>年的</w:t>
      </w:r>
      <w:r>
        <w:rPr>
          <w:rFonts w:eastAsia="SimSun"/>
        </w:rPr>
        <w:t>53.5</w:t>
      </w:r>
      <w:r>
        <w:rPr>
          <w:rFonts w:eastAsia="SimSun" w:hint="eastAsia"/>
        </w:rPr>
        <w:t>岁增加到了</w:t>
      </w:r>
      <w:r>
        <w:rPr>
          <w:rFonts w:eastAsia="SimSun"/>
        </w:rPr>
        <w:t>1980</w:t>
      </w:r>
      <w:r>
        <w:rPr>
          <w:rFonts w:eastAsia="SimSun" w:hint="eastAsia"/>
        </w:rPr>
        <w:t>年的</w:t>
      </w:r>
      <w:r>
        <w:rPr>
          <w:rFonts w:eastAsia="SimSun"/>
        </w:rPr>
        <w:t>61.8</w:t>
      </w:r>
      <w:r>
        <w:rPr>
          <w:rFonts w:eastAsia="SimSun" w:hint="eastAsia"/>
        </w:rPr>
        <w:t>岁。（社会指标，对</w:t>
      </w:r>
      <w:r>
        <w:rPr>
          <w:rFonts w:eastAsia="SimSun"/>
        </w:rPr>
        <w:t>1980</w:t>
      </w:r>
      <w:r>
        <w:rPr>
          <w:rFonts w:eastAsia="SimSun" w:hint="eastAsia"/>
        </w:rPr>
        <w:t>年代的分析，里约热内卢：巴西地理统计局，</w:t>
      </w:r>
      <w:r>
        <w:rPr>
          <w:rFonts w:eastAsia="SimSun"/>
        </w:rPr>
        <w:t>1</w:t>
      </w:r>
      <w:r>
        <w:rPr>
          <w:rFonts w:eastAsia="SimSun"/>
        </w:rPr>
        <w:t>995</w:t>
      </w:r>
      <w:r>
        <w:rPr>
          <w:rFonts w:eastAsia="SimSun" w:hint="eastAsia"/>
        </w:rPr>
        <w:t>年，第</w:t>
      </w:r>
      <w:r>
        <w:rPr>
          <w:rFonts w:eastAsia="SimSun"/>
        </w:rPr>
        <w:t>33</w:t>
      </w:r>
      <w:r>
        <w:rPr>
          <w:rFonts w:eastAsia="SimSun" w:hint="eastAsia"/>
        </w:rPr>
        <w:t>页，表</w:t>
      </w:r>
      <w:r>
        <w:rPr>
          <w:rFonts w:eastAsia="SimSun"/>
        </w:rPr>
        <w:t>4</w:t>
      </w:r>
      <w:r>
        <w:rPr>
          <w:rFonts w:eastAsia="SimSun" w:hint="eastAsia"/>
        </w:rPr>
        <w:t>）。</w:t>
      </w:r>
    </w:p>
  </w:footnote>
  <w:footnote w:id="120">
    <w:p w:rsidR="00000000" w:rsidRDefault="004D2F83">
      <w:pPr>
        <w:pStyle w:val="FootnoteText"/>
        <w:spacing w:afterLines="30" w:after="72" w:line="240" w:lineRule="auto"/>
        <w:rPr>
          <w:rFonts w:eastAsia="SimSun"/>
        </w:rPr>
      </w:pPr>
      <w:r>
        <w:rPr>
          <w:rStyle w:val="FootnoteReference"/>
          <w:rFonts w:eastAsia="SimSun"/>
        </w:rPr>
        <w:t>120</w:t>
      </w:r>
      <w:r>
        <w:rPr>
          <w:rFonts w:eastAsia="SimSun"/>
        </w:rPr>
        <w:t xml:space="preserve"> Berqu</w:t>
      </w:r>
      <w:r>
        <w:rPr>
          <w:rFonts w:eastAsia="SimSun" w:hint="eastAsia"/>
        </w:rPr>
        <w:t>ó</w:t>
      </w:r>
      <w:r>
        <w:rPr>
          <w:rFonts w:eastAsia="SimSun"/>
        </w:rPr>
        <w:t>,Elza S</w:t>
      </w:r>
      <w:r>
        <w:rPr>
          <w:rFonts w:eastAsia="SimSun" w:hint="eastAsia"/>
        </w:rPr>
        <w:t>和</w:t>
      </w:r>
      <w:r>
        <w:rPr>
          <w:rFonts w:eastAsia="SimSun"/>
        </w:rPr>
        <w:t>Cunha,Estela M.G.P.(</w:t>
      </w:r>
      <w:r>
        <w:rPr>
          <w:rFonts w:eastAsia="SimSun" w:hint="eastAsia"/>
        </w:rPr>
        <w:t>组织者</w:t>
      </w:r>
      <w:r>
        <w:rPr>
          <w:rFonts w:eastAsia="SimSun"/>
        </w:rPr>
        <w:t>)</w:t>
      </w:r>
      <w:r>
        <w:rPr>
          <w:rFonts w:eastAsia="SimSun" w:hint="eastAsia"/>
        </w:rPr>
        <w:t>，巴西女性的发病率和死亡率（</w:t>
      </w:r>
      <w:r>
        <w:rPr>
          <w:rFonts w:eastAsia="SimSun"/>
        </w:rPr>
        <w:t>1979-1995</w:t>
      </w:r>
      <w:r>
        <w:rPr>
          <w:rFonts w:eastAsia="SimSun" w:hint="eastAsia"/>
        </w:rPr>
        <w:t>年），出版商，</w:t>
      </w:r>
      <w:r>
        <w:rPr>
          <w:rFonts w:eastAsia="SimSun"/>
        </w:rPr>
        <w:t>Unicamp</w:t>
      </w:r>
      <w:r>
        <w:rPr>
          <w:rFonts w:eastAsia="SimSun" w:hint="eastAsia"/>
        </w:rPr>
        <w:t>，第一版，</w:t>
      </w:r>
      <w:r>
        <w:rPr>
          <w:rFonts w:eastAsia="SimSun"/>
        </w:rPr>
        <w:t>2000</w:t>
      </w:r>
      <w:r>
        <w:rPr>
          <w:rFonts w:eastAsia="SimSun" w:hint="eastAsia"/>
        </w:rPr>
        <w:t>年，第</w:t>
      </w:r>
      <w:r>
        <w:rPr>
          <w:rFonts w:eastAsia="SimSun"/>
        </w:rPr>
        <w:t>198</w:t>
      </w:r>
      <w:r>
        <w:rPr>
          <w:rFonts w:eastAsia="SimSun" w:hint="eastAsia"/>
        </w:rPr>
        <w:t>页。</w:t>
      </w:r>
    </w:p>
  </w:footnote>
  <w:footnote w:id="121">
    <w:p w:rsidR="00000000" w:rsidRDefault="004D2F83">
      <w:pPr>
        <w:pStyle w:val="FootnoteText"/>
        <w:spacing w:afterLines="30" w:after="72" w:line="240" w:lineRule="auto"/>
        <w:rPr>
          <w:rFonts w:eastAsia="SimSun"/>
        </w:rPr>
      </w:pPr>
      <w:r>
        <w:rPr>
          <w:rStyle w:val="FootnoteReference"/>
          <w:rFonts w:eastAsia="SimSun"/>
        </w:rPr>
        <w:t>121</w:t>
      </w:r>
      <w:r>
        <w:rPr>
          <w:rFonts w:eastAsia="SimSun"/>
        </w:rPr>
        <w:t xml:space="preserve"> </w:t>
      </w:r>
      <w:r>
        <w:rPr>
          <w:rFonts w:eastAsia="SimSun" w:hint="eastAsia"/>
        </w:rPr>
        <w:t>在</w:t>
      </w:r>
      <w:r>
        <w:rPr>
          <w:rFonts w:eastAsia="SimSun"/>
        </w:rPr>
        <w:t>1980</w:t>
      </w:r>
      <w:r>
        <w:rPr>
          <w:rFonts w:eastAsia="SimSun" w:hint="eastAsia"/>
        </w:rPr>
        <w:t>年代中期，</w:t>
      </w:r>
      <w:r>
        <w:rPr>
          <w:rFonts w:eastAsia="SimSun"/>
        </w:rPr>
        <w:t>0-4</w:t>
      </w:r>
      <w:r>
        <w:rPr>
          <w:rFonts w:eastAsia="SimSun" w:hint="eastAsia"/>
        </w:rPr>
        <w:t>岁年龄组的人不再是人数最多的年龄组，在</w:t>
      </w:r>
      <w:r>
        <w:rPr>
          <w:rFonts w:eastAsia="SimSun"/>
        </w:rPr>
        <w:t>1995</w:t>
      </w:r>
      <w:r>
        <w:rPr>
          <w:rFonts w:eastAsia="SimSun" w:hint="eastAsia"/>
        </w:rPr>
        <w:t>年，</w:t>
      </w:r>
      <w:r>
        <w:rPr>
          <w:rFonts w:eastAsia="SimSun"/>
        </w:rPr>
        <w:t>10-14</w:t>
      </w:r>
      <w:r>
        <w:rPr>
          <w:rFonts w:eastAsia="SimSun" w:hint="eastAsia"/>
        </w:rPr>
        <w:t>岁年龄组的人超过了前面两个年龄组。随着这一过程的继续，在</w:t>
      </w:r>
      <w:r>
        <w:rPr>
          <w:rFonts w:eastAsia="SimSun"/>
        </w:rPr>
        <w:t>1998</w:t>
      </w:r>
      <w:r>
        <w:rPr>
          <w:rFonts w:eastAsia="SimSun" w:hint="eastAsia"/>
        </w:rPr>
        <w:t>和</w:t>
      </w:r>
      <w:r>
        <w:rPr>
          <w:rFonts w:eastAsia="SimSun"/>
        </w:rPr>
        <w:t>1999</w:t>
      </w:r>
      <w:r>
        <w:rPr>
          <w:rFonts w:eastAsia="SimSun" w:hint="eastAsia"/>
        </w:rPr>
        <w:t>年，</w:t>
      </w:r>
      <w:r>
        <w:rPr>
          <w:rFonts w:eastAsia="SimSun"/>
        </w:rPr>
        <w:t>15</w:t>
      </w:r>
      <w:r>
        <w:rPr>
          <w:rFonts w:eastAsia="SimSun" w:hint="eastAsia"/>
        </w:rPr>
        <w:t>至</w:t>
      </w:r>
      <w:r>
        <w:rPr>
          <w:rFonts w:eastAsia="SimSun"/>
        </w:rPr>
        <w:t>19</w:t>
      </w:r>
      <w:r>
        <w:rPr>
          <w:rFonts w:eastAsia="SimSun" w:hint="eastAsia"/>
        </w:rPr>
        <w:t>岁年龄组的人达到前面一个年龄组的水平并且超过了头两个年龄组的人数。年龄结构的另一端反映出老年人口人数缓慢而</w:t>
      </w:r>
      <w:r>
        <w:rPr>
          <w:rFonts w:eastAsia="SimSun" w:hint="eastAsia"/>
        </w:rPr>
        <w:t>持续增长以及不同性别的死亡率带来的不同的影响。在</w:t>
      </w:r>
      <w:r>
        <w:rPr>
          <w:rFonts w:eastAsia="SimSun"/>
        </w:rPr>
        <w:t>1990</w:t>
      </w:r>
      <w:r>
        <w:rPr>
          <w:rFonts w:eastAsia="SimSun" w:hint="eastAsia"/>
        </w:rPr>
        <w:t>年代，</w:t>
      </w:r>
      <w:r>
        <w:rPr>
          <w:rFonts w:eastAsia="SimSun"/>
        </w:rPr>
        <w:t>60</w:t>
      </w:r>
      <w:r>
        <w:rPr>
          <w:rFonts w:eastAsia="SimSun" w:hint="eastAsia"/>
        </w:rPr>
        <w:t>岁以上年龄组的女性群体大约占</w:t>
      </w:r>
      <w:r>
        <w:rPr>
          <w:rFonts w:eastAsia="SimSun"/>
        </w:rPr>
        <w:t>55%</w:t>
      </w:r>
      <w:r>
        <w:rPr>
          <w:rFonts w:eastAsia="SimSun" w:hint="eastAsia"/>
        </w:rPr>
        <w:t>。全国住户抽样调查——关于说明，可查阅网址</w:t>
      </w:r>
      <w:hyperlink r:id="rId6" w:history="1">
        <w:r>
          <w:rPr>
            <w:rStyle w:val="Hyperlink"/>
            <w:rFonts w:eastAsia="SimSun"/>
          </w:rPr>
          <w:t>www.ibge.org.br</w:t>
        </w:r>
      </w:hyperlink>
      <w:r>
        <w:rPr>
          <w:rFonts w:eastAsia="SimSun" w:hint="eastAsia"/>
        </w:rPr>
        <w:t>。</w:t>
      </w:r>
    </w:p>
  </w:footnote>
  <w:footnote w:id="122">
    <w:p w:rsidR="00000000" w:rsidRDefault="004D2F83">
      <w:pPr>
        <w:pStyle w:val="FootnoteText"/>
        <w:spacing w:afterLines="30" w:after="72" w:line="240" w:lineRule="auto"/>
        <w:rPr>
          <w:rFonts w:eastAsia="SimSun"/>
        </w:rPr>
      </w:pPr>
      <w:r>
        <w:rPr>
          <w:rStyle w:val="FootnoteReference"/>
          <w:rFonts w:eastAsia="SimSun"/>
        </w:rPr>
        <w:t>122</w:t>
      </w:r>
      <w:r>
        <w:rPr>
          <w:rFonts w:eastAsia="SimSun"/>
        </w:rPr>
        <w:t xml:space="preserve"> Barros,Elizabeth</w:t>
      </w:r>
      <w:r>
        <w:rPr>
          <w:rFonts w:eastAsia="SimSun" w:hint="eastAsia"/>
        </w:rPr>
        <w:t>，《巴西人口的保健情况和享受保健服务的情况》，联合国开发计划署，</w:t>
      </w:r>
      <w:r>
        <w:rPr>
          <w:rFonts w:eastAsia="SimSun"/>
        </w:rPr>
        <w:t>2000</w:t>
      </w:r>
      <w:r>
        <w:rPr>
          <w:rFonts w:eastAsia="SimSun" w:hint="eastAsia"/>
        </w:rPr>
        <w:t>年</w:t>
      </w:r>
      <w:r>
        <w:rPr>
          <w:rFonts w:eastAsia="SimSun"/>
        </w:rPr>
        <w:t>1</w:t>
      </w:r>
      <w:r>
        <w:rPr>
          <w:rFonts w:eastAsia="SimSun" w:hint="eastAsia"/>
        </w:rPr>
        <w:t>月，油印本。</w:t>
      </w:r>
    </w:p>
  </w:footnote>
  <w:footnote w:id="123">
    <w:p w:rsidR="00000000" w:rsidRDefault="004D2F83">
      <w:pPr>
        <w:pStyle w:val="FootnoteText"/>
        <w:spacing w:afterLines="30" w:after="72" w:line="240" w:lineRule="auto"/>
        <w:rPr>
          <w:rFonts w:eastAsia="SimSun"/>
        </w:rPr>
      </w:pPr>
      <w:r>
        <w:rPr>
          <w:rStyle w:val="FootnoteReference"/>
          <w:rFonts w:eastAsia="SimSun"/>
        </w:rPr>
        <w:t>123</w:t>
      </w:r>
      <w:r>
        <w:rPr>
          <w:rFonts w:eastAsia="SimSun"/>
        </w:rPr>
        <w:t xml:space="preserve"> </w:t>
      </w:r>
      <w:r>
        <w:rPr>
          <w:rFonts w:eastAsia="SimSun" w:hint="eastAsia"/>
        </w:rPr>
        <w:t>巴西，卫生部，保健政策秘书处，巴西利亚</w:t>
      </w:r>
      <w:r>
        <w:rPr>
          <w:rFonts w:eastAsia="SimSun"/>
        </w:rPr>
        <w:t>-DF</w:t>
      </w:r>
      <w:r>
        <w:rPr>
          <w:rFonts w:eastAsia="SimSun" w:hint="eastAsia"/>
        </w:rPr>
        <w:t>，</w:t>
      </w:r>
      <w:r>
        <w:rPr>
          <w:rFonts w:eastAsia="SimSun"/>
        </w:rPr>
        <w:t>2001</w:t>
      </w:r>
      <w:r>
        <w:rPr>
          <w:rFonts w:eastAsia="SimSun" w:hint="eastAsia"/>
        </w:rPr>
        <w:t>年，第</w:t>
      </w:r>
      <w:r>
        <w:rPr>
          <w:rFonts w:eastAsia="SimSun"/>
        </w:rPr>
        <w:t>5</w:t>
      </w:r>
      <w:r>
        <w:rPr>
          <w:rFonts w:eastAsia="SimSun" w:hint="eastAsia"/>
        </w:rPr>
        <w:t>页，</w:t>
      </w:r>
      <w:r>
        <w:rPr>
          <w:rFonts w:eastAsia="SimSun"/>
        </w:rPr>
        <w:t>15/16</w:t>
      </w:r>
      <w:r>
        <w:rPr>
          <w:rFonts w:eastAsia="SimSun" w:hint="eastAsia"/>
        </w:rPr>
        <w:t>。</w:t>
      </w:r>
    </w:p>
  </w:footnote>
  <w:footnote w:id="124">
    <w:p w:rsidR="00000000" w:rsidRDefault="004D2F83">
      <w:pPr>
        <w:pStyle w:val="FootnoteText"/>
        <w:spacing w:afterLines="30" w:after="72" w:line="240" w:lineRule="auto"/>
        <w:rPr>
          <w:rFonts w:eastAsia="SimSun"/>
        </w:rPr>
      </w:pPr>
      <w:r>
        <w:rPr>
          <w:rStyle w:val="FootnoteReference"/>
          <w:rFonts w:eastAsia="SimSun"/>
        </w:rPr>
        <w:t>124</w:t>
      </w:r>
      <w:r>
        <w:rPr>
          <w:rFonts w:eastAsia="SimSun"/>
        </w:rPr>
        <w:t xml:space="preserve"> </w:t>
      </w:r>
      <w:r>
        <w:rPr>
          <w:rFonts w:eastAsia="SimSun" w:hint="eastAsia"/>
        </w:rPr>
        <w:t>公民观察站——巴西，第</w:t>
      </w:r>
      <w:r>
        <w:rPr>
          <w:rFonts w:eastAsia="SimSun"/>
        </w:rPr>
        <w:t>4</w:t>
      </w:r>
      <w:r>
        <w:rPr>
          <w:rFonts w:eastAsia="SimSun" w:hint="eastAsia"/>
        </w:rPr>
        <w:t>期，</w:t>
      </w:r>
      <w:r>
        <w:rPr>
          <w:rFonts w:eastAsia="SimSun"/>
        </w:rPr>
        <w:t>2000</w:t>
      </w:r>
      <w:r>
        <w:rPr>
          <w:rFonts w:eastAsia="SimSun" w:hint="eastAsia"/>
        </w:rPr>
        <w:t>年，项目</w:t>
      </w:r>
      <w:r>
        <w:rPr>
          <w:rFonts w:eastAsia="SimSun"/>
        </w:rPr>
        <w:t>e</w:t>
      </w:r>
      <w:r>
        <w:rPr>
          <w:rFonts w:eastAsia="SimSun" w:hint="eastAsia"/>
        </w:rPr>
        <w:t>，</w:t>
      </w:r>
      <w:r>
        <w:rPr>
          <w:rFonts w:eastAsia="SimSun"/>
        </w:rPr>
        <w:t>Ibase</w:t>
      </w:r>
      <w:r>
        <w:rPr>
          <w:rFonts w:eastAsia="SimSun" w:hint="eastAsia"/>
        </w:rPr>
        <w:t>，第</w:t>
      </w:r>
      <w:r>
        <w:rPr>
          <w:rFonts w:eastAsia="SimSun"/>
        </w:rPr>
        <w:t>146</w:t>
      </w:r>
      <w:r>
        <w:rPr>
          <w:rFonts w:eastAsia="SimSun" w:hint="eastAsia"/>
        </w:rPr>
        <w:t>页。</w:t>
      </w:r>
    </w:p>
  </w:footnote>
  <w:footnote w:id="125">
    <w:p w:rsidR="00000000" w:rsidRDefault="004D2F83">
      <w:pPr>
        <w:pStyle w:val="FootnoteText"/>
        <w:spacing w:afterLines="30" w:after="72" w:line="240" w:lineRule="auto"/>
        <w:rPr>
          <w:rFonts w:eastAsia="SimSun"/>
        </w:rPr>
      </w:pPr>
      <w:r>
        <w:rPr>
          <w:rStyle w:val="FootnoteReference"/>
          <w:rFonts w:eastAsia="SimSun"/>
        </w:rPr>
        <w:t>125</w:t>
      </w:r>
      <w:r>
        <w:rPr>
          <w:rFonts w:eastAsia="SimSun"/>
        </w:rPr>
        <w:t xml:space="preserve"> </w:t>
      </w:r>
      <w:r>
        <w:rPr>
          <w:rFonts w:eastAsia="SimSun" w:hint="eastAsia"/>
        </w:rPr>
        <w:t>关于这一点，见卫生部网站：</w:t>
      </w:r>
      <w:hyperlink r:id="rId7" w:history="1">
        <w:r>
          <w:rPr>
            <w:rStyle w:val="Hyperlink"/>
            <w:rFonts w:eastAsia="SimSun"/>
          </w:rPr>
          <w:t>www.aids.gov.br</w:t>
        </w:r>
      </w:hyperlink>
      <w:r>
        <w:rPr>
          <w:rFonts w:eastAsia="SimSun" w:hint="eastAsia"/>
        </w:rPr>
        <w:t>。</w:t>
      </w:r>
    </w:p>
  </w:footnote>
  <w:footnote w:id="126">
    <w:p w:rsidR="00000000" w:rsidRDefault="004D2F83">
      <w:pPr>
        <w:pStyle w:val="FootnoteText"/>
        <w:spacing w:afterLines="30" w:after="72" w:line="240" w:lineRule="auto"/>
        <w:rPr>
          <w:rFonts w:eastAsia="SimSun"/>
        </w:rPr>
      </w:pPr>
      <w:r>
        <w:rPr>
          <w:rStyle w:val="FootnoteReference"/>
          <w:rFonts w:eastAsia="SimSun"/>
        </w:rPr>
        <w:t>126</w:t>
      </w:r>
      <w:r>
        <w:rPr>
          <w:rFonts w:eastAsia="SimSun"/>
        </w:rPr>
        <w:t xml:space="preserve"> </w:t>
      </w:r>
      <w:r>
        <w:rPr>
          <w:rFonts w:eastAsia="SimSun"/>
          <w:spacing w:val="2"/>
        </w:rPr>
        <w:t>DATASUS</w:t>
      </w:r>
      <w:r>
        <w:rPr>
          <w:rFonts w:eastAsia="SimSun" w:hint="eastAsia"/>
          <w:spacing w:val="2"/>
        </w:rPr>
        <w:t>是单一保健体系的数据库。该数据库对于卫生系统的管理和准确而迅速地了解健康情况很重要。该信息一方面容易获得和利用，另一方面，对任何领域的决策都大有帮助，例如战略规划和部门规划，流行病控制和评估、审计和调查等等。</w:t>
      </w:r>
    </w:p>
  </w:footnote>
  <w:footnote w:id="127">
    <w:p w:rsidR="00000000" w:rsidRDefault="004D2F83">
      <w:pPr>
        <w:pStyle w:val="FootnoteText"/>
        <w:spacing w:afterLines="30" w:after="72" w:line="240" w:lineRule="auto"/>
        <w:rPr>
          <w:rFonts w:eastAsia="SimSun"/>
        </w:rPr>
      </w:pPr>
      <w:r>
        <w:rPr>
          <w:rStyle w:val="FootnoteReference"/>
          <w:rFonts w:eastAsia="SimSun"/>
        </w:rPr>
        <w:t>127</w:t>
      </w:r>
      <w:r>
        <w:rPr>
          <w:rFonts w:eastAsia="SimSun"/>
        </w:rPr>
        <w:t xml:space="preserve"> Bastos, Francisco In</w:t>
      </w:r>
      <w:r>
        <w:rPr>
          <w:rFonts w:eastAsia="SimSun" w:hint="eastAsia"/>
        </w:rPr>
        <w:t>á</w:t>
      </w:r>
      <w:r>
        <w:rPr>
          <w:rFonts w:eastAsia="SimSun"/>
        </w:rPr>
        <w:t xml:space="preserve">cio, </w:t>
      </w:r>
      <w:r>
        <w:rPr>
          <w:rFonts w:eastAsia="SimSun" w:hint="eastAsia"/>
        </w:rPr>
        <w:t>《在巴西艾滋病流行的女性</w:t>
      </w:r>
      <w:r>
        <w:rPr>
          <w:rFonts w:eastAsia="SimSun" w:hint="eastAsia"/>
        </w:rPr>
        <w:t>化现象：结构性决定因素和消除选择》，</w:t>
      </w:r>
      <w:r>
        <w:rPr>
          <w:rFonts w:eastAsia="SimSun"/>
        </w:rPr>
        <w:t>ABIA</w:t>
      </w:r>
      <w:r>
        <w:rPr>
          <w:rFonts w:eastAsia="SimSun" w:hint="eastAsia"/>
        </w:rPr>
        <w:t>丛书，性健康和生殖健康，第</w:t>
      </w:r>
      <w:r>
        <w:rPr>
          <w:rFonts w:eastAsia="SimSun"/>
        </w:rPr>
        <w:t>3</w:t>
      </w:r>
      <w:r>
        <w:rPr>
          <w:rFonts w:eastAsia="SimSun" w:hint="eastAsia"/>
        </w:rPr>
        <w:t>卷，巴西跨学科艾滋病协会，里约热内卢，</w:t>
      </w:r>
      <w:r>
        <w:rPr>
          <w:rFonts w:eastAsia="SimSun"/>
        </w:rPr>
        <w:t>2000</w:t>
      </w:r>
      <w:r>
        <w:rPr>
          <w:rFonts w:eastAsia="SimSun" w:hint="eastAsia"/>
        </w:rPr>
        <w:t>年，第</w:t>
      </w:r>
      <w:r>
        <w:rPr>
          <w:rFonts w:eastAsia="SimSun"/>
        </w:rPr>
        <w:t>14</w:t>
      </w:r>
      <w:r>
        <w:rPr>
          <w:rFonts w:eastAsia="SimSun" w:hint="eastAsia"/>
        </w:rPr>
        <w:t>页。。</w:t>
      </w:r>
    </w:p>
  </w:footnote>
  <w:footnote w:id="128">
    <w:p w:rsidR="00000000" w:rsidRDefault="004D2F83">
      <w:pPr>
        <w:pStyle w:val="FootnoteText"/>
        <w:spacing w:afterLines="30" w:after="72" w:line="240" w:lineRule="auto"/>
        <w:rPr>
          <w:rFonts w:eastAsia="SimSun"/>
        </w:rPr>
      </w:pPr>
      <w:r>
        <w:rPr>
          <w:rStyle w:val="FootnoteReference"/>
          <w:rFonts w:eastAsia="SimSun"/>
        </w:rPr>
        <w:t>128</w:t>
      </w:r>
      <w:r>
        <w:rPr>
          <w:rFonts w:eastAsia="SimSun"/>
        </w:rPr>
        <w:t xml:space="preserve"> </w:t>
      </w:r>
      <w:r>
        <w:rPr>
          <w:rFonts w:eastAsia="SimSun" w:hint="eastAsia"/>
        </w:rPr>
        <w:t>公民观察站</w:t>
      </w:r>
      <w:r>
        <w:rPr>
          <w:rFonts w:eastAsia="SimSun"/>
        </w:rPr>
        <w:t>-</w:t>
      </w:r>
      <w:r>
        <w:rPr>
          <w:rFonts w:eastAsia="SimSun" w:hint="eastAsia"/>
        </w:rPr>
        <w:t>巴西，第</w:t>
      </w:r>
      <w:r>
        <w:rPr>
          <w:rFonts w:eastAsia="SimSun"/>
        </w:rPr>
        <w:t>4</w:t>
      </w:r>
      <w:r>
        <w:rPr>
          <w:rFonts w:eastAsia="SimSun" w:hint="eastAsia"/>
        </w:rPr>
        <w:t>卷，</w:t>
      </w:r>
      <w:r>
        <w:rPr>
          <w:rFonts w:eastAsia="SimSun"/>
        </w:rPr>
        <w:t>2000</w:t>
      </w:r>
      <w:r>
        <w:rPr>
          <w:rFonts w:eastAsia="SimSun" w:hint="eastAsia"/>
        </w:rPr>
        <w:t>年，项目</w:t>
      </w:r>
      <w:r>
        <w:rPr>
          <w:rFonts w:eastAsia="SimSun"/>
        </w:rPr>
        <w:t>e Ibase</w:t>
      </w:r>
      <w:r>
        <w:rPr>
          <w:rFonts w:eastAsia="SimSun" w:hint="eastAsia"/>
        </w:rPr>
        <w:t>，第</w:t>
      </w:r>
      <w:r>
        <w:rPr>
          <w:rFonts w:eastAsia="SimSun"/>
        </w:rPr>
        <w:t>144</w:t>
      </w:r>
      <w:r>
        <w:rPr>
          <w:rFonts w:eastAsia="SimSun" w:hint="eastAsia"/>
        </w:rPr>
        <w:t>页。</w:t>
      </w:r>
    </w:p>
  </w:footnote>
  <w:footnote w:id="129">
    <w:p w:rsidR="00000000" w:rsidRDefault="004D2F83">
      <w:pPr>
        <w:pStyle w:val="FootnoteText"/>
        <w:spacing w:afterLines="30" w:after="72" w:line="240" w:lineRule="auto"/>
        <w:rPr>
          <w:rFonts w:eastAsia="SimSun" w:hint="eastAsia"/>
        </w:rPr>
      </w:pPr>
      <w:r>
        <w:rPr>
          <w:rStyle w:val="FootnoteReference"/>
          <w:rFonts w:eastAsia="SimSun"/>
        </w:rPr>
        <w:t>129</w:t>
      </w:r>
      <w:r>
        <w:rPr>
          <w:rFonts w:eastAsia="SimSun"/>
        </w:rPr>
        <w:t xml:space="preserve"> </w:t>
      </w:r>
      <w:r>
        <w:rPr>
          <w:rFonts w:eastAsia="SimSun" w:hint="eastAsia"/>
        </w:rPr>
        <w:t>阿拉戈阿斯、阿马帕、亚马孙、巴伊亚、塞阿拉、圣埃斯皮里图、戈亚斯、马拉尼昂、马托格罗索、南马托格罗索、米纳斯吉拉斯、帕拉伊巴、巴拉那、伯南布哥、北里约格朗德、南里约格朗德、朗多尼亚、罗赖马、圣卡塔林纳、托坎廷斯和塞尔希培。</w:t>
      </w:r>
    </w:p>
  </w:footnote>
  <w:footnote w:id="130">
    <w:p w:rsidR="00000000" w:rsidRDefault="004D2F83">
      <w:pPr>
        <w:pStyle w:val="FootnoteText"/>
        <w:spacing w:afterLines="30" w:after="72" w:line="240" w:lineRule="auto"/>
        <w:rPr>
          <w:rFonts w:eastAsia="SimSun"/>
        </w:rPr>
      </w:pPr>
      <w:r>
        <w:rPr>
          <w:rStyle w:val="FootnoteReference"/>
          <w:rFonts w:eastAsia="SimSun"/>
        </w:rPr>
        <w:t>130</w:t>
      </w:r>
      <w:r>
        <w:rPr>
          <w:rFonts w:eastAsia="SimSun" w:hint="eastAsia"/>
        </w:rPr>
        <w:t xml:space="preserve"> </w:t>
      </w:r>
      <w:r>
        <w:rPr>
          <w:rFonts w:eastAsia="SimSun" w:hint="eastAsia"/>
        </w:rPr>
        <w:t>阿拉戈阿斯、阿马帕、亚马孙、戈亚斯、巴拉、帕拉伊巴、伯南</w:t>
      </w:r>
      <w:r>
        <w:rPr>
          <w:rFonts w:eastAsia="SimSun" w:hint="eastAsia"/>
        </w:rPr>
        <w:t>布哥、皮奥伊、南里约格朗德和托坎廷斯。</w:t>
      </w:r>
    </w:p>
  </w:footnote>
  <w:footnote w:id="131">
    <w:p w:rsidR="00000000" w:rsidRDefault="004D2F83">
      <w:pPr>
        <w:pStyle w:val="FootnoteText"/>
        <w:spacing w:afterLines="30" w:after="72" w:line="240" w:lineRule="auto"/>
        <w:rPr>
          <w:rFonts w:eastAsia="SimSun" w:hint="eastAsia"/>
        </w:rPr>
      </w:pPr>
      <w:r>
        <w:rPr>
          <w:rStyle w:val="FootnoteReference"/>
          <w:rFonts w:eastAsia="SimSun"/>
        </w:rPr>
        <w:t>131</w:t>
      </w:r>
      <w:r>
        <w:rPr>
          <w:rFonts w:eastAsia="SimSun"/>
        </w:rPr>
        <w:t xml:space="preserve"> </w:t>
      </w:r>
      <w:r>
        <w:rPr>
          <w:rFonts w:eastAsia="SimSun" w:hint="eastAsia"/>
        </w:rPr>
        <w:t>公民观察站―巴西，</w:t>
      </w:r>
      <w:r>
        <w:rPr>
          <w:rFonts w:eastAsia="SimSun" w:hint="eastAsia"/>
        </w:rPr>
        <w:t>2000</w:t>
      </w:r>
      <w:r>
        <w:rPr>
          <w:rFonts w:eastAsia="SimSun" w:hint="eastAsia"/>
        </w:rPr>
        <w:t>年第</w:t>
      </w:r>
      <w:r>
        <w:rPr>
          <w:rFonts w:eastAsia="SimSun" w:hint="eastAsia"/>
        </w:rPr>
        <w:t>4</w:t>
      </w:r>
      <w:r>
        <w:rPr>
          <w:rFonts w:eastAsia="SimSun" w:hint="eastAsia"/>
        </w:rPr>
        <w:t>号，</w:t>
      </w:r>
      <w:r>
        <w:rPr>
          <w:rFonts w:eastAsia="SimSun" w:hint="eastAsia"/>
        </w:rPr>
        <w:t>I</w:t>
      </w:r>
      <w:r>
        <w:rPr>
          <w:rFonts w:eastAsia="SimSun"/>
        </w:rPr>
        <w:t>base</w:t>
      </w:r>
      <w:r>
        <w:rPr>
          <w:rFonts w:eastAsia="SimSun" w:hint="eastAsia"/>
        </w:rPr>
        <w:t>及项目，第</w:t>
      </w:r>
      <w:r>
        <w:rPr>
          <w:rFonts w:eastAsia="SimSun" w:hint="eastAsia"/>
        </w:rPr>
        <w:t>155</w:t>
      </w:r>
      <w:r>
        <w:rPr>
          <w:rFonts w:eastAsia="SimSun" w:hint="eastAsia"/>
        </w:rPr>
        <w:t>页。</w:t>
      </w:r>
    </w:p>
  </w:footnote>
  <w:footnote w:id="132">
    <w:p w:rsidR="00000000" w:rsidRDefault="004D2F83">
      <w:pPr>
        <w:pStyle w:val="FootnoteText"/>
        <w:spacing w:afterLines="30" w:after="72" w:line="240" w:lineRule="auto"/>
        <w:rPr>
          <w:rFonts w:eastAsia="SimSun" w:hint="eastAsia"/>
        </w:rPr>
      </w:pPr>
      <w:r>
        <w:rPr>
          <w:rStyle w:val="FootnoteReference"/>
          <w:rFonts w:eastAsia="SimSun"/>
        </w:rPr>
        <w:t>132</w:t>
      </w:r>
      <w:r>
        <w:rPr>
          <w:rFonts w:eastAsia="SimSun"/>
        </w:rPr>
        <w:t xml:space="preserve"> </w:t>
      </w:r>
      <w:r>
        <w:rPr>
          <w:rFonts w:eastAsia="SimSun" w:hint="eastAsia"/>
        </w:rPr>
        <w:t>同上，注</w:t>
      </w:r>
      <w:r>
        <w:rPr>
          <w:rFonts w:eastAsia="SimSun" w:hint="eastAsia"/>
        </w:rPr>
        <w:t>3</w:t>
      </w:r>
      <w:r>
        <w:rPr>
          <w:rFonts w:eastAsia="SimSun" w:hint="eastAsia"/>
        </w:rPr>
        <w:t>。</w:t>
      </w:r>
    </w:p>
  </w:footnote>
  <w:footnote w:id="133">
    <w:p w:rsidR="00000000" w:rsidRDefault="004D2F83">
      <w:pPr>
        <w:pStyle w:val="FootnoteText"/>
        <w:spacing w:afterLines="30" w:after="72" w:line="240" w:lineRule="auto"/>
        <w:rPr>
          <w:rFonts w:eastAsia="SimSun" w:hint="eastAsia"/>
        </w:rPr>
      </w:pPr>
      <w:r>
        <w:rPr>
          <w:rStyle w:val="FootnoteReference"/>
          <w:rFonts w:eastAsia="SimSun"/>
        </w:rPr>
        <w:t>133</w:t>
      </w:r>
      <w:r>
        <w:rPr>
          <w:rFonts w:eastAsia="SimSun"/>
        </w:rPr>
        <w:t xml:space="preserve"> </w:t>
      </w:r>
      <w:r>
        <w:rPr>
          <w:rFonts w:eastAsia="SimSun" w:hint="eastAsia"/>
        </w:rPr>
        <w:t>依据</w:t>
      </w:r>
      <w:r>
        <w:rPr>
          <w:rFonts w:eastAsia="SimSun" w:hint="eastAsia"/>
        </w:rPr>
        <w:t>1995</w:t>
      </w:r>
      <w:r>
        <w:rPr>
          <w:rFonts w:eastAsia="SimSun" w:hint="eastAsia"/>
        </w:rPr>
        <w:t>年</w:t>
      </w:r>
      <w:r>
        <w:rPr>
          <w:rFonts w:eastAsia="SimSun" w:hint="eastAsia"/>
        </w:rPr>
        <w:t>1</w:t>
      </w:r>
      <w:r>
        <w:rPr>
          <w:rFonts w:eastAsia="SimSun" w:hint="eastAsia"/>
        </w:rPr>
        <w:t>月</w:t>
      </w:r>
      <w:r>
        <w:rPr>
          <w:rFonts w:eastAsia="SimSun" w:hint="eastAsia"/>
        </w:rPr>
        <w:t>12</w:t>
      </w:r>
      <w:r>
        <w:rPr>
          <w:rFonts w:eastAsia="SimSun" w:hint="eastAsia"/>
        </w:rPr>
        <w:t>日第</w:t>
      </w:r>
      <w:r>
        <w:rPr>
          <w:rFonts w:eastAsia="SimSun" w:hint="eastAsia"/>
        </w:rPr>
        <w:t>1366</w:t>
      </w:r>
      <w:r>
        <w:rPr>
          <w:rFonts w:eastAsia="SimSun" w:hint="eastAsia"/>
        </w:rPr>
        <w:t>号法令建立，目的是“第一条－协调政府行动，旨在援助社会上无力满足其基本需要的那部分人，特别是消除饥饿和贫穷。”（社区团结互助方案，因特网上的主页，</w:t>
      </w:r>
      <w:r>
        <w:rPr>
          <w:rFonts w:eastAsia="SimSun" w:hint="eastAsia"/>
        </w:rPr>
        <w:t>s/p</w:t>
      </w:r>
      <w:r>
        <w:rPr>
          <w:rFonts w:eastAsia="SimSun" w:hint="eastAsia"/>
        </w:rPr>
        <w:t>）。</w:t>
      </w:r>
    </w:p>
  </w:footnote>
  <w:footnote w:id="134">
    <w:p w:rsidR="00000000" w:rsidRDefault="004D2F83">
      <w:pPr>
        <w:pStyle w:val="FootnoteText"/>
        <w:spacing w:afterLines="30" w:after="72" w:line="240" w:lineRule="auto"/>
        <w:rPr>
          <w:rFonts w:eastAsia="SimSun" w:hint="eastAsia"/>
        </w:rPr>
      </w:pPr>
      <w:r>
        <w:rPr>
          <w:rStyle w:val="FootnoteReference"/>
          <w:rFonts w:eastAsia="SimSun"/>
        </w:rPr>
        <w:t>134</w:t>
      </w:r>
      <w:r>
        <w:rPr>
          <w:rFonts w:eastAsia="SimSun"/>
        </w:rPr>
        <w:t xml:space="preserve"> </w:t>
      </w:r>
      <w:r>
        <w:rPr>
          <w:rFonts w:eastAsia="SimSun" w:hint="eastAsia"/>
        </w:rPr>
        <w:t>见下表，列有社区团结互助方案基本议程上的</w:t>
      </w:r>
      <w:r>
        <w:rPr>
          <w:rFonts w:eastAsia="SimSun" w:hint="eastAsia"/>
        </w:rPr>
        <w:t>17</w:t>
      </w:r>
      <w:r>
        <w:rPr>
          <w:rFonts w:eastAsia="SimSun" w:hint="eastAsia"/>
        </w:rPr>
        <w:t>个次级方案。</w:t>
      </w:r>
    </w:p>
  </w:footnote>
  <w:footnote w:id="135">
    <w:p w:rsidR="00000000" w:rsidRDefault="004D2F83">
      <w:pPr>
        <w:pStyle w:val="FootnoteText"/>
        <w:spacing w:afterLines="30" w:after="72" w:line="240" w:lineRule="auto"/>
        <w:rPr>
          <w:rFonts w:eastAsia="SimSun" w:hint="eastAsia"/>
        </w:rPr>
      </w:pPr>
      <w:r>
        <w:rPr>
          <w:rStyle w:val="FootnoteReference"/>
          <w:rFonts w:eastAsia="SimSun"/>
        </w:rPr>
        <w:t>135</w:t>
      </w:r>
      <w:r>
        <w:rPr>
          <w:rFonts w:eastAsia="SimSun"/>
        </w:rPr>
        <w:t xml:space="preserve"> </w:t>
      </w:r>
      <w:r>
        <w:rPr>
          <w:rFonts w:eastAsia="SimSun" w:hint="eastAsia"/>
        </w:rPr>
        <w:t>1970</w:t>
      </w:r>
      <w:r>
        <w:rPr>
          <w:rFonts w:eastAsia="SimSun" w:hint="eastAsia"/>
        </w:rPr>
        <w:t>年人口普查，巴西地理与统计局。全国住户抽样调查，</w:t>
      </w:r>
      <w:r>
        <w:rPr>
          <w:rFonts w:eastAsia="SimSun" w:hint="eastAsia"/>
        </w:rPr>
        <w:t>1992</w:t>
      </w:r>
      <w:r>
        <w:rPr>
          <w:rFonts w:eastAsia="SimSun" w:hint="eastAsia"/>
        </w:rPr>
        <w:t>和</w:t>
      </w:r>
      <w:r>
        <w:rPr>
          <w:rFonts w:eastAsia="SimSun" w:hint="eastAsia"/>
        </w:rPr>
        <w:t>1999</w:t>
      </w:r>
      <w:r>
        <w:rPr>
          <w:rFonts w:eastAsia="SimSun" w:hint="eastAsia"/>
        </w:rPr>
        <w:t>年。《</w:t>
      </w:r>
      <w:r>
        <w:rPr>
          <w:rFonts w:eastAsia="SimSun" w:hint="eastAsia"/>
        </w:rPr>
        <w:t>2000</w:t>
      </w:r>
      <w:r>
        <w:rPr>
          <w:rFonts w:eastAsia="SimSun" w:hint="eastAsia"/>
        </w:rPr>
        <w:t>年社会综合指</w:t>
      </w:r>
      <w:r>
        <w:rPr>
          <w:rFonts w:eastAsia="SimSun" w:hint="eastAsia"/>
        </w:rPr>
        <w:t>标》，里约热内卢，巴西地理与统计局，</w:t>
      </w:r>
      <w:r>
        <w:rPr>
          <w:rFonts w:eastAsia="SimSun" w:hint="eastAsia"/>
        </w:rPr>
        <w:t>2001</w:t>
      </w:r>
      <w:r>
        <w:rPr>
          <w:rFonts w:eastAsia="SimSun" w:hint="eastAsia"/>
        </w:rPr>
        <w:t>年。</w:t>
      </w:r>
      <w:r>
        <w:rPr>
          <w:rFonts w:eastAsia="SimSun" w:hint="eastAsia"/>
        </w:rPr>
        <w:t>1999</w:t>
      </w:r>
      <w:r>
        <w:rPr>
          <w:rFonts w:eastAsia="SimSun" w:hint="eastAsia"/>
        </w:rPr>
        <w:t>年，约</w:t>
      </w:r>
      <w:r>
        <w:rPr>
          <w:rFonts w:eastAsia="SimSun" w:hint="eastAsia"/>
        </w:rPr>
        <w:t>3300</w:t>
      </w:r>
      <w:r>
        <w:rPr>
          <w:rFonts w:eastAsia="SimSun" w:hint="eastAsia"/>
        </w:rPr>
        <w:t>万妇女宣布自己参与经济活动。</w:t>
      </w:r>
    </w:p>
  </w:footnote>
  <w:footnote w:id="136">
    <w:p w:rsidR="00000000" w:rsidRDefault="004D2F83">
      <w:pPr>
        <w:pStyle w:val="FootnoteText"/>
        <w:spacing w:afterLines="30" w:after="72" w:line="240" w:lineRule="auto"/>
        <w:rPr>
          <w:rFonts w:eastAsia="SimSun" w:hint="eastAsia"/>
        </w:rPr>
      </w:pPr>
      <w:r>
        <w:rPr>
          <w:rStyle w:val="FootnoteReference"/>
          <w:rFonts w:eastAsia="SimSun"/>
        </w:rPr>
        <w:t>136</w:t>
      </w:r>
      <w:r>
        <w:rPr>
          <w:rFonts w:eastAsia="SimSun"/>
        </w:rPr>
        <w:t xml:space="preserve"> </w:t>
      </w:r>
      <w:r>
        <w:rPr>
          <w:rFonts w:eastAsia="SimSun" w:hint="eastAsia"/>
        </w:rPr>
        <w:t>1999</w:t>
      </w:r>
      <w:r>
        <w:rPr>
          <w:rFonts w:eastAsia="SimSun" w:hint="eastAsia"/>
        </w:rPr>
        <w:t>年，约</w:t>
      </w:r>
      <w:r>
        <w:rPr>
          <w:rFonts w:eastAsia="SimSun" w:hint="eastAsia"/>
        </w:rPr>
        <w:t>1200</w:t>
      </w:r>
      <w:r>
        <w:rPr>
          <w:rFonts w:eastAsia="SimSun" w:hint="eastAsia"/>
        </w:rPr>
        <w:t>万个住户由妇女担任户主―其中</w:t>
      </w:r>
      <w:r>
        <w:rPr>
          <w:rFonts w:eastAsia="SimSun" w:hint="eastAsia"/>
        </w:rPr>
        <w:t>650</w:t>
      </w:r>
      <w:r>
        <w:rPr>
          <w:rFonts w:eastAsia="SimSun" w:hint="eastAsia"/>
        </w:rPr>
        <w:t>万个家庭户主为白人妇女，</w:t>
      </w:r>
      <w:r>
        <w:rPr>
          <w:rFonts w:eastAsia="SimSun" w:hint="eastAsia"/>
        </w:rPr>
        <w:t>550</w:t>
      </w:r>
      <w:r>
        <w:rPr>
          <w:rFonts w:eastAsia="SimSun" w:hint="eastAsia"/>
        </w:rPr>
        <w:t>万个家庭户主为黑人妇女―其中的</w:t>
      </w:r>
      <w:r>
        <w:rPr>
          <w:rFonts w:eastAsia="SimSun" w:hint="eastAsia"/>
        </w:rPr>
        <w:t>65.5%</w:t>
      </w:r>
      <w:r>
        <w:rPr>
          <w:rFonts w:eastAsia="SimSun" w:hint="eastAsia"/>
        </w:rPr>
        <w:t>为单身母亲：占白人女户主的</w:t>
      </w:r>
      <w:r>
        <w:rPr>
          <w:rFonts w:eastAsia="SimSun" w:hint="eastAsia"/>
        </w:rPr>
        <w:t>61%</w:t>
      </w:r>
      <w:r>
        <w:rPr>
          <w:rFonts w:eastAsia="SimSun" w:hint="eastAsia"/>
        </w:rPr>
        <w:t>，占黑人女户主的</w:t>
      </w:r>
      <w:r>
        <w:rPr>
          <w:rFonts w:eastAsia="SimSun" w:hint="eastAsia"/>
        </w:rPr>
        <w:t>71%</w:t>
      </w:r>
      <w:r>
        <w:rPr>
          <w:rFonts w:eastAsia="SimSun" w:hint="eastAsia"/>
        </w:rPr>
        <w:t>。</w:t>
      </w:r>
    </w:p>
  </w:footnote>
  <w:footnote w:id="137">
    <w:p w:rsidR="00000000" w:rsidRDefault="004D2F83">
      <w:pPr>
        <w:pStyle w:val="FootnoteText"/>
        <w:spacing w:afterLines="30" w:after="72" w:line="240" w:lineRule="auto"/>
        <w:rPr>
          <w:rFonts w:eastAsia="SimSun" w:hint="eastAsia"/>
        </w:rPr>
      </w:pPr>
      <w:r>
        <w:rPr>
          <w:rStyle w:val="FootnoteReference"/>
          <w:rFonts w:eastAsia="SimSun"/>
        </w:rPr>
        <w:t>137</w:t>
      </w:r>
      <w:r>
        <w:rPr>
          <w:rFonts w:eastAsia="SimSun"/>
        </w:rPr>
        <w:t xml:space="preserve"> </w:t>
      </w:r>
      <w:r>
        <w:rPr>
          <w:rFonts w:eastAsia="SimSun" w:hint="eastAsia"/>
        </w:rPr>
        <w:t>公民观察站―监测发展，</w:t>
      </w:r>
      <w:r>
        <w:rPr>
          <w:rFonts w:eastAsia="SimSun" w:hint="eastAsia"/>
        </w:rPr>
        <w:t>1997</w:t>
      </w:r>
      <w:r>
        <w:rPr>
          <w:rFonts w:eastAsia="SimSun" w:hint="eastAsia"/>
        </w:rPr>
        <w:t>年第</w:t>
      </w:r>
      <w:r>
        <w:rPr>
          <w:rFonts w:eastAsia="SimSun" w:hint="eastAsia"/>
        </w:rPr>
        <w:t>1</w:t>
      </w:r>
      <w:r>
        <w:rPr>
          <w:rFonts w:eastAsia="SimSun" w:hint="eastAsia"/>
        </w:rPr>
        <w:t>期，</w:t>
      </w:r>
      <w:r>
        <w:rPr>
          <w:rFonts w:eastAsia="SimSun" w:hint="eastAsia"/>
        </w:rPr>
        <w:t>I</w:t>
      </w:r>
      <w:r>
        <w:rPr>
          <w:rFonts w:eastAsia="SimSun"/>
        </w:rPr>
        <w:t>base</w:t>
      </w:r>
      <w:r>
        <w:rPr>
          <w:rFonts w:eastAsia="SimSun" w:hint="eastAsia"/>
        </w:rPr>
        <w:t>和项目，第</w:t>
      </w:r>
      <w:r>
        <w:rPr>
          <w:rFonts w:eastAsia="SimSun" w:hint="eastAsia"/>
        </w:rPr>
        <w:t>53</w:t>
      </w:r>
      <w:r>
        <w:rPr>
          <w:rFonts w:eastAsia="SimSun" w:hint="eastAsia"/>
        </w:rPr>
        <w:t>页。</w:t>
      </w:r>
    </w:p>
  </w:footnote>
  <w:footnote w:id="138">
    <w:p w:rsidR="00000000" w:rsidRDefault="004D2F83">
      <w:pPr>
        <w:pStyle w:val="FootnoteText"/>
        <w:spacing w:afterLines="30" w:after="72" w:line="240" w:lineRule="auto"/>
        <w:rPr>
          <w:rFonts w:eastAsia="SimSun" w:hint="eastAsia"/>
        </w:rPr>
      </w:pPr>
      <w:r>
        <w:rPr>
          <w:rStyle w:val="FootnoteReference"/>
          <w:rFonts w:eastAsia="SimSun"/>
        </w:rPr>
        <w:t>138</w:t>
      </w:r>
      <w:r>
        <w:rPr>
          <w:rFonts w:eastAsia="SimSun"/>
        </w:rPr>
        <w:t xml:space="preserve"> </w:t>
      </w:r>
      <w:r>
        <w:rPr>
          <w:rFonts w:eastAsia="SimSun" w:hint="eastAsia"/>
        </w:rPr>
        <w:t>这些妇女因家务负担而难以进入劳动力市场。全国住户抽样调查，</w:t>
      </w:r>
      <w:r>
        <w:rPr>
          <w:rFonts w:eastAsia="SimSun" w:hint="eastAsia"/>
        </w:rPr>
        <w:t>1999</w:t>
      </w:r>
      <w:r>
        <w:rPr>
          <w:rFonts w:eastAsia="SimSun" w:hint="eastAsia"/>
        </w:rPr>
        <w:t>年。第</w:t>
      </w:r>
      <w:r>
        <w:rPr>
          <w:rFonts w:eastAsia="SimSun" w:hint="eastAsia"/>
        </w:rPr>
        <w:t>21</w:t>
      </w:r>
      <w:r>
        <w:rPr>
          <w:rFonts w:eastAsia="SimSun" w:hint="eastAsia"/>
        </w:rPr>
        <w:t>卷―巴西。里约热内卢，巴西地理与统计局，</w:t>
      </w:r>
      <w:r>
        <w:rPr>
          <w:rFonts w:eastAsia="SimSun" w:hint="eastAsia"/>
        </w:rPr>
        <w:t>2000</w:t>
      </w:r>
      <w:r>
        <w:rPr>
          <w:rFonts w:eastAsia="SimSun" w:hint="eastAsia"/>
        </w:rPr>
        <w:t>年。</w:t>
      </w:r>
    </w:p>
  </w:footnote>
  <w:footnote w:id="139">
    <w:p w:rsidR="00000000" w:rsidRDefault="004D2F83">
      <w:pPr>
        <w:pStyle w:val="FootnoteText"/>
        <w:spacing w:afterLines="30" w:after="72" w:line="240" w:lineRule="auto"/>
        <w:rPr>
          <w:rFonts w:eastAsia="SimSun" w:hint="eastAsia"/>
        </w:rPr>
      </w:pPr>
      <w:r>
        <w:rPr>
          <w:rStyle w:val="FootnoteReference"/>
          <w:rFonts w:eastAsia="SimSun"/>
        </w:rPr>
        <w:t>13</w:t>
      </w:r>
      <w:r>
        <w:rPr>
          <w:rStyle w:val="FootnoteReference"/>
          <w:rFonts w:eastAsia="SimSun"/>
        </w:rPr>
        <w:t>9</w:t>
      </w:r>
      <w:r>
        <w:rPr>
          <w:rFonts w:eastAsia="SimSun"/>
        </w:rPr>
        <w:t xml:space="preserve"> </w:t>
      </w:r>
      <w:r>
        <w:rPr>
          <w:rFonts w:eastAsia="SimSun" w:hint="eastAsia"/>
        </w:rPr>
        <w:t>1988</w:t>
      </w:r>
      <w:r>
        <w:rPr>
          <w:rFonts w:eastAsia="SimSun" w:hint="eastAsia"/>
        </w:rPr>
        <w:t>年《巴西宪法》第</w:t>
      </w:r>
      <w:r>
        <w:rPr>
          <w:rFonts w:eastAsia="SimSun" w:hint="eastAsia"/>
        </w:rPr>
        <w:t>5</w:t>
      </w:r>
      <w:r>
        <w:rPr>
          <w:rFonts w:eastAsia="SimSun" w:hint="eastAsia"/>
        </w:rPr>
        <w:t>条第</w:t>
      </w:r>
      <w:r>
        <w:rPr>
          <w:rFonts w:eastAsia="SimSun" w:hint="eastAsia"/>
        </w:rPr>
        <w:t>2</w:t>
      </w:r>
      <w:r>
        <w:rPr>
          <w:rFonts w:eastAsia="SimSun" w:hint="eastAsia"/>
        </w:rPr>
        <w:t>款承认巴西政府成为缔约方的国际条约和公约中规定的各项权利和保障。</w:t>
      </w:r>
    </w:p>
  </w:footnote>
  <w:footnote w:id="140">
    <w:p w:rsidR="00000000" w:rsidRDefault="004D2F83">
      <w:pPr>
        <w:pStyle w:val="FootnoteText"/>
        <w:spacing w:afterLines="30" w:after="72" w:line="240" w:lineRule="auto"/>
        <w:rPr>
          <w:rFonts w:eastAsia="SimSun" w:hint="eastAsia"/>
        </w:rPr>
      </w:pPr>
      <w:r>
        <w:rPr>
          <w:rStyle w:val="FootnoteReference"/>
          <w:rFonts w:eastAsia="SimSun"/>
        </w:rPr>
        <w:t>140</w:t>
      </w:r>
      <w:r>
        <w:rPr>
          <w:rFonts w:eastAsia="SimSun"/>
        </w:rPr>
        <w:t xml:space="preserve"> </w:t>
      </w:r>
      <w:r>
        <w:rPr>
          <w:rFonts w:eastAsia="SimSun" w:hint="eastAsia"/>
        </w:rPr>
        <w:t>1985</w:t>
      </w:r>
      <w:r>
        <w:rPr>
          <w:rFonts w:eastAsia="SimSun" w:hint="eastAsia"/>
        </w:rPr>
        <w:t>年在内罗毕举行的妇女问题世界会议拟订的战略。</w:t>
      </w:r>
    </w:p>
  </w:footnote>
  <w:footnote w:id="141">
    <w:p w:rsidR="00000000" w:rsidRDefault="004D2F83">
      <w:pPr>
        <w:pStyle w:val="FootnoteText"/>
        <w:spacing w:afterLines="30" w:after="72" w:line="240" w:lineRule="auto"/>
        <w:rPr>
          <w:rFonts w:eastAsia="SimSun" w:hint="eastAsia"/>
        </w:rPr>
      </w:pPr>
      <w:r>
        <w:rPr>
          <w:rStyle w:val="FootnoteReference"/>
          <w:rFonts w:eastAsia="SimSun"/>
        </w:rPr>
        <w:t>141</w:t>
      </w:r>
      <w:r>
        <w:rPr>
          <w:rFonts w:eastAsia="SimSun"/>
        </w:rPr>
        <w:t xml:space="preserve"> </w:t>
      </w:r>
      <w:r>
        <w:rPr>
          <w:rFonts w:eastAsia="SimSun" w:hint="eastAsia"/>
        </w:rPr>
        <w:t>全国妇女权利委员会于</w:t>
      </w:r>
      <w:r>
        <w:rPr>
          <w:rFonts w:eastAsia="SimSun" w:hint="eastAsia"/>
        </w:rPr>
        <w:t>1985</w:t>
      </w:r>
      <w:r>
        <w:rPr>
          <w:rFonts w:eastAsia="SimSun" w:hint="eastAsia"/>
        </w:rPr>
        <w:t>年成立，该委员会在将妇女运动的要求列入制宪过程议程及随后列入</w:t>
      </w:r>
      <w:r>
        <w:rPr>
          <w:rFonts w:eastAsia="SimSun" w:hint="eastAsia"/>
        </w:rPr>
        <w:t>1988</w:t>
      </w:r>
      <w:r>
        <w:rPr>
          <w:rFonts w:eastAsia="SimSun" w:hint="eastAsia"/>
        </w:rPr>
        <w:t>年《巴西宪法》方面起了决定性的作用。</w:t>
      </w:r>
    </w:p>
  </w:footnote>
  <w:footnote w:id="142">
    <w:p w:rsidR="00000000" w:rsidRDefault="004D2F83">
      <w:pPr>
        <w:pStyle w:val="FootnoteText"/>
        <w:spacing w:afterLines="30" w:after="72" w:line="240" w:lineRule="auto"/>
        <w:rPr>
          <w:rFonts w:eastAsia="SimSun" w:hint="eastAsia"/>
        </w:rPr>
      </w:pPr>
      <w:r>
        <w:rPr>
          <w:rStyle w:val="FootnoteReference"/>
          <w:rFonts w:eastAsia="SimSun"/>
        </w:rPr>
        <w:t>142</w:t>
      </w:r>
      <w:r>
        <w:rPr>
          <w:rFonts w:eastAsia="SimSun"/>
        </w:rPr>
        <w:t xml:space="preserve"> </w:t>
      </w:r>
      <w:r>
        <w:rPr>
          <w:rFonts w:eastAsia="SimSun" w:hint="eastAsia"/>
        </w:rPr>
        <w:t>见</w:t>
      </w:r>
      <w:r>
        <w:rPr>
          <w:rFonts w:eastAsia="SimSun" w:hint="eastAsia"/>
        </w:rPr>
        <w:t>Barsted</w:t>
      </w:r>
      <w:r>
        <w:rPr>
          <w:rFonts w:eastAsia="SimSun" w:hint="eastAsia"/>
        </w:rPr>
        <w:t>，</w:t>
      </w:r>
      <w:r>
        <w:rPr>
          <w:rFonts w:eastAsia="SimSun" w:hint="eastAsia"/>
        </w:rPr>
        <w:t>1994</w:t>
      </w:r>
      <w:r>
        <w:rPr>
          <w:rFonts w:eastAsia="SimSun" w:hint="eastAsia"/>
        </w:rPr>
        <w:t>和</w:t>
      </w:r>
      <w:r>
        <w:rPr>
          <w:rFonts w:eastAsia="SimSun" w:hint="eastAsia"/>
        </w:rPr>
        <w:t>1996</w:t>
      </w:r>
      <w:r>
        <w:rPr>
          <w:rFonts w:eastAsia="SimSun" w:hint="eastAsia"/>
        </w:rPr>
        <w:t>年。</w:t>
      </w:r>
    </w:p>
  </w:footnote>
  <w:footnote w:id="143">
    <w:p w:rsidR="00000000" w:rsidRDefault="004D2F83">
      <w:pPr>
        <w:pStyle w:val="FootnoteText"/>
        <w:spacing w:afterLines="30" w:after="72" w:line="240" w:lineRule="auto"/>
        <w:rPr>
          <w:rFonts w:eastAsia="SimSun" w:hint="eastAsia"/>
        </w:rPr>
      </w:pPr>
      <w:r>
        <w:rPr>
          <w:rStyle w:val="FootnoteReference"/>
          <w:rFonts w:eastAsia="SimSun"/>
        </w:rPr>
        <w:t>143</w:t>
      </w:r>
      <w:r>
        <w:rPr>
          <w:rFonts w:eastAsia="SimSun"/>
        </w:rPr>
        <w:t xml:space="preserve"> </w:t>
      </w:r>
      <w:r>
        <w:rPr>
          <w:rFonts w:eastAsia="SimSun" w:hint="eastAsia"/>
        </w:rPr>
        <w:t>根据全国定居和土地改革研究所的文件，该项目是与各市合作执行的一种分散的定居形式。</w:t>
      </w:r>
    </w:p>
  </w:footnote>
  <w:footnote w:id="144">
    <w:p w:rsidR="00000000" w:rsidRDefault="004D2F83">
      <w:pPr>
        <w:pStyle w:val="FootnoteText"/>
        <w:spacing w:afterLines="30" w:after="72" w:line="240" w:lineRule="auto"/>
        <w:rPr>
          <w:rFonts w:eastAsia="SimSun" w:hint="eastAsia"/>
        </w:rPr>
      </w:pPr>
      <w:r>
        <w:rPr>
          <w:rStyle w:val="FootnoteReference"/>
          <w:rFonts w:eastAsia="SimSun"/>
        </w:rPr>
        <w:t>144</w:t>
      </w:r>
      <w:r>
        <w:rPr>
          <w:rFonts w:eastAsia="SimSun"/>
        </w:rPr>
        <w:t xml:space="preserve"> </w:t>
      </w:r>
      <w:r>
        <w:rPr>
          <w:rFonts w:eastAsia="SimSun" w:hint="eastAsia"/>
        </w:rPr>
        <w:t>根据全国定居和工地改革研究所的资料，</w:t>
      </w:r>
      <w:r>
        <w:rPr>
          <w:rFonts w:eastAsia="SimSun" w:hint="eastAsia"/>
        </w:rPr>
        <w:t>Lumar</w:t>
      </w:r>
      <w:r>
        <w:rPr>
          <w:rFonts w:eastAsia="SimSun" w:hint="eastAsia"/>
        </w:rPr>
        <w:t>项目旨在向符</w:t>
      </w:r>
      <w:r>
        <w:rPr>
          <w:rFonts w:eastAsia="SimSun" w:hint="eastAsia"/>
        </w:rPr>
        <w:t>合条件的定居家庭提供技术援助。</w:t>
      </w:r>
    </w:p>
  </w:footnote>
  <w:footnote w:id="145">
    <w:p w:rsidR="00000000" w:rsidRDefault="004D2F83">
      <w:pPr>
        <w:pStyle w:val="FootnoteText"/>
        <w:spacing w:afterLines="30" w:after="72" w:line="240" w:lineRule="auto"/>
        <w:rPr>
          <w:rFonts w:eastAsia="SimSun" w:hint="eastAsia"/>
        </w:rPr>
      </w:pPr>
      <w:r>
        <w:rPr>
          <w:rStyle w:val="FootnoteReference"/>
          <w:rFonts w:eastAsia="SimSun"/>
        </w:rPr>
        <w:t>145</w:t>
      </w:r>
      <w:r>
        <w:rPr>
          <w:rFonts w:eastAsia="SimSun"/>
        </w:rPr>
        <w:t xml:space="preserve"> </w:t>
      </w:r>
      <w:r>
        <w:rPr>
          <w:rFonts w:eastAsia="SimSun" w:hint="eastAsia"/>
        </w:rPr>
        <w:t>见</w:t>
      </w:r>
      <w:r>
        <w:rPr>
          <w:rFonts w:eastAsia="SimSun" w:hint="eastAsia"/>
        </w:rPr>
        <w:t>IBASE</w:t>
      </w:r>
      <w:r>
        <w:rPr>
          <w:rFonts w:eastAsia="SimSun" w:hint="eastAsia"/>
        </w:rPr>
        <w:t>，公民观察站（</w:t>
      </w:r>
      <w:r>
        <w:rPr>
          <w:rFonts w:eastAsia="SimSun" w:hint="eastAsia"/>
        </w:rPr>
        <w:t>2000</w:t>
      </w:r>
      <w:r>
        <w:rPr>
          <w:rFonts w:eastAsia="SimSun" w:hint="eastAsia"/>
        </w:rPr>
        <w:t>年）。</w:t>
      </w:r>
    </w:p>
  </w:footnote>
  <w:footnote w:id="146">
    <w:p w:rsidR="00000000" w:rsidRDefault="004D2F83">
      <w:pPr>
        <w:pStyle w:val="FootnoteText"/>
        <w:spacing w:afterLines="30" w:after="72" w:line="240" w:lineRule="auto"/>
        <w:rPr>
          <w:rFonts w:eastAsia="SimSun" w:hint="eastAsia"/>
        </w:rPr>
      </w:pPr>
      <w:r>
        <w:rPr>
          <w:rStyle w:val="FootnoteReference"/>
          <w:rFonts w:eastAsia="SimSun"/>
        </w:rPr>
        <w:t>146</w:t>
      </w:r>
      <w:r>
        <w:rPr>
          <w:rFonts w:eastAsia="SimSun"/>
        </w:rPr>
        <w:t xml:space="preserve"> </w:t>
      </w:r>
      <w:r>
        <w:rPr>
          <w:rFonts w:eastAsia="SimSun" w:hint="eastAsia"/>
        </w:rPr>
        <w:t>2000</w:t>
      </w:r>
      <w:r>
        <w:rPr>
          <w:rFonts w:eastAsia="SimSun" w:hint="eastAsia"/>
        </w:rPr>
        <w:t>年人口普查估计，巴西人口为</w:t>
      </w:r>
      <w:r>
        <w:rPr>
          <w:rFonts w:eastAsia="SimSun" w:hint="eastAsia"/>
        </w:rPr>
        <w:t>172 928 618</w:t>
      </w:r>
      <w:r>
        <w:rPr>
          <w:rFonts w:eastAsia="SimSun" w:hint="eastAsia"/>
        </w:rPr>
        <w:t>人。</w:t>
      </w:r>
    </w:p>
  </w:footnote>
  <w:footnote w:id="147">
    <w:p w:rsidR="00000000" w:rsidRDefault="004D2F83">
      <w:pPr>
        <w:pStyle w:val="FootnoteText"/>
        <w:spacing w:afterLines="30" w:after="72" w:line="240" w:lineRule="auto"/>
        <w:rPr>
          <w:rFonts w:eastAsia="SimSun" w:hint="eastAsia"/>
        </w:rPr>
      </w:pPr>
      <w:r>
        <w:rPr>
          <w:rStyle w:val="FootnoteReference"/>
          <w:rFonts w:eastAsia="SimSun"/>
        </w:rPr>
        <w:t>147</w:t>
      </w:r>
      <w:r>
        <w:rPr>
          <w:rFonts w:eastAsia="SimSun"/>
        </w:rPr>
        <w:t xml:space="preserve"> </w:t>
      </w:r>
      <w:r>
        <w:rPr>
          <w:rFonts w:eastAsia="SimSun" w:hint="eastAsia"/>
        </w:rPr>
        <w:t>无报酬工作成为妇女在生产活动中被忽视的一个因素。估计在</w:t>
      </w:r>
      <w:r>
        <w:rPr>
          <w:rFonts w:eastAsia="SimSun" w:hint="eastAsia"/>
        </w:rPr>
        <w:t>1998</w:t>
      </w:r>
      <w:r>
        <w:rPr>
          <w:rFonts w:eastAsia="SimSun" w:hint="eastAsia"/>
        </w:rPr>
        <w:t>年，妇女占全部无报酬农业劳动者的</w:t>
      </w:r>
      <w:r>
        <w:rPr>
          <w:rFonts w:eastAsia="SimSun" w:hint="eastAsia"/>
        </w:rPr>
        <w:t>81%</w:t>
      </w:r>
      <w:r>
        <w:rPr>
          <w:rFonts w:eastAsia="SimSun" w:hint="eastAsia"/>
        </w:rPr>
        <w:t>。在这方面，见全国住户抽样调查</w:t>
      </w:r>
      <w:r>
        <w:rPr>
          <w:rFonts w:eastAsia="SimSun" w:hint="eastAsia"/>
        </w:rPr>
        <w:t>/</w:t>
      </w:r>
      <w:r>
        <w:rPr>
          <w:rFonts w:eastAsia="SimSun" w:hint="eastAsia"/>
        </w:rPr>
        <w:t>巴西地理与统计局，</w:t>
      </w:r>
      <w:r>
        <w:rPr>
          <w:rFonts w:eastAsia="SimSun" w:hint="eastAsia"/>
        </w:rPr>
        <w:t>1998</w:t>
      </w:r>
      <w:r>
        <w:rPr>
          <w:rFonts w:eastAsia="SimSun" w:hint="eastAsia"/>
        </w:rPr>
        <w:t>年。专表：</w:t>
      </w:r>
      <w:r>
        <w:rPr>
          <w:rFonts w:eastAsia="SimSun" w:hint="eastAsia"/>
        </w:rPr>
        <w:t>Melo &amp; Sabbato</w:t>
      </w:r>
      <w:r>
        <w:rPr>
          <w:rFonts w:eastAsia="SimSun" w:hint="eastAsia"/>
        </w:rPr>
        <w:t>，</w:t>
      </w:r>
      <w:r>
        <w:rPr>
          <w:rFonts w:eastAsia="SimSun" w:hint="eastAsia"/>
        </w:rPr>
        <w:t>2000</w:t>
      </w:r>
      <w:r>
        <w:rPr>
          <w:rFonts w:eastAsia="SimSun" w:hint="eastAsia"/>
        </w:rPr>
        <w:t>年。</w:t>
      </w:r>
      <w:r>
        <w:rPr>
          <w:rFonts w:eastAsia="SimSun" w:hint="eastAsia"/>
        </w:rPr>
        <w:t>Apud ABRAMOVAY</w:t>
      </w:r>
      <w:r>
        <w:rPr>
          <w:rFonts w:eastAsia="SimSun" w:hint="eastAsia"/>
        </w:rPr>
        <w:t>和</w:t>
      </w:r>
      <w:r>
        <w:rPr>
          <w:rFonts w:eastAsia="SimSun" w:hint="eastAsia"/>
        </w:rPr>
        <w:t>RUAS</w:t>
      </w:r>
      <w:r>
        <w:rPr>
          <w:rFonts w:eastAsia="SimSun" w:hint="eastAsia"/>
        </w:rPr>
        <w:t>（</w:t>
      </w:r>
      <w:r>
        <w:rPr>
          <w:rFonts w:eastAsia="SimSun" w:hint="eastAsia"/>
        </w:rPr>
        <w:t>2000</w:t>
      </w:r>
      <w:r>
        <w:rPr>
          <w:rFonts w:eastAsia="SimSun" w:hint="eastAsia"/>
        </w:rPr>
        <w:t>年）。</w:t>
      </w:r>
    </w:p>
  </w:footnote>
  <w:footnote w:id="148">
    <w:p w:rsidR="00000000" w:rsidRDefault="004D2F83">
      <w:pPr>
        <w:pStyle w:val="FootnoteText"/>
        <w:spacing w:afterLines="30" w:after="72" w:line="240" w:lineRule="auto"/>
        <w:rPr>
          <w:rFonts w:eastAsia="SimSun" w:hint="eastAsia"/>
        </w:rPr>
      </w:pPr>
      <w:r>
        <w:rPr>
          <w:rStyle w:val="FootnoteReference"/>
          <w:rFonts w:eastAsia="SimSun"/>
        </w:rPr>
        <w:t>148</w:t>
      </w:r>
      <w:r>
        <w:rPr>
          <w:rFonts w:eastAsia="SimSun"/>
        </w:rPr>
        <w:t xml:space="preserve"> </w:t>
      </w:r>
      <w:r>
        <w:rPr>
          <w:rFonts w:eastAsia="SimSun" w:hint="eastAsia"/>
        </w:rPr>
        <w:t>全国住户抽样调查显示，男子的平均月收入为最低工资的</w:t>
      </w:r>
      <w:r>
        <w:rPr>
          <w:rFonts w:eastAsia="SimSun" w:hint="eastAsia"/>
        </w:rPr>
        <w:t>3.2</w:t>
      </w:r>
      <w:r>
        <w:rPr>
          <w:rFonts w:eastAsia="SimSun" w:hint="eastAsia"/>
        </w:rPr>
        <w:t>倍，而妇女的平均月收入</w:t>
      </w:r>
      <w:r>
        <w:rPr>
          <w:rFonts w:eastAsia="SimSun" w:hint="eastAsia"/>
        </w:rPr>
        <w:t>为最低工资的</w:t>
      </w:r>
      <w:r>
        <w:rPr>
          <w:rFonts w:eastAsia="SimSun" w:hint="eastAsia"/>
        </w:rPr>
        <w:t>1.4</w:t>
      </w:r>
      <w:r>
        <w:rPr>
          <w:rFonts w:eastAsia="SimSun" w:hint="eastAsia"/>
        </w:rPr>
        <w:t>倍。另根据全国住户抽样调查，</w:t>
      </w:r>
      <w:r>
        <w:rPr>
          <w:rFonts w:eastAsia="SimSun" w:hint="eastAsia"/>
        </w:rPr>
        <w:t>1995</w:t>
      </w:r>
      <w:r>
        <w:rPr>
          <w:rFonts w:eastAsia="SimSun" w:hint="eastAsia"/>
        </w:rPr>
        <w:t>年，有报酬妇女的平均收入为男子收入的</w:t>
      </w:r>
      <w:r>
        <w:rPr>
          <w:rFonts w:eastAsia="SimSun" w:hint="eastAsia"/>
        </w:rPr>
        <w:t>62.6%</w:t>
      </w:r>
      <w:r>
        <w:rPr>
          <w:rFonts w:eastAsia="SimSun" w:hint="eastAsia"/>
        </w:rPr>
        <w:t>；</w:t>
      </w:r>
      <w:r>
        <w:rPr>
          <w:rFonts w:eastAsia="SimSun" w:hint="eastAsia"/>
        </w:rPr>
        <w:t>1999</w:t>
      </w:r>
      <w:r>
        <w:rPr>
          <w:rFonts w:eastAsia="SimSun" w:hint="eastAsia"/>
        </w:rPr>
        <w:t>年，该比率达到</w:t>
      </w:r>
      <w:r>
        <w:rPr>
          <w:rFonts w:eastAsia="SimSun" w:hint="eastAsia"/>
        </w:rPr>
        <w:t>69.1%</w:t>
      </w:r>
      <w:r>
        <w:rPr>
          <w:rFonts w:eastAsia="SimSun" w:hint="eastAsia"/>
        </w:rPr>
        <w:t>。资料来源：巴西地理与统计局</w:t>
      </w:r>
      <w:r>
        <w:rPr>
          <w:rFonts w:eastAsia="SimSun" w:hint="eastAsia"/>
        </w:rPr>
        <w:t>/</w:t>
      </w:r>
      <w:r>
        <w:rPr>
          <w:rFonts w:eastAsia="SimSun" w:hint="eastAsia"/>
        </w:rPr>
        <w:t>全国住户抽样调查，</w:t>
      </w:r>
      <w:r>
        <w:rPr>
          <w:rFonts w:eastAsia="SimSun" w:hint="eastAsia"/>
        </w:rPr>
        <w:t>1999</w:t>
      </w:r>
      <w:r>
        <w:rPr>
          <w:rFonts w:eastAsia="SimSun" w:hint="eastAsia"/>
        </w:rPr>
        <w:t>年。</w:t>
      </w:r>
    </w:p>
  </w:footnote>
  <w:footnote w:id="149">
    <w:p w:rsidR="00000000" w:rsidRDefault="004D2F83">
      <w:pPr>
        <w:pStyle w:val="FootnoteText"/>
        <w:spacing w:afterLines="30" w:after="72" w:line="240" w:lineRule="auto"/>
        <w:rPr>
          <w:rFonts w:eastAsia="SimSun" w:hint="eastAsia"/>
        </w:rPr>
      </w:pPr>
      <w:r>
        <w:rPr>
          <w:rStyle w:val="FootnoteReference"/>
          <w:rFonts w:eastAsia="SimSun"/>
        </w:rPr>
        <w:t>149</w:t>
      </w:r>
      <w:r>
        <w:rPr>
          <w:rFonts w:eastAsia="SimSun"/>
        </w:rPr>
        <w:t xml:space="preserve"> </w:t>
      </w:r>
      <w:r>
        <w:rPr>
          <w:rFonts w:eastAsia="SimSun" w:hint="eastAsia"/>
        </w:rPr>
        <w:t>资料来源：巴西地理与统计局</w:t>
      </w:r>
      <w:r>
        <w:rPr>
          <w:rFonts w:eastAsia="SimSun" w:hint="eastAsia"/>
        </w:rPr>
        <w:t>/</w:t>
      </w:r>
      <w:r>
        <w:rPr>
          <w:rFonts w:eastAsia="SimSun" w:hint="eastAsia"/>
        </w:rPr>
        <w:t>全国住户抽样调查，</w:t>
      </w:r>
      <w:r>
        <w:rPr>
          <w:rFonts w:eastAsia="SimSun" w:hint="eastAsia"/>
        </w:rPr>
        <w:t>1998</w:t>
      </w:r>
      <w:r>
        <w:rPr>
          <w:rFonts w:eastAsia="SimSun" w:hint="eastAsia"/>
        </w:rPr>
        <w:t>年。</w:t>
      </w:r>
    </w:p>
  </w:footnote>
  <w:footnote w:id="150">
    <w:p w:rsidR="00000000" w:rsidRDefault="004D2F83">
      <w:pPr>
        <w:pStyle w:val="FootnoteText"/>
        <w:spacing w:afterLines="30" w:after="72" w:line="240" w:lineRule="auto"/>
        <w:rPr>
          <w:rFonts w:eastAsia="SimSun" w:hint="eastAsia"/>
        </w:rPr>
      </w:pPr>
      <w:r>
        <w:rPr>
          <w:rStyle w:val="FootnoteReference"/>
          <w:rFonts w:eastAsia="SimSun"/>
        </w:rPr>
        <w:t>150</w:t>
      </w:r>
      <w:r>
        <w:rPr>
          <w:rFonts w:eastAsia="SimSun"/>
        </w:rPr>
        <w:t xml:space="preserve"> </w:t>
      </w:r>
      <w:r>
        <w:rPr>
          <w:rFonts w:eastAsia="SimSun" w:hint="eastAsia"/>
        </w:rPr>
        <w:t>在这方面，见教科文组织印发的、</w:t>
      </w:r>
      <w:r>
        <w:rPr>
          <w:rFonts w:eastAsia="SimSun" w:hint="eastAsia"/>
        </w:rPr>
        <w:t>Miriam Abramovay</w:t>
      </w:r>
      <w:r>
        <w:rPr>
          <w:rFonts w:eastAsia="SimSun" w:hint="eastAsia"/>
        </w:rPr>
        <w:t>撰写的论文，</w:t>
      </w:r>
      <w:r>
        <w:rPr>
          <w:rFonts w:eastAsia="SimSun" w:hint="eastAsia"/>
        </w:rPr>
        <w:t>2000</w:t>
      </w:r>
      <w:r>
        <w:rPr>
          <w:rFonts w:eastAsia="SimSun" w:hint="eastAsia"/>
        </w:rPr>
        <w:t>年。</w:t>
      </w:r>
    </w:p>
  </w:footnote>
  <w:footnote w:id="151">
    <w:p w:rsidR="00000000" w:rsidRDefault="004D2F83">
      <w:pPr>
        <w:pStyle w:val="FootnoteText"/>
        <w:spacing w:afterLines="30" w:after="72" w:line="240" w:lineRule="auto"/>
        <w:rPr>
          <w:rFonts w:eastAsia="SimSun" w:hint="eastAsia"/>
        </w:rPr>
      </w:pPr>
      <w:r>
        <w:rPr>
          <w:rStyle w:val="FootnoteReference"/>
          <w:rFonts w:eastAsia="SimSun"/>
        </w:rPr>
        <w:t>151</w:t>
      </w:r>
      <w:r>
        <w:rPr>
          <w:rFonts w:eastAsia="SimSun"/>
        </w:rPr>
        <w:t xml:space="preserve"> </w:t>
      </w:r>
      <w:r>
        <w:rPr>
          <w:rFonts w:eastAsia="SimSun" w:hint="eastAsia"/>
        </w:rPr>
        <w:t>同上，第</w:t>
      </w:r>
      <w:r>
        <w:rPr>
          <w:rFonts w:eastAsia="SimSun" w:hint="eastAsia"/>
        </w:rPr>
        <w:t>100</w:t>
      </w:r>
      <w:r>
        <w:rPr>
          <w:rFonts w:eastAsia="SimSun" w:hint="eastAsia"/>
        </w:rPr>
        <w:t>页。</w:t>
      </w:r>
    </w:p>
  </w:footnote>
  <w:footnote w:id="152">
    <w:p w:rsidR="00000000" w:rsidRDefault="004D2F83">
      <w:pPr>
        <w:pStyle w:val="FootnoteText"/>
        <w:spacing w:afterLines="30" w:after="72" w:line="240" w:lineRule="auto"/>
        <w:rPr>
          <w:rFonts w:eastAsia="SimSun" w:hint="eastAsia"/>
        </w:rPr>
      </w:pPr>
      <w:r>
        <w:rPr>
          <w:rStyle w:val="FootnoteReference"/>
          <w:rFonts w:eastAsia="SimSun"/>
        </w:rPr>
        <w:t>152</w:t>
      </w:r>
      <w:r>
        <w:rPr>
          <w:rFonts w:eastAsia="SimSun"/>
        </w:rPr>
        <w:t xml:space="preserve"> </w:t>
      </w:r>
      <w:r>
        <w:rPr>
          <w:rFonts w:eastAsia="SimSun" w:hint="eastAsia"/>
        </w:rPr>
        <w:t>全国定居和土地改革研究所（</w:t>
      </w:r>
      <w:r>
        <w:rPr>
          <w:rFonts w:eastAsia="SimSun" w:hint="eastAsia"/>
        </w:rPr>
        <w:t>1998</w:t>
      </w:r>
      <w:r>
        <w:rPr>
          <w:rFonts w:eastAsia="SimSun" w:hint="eastAsia"/>
        </w:rPr>
        <w:t>年）。</w:t>
      </w:r>
      <w:r>
        <w:rPr>
          <w:rFonts w:eastAsia="SimSun" w:hint="eastAsia"/>
        </w:rPr>
        <w:t>1.8%</w:t>
      </w:r>
      <w:r>
        <w:rPr>
          <w:rFonts w:eastAsia="SimSun" w:hint="eastAsia"/>
        </w:rPr>
        <w:t>没有答复。</w:t>
      </w:r>
    </w:p>
  </w:footnote>
  <w:footnote w:id="153">
    <w:p w:rsidR="00000000" w:rsidRDefault="004D2F83">
      <w:pPr>
        <w:pStyle w:val="FootnoteText"/>
        <w:spacing w:afterLines="30" w:after="72" w:line="240" w:lineRule="auto"/>
        <w:rPr>
          <w:rFonts w:eastAsia="SimSun" w:hint="eastAsia"/>
        </w:rPr>
      </w:pPr>
      <w:r>
        <w:rPr>
          <w:rStyle w:val="FootnoteReference"/>
          <w:rFonts w:eastAsia="SimSun"/>
        </w:rPr>
        <w:t>153</w:t>
      </w:r>
      <w:r>
        <w:rPr>
          <w:rFonts w:eastAsia="SimSun"/>
        </w:rPr>
        <w:t xml:space="preserve"> </w:t>
      </w:r>
      <w:r>
        <w:rPr>
          <w:rFonts w:eastAsia="SimSun" w:hint="eastAsia"/>
        </w:rPr>
        <w:t>1980</w:t>
      </w:r>
      <w:r>
        <w:rPr>
          <w:rFonts w:eastAsia="SimSun" w:hint="eastAsia"/>
        </w:rPr>
        <w:t>年</w:t>
      </w:r>
      <w:r>
        <w:rPr>
          <w:rFonts w:eastAsia="SimSun"/>
        </w:rPr>
        <w:t>Florisa Verucci</w:t>
      </w:r>
      <w:r>
        <w:rPr>
          <w:rFonts w:eastAsia="SimSun" w:hint="eastAsia"/>
        </w:rPr>
        <w:t>和</w:t>
      </w:r>
      <w:r>
        <w:rPr>
          <w:rFonts w:eastAsia="SimSun"/>
        </w:rPr>
        <w:t>Sil</w:t>
      </w:r>
      <w:r>
        <w:rPr>
          <w:rFonts w:eastAsia="SimSun"/>
        </w:rPr>
        <w:t>via Pimentel</w:t>
      </w:r>
      <w:r>
        <w:rPr>
          <w:rFonts w:eastAsia="SimSun" w:hint="eastAsia"/>
        </w:rPr>
        <w:t>撰写。</w:t>
      </w:r>
    </w:p>
  </w:footnote>
  <w:footnote w:id="154">
    <w:p w:rsidR="00000000" w:rsidRDefault="004D2F83">
      <w:pPr>
        <w:pStyle w:val="FootnoteText"/>
        <w:spacing w:afterLines="30" w:after="72" w:line="240" w:lineRule="auto"/>
        <w:rPr>
          <w:rFonts w:eastAsia="SimSun"/>
        </w:rPr>
      </w:pPr>
      <w:r>
        <w:rPr>
          <w:rStyle w:val="FootnoteReference"/>
          <w:rFonts w:eastAsia="SimSun"/>
        </w:rPr>
        <w:t>154</w:t>
      </w:r>
      <w:r>
        <w:rPr>
          <w:rFonts w:eastAsia="SimSun" w:hint="eastAsia"/>
        </w:rPr>
        <w:t xml:space="preserve"> </w:t>
      </w:r>
      <w:r>
        <w:rPr>
          <w:rFonts w:eastAsia="SimSun" w:hint="eastAsia"/>
        </w:rPr>
        <w:t>阿马帕、巴伊亚、塞阿拉、圣埃斯皮里图、戈亚斯、马托格罗索、米纳斯吉拉斯、巴拉、帕拉伊巴、巴拉那、皮奥伊、里约热内卢、北里约格朗德、罗赖马、圣卡塔林纳和塞尔希培。</w:t>
      </w:r>
    </w:p>
  </w:footnote>
  <w:footnote w:id="155">
    <w:p w:rsidR="00000000" w:rsidRDefault="004D2F83">
      <w:pPr>
        <w:pStyle w:val="FootnoteText"/>
        <w:spacing w:afterLines="30" w:after="72" w:line="240" w:lineRule="auto"/>
        <w:rPr>
          <w:rFonts w:eastAsia="SimSun"/>
        </w:rPr>
      </w:pPr>
      <w:r>
        <w:rPr>
          <w:rStyle w:val="FootnoteReference"/>
          <w:rFonts w:eastAsia="SimSun"/>
        </w:rPr>
        <w:t>155</w:t>
      </w:r>
      <w:r>
        <w:rPr>
          <w:rFonts w:eastAsia="SimSun"/>
        </w:rPr>
        <w:t xml:space="preserve"> </w:t>
      </w:r>
      <w:r>
        <w:rPr>
          <w:rFonts w:eastAsia="SimSun" w:hint="eastAsia"/>
        </w:rPr>
        <w:t>阿马帕、亚马孙、巴伊亚、塞阿拉、圣埃斯皮里图、戈亚斯、马拉尼昂、南马托格罗索、巴拉、巴拉那、帕拉伊巴、伯南布哥、里约热内卢、北里约格朗德、南里约格朗德、圣卡塔林纳、圣保罗。</w:t>
      </w:r>
    </w:p>
  </w:footnote>
  <w:footnote w:id="156">
    <w:p w:rsidR="00000000" w:rsidRDefault="004D2F83">
      <w:pPr>
        <w:pStyle w:val="FootnoteText"/>
        <w:spacing w:afterLines="30" w:after="72" w:line="240" w:lineRule="auto"/>
        <w:rPr>
          <w:rFonts w:eastAsia="SimSun"/>
        </w:rPr>
      </w:pPr>
      <w:r>
        <w:rPr>
          <w:rStyle w:val="FootnoteReference"/>
          <w:rFonts w:eastAsia="SimSun"/>
        </w:rPr>
        <w:t>156</w:t>
      </w:r>
      <w:r>
        <w:rPr>
          <w:rFonts w:eastAsia="SimSun"/>
        </w:rPr>
        <w:t xml:space="preserve"> </w:t>
      </w:r>
      <w:r>
        <w:rPr>
          <w:rFonts w:eastAsia="SimSun" w:hint="eastAsia"/>
        </w:rPr>
        <w:t>巴伊亚、塞阿拉、圣埃斯皮里图、南马托格罗索、伯南布哥、北里约格朗德、南里约格朗德、圣卡塔林纳和联邦区。</w:t>
      </w:r>
    </w:p>
  </w:footnote>
  <w:footnote w:id="157">
    <w:p w:rsidR="00000000" w:rsidRDefault="004D2F83">
      <w:pPr>
        <w:pStyle w:val="FootnoteText"/>
        <w:spacing w:afterLines="30" w:after="72" w:line="240" w:lineRule="auto"/>
        <w:rPr>
          <w:rFonts w:eastAsia="SimSun" w:hint="eastAsia"/>
        </w:rPr>
      </w:pPr>
      <w:r>
        <w:rPr>
          <w:rStyle w:val="FootnoteReference"/>
          <w:rFonts w:eastAsia="SimSun"/>
        </w:rPr>
        <w:t>157</w:t>
      </w:r>
      <w:r>
        <w:rPr>
          <w:rFonts w:eastAsia="SimSun"/>
        </w:rPr>
        <w:t xml:space="preserve"> </w:t>
      </w:r>
      <w:r>
        <w:rPr>
          <w:rFonts w:eastAsia="SimSun" w:hint="eastAsia"/>
        </w:rPr>
        <w:t>PIME</w:t>
      </w:r>
      <w:r>
        <w:rPr>
          <w:rFonts w:eastAsia="SimSun" w:hint="eastAsia"/>
        </w:rPr>
        <w:t>NTEL</w:t>
      </w:r>
      <w:r>
        <w:rPr>
          <w:rFonts w:eastAsia="SimSun"/>
        </w:rPr>
        <w:t>, Silvia, DI GIORGI, Beatriz</w:t>
      </w:r>
      <w:r>
        <w:rPr>
          <w:rFonts w:eastAsia="SimSun" w:hint="eastAsia"/>
        </w:rPr>
        <w:t>和</w:t>
      </w:r>
      <w:r>
        <w:rPr>
          <w:rFonts w:eastAsia="SimSun"/>
        </w:rPr>
        <w:t>PIOVESAN, Flavia</w:t>
      </w:r>
      <w:r>
        <w:rPr>
          <w:rFonts w:eastAsia="SimSun" w:hint="eastAsia"/>
        </w:rPr>
        <w:t>。《妇女在家事诉讼程序中的形象》，</w:t>
      </w:r>
      <w:r>
        <w:rPr>
          <w:rFonts w:eastAsia="SimSun"/>
        </w:rPr>
        <w:t>Sergio Fabris</w:t>
      </w:r>
      <w:r>
        <w:rPr>
          <w:rFonts w:eastAsia="SimSun" w:hint="eastAsia"/>
        </w:rPr>
        <w:t>编辑，圣保罗，</w:t>
      </w:r>
      <w:r>
        <w:rPr>
          <w:rFonts w:eastAsia="SimSun" w:hint="eastAsia"/>
        </w:rPr>
        <w:t>1993</w:t>
      </w:r>
      <w:r>
        <w:rPr>
          <w:rFonts w:eastAsia="SimSun" w:hint="eastAsia"/>
        </w:rPr>
        <w:t>年。</w:t>
      </w:r>
    </w:p>
  </w:footnote>
  <w:footnote w:id="158">
    <w:p w:rsidR="00000000" w:rsidRDefault="004D2F83">
      <w:pPr>
        <w:pStyle w:val="FootnoteText"/>
        <w:spacing w:afterLines="30" w:after="72" w:line="240" w:lineRule="auto"/>
        <w:rPr>
          <w:rFonts w:eastAsia="SimSun" w:hint="eastAsia"/>
        </w:rPr>
      </w:pPr>
      <w:r>
        <w:rPr>
          <w:rStyle w:val="FootnoteReference"/>
          <w:rFonts w:eastAsia="SimSun"/>
        </w:rPr>
        <w:t>158</w:t>
      </w:r>
      <w:r>
        <w:rPr>
          <w:rFonts w:eastAsia="SimSun"/>
        </w:rPr>
        <w:t xml:space="preserve"> SILVA, Jose Afonso da. Curso de Direito Constitucional Positivo</w:t>
      </w:r>
      <w:r>
        <w:rPr>
          <w:rFonts w:eastAsia="SimSun"/>
        </w:rPr>
        <w:t>，</w:t>
      </w:r>
      <w:r>
        <w:rPr>
          <w:rFonts w:eastAsia="SimSun" w:hint="eastAsia"/>
        </w:rPr>
        <w:t>同上，第</w:t>
      </w:r>
      <w:r>
        <w:rPr>
          <w:rFonts w:eastAsia="SimSun" w:hint="eastAsia"/>
        </w:rPr>
        <w:t>241</w:t>
      </w:r>
      <w:r>
        <w:rPr>
          <w:rFonts w:eastAsia="SimSun" w:hint="eastAsia"/>
        </w:rPr>
        <w:t>页。</w:t>
      </w:r>
    </w:p>
  </w:footnote>
  <w:footnote w:id="159">
    <w:p w:rsidR="00000000" w:rsidRDefault="004D2F83">
      <w:pPr>
        <w:pStyle w:val="FootnoteText"/>
        <w:spacing w:afterLines="30" w:after="72" w:line="240" w:lineRule="auto"/>
        <w:rPr>
          <w:rFonts w:eastAsia="SimSun" w:hint="eastAsia"/>
        </w:rPr>
      </w:pPr>
      <w:r>
        <w:rPr>
          <w:rStyle w:val="FootnoteReference"/>
          <w:rFonts w:eastAsia="SimSun"/>
        </w:rPr>
        <w:t>159</w:t>
      </w:r>
      <w:r>
        <w:rPr>
          <w:rFonts w:eastAsia="SimSun"/>
        </w:rPr>
        <w:t xml:space="preserve"> </w:t>
      </w:r>
      <w:r>
        <w:rPr>
          <w:rFonts w:eastAsia="SimSun" w:hint="eastAsia"/>
        </w:rPr>
        <w:t>同上，第</w:t>
      </w:r>
      <w:r>
        <w:rPr>
          <w:rFonts w:eastAsia="SimSun" w:hint="eastAsia"/>
        </w:rPr>
        <w:t>216</w:t>
      </w:r>
      <w:r>
        <w:rPr>
          <w:rFonts w:eastAsia="SimSun" w:hint="eastAsia"/>
        </w:rPr>
        <w:t>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D2F83">
    <w:pPr>
      <w:pStyle w:val="Header"/>
      <w:pBdr>
        <w:bottom w:val="none" w:sz="0" w:space="0" w:color="auto"/>
      </w:pBdr>
      <w:tabs>
        <w:tab w:val="clear" w:pos="4320"/>
        <w:tab w:val="center" w:pos="0"/>
      </w:tabs>
      <w:ind w:left="7560" w:hanging="7560"/>
      <w:jc w:val="both"/>
      <w:rPr>
        <w:rFonts w:hint="eastAsia"/>
        <w:b/>
        <w:bCs/>
        <w:sz w:val="21"/>
      </w:rPr>
    </w:pPr>
    <w:r>
      <w:rPr>
        <w:rFonts w:hint="eastAsia"/>
        <w:b/>
        <w:bCs/>
      </w:rPr>
      <w:t>CEDAW/C/</w:t>
    </w:r>
    <w:r>
      <w:rPr>
        <w:b/>
      </w:rPr>
      <w:t>BRA</w:t>
    </w:r>
    <w:r>
      <w:rPr>
        <w:rFonts w:hint="eastAsia"/>
        <w:b/>
      </w:rPr>
      <w:t>/</w:t>
    </w:r>
    <w:r>
      <w:rPr>
        <w:b/>
      </w:rPr>
      <w:t>1</w:t>
    </w:r>
    <w:r>
      <w:rPr>
        <w:rFonts w:hint="eastAsia"/>
        <w:b/>
      </w:rPr>
      <w:t>-5</w:t>
    </w:r>
  </w:p>
  <w:p w:rsidR="00000000" w:rsidRDefault="004D2F83">
    <w:pPr>
      <w:pStyle w:val="Header"/>
      <w:spacing w:line="6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D2F83">
    <w:pPr>
      <w:pStyle w:val="Header"/>
      <w:pBdr>
        <w:bottom w:val="none" w:sz="0" w:space="0" w:color="auto"/>
      </w:pBdr>
      <w:ind w:left="7560" w:hanging="360"/>
      <w:jc w:val="right"/>
      <w:rPr>
        <w:b/>
        <w:sz w:val="21"/>
      </w:rPr>
    </w:pPr>
    <w:r>
      <w:rPr>
        <w:rFonts w:hint="eastAsia"/>
        <w:b/>
        <w:bCs/>
      </w:rPr>
      <w:t>CEDAW/C/</w:t>
    </w:r>
    <w:r>
      <w:rPr>
        <w:b/>
      </w:rPr>
      <w:t>BRA</w:t>
    </w:r>
    <w:r>
      <w:rPr>
        <w:rFonts w:hint="eastAsia"/>
        <w:b/>
      </w:rPr>
      <w:t>/</w:t>
    </w:r>
    <w:r>
      <w:rPr>
        <w:b/>
      </w:rPr>
      <w:t>1</w:t>
    </w:r>
    <w:r>
      <w:rPr>
        <w:rFonts w:hint="eastAsia"/>
        <w:b/>
      </w:rPr>
      <w:t>-5</w:t>
    </w:r>
  </w:p>
  <w:p w:rsidR="00000000" w:rsidRDefault="004D2F83">
    <w:pPr>
      <w:pStyle w:val="Header"/>
      <w:spacing w:line="60" w:lineRule="exact"/>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D2F83">
    <w:pPr>
      <w:pStyle w:val="Header"/>
      <w:pBdr>
        <w:bottom w:val="single" w:sz="4" w:space="1" w:color="auto"/>
      </w:pBdr>
      <w:jc w:val="right"/>
    </w:pPr>
    <w:r>
      <w:rPr>
        <w:rFonts w:hint="eastAsia"/>
        <w:b/>
        <w:bCs/>
        <w:sz w:val="36"/>
      </w:rPr>
      <w:t>CEDA</w:t>
    </w:r>
    <w:r>
      <w:rPr>
        <w:rFonts w:hint="eastAsia"/>
        <w:b/>
        <w:bCs/>
        <w:sz w:val="36"/>
      </w:rPr>
      <w:t>W</w:t>
    </w:r>
    <w:r>
      <w:rPr>
        <w:rFonts w:hint="eastAsia"/>
        <w:sz w:val="36"/>
      </w:rPr>
      <w:t>/</w:t>
    </w:r>
    <w:r>
      <w:rPr>
        <w:rFonts w:hint="eastAsia"/>
        <w:sz w:val="21"/>
      </w:rPr>
      <w:t>C/</w:t>
    </w:r>
    <w:r>
      <w:rPr>
        <w:bCs/>
        <w:sz w:val="21"/>
      </w:rPr>
      <w:t>BRA</w:t>
    </w:r>
    <w:r>
      <w:rPr>
        <w:rFonts w:hint="eastAsia"/>
        <w:bCs/>
        <w:sz w:val="21"/>
      </w:rPr>
      <w:t>/</w:t>
    </w:r>
    <w:r>
      <w:rPr>
        <w:bCs/>
        <w:sz w:val="21"/>
      </w:rPr>
      <w:t>1</w:t>
    </w:r>
    <w:r>
      <w:rPr>
        <w:rFonts w:hint="eastAsia"/>
        <w:bCs/>
        <w:sz w:val="21"/>
      </w:rPr>
      <w:t>-5</w:t>
    </w:r>
    <w:r>
      <w:rPr>
        <w:b/>
        <w:vanish/>
      </w:rPr>
      <w:t>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1">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3">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5">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6">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18">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19">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
    <w:nsid w:val="01C227FB"/>
    <w:multiLevelType w:val="hybridMultilevel"/>
    <w:tmpl w:val="1818CBA0"/>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24">
    <w:nsid w:val="01DD1DD4"/>
    <w:multiLevelType w:val="hybridMultilevel"/>
    <w:tmpl w:val="EC284298"/>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5">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26">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27">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8">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29">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
    <w:nsid w:val="02C15424"/>
    <w:multiLevelType w:val="singleLevel"/>
    <w:tmpl w:val="4334A6BE"/>
    <w:lvl w:ilvl="0">
      <w:start w:val="1"/>
      <w:numFmt w:val="decimalFullWidth"/>
      <w:lvlText w:val="%1．"/>
      <w:lvlJc w:val="left"/>
      <w:pPr>
        <w:tabs>
          <w:tab w:val="num" w:pos="420"/>
        </w:tabs>
        <w:ind w:left="420" w:hanging="420"/>
      </w:pPr>
      <w:rPr>
        <w:rFonts w:hint="eastAsia"/>
      </w:rPr>
    </w:lvl>
  </w:abstractNum>
  <w:abstractNum w:abstractNumId="31">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
    <w:nsid w:val="03200B77"/>
    <w:multiLevelType w:val="singleLevel"/>
    <w:tmpl w:val="0BE25C74"/>
    <w:lvl w:ilvl="0">
      <w:start w:val="1"/>
      <w:numFmt w:val="lowerLetter"/>
      <w:lvlText w:val="%1)"/>
      <w:lvlJc w:val="left"/>
      <w:pPr>
        <w:tabs>
          <w:tab w:val="num" w:pos="420"/>
        </w:tabs>
        <w:ind w:left="420" w:hanging="420"/>
      </w:pPr>
      <w:rPr>
        <w:rFonts w:hint="eastAsia"/>
      </w:rPr>
    </w:lvl>
  </w:abstractNum>
  <w:abstractNum w:abstractNumId="33">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
    <w:nsid w:val="035761D3"/>
    <w:multiLevelType w:val="singleLevel"/>
    <w:tmpl w:val="3A54369C"/>
    <w:lvl w:ilvl="0">
      <w:start w:val="12"/>
      <w:numFmt w:val="japaneseCounting"/>
      <w:lvlText w:val="%1"/>
      <w:lvlJc w:val="left"/>
      <w:pPr>
        <w:tabs>
          <w:tab w:val="num" w:pos="360"/>
        </w:tabs>
        <w:ind w:left="360" w:hanging="360"/>
      </w:pPr>
      <w:rPr>
        <w:rFonts w:hint="eastAsia"/>
      </w:rPr>
    </w:lvl>
  </w:abstractNum>
  <w:abstractNum w:abstractNumId="35">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36">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
    <w:nsid w:val="03C25C7A"/>
    <w:multiLevelType w:val="hybridMultilevel"/>
    <w:tmpl w:val="ECAE7E12"/>
    <w:lvl w:ilvl="0">
      <w:start w:val="1"/>
      <w:numFmt w:val="decimal"/>
      <w:lvlText w:val="%1．"/>
      <w:lvlJc w:val="left"/>
      <w:pPr>
        <w:tabs>
          <w:tab w:val="num" w:pos="570"/>
        </w:tabs>
        <w:ind w:left="570" w:hanging="360"/>
      </w:pPr>
      <w:rPr>
        <w:rFonts w:hint="eastAsia"/>
      </w:rPr>
    </w:lvl>
    <w:lvl w:ilvl="1">
      <w:start w:val="148"/>
      <w:numFmt w:val="decimal"/>
      <w:lvlText w:val="%2."/>
      <w:lvlJc w:val="left"/>
      <w:pPr>
        <w:tabs>
          <w:tab w:val="num" w:pos="990"/>
        </w:tabs>
        <w:ind w:left="990" w:hanging="360"/>
      </w:pPr>
      <w:rPr>
        <w:rFonts w:hint="default"/>
      </w:rPr>
    </w:lvl>
    <w:lvl w:ilvl="2">
      <w:start w:val="153"/>
      <w:numFmt w:val="decimal"/>
      <w:lvlText w:val="%3"/>
      <w:lvlJc w:val="left"/>
      <w:pPr>
        <w:tabs>
          <w:tab w:val="num" w:pos="1575"/>
        </w:tabs>
        <w:ind w:left="1575" w:hanging="525"/>
      </w:pPr>
      <w:rPr>
        <w:rFonts w:hint="eastAsia"/>
      </w:rPr>
    </w:lvl>
    <w:lvl w:ilvl="3">
      <w:start w:val="34"/>
      <w:numFmt w:val="decimal"/>
      <w:lvlText w:val="注%4"/>
      <w:lvlJc w:val="left"/>
      <w:pPr>
        <w:tabs>
          <w:tab w:val="num" w:pos="2160"/>
        </w:tabs>
        <w:ind w:left="2160" w:hanging="690"/>
      </w:pPr>
      <w:rPr>
        <w:rFonts w:hint="eastAsia"/>
      </w:r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38">
    <w:nsid w:val="03C72483"/>
    <w:multiLevelType w:val="hybridMultilevel"/>
    <w:tmpl w:val="4316369A"/>
    <w:lvl w:ilvl="0" w:tplc="32067C26">
      <w:start w:val="1"/>
      <w:numFmt w:val="decimalFullWidth"/>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40">
    <w:nsid w:val="04531C83"/>
    <w:multiLevelType w:val="singleLevel"/>
    <w:tmpl w:val="21529D7C"/>
    <w:lvl w:ilvl="0">
      <w:start w:val="2"/>
      <w:numFmt w:val="decimal"/>
      <w:lvlText w:val="%1."/>
      <w:lvlJc w:val="left"/>
      <w:pPr>
        <w:tabs>
          <w:tab w:val="num" w:pos="360"/>
        </w:tabs>
        <w:ind w:left="360" w:hanging="360"/>
      </w:pPr>
      <w:rPr>
        <w:rFonts w:hint="eastAsia"/>
      </w:rPr>
    </w:lvl>
  </w:abstractNum>
  <w:abstractNum w:abstractNumId="41">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42">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
    <w:nsid w:val="04F7150A"/>
    <w:multiLevelType w:val="hybridMultilevel"/>
    <w:tmpl w:val="2E0E536A"/>
    <w:lvl w:ilvl="0" w:tplc="09F6724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5">
    <w:nsid w:val="052E5964"/>
    <w:multiLevelType w:val="hybridMultilevel"/>
    <w:tmpl w:val="938270DA"/>
    <w:lvl w:ilvl="0">
      <w:numFmt w:val="bullet"/>
      <w:lvlText w:val=""/>
      <w:lvlJc w:val="left"/>
      <w:pPr>
        <w:tabs>
          <w:tab w:val="num" w:pos="840"/>
        </w:tabs>
        <w:ind w:left="840" w:hanging="360"/>
      </w:pPr>
      <w:rPr>
        <w:rFonts w:ascii="Wingdings" w:eastAsia="SimSun" w:hAnsi="Wingdings"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46">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
    <w:nsid w:val="05762A86"/>
    <w:multiLevelType w:val="hybridMultilevel"/>
    <w:tmpl w:val="18D86DFE"/>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8">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0">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1">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2">
    <w:nsid w:val="07673760"/>
    <w:multiLevelType w:val="singleLevel"/>
    <w:tmpl w:val="286E7CDC"/>
    <w:lvl w:ilvl="0">
      <w:start w:val="1"/>
      <w:numFmt w:val="decimal"/>
      <w:lvlText w:val="%1．"/>
      <w:lvlJc w:val="left"/>
      <w:pPr>
        <w:tabs>
          <w:tab w:val="num" w:pos="315"/>
        </w:tabs>
        <w:ind w:left="315" w:hanging="315"/>
      </w:pPr>
      <w:rPr>
        <w:rFonts w:hint="eastAsia"/>
      </w:rPr>
    </w:lvl>
  </w:abstractNum>
  <w:abstractNum w:abstractNumId="53">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54">
    <w:nsid w:val="07BE3590"/>
    <w:multiLevelType w:val="singleLevel"/>
    <w:tmpl w:val="32124A7C"/>
    <w:lvl w:ilvl="0">
      <w:start w:val="1"/>
      <w:numFmt w:val="lowerLetter"/>
      <w:lvlText w:val="（%1）"/>
      <w:lvlJc w:val="left"/>
      <w:pPr>
        <w:tabs>
          <w:tab w:val="num" w:pos="510"/>
        </w:tabs>
        <w:ind w:left="510" w:hanging="510"/>
      </w:pPr>
      <w:rPr>
        <w:rFonts w:hint="default"/>
      </w:rPr>
    </w:lvl>
  </w:abstractNum>
  <w:abstractNum w:abstractNumId="55">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56">
    <w:nsid w:val="080B490A"/>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7">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58">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60">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2">
    <w:nsid w:val="096C2D90"/>
    <w:multiLevelType w:val="hybridMultilevel"/>
    <w:tmpl w:val="632600F8"/>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63">
    <w:nsid w:val="098F7134"/>
    <w:multiLevelType w:val="hybridMultilevel"/>
    <w:tmpl w:val="E6E467CA"/>
    <w:lvl w:ilvl="0">
      <w:start w:val="8"/>
      <w:numFmt w:val="bullet"/>
      <w:lvlText w:val="＊"/>
      <w:lvlJc w:val="left"/>
      <w:pPr>
        <w:tabs>
          <w:tab w:val="num" w:pos="630"/>
        </w:tabs>
        <w:ind w:left="630" w:hanging="63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4">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65">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
    <w:nsid w:val="0A2B43A9"/>
    <w:multiLevelType w:val="hybridMultilevel"/>
    <w:tmpl w:val="312A7E20"/>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7">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8">
    <w:nsid w:val="0A9225F9"/>
    <w:multiLevelType w:val="hybridMultilevel"/>
    <w:tmpl w:val="BD10BEFA"/>
    <w:lvl w:ilvl="0">
      <w:start w:val="8"/>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9">
    <w:nsid w:val="0AAA4548"/>
    <w:multiLevelType w:val="hybridMultilevel"/>
    <w:tmpl w:val="0C4E782E"/>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0">
    <w:nsid w:val="0AD8208D"/>
    <w:multiLevelType w:val="hybridMultilevel"/>
    <w:tmpl w:val="CE8EB3A0"/>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71">
    <w:nsid w:val="0B073C97"/>
    <w:multiLevelType w:val="hybridMultilevel"/>
    <w:tmpl w:val="46904F8C"/>
    <w:lvl w:ilvl="0">
      <w:start w:val="1"/>
      <w:numFmt w:val="decimal"/>
      <w:lvlText w:val="%1."/>
      <w:lvlJc w:val="left"/>
      <w:pPr>
        <w:tabs>
          <w:tab w:val="num" w:pos="1380"/>
        </w:tabs>
        <w:ind w:left="1380" w:hanging="420"/>
      </w:pPr>
    </w:lvl>
    <w:lvl w:ilvl="1" w:tentative="1">
      <w:start w:val="1"/>
      <w:numFmt w:val="lowerLetter"/>
      <w:lvlText w:val="%2)"/>
      <w:lvlJc w:val="left"/>
      <w:pPr>
        <w:tabs>
          <w:tab w:val="num" w:pos="1800"/>
        </w:tabs>
        <w:ind w:left="1800" w:hanging="420"/>
      </w:pPr>
    </w:lvl>
    <w:lvl w:ilvl="2" w:tentative="1">
      <w:start w:val="1"/>
      <w:numFmt w:val="lowerRoman"/>
      <w:lvlText w:val="%3."/>
      <w:lvlJc w:val="right"/>
      <w:pPr>
        <w:tabs>
          <w:tab w:val="num" w:pos="2220"/>
        </w:tabs>
        <w:ind w:left="2220" w:hanging="420"/>
      </w:pPr>
    </w:lvl>
    <w:lvl w:ilvl="3" w:tentative="1">
      <w:start w:val="1"/>
      <w:numFmt w:val="decimal"/>
      <w:lvlText w:val="%4."/>
      <w:lvlJc w:val="left"/>
      <w:pPr>
        <w:tabs>
          <w:tab w:val="num" w:pos="2640"/>
        </w:tabs>
        <w:ind w:left="2640" w:hanging="420"/>
      </w:pPr>
    </w:lvl>
    <w:lvl w:ilvl="4" w:tentative="1">
      <w:start w:val="1"/>
      <w:numFmt w:val="lowerLetter"/>
      <w:lvlText w:val="%5)"/>
      <w:lvlJc w:val="left"/>
      <w:pPr>
        <w:tabs>
          <w:tab w:val="num" w:pos="3060"/>
        </w:tabs>
        <w:ind w:left="3060" w:hanging="420"/>
      </w:pPr>
    </w:lvl>
    <w:lvl w:ilvl="5" w:tentative="1">
      <w:start w:val="1"/>
      <w:numFmt w:val="lowerRoman"/>
      <w:lvlText w:val="%6."/>
      <w:lvlJc w:val="right"/>
      <w:pPr>
        <w:tabs>
          <w:tab w:val="num" w:pos="3480"/>
        </w:tabs>
        <w:ind w:left="3480" w:hanging="420"/>
      </w:pPr>
    </w:lvl>
    <w:lvl w:ilvl="6" w:tentative="1">
      <w:start w:val="1"/>
      <w:numFmt w:val="decimal"/>
      <w:lvlText w:val="%7."/>
      <w:lvlJc w:val="left"/>
      <w:pPr>
        <w:tabs>
          <w:tab w:val="num" w:pos="3900"/>
        </w:tabs>
        <w:ind w:left="3900" w:hanging="420"/>
      </w:pPr>
    </w:lvl>
    <w:lvl w:ilvl="7" w:tentative="1">
      <w:start w:val="1"/>
      <w:numFmt w:val="lowerLetter"/>
      <w:lvlText w:val="%8)"/>
      <w:lvlJc w:val="left"/>
      <w:pPr>
        <w:tabs>
          <w:tab w:val="num" w:pos="4320"/>
        </w:tabs>
        <w:ind w:left="4320" w:hanging="420"/>
      </w:pPr>
    </w:lvl>
    <w:lvl w:ilvl="8" w:tentative="1">
      <w:start w:val="1"/>
      <w:numFmt w:val="lowerRoman"/>
      <w:lvlText w:val="%9."/>
      <w:lvlJc w:val="right"/>
      <w:pPr>
        <w:tabs>
          <w:tab w:val="num" w:pos="4740"/>
        </w:tabs>
        <w:ind w:left="4740" w:hanging="420"/>
      </w:pPr>
    </w:lvl>
  </w:abstractNum>
  <w:abstractNum w:abstractNumId="72">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3">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75">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77">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78">
    <w:nsid w:val="0C292084"/>
    <w:multiLevelType w:val="hybridMultilevel"/>
    <w:tmpl w:val="ACC0B11A"/>
    <w:lvl w:ilvl="0" w:tplc="C57EE6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
    <w:nsid w:val="0CC16E98"/>
    <w:multiLevelType w:val="hybridMultilevel"/>
    <w:tmpl w:val="DDA0DEF8"/>
    <w:lvl w:ilvl="0" w:tplc="3466BD5A">
      <w:start w:val="1"/>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1">
    <w:nsid w:val="0D2F7D8A"/>
    <w:multiLevelType w:val="hybridMultilevel"/>
    <w:tmpl w:val="1CE4AAFC"/>
    <w:lvl w:ilvl="0">
      <w:start w:val="1"/>
      <w:numFmt w:val="decimal"/>
      <w:lvlText w:val="%1."/>
      <w:lvlJc w:val="left"/>
      <w:pPr>
        <w:tabs>
          <w:tab w:val="num" w:pos="840"/>
        </w:tabs>
        <w:ind w:left="840" w:hanging="360"/>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82">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3">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84">
    <w:nsid w:val="0D8027B0"/>
    <w:multiLevelType w:val="hybridMultilevel"/>
    <w:tmpl w:val="973C4132"/>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5">
    <w:nsid w:val="0D8E30E2"/>
    <w:multiLevelType w:val="hybridMultilevel"/>
    <w:tmpl w:val="F0D844BA"/>
    <w:lvl w:ilvl="0" w:tplc="E3BADD3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319"/>
        </w:tabs>
        <w:ind w:left="1319" w:hanging="420"/>
      </w:pPr>
      <w:rPr>
        <w:rFonts w:ascii="Wingdings" w:hAnsi="Wingdings" w:hint="default"/>
      </w:rPr>
    </w:lvl>
    <w:lvl w:ilvl="2" w:tplc="04090005">
      <w:start w:val="1"/>
      <w:numFmt w:val="bullet"/>
      <w:lvlText w:val=""/>
      <w:lvlJc w:val="left"/>
      <w:pPr>
        <w:tabs>
          <w:tab w:val="num" w:pos="1739"/>
        </w:tabs>
        <w:ind w:left="1739" w:hanging="420"/>
      </w:pPr>
      <w:rPr>
        <w:rFonts w:ascii="Wingdings" w:hAnsi="Wingdings" w:hint="default"/>
      </w:rPr>
    </w:lvl>
    <w:lvl w:ilvl="3" w:tplc="04090001" w:tentative="1">
      <w:start w:val="1"/>
      <w:numFmt w:val="bullet"/>
      <w:lvlText w:val=""/>
      <w:lvlJc w:val="left"/>
      <w:pPr>
        <w:tabs>
          <w:tab w:val="num" w:pos="2159"/>
        </w:tabs>
        <w:ind w:left="2159" w:hanging="420"/>
      </w:pPr>
      <w:rPr>
        <w:rFonts w:ascii="Wingdings" w:hAnsi="Wingdings" w:hint="default"/>
      </w:rPr>
    </w:lvl>
    <w:lvl w:ilvl="4" w:tplc="04090003" w:tentative="1">
      <w:start w:val="1"/>
      <w:numFmt w:val="bullet"/>
      <w:lvlText w:val=""/>
      <w:lvlJc w:val="left"/>
      <w:pPr>
        <w:tabs>
          <w:tab w:val="num" w:pos="2579"/>
        </w:tabs>
        <w:ind w:left="2579" w:hanging="420"/>
      </w:pPr>
      <w:rPr>
        <w:rFonts w:ascii="Wingdings" w:hAnsi="Wingdings" w:hint="default"/>
      </w:rPr>
    </w:lvl>
    <w:lvl w:ilvl="5" w:tplc="04090005" w:tentative="1">
      <w:start w:val="1"/>
      <w:numFmt w:val="bullet"/>
      <w:lvlText w:val=""/>
      <w:lvlJc w:val="left"/>
      <w:pPr>
        <w:tabs>
          <w:tab w:val="num" w:pos="2999"/>
        </w:tabs>
        <w:ind w:left="2999" w:hanging="420"/>
      </w:pPr>
      <w:rPr>
        <w:rFonts w:ascii="Wingdings" w:hAnsi="Wingdings" w:hint="default"/>
      </w:rPr>
    </w:lvl>
    <w:lvl w:ilvl="6" w:tplc="04090001" w:tentative="1">
      <w:start w:val="1"/>
      <w:numFmt w:val="bullet"/>
      <w:lvlText w:val=""/>
      <w:lvlJc w:val="left"/>
      <w:pPr>
        <w:tabs>
          <w:tab w:val="num" w:pos="3419"/>
        </w:tabs>
        <w:ind w:left="3419" w:hanging="420"/>
      </w:pPr>
      <w:rPr>
        <w:rFonts w:ascii="Wingdings" w:hAnsi="Wingdings" w:hint="default"/>
      </w:rPr>
    </w:lvl>
    <w:lvl w:ilvl="7" w:tplc="04090003" w:tentative="1">
      <w:start w:val="1"/>
      <w:numFmt w:val="bullet"/>
      <w:lvlText w:val=""/>
      <w:lvlJc w:val="left"/>
      <w:pPr>
        <w:tabs>
          <w:tab w:val="num" w:pos="3839"/>
        </w:tabs>
        <w:ind w:left="3839" w:hanging="420"/>
      </w:pPr>
      <w:rPr>
        <w:rFonts w:ascii="Wingdings" w:hAnsi="Wingdings" w:hint="default"/>
      </w:rPr>
    </w:lvl>
    <w:lvl w:ilvl="8" w:tplc="04090005" w:tentative="1">
      <w:start w:val="1"/>
      <w:numFmt w:val="bullet"/>
      <w:lvlText w:val=""/>
      <w:lvlJc w:val="left"/>
      <w:pPr>
        <w:tabs>
          <w:tab w:val="num" w:pos="4259"/>
        </w:tabs>
        <w:ind w:left="4259" w:hanging="420"/>
      </w:pPr>
      <w:rPr>
        <w:rFonts w:ascii="Wingdings" w:hAnsi="Wingdings" w:hint="default"/>
      </w:rPr>
    </w:lvl>
  </w:abstractNum>
  <w:abstractNum w:abstractNumId="86">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88">
    <w:nsid w:val="0DFE7D3C"/>
    <w:multiLevelType w:val="hybridMultilevel"/>
    <w:tmpl w:val="82DEFE00"/>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89">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90">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91">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92">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4">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95">
    <w:nsid w:val="0E8C310F"/>
    <w:multiLevelType w:val="hybridMultilevel"/>
    <w:tmpl w:val="AE5C92C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96">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
    <w:nsid w:val="0EED4904"/>
    <w:multiLevelType w:val="singleLevel"/>
    <w:tmpl w:val="DFDA5788"/>
    <w:lvl w:ilvl="0">
      <w:start w:val="3"/>
      <w:numFmt w:val="lowerLetter"/>
      <w:lvlText w:val=""/>
      <w:lvlJc w:val="left"/>
      <w:pPr>
        <w:tabs>
          <w:tab w:val="num" w:pos="360"/>
        </w:tabs>
        <w:ind w:left="360" w:hanging="360"/>
      </w:pPr>
      <w:rPr>
        <w:rFonts w:hint="default"/>
      </w:rPr>
    </w:lvl>
  </w:abstractNum>
  <w:abstractNum w:abstractNumId="98">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99">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0">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01">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02">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03">
    <w:nsid w:val="0FB94D2C"/>
    <w:multiLevelType w:val="hybridMultilevel"/>
    <w:tmpl w:val="242882B2"/>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04">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05">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06">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7">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08">
    <w:nsid w:val="10A83CF5"/>
    <w:multiLevelType w:val="hybridMultilevel"/>
    <w:tmpl w:val="DF44DDF8"/>
    <w:lvl w:ilvl="0" w:tplc="E3BADD3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109">
    <w:nsid w:val="10D74E24"/>
    <w:multiLevelType w:val="hybridMultilevel"/>
    <w:tmpl w:val="6212B9D4"/>
    <w:lvl w:ilvl="0">
      <w:start w:val="1"/>
      <w:numFmt w:val="lowerLetter"/>
      <w:lvlText w:val="%1)"/>
      <w:lvlJc w:val="left"/>
      <w:pPr>
        <w:tabs>
          <w:tab w:val="num" w:pos="960"/>
        </w:tabs>
        <w:ind w:left="960" w:hanging="420"/>
      </w:pPr>
    </w:lvl>
    <w:lvl w:ilvl="1">
      <w:start w:val="1"/>
      <w:numFmt w:val="decimal"/>
      <w:lvlText w:val="%2．"/>
      <w:lvlJc w:val="left"/>
      <w:pPr>
        <w:tabs>
          <w:tab w:val="num" w:pos="1320"/>
        </w:tabs>
        <w:ind w:left="1320" w:hanging="360"/>
      </w:pPr>
      <w:rPr>
        <w:rFonts w:hint="eastAsia"/>
      </w:rPr>
    </w:lvl>
    <w:lvl w:ilvl="2">
      <w:start w:val="1"/>
      <w:numFmt w:val="lowerLetter"/>
      <w:lvlText w:val="%3)"/>
      <w:lvlJc w:val="left"/>
      <w:pPr>
        <w:tabs>
          <w:tab w:val="num" w:pos="1800"/>
        </w:tabs>
        <w:ind w:left="1800" w:hanging="420"/>
      </w:pPr>
    </w:lvl>
    <w:lvl w:ilvl="3" w:tentative="1">
      <w:start w:val="1"/>
      <w:numFmt w:val="decimal"/>
      <w:lvlText w:val="%4."/>
      <w:lvlJc w:val="left"/>
      <w:pPr>
        <w:tabs>
          <w:tab w:val="num" w:pos="2220"/>
        </w:tabs>
        <w:ind w:left="2220" w:hanging="420"/>
      </w:pPr>
    </w:lvl>
    <w:lvl w:ilvl="4" w:tentative="1">
      <w:start w:val="1"/>
      <w:numFmt w:val="lowerLetter"/>
      <w:lvlText w:val="%5)"/>
      <w:lvlJc w:val="left"/>
      <w:pPr>
        <w:tabs>
          <w:tab w:val="num" w:pos="2640"/>
        </w:tabs>
        <w:ind w:left="2640" w:hanging="420"/>
      </w:pPr>
    </w:lvl>
    <w:lvl w:ilvl="5" w:tentative="1">
      <w:start w:val="1"/>
      <w:numFmt w:val="lowerRoman"/>
      <w:lvlText w:val="%6."/>
      <w:lvlJc w:val="right"/>
      <w:pPr>
        <w:tabs>
          <w:tab w:val="num" w:pos="3060"/>
        </w:tabs>
        <w:ind w:left="3060" w:hanging="420"/>
      </w:pPr>
    </w:lvl>
    <w:lvl w:ilvl="6" w:tentative="1">
      <w:start w:val="1"/>
      <w:numFmt w:val="decimal"/>
      <w:lvlText w:val="%7."/>
      <w:lvlJc w:val="left"/>
      <w:pPr>
        <w:tabs>
          <w:tab w:val="num" w:pos="3480"/>
        </w:tabs>
        <w:ind w:left="3480" w:hanging="420"/>
      </w:pPr>
    </w:lvl>
    <w:lvl w:ilvl="7" w:tentative="1">
      <w:start w:val="1"/>
      <w:numFmt w:val="lowerLetter"/>
      <w:lvlText w:val="%8)"/>
      <w:lvlJc w:val="left"/>
      <w:pPr>
        <w:tabs>
          <w:tab w:val="num" w:pos="3900"/>
        </w:tabs>
        <w:ind w:left="3900" w:hanging="420"/>
      </w:pPr>
    </w:lvl>
    <w:lvl w:ilvl="8" w:tentative="1">
      <w:start w:val="1"/>
      <w:numFmt w:val="lowerRoman"/>
      <w:lvlText w:val="%9."/>
      <w:lvlJc w:val="right"/>
      <w:pPr>
        <w:tabs>
          <w:tab w:val="num" w:pos="4320"/>
        </w:tabs>
        <w:ind w:left="4320" w:hanging="420"/>
      </w:pPr>
    </w:lvl>
  </w:abstractNum>
  <w:abstractNum w:abstractNumId="110">
    <w:nsid w:val="110773C3"/>
    <w:multiLevelType w:val="hybridMultilevel"/>
    <w:tmpl w:val="6CC408F8"/>
    <w:lvl w:ilvl="0" w:tplc="6C46582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1">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12">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3">
    <w:nsid w:val="11691507"/>
    <w:multiLevelType w:val="hybridMultilevel"/>
    <w:tmpl w:val="716464B0"/>
    <w:lvl w:ilvl="0" w:tplc="CA6C20D8">
      <w:start w:val="1"/>
      <w:numFmt w:val="bullet"/>
      <w:lvlText w:val=""/>
      <w:lvlJc w:val="left"/>
      <w:pPr>
        <w:tabs>
          <w:tab w:val="num" w:pos="845"/>
        </w:tabs>
        <w:ind w:left="84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4">
    <w:nsid w:val="11745182"/>
    <w:multiLevelType w:val="hybridMultilevel"/>
    <w:tmpl w:val="26F851D6"/>
    <w:lvl w:ilvl="0">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15">
    <w:nsid w:val="11937643"/>
    <w:multiLevelType w:val="hybridMultilevel"/>
    <w:tmpl w:val="91969EF2"/>
    <w:lvl w:ilvl="0">
      <w:start w:val="1"/>
      <w:numFmt w:val="decimal"/>
      <w:lvlText w:val="%1."/>
      <w:lvlJc w:val="left"/>
      <w:pPr>
        <w:tabs>
          <w:tab w:val="num" w:pos="630"/>
        </w:tabs>
        <w:ind w:left="630" w:hanging="420"/>
      </w:p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116">
    <w:nsid w:val="121E4BDD"/>
    <w:multiLevelType w:val="hybridMultilevel"/>
    <w:tmpl w:val="AEBE2356"/>
    <w:lvl w:ilvl="0" w:tplc="9C304594">
      <w:start w:val="2"/>
      <w:numFmt w:val="decimalFullWidth"/>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7">
    <w:nsid w:val="1296396D"/>
    <w:multiLevelType w:val="hybridMultilevel"/>
    <w:tmpl w:val="CA34B5AA"/>
    <w:lvl w:ilvl="0" w:tplc="127C8294">
      <w:start w:val="1"/>
      <w:numFmt w:val="decimalFullWidth"/>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8">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9">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20">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1">
    <w:nsid w:val="12ED44ED"/>
    <w:multiLevelType w:val="singleLevel"/>
    <w:tmpl w:val="E2C0A1DE"/>
    <w:lvl w:ilvl="0">
      <w:start w:val="11"/>
      <w:numFmt w:val="japaneseCounting"/>
      <w:lvlText w:val="%1"/>
      <w:lvlJc w:val="left"/>
      <w:pPr>
        <w:tabs>
          <w:tab w:val="num" w:pos="360"/>
        </w:tabs>
        <w:ind w:left="360" w:hanging="360"/>
      </w:pPr>
      <w:rPr>
        <w:rFonts w:hint="eastAsia"/>
      </w:rPr>
    </w:lvl>
  </w:abstractNum>
  <w:abstractNum w:abstractNumId="122">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23">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24">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5">
    <w:nsid w:val="13362DE4"/>
    <w:multiLevelType w:val="hybridMultilevel"/>
    <w:tmpl w:val="52366818"/>
    <w:lvl w:ilvl="0">
      <w:start w:val="8"/>
      <w:numFmt w:val="bullet"/>
      <w:lvlText w:val="＊"/>
      <w:lvlJc w:val="left"/>
      <w:pPr>
        <w:tabs>
          <w:tab w:val="num" w:pos="630"/>
        </w:tabs>
        <w:ind w:left="630" w:hanging="630"/>
      </w:pPr>
      <w:rPr>
        <w:rFonts w:ascii="SimSun" w:eastAsia="SimSun" w:hAnsi="SimSun" w:cs="Times New Roman" w:hint="eastAsia"/>
      </w:rPr>
    </w:lvl>
    <w:lvl w:ilvl="1">
      <w:start w:val="10"/>
      <w:numFmt w:val="bullet"/>
      <w:lvlText w:val="-"/>
      <w:lvlJc w:val="left"/>
      <w:pPr>
        <w:tabs>
          <w:tab w:val="num" w:pos="780"/>
        </w:tabs>
        <w:ind w:left="780" w:hanging="360"/>
      </w:pPr>
      <w:rPr>
        <w:rFonts w:ascii="Times New Roman" w:eastAsia="SimSun" w:hAnsi="Times New Roman" w:cs="Times New Roman"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6">
    <w:nsid w:val="13903385"/>
    <w:multiLevelType w:val="hybridMultilevel"/>
    <w:tmpl w:val="7ED08138"/>
    <w:lvl w:ilvl="0" w:tplc="BE6CDAFA">
      <w:start w:val="1"/>
      <w:numFmt w:val="bullet"/>
      <w:lvlText w:val=""/>
      <w:lvlJc w:val="left"/>
      <w:pPr>
        <w:tabs>
          <w:tab w:val="num" w:pos="1680"/>
        </w:tabs>
        <w:ind w:left="1680" w:hanging="420"/>
      </w:pPr>
      <w:rPr>
        <w:rFonts w:ascii="Symbol" w:hAnsi="Symbol" w:hint="default"/>
        <w:color w:val="auto"/>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7">
    <w:nsid w:val="13986A41"/>
    <w:multiLevelType w:val="hybridMultilevel"/>
    <w:tmpl w:val="2416DE56"/>
    <w:lvl w:ilvl="0" w:tplc="E3BADD3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8">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9">
    <w:nsid w:val="13AD7DF4"/>
    <w:multiLevelType w:val="hybridMultilevel"/>
    <w:tmpl w:val="1276C06E"/>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130">
    <w:nsid w:val="13E31422"/>
    <w:multiLevelType w:val="hybridMultilevel"/>
    <w:tmpl w:val="A7B8D9F8"/>
    <w:lvl w:ilvl="0">
      <w:start w:val="5"/>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31">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2">
    <w:nsid w:val="14007E37"/>
    <w:multiLevelType w:val="hybridMultilevel"/>
    <w:tmpl w:val="EEE8E034"/>
    <w:lvl w:ilvl="0">
      <w:start w:val="2"/>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133">
    <w:nsid w:val="143D17B1"/>
    <w:multiLevelType w:val="hybridMultilevel"/>
    <w:tmpl w:val="728E3922"/>
    <w:lvl w:ilvl="0" w:tplc="6B98003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4">
    <w:nsid w:val="146D500A"/>
    <w:multiLevelType w:val="hybridMultilevel"/>
    <w:tmpl w:val="A1408EF6"/>
    <w:lvl w:ilvl="0" w:tplc="898C232C">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5">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36">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37">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38">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39">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0">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41">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42">
    <w:nsid w:val="161C5948"/>
    <w:multiLevelType w:val="hybridMultilevel"/>
    <w:tmpl w:val="D622971C"/>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43">
    <w:nsid w:val="161F6726"/>
    <w:multiLevelType w:val="hybridMultilevel"/>
    <w:tmpl w:val="CEFAEF72"/>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144">
    <w:nsid w:val="16271828"/>
    <w:multiLevelType w:val="hybridMultilevel"/>
    <w:tmpl w:val="D084FEF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45">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6">
    <w:nsid w:val="16655466"/>
    <w:multiLevelType w:val="hybridMultilevel"/>
    <w:tmpl w:val="3692EB0C"/>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7">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48">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9">
    <w:nsid w:val="16C13247"/>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50">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1">
    <w:nsid w:val="17263B63"/>
    <w:multiLevelType w:val="hybridMultilevel"/>
    <w:tmpl w:val="B71C5DEA"/>
    <w:lvl w:ilvl="0" w:tplc="E3BADD3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2">
    <w:nsid w:val="17BC2AFC"/>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153">
    <w:nsid w:val="17CC24D1"/>
    <w:multiLevelType w:val="hybridMultilevel"/>
    <w:tmpl w:val="1B1C7BF4"/>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54">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5">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56">
    <w:nsid w:val="182A4498"/>
    <w:multiLevelType w:val="hybridMultilevel"/>
    <w:tmpl w:val="6D2A4FC2"/>
    <w:lvl w:ilvl="0" w:tplc="CA6C20D8">
      <w:start w:val="1"/>
      <w:numFmt w:val="bullet"/>
      <w:lvlText w:val=""/>
      <w:lvlJc w:val="left"/>
      <w:pPr>
        <w:tabs>
          <w:tab w:val="num" w:pos="845"/>
        </w:tabs>
        <w:ind w:left="84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7">
    <w:nsid w:val="18496608"/>
    <w:multiLevelType w:val="hybridMultilevel"/>
    <w:tmpl w:val="FC22682E"/>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8">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59">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60">
    <w:nsid w:val="18967022"/>
    <w:multiLevelType w:val="hybridMultilevel"/>
    <w:tmpl w:val="DDA0DEF8"/>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61">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62">
    <w:nsid w:val="18DC5ED3"/>
    <w:multiLevelType w:val="hybridMultilevel"/>
    <w:tmpl w:val="78D609FC"/>
    <w:lvl w:ilvl="0">
      <w:start w:val="197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3">
    <w:nsid w:val="190E7018"/>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164">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165">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6">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167">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8">
    <w:nsid w:val="1AA67BB2"/>
    <w:multiLevelType w:val="singleLevel"/>
    <w:tmpl w:val="57D85CD8"/>
    <w:lvl w:ilvl="0">
      <w:start w:val="2"/>
      <w:numFmt w:val="lowerLetter"/>
      <w:lvlText w:val=""/>
      <w:lvlJc w:val="left"/>
      <w:pPr>
        <w:tabs>
          <w:tab w:val="num" w:pos="360"/>
        </w:tabs>
        <w:ind w:left="360" w:hanging="360"/>
      </w:pPr>
      <w:rPr>
        <w:rFonts w:hint="default"/>
      </w:rPr>
    </w:lvl>
  </w:abstractNum>
  <w:abstractNum w:abstractNumId="169">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0">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171">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2">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3">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174">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5">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176">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7">
    <w:nsid w:val="1C44153D"/>
    <w:multiLevelType w:val="hybridMultilevel"/>
    <w:tmpl w:val="CD7CC14A"/>
    <w:lvl w:ilvl="0">
      <w:start w:val="1"/>
      <w:numFmt w:val="bullet"/>
      <w:lvlText w:val=""/>
      <w:lvlJc w:val="left"/>
      <w:pPr>
        <w:tabs>
          <w:tab w:val="num" w:pos="1170"/>
        </w:tabs>
        <w:ind w:left="1170" w:hanging="420"/>
      </w:pPr>
      <w:rPr>
        <w:rFonts w:ascii="Wingdings" w:hAnsi="Wingdings" w:hint="default"/>
      </w:rPr>
    </w:lvl>
    <w:lvl w:ilvl="1" w:tentative="1">
      <w:start w:val="1"/>
      <w:numFmt w:val="bullet"/>
      <w:lvlText w:val=""/>
      <w:lvlJc w:val="left"/>
      <w:pPr>
        <w:tabs>
          <w:tab w:val="num" w:pos="1590"/>
        </w:tabs>
        <w:ind w:left="1590" w:hanging="420"/>
      </w:pPr>
      <w:rPr>
        <w:rFonts w:ascii="Wingdings" w:hAnsi="Wingdings" w:hint="default"/>
      </w:rPr>
    </w:lvl>
    <w:lvl w:ilvl="2" w:tentative="1">
      <w:start w:val="1"/>
      <w:numFmt w:val="bullet"/>
      <w:lvlText w:val=""/>
      <w:lvlJc w:val="left"/>
      <w:pPr>
        <w:tabs>
          <w:tab w:val="num" w:pos="2010"/>
        </w:tabs>
        <w:ind w:left="2010" w:hanging="420"/>
      </w:pPr>
      <w:rPr>
        <w:rFonts w:ascii="Wingdings" w:hAnsi="Wingdings" w:hint="default"/>
      </w:rPr>
    </w:lvl>
    <w:lvl w:ilvl="3" w:tentative="1">
      <w:start w:val="1"/>
      <w:numFmt w:val="bullet"/>
      <w:lvlText w:val=""/>
      <w:lvlJc w:val="left"/>
      <w:pPr>
        <w:tabs>
          <w:tab w:val="num" w:pos="2430"/>
        </w:tabs>
        <w:ind w:left="2430" w:hanging="420"/>
      </w:pPr>
      <w:rPr>
        <w:rFonts w:ascii="Wingdings" w:hAnsi="Wingdings" w:hint="default"/>
      </w:rPr>
    </w:lvl>
    <w:lvl w:ilvl="4" w:tentative="1">
      <w:start w:val="1"/>
      <w:numFmt w:val="bullet"/>
      <w:lvlText w:val=""/>
      <w:lvlJc w:val="left"/>
      <w:pPr>
        <w:tabs>
          <w:tab w:val="num" w:pos="2850"/>
        </w:tabs>
        <w:ind w:left="2850" w:hanging="420"/>
      </w:pPr>
      <w:rPr>
        <w:rFonts w:ascii="Wingdings" w:hAnsi="Wingdings" w:hint="default"/>
      </w:rPr>
    </w:lvl>
    <w:lvl w:ilvl="5" w:tentative="1">
      <w:start w:val="1"/>
      <w:numFmt w:val="bullet"/>
      <w:lvlText w:val=""/>
      <w:lvlJc w:val="left"/>
      <w:pPr>
        <w:tabs>
          <w:tab w:val="num" w:pos="3270"/>
        </w:tabs>
        <w:ind w:left="3270" w:hanging="420"/>
      </w:pPr>
      <w:rPr>
        <w:rFonts w:ascii="Wingdings" w:hAnsi="Wingdings" w:hint="default"/>
      </w:rPr>
    </w:lvl>
    <w:lvl w:ilvl="6" w:tentative="1">
      <w:start w:val="1"/>
      <w:numFmt w:val="bullet"/>
      <w:lvlText w:val=""/>
      <w:lvlJc w:val="left"/>
      <w:pPr>
        <w:tabs>
          <w:tab w:val="num" w:pos="3690"/>
        </w:tabs>
        <w:ind w:left="3690" w:hanging="420"/>
      </w:pPr>
      <w:rPr>
        <w:rFonts w:ascii="Wingdings" w:hAnsi="Wingdings" w:hint="default"/>
      </w:rPr>
    </w:lvl>
    <w:lvl w:ilvl="7" w:tentative="1">
      <w:start w:val="1"/>
      <w:numFmt w:val="bullet"/>
      <w:lvlText w:val=""/>
      <w:lvlJc w:val="left"/>
      <w:pPr>
        <w:tabs>
          <w:tab w:val="num" w:pos="4110"/>
        </w:tabs>
        <w:ind w:left="4110" w:hanging="420"/>
      </w:pPr>
      <w:rPr>
        <w:rFonts w:ascii="Wingdings" w:hAnsi="Wingdings" w:hint="default"/>
      </w:rPr>
    </w:lvl>
    <w:lvl w:ilvl="8" w:tentative="1">
      <w:start w:val="1"/>
      <w:numFmt w:val="bullet"/>
      <w:lvlText w:val=""/>
      <w:lvlJc w:val="left"/>
      <w:pPr>
        <w:tabs>
          <w:tab w:val="num" w:pos="4530"/>
        </w:tabs>
        <w:ind w:left="4530" w:hanging="420"/>
      </w:pPr>
      <w:rPr>
        <w:rFonts w:ascii="Wingdings" w:hAnsi="Wingdings" w:hint="default"/>
      </w:rPr>
    </w:lvl>
  </w:abstractNum>
  <w:abstractNum w:abstractNumId="178">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79">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80">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181">
    <w:nsid w:val="1C913007"/>
    <w:multiLevelType w:val="hybridMultilevel"/>
    <w:tmpl w:val="2578E2DA"/>
    <w:lvl w:ilvl="0">
      <w:start w:val="1"/>
      <w:numFmt w:val="decimal"/>
      <w:lvlText w:val="%1．"/>
      <w:lvlJc w:val="left"/>
      <w:pPr>
        <w:tabs>
          <w:tab w:val="num" w:pos="585"/>
        </w:tabs>
        <w:ind w:left="585" w:hanging="360"/>
      </w:pPr>
      <w:rPr>
        <w:rFonts w:hint="eastAsia"/>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182">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3">
    <w:nsid w:val="1C995D50"/>
    <w:multiLevelType w:val="hybridMultilevel"/>
    <w:tmpl w:val="3F923368"/>
    <w:lvl w:ilvl="0" w:tplc="9D2E78B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4">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5">
    <w:nsid w:val="1D0910CD"/>
    <w:multiLevelType w:val="singleLevel"/>
    <w:tmpl w:val="8AB25580"/>
    <w:lvl w:ilvl="0">
      <w:start w:val="2"/>
      <w:numFmt w:val="decimalFullWidth"/>
      <w:lvlText w:val="%1．"/>
      <w:lvlJc w:val="left"/>
      <w:pPr>
        <w:tabs>
          <w:tab w:val="num" w:pos="840"/>
        </w:tabs>
        <w:ind w:left="840" w:hanging="420"/>
      </w:pPr>
      <w:rPr>
        <w:rFonts w:hint="eastAsia"/>
      </w:rPr>
    </w:lvl>
  </w:abstractNum>
  <w:abstractNum w:abstractNumId="186">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7">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88">
    <w:nsid w:val="1DC677A9"/>
    <w:multiLevelType w:val="hybridMultilevel"/>
    <w:tmpl w:val="46FCBC1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89">
    <w:nsid w:val="1DD818E0"/>
    <w:multiLevelType w:val="hybridMultilevel"/>
    <w:tmpl w:val="EA2AEC3E"/>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90">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1">
    <w:nsid w:val="1E13761D"/>
    <w:multiLevelType w:val="hybridMultilevel"/>
    <w:tmpl w:val="1FDED92C"/>
    <w:lvl w:ilvl="0">
      <w:start w:val="1"/>
      <w:numFmt w:val="lowerLetter"/>
      <w:lvlText w:val="(%1)"/>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2">
    <w:nsid w:val="1E2772B7"/>
    <w:multiLevelType w:val="hybridMultilevel"/>
    <w:tmpl w:val="4F54A482"/>
    <w:lvl w:ilvl="0" w:tplc="E3BADD3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3">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94">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195">
    <w:nsid w:val="1EA900CB"/>
    <w:multiLevelType w:val="singleLevel"/>
    <w:tmpl w:val="44B2D218"/>
    <w:lvl w:ilvl="0">
      <w:start w:val="1"/>
      <w:numFmt w:val="decimal"/>
      <w:lvlText w:val="%1)"/>
      <w:lvlJc w:val="left"/>
      <w:pPr>
        <w:tabs>
          <w:tab w:val="num" w:pos="720"/>
        </w:tabs>
        <w:ind w:left="720" w:hanging="300"/>
      </w:pPr>
      <w:rPr>
        <w:rFonts w:hint="default"/>
      </w:rPr>
    </w:lvl>
  </w:abstractNum>
  <w:abstractNum w:abstractNumId="196">
    <w:nsid w:val="1EAF671F"/>
    <w:multiLevelType w:val="hybridMultilevel"/>
    <w:tmpl w:val="AD80B6C0"/>
    <w:lvl w:ilvl="0" w:tplc="EDA21F3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7">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98">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199">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0">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201">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202">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3">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4">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205">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206">
    <w:nsid w:val="202908B6"/>
    <w:multiLevelType w:val="singleLevel"/>
    <w:tmpl w:val="40627836"/>
    <w:lvl w:ilvl="0">
      <w:start w:val="1"/>
      <w:numFmt w:val="decimal"/>
      <w:lvlText w:val="%1．"/>
      <w:lvlJc w:val="left"/>
      <w:pPr>
        <w:tabs>
          <w:tab w:val="num" w:pos="420"/>
        </w:tabs>
        <w:ind w:left="420" w:hanging="420"/>
      </w:pPr>
      <w:rPr>
        <w:rFonts w:hint="eastAsia"/>
      </w:rPr>
    </w:lvl>
  </w:abstractNum>
  <w:abstractNum w:abstractNumId="207">
    <w:nsid w:val="204A6E3A"/>
    <w:multiLevelType w:val="hybridMultilevel"/>
    <w:tmpl w:val="884E8434"/>
    <w:lvl w:ilvl="0" w:tplc="E3BADD3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08">
    <w:nsid w:val="20772894"/>
    <w:multiLevelType w:val="hybridMultilevel"/>
    <w:tmpl w:val="0A50040A"/>
    <w:lvl w:ilvl="0">
      <w:start w:val="157"/>
      <w:numFmt w:val="decimal"/>
      <w:lvlText w:val="%1．"/>
      <w:lvlJc w:val="left"/>
      <w:pPr>
        <w:tabs>
          <w:tab w:val="num" w:pos="735"/>
        </w:tabs>
        <w:ind w:left="735" w:hanging="525"/>
      </w:pPr>
      <w:rPr>
        <w:rFonts w:hint="eastAsia"/>
      </w:rPr>
    </w:lvl>
    <w:lvl w:ilvl="1">
      <w:start w:val="1"/>
      <w:numFmt w:val="bullet"/>
      <w:lvlText w:val=""/>
      <w:lvlJc w:val="left"/>
      <w:pPr>
        <w:tabs>
          <w:tab w:val="num" w:pos="1050"/>
        </w:tabs>
        <w:ind w:left="1050" w:hanging="420"/>
      </w:pPr>
      <w:rPr>
        <w:rFonts w:ascii="Wingdings" w:hAnsi="Wingdings" w:hint="default"/>
      </w:rPr>
    </w:lvl>
    <w:lvl w:ilvl="2">
      <w:start w:val="245"/>
      <w:numFmt w:val="decimal"/>
      <w:lvlText w:val="%3"/>
      <w:lvlJc w:val="left"/>
      <w:pPr>
        <w:tabs>
          <w:tab w:val="num" w:pos="1410"/>
        </w:tabs>
        <w:ind w:left="1410" w:hanging="360"/>
      </w:pPr>
      <w:rPr>
        <w:rFonts w:hint="eastAsia"/>
      </w:rPr>
    </w:lvl>
    <w:lvl w:ilvl="3">
      <w:start w:val="253"/>
      <w:numFmt w:val="bullet"/>
      <w:lvlText w:val="-"/>
      <w:lvlJc w:val="left"/>
      <w:pPr>
        <w:tabs>
          <w:tab w:val="num" w:pos="1830"/>
        </w:tabs>
        <w:ind w:left="1830" w:hanging="360"/>
      </w:pPr>
      <w:rPr>
        <w:rFonts w:ascii="Times New Roman" w:eastAsia="SimSun" w:hAnsi="Times New Roman" w:cs="Times New Roman" w:hint="default"/>
      </w:rPr>
    </w:lvl>
    <w:lvl w:ilvl="4">
      <w:start w:val="85"/>
      <w:numFmt w:val="decimal"/>
      <w:lvlText w:val="注%5"/>
      <w:lvlJc w:val="left"/>
      <w:pPr>
        <w:tabs>
          <w:tab w:val="num" w:pos="2580"/>
        </w:tabs>
        <w:ind w:left="2580" w:hanging="690"/>
      </w:pPr>
      <w:rPr>
        <w:rFonts w:hint="eastAsia"/>
      </w:r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09">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10">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11">
    <w:nsid w:val="20C0158B"/>
    <w:multiLevelType w:val="singleLevel"/>
    <w:tmpl w:val="36DE4F70"/>
    <w:lvl w:ilvl="0">
      <w:start w:val="3"/>
      <w:numFmt w:val="decimalFullWidth"/>
      <w:lvlText w:val="%1．"/>
      <w:lvlJc w:val="left"/>
      <w:pPr>
        <w:tabs>
          <w:tab w:val="num" w:pos="420"/>
        </w:tabs>
        <w:ind w:left="420" w:hanging="420"/>
      </w:pPr>
      <w:rPr>
        <w:rFonts w:hint="eastAsia"/>
      </w:rPr>
    </w:lvl>
  </w:abstractNum>
  <w:abstractNum w:abstractNumId="212">
    <w:nsid w:val="20E80F76"/>
    <w:multiLevelType w:val="hybridMultilevel"/>
    <w:tmpl w:val="BAB08A22"/>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13">
    <w:nsid w:val="20FE6015"/>
    <w:multiLevelType w:val="singleLevel"/>
    <w:tmpl w:val="0409000F"/>
    <w:lvl w:ilvl="0">
      <w:start w:val="1"/>
      <w:numFmt w:val="decimal"/>
      <w:lvlText w:val="%1."/>
      <w:lvlJc w:val="left"/>
      <w:pPr>
        <w:tabs>
          <w:tab w:val="num" w:pos="425"/>
        </w:tabs>
        <w:ind w:left="425" w:hanging="425"/>
      </w:pPr>
    </w:lvl>
  </w:abstractNum>
  <w:abstractNum w:abstractNumId="214">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5">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216">
    <w:nsid w:val="21DC3543"/>
    <w:multiLevelType w:val="hybridMultilevel"/>
    <w:tmpl w:val="65643992"/>
    <w:lvl w:ilvl="0" w:tplc="1F86C8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7">
    <w:nsid w:val="21FE3729"/>
    <w:multiLevelType w:val="hybridMultilevel"/>
    <w:tmpl w:val="49F47300"/>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18">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9">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20">
    <w:nsid w:val="22BB0F54"/>
    <w:multiLevelType w:val="hybridMultilevel"/>
    <w:tmpl w:val="9A66B83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221">
    <w:nsid w:val="22C75A9D"/>
    <w:multiLevelType w:val="hybridMultilevel"/>
    <w:tmpl w:val="BB4E34D8"/>
    <w:lvl w:ilvl="0" w:tplc="CA6C20D8">
      <w:start w:val="1"/>
      <w:numFmt w:val="bullet"/>
      <w:lvlText w:val=""/>
      <w:lvlJc w:val="left"/>
      <w:pPr>
        <w:tabs>
          <w:tab w:val="num" w:pos="845"/>
        </w:tabs>
        <w:ind w:left="84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2">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223">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224">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5">
    <w:nsid w:val="23DA0DC3"/>
    <w:multiLevelType w:val="hybridMultilevel"/>
    <w:tmpl w:val="B0821FD8"/>
    <w:lvl w:ilvl="0">
      <w:start w:val="1"/>
      <w:numFmt w:val="low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6">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7">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8">
    <w:nsid w:val="24410D55"/>
    <w:multiLevelType w:val="singleLevel"/>
    <w:tmpl w:val="5F7A2616"/>
    <w:lvl w:ilvl="0">
      <w:start w:val="5"/>
      <w:numFmt w:val="lowerLetter"/>
      <w:lvlText w:val=""/>
      <w:lvlJc w:val="left"/>
      <w:pPr>
        <w:tabs>
          <w:tab w:val="num" w:pos="360"/>
        </w:tabs>
        <w:ind w:left="360" w:hanging="360"/>
      </w:pPr>
      <w:rPr>
        <w:rFonts w:hint="default"/>
      </w:rPr>
    </w:lvl>
  </w:abstractNum>
  <w:abstractNum w:abstractNumId="229">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0">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31">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32">
    <w:nsid w:val="24CB44F6"/>
    <w:multiLevelType w:val="hybridMultilevel"/>
    <w:tmpl w:val="B71C5DEA"/>
    <w:lvl w:ilvl="0" w:tplc="E3BADD3A">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3">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34">
    <w:nsid w:val="25C07B2F"/>
    <w:multiLevelType w:val="hybridMultilevel"/>
    <w:tmpl w:val="80909A72"/>
    <w:lvl w:ilvl="0" w:tplc="E14EEC36">
      <w:start w:val="3"/>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5">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36">
    <w:nsid w:val="264A2083"/>
    <w:multiLevelType w:val="singleLevel"/>
    <w:tmpl w:val="FF3E829A"/>
    <w:lvl w:ilvl="0">
      <w:start w:val="1"/>
      <w:numFmt w:val="lowerLetter"/>
      <w:lvlText w:val="%1）"/>
      <w:lvlJc w:val="left"/>
      <w:pPr>
        <w:tabs>
          <w:tab w:val="num" w:pos="300"/>
        </w:tabs>
        <w:ind w:left="300" w:hanging="300"/>
      </w:pPr>
      <w:rPr>
        <w:rFonts w:hint="eastAsia"/>
      </w:rPr>
    </w:lvl>
  </w:abstractNum>
  <w:abstractNum w:abstractNumId="237">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238">
    <w:nsid w:val="269966C8"/>
    <w:multiLevelType w:val="hybridMultilevel"/>
    <w:tmpl w:val="98F0DBEA"/>
    <w:lvl w:ilvl="0" w:tplc="E3BADD3A">
      <w:start w:val="1"/>
      <w:numFmt w:val="bullet"/>
      <w:lvlText w:val=""/>
      <w:lvlJc w:val="left"/>
      <w:pPr>
        <w:tabs>
          <w:tab w:val="num" w:pos="840"/>
        </w:tabs>
        <w:ind w:left="840" w:hanging="420"/>
      </w:pPr>
      <w:rPr>
        <w:rFonts w:ascii="Wingdings 2" w:hAnsi="Wingdings 2" w:hint="default"/>
      </w:rPr>
    </w:lvl>
    <w:lvl w:ilvl="1" w:tplc="04090003">
      <w:start w:val="1"/>
      <w:numFmt w:val="bullet"/>
      <w:lvlText w:val=""/>
      <w:lvlJc w:val="left"/>
      <w:pPr>
        <w:tabs>
          <w:tab w:val="num" w:pos="1199"/>
        </w:tabs>
        <w:ind w:left="1199" w:hanging="420"/>
      </w:pPr>
      <w:rPr>
        <w:rFonts w:ascii="Wingdings" w:hAnsi="Wingdings" w:hint="default"/>
      </w:rPr>
    </w:lvl>
    <w:lvl w:ilvl="2" w:tplc="04090005" w:tentative="1">
      <w:start w:val="1"/>
      <w:numFmt w:val="bullet"/>
      <w:lvlText w:val=""/>
      <w:lvlJc w:val="left"/>
      <w:pPr>
        <w:tabs>
          <w:tab w:val="num" w:pos="1619"/>
        </w:tabs>
        <w:ind w:left="1619" w:hanging="420"/>
      </w:pPr>
      <w:rPr>
        <w:rFonts w:ascii="Wingdings" w:hAnsi="Wingdings" w:hint="default"/>
      </w:rPr>
    </w:lvl>
    <w:lvl w:ilvl="3" w:tplc="04090001" w:tentative="1">
      <w:start w:val="1"/>
      <w:numFmt w:val="bullet"/>
      <w:lvlText w:val=""/>
      <w:lvlJc w:val="left"/>
      <w:pPr>
        <w:tabs>
          <w:tab w:val="num" w:pos="2039"/>
        </w:tabs>
        <w:ind w:left="2039" w:hanging="420"/>
      </w:pPr>
      <w:rPr>
        <w:rFonts w:ascii="Wingdings" w:hAnsi="Wingdings" w:hint="default"/>
      </w:rPr>
    </w:lvl>
    <w:lvl w:ilvl="4" w:tplc="04090003" w:tentative="1">
      <w:start w:val="1"/>
      <w:numFmt w:val="bullet"/>
      <w:lvlText w:val=""/>
      <w:lvlJc w:val="left"/>
      <w:pPr>
        <w:tabs>
          <w:tab w:val="num" w:pos="2459"/>
        </w:tabs>
        <w:ind w:left="2459" w:hanging="420"/>
      </w:pPr>
      <w:rPr>
        <w:rFonts w:ascii="Wingdings" w:hAnsi="Wingdings" w:hint="default"/>
      </w:rPr>
    </w:lvl>
    <w:lvl w:ilvl="5" w:tplc="04090005" w:tentative="1">
      <w:start w:val="1"/>
      <w:numFmt w:val="bullet"/>
      <w:lvlText w:val=""/>
      <w:lvlJc w:val="left"/>
      <w:pPr>
        <w:tabs>
          <w:tab w:val="num" w:pos="2879"/>
        </w:tabs>
        <w:ind w:left="2879" w:hanging="420"/>
      </w:pPr>
      <w:rPr>
        <w:rFonts w:ascii="Wingdings" w:hAnsi="Wingdings" w:hint="default"/>
      </w:rPr>
    </w:lvl>
    <w:lvl w:ilvl="6" w:tplc="04090001" w:tentative="1">
      <w:start w:val="1"/>
      <w:numFmt w:val="bullet"/>
      <w:lvlText w:val=""/>
      <w:lvlJc w:val="left"/>
      <w:pPr>
        <w:tabs>
          <w:tab w:val="num" w:pos="3299"/>
        </w:tabs>
        <w:ind w:left="3299" w:hanging="420"/>
      </w:pPr>
      <w:rPr>
        <w:rFonts w:ascii="Wingdings" w:hAnsi="Wingdings" w:hint="default"/>
      </w:rPr>
    </w:lvl>
    <w:lvl w:ilvl="7" w:tplc="04090003" w:tentative="1">
      <w:start w:val="1"/>
      <w:numFmt w:val="bullet"/>
      <w:lvlText w:val=""/>
      <w:lvlJc w:val="left"/>
      <w:pPr>
        <w:tabs>
          <w:tab w:val="num" w:pos="3719"/>
        </w:tabs>
        <w:ind w:left="3719" w:hanging="420"/>
      </w:pPr>
      <w:rPr>
        <w:rFonts w:ascii="Wingdings" w:hAnsi="Wingdings" w:hint="default"/>
      </w:rPr>
    </w:lvl>
    <w:lvl w:ilvl="8" w:tplc="04090005" w:tentative="1">
      <w:start w:val="1"/>
      <w:numFmt w:val="bullet"/>
      <w:lvlText w:val=""/>
      <w:lvlJc w:val="left"/>
      <w:pPr>
        <w:tabs>
          <w:tab w:val="num" w:pos="4139"/>
        </w:tabs>
        <w:ind w:left="4139" w:hanging="420"/>
      </w:pPr>
      <w:rPr>
        <w:rFonts w:ascii="Wingdings" w:hAnsi="Wingdings" w:hint="default"/>
      </w:rPr>
    </w:lvl>
  </w:abstractNum>
  <w:abstractNum w:abstractNumId="239">
    <w:nsid w:val="26B77618"/>
    <w:multiLevelType w:val="hybridMultilevel"/>
    <w:tmpl w:val="5AE46A30"/>
    <w:lvl w:ilvl="0">
      <w:start w:val="1"/>
      <w:numFmt w:val="bullet"/>
      <w:lvlText w:val=""/>
      <w:lvlJc w:val="left"/>
      <w:pPr>
        <w:tabs>
          <w:tab w:val="num" w:pos="1890"/>
        </w:tabs>
        <w:ind w:left="1890" w:hanging="420"/>
      </w:pPr>
      <w:rPr>
        <w:rFonts w:ascii="Wingdings" w:hAnsi="Wingdings" w:hint="default"/>
        <w:color w:val="000080"/>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40">
    <w:nsid w:val="26E8435C"/>
    <w:multiLevelType w:val="hybridMultilevel"/>
    <w:tmpl w:val="E758BB9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1">
    <w:nsid w:val="27145403"/>
    <w:multiLevelType w:val="hybridMultilevel"/>
    <w:tmpl w:val="89285268"/>
    <w:lvl w:ilvl="0">
      <w:start w:val="27"/>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42">
    <w:nsid w:val="273378C3"/>
    <w:multiLevelType w:val="hybridMultilevel"/>
    <w:tmpl w:val="B386BF9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1"/>
      <w:numFmt w:val="lowerLetter"/>
      <w:lvlText w:val="%3)"/>
      <w:lvlJc w:val="left"/>
      <w:pPr>
        <w:tabs>
          <w:tab w:val="num" w:pos="1905"/>
        </w:tabs>
        <w:ind w:left="1905" w:hanging="420"/>
      </w:p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243">
    <w:nsid w:val="273437A3"/>
    <w:multiLevelType w:val="hybridMultilevel"/>
    <w:tmpl w:val="545EF400"/>
    <w:lvl w:ilvl="0" w:tplc="3228B28C">
      <w:start w:val="1"/>
      <w:numFmt w:val="decimalFullWidth"/>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44">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5">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6">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47">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248">
    <w:nsid w:val="279B25CA"/>
    <w:multiLevelType w:val="hybridMultilevel"/>
    <w:tmpl w:val="A280A8A6"/>
    <w:lvl w:ilvl="0">
      <w:start w:val="1"/>
      <w:numFmt w:val="decimal"/>
      <w:lvlText w:val="%1．"/>
      <w:lvlJc w:val="left"/>
      <w:pPr>
        <w:tabs>
          <w:tab w:val="num" w:pos="360"/>
        </w:tabs>
        <w:ind w:left="360" w:hanging="360"/>
      </w:pPr>
      <w:rPr>
        <w:rFonts w:hint="eastAsia"/>
      </w:rPr>
    </w:lvl>
    <w:lvl w:ilvl="1">
      <w:start w:val="20"/>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9">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0">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51">
    <w:nsid w:val="27FB0A20"/>
    <w:multiLevelType w:val="singleLevel"/>
    <w:tmpl w:val="389E55FA"/>
    <w:lvl w:ilvl="0">
      <w:numFmt w:val="bullet"/>
      <w:lvlText w:val="-"/>
      <w:lvlJc w:val="left"/>
      <w:pPr>
        <w:tabs>
          <w:tab w:val="num" w:pos="780"/>
        </w:tabs>
        <w:ind w:left="780" w:hanging="360"/>
      </w:pPr>
      <w:rPr>
        <w:rFonts w:hint="eastAsia"/>
      </w:rPr>
    </w:lvl>
  </w:abstractNum>
  <w:abstractNum w:abstractNumId="252">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3">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254">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5">
    <w:nsid w:val="28ED3FF9"/>
    <w:multiLevelType w:val="hybridMultilevel"/>
    <w:tmpl w:val="D7B6DD42"/>
    <w:lvl w:ilvl="0" w:tplc="5A029294">
      <w:start w:val="1"/>
      <w:numFmt w:val="japaneseCounting"/>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6">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7">
    <w:nsid w:val="2921013B"/>
    <w:multiLevelType w:val="hybridMultilevel"/>
    <w:tmpl w:val="1226BC4C"/>
    <w:lvl w:ilvl="0">
      <w:start w:val="153"/>
      <w:numFmt w:val="decimal"/>
      <w:lvlText w:val="%1．"/>
      <w:lvlJc w:val="left"/>
      <w:pPr>
        <w:tabs>
          <w:tab w:val="num" w:pos="735"/>
        </w:tabs>
        <w:ind w:left="735" w:hanging="525"/>
      </w:pPr>
      <w:rPr>
        <w:rFonts w:hint="eastAsia"/>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258">
    <w:nsid w:val="29CD57A8"/>
    <w:multiLevelType w:val="hybridMultilevel"/>
    <w:tmpl w:val="45A435C8"/>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259">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260">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1">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262">
    <w:nsid w:val="2ADC67E5"/>
    <w:multiLevelType w:val="hybridMultilevel"/>
    <w:tmpl w:val="07ACCB24"/>
    <w:lvl w:ilvl="0" w:tplc="AD9231D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3">
    <w:nsid w:val="2AED0D8F"/>
    <w:multiLevelType w:val="hybridMultilevel"/>
    <w:tmpl w:val="59AA6182"/>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64">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65">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266">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267">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268">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269">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0">
    <w:nsid w:val="2C1D0CC9"/>
    <w:multiLevelType w:val="hybridMultilevel"/>
    <w:tmpl w:val="275EB3F2"/>
    <w:lvl w:ilvl="0" w:tplc="23FE1BF6">
      <w:start w:val="1"/>
      <w:numFmt w:val="japaneseCounting"/>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1">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272">
    <w:nsid w:val="2C685F29"/>
    <w:multiLevelType w:val="hybridMultilevel"/>
    <w:tmpl w:val="7DD4BFBE"/>
    <w:lvl w:ilvl="0" w:tplc="5C92BCA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3">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74">
    <w:nsid w:val="2D171628"/>
    <w:multiLevelType w:val="singleLevel"/>
    <w:tmpl w:val="7F42A61E"/>
    <w:lvl w:ilvl="0">
      <w:start w:val="1"/>
      <w:numFmt w:val="decimalFullWidth"/>
      <w:lvlText w:val="%1．"/>
      <w:lvlJc w:val="left"/>
      <w:pPr>
        <w:tabs>
          <w:tab w:val="num" w:pos="735"/>
        </w:tabs>
        <w:ind w:left="735" w:hanging="420"/>
      </w:pPr>
      <w:rPr>
        <w:rFonts w:hint="eastAsia"/>
      </w:rPr>
    </w:lvl>
  </w:abstractNum>
  <w:abstractNum w:abstractNumId="275">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6">
    <w:nsid w:val="2D5E231E"/>
    <w:multiLevelType w:val="hybridMultilevel"/>
    <w:tmpl w:val="38C6698C"/>
    <w:lvl w:ilvl="0">
      <w:start w:val="2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77">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278">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279">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280">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1">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282">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283">
    <w:nsid w:val="2E734003"/>
    <w:multiLevelType w:val="hybridMultilevel"/>
    <w:tmpl w:val="DF44DDF8"/>
    <w:lvl w:ilvl="0" w:tplc="E3BADD3A">
      <w:start w:val="1"/>
      <w:numFmt w:val="bullet"/>
      <w:lvlText w:val=""/>
      <w:lvlJc w:val="left"/>
      <w:pPr>
        <w:tabs>
          <w:tab w:val="num" w:pos="1313"/>
        </w:tabs>
        <w:ind w:left="1313" w:hanging="420"/>
      </w:pPr>
      <w:rPr>
        <w:rFonts w:ascii="Wingdings 2" w:hAnsi="Wingdings 2"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284">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5">
    <w:nsid w:val="2EC03901"/>
    <w:multiLevelType w:val="hybridMultilevel"/>
    <w:tmpl w:val="4DF2BB84"/>
    <w:lvl w:ilvl="0" w:tplc="E3BADD3A">
      <w:start w:val="1"/>
      <w:numFmt w:val="bullet"/>
      <w:lvlText w:val=""/>
      <w:lvlJc w:val="left"/>
      <w:pPr>
        <w:tabs>
          <w:tab w:val="num" w:pos="840"/>
        </w:tabs>
        <w:ind w:left="840" w:hanging="420"/>
      </w:pPr>
      <w:rPr>
        <w:rFonts w:ascii="Wingdings 2" w:hAnsi="Wingdings 2" w:hint="default"/>
      </w:rPr>
    </w:lvl>
    <w:lvl w:ilvl="1" w:tplc="04090003">
      <w:start w:val="1"/>
      <w:numFmt w:val="bullet"/>
      <w:lvlText w:val=""/>
      <w:lvlJc w:val="left"/>
      <w:pPr>
        <w:tabs>
          <w:tab w:val="num" w:pos="1199"/>
        </w:tabs>
        <w:ind w:left="1199" w:hanging="420"/>
      </w:pPr>
      <w:rPr>
        <w:rFonts w:ascii="Wingdings" w:hAnsi="Wingdings" w:hint="default"/>
      </w:rPr>
    </w:lvl>
    <w:lvl w:ilvl="2" w:tplc="04090005" w:tentative="1">
      <w:start w:val="1"/>
      <w:numFmt w:val="bullet"/>
      <w:lvlText w:val=""/>
      <w:lvlJc w:val="left"/>
      <w:pPr>
        <w:tabs>
          <w:tab w:val="num" w:pos="1619"/>
        </w:tabs>
        <w:ind w:left="1619" w:hanging="420"/>
      </w:pPr>
      <w:rPr>
        <w:rFonts w:ascii="Wingdings" w:hAnsi="Wingdings" w:hint="default"/>
      </w:rPr>
    </w:lvl>
    <w:lvl w:ilvl="3" w:tplc="04090001" w:tentative="1">
      <w:start w:val="1"/>
      <w:numFmt w:val="bullet"/>
      <w:lvlText w:val=""/>
      <w:lvlJc w:val="left"/>
      <w:pPr>
        <w:tabs>
          <w:tab w:val="num" w:pos="2039"/>
        </w:tabs>
        <w:ind w:left="2039" w:hanging="420"/>
      </w:pPr>
      <w:rPr>
        <w:rFonts w:ascii="Wingdings" w:hAnsi="Wingdings" w:hint="default"/>
      </w:rPr>
    </w:lvl>
    <w:lvl w:ilvl="4" w:tplc="04090003" w:tentative="1">
      <w:start w:val="1"/>
      <w:numFmt w:val="bullet"/>
      <w:lvlText w:val=""/>
      <w:lvlJc w:val="left"/>
      <w:pPr>
        <w:tabs>
          <w:tab w:val="num" w:pos="2459"/>
        </w:tabs>
        <w:ind w:left="2459" w:hanging="420"/>
      </w:pPr>
      <w:rPr>
        <w:rFonts w:ascii="Wingdings" w:hAnsi="Wingdings" w:hint="default"/>
      </w:rPr>
    </w:lvl>
    <w:lvl w:ilvl="5" w:tplc="04090005" w:tentative="1">
      <w:start w:val="1"/>
      <w:numFmt w:val="bullet"/>
      <w:lvlText w:val=""/>
      <w:lvlJc w:val="left"/>
      <w:pPr>
        <w:tabs>
          <w:tab w:val="num" w:pos="2879"/>
        </w:tabs>
        <w:ind w:left="2879" w:hanging="420"/>
      </w:pPr>
      <w:rPr>
        <w:rFonts w:ascii="Wingdings" w:hAnsi="Wingdings" w:hint="default"/>
      </w:rPr>
    </w:lvl>
    <w:lvl w:ilvl="6" w:tplc="04090001" w:tentative="1">
      <w:start w:val="1"/>
      <w:numFmt w:val="bullet"/>
      <w:lvlText w:val=""/>
      <w:lvlJc w:val="left"/>
      <w:pPr>
        <w:tabs>
          <w:tab w:val="num" w:pos="3299"/>
        </w:tabs>
        <w:ind w:left="3299" w:hanging="420"/>
      </w:pPr>
      <w:rPr>
        <w:rFonts w:ascii="Wingdings" w:hAnsi="Wingdings" w:hint="default"/>
      </w:rPr>
    </w:lvl>
    <w:lvl w:ilvl="7" w:tplc="04090003" w:tentative="1">
      <w:start w:val="1"/>
      <w:numFmt w:val="bullet"/>
      <w:lvlText w:val=""/>
      <w:lvlJc w:val="left"/>
      <w:pPr>
        <w:tabs>
          <w:tab w:val="num" w:pos="3719"/>
        </w:tabs>
        <w:ind w:left="3719" w:hanging="420"/>
      </w:pPr>
      <w:rPr>
        <w:rFonts w:ascii="Wingdings" w:hAnsi="Wingdings" w:hint="default"/>
      </w:rPr>
    </w:lvl>
    <w:lvl w:ilvl="8" w:tplc="04090005" w:tentative="1">
      <w:start w:val="1"/>
      <w:numFmt w:val="bullet"/>
      <w:lvlText w:val=""/>
      <w:lvlJc w:val="left"/>
      <w:pPr>
        <w:tabs>
          <w:tab w:val="num" w:pos="4139"/>
        </w:tabs>
        <w:ind w:left="4139" w:hanging="420"/>
      </w:pPr>
      <w:rPr>
        <w:rFonts w:ascii="Wingdings" w:hAnsi="Wingdings" w:hint="default"/>
      </w:rPr>
    </w:lvl>
  </w:abstractNum>
  <w:abstractNum w:abstractNumId="286">
    <w:nsid w:val="2EC4545B"/>
    <w:multiLevelType w:val="hybridMultilevel"/>
    <w:tmpl w:val="87E4A34E"/>
    <w:lvl w:ilvl="0">
      <w:start w:val="1"/>
      <w:numFmt w:val="bullet"/>
      <w:lvlText w:val=""/>
      <w:lvlJc w:val="left"/>
      <w:pPr>
        <w:tabs>
          <w:tab w:val="num" w:pos="2525"/>
        </w:tabs>
        <w:ind w:left="2525" w:hanging="420"/>
      </w:pPr>
      <w:rPr>
        <w:rFonts w:ascii="Symbol" w:hAnsi="Symbol" w:hint="default"/>
      </w:rPr>
    </w:lvl>
    <w:lvl w:ilvl="1" w:tentative="1">
      <w:start w:val="1"/>
      <w:numFmt w:val="bullet"/>
      <w:lvlText w:val=""/>
      <w:lvlJc w:val="left"/>
      <w:pPr>
        <w:tabs>
          <w:tab w:val="num" w:pos="1680"/>
        </w:tabs>
        <w:ind w:left="1680" w:hanging="420"/>
      </w:pPr>
      <w:rPr>
        <w:rFonts w:ascii="Wingdings" w:hAnsi="Wingdings" w:hint="default"/>
      </w:rPr>
    </w:lvl>
    <w:lvl w:ilvl="2" w:tentative="1">
      <w:start w:val="1"/>
      <w:numFmt w:val="bullet"/>
      <w:lvlText w:val=""/>
      <w:lvlJc w:val="left"/>
      <w:pPr>
        <w:tabs>
          <w:tab w:val="num" w:pos="2100"/>
        </w:tabs>
        <w:ind w:left="2100" w:hanging="420"/>
      </w:pPr>
      <w:rPr>
        <w:rFonts w:ascii="Wingdings" w:hAnsi="Wingdings" w:hint="default"/>
      </w:rPr>
    </w:lvl>
    <w:lvl w:ilvl="3" w:tentative="1">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Symbol" w:eastAsia="SimSun" w:hAnsi="Symbol" w:hint="default"/>
      </w:rPr>
    </w:lvl>
    <w:lvl w:ilvl="5" w:tentative="1">
      <w:start w:val="1"/>
      <w:numFmt w:val="bullet"/>
      <w:lvlText w:val=""/>
      <w:lvlJc w:val="left"/>
      <w:pPr>
        <w:tabs>
          <w:tab w:val="num" w:pos="3360"/>
        </w:tabs>
        <w:ind w:left="3360" w:hanging="420"/>
      </w:pPr>
      <w:rPr>
        <w:rFonts w:ascii="Wingdings" w:hAnsi="Wingdings" w:hint="default"/>
      </w:rPr>
    </w:lvl>
    <w:lvl w:ilvl="6" w:tentative="1">
      <w:start w:val="1"/>
      <w:numFmt w:val="bullet"/>
      <w:lvlText w:val=""/>
      <w:lvlJc w:val="left"/>
      <w:pPr>
        <w:tabs>
          <w:tab w:val="num" w:pos="3780"/>
        </w:tabs>
        <w:ind w:left="3780" w:hanging="420"/>
      </w:pPr>
      <w:rPr>
        <w:rFonts w:ascii="Wingdings" w:hAnsi="Wingdings" w:hint="default"/>
      </w:rPr>
    </w:lvl>
    <w:lvl w:ilvl="7" w:tentative="1">
      <w:start w:val="1"/>
      <w:numFmt w:val="bullet"/>
      <w:lvlText w:val=""/>
      <w:lvlJc w:val="left"/>
      <w:pPr>
        <w:tabs>
          <w:tab w:val="num" w:pos="4200"/>
        </w:tabs>
        <w:ind w:left="4200" w:hanging="420"/>
      </w:pPr>
      <w:rPr>
        <w:rFonts w:ascii="Wingdings" w:hAnsi="Wingdings" w:hint="default"/>
      </w:rPr>
    </w:lvl>
    <w:lvl w:ilvl="8" w:tentative="1">
      <w:start w:val="1"/>
      <w:numFmt w:val="bullet"/>
      <w:lvlText w:val=""/>
      <w:lvlJc w:val="left"/>
      <w:pPr>
        <w:tabs>
          <w:tab w:val="num" w:pos="4620"/>
        </w:tabs>
        <w:ind w:left="4620" w:hanging="420"/>
      </w:pPr>
      <w:rPr>
        <w:rFonts w:ascii="Wingdings" w:hAnsi="Wingdings" w:hint="default"/>
      </w:rPr>
    </w:lvl>
  </w:abstractNum>
  <w:abstractNum w:abstractNumId="287">
    <w:nsid w:val="2ECB62C8"/>
    <w:multiLevelType w:val="singleLevel"/>
    <w:tmpl w:val="A8961C32"/>
    <w:lvl w:ilvl="0">
      <w:start w:val="1"/>
      <w:numFmt w:val="decimalFullWidth"/>
      <w:lvlText w:val="%1、"/>
      <w:lvlJc w:val="left"/>
      <w:pPr>
        <w:tabs>
          <w:tab w:val="num" w:pos="420"/>
        </w:tabs>
        <w:ind w:left="420" w:hanging="420"/>
      </w:pPr>
      <w:rPr>
        <w:rFonts w:hint="eastAsia"/>
      </w:rPr>
    </w:lvl>
  </w:abstractNum>
  <w:abstractNum w:abstractNumId="288">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9">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290">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291">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292">
    <w:nsid w:val="2FD533C7"/>
    <w:multiLevelType w:val="hybridMultilevel"/>
    <w:tmpl w:val="A82E903E"/>
    <w:lvl w:ilvl="0">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293">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294">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295">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296">
    <w:nsid w:val="30557876"/>
    <w:multiLevelType w:val="hybridMultilevel"/>
    <w:tmpl w:val="44A24A6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297">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298">
    <w:nsid w:val="30A86B27"/>
    <w:multiLevelType w:val="hybridMultilevel"/>
    <w:tmpl w:val="F1421422"/>
    <w:lvl w:ilvl="0" w:tplc="E3BADD3A">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BE6CDAFA">
      <w:start w:val="1"/>
      <w:numFmt w:val="bullet"/>
      <w:lvlText w:val=""/>
      <w:lvlJc w:val="left"/>
      <w:pPr>
        <w:tabs>
          <w:tab w:val="num" w:pos="1680"/>
        </w:tabs>
        <w:ind w:left="1680" w:hanging="420"/>
      </w:pPr>
      <w:rPr>
        <w:rFonts w:ascii="Symbol" w:hAnsi="Symbol" w:hint="default"/>
        <w:color w:val="auto"/>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9">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0">
    <w:nsid w:val="312D3DA5"/>
    <w:multiLevelType w:val="singleLevel"/>
    <w:tmpl w:val="4BD6BA1E"/>
    <w:lvl w:ilvl="0">
      <w:start w:val="1"/>
      <w:numFmt w:val="decimalFullWidth"/>
      <w:lvlText w:val="%1"/>
      <w:lvlJc w:val="left"/>
      <w:pPr>
        <w:tabs>
          <w:tab w:val="num" w:pos="360"/>
        </w:tabs>
        <w:ind w:left="360" w:hanging="360"/>
      </w:pPr>
      <w:rPr>
        <w:rFonts w:hint="eastAsia"/>
      </w:rPr>
    </w:lvl>
  </w:abstractNum>
  <w:abstractNum w:abstractNumId="301">
    <w:nsid w:val="31705DA1"/>
    <w:multiLevelType w:val="hybridMultilevel"/>
    <w:tmpl w:val="B6B820E2"/>
    <w:lvl w:ilvl="0">
      <w:start w:val="1"/>
      <w:numFmt w:val="lowerLetter"/>
      <w:lvlText w:val="%1)"/>
      <w:lvlJc w:val="left"/>
      <w:pPr>
        <w:tabs>
          <w:tab w:val="num" w:pos="1065"/>
        </w:tabs>
        <w:ind w:left="1065" w:hanging="420"/>
      </w:pPr>
    </w:lvl>
    <w:lvl w:ilvl="1">
      <w:start w:val="1"/>
      <w:numFmt w:val="decimal"/>
      <w:lvlText w:val="%2．"/>
      <w:lvlJc w:val="left"/>
      <w:pPr>
        <w:tabs>
          <w:tab w:val="num" w:pos="1425"/>
        </w:tabs>
        <w:ind w:left="1425" w:hanging="360"/>
      </w:pPr>
      <w:rPr>
        <w:rFonts w:hint="eastAsia"/>
      </w:rPr>
    </w:lvl>
    <w:lvl w:ilvl="2">
      <w:start w:val="88"/>
      <w:numFmt w:val="decimal"/>
      <w:lvlText w:val="注%3"/>
      <w:lvlJc w:val="left"/>
      <w:pPr>
        <w:tabs>
          <w:tab w:val="num" w:pos="2175"/>
        </w:tabs>
        <w:ind w:left="2175" w:hanging="690"/>
      </w:pPr>
      <w:rPr>
        <w:rFonts w:hint="eastAsia"/>
      </w:rPr>
    </w:lvl>
    <w:lvl w:ilvl="3" w:tentative="1">
      <w:start w:val="1"/>
      <w:numFmt w:val="decimal"/>
      <w:lvlText w:val="%4."/>
      <w:lvlJc w:val="left"/>
      <w:pPr>
        <w:tabs>
          <w:tab w:val="num" w:pos="2325"/>
        </w:tabs>
        <w:ind w:left="2325" w:hanging="420"/>
      </w:pPr>
    </w:lvl>
    <w:lvl w:ilvl="4" w:tentative="1">
      <w:start w:val="1"/>
      <w:numFmt w:val="lowerLetter"/>
      <w:lvlText w:val="%5)"/>
      <w:lvlJc w:val="left"/>
      <w:pPr>
        <w:tabs>
          <w:tab w:val="num" w:pos="2745"/>
        </w:tabs>
        <w:ind w:left="2745" w:hanging="420"/>
      </w:pPr>
    </w:lvl>
    <w:lvl w:ilvl="5" w:tentative="1">
      <w:start w:val="1"/>
      <w:numFmt w:val="lowerRoman"/>
      <w:lvlText w:val="%6."/>
      <w:lvlJc w:val="right"/>
      <w:pPr>
        <w:tabs>
          <w:tab w:val="num" w:pos="3165"/>
        </w:tabs>
        <w:ind w:left="3165" w:hanging="420"/>
      </w:pPr>
    </w:lvl>
    <w:lvl w:ilvl="6" w:tentative="1">
      <w:start w:val="1"/>
      <w:numFmt w:val="decimal"/>
      <w:lvlText w:val="%7."/>
      <w:lvlJc w:val="left"/>
      <w:pPr>
        <w:tabs>
          <w:tab w:val="num" w:pos="3585"/>
        </w:tabs>
        <w:ind w:left="3585" w:hanging="420"/>
      </w:pPr>
    </w:lvl>
    <w:lvl w:ilvl="7" w:tentative="1">
      <w:start w:val="1"/>
      <w:numFmt w:val="lowerLetter"/>
      <w:lvlText w:val="%8)"/>
      <w:lvlJc w:val="left"/>
      <w:pPr>
        <w:tabs>
          <w:tab w:val="num" w:pos="4005"/>
        </w:tabs>
        <w:ind w:left="4005" w:hanging="420"/>
      </w:pPr>
    </w:lvl>
    <w:lvl w:ilvl="8" w:tentative="1">
      <w:start w:val="1"/>
      <w:numFmt w:val="lowerRoman"/>
      <w:lvlText w:val="%9."/>
      <w:lvlJc w:val="right"/>
      <w:pPr>
        <w:tabs>
          <w:tab w:val="num" w:pos="4425"/>
        </w:tabs>
        <w:ind w:left="4425" w:hanging="420"/>
      </w:pPr>
    </w:lvl>
  </w:abstractNum>
  <w:abstractNum w:abstractNumId="302">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303">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4">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5">
    <w:nsid w:val="32C3100C"/>
    <w:multiLevelType w:val="singleLevel"/>
    <w:tmpl w:val="0BDAFE0A"/>
    <w:lvl w:ilvl="0">
      <w:start w:val="1"/>
      <w:numFmt w:val="decimal"/>
      <w:lvlText w:val="%1．"/>
      <w:lvlJc w:val="left"/>
      <w:pPr>
        <w:tabs>
          <w:tab w:val="num" w:pos="420"/>
        </w:tabs>
        <w:ind w:left="420" w:hanging="420"/>
      </w:pPr>
      <w:rPr>
        <w:rFonts w:hint="eastAsia"/>
      </w:rPr>
    </w:lvl>
  </w:abstractNum>
  <w:abstractNum w:abstractNumId="306">
    <w:nsid w:val="33017199"/>
    <w:multiLevelType w:val="hybridMultilevel"/>
    <w:tmpl w:val="FA368CC2"/>
    <w:lvl w:ilvl="0">
      <w:start w:val="1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07">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8">
    <w:nsid w:val="3370206B"/>
    <w:multiLevelType w:val="singleLevel"/>
    <w:tmpl w:val="CD5AA270"/>
    <w:lvl w:ilvl="0">
      <w:start w:val="2"/>
      <w:numFmt w:val="decimalFullWidth"/>
      <w:lvlText w:val="%1．"/>
      <w:lvlJc w:val="left"/>
      <w:pPr>
        <w:tabs>
          <w:tab w:val="num" w:pos="420"/>
        </w:tabs>
        <w:ind w:left="420" w:hanging="420"/>
      </w:pPr>
      <w:rPr>
        <w:rFonts w:hint="eastAsia"/>
      </w:rPr>
    </w:lvl>
  </w:abstractNum>
  <w:abstractNum w:abstractNumId="309">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10">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311">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2">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3">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4">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5">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316">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17">
    <w:nsid w:val="36063566"/>
    <w:multiLevelType w:val="hybridMultilevel"/>
    <w:tmpl w:val="DB0841EA"/>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18">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319">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320">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1">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322">
    <w:nsid w:val="366450A9"/>
    <w:multiLevelType w:val="singleLevel"/>
    <w:tmpl w:val="2D52160A"/>
    <w:lvl w:ilvl="0">
      <w:start w:val="5"/>
      <w:numFmt w:val="lowerLetter"/>
      <w:lvlText w:val="%1)"/>
      <w:lvlJc w:val="left"/>
      <w:pPr>
        <w:tabs>
          <w:tab w:val="num" w:pos="420"/>
        </w:tabs>
        <w:ind w:left="420" w:hanging="420"/>
      </w:pPr>
      <w:rPr>
        <w:rFonts w:hint="eastAsia"/>
      </w:rPr>
    </w:lvl>
  </w:abstractNum>
  <w:abstractNum w:abstractNumId="323">
    <w:nsid w:val="36715238"/>
    <w:multiLevelType w:val="hybridMultilevel"/>
    <w:tmpl w:val="B53C38BC"/>
    <w:lvl w:ilvl="0" w:tplc="18B2E9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4">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325">
    <w:nsid w:val="37100FA4"/>
    <w:multiLevelType w:val="singleLevel"/>
    <w:tmpl w:val="85408AD2"/>
    <w:lvl w:ilvl="0">
      <w:start w:val="1"/>
      <w:numFmt w:val="decimalFullWidth"/>
      <w:lvlText w:val="%1．"/>
      <w:lvlJc w:val="left"/>
      <w:pPr>
        <w:tabs>
          <w:tab w:val="num" w:pos="840"/>
        </w:tabs>
        <w:ind w:left="840" w:hanging="420"/>
      </w:pPr>
      <w:rPr>
        <w:rFonts w:hint="eastAsia"/>
      </w:rPr>
    </w:lvl>
  </w:abstractNum>
  <w:abstractNum w:abstractNumId="326">
    <w:nsid w:val="371E2F39"/>
    <w:multiLevelType w:val="singleLevel"/>
    <w:tmpl w:val="A0521426"/>
    <w:lvl w:ilvl="0">
      <w:start w:val="3"/>
      <w:numFmt w:val="decimalFullWidth"/>
      <w:lvlText w:val="%1．"/>
      <w:lvlJc w:val="left"/>
      <w:pPr>
        <w:tabs>
          <w:tab w:val="num" w:pos="840"/>
        </w:tabs>
        <w:ind w:left="840" w:hanging="420"/>
      </w:pPr>
      <w:rPr>
        <w:rFonts w:hint="eastAsia"/>
      </w:rPr>
    </w:lvl>
  </w:abstractNum>
  <w:abstractNum w:abstractNumId="327">
    <w:nsid w:val="374C1C22"/>
    <w:multiLevelType w:val="hybridMultilevel"/>
    <w:tmpl w:val="1C6EEB20"/>
    <w:lvl w:ilvl="0">
      <w:start w:val="2"/>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28">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29">
    <w:nsid w:val="376C607C"/>
    <w:multiLevelType w:val="hybridMultilevel"/>
    <w:tmpl w:val="2C368A94"/>
    <w:lvl w:ilvl="0">
      <w:start w:val="1997"/>
      <w:numFmt w:val="bullet"/>
      <w:lvlText w:val="＊"/>
      <w:lvlJc w:val="left"/>
      <w:pPr>
        <w:tabs>
          <w:tab w:val="num" w:pos="780"/>
        </w:tabs>
        <w:ind w:left="780" w:hanging="36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30">
    <w:nsid w:val="37847460"/>
    <w:multiLevelType w:val="hybridMultilevel"/>
    <w:tmpl w:val="EF0C3A74"/>
    <w:lvl w:ilvl="0" w:tplc="C68A4630">
      <w:start w:val="1"/>
      <w:numFmt w:val="decimalFullWidth"/>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1">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2">
    <w:nsid w:val="37D239B2"/>
    <w:multiLevelType w:val="hybridMultilevel"/>
    <w:tmpl w:val="DB922D3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3">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4">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5">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6">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7">
    <w:nsid w:val="386E09A0"/>
    <w:multiLevelType w:val="hybridMultilevel"/>
    <w:tmpl w:val="12BC30CE"/>
    <w:lvl w:ilvl="0" w:tplc="9F946EA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8">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39">
    <w:nsid w:val="38927D3F"/>
    <w:multiLevelType w:val="hybridMultilevel"/>
    <w:tmpl w:val="65501170"/>
    <w:lvl w:ilvl="0">
      <w:start w:val="91"/>
      <w:numFmt w:val="decimal"/>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40">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341">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342">
    <w:nsid w:val="390B2612"/>
    <w:multiLevelType w:val="singleLevel"/>
    <w:tmpl w:val="4E600844"/>
    <w:lvl w:ilvl="0">
      <w:start w:val="5"/>
      <w:numFmt w:val="lowerLetter"/>
      <w:lvlText w:val="(%1)"/>
      <w:lvlJc w:val="left"/>
      <w:pPr>
        <w:tabs>
          <w:tab w:val="num" w:pos="780"/>
        </w:tabs>
        <w:ind w:left="780" w:hanging="360"/>
      </w:pPr>
      <w:rPr>
        <w:rFonts w:hint="default"/>
      </w:rPr>
    </w:lvl>
  </w:abstractNum>
  <w:abstractNum w:abstractNumId="343">
    <w:nsid w:val="3964629B"/>
    <w:multiLevelType w:val="hybridMultilevel"/>
    <w:tmpl w:val="45286D88"/>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344">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5">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346">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7">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8">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9">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350">
    <w:nsid w:val="3BD23730"/>
    <w:multiLevelType w:val="hybridMultilevel"/>
    <w:tmpl w:val="F0D844BA"/>
    <w:lvl w:ilvl="0" w:tplc="E3BADD3A">
      <w:start w:val="1"/>
      <w:numFmt w:val="bullet"/>
      <w:lvlText w:val=""/>
      <w:lvlJc w:val="left"/>
      <w:pPr>
        <w:tabs>
          <w:tab w:val="num" w:pos="1319"/>
        </w:tabs>
        <w:ind w:left="1319" w:hanging="420"/>
      </w:pPr>
      <w:rPr>
        <w:rFonts w:ascii="Wingdings 2" w:hAnsi="Wingdings 2" w:hint="default"/>
      </w:rPr>
    </w:lvl>
    <w:lvl w:ilvl="1" w:tplc="04090003" w:tentative="1">
      <w:start w:val="1"/>
      <w:numFmt w:val="bullet"/>
      <w:lvlText w:val=""/>
      <w:lvlJc w:val="left"/>
      <w:pPr>
        <w:tabs>
          <w:tab w:val="num" w:pos="1319"/>
        </w:tabs>
        <w:ind w:left="1319" w:hanging="420"/>
      </w:pPr>
      <w:rPr>
        <w:rFonts w:ascii="Wingdings" w:hAnsi="Wingdings" w:hint="default"/>
      </w:rPr>
    </w:lvl>
    <w:lvl w:ilvl="2" w:tplc="04090005">
      <w:start w:val="1"/>
      <w:numFmt w:val="bullet"/>
      <w:lvlText w:val=""/>
      <w:lvlJc w:val="left"/>
      <w:pPr>
        <w:tabs>
          <w:tab w:val="num" w:pos="1739"/>
        </w:tabs>
        <w:ind w:left="1739" w:hanging="420"/>
      </w:pPr>
      <w:rPr>
        <w:rFonts w:ascii="Wingdings" w:hAnsi="Wingdings" w:hint="default"/>
      </w:rPr>
    </w:lvl>
    <w:lvl w:ilvl="3" w:tplc="04090001" w:tentative="1">
      <w:start w:val="1"/>
      <w:numFmt w:val="bullet"/>
      <w:lvlText w:val=""/>
      <w:lvlJc w:val="left"/>
      <w:pPr>
        <w:tabs>
          <w:tab w:val="num" w:pos="2159"/>
        </w:tabs>
        <w:ind w:left="2159" w:hanging="420"/>
      </w:pPr>
      <w:rPr>
        <w:rFonts w:ascii="Wingdings" w:hAnsi="Wingdings" w:hint="default"/>
      </w:rPr>
    </w:lvl>
    <w:lvl w:ilvl="4" w:tplc="04090003" w:tentative="1">
      <w:start w:val="1"/>
      <w:numFmt w:val="bullet"/>
      <w:lvlText w:val=""/>
      <w:lvlJc w:val="left"/>
      <w:pPr>
        <w:tabs>
          <w:tab w:val="num" w:pos="2579"/>
        </w:tabs>
        <w:ind w:left="2579" w:hanging="420"/>
      </w:pPr>
      <w:rPr>
        <w:rFonts w:ascii="Wingdings" w:hAnsi="Wingdings" w:hint="default"/>
      </w:rPr>
    </w:lvl>
    <w:lvl w:ilvl="5" w:tplc="04090005" w:tentative="1">
      <w:start w:val="1"/>
      <w:numFmt w:val="bullet"/>
      <w:lvlText w:val=""/>
      <w:lvlJc w:val="left"/>
      <w:pPr>
        <w:tabs>
          <w:tab w:val="num" w:pos="2999"/>
        </w:tabs>
        <w:ind w:left="2999" w:hanging="420"/>
      </w:pPr>
      <w:rPr>
        <w:rFonts w:ascii="Wingdings" w:hAnsi="Wingdings" w:hint="default"/>
      </w:rPr>
    </w:lvl>
    <w:lvl w:ilvl="6" w:tplc="04090001" w:tentative="1">
      <w:start w:val="1"/>
      <w:numFmt w:val="bullet"/>
      <w:lvlText w:val=""/>
      <w:lvlJc w:val="left"/>
      <w:pPr>
        <w:tabs>
          <w:tab w:val="num" w:pos="3419"/>
        </w:tabs>
        <w:ind w:left="3419" w:hanging="420"/>
      </w:pPr>
      <w:rPr>
        <w:rFonts w:ascii="Wingdings" w:hAnsi="Wingdings" w:hint="default"/>
      </w:rPr>
    </w:lvl>
    <w:lvl w:ilvl="7" w:tplc="04090003" w:tentative="1">
      <w:start w:val="1"/>
      <w:numFmt w:val="bullet"/>
      <w:lvlText w:val=""/>
      <w:lvlJc w:val="left"/>
      <w:pPr>
        <w:tabs>
          <w:tab w:val="num" w:pos="3839"/>
        </w:tabs>
        <w:ind w:left="3839" w:hanging="420"/>
      </w:pPr>
      <w:rPr>
        <w:rFonts w:ascii="Wingdings" w:hAnsi="Wingdings" w:hint="default"/>
      </w:rPr>
    </w:lvl>
    <w:lvl w:ilvl="8" w:tplc="04090005" w:tentative="1">
      <w:start w:val="1"/>
      <w:numFmt w:val="bullet"/>
      <w:lvlText w:val=""/>
      <w:lvlJc w:val="left"/>
      <w:pPr>
        <w:tabs>
          <w:tab w:val="num" w:pos="4259"/>
        </w:tabs>
        <w:ind w:left="4259" w:hanging="420"/>
      </w:pPr>
      <w:rPr>
        <w:rFonts w:ascii="Wingdings" w:hAnsi="Wingdings" w:hint="default"/>
      </w:rPr>
    </w:lvl>
  </w:abstractNum>
  <w:abstractNum w:abstractNumId="351">
    <w:nsid w:val="3BE45675"/>
    <w:multiLevelType w:val="hybridMultilevel"/>
    <w:tmpl w:val="14CADEF6"/>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52">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353">
    <w:nsid w:val="3BF56252"/>
    <w:multiLevelType w:val="hybridMultilevel"/>
    <w:tmpl w:val="1506E78A"/>
    <w:lvl w:ilvl="0">
      <w:numFmt w:val="bullet"/>
      <w:lvlText w:val="-"/>
      <w:lvlJc w:val="left"/>
      <w:pPr>
        <w:tabs>
          <w:tab w:val="num" w:pos="1125"/>
        </w:tabs>
        <w:ind w:left="1125" w:hanging="70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54">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5">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6">
    <w:nsid w:val="3C4E3B23"/>
    <w:multiLevelType w:val="hybridMultilevel"/>
    <w:tmpl w:val="D042F9D0"/>
    <w:lvl w:ilvl="0" w:tplc="DD48CA0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7">
    <w:nsid w:val="3CAB1E52"/>
    <w:multiLevelType w:val="hybridMultilevel"/>
    <w:tmpl w:val="5D0CF68E"/>
    <w:lvl w:ilvl="0" w:tplc="A12ED1A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58">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359">
    <w:nsid w:val="3CF37B6B"/>
    <w:multiLevelType w:val="singleLevel"/>
    <w:tmpl w:val="1D3E2C54"/>
    <w:lvl w:ilvl="0">
      <w:start w:val="1"/>
      <w:numFmt w:val="decimalFullWidth"/>
      <w:lvlText w:val="%1、"/>
      <w:lvlJc w:val="left"/>
      <w:pPr>
        <w:tabs>
          <w:tab w:val="num" w:pos="420"/>
        </w:tabs>
        <w:ind w:left="420" w:hanging="420"/>
      </w:pPr>
      <w:rPr>
        <w:rFonts w:hint="eastAsia"/>
      </w:rPr>
    </w:lvl>
  </w:abstractNum>
  <w:abstractNum w:abstractNumId="360">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361">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362">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363">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64">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365">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366">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367">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368">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369">
    <w:nsid w:val="3E423ACD"/>
    <w:multiLevelType w:val="singleLevel"/>
    <w:tmpl w:val="173E2636"/>
    <w:lvl w:ilvl="0">
      <w:start w:val="1"/>
      <w:numFmt w:val="decimal"/>
      <w:lvlText w:val="%1．"/>
      <w:lvlJc w:val="left"/>
      <w:pPr>
        <w:tabs>
          <w:tab w:val="num" w:pos="360"/>
        </w:tabs>
        <w:ind w:left="360" w:hanging="360"/>
      </w:pPr>
      <w:rPr>
        <w:rFonts w:hint="eastAsia"/>
      </w:rPr>
    </w:lvl>
  </w:abstractNum>
  <w:abstractNum w:abstractNumId="370">
    <w:nsid w:val="3E521832"/>
    <w:multiLevelType w:val="hybridMultilevel"/>
    <w:tmpl w:val="BB9856F6"/>
    <w:lvl w:ilvl="0" w:tplc="3572CD36">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71">
    <w:nsid w:val="3EB72967"/>
    <w:multiLevelType w:val="singleLevel"/>
    <w:tmpl w:val="419C83AC"/>
    <w:lvl w:ilvl="0">
      <w:start w:val="2"/>
      <w:numFmt w:val="bullet"/>
      <w:lvlText w:val="●"/>
      <w:lvlJc w:val="left"/>
      <w:pPr>
        <w:tabs>
          <w:tab w:val="num" w:pos="210"/>
        </w:tabs>
        <w:ind w:left="210" w:hanging="210"/>
      </w:pPr>
      <w:rPr>
        <w:rFonts w:ascii="SimSun" w:hint="eastAsia"/>
      </w:rPr>
    </w:lvl>
  </w:abstractNum>
  <w:abstractNum w:abstractNumId="372">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373">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74">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375">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6">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77">
    <w:nsid w:val="401E796A"/>
    <w:multiLevelType w:val="singleLevel"/>
    <w:tmpl w:val="2E7A602C"/>
    <w:lvl w:ilvl="0">
      <w:start w:val="1"/>
      <w:numFmt w:val="lowerLetter"/>
      <w:lvlText w:val="%1）"/>
      <w:lvlJc w:val="left"/>
      <w:pPr>
        <w:tabs>
          <w:tab w:val="num" w:pos="615"/>
        </w:tabs>
        <w:ind w:left="615" w:hanging="300"/>
      </w:pPr>
      <w:rPr>
        <w:rFonts w:hint="eastAsia"/>
      </w:rPr>
    </w:lvl>
  </w:abstractNum>
  <w:abstractNum w:abstractNumId="378">
    <w:nsid w:val="40216F1D"/>
    <w:multiLevelType w:val="hybridMultilevel"/>
    <w:tmpl w:val="7B9A32D6"/>
    <w:lvl w:ilvl="0">
      <w:start w:val="1"/>
      <w:numFmt w:val="bullet"/>
      <w:lvlText w:val=""/>
      <w:lvlJc w:val="left"/>
      <w:pPr>
        <w:tabs>
          <w:tab w:val="num" w:pos="855"/>
        </w:tabs>
        <w:ind w:left="855" w:hanging="420"/>
      </w:pPr>
      <w:rPr>
        <w:rFonts w:ascii="Wingdings" w:hAnsi="Wingdings" w:hint="default"/>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79">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0">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1">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382">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383">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84">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5">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6">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7">
    <w:nsid w:val="41075D2B"/>
    <w:multiLevelType w:val="hybridMultilevel"/>
    <w:tmpl w:val="2BE2D4F6"/>
    <w:lvl w:ilvl="0" w:tplc="52F02F62">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8">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389">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390">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391">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392">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3">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394">
    <w:nsid w:val="4285328A"/>
    <w:multiLevelType w:val="hybridMultilevel"/>
    <w:tmpl w:val="2074801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395">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6">
    <w:nsid w:val="42946EBE"/>
    <w:multiLevelType w:val="hybridMultilevel"/>
    <w:tmpl w:val="57780B20"/>
    <w:lvl w:ilvl="0">
      <w:numFmt w:val="bullet"/>
      <w:lvlText w:val="＊"/>
      <w:lvlJc w:val="left"/>
      <w:pPr>
        <w:tabs>
          <w:tab w:val="num" w:pos="1050"/>
        </w:tabs>
        <w:ind w:left="1050" w:hanging="63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397">
    <w:nsid w:val="42B133A9"/>
    <w:multiLevelType w:val="hybridMultilevel"/>
    <w:tmpl w:val="FDA42A98"/>
    <w:lvl w:ilvl="0" w:tplc="FFFFFFFF">
      <w:start w:val="1"/>
      <w:numFmt w:val="lowerLetter"/>
      <w:lvlText w:val="%1)"/>
      <w:lvlJc w:val="left"/>
      <w:pPr>
        <w:tabs>
          <w:tab w:val="num" w:pos="420"/>
        </w:tabs>
        <w:ind w:left="420" w:hanging="420"/>
      </w:pPr>
      <w:rPr>
        <w:rFonts w:hint="default"/>
      </w:rPr>
    </w:lvl>
    <w:lvl w:ilvl="1" w:tplc="FFFFFFFF">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98">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399">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0">
    <w:nsid w:val="42D110C0"/>
    <w:multiLevelType w:val="hybridMultilevel"/>
    <w:tmpl w:val="6CC408F8"/>
    <w:lvl w:ilvl="0" w:tplc="625E4CBE">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1">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402">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403">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4">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5">
    <w:nsid w:val="43EF7752"/>
    <w:multiLevelType w:val="hybridMultilevel"/>
    <w:tmpl w:val="BB4E34D8"/>
    <w:lvl w:ilvl="0" w:tplc="192C11D2">
      <w:start w:val="1"/>
      <w:numFmt w:val="bullet"/>
      <w:lvlText w:val=""/>
      <w:lvlJc w:val="left"/>
      <w:pPr>
        <w:tabs>
          <w:tab w:val="num" w:pos="845"/>
        </w:tabs>
        <w:ind w:left="845" w:hanging="42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06">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7">
    <w:nsid w:val="450334F9"/>
    <w:multiLevelType w:val="hybridMultilevel"/>
    <w:tmpl w:val="C060C212"/>
    <w:lvl w:ilvl="0" w:tplc="FC5CF266">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8">
    <w:nsid w:val="451B6F1D"/>
    <w:multiLevelType w:val="hybridMultilevel"/>
    <w:tmpl w:val="0C7C6740"/>
    <w:lvl w:ilvl="0">
      <w:start w:val="1"/>
      <w:numFmt w:val="bullet"/>
      <w:lvlText w:val=""/>
      <w:lvlJc w:val="left"/>
      <w:pPr>
        <w:tabs>
          <w:tab w:val="num" w:pos="1685"/>
        </w:tabs>
        <w:ind w:left="1685"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09">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10">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1">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12">
    <w:nsid w:val="45EC2D71"/>
    <w:multiLevelType w:val="hybridMultilevel"/>
    <w:tmpl w:val="3074554E"/>
    <w:lvl w:ilvl="0">
      <w:start w:val="1"/>
      <w:numFmt w:val="japaneseCounting"/>
      <w:lvlText w:val="第%1、"/>
      <w:lvlJc w:val="left"/>
      <w:pPr>
        <w:tabs>
          <w:tab w:val="num" w:pos="1505"/>
        </w:tabs>
        <w:ind w:left="1505" w:hanging="1080"/>
      </w:pPr>
      <w:rPr>
        <w:rFonts w:hint="eastAsia"/>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413">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14">
    <w:nsid w:val="461C5884"/>
    <w:multiLevelType w:val="hybridMultilevel"/>
    <w:tmpl w:val="5B9ABC24"/>
    <w:lvl w:ilvl="0">
      <w:start w:val="23"/>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415">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416">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7">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418">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9">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420">
    <w:nsid w:val="46B975AD"/>
    <w:multiLevelType w:val="hybridMultilevel"/>
    <w:tmpl w:val="98F0DBEA"/>
    <w:lvl w:ilvl="0" w:tplc="E3BADD3A">
      <w:start w:val="1"/>
      <w:numFmt w:val="bullet"/>
      <w:lvlText w:val=""/>
      <w:lvlJc w:val="left"/>
      <w:pPr>
        <w:tabs>
          <w:tab w:val="num" w:pos="1199"/>
        </w:tabs>
        <w:ind w:left="1199" w:hanging="420"/>
      </w:pPr>
      <w:rPr>
        <w:rFonts w:ascii="Wingdings 2" w:hAnsi="Wingdings 2" w:hint="default"/>
      </w:rPr>
    </w:lvl>
    <w:lvl w:ilvl="1" w:tplc="04090003">
      <w:start w:val="1"/>
      <w:numFmt w:val="bullet"/>
      <w:lvlText w:val=""/>
      <w:lvlJc w:val="left"/>
      <w:pPr>
        <w:tabs>
          <w:tab w:val="num" w:pos="1199"/>
        </w:tabs>
        <w:ind w:left="1199" w:hanging="420"/>
      </w:pPr>
      <w:rPr>
        <w:rFonts w:ascii="Wingdings" w:hAnsi="Wingdings" w:hint="default"/>
      </w:rPr>
    </w:lvl>
    <w:lvl w:ilvl="2" w:tplc="04090005" w:tentative="1">
      <w:start w:val="1"/>
      <w:numFmt w:val="bullet"/>
      <w:lvlText w:val=""/>
      <w:lvlJc w:val="left"/>
      <w:pPr>
        <w:tabs>
          <w:tab w:val="num" w:pos="1619"/>
        </w:tabs>
        <w:ind w:left="1619" w:hanging="420"/>
      </w:pPr>
      <w:rPr>
        <w:rFonts w:ascii="Wingdings" w:hAnsi="Wingdings" w:hint="default"/>
      </w:rPr>
    </w:lvl>
    <w:lvl w:ilvl="3" w:tplc="04090001" w:tentative="1">
      <w:start w:val="1"/>
      <w:numFmt w:val="bullet"/>
      <w:lvlText w:val=""/>
      <w:lvlJc w:val="left"/>
      <w:pPr>
        <w:tabs>
          <w:tab w:val="num" w:pos="2039"/>
        </w:tabs>
        <w:ind w:left="2039" w:hanging="420"/>
      </w:pPr>
      <w:rPr>
        <w:rFonts w:ascii="Wingdings" w:hAnsi="Wingdings" w:hint="default"/>
      </w:rPr>
    </w:lvl>
    <w:lvl w:ilvl="4" w:tplc="04090003" w:tentative="1">
      <w:start w:val="1"/>
      <w:numFmt w:val="bullet"/>
      <w:lvlText w:val=""/>
      <w:lvlJc w:val="left"/>
      <w:pPr>
        <w:tabs>
          <w:tab w:val="num" w:pos="2459"/>
        </w:tabs>
        <w:ind w:left="2459" w:hanging="420"/>
      </w:pPr>
      <w:rPr>
        <w:rFonts w:ascii="Wingdings" w:hAnsi="Wingdings" w:hint="default"/>
      </w:rPr>
    </w:lvl>
    <w:lvl w:ilvl="5" w:tplc="04090005" w:tentative="1">
      <w:start w:val="1"/>
      <w:numFmt w:val="bullet"/>
      <w:lvlText w:val=""/>
      <w:lvlJc w:val="left"/>
      <w:pPr>
        <w:tabs>
          <w:tab w:val="num" w:pos="2879"/>
        </w:tabs>
        <w:ind w:left="2879" w:hanging="420"/>
      </w:pPr>
      <w:rPr>
        <w:rFonts w:ascii="Wingdings" w:hAnsi="Wingdings" w:hint="default"/>
      </w:rPr>
    </w:lvl>
    <w:lvl w:ilvl="6" w:tplc="04090001" w:tentative="1">
      <w:start w:val="1"/>
      <w:numFmt w:val="bullet"/>
      <w:lvlText w:val=""/>
      <w:lvlJc w:val="left"/>
      <w:pPr>
        <w:tabs>
          <w:tab w:val="num" w:pos="3299"/>
        </w:tabs>
        <w:ind w:left="3299" w:hanging="420"/>
      </w:pPr>
      <w:rPr>
        <w:rFonts w:ascii="Wingdings" w:hAnsi="Wingdings" w:hint="default"/>
      </w:rPr>
    </w:lvl>
    <w:lvl w:ilvl="7" w:tplc="04090003" w:tentative="1">
      <w:start w:val="1"/>
      <w:numFmt w:val="bullet"/>
      <w:lvlText w:val=""/>
      <w:lvlJc w:val="left"/>
      <w:pPr>
        <w:tabs>
          <w:tab w:val="num" w:pos="3719"/>
        </w:tabs>
        <w:ind w:left="3719" w:hanging="420"/>
      </w:pPr>
      <w:rPr>
        <w:rFonts w:ascii="Wingdings" w:hAnsi="Wingdings" w:hint="default"/>
      </w:rPr>
    </w:lvl>
    <w:lvl w:ilvl="8" w:tplc="04090005" w:tentative="1">
      <w:start w:val="1"/>
      <w:numFmt w:val="bullet"/>
      <w:lvlText w:val=""/>
      <w:lvlJc w:val="left"/>
      <w:pPr>
        <w:tabs>
          <w:tab w:val="num" w:pos="4139"/>
        </w:tabs>
        <w:ind w:left="4139" w:hanging="420"/>
      </w:pPr>
      <w:rPr>
        <w:rFonts w:ascii="Wingdings" w:hAnsi="Wingdings" w:hint="default"/>
      </w:rPr>
    </w:lvl>
  </w:abstractNum>
  <w:abstractNum w:abstractNumId="421">
    <w:nsid w:val="46C4108D"/>
    <w:multiLevelType w:val="hybridMultilevel"/>
    <w:tmpl w:val="6CC408F8"/>
    <w:lvl w:ilvl="0" w:tplc="3572CD36">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2">
    <w:nsid w:val="473F764A"/>
    <w:multiLevelType w:val="hybridMultilevel"/>
    <w:tmpl w:val="6F6E5A30"/>
    <w:lvl w:ilvl="0">
      <w:start w:val="1"/>
      <w:numFmt w:val="lowerLetter"/>
      <w:lvlText w:val="%1)"/>
      <w:lvlJc w:val="left"/>
      <w:pPr>
        <w:tabs>
          <w:tab w:val="num" w:pos="645"/>
        </w:tabs>
        <w:ind w:left="645" w:hanging="420"/>
      </w:p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23">
    <w:nsid w:val="474317F7"/>
    <w:multiLevelType w:val="hybridMultilevel"/>
    <w:tmpl w:val="88BC2C2E"/>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24">
    <w:nsid w:val="475C648B"/>
    <w:multiLevelType w:val="hybridMultilevel"/>
    <w:tmpl w:val="D3F4B2DE"/>
    <w:lvl w:ilvl="0" w:tplc="C286141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25">
    <w:nsid w:val="476953AC"/>
    <w:multiLevelType w:val="singleLevel"/>
    <w:tmpl w:val="58F08834"/>
    <w:lvl w:ilvl="0">
      <w:start w:val="16"/>
      <w:numFmt w:val="japaneseCounting"/>
      <w:lvlText w:val="%1"/>
      <w:lvlJc w:val="left"/>
      <w:pPr>
        <w:tabs>
          <w:tab w:val="num" w:pos="360"/>
        </w:tabs>
        <w:ind w:left="360" w:hanging="360"/>
      </w:pPr>
      <w:rPr>
        <w:rFonts w:hint="eastAsia"/>
      </w:rPr>
    </w:lvl>
  </w:abstractNum>
  <w:abstractNum w:abstractNumId="426">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427">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8">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9">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430">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1">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32">
    <w:nsid w:val="48DD149D"/>
    <w:multiLevelType w:val="hybridMultilevel"/>
    <w:tmpl w:val="1BE43DAA"/>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33">
    <w:nsid w:val="492308A9"/>
    <w:multiLevelType w:val="singleLevel"/>
    <w:tmpl w:val="BD90EB50"/>
    <w:lvl w:ilvl="0">
      <w:start w:val="1"/>
      <w:numFmt w:val="decimal"/>
      <w:lvlText w:val="%1)"/>
      <w:lvlJc w:val="left"/>
      <w:pPr>
        <w:tabs>
          <w:tab w:val="num" w:pos="720"/>
        </w:tabs>
        <w:ind w:left="720" w:hanging="300"/>
      </w:pPr>
      <w:rPr>
        <w:rFonts w:hint="default"/>
      </w:rPr>
    </w:lvl>
  </w:abstractNum>
  <w:abstractNum w:abstractNumId="434">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5">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436">
    <w:nsid w:val="495D26ED"/>
    <w:multiLevelType w:val="hybridMultilevel"/>
    <w:tmpl w:val="D66EE458"/>
    <w:lvl w:ilvl="0" w:tplc="3194524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7">
    <w:nsid w:val="496A3017"/>
    <w:multiLevelType w:val="hybridMultilevel"/>
    <w:tmpl w:val="27ECD116"/>
    <w:lvl w:ilvl="0" w:tplc="449A459E">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8">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9">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0">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441">
    <w:nsid w:val="49A16DB2"/>
    <w:multiLevelType w:val="hybridMultilevel"/>
    <w:tmpl w:val="E5A4517A"/>
    <w:lvl w:ilvl="0">
      <w:start w:val="154"/>
      <w:numFmt w:val="decimal"/>
      <w:lvlText w:val="%1."/>
      <w:lvlJc w:val="left"/>
      <w:pPr>
        <w:tabs>
          <w:tab w:val="num" w:pos="585"/>
        </w:tabs>
        <w:ind w:left="585" w:hanging="360"/>
      </w:pPr>
      <w:rPr>
        <w:rFonts w:hint="default"/>
      </w:rPr>
    </w:lvl>
    <w:lvl w:ilvl="1" w:tentative="1">
      <w:start w:val="1"/>
      <w:numFmt w:val="lowerLetter"/>
      <w:lvlText w:val="%2)"/>
      <w:lvlJc w:val="left"/>
      <w:pPr>
        <w:tabs>
          <w:tab w:val="num" w:pos="1065"/>
        </w:tabs>
        <w:ind w:left="1065" w:hanging="420"/>
      </w:pPr>
    </w:lvl>
    <w:lvl w:ilvl="2" w:tentative="1">
      <w:start w:val="1"/>
      <w:numFmt w:val="lowerRoman"/>
      <w:lvlText w:val="%3."/>
      <w:lvlJc w:val="right"/>
      <w:pPr>
        <w:tabs>
          <w:tab w:val="num" w:pos="1485"/>
        </w:tabs>
        <w:ind w:left="1485" w:hanging="420"/>
      </w:pPr>
    </w:lvl>
    <w:lvl w:ilvl="3" w:tentative="1">
      <w:start w:val="1"/>
      <w:numFmt w:val="decimal"/>
      <w:lvlText w:val="%4."/>
      <w:lvlJc w:val="left"/>
      <w:pPr>
        <w:tabs>
          <w:tab w:val="num" w:pos="1905"/>
        </w:tabs>
        <w:ind w:left="1905" w:hanging="420"/>
      </w:pPr>
    </w:lvl>
    <w:lvl w:ilvl="4" w:tentative="1">
      <w:start w:val="1"/>
      <w:numFmt w:val="lowerLetter"/>
      <w:lvlText w:val="%5)"/>
      <w:lvlJc w:val="left"/>
      <w:pPr>
        <w:tabs>
          <w:tab w:val="num" w:pos="2325"/>
        </w:tabs>
        <w:ind w:left="2325" w:hanging="420"/>
      </w:pPr>
    </w:lvl>
    <w:lvl w:ilvl="5" w:tentative="1">
      <w:start w:val="1"/>
      <w:numFmt w:val="lowerRoman"/>
      <w:lvlText w:val="%6."/>
      <w:lvlJc w:val="right"/>
      <w:pPr>
        <w:tabs>
          <w:tab w:val="num" w:pos="2745"/>
        </w:tabs>
        <w:ind w:left="2745" w:hanging="420"/>
      </w:pPr>
    </w:lvl>
    <w:lvl w:ilvl="6" w:tentative="1">
      <w:start w:val="1"/>
      <w:numFmt w:val="decimal"/>
      <w:lvlText w:val="%7."/>
      <w:lvlJc w:val="left"/>
      <w:pPr>
        <w:tabs>
          <w:tab w:val="num" w:pos="3165"/>
        </w:tabs>
        <w:ind w:left="3165" w:hanging="420"/>
      </w:pPr>
    </w:lvl>
    <w:lvl w:ilvl="7" w:tentative="1">
      <w:start w:val="1"/>
      <w:numFmt w:val="lowerLetter"/>
      <w:lvlText w:val="%8)"/>
      <w:lvlJc w:val="left"/>
      <w:pPr>
        <w:tabs>
          <w:tab w:val="num" w:pos="3585"/>
        </w:tabs>
        <w:ind w:left="3585" w:hanging="420"/>
      </w:pPr>
    </w:lvl>
    <w:lvl w:ilvl="8" w:tentative="1">
      <w:start w:val="1"/>
      <w:numFmt w:val="lowerRoman"/>
      <w:lvlText w:val="%9."/>
      <w:lvlJc w:val="right"/>
      <w:pPr>
        <w:tabs>
          <w:tab w:val="num" w:pos="4005"/>
        </w:tabs>
        <w:ind w:left="4005" w:hanging="420"/>
      </w:pPr>
    </w:lvl>
  </w:abstractNum>
  <w:abstractNum w:abstractNumId="442">
    <w:nsid w:val="49D1263A"/>
    <w:multiLevelType w:val="hybridMultilevel"/>
    <w:tmpl w:val="DEE464BC"/>
    <w:lvl w:ilvl="0">
      <w:start w:val="4"/>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43">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444">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45">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46">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7">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8">
    <w:nsid w:val="4B302640"/>
    <w:multiLevelType w:val="hybridMultilevel"/>
    <w:tmpl w:val="AB52EF8C"/>
    <w:lvl w:ilvl="0" w:tplc="728CE3CC">
      <w:start w:val="1"/>
      <w:numFmt w:val="bullet"/>
      <w:lvlText w:val=""/>
      <w:lvlJc w:val="left"/>
      <w:pPr>
        <w:tabs>
          <w:tab w:val="num" w:pos="425"/>
        </w:tabs>
        <w:ind w:left="425" w:hanging="425"/>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9">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450">
    <w:nsid w:val="4B77594A"/>
    <w:multiLevelType w:val="hybridMultilevel"/>
    <w:tmpl w:val="EBCC99D0"/>
    <w:lvl w:ilvl="0">
      <w:start w:val="1999"/>
      <w:numFmt w:val="bullet"/>
      <w:lvlText w:val="-"/>
      <w:lvlJc w:val="left"/>
      <w:pPr>
        <w:tabs>
          <w:tab w:val="num" w:pos="2670"/>
        </w:tabs>
        <w:ind w:left="2670" w:hanging="360"/>
      </w:pPr>
      <w:rPr>
        <w:rFonts w:ascii="Times New Roman" w:eastAsia="SimSun" w:hAnsi="Times New Roman" w:cs="Times New Roman" w:hint="default"/>
      </w:rPr>
    </w:lvl>
    <w:lvl w:ilvl="1" w:tentative="1">
      <w:start w:val="1"/>
      <w:numFmt w:val="bullet"/>
      <w:lvlText w:val=""/>
      <w:lvlJc w:val="left"/>
      <w:pPr>
        <w:tabs>
          <w:tab w:val="num" w:pos="3150"/>
        </w:tabs>
        <w:ind w:left="3150" w:hanging="420"/>
      </w:pPr>
      <w:rPr>
        <w:rFonts w:ascii="Wingdings" w:hAnsi="Wingdings" w:hint="default"/>
      </w:rPr>
    </w:lvl>
    <w:lvl w:ilvl="2" w:tentative="1">
      <w:start w:val="1"/>
      <w:numFmt w:val="bullet"/>
      <w:lvlText w:val=""/>
      <w:lvlJc w:val="left"/>
      <w:pPr>
        <w:tabs>
          <w:tab w:val="num" w:pos="3570"/>
        </w:tabs>
        <w:ind w:left="3570" w:hanging="420"/>
      </w:pPr>
      <w:rPr>
        <w:rFonts w:ascii="Wingdings" w:hAnsi="Wingdings" w:hint="default"/>
      </w:rPr>
    </w:lvl>
    <w:lvl w:ilvl="3" w:tentative="1">
      <w:start w:val="1"/>
      <w:numFmt w:val="bullet"/>
      <w:lvlText w:val=""/>
      <w:lvlJc w:val="left"/>
      <w:pPr>
        <w:tabs>
          <w:tab w:val="num" w:pos="3990"/>
        </w:tabs>
        <w:ind w:left="3990" w:hanging="420"/>
      </w:pPr>
      <w:rPr>
        <w:rFonts w:ascii="Wingdings" w:hAnsi="Wingdings" w:hint="default"/>
      </w:rPr>
    </w:lvl>
    <w:lvl w:ilvl="4" w:tentative="1">
      <w:start w:val="1"/>
      <w:numFmt w:val="bullet"/>
      <w:lvlText w:val=""/>
      <w:lvlJc w:val="left"/>
      <w:pPr>
        <w:tabs>
          <w:tab w:val="num" w:pos="4410"/>
        </w:tabs>
        <w:ind w:left="4410" w:hanging="420"/>
      </w:pPr>
      <w:rPr>
        <w:rFonts w:ascii="Wingdings" w:hAnsi="Wingdings" w:hint="default"/>
      </w:rPr>
    </w:lvl>
    <w:lvl w:ilvl="5" w:tentative="1">
      <w:start w:val="1"/>
      <w:numFmt w:val="bullet"/>
      <w:lvlText w:val=""/>
      <w:lvlJc w:val="left"/>
      <w:pPr>
        <w:tabs>
          <w:tab w:val="num" w:pos="4830"/>
        </w:tabs>
        <w:ind w:left="4830" w:hanging="420"/>
      </w:pPr>
      <w:rPr>
        <w:rFonts w:ascii="Wingdings" w:hAnsi="Wingdings" w:hint="default"/>
      </w:rPr>
    </w:lvl>
    <w:lvl w:ilvl="6" w:tentative="1">
      <w:start w:val="1"/>
      <w:numFmt w:val="bullet"/>
      <w:lvlText w:val=""/>
      <w:lvlJc w:val="left"/>
      <w:pPr>
        <w:tabs>
          <w:tab w:val="num" w:pos="5250"/>
        </w:tabs>
        <w:ind w:left="5250" w:hanging="420"/>
      </w:pPr>
      <w:rPr>
        <w:rFonts w:ascii="Wingdings" w:hAnsi="Wingdings" w:hint="default"/>
      </w:rPr>
    </w:lvl>
    <w:lvl w:ilvl="7" w:tentative="1">
      <w:start w:val="1"/>
      <w:numFmt w:val="bullet"/>
      <w:lvlText w:val=""/>
      <w:lvlJc w:val="left"/>
      <w:pPr>
        <w:tabs>
          <w:tab w:val="num" w:pos="5670"/>
        </w:tabs>
        <w:ind w:left="5670" w:hanging="420"/>
      </w:pPr>
      <w:rPr>
        <w:rFonts w:ascii="Wingdings" w:hAnsi="Wingdings" w:hint="default"/>
      </w:rPr>
    </w:lvl>
    <w:lvl w:ilvl="8" w:tentative="1">
      <w:start w:val="1"/>
      <w:numFmt w:val="bullet"/>
      <w:lvlText w:val=""/>
      <w:lvlJc w:val="left"/>
      <w:pPr>
        <w:tabs>
          <w:tab w:val="num" w:pos="6090"/>
        </w:tabs>
        <w:ind w:left="6090" w:hanging="420"/>
      </w:pPr>
      <w:rPr>
        <w:rFonts w:ascii="Wingdings" w:hAnsi="Wingdings" w:hint="default"/>
      </w:rPr>
    </w:lvl>
  </w:abstractNum>
  <w:abstractNum w:abstractNumId="451">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452">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3">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4">
    <w:nsid w:val="4C063A6E"/>
    <w:multiLevelType w:val="hybridMultilevel"/>
    <w:tmpl w:val="C482404A"/>
    <w:lvl w:ilvl="0" w:tplc="F1562FDE">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5">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456">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457">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458">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459">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460">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461">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2">
    <w:nsid w:val="4DA160F5"/>
    <w:multiLevelType w:val="hybridMultilevel"/>
    <w:tmpl w:val="B98A7292"/>
    <w:lvl w:ilvl="0" w:tplc="1F4853B4">
      <w:start w:val="1"/>
      <w:numFmt w:val="japaneseCounting"/>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3">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464">
    <w:nsid w:val="4E317F10"/>
    <w:multiLevelType w:val="hybridMultilevel"/>
    <w:tmpl w:val="1BC817C2"/>
    <w:lvl w:ilvl="0">
      <w:start w:val="95"/>
      <w:numFmt w:val="decimal"/>
      <w:lvlText w:val="%1."/>
      <w:lvlJc w:val="left"/>
      <w:pPr>
        <w:tabs>
          <w:tab w:val="num" w:pos="795"/>
        </w:tabs>
        <w:ind w:left="795" w:hanging="360"/>
      </w:pPr>
      <w:rPr>
        <w:rFonts w:hint="eastAsia"/>
      </w:rPr>
    </w:lvl>
    <w:lvl w:ilvl="1">
      <w:start w:val="99"/>
      <w:numFmt w:val="decimal"/>
      <w:lvlText w:val="%2．"/>
      <w:lvlJc w:val="left"/>
      <w:pPr>
        <w:tabs>
          <w:tab w:val="num" w:pos="1275"/>
        </w:tabs>
        <w:ind w:left="1275" w:hanging="420"/>
      </w:pPr>
      <w:rPr>
        <w:rFonts w:hint="eastAsia"/>
      </w:rPr>
    </w:lvl>
    <w:lvl w:ilvl="2">
      <w:start w:val="1"/>
      <w:numFmt w:val="bullet"/>
      <w:lvlText w:val=""/>
      <w:lvlJc w:val="left"/>
      <w:pPr>
        <w:tabs>
          <w:tab w:val="num" w:pos="1695"/>
        </w:tabs>
        <w:ind w:left="1695" w:hanging="420"/>
      </w:pPr>
      <w:rPr>
        <w:rFonts w:ascii="Wingdings" w:hAnsi="Wingdings" w:hint="default"/>
      </w:rPr>
    </w:lvl>
    <w:lvl w:ilvl="3">
      <w:start w:val="100"/>
      <w:numFmt w:val="decimal"/>
      <w:lvlText w:val="%4"/>
      <w:lvlJc w:val="left"/>
      <w:pPr>
        <w:tabs>
          <w:tab w:val="num" w:pos="2055"/>
        </w:tabs>
        <w:ind w:left="2055" w:hanging="360"/>
      </w:pPr>
      <w:rPr>
        <w:rFonts w:hint="eastAsia"/>
      </w:r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465">
    <w:nsid w:val="4E670096"/>
    <w:multiLevelType w:val="hybridMultilevel"/>
    <w:tmpl w:val="4DF2BB84"/>
    <w:lvl w:ilvl="0" w:tplc="E3BADD3A">
      <w:start w:val="1"/>
      <w:numFmt w:val="bullet"/>
      <w:lvlText w:val=""/>
      <w:lvlJc w:val="left"/>
      <w:pPr>
        <w:tabs>
          <w:tab w:val="num" w:pos="1199"/>
        </w:tabs>
        <w:ind w:left="1199" w:hanging="420"/>
      </w:pPr>
      <w:rPr>
        <w:rFonts w:ascii="Wingdings 2" w:hAnsi="Wingdings 2" w:hint="default"/>
      </w:rPr>
    </w:lvl>
    <w:lvl w:ilvl="1" w:tplc="04090003">
      <w:start w:val="1"/>
      <w:numFmt w:val="bullet"/>
      <w:lvlText w:val=""/>
      <w:lvlJc w:val="left"/>
      <w:pPr>
        <w:tabs>
          <w:tab w:val="num" w:pos="1199"/>
        </w:tabs>
        <w:ind w:left="1199" w:hanging="420"/>
      </w:pPr>
      <w:rPr>
        <w:rFonts w:ascii="Wingdings" w:hAnsi="Wingdings" w:hint="default"/>
      </w:rPr>
    </w:lvl>
    <w:lvl w:ilvl="2" w:tplc="04090005" w:tentative="1">
      <w:start w:val="1"/>
      <w:numFmt w:val="bullet"/>
      <w:lvlText w:val=""/>
      <w:lvlJc w:val="left"/>
      <w:pPr>
        <w:tabs>
          <w:tab w:val="num" w:pos="1619"/>
        </w:tabs>
        <w:ind w:left="1619" w:hanging="420"/>
      </w:pPr>
      <w:rPr>
        <w:rFonts w:ascii="Wingdings" w:hAnsi="Wingdings" w:hint="default"/>
      </w:rPr>
    </w:lvl>
    <w:lvl w:ilvl="3" w:tplc="04090001" w:tentative="1">
      <w:start w:val="1"/>
      <w:numFmt w:val="bullet"/>
      <w:lvlText w:val=""/>
      <w:lvlJc w:val="left"/>
      <w:pPr>
        <w:tabs>
          <w:tab w:val="num" w:pos="2039"/>
        </w:tabs>
        <w:ind w:left="2039" w:hanging="420"/>
      </w:pPr>
      <w:rPr>
        <w:rFonts w:ascii="Wingdings" w:hAnsi="Wingdings" w:hint="default"/>
      </w:rPr>
    </w:lvl>
    <w:lvl w:ilvl="4" w:tplc="04090003" w:tentative="1">
      <w:start w:val="1"/>
      <w:numFmt w:val="bullet"/>
      <w:lvlText w:val=""/>
      <w:lvlJc w:val="left"/>
      <w:pPr>
        <w:tabs>
          <w:tab w:val="num" w:pos="2459"/>
        </w:tabs>
        <w:ind w:left="2459" w:hanging="420"/>
      </w:pPr>
      <w:rPr>
        <w:rFonts w:ascii="Wingdings" w:hAnsi="Wingdings" w:hint="default"/>
      </w:rPr>
    </w:lvl>
    <w:lvl w:ilvl="5" w:tplc="04090005" w:tentative="1">
      <w:start w:val="1"/>
      <w:numFmt w:val="bullet"/>
      <w:lvlText w:val=""/>
      <w:lvlJc w:val="left"/>
      <w:pPr>
        <w:tabs>
          <w:tab w:val="num" w:pos="2879"/>
        </w:tabs>
        <w:ind w:left="2879" w:hanging="420"/>
      </w:pPr>
      <w:rPr>
        <w:rFonts w:ascii="Wingdings" w:hAnsi="Wingdings" w:hint="default"/>
      </w:rPr>
    </w:lvl>
    <w:lvl w:ilvl="6" w:tplc="04090001" w:tentative="1">
      <w:start w:val="1"/>
      <w:numFmt w:val="bullet"/>
      <w:lvlText w:val=""/>
      <w:lvlJc w:val="left"/>
      <w:pPr>
        <w:tabs>
          <w:tab w:val="num" w:pos="3299"/>
        </w:tabs>
        <w:ind w:left="3299" w:hanging="420"/>
      </w:pPr>
      <w:rPr>
        <w:rFonts w:ascii="Wingdings" w:hAnsi="Wingdings" w:hint="default"/>
      </w:rPr>
    </w:lvl>
    <w:lvl w:ilvl="7" w:tplc="04090003" w:tentative="1">
      <w:start w:val="1"/>
      <w:numFmt w:val="bullet"/>
      <w:lvlText w:val=""/>
      <w:lvlJc w:val="left"/>
      <w:pPr>
        <w:tabs>
          <w:tab w:val="num" w:pos="3719"/>
        </w:tabs>
        <w:ind w:left="3719" w:hanging="420"/>
      </w:pPr>
      <w:rPr>
        <w:rFonts w:ascii="Wingdings" w:hAnsi="Wingdings" w:hint="default"/>
      </w:rPr>
    </w:lvl>
    <w:lvl w:ilvl="8" w:tplc="04090005" w:tentative="1">
      <w:start w:val="1"/>
      <w:numFmt w:val="bullet"/>
      <w:lvlText w:val=""/>
      <w:lvlJc w:val="left"/>
      <w:pPr>
        <w:tabs>
          <w:tab w:val="num" w:pos="4139"/>
        </w:tabs>
        <w:ind w:left="4139" w:hanging="420"/>
      </w:pPr>
      <w:rPr>
        <w:rFonts w:ascii="Wingdings" w:hAnsi="Wingdings" w:hint="default"/>
      </w:rPr>
    </w:lvl>
  </w:abstractNum>
  <w:abstractNum w:abstractNumId="466">
    <w:nsid w:val="4E765683"/>
    <w:multiLevelType w:val="singleLevel"/>
    <w:tmpl w:val="491287E8"/>
    <w:lvl w:ilvl="0">
      <w:numFmt w:val="bullet"/>
      <w:lvlText w:val="-"/>
      <w:lvlJc w:val="left"/>
      <w:pPr>
        <w:tabs>
          <w:tab w:val="num" w:pos="780"/>
        </w:tabs>
        <w:ind w:left="780" w:hanging="360"/>
      </w:pPr>
      <w:rPr>
        <w:rFonts w:hint="eastAsia"/>
      </w:rPr>
    </w:lvl>
  </w:abstractNum>
  <w:abstractNum w:abstractNumId="467">
    <w:nsid w:val="4E8B0302"/>
    <w:multiLevelType w:val="hybridMultilevel"/>
    <w:tmpl w:val="369C5C98"/>
    <w:lvl w:ilvl="0" w:tplc="192C11D2">
      <w:start w:val="1"/>
      <w:numFmt w:val="bullet"/>
      <w:lvlText w:val=""/>
      <w:lvlJc w:val="left"/>
      <w:pPr>
        <w:tabs>
          <w:tab w:val="num" w:pos="845"/>
        </w:tabs>
        <w:ind w:left="845" w:hanging="425"/>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8">
    <w:nsid w:val="4EB23A1B"/>
    <w:multiLevelType w:val="hybridMultilevel"/>
    <w:tmpl w:val="82B02178"/>
    <w:lvl w:ilvl="0" w:tplc="D5D27E66">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9">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470">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1">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2">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73">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4">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5">
    <w:nsid w:val="4FD84E6E"/>
    <w:multiLevelType w:val="hybridMultilevel"/>
    <w:tmpl w:val="27B0D694"/>
    <w:lvl w:ilvl="0" w:tplc="FFFFFFFF">
      <w:start w:val="1"/>
      <w:numFmt w:val="lowerLetter"/>
      <w:lvlText w:val="%1)"/>
      <w:lvlJc w:val="left"/>
      <w:pPr>
        <w:tabs>
          <w:tab w:val="num" w:pos="420"/>
        </w:tabs>
        <w:ind w:left="420" w:hanging="420"/>
      </w:pPr>
      <w:rPr>
        <w:rFonts w:hint="default"/>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76">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477">
    <w:nsid w:val="50040078"/>
    <w:multiLevelType w:val="hybridMultilevel"/>
    <w:tmpl w:val="45D09030"/>
    <w:lvl w:ilvl="0" w:tplc="645A6DA2">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8">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479">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0">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81">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482">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483">
    <w:nsid w:val="5153364A"/>
    <w:multiLevelType w:val="singleLevel"/>
    <w:tmpl w:val="23560B82"/>
    <w:lvl w:ilvl="0">
      <w:start w:val="1"/>
      <w:numFmt w:val="decimal"/>
      <w:lvlText w:val="(%1)"/>
      <w:lvlJc w:val="left"/>
      <w:pPr>
        <w:tabs>
          <w:tab w:val="num" w:pos="630"/>
        </w:tabs>
        <w:ind w:left="630" w:hanging="630"/>
      </w:pPr>
      <w:rPr>
        <w:rFonts w:hint="eastAsia"/>
      </w:rPr>
    </w:lvl>
  </w:abstractNum>
  <w:abstractNum w:abstractNumId="484">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485">
    <w:nsid w:val="517D61DE"/>
    <w:multiLevelType w:val="hybridMultilevel"/>
    <w:tmpl w:val="ED5EE342"/>
    <w:lvl w:ilvl="0" w:tplc="E3BADD3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86">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487">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488">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89">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0">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1">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92">
    <w:nsid w:val="52E14B72"/>
    <w:multiLevelType w:val="singleLevel"/>
    <w:tmpl w:val="323803D2"/>
    <w:lvl w:ilvl="0">
      <w:start w:val="1"/>
      <w:numFmt w:val="decimalFullWidth"/>
      <w:lvlText w:val="%1．"/>
      <w:lvlJc w:val="left"/>
      <w:pPr>
        <w:tabs>
          <w:tab w:val="num" w:pos="420"/>
        </w:tabs>
        <w:ind w:left="420" w:hanging="420"/>
      </w:pPr>
      <w:rPr>
        <w:rFonts w:hint="eastAsia"/>
      </w:rPr>
    </w:lvl>
  </w:abstractNum>
  <w:abstractNum w:abstractNumId="493">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494">
    <w:nsid w:val="533316A8"/>
    <w:multiLevelType w:val="hybridMultilevel"/>
    <w:tmpl w:val="4C525144"/>
    <w:lvl w:ilvl="0" w:tplc="A350D7E6">
      <w:start w:val="1"/>
      <w:numFmt w:val="decimalFullWidth"/>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5">
    <w:nsid w:val="53A07A86"/>
    <w:multiLevelType w:val="singleLevel"/>
    <w:tmpl w:val="5AD05F36"/>
    <w:lvl w:ilvl="0">
      <w:start w:val="1"/>
      <w:numFmt w:val="decimal"/>
      <w:lvlText w:val="%1．"/>
      <w:lvlJc w:val="left"/>
      <w:pPr>
        <w:tabs>
          <w:tab w:val="num" w:pos="420"/>
        </w:tabs>
        <w:ind w:left="420" w:hanging="420"/>
      </w:pPr>
      <w:rPr>
        <w:rFonts w:hint="eastAsia"/>
      </w:rPr>
    </w:lvl>
  </w:abstractNum>
  <w:abstractNum w:abstractNumId="496">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497">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8">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9">
    <w:nsid w:val="53F76ED4"/>
    <w:multiLevelType w:val="hybridMultilevel"/>
    <w:tmpl w:val="761440FA"/>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00">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501">
    <w:nsid w:val="541C6AF5"/>
    <w:multiLevelType w:val="hybridMultilevel"/>
    <w:tmpl w:val="CE8C48DC"/>
    <w:lvl w:ilvl="0" w:tplc="9E2CAC2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2">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3">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504">
    <w:nsid w:val="559E5F44"/>
    <w:multiLevelType w:val="hybridMultilevel"/>
    <w:tmpl w:val="01D0E0B8"/>
    <w:lvl w:ilvl="0">
      <w:start w:val="1"/>
      <w:numFmt w:val="decimal"/>
      <w:lvlText w:val="%1."/>
      <w:lvlJc w:val="left"/>
      <w:pPr>
        <w:tabs>
          <w:tab w:val="num" w:pos="540"/>
        </w:tabs>
        <w:ind w:left="540" w:hanging="420"/>
      </w:pPr>
    </w:lvl>
    <w:lvl w:ilvl="1" w:tentative="1">
      <w:start w:val="1"/>
      <w:numFmt w:val="lowerLetter"/>
      <w:lvlText w:val="%2)"/>
      <w:lvlJc w:val="left"/>
      <w:pPr>
        <w:tabs>
          <w:tab w:val="num" w:pos="960"/>
        </w:tabs>
        <w:ind w:left="960" w:hanging="420"/>
      </w:p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505">
    <w:nsid w:val="56473498"/>
    <w:multiLevelType w:val="hybridMultilevel"/>
    <w:tmpl w:val="B128D06E"/>
    <w:lvl w:ilvl="0" w:tplc="CA6C20D8">
      <w:start w:val="1"/>
      <w:numFmt w:val="bullet"/>
      <w:lvlText w:val=""/>
      <w:lvlJc w:val="left"/>
      <w:pPr>
        <w:tabs>
          <w:tab w:val="num" w:pos="845"/>
        </w:tabs>
        <w:ind w:left="84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06">
    <w:nsid w:val="572C0BF9"/>
    <w:multiLevelType w:val="hybridMultilevel"/>
    <w:tmpl w:val="DDD83FF4"/>
    <w:lvl w:ilvl="0">
      <w:start w:val="1"/>
      <w:numFmt w:val="lowerLetter"/>
      <w:lvlText w:val="%1)"/>
      <w:lvlJc w:val="left"/>
      <w:pPr>
        <w:tabs>
          <w:tab w:val="num" w:pos="1097"/>
        </w:tabs>
        <w:ind w:left="1097" w:hanging="420"/>
      </w:p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07">
    <w:nsid w:val="5742495D"/>
    <w:multiLevelType w:val="singleLevel"/>
    <w:tmpl w:val="9064CC86"/>
    <w:lvl w:ilvl="0">
      <w:start w:val="1"/>
      <w:numFmt w:val="decimal"/>
      <w:lvlText w:val="%1．"/>
      <w:lvlJc w:val="left"/>
      <w:pPr>
        <w:tabs>
          <w:tab w:val="num" w:pos="735"/>
        </w:tabs>
        <w:ind w:left="735" w:hanging="315"/>
      </w:pPr>
      <w:rPr>
        <w:rFonts w:hint="eastAsia"/>
      </w:rPr>
    </w:lvl>
  </w:abstractNum>
  <w:abstractNum w:abstractNumId="508">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9">
    <w:nsid w:val="57A40125"/>
    <w:multiLevelType w:val="hybridMultilevel"/>
    <w:tmpl w:val="192E71A2"/>
    <w:lvl w:ilvl="0">
      <w:start w:val="1"/>
      <w:numFmt w:val="decimal"/>
      <w:lvlText w:val="%1.  "/>
      <w:lvlJc w:val="left"/>
      <w:pPr>
        <w:tabs>
          <w:tab w:val="num" w:pos="425"/>
        </w:tabs>
        <w:ind w:left="425" w:hanging="425"/>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10">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1">
    <w:nsid w:val="588F1E8A"/>
    <w:multiLevelType w:val="singleLevel"/>
    <w:tmpl w:val="AD8A086E"/>
    <w:lvl w:ilvl="0">
      <w:start w:val="1"/>
      <w:numFmt w:val="decimalFullWidth"/>
      <w:lvlText w:val="%1、"/>
      <w:lvlJc w:val="left"/>
      <w:pPr>
        <w:tabs>
          <w:tab w:val="num" w:pos="420"/>
        </w:tabs>
        <w:ind w:left="420" w:hanging="420"/>
      </w:pPr>
      <w:rPr>
        <w:rFonts w:hint="eastAsia"/>
      </w:rPr>
    </w:lvl>
  </w:abstractNum>
  <w:abstractNum w:abstractNumId="512">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513">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514">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515">
    <w:nsid w:val="59857F9C"/>
    <w:multiLevelType w:val="singleLevel"/>
    <w:tmpl w:val="A29A5CFA"/>
    <w:lvl w:ilvl="0">
      <w:start w:val="1"/>
      <w:numFmt w:val="decimalFullWidth"/>
      <w:lvlText w:val="%1、"/>
      <w:lvlJc w:val="left"/>
      <w:pPr>
        <w:tabs>
          <w:tab w:val="num" w:pos="420"/>
        </w:tabs>
        <w:ind w:left="420" w:hanging="420"/>
      </w:pPr>
      <w:rPr>
        <w:rFonts w:hint="eastAsia"/>
      </w:rPr>
    </w:lvl>
  </w:abstractNum>
  <w:abstractNum w:abstractNumId="516">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7">
    <w:nsid w:val="59C34D04"/>
    <w:multiLevelType w:val="hybridMultilevel"/>
    <w:tmpl w:val="AB52EF8C"/>
    <w:lvl w:ilvl="0" w:tplc="0688E066">
      <w:start w:val="1"/>
      <w:numFmt w:val="bullet"/>
      <w:lvlText w:val=""/>
      <w:lvlJc w:val="left"/>
      <w:pPr>
        <w:tabs>
          <w:tab w:val="num" w:pos="425"/>
        </w:tabs>
        <w:ind w:left="425" w:hanging="425"/>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8">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9">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520">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1">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522">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3">
    <w:nsid w:val="5B005CC7"/>
    <w:multiLevelType w:val="hybridMultilevel"/>
    <w:tmpl w:val="ED5EE342"/>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4">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25">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26">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527">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528">
    <w:nsid w:val="5CDD5957"/>
    <w:multiLevelType w:val="hybridMultilevel"/>
    <w:tmpl w:val="6D2A4FC2"/>
    <w:lvl w:ilvl="0" w:tplc="CA6C20D8">
      <w:start w:val="1"/>
      <w:numFmt w:val="bullet"/>
      <w:lvlText w:val=""/>
      <w:lvlJc w:val="left"/>
      <w:pPr>
        <w:tabs>
          <w:tab w:val="num" w:pos="1265"/>
        </w:tabs>
        <w:ind w:left="126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9">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530">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1">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32">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533">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4">
    <w:nsid w:val="5E0119D9"/>
    <w:multiLevelType w:val="hybridMultilevel"/>
    <w:tmpl w:val="5DDC25AC"/>
    <w:lvl w:ilvl="0" w:tplc="50BA4910">
      <w:start w:val="1"/>
      <w:numFmt w:val="decimalFullWidth"/>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5">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536">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7">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38">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539">
    <w:nsid w:val="5F161885"/>
    <w:multiLevelType w:val="singleLevel"/>
    <w:tmpl w:val="4136297C"/>
    <w:lvl w:ilvl="0">
      <w:start w:val="1"/>
      <w:numFmt w:val="lowerLetter"/>
      <w:lvlText w:val="%1）"/>
      <w:lvlJc w:val="left"/>
      <w:pPr>
        <w:tabs>
          <w:tab w:val="num" w:pos="300"/>
        </w:tabs>
        <w:ind w:left="300" w:hanging="300"/>
      </w:pPr>
      <w:rPr>
        <w:rFonts w:hint="eastAsia"/>
      </w:rPr>
    </w:lvl>
  </w:abstractNum>
  <w:abstractNum w:abstractNumId="540">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541">
    <w:nsid w:val="5F174DAC"/>
    <w:multiLevelType w:val="hybridMultilevel"/>
    <w:tmpl w:val="B4A0D97C"/>
    <w:lvl w:ilvl="0" w:tplc="735E56AE">
      <w:start w:val="2"/>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42">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543">
    <w:nsid w:val="5F976391"/>
    <w:multiLevelType w:val="hybridMultilevel"/>
    <w:tmpl w:val="F1421422"/>
    <w:lvl w:ilvl="0" w:tplc="E3BADD3A">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4">
    <w:nsid w:val="5FA209E1"/>
    <w:multiLevelType w:val="hybridMultilevel"/>
    <w:tmpl w:val="716464B0"/>
    <w:lvl w:ilvl="0" w:tplc="CA6C20D8">
      <w:start w:val="1"/>
      <w:numFmt w:val="bullet"/>
      <w:lvlText w:val=""/>
      <w:lvlJc w:val="left"/>
      <w:pPr>
        <w:tabs>
          <w:tab w:val="num" w:pos="1265"/>
        </w:tabs>
        <w:ind w:left="126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5">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546">
    <w:nsid w:val="5FE63899"/>
    <w:multiLevelType w:val="hybridMultilevel"/>
    <w:tmpl w:val="C6A43E88"/>
    <w:lvl w:ilvl="0">
      <w:start w:val="153"/>
      <w:numFmt w:val="decimal"/>
      <w:lvlText w:val="%1."/>
      <w:lvlJc w:val="left"/>
      <w:pPr>
        <w:tabs>
          <w:tab w:val="num" w:pos="1020"/>
        </w:tabs>
        <w:ind w:left="1020" w:hanging="810"/>
      </w:pPr>
      <w:rPr>
        <w:rFonts w:hint="default"/>
      </w:rPr>
    </w:lvl>
    <w:lvl w:ilvl="1" w:tentative="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47">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48">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49">
    <w:nsid w:val="604C1FFA"/>
    <w:multiLevelType w:val="hybridMultilevel"/>
    <w:tmpl w:val="3AAE6E2C"/>
    <w:lvl w:ilvl="0">
      <w:start w:val="1"/>
      <w:numFmt w:val="upperLetter"/>
      <w:lvlText w:val="%1."/>
      <w:lvlJc w:val="left"/>
      <w:pPr>
        <w:tabs>
          <w:tab w:val="num" w:pos="785"/>
        </w:tabs>
        <w:ind w:left="785" w:hanging="360"/>
      </w:pPr>
      <w:rPr>
        <w:rFonts w:hint="default"/>
      </w:rPr>
    </w:lvl>
    <w:lvl w:ilvl="1" w:tentative="1">
      <w:start w:val="1"/>
      <w:numFmt w:val="lowerLetter"/>
      <w:lvlText w:val="%2)"/>
      <w:lvlJc w:val="left"/>
      <w:pPr>
        <w:tabs>
          <w:tab w:val="num" w:pos="1265"/>
        </w:tabs>
        <w:ind w:left="1265" w:hanging="420"/>
      </w:pPr>
    </w:lvl>
    <w:lvl w:ilvl="2" w:tentative="1">
      <w:start w:val="1"/>
      <w:numFmt w:val="lowerRoman"/>
      <w:lvlText w:val="%3."/>
      <w:lvlJc w:val="right"/>
      <w:pPr>
        <w:tabs>
          <w:tab w:val="num" w:pos="1685"/>
        </w:tabs>
        <w:ind w:left="1685" w:hanging="420"/>
      </w:pPr>
    </w:lvl>
    <w:lvl w:ilvl="3" w:tentative="1">
      <w:start w:val="1"/>
      <w:numFmt w:val="decimal"/>
      <w:lvlText w:val="%4."/>
      <w:lvlJc w:val="left"/>
      <w:pPr>
        <w:tabs>
          <w:tab w:val="num" w:pos="2105"/>
        </w:tabs>
        <w:ind w:left="2105" w:hanging="420"/>
      </w:pPr>
    </w:lvl>
    <w:lvl w:ilvl="4" w:tentative="1">
      <w:start w:val="1"/>
      <w:numFmt w:val="lowerLetter"/>
      <w:lvlText w:val="%5)"/>
      <w:lvlJc w:val="left"/>
      <w:pPr>
        <w:tabs>
          <w:tab w:val="num" w:pos="2525"/>
        </w:tabs>
        <w:ind w:left="2525" w:hanging="420"/>
      </w:pPr>
    </w:lvl>
    <w:lvl w:ilvl="5" w:tentative="1">
      <w:start w:val="1"/>
      <w:numFmt w:val="lowerRoman"/>
      <w:lvlText w:val="%6."/>
      <w:lvlJc w:val="right"/>
      <w:pPr>
        <w:tabs>
          <w:tab w:val="num" w:pos="2945"/>
        </w:tabs>
        <w:ind w:left="2945" w:hanging="420"/>
      </w:pPr>
    </w:lvl>
    <w:lvl w:ilvl="6" w:tentative="1">
      <w:start w:val="1"/>
      <w:numFmt w:val="decimal"/>
      <w:lvlText w:val="%7."/>
      <w:lvlJc w:val="left"/>
      <w:pPr>
        <w:tabs>
          <w:tab w:val="num" w:pos="3365"/>
        </w:tabs>
        <w:ind w:left="3365" w:hanging="420"/>
      </w:pPr>
    </w:lvl>
    <w:lvl w:ilvl="7" w:tentative="1">
      <w:start w:val="1"/>
      <w:numFmt w:val="lowerLetter"/>
      <w:lvlText w:val="%8)"/>
      <w:lvlJc w:val="left"/>
      <w:pPr>
        <w:tabs>
          <w:tab w:val="num" w:pos="3785"/>
        </w:tabs>
        <w:ind w:left="3785" w:hanging="420"/>
      </w:pPr>
    </w:lvl>
    <w:lvl w:ilvl="8" w:tentative="1">
      <w:start w:val="1"/>
      <w:numFmt w:val="lowerRoman"/>
      <w:lvlText w:val="%9."/>
      <w:lvlJc w:val="right"/>
      <w:pPr>
        <w:tabs>
          <w:tab w:val="num" w:pos="4205"/>
        </w:tabs>
        <w:ind w:left="4205" w:hanging="420"/>
      </w:pPr>
    </w:lvl>
  </w:abstractNum>
  <w:abstractNum w:abstractNumId="550">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551">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52">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53">
    <w:nsid w:val="621D3D02"/>
    <w:multiLevelType w:val="singleLevel"/>
    <w:tmpl w:val="0409000F"/>
    <w:lvl w:ilvl="0">
      <w:start w:val="1"/>
      <w:numFmt w:val="decimal"/>
      <w:lvlText w:val="%1."/>
      <w:lvlJc w:val="left"/>
      <w:pPr>
        <w:tabs>
          <w:tab w:val="num" w:pos="425"/>
        </w:tabs>
        <w:ind w:left="425" w:hanging="425"/>
      </w:pPr>
    </w:lvl>
  </w:abstractNum>
  <w:abstractNum w:abstractNumId="554">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555">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556">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557">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58">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59">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560">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1">
    <w:nsid w:val="634923B9"/>
    <w:multiLevelType w:val="hybridMultilevel"/>
    <w:tmpl w:val="21B6A33E"/>
    <w:lvl w:ilvl="0">
      <w:start w:val="101"/>
      <w:numFmt w:val="decimal"/>
      <w:lvlText w:val="%1．"/>
      <w:lvlJc w:val="left"/>
      <w:pPr>
        <w:tabs>
          <w:tab w:val="num" w:pos="735"/>
        </w:tabs>
        <w:ind w:left="735" w:hanging="525"/>
      </w:pPr>
      <w:rPr>
        <w:rFonts w:hint="eastAsia"/>
      </w:rPr>
    </w:lvl>
    <w:lvl w:ilvl="1">
      <w:start w:val="1"/>
      <w:numFmt w:val="lowerLetter"/>
      <w:lvlText w:val="%2)"/>
      <w:lvlJc w:val="left"/>
      <w:pPr>
        <w:tabs>
          <w:tab w:val="num" w:pos="1050"/>
        </w:tabs>
        <w:ind w:left="1050" w:hanging="420"/>
      </w:pPr>
    </w:lvl>
    <w:lvl w:ilvl="2" w:tentative="1">
      <w:start w:val="1"/>
      <w:numFmt w:val="lowerRoman"/>
      <w:lvlText w:val="%3."/>
      <w:lvlJc w:val="right"/>
      <w:pPr>
        <w:tabs>
          <w:tab w:val="num" w:pos="1470"/>
        </w:tabs>
        <w:ind w:left="1470" w:hanging="420"/>
      </w:p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562">
    <w:nsid w:val="636C7168"/>
    <w:multiLevelType w:val="hybridMultilevel"/>
    <w:tmpl w:val="DD42BE6E"/>
    <w:lvl w:ilvl="0" w:tplc="91A270E0">
      <w:start w:val="1"/>
      <w:numFmt w:val="decimal"/>
      <w:lvlText w:val="%1．"/>
      <w:lvlJc w:val="left"/>
      <w:pPr>
        <w:tabs>
          <w:tab w:val="num" w:pos="360"/>
        </w:tabs>
        <w:ind w:left="360" w:hanging="360"/>
      </w:pPr>
    </w:lvl>
    <w:lvl w:ilvl="1" w:tplc="102CE662">
      <w:start w:val="1"/>
      <w:numFmt w:val="lowerLetter"/>
      <w:lvlText w:val="（%2）"/>
      <w:lvlJc w:val="left"/>
      <w:pPr>
        <w:tabs>
          <w:tab w:val="num" w:pos="1140"/>
        </w:tabs>
        <w:ind w:left="1140" w:hanging="72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63">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64">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5">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566">
    <w:nsid w:val="64A3112B"/>
    <w:multiLevelType w:val="hybridMultilevel"/>
    <w:tmpl w:val="C84698BA"/>
    <w:lvl w:ilvl="0">
      <w:start w:val="1"/>
      <w:numFmt w:val="lowerLetter"/>
      <w:lvlText w:val="(%1)"/>
      <w:lvlJc w:val="left"/>
      <w:pPr>
        <w:tabs>
          <w:tab w:val="num" w:pos="1102"/>
        </w:tabs>
        <w:ind w:left="1102" w:hanging="425"/>
      </w:pPr>
      <w:rPr>
        <w:rFonts w:hint="eastAsia"/>
      </w:rPr>
    </w:lvl>
    <w:lvl w:ilvl="1" w:tentative="1">
      <w:start w:val="1"/>
      <w:numFmt w:val="lowerLetter"/>
      <w:lvlText w:val="%2)"/>
      <w:lvlJc w:val="left"/>
      <w:pPr>
        <w:tabs>
          <w:tab w:val="num" w:pos="1517"/>
        </w:tabs>
        <w:ind w:left="1517" w:hanging="420"/>
      </w:pPr>
    </w:lvl>
    <w:lvl w:ilvl="2" w:tentative="1">
      <w:start w:val="1"/>
      <w:numFmt w:val="lowerRoman"/>
      <w:lvlText w:val="%3."/>
      <w:lvlJc w:val="right"/>
      <w:pPr>
        <w:tabs>
          <w:tab w:val="num" w:pos="1937"/>
        </w:tabs>
        <w:ind w:left="1937" w:hanging="420"/>
      </w:pPr>
    </w:lvl>
    <w:lvl w:ilvl="3" w:tentative="1">
      <w:start w:val="1"/>
      <w:numFmt w:val="decimal"/>
      <w:lvlText w:val="%4."/>
      <w:lvlJc w:val="left"/>
      <w:pPr>
        <w:tabs>
          <w:tab w:val="num" w:pos="2357"/>
        </w:tabs>
        <w:ind w:left="2357" w:hanging="420"/>
      </w:pPr>
    </w:lvl>
    <w:lvl w:ilvl="4" w:tentative="1">
      <w:start w:val="1"/>
      <w:numFmt w:val="lowerLetter"/>
      <w:lvlText w:val="%5)"/>
      <w:lvlJc w:val="left"/>
      <w:pPr>
        <w:tabs>
          <w:tab w:val="num" w:pos="2777"/>
        </w:tabs>
        <w:ind w:left="2777" w:hanging="420"/>
      </w:pPr>
    </w:lvl>
    <w:lvl w:ilvl="5" w:tentative="1">
      <w:start w:val="1"/>
      <w:numFmt w:val="lowerRoman"/>
      <w:lvlText w:val="%6."/>
      <w:lvlJc w:val="right"/>
      <w:pPr>
        <w:tabs>
          <w:tab w:val="num" w:pos="3197"/>
        </w:tabs>
        <w:ind w:left="3197" w:hanging="420"/>
      </w:pPr>
    </w:lvl>
    <w:lvl w:ilvl="6" w:tentative="1">
      <w:start w:val="1"/>
      <w:numFmt w:val="decimal"/>
      <w:lvlText w:val="%7."/>
      <w:lvlJc w:val="left"/>
      <w:pPr>
        <w:tabs>
          <w:tab w:val="num" w:pos="3617"/>
        </w:tabs>
        <w:ind w:left="3617" w:hanging="420"/>
      </w:pPr>
    </w:lvl>
    <w:lvl w:ilvl="7" w:tentative="1">
      <w:start w:val="1"/>
      <w:numFmt w:val="lowerLetter"/>
      <w:lvlText w:val="%8)"/>
      <w:lvlJc w:val="left"/>
      <w:pPr>
        <w:tabs>
          <w:tab w:val="num" w:pos="4037"/>
        </w:tabs>
        <w:ind w:left="4037" w:hanging="420"/>
      </w:pPr>
    </w:lvl>
    <w:lvl w:ilvl="8" w:tentative="1">
      <w:start w:val="1"/>
      <w:numFmt w:val="lowerRoman"/>
      <w:lvlText w:val="%9."/>
      <w:lvlJc w:val="right"/>
      <w:pPr>
        <w:tabs>
          <w:tab w:val="num" w:pos="4457"/>
        </w:tabs>
        <w:ind w:left="4457" w:hanging="420"/>
      </w:pPr>
    </w:lvl>
  </w:abstractNum>
  <w:abstractNum w:abstractNumId="567">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68">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9">
    <w:nsid w:val="65720EA4"/>
    <w:multiLevelType w:val="hybridMultilevel"/>
    <w:tmpl w:val="AB7C6382"/>
    <w:lvl w:ilvl="0" w:tplc="01FC6C10">
      <w:start w:val="13"/>
      <w:numFmt w:val="bullet"/>
      <w:lvlText w:val=""/>
      <w:lvlJc w:val="left"/>
      <w:pPr>
        <w:tabs>
          <w:tab w:val="num" w:pos="360"/>
        </w:tabs>
        <w:ind w:left="360" w:hanging="360"/>
      </w:pPr>
      <w:rPr>
        <w:rFonts w:ascii="Wingdings 2" w:eastAsia="SimSun" w:hAnsi="Wingdings 2" w:cs="Times New Roman" w:hint="default"/>
      </w:rPr>
    </w:lvl>
    <w:lvl w:ilvl="1" w:tplc="04090003" w:tentative="1">
      <w:start w:val="1"/>
      <w:numFmt w:val="bullet"/>
      <w:lvlText w:val=""/>
      <w:lvlJc w:val="left"/>
      <w:pPr>
        <w:tabs>
          <w:tab w:val="num" w:pos="420"/>
        </w:tabs>
        <w:ind w:left="420" w:hanging="420"/>
      </w:pPr>
      <w:rPr>
        <w:rFonts w:ascii="Wingdings" w:hAnsi="Wingdings" w:hint="default"/>
      </w:rPr>
    </w:lvl>
    <w:lvl w:ilvl="2" w:tplc="04090005" w:tentative="1">
      <w:start w:val="1"/>
      <w:numFmt w:val="bullet"/>
      <w:lvlText w:val=""/>
      <w:lvlJc w:val="left"/>
      <w:pPr>
        <w:tabs>
          <w:tab w:val="num" w:pos="840"/>
        </w:tabs>
        <w:ind w:left="840" w:hanging="420"/>
      </w:pPr>
      <w:rPr>
        <w:rFonts w:ascii="Wingdings" w:hAnsi="Wingdings" w:hint="default"/>
      </w:rPr>
    </w:lvl>
    <w:lvl w:ilvl="3" w:tplc="04090001" w:tentative="1">
      <w:start w:val="1"/>
      <w:numFmt w:val="bullet"/>
      <w:lvlText w:val=""/>
      <w:lvlJc w:val="left"/>
      <w:pPr>
        <w:tabs>
          <w:tab w:val="num" w:pos="1260"/>
        </w:tabs>
        <w:ind w:left="1260" w:hanging="420"/>
      </w:pPr>
      <w:rPr>
        <w:rFonts w:ascii="Wingdings" w:hAnsi="Wingdings" w:hint="default"/>
      </w:rPr>
    </w:lvl>
    <w:lvl w:ilvl="4" w:tplc="04090003" w:tentative="1">
      <w:start w:val="1"/>
      <w:numFmt w:val="bullet"/>
      <w:lvlText w:val=""/>
      <w:lvlJc w:val="left"/>
      <w:pPr>
        <w:tabs>
          <w:tab w:val="num" w:pos="1680"/>
        </w:tabs>
        <w:ind w:left="1680" w:hanging="420"/>
      </w:pPr>
      <w:rPr>
        <w:rFonts w:ascii="Wingdings" w:hAnsi="Wingdings" w:hint="default"/>
      </w:rPr>
    </w:lvl>
    <w:lvl w:ilvl="5" w:tplc="04090005" w:tentative="1">
      <w:start w:val="1"/>
      <w:numFmt w:val="bullet"/>
      <w:lvlText w:val=""/>
      <w:lvlJc w:val="left"/>
      <w:pPr>
        <w:tabs>
          <w:tab w:val="num" w:pos="2100"/>
        </w:tabs>
        <w:ind w:left="2100" w:hanging="420"/>
      </w:pPr>
      <w:rPr>
        <w:rFonts w:ascii="Wingdings" w:hAnsi="Wingdings" w:hint="default"/>
      </w:rPr>
    </w:lvl>
    <w:lvl w:ilvl="6" w:tplc="04090001" w:tentative="1">
      <w:start w:val="1"/>
      <w:numFmt w:val="bullet"/>
      <w:lvlText w:val=""/>
      <w:lvlJc w:val="left"/>
      <w:pPr>
        <w:tabs>
          <w:tab w:val="num" w:pos="2520"/>
        </w:tabs>
        <w:ind w:left="2520" w:hanging="420"/>
      </w:pPr>
      <w:rPr>
        <w:rFonts w:ascii="Wingdings" w:hAnsi="Wingdings" w:hint="default"/>
      </w:rPr>
    </w:lvl>
    <w:lvl w:ilvl="7" w:tplc="04090003" w:tentative="1">
      <w:start w:val="1"/>
      <w:numFmt w:val="bullet"/>
      <w:lvlText w:val=""/>
      <w:lvlJc w:val="left"/>
      <w:pPr>
        <w:tabs>
          <w:tab w:val="num" w:pos="2940"/>
        </w:tabs>
        <w:ind w:left="2940" w:hanging="420"/>
      </w:pPr>
      <w:rPr>
        <w:rFonts w:ascii="Wingdings" w:hAnsi="Wingdings" w:hint="default"/>
      </w:rPr>
    </w:lvl>
    <w:lvl w:ilvl="8" w:tplc="04090005" w:tentative="1">
      <w:start w:val="1"/>
      <w:numFmt w:val="bullet"/>
      <w:lvlText w:val=""/>
      <w:lvlJc w:val="left"/>
      <w:pPr>
        <w:tabs>
          <w:tab w:val="num" w:pos="3360"/>
        </w:tabs>
        <w:ind w:left="3360" w:hanging="420"/>
      </w:pPr>
      <w:rPr>
        <w:rFonts w:ascii="Wingdings" w:hAnsi="Wingdings" w:hint="default"/>
      </w:rPr>
    </w:lvl>
  </w:abstractNum>
  <w:abstractNum w:abstractNumId="570">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571">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2">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3">
    <w:nsid w:val="65E30406"/>
    <w:multiLevelType w:val="hybridMultilevel"/>
    <w:tmpl w:val="800259AC"/>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74">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575">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576">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577">
    <w:nsid w:val="665C18BC"/>
    <w:multiLevelType w:val="hybridMultilevel"/>
    <w:tmpl w:val="7E3C4C5E"/>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78">
    <w:nsid w:val="66662699"/>
    <w:multiLevelType w:val="hybridMultilevel"/>
    <w:tmpl w:val="50EE504C"/>
    <w:lvl w:ilvl="0">
      <w:start w:val="1999"/>
      <w:numFmt w:val="bullet"/>
      <w:lvlText w:val="＊"/>
      <w:lvlJc w:val="left"/>
      <w:pPr>
        <w:tabs>
          <w:tab w:val="num" w:pos="360"/>
        </w:tabs>
        <w:ind w:left="360" w:hanging="360"/>
      </w:pPr>
      <w:rPr>
        <w:rFonts w:ascii="SimSun" w:eastAsia="SimSun" w:hAnsi="SimSun"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79">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80">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1">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582">
    <w:nsid w:val="66CB4BF2"/>
    <w:multiLevelType w:val="hybridMultilevel"/>
    <w:tmpl w:val="90D4B2C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83">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584">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585">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586">
    <w:nsid w:val="679459B5"/>
    <w:multiLevelType w:val="singleLevel"/>
    <w:tmpl w:val="7B141648"/>
    <w:lvl w:ilvl="0">
      <w:start w:val="2"/>
      <w:numFmt w:val="lowerLetter"/>
      <w:lvlText w:val=""/>
      <w:lvlJc w:val="left"/>
      <w:pPr>
        <w:tabs>
          <w:tab w:val="num" w:pos="360"/>
        </w:tabs>
        <w:ind w:left="360" w:hanging="360"/>
      </w:pPr>
      <w:rPr>
        <w:rFonts w:hint="default"/>
      </w:rPr>
    </w:lvl>
  </w:abstractNum>
  <w:abstractNum w:abstractNumId="587">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88">
    <w:nsid w:val="67D81C19"/>
    <w:multiLevelType w:val="hybridMultilevel"/>
    <w:tmpl w:val="82EE4AB2"/>
    <w:lvl w:ilvl="0" w:tplc="E098C830">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9">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590">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1">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592">
    <w:nsid w:val="681B1575"/>
    <w:multiLevelType w:val="hybridMultilevel"/>
    <w:tmpl w:val="B128D06E"/>
    <w:lvl w:ilvl="0" w:tplc="CA6C20D8">
      <w:start w:val="1"/>
      <w:numFmt w:val="bullet"/>
      <w:lvlText w:val=""/>
      <w:lvlJc w:val="left"/>
      <w:pPr>
        <w:tabs>
          <w:tab w:val="num" w:pos="1265"/>
        </w:tabs>
        <w:ind w:left="126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93">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594">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5">
    <w:nsid w:val="691B086B"/>
    <w:multiLevelType w:val="singleLevel"/>
    <w:tmpl w:val="4656B456"/>
    <w:lvl w:ilvl="0">
      <w:start w:val="1"/>
      <w:numFmt w:val="lowerLetter"/>
      <w:lvlText w:val="（%1）"/>
      <w:lvlJc w:val="left"/>
      <w:pPr>
        <w:tabs>
          <w:tab w:val="num" w:pos="510"/>
        </w:tabs>
        <w:ind w:left="510" w:hanging="510"/>
      </w:pPr>
      <w:rPr>
        <w:rFonts w:hint="default"/>
      </w:rPr>
    </w:lvl>
  </w:abstractNum>
  <w:abstractNum w:abstractNumId="596">
    <w:nsid w:val="697F71F4"/>
    <w:multiLevelType w:val="singleLevel"/>
    <w:tmpl w:val="FF1EAB0A"/>
    <w:lvl w:ilvl="0">
      <w:start w:val="1"/>
      <w:numFmt w:val="decimal"/>
      <w:lvlText w:val="%1)"/>
      <w:lvlJc w:val="left"/>
      <w:pPr>
        <w:tabs>
          <w:tab w:val="num" w:pos="720"/>
        </w:tabs>
        <w:ind w:left="720" w:hanging="300"/>
      </w:pPr>
      <w:rPr>
        <w:rFonts w:hint="default"/>
      </w:rPr>
    </w:lvl>
  </w:abstractNum>
  <w:abstractNum w:abstractNumId="597">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598">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99">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0">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601">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602">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3">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4">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5">
    <w:nsid w:val="6BB36E01"/>
    <w:multiLevelType w:val="hybridMultilevel"/>
    <w:tmpl w:val="FD08CB94"/>
    <w:lvl w:ilvl="0" w:tplc="DA4085D0">
      <w:start w:val="1995"/>
      <w:numFmt w:val="decimal"/>
      <w:lvlText w:val="%1"/>
      <w:lvlJc w:val="left"/>
      <w:pPr>
        <w:tabs>
          <w:tab w:val="num" w:pos="4200"/>
        </w:tabs>
        <w:ind w:left="4200" w:hanging="378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06">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607">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8">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09">
    <w:nsid w:val="6C473C1F"/>
    <w:multiLevelType w:val="hybridMultilevel"/>
    <w:tmpl w:val="EFC63BD8"/>
    <w:lvl w:ilvl="0">
      <w:start w:val="1"/>
      <w:numFmt w:val="lowerLetter"/>
      <w:lvlText w:val="%1、"/>
      <w:lvlJc w:val="left"/>
      <w:pPr>
        <w:tabs>
          <w:tab w:val="num" w:pos="1305"/>
        </w:tabs>
        <w:ind w:left="1305" w:hanging="825"/>
      </w:pPr>
      <w:rPr>
        <w:rFonts w:hint="eastAsia"/>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610">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1">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2">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613">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614">
    <w:nsid w:val="6C996E4F"/>
    <w:multiLevelType w:val="hybridMultilevel"/>
    <w:tmpl w:val="14CADEF6"/>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15">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616">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617">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18">
    <w:nsid w:val="6D0078D4"/>
    <w:multiLevelType w:val="hybridMultilevel"/>
    <w:tmpl w:val="4010F60E"/>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619">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620">
    <w:nsid w:val="6D1C21ED"/>
    <w:multiLevelType w:val="hybridMultilevel"/>
    <w:tmpl w:val="884E8434"/>
    <w:lvl w:ilvl="0" w:tplc="BE6CDAFA">
      <w:start w:val="1"/>
      <w:numFmt w:val="bullet"/>
      <w:lvlText w:val=""/>
      <w:lvlJc w:val="left"/>
      <w:pPr>
        <w:tabs>
          <w:tab w:val="num" w:pos="2100"/>
        </w:tabs>
        <w:ind w:left="2100" w:hanging="420"/>
      </w:pPr>
      <w:rPr>
        <w:rFonts w:ascii="Symbol" w:hAnsi="Symbol" w:hint="default"/>
        <w:color w:val="auto"/>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21">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2">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3">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4">
    <w:nsid w:val="6E0D27F8"/>
    <w:multiLevelType w:val="singleLevel"/>
    <w:tmpl w:val="B73283FE"/>
    <w:lvl w:ilvl="0">
      <w:start w:val="1"/>
      <w:numFmt w:val="upperLetter"/>
      <w:pStyle w:val="Heading3"/>
      <w:lvlText w:val="%1．"/>
      <w:lvlJc w:val="left"/>
      <w:pPr>
        <w:tabs>
          <w:tab w:val="num" w:pos="360"/>
        </w:tabs>
        <w:ind w:left="360" w:hanging="360"/>
      </w:pPr>
      <w:rPr>
        <w:rFonts w:hint="eastAsia"/>
      </w:rPr>
    </w:lvl>
  </w:abstractNum>
  <w:abstractNum w:abstractNumId="625">
    <w:nsid w:val="6E307471"/>
    <w:multiLevelType w:val="hybridMultilevel"/>
    <w:tmpl w:val="9E62C156"/>
    <w:lvl w:ilvl="0">
      <w:start w:val="4"/>
      <w:numFmt w:val="decimal"/>
      <w:lvlText w:val="注%1．"/>
      <w:lvlJc w:val="left"/>
      <w:pPr>
        <w:tabs>
          <w:tab w:val="num" w:pos="720"/>
        </w:tabs>
        <w:ind w:left="720" w:hanging="720"/>
      </w:pPr>
      <w:rPr>
        <w:rFonts w:hint="eastAsia"/>
      </w:rPr>
    </w:lvl>
    <w:lvl w:ilvl="1">
      <w:start w:val="61"/>
      <w:numFmt w:val="decimal"/>
      <w:lvlText w:val="%2."/>
      <w:lvlJc w:val="left"/>
      <w:pPr>
        <w:tabs>
          <w:tab w:val="num" w:pos="1125"/>
        </w:tabs>
        <w:ind w:left="1125" w:hanging="705"/>
      </w:pPr>
      <w:rPr>
        <w:rFonts w:hint="default"/>
      </w:rPr>
    </w:lvl>
    <w:lvl w:ilvl="2">
      <w:start w:val="1"/>
      <w:numFmt w:val="decimal"/>
      <w:lvlText w:val="%3．"/>
      <w:lvlJc w:val="left"/>
      <w:pPr>
        <w:tabs>
          <w:tab w:val="num" w:pos="1200"/>
        </w:tabs>
        <w:ind w:left="1200" w:hanging="360"/>
      </w:pPr>
      <w:rPr>
        <w:rFonts w:hint="eastAsia"/>
      </w:rPr>
    </w:lvl>
    <w:lvl w:ilvl="3">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26">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27">
    <w:nsid w:val="6E807837"/>
    <w:multiLevelType w:val="hybridMultilevel"/>
    <w:tmpl w:val="C6542B16"/>
    <w:lvl w:ilvl="0" w:tplc="DEF03B2E">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8">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9">
    <w:nsid w:val="6EAA4B82"/>
    <w:multiLevelType w:val="singleLevel"/>
    <w:tmpl w:val="F77CED82"/>
    <w:lvl w:ilvl="0">
      <w:start w:val="7"/>
      <w:numFmt w:val="lowerLetter"/>
      <w:lvlText w:val="%1)"/>
      <w:lvlJc w:val="left"/>
      <w:pPr>
        <w:tabs>
          <w:tab w:val="num" w:pos="360"/>
        </w:tabs>
        <w:ind w:left="360" w:hanging="360"/>
      </w:pPr>
      <w:rPr>
        <w:rFonts w:hint="eastAsia"/>
      </w:rPr>
    </w:lvl>
  </w:abstractNum>
  <w:abstractNum w:abstractNumId="630">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1">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32">
    <w:nsid w:val="6F3474BA"/>
    <w:multiLevelType w:val="hybridMultilevel"/>
    <w:tmpl w:val="940ACBF2"/>
    <w:lvl w:ilvl="0" w:tplc="A6F0D150">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3">
    <w:nsid w:val="6F5967EC"/>
    <w:multiLevelType w:val="hybridMultilevel"/>
    <w:tmpl w:val="DF3A4E02"/>
    <w:lvl w:ilvl="0">
      <w:start w:val="1"/>
      <w:numFmt w:val="bullet"/>
      <w:lvlText w:val=""/>
      <w:lvlJc w:val="left"/>
      <w:pPr>
        <w:tabs>
          <w:tab w:val="num" w:pos="630"/>
        </w:tabs>
        <w:ind w:left="630" w:hanging="420"/>
      </w:pPr>
      <w:rPr>
        <w:rFonts w:ascii="Wingdings" w:hAnsi="Wingdings" w:hint="default"/>
      </w:rPr>
    </w:lvl>
    <w:lvl w:ilvl="1">
      <w:start w:val="1"/>
      <w:numFmt w:val="decimal"/>
      <w:lvlText w:val="%2."/>
      <w:lvlJc w:val="left"/>
      <w:pPr>
        <w:tabs>
          <w:tab w:val="num" w:pos="1050"/>
        </w:tabs>
        <w:ind w:left="1050" w:hanging="420"/>
      </w:pPr>
    </w:lvl>
    <w:lvl w:ilvl="2">
      <w:start w:val="7"/>
      <w:numFmt w:val="decimal"/>
      <w:lvlText w:val="%3．"/>
      <w:lvlJc w:val="left"/>
      <w:pPr>
        <w:tabs>
          <w:tab w:val="num" w:pos="1410"/>
        </w:tabs>
        <w:ind w:left="1410" w:hanging="360"/>
      </w:pPr>
      <w:rPr>
        <w:rFonts w:hint="eastAsia"/>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634">
    <w:nsid w:val="6F5B4FDB"/>
    <w:multiLevelType w:val="hybridMultilevel"/>
    <w:tmpl w:val="98E65640"/>
    <w:lvl w:ilvl="0" w:tplc="804A20A4">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5">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6">
    <w:nsid w:val="6F816657"/>
    <w:multiLevelType w:val="hybridMultilevel"/>
    <w:tmpl w:val="57D4E262"/>
    <w:lvl w:ilvl="0">
      <w:start w:val="1999"/>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37">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38">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39">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0">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1">
    <w:nsid w:val="703455D8"/>
    <w:multiLevelType w:val="hybridMultilevel"/>
    <w:tmpl w:val="EB6E9400"/>
    <w:lvl w:ilvl="0" w:tplc="E3BADD3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2">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3">
    <w:nsid w:val="704F4B0E"/>
    <w:multiLevelType w:val="hybridMultilevel"/>
    <w:tmpl w:val="3C62E762"/>
    <w:lvl w:ilvl="0" w:tplc="AADE755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4">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5">
    <w:nsid w:val="707A381E"/>
    <w:multiLevelType w:val="hybridMultilevel"/>
    <w:tmpl w:val="0C7C6740"/>
    <w:lvl w:ilvl="0">
      <w:start w:val="1"/>
      <w:numFmt w:val="bullet"/>
      <w:lvlText w:val=""/>
      <w:lvlJc w:val="left"/>
      <w:pPr>
        <w:tabs>
          <w:tab w:val="num" w:pos="1685"/>
        </w:tabs>
        <w:ind w:left="1685" w:hanging="420"/>
      </w:pPr>
      <w:rPr>
        <w:rFonts w:ascii="Symbol" w:hAnsi="Symbol"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46">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647">
    <w:nsid w:val="70E25606"/>
    <w:multiLevelType w:val="singleLevel"/>
    <w:tmpl w:val="EA8C9698"/>
    <w:lvl w:ilvl="0">
      <w:start w:val="1"/>
      <w:numFmt w:val="lowerLetter"/>
      <w:lvlText w:val="（%1）"/>
      <w:lvlJc w:val="left"/>
      <w:pPr>
        <w:tabs>
          <w:tab w:val="num" w:pos="510"/>
        </w:tabs>
        <w:ind w:left="510" w:hanging="510"/>
      </w:pPr>
      <w:rPr>
        <w:rFonts w:hint="default"/>
      </w:rPr>
    </w:lvl>
  </w:abstractNum>
  <w:abstractNum w:abstractNumId="648">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649">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50">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651">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52">
    <w:nsid w:val="729F0D11"/>
    <w:multiLevelType w:val="hybridMultilevel"/>
    <w:tmpl w:val="100290EC"/>
    <w:lvl w:ilvl="0" w:tplc="04090001">
      <w:start w:val="1"/>
      <w:numFmt w:val="bullet"/>
      <w:lvlText w:val=""/>
      <w:lvlJc w:val="left"/>
      <w:pPr>
        <w:tabs>
          <w:tab w:val="num" w:pos="840"/>
        </w:tabs>
        <w:ind w:left="840" w:hanging="420"/>
      </w:pPr>
      <w:rPr>
        <w:rFonts w:ascii="Wingdings" w:hAnsi="Wingdings"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53">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54">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5">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6">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657">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8">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659">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660">
    <w:nsid w:val="7479272B"/>
    <w:multiLevelType w:val="hybridMultilevel"/>
    <w:tmpl w:val="96C46990"/>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61">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62">
    <w:nsid w:val="74EC537B"/>
    <w:multiLevelType w:val="hybridMultilevel"/>
    <w:tmpl w:val="ABE0620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63">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64">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665">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66">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7">
    <w:nsid w:val="755932BF"/>
    <w:multiLevelType w:val="hybridMultilevel"/>
    <w:tmpl w:val="124C5F58"/>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68">
    <w:nsid w:val="755D534F"/>
    <w:multiLevelType w:val="hybridMultilevel"/>
    <w:tmpl w:val="714CE18A"/>
    <w:lvl w:ilvl="0">
      <w:start w:val="1"/>
      <w:numFmt w:val="bullet"/>
      <w:lvlText w:val=""/>
      <w:lvlJc w:val="left"/>
      <w:pPr>
        <w:tabs>
          <w:tab w:val="num" w:pos="845"/>
        </w:tabs>
        <w:ind w:left="845" w:hanging="420"/>
      </w:pPr>
      <w:rPr>
        <w:rFonts w:ascii="Symbol" w:hAnsi="Symbol" w:hint="default"/>
        <w:sz w:val="13"/>
      </w:rPr>
    </w:lvl>
    <w:lvl w:ilvl="1" w:tentative="1">
      <w:start w:val="1"/>
      <w:numFmt w:val="bullet"/>
      <w:lvlText w:val=""/>
      <w:lvlJc w:val="left"/>
      <w:pPr>
        <w:tabs>
          <w:tab w:val="num" w:pos="1265"/>
        </w:tabs>
        <w:ind w:left="1265" w:hanging="420"/>
      </w:pPr>
      <w:rPr>
        <w:rFonts w:ascii="Wingdings" w:hAnsi="Wingdings" w:hint="default"/>
      </w:rPr>
    </w:lvl>
    <w:lvl w:ilvl="2" w:tentative="1">
      <w:start w:val="1"/>
      <w:numFmt w:val="bullet"/>
      <w:lvlText w:val=""/>
      <w:lvlJc w:val="left"/>
      <w:pPr>
        <w:tabs>
          <w:tab w:val="num" w:pos="1685"/>
        </w:tabs>
        <w:ind w:left="1685" w:hanging="420"/>
      </w:pPr>
      <w:rPr>
        <w:rFonts w:ascii="Wingdings" w:hAnsi="Wingdings" w:hint="default"/>
      </w:rPr>
    </w:lvl>
    <w:lvl w:ilvl="3" w:tentative="1">
      <w:start w:val="1"/>
      <w:numFmt w:val="bullet"/>
      <w:lvlText w:val=""/>
      <w:lvlJc w:val="left"/>
      <w:pPr>
        <w:tabs>
          <w:tab w:val="num" w:pos="2105"/>
        </w:tabs>
        <w:ind w:left="2105" w:hanging="420"/>
      </w:pPr>
      <w:rPr>
        <w:rFonts w:ascii="Wingdings" w:hAnsi="Wingdings" w:hint="default"/>
      </w:rPr>
    </w:lvl>
    <w:lvl w:ilvl="4" w:tentative="1">
      <w:start w:val="1"/>
      <w:numFmt w:val="bullet"/>
      <w:lvlText w:val=""/>
      <w:lvlJc w:val="left"/>
      <w:pPr>
        <w:tabs>
          <w:tab w:val="num" w:pos="2525"/>
        </w:tabs>
        <w:ind w:left="2525" w:hanging="420"/>
      </w:pPr>
      <w:rPr>
        <w:rFonts w:ascii="Wingdings" w:hAnsi="Wingdings" w:hint="default"/>
      </w:rPr>
    </w:lvl>
    <w:lvl w:ilvl="5" w:tentative="1">
      <w:start w:val="1"/>
      <w:numFmt w:val="bullet"/>
      <w:lvlText w:val=""/>
      <w:lvlJc w:val="left"/>
      <w:pPr>
        <w:tabs>
          <w:tab w:val="num" w:pos="2945"/>
        </w:tabs>
        <w:ind w:left="2945" w:hanging="420"/>
      </w:pPr>
      <w:rPr>
        <w:rFonts w:ascii="Wingdings" w:hAnsi="Wingdings" w:hint="default"/>
      </w:rPr>
    </w:lvl>
    <w:lvl w:ilvl="6" w:tentative="1">
      <w:start w:val="1"/>
      <w:numFmt w:val="bullet"/>
      <w:lvlText w:val=""/>
      <w:lvlJc w:val="left"/>
      <w:pPr>
        <w:tabs>
          <w:tab w:val="num" w:pos="3365"/>
        </w:tabs>
        <w:ind w:left="3365" w:hanging="420"/>
      </w:pPr>
      <w:rPr>
        <w:rFonts w:ascii="Wingdings" w:hAnsi="Wingdings" w:hint="default"/>
      </w:rPr>
    </w:lvl>
    <w:lvl w:ilvl="7" w:tentative="1">
      <w:start w:val="1"/>
      <w:numFmt w:val="bullet"/>
      <w:lvlText w:val=""/>
      <w:lvlJc w:val="left"/>
      <w:pPr>
        <w:tabs>
          <w:tab w:val="num" w:pos="3785"/>
        </w:tabs>
        <w:ind w:left="3785" w:hanging="420"/>
      </w:pPr>
      <w:rPr>
        <w:rFonts w:ascii="Wingdings" w:hAnsi="Wingdings" w:hint="default"/>
      </w:rPr>
    </w:lvl>
    <w:lvl w:ilvl="8" w:tentative="1">
      <w:start w:val="1"/>
      <w:numFmt w:val="bullet"/>
      <w:lvlText w:val=""/>
      <w:lvlJc w:val="left"/>
      <w:pPr>
        <w:tabs>
          <w:tab w:val="num" w:pos="4205"/>
        </w:tabs>
        <w:ind w:left="4205" w:hanging="420"/>
      </w:pPr>
      <w:rPr>
        <w:rFonts w:ascii="Wingdings" w:hAnsi="Wingdings" w:hint="default"/>
      </w:rPr>
    </w:lvl>
  </w:abstractNum>
  <w:abstractNum w:abstractNumId="669">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670">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1">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672">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3">
    <w:nsid w:val="76637461"/>
    <w:multiLevelType w:val="singleLevel"/>
    <w:tmpl w:val="E1F04B2E"/>
    <w:lvl w:ilvl="0">
      <w:start w:val="3"/>
      <w:numFmt w:val="decimalFullWidth"/>
      <w:lvlText w:val="%1、"/>
      <w:lvlJc w:val="left"/>
      <w:pPr>
        <w:tabs>
          <w:tab w:val="num" w:pos="420"/>
        </w:tabs>
        <w:ind w:left="420" w:hanging="420"/>
      </w:pPr>
      <w:rPr>
        <w:rFonts w:hint="eastAsia"/>
      </w:rPr>
    </w:lvl>
  </w:abstractNum>
  <w:abstractNum w:abstractNumId="674">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5">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76">
    <w:nsid w:val="76F32353"/>
    <w:multiLevelType w:val="singleLevel"/>
    <w:tmpl w:val="A50E8EA4"/>
    <w:lvl w:ilvl="0">
      <w:start w:val="4"/>
      <w:numFmt w:val="lowerLetter"/>
      <w:lvlText w:val=""/>
      <w:lvlJc w:val="left"/>
      <w:pPr>
        <w:tabs>
          <w:tab w:val="num" w:pos="360"/>
        </w:tabs>
        <w:ind w:left="360" w:hanging="360"/>
      </w:pPr>
      <w:rPr>
        <w:rFonts w:hint="default"/>
      </w:rPr>
    </w:lvl>
  </w:abstractNum>
  <w:abstractNum w:abstractNumId="677">
    <w:nsid w:val="76F9720C"/>
    <w:multiLevelType w:val="hybridMultilevel"/>
    <w:tmpl w:val="F21EFE7C"/>
    <w:lvl w:ilvl="0">
      <w:start w:val="1993"/>
      <w:numFmt w:val="bullet"/>
      <w:lvlText w:val="＊"/>
      <w:lvlJc w:val="left"/>
      <w:pPr>
        <w:tabs>
          <w:tab w:val="num" w:pos="1260"/>
        </w:tabs>
        <w:ind w:left="1260" w:hanging="840"/>
      </w:pPr>
      <w:rPr>
        <w:rFonts w:ascii="SimSun" w:eastAsia="SimSun" w:hAnsi="SimSun" w:cs="Times New Roman" w:hint="eastAsia"/>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78">
    <w:nsid w:val="7729270E"/>
    <w:multiLevelType w:val="hybridMultilevel"/>
    <w:tmpl w:val="E21CD2F2"/>
    <w:lvl w:ilvl="0">
      <w:numFmt w:val="bullet"/>
      <w:lvlText w:val="-"/>
      <w:lvlJc w:val="left"/>
      <w:pPr>
        <w:tabs>
          <w:tab w:val="num" w:pos="840"/>
        </w:tabs>
        <w:ind w:left="840" w:hanging="360"/>
      </w:pPr>
      <w:rPr>
        <w:rFonts w:ascii="Times New Roman" w:eastAsia="SimSun" w:hAnsi="Times New Roman" w:cs="Times New Roman" w:hint="default"/>
      </w:rPr>
    </w:lvl>
    <w:lvl w:ilvl="1" w:tentative="1">
      <w:start w:val="1"/>
      <w:numFmt w:val="bullet"/>
      <w:lvlText w:val=""/>
      <w:lvlJc w:val="left"/>
      <w:pPr>
        <w:tabs>
          <w:tab w:val="num" w:pos="1320"/>
        </w:tabs>
        <w:ind w:left="1320" w:hanging="420"/>
      </w:pPr>
      <w:rPr>
        <w:rFonts w:ascii="Wingdings" w:hAnsi="Wingdings" w:hint="default"/>
      </w:rPr>
    </w:lvl>
    <w:lvl w:ilvl="2" w:tentative="1">
      <w:start w:val="1"/>
      <w:numFmt w:val="bullet"/>
      <w:lvlText w:val=""/>
      <w:lvlJc w:val="left"/>
      <w:pPr>
        <w:tabs>
          <w:tab w:val="num" w:pos="1740"/>
        </w:tabs>
        <w:ind w:left="1740" w:hanging="420"/>
      </w:pPr>
      <w:rPr>
        <w:rFonts w:ascii="Wingdings" w:hAnsi="Wingdings" w:hint="default"/>
      </w:rPr>
    </w:lvl>
    <w:lvl w:ilvl="3" w:tentative="1">
      <w:start w:val="1"/>
      <w:numFmt w:val="bullet"/>
      <w:lvlText w:val=""/>
      <w:lvlJc w:val="left"/>
      <w:pPr>
        <w:tabs>
          <w:tab w:val="num" w:pos="2160"/>
        </w:tabs>
        <w:ind w:left="2160" w:hanging="420"/>
      </w:pPr>
      <w:rPr>
        <w:rFonts w:ascii="Wingdings" w:hAnsi="Wingdings" w:hint="default"/>
      </w:rPr>
    </w:lvl>
    <w:lvl w:ilvl="4" w:tentative="1">
      <w:start w:val="1"/>
      <w:numFmt w:val="bullet"/>
      <w:lvlText w:val=""/>
      <w:lvlJc w:val="left"/>
      <w:pPr>
        <w:tabs>
          <w:tab w:val="num" w:pos="2580"/>
        </w:tabs>
        <w:ind w:left="2580" w:hanging="420"/>
      </w:pPr>
      <w:rPr>
        <w:rFonts w:ascii="Wingdings" w:hAnsi="Wingdings" w:hint="default"/>
      </w:rPr>
    </w:lvl>
    <w:lvl w:ilvl="5" w:tentative="1">
      <w:start w:val="1"/>
      <w:numFmt w:val="bullet"/>
      <w:lvlText w:val=""/>
      <w:lvlJc w:val="left"/>
      <w:pPr>
        <w:tabs>
          <w:tab w:val="num" w:pos="3000"/>
        </w:tabs>
        <w:ind w:left="3000" w:hanging="420"/>
      </w:pPr>
      <w:rPr>
        <w:rFonts w:ascii="Wingdings" w:hAnsi="Wingdings" w:hint="default"/>
      </w:rPr>
    </w:lvl>
    <w:lvl w:ilvl="6" w:tentative="1">
      <w:start w:val="1"/>
      <w:numFmt w:val="bullet"/>
      <w:lvlText w:val=""/>
      <w:lvlJc w:val="left"/>
      <w:pPr>
        <w:tabs>
          <w:tab w:val="num" w:pos="3420"/>
        </w:tabs>
        <w:ind w:left="3420" w:hanging="420"/>
      </w:pPr>
      <w:rPr>
        <w:rFonts w:ascii="Wingdings" w:hAnsi="Wingdings" w:hint="default"/>
      </w:rPr>
    </w:lvl>
    <w:lvl w:ilvl="7" w:tentative="1">
      <w:start w:val="1"/>
      <w:numFmt w:val="bullet"/>
      <w:lvlText w:val=""/>
      <w:lvlJc w:val="left"/>
      <w:pPr>
        <w:tabs>
          <w:tab w:val="num" w:pos="3840"/>
        </w:tabs>
        <w:ind w:left="3840" w:hanging="420"/>
      </w:pPr>
      <w:rPr>
        <w:rFonts w:ascii="Wingdings" w:hAnsi="Wingdings" w:hint="default"/>
      </w:rPr>
    </w:lvl>
    <w:lvl w:ilvl="8" w:tentative="1">
      <w:start w:val="1"/>
      <w:numFmt w:val="bullet"/>
      <w:lvlText w:val=""/>
      <w:lvlJc w:val="left"/>
      <w:pPr>
        <w:tabs>
          <w:tab w:val="num" w:pos="4260"/>
        </w:tabs>
        <w:ind w:left="4260" w:hanging="420"/>
      </w:pPr>
      <w:rPr>
        <w:rFonts w:ascii="Wingdings" w:hAnsi="Wingdings" w:hint="default"/>
      </w:rPr>
    </w:lvl>
  </w:abstractNum>
  <w:abstractNum w:abstractNumId="679">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0">
    <w:nsid w:val="7763696E"/>
    <w:multiLevelType w:val="hybridMultilevel"/>
    <w:tmpl w:val="E7A65804"/>
    <w:lvl w:ilvl="0">
      <w:start w:val="1"/>
      <w:numFmt w:val="lowerLetter"/>
      <w:lvlText w:val="%1)"/>
      <w:lvlJc w:val="left"/>
      <w:pPr>
        <w:tabs>
          <w:tab w:val="num" w:pos="630"/>
        </w:tabs>
        <w:ind w:left="630" w:hanging="420"/>
      </w:pPr>
    </w:lvl>
    <w:lvl w:ilvl="1" w:tentative="1">
      <w:start w:val="1"/>
      <w:numFmt w:val="lowerLetter"/>
      <w:lvlText w:val="%2)"/>
      <w:lvlJc w:val="left"/>
      <w:pPr>
        <w:tabs>
          <w:tab w:val="num" w:pos="373"/>
        </w:tabs>
        <w:ind w:left="373" w:hanging="420"/>
      </w:pPr>
    </w:lvl>
    <w:lvl w:ilvl="2" w:tentative="1">
      <w:start w:val="1"/>
      <w:numFmt w:val="lowerRoman"/>
      <w:lvlText w:val="%3."/>
      <w:lvlJc w:val="right"/>
      <w:pPr>
        <w:tabs>
          <w:tab w:val="num" w:pos="793"/>
        </w:tabs>
        <w:ind w:left="793" w:hanging="420"/>
      </w:pPr>
    </w:lvl>
    <w:lvl w:ilvl="3" w:tentative="1">
      <w:start w:val="1"/>
      <w:numFmt w:val="decimal"/>
      <w:lvlText w:val="%4."/>
      <w:lvlJc w:val="left"/>
      <w:pPr>
        <w:tabs>
          <w:tab w:val="num" w:pos="1213"/>
        </w:tabs>
        <w:ind w:left="1213" w:hanging="420"/>
      </w:pPr>
    </w:lvl>
    <w:lvl w:ilvl="4" w:tentative="1">
      <w:start w:val="1"/>
      <w:numFmt w:val="lowerLetter"/>
      <w:lvlText w:val="%5)"/>
      <w:lvlJc w:val="left"/>
      <w:pPr>
        <w:tabs>
          <w:tab w:val="num" w:pos="1633"/>
        </w:tabs>
        <w:ind w:left="1633" w:hanging="420"/>
      </w:pPr>
    </w:lvl>
    <w:lvl w:ilvl="5" w:tentative="1">
      <w:start w:val="1"/>
      <w:numFmt w:val="lowerRoman"/>
      <w:lvlText w:val="%6."/>
      <w:lvlJc w:val="right"/>
      <w:pPr>
        <w:tabs>
          <w:tab w:val="num" w:pos="2053"/>
        </w:tabs>
        <w:ind w:left="2053" w:hanging="420"/>
      </w:pPr>
    </w:lvl>
    <w:lvl w:ilvl="6" w:tentative="1">
      <w:start w:val="1"/>
      <w:numFmt w:val="decimal"/>
      <w:lvlText w:val="%7."/>
      <w:lvlJc w:val="left"/>
      <w:pPr>
        <w:tabs>
          <w:tab w:val="num" w:pos="2473"/>
        </w:tabs>
        <w:ind w:left="2473" w:hanging="420"/>
      </w:pPr>
    </w:lvl>
    <w:lvl w:ilvl="7" w:tentative="1">
      <w:start w:val="1"/>
      <w:numFmt w:val="lowerLetter"/>
      <w:lvlText w:val="%8)"/>
      <w:lvlJc w:val="left"/>
      <w:pPr>
        <w:tabs>
          <w:tab w:val="num" w:pos="2893"/>
        </w:tabs>
        <w:ind w:left="2893" w:hanging="420"/>
      </w:pPr>
    </w:lvl>
    <w:lvl w:ilvl="8" w:tentative="1">
      <w:start w:val="1"/>
      <w:numFmt w:val="lowerRoman"/>
      <w:lvlText w:val="%9."/>
      <w:lvlJc w:val="right"/>
      <w:pPr>
        <w:tabs>
          <w:tab w:val="num" w:pos="3313"/>
        </w:tabs>
        <w:ind w:left="3313" w:hanging="420"/>
      </w:pPr>
    </w:lvl>
  </w:abstractNum>
  <w:abstractNum w:abstractNumId="681">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2">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683">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684">
    <w:nsid w:val="7899559C"/>
    <w:multiLevelType w:val="hybridMultilevel"/>
    <w:tmpl w:val="93D007DC"/>
    <w:lvl w:ilvl="0" w:tplc="C7220948">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5">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686">
    <w:nsid w:val="78BB781D"/>
    <w:multiLevelType w:val="hybridMultilevel"/>
    <w:tmpl w:val="6C52010A"/>
    <w:lvl w:ilvl="0">
      <w:start w:val="3"/>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87">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8">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89">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0">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691">
    <w:nsid w:val="79CB23AC"/>
    <w:multiLevelType w:val="hybridMultilevel"/>
    <w:tmpl w:val="62D051D6"/>
    <w:lvl w:ilvl="0">
      <w:start w:val="1"/>
      <w:numFmt w:val="decimal"/>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692">
    <w:nsid w:val="79CD04BF"/>
    <w:multiLevelType w:val="hybridMultilevel"/>
    <w:tmpl w:val="A6C0B5C4"/>
    <w:lvl w:ilvl="0">
      <w:start w:val="1"/>
      <w:numFmt w:val="bullet"/>
      <w:lvlText w:val=""/>
      <w:lvlJc w:val="left"/>
      <w:pPr>
        <w:tabs>
          <w:tab w:val="num" w:pos="630"/>
        </w:tabs>
        <w:ind w:left="630" w:hanging="420"/>
      </w:pPr>
      <w:rPr>
        <w:rFonts w:ascii="Wingdings" w:hAnsi="Wingdings" w:hint="default"/>
      </w:rPr>
    </w:lvl>
    <w:lvl w:ilvl="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693">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694">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5">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696">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97">
    <w:nsid w:val="7AB8498B"/>
    <w:multiLevelType w:val="hybridMultilevel"/>
    <w:tmpl w:val="5AE46A30"/>
    <w:lvl w:ilvl="0">
      <w:start w:val="253"/>
      <w:numFmt w:val="bullet"/>
      <w:lvlText w:val="-"/>
      <w:lvlJc w:val="left"/>
      <w:pPr>
        <w:tabs>
          <w:tab w:val="num" w:pos="1830"/>
        </w:tabs>
        <w:ind w:left="1830" w:hanging="360"/>
      </w:pPr>
      <w:rPr>
        <w:rFonts w:ascii="Times New Roman" w:eastAsia="SimSun" w:hAnsi="Times New Roman" w:cs="Times New Roman"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98">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699">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00">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01">
    <w:nsid w:val="7B7D3C16"/>
    <w:multiLevelType w:val="hybridMultilevel"/>
    <w:tmpl w:val="2E9A2870"/>
    <w:lvl w:ilvl="0" w:tplc="043A7C0A">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02">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703">
    <w:nsid w:val="7C59418C"/>
    <w:multiLevelType w:val="hybridMultilevel"/>
    <w:tmpl w:val="C898F4EA"/>
    <w:lvl w:ilvl="0">
      <w:start w:val="1997"/>
      <w:numFmt w:val="decimal"/>
      <w:lvlText w:val="%1"/>
      <w:lvlJc w:val="left"/>
      <w:pPr>
        <w:tabs>
          <w:tab w:val="num" w:pos="2100"/>
        </w:tabs>
        <w:ind w:left="2100" w:hanging="168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704">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705">
    <w:nsid w:val="7C744C17"/>
    <w:multiLevelType w:val="hybridMultilevel"/>
    <w:tmpl w:val="9ECEAB82"/>
    <w:lvl w:ilvl="0">
      <w:start w:val="1"/>
      <w:numFmt w:val="bullet"/>
      <w:lvlText w:val="●"/>
      <w:lvlJc w:val="left"/>
      <w:pPr>
        <w:tabs>
          <w:tab w:val="num" w:pos="420"/>
        </w:tabs>
        <w:ind w:left="420" w:hanging="420"/>
      </w:pPr>
      <w:rPr>
        <w:rFonts w:ascii="SimSun" w:eastAsia="SimSun" w:hAnsi="Symbol" w:hint="eastAsia"/>
        <w:sz w:val="13"/>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06">
    <w:nsid w:val="7CA175B6"/>
    <w:multiLevelType w:val="hybridMultilevel"/>
    <w:tmpl w:val="4ED0EFEC"/>
    <w:lvl w:ilvl="0" w:tplc="CA6C20D8">
      <w:start w:val="1"/>
      <w:numFmt w:val="bullet"/>
      <w:lvlText w:val=""/>
      <w:lvlJc w:val="left"/>
      <w:pPr>
        <w:tabs>
          <w:tab w:val="num" w:pos="1265"/>
        </w:tabs>
        <w:ind w:left="1265" w:hanging="425"/>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07">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708">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709">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710">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711">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712">
    <w:nsid w:val="7DBB4550"/>
    <w:multiLevelType w:val="hybridMultilevel"/>
    <w:tmpl w:val="C7F246E8"/>
    <w:lvl w:ilvl="0">
      <w:start w:val="3"/>
      <w:numFmt w:val="bullet"/>
      <w:lvlText w:val="-"/>
      <w:lvlJc w:val="left"/>
      <w:pPr>
        <w:tabs>
          <w:tab w:val="num" w:pos="780"/>
        </w:tabs>
        <w:ind w:left="780" w:hanging="360"/>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13">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4">
    <w:nsid w:val="7E304BA8"/>
    <w:multiLevelType w:val="hybridMultilevel"/>
    <w:tmpl w:val="5B7E51A2"/>
    <w:lvl w:ilvl="0">
      <w:start w:val="1"/>
      <w:numFmt w:val="bullet"/>
      <w:lvlText w:val=""/>
      <w:lvlJc w:val="left"/>
      <w:pPr>
        <w:tabs>
          <w:tab w:val="num" w:pos="1050"/>
        </w:tabs>
        <w:ind w:left="1050" w:hanging="420"/>
      </w:pPr>
      <w:rPr>
        <w:rFonts w:ascii="Wingdings" w:hAnsi="Wingdings" w:hint="default"/>
      </w:rPr>
    </w:lvl>
    <w:lvl w:ilvl="1" w:tentative="1">
      <w:start w:val="1"/>
      <w:numFmt w:val="bullet"/>
      <w:lvlText w:val=""/>
      <w:lvlJc w:val="left"/>
      <w:pPr>
        <w:tabs>
          <w:tab w:val="num" w:pos="1470"/>
        </w:tabs>
        <w:ind w:left="1470" w:hanging="420"/>
      </w:pPr>
      <w:rPr>
        <w:rFonts w:ascii="Wingdings" w:hAnsi="Wingdings" w:hint="default"/>
      </w:rPr>
    </w:lvl>
    <w:lvl w:ilvl="2" w:tentative="1">
      <w:start w:val="1"/>
      <w:numFmt w:val="bullet"/>
      <w:lvlText w:val=""/>
      <w:lvlJc w:val="left"/>
      <w:pPr>
        <w:tabs>
          <w:tab w:val="num" w:pos="1890"/>
        </w:tabs>
        <w:ind w:left="1890" w:hanging="420"/>
      </w:pPr>
      <w:rPr>
        <w:rFonts w:ascii="Wingdings" w:hAnsi="Wingdings" w:hint="default"/>
      </w:rPr>
    </w:lvl>
    <w:lvl w:ilvl="3" w:tentative="1">
      <w:start w:val="1"/>
      <w:numFmt w:val="bullet"/>
      <w:lvlText w:val=""/>
      <w:lvlJc w:val="left"/>
      <w:pPr>
        <w:tabs>
          <w:tab w:val="num" w:pos="2310"/>
        </w:tabs>
        <w:ind w:left="2310" w:hanging="420"/>
      </w:pPr>
      <w:rPr>
        <w:rFonts w:ascii="Wingdings" w:hAnsi="Wingdings" w:hint="default"/>
      </w:rPr>
    </w:lvl>
    <w:lvl w:ilvl="4" w:tentative="1">
      <w:start w:val="1"/>
      <w:numFmt w:val="bullet"/>
      <w:lvlText w:val=""/>
      <w:lvlJc w:val="left"/>
      <w:pPr>
        <w:tabs>
          <w:tab w:val="num" w:pos="2730"/>
        </w:tabs>
        <w:ind w:left="2730" w:hanging="420"/>
      </w:pPr>
      <w:rPr>
        <w:rFonts w:ascii="Wingdings" w:hAnsi="Wingdings" w:hint="default"/>
      </w:rPr>
    </w:lvl>
    <w:lvl w:ilvl="5" w:tentative="1">
      <w:start w:val="1"/>
      <w:numFmt w:val="bullet"/>
      <w:lvlText w:val=""/>
      <w:lvlJc w:val="left"/>
      <w:pPr>
        <w:tabs>
          <w:tab w:val="num" w:pos="3150"/>
        </w:tabs>
        <w:ind w:left="3150" w:hanging="420"/>
      </w:pPr>
      <w:rPr>
        <w:rFonts w:ascii="Wingdings" w:hAnsi="Wingdings" w:hint="default"/>
      </w:rPr>
    </w:lvl>
    <w:lvl w:ilvl="6" w:tentative="1">
      <w:start w:val="1"/>
      <w:numFmt w:val="bullet"/>
      <w:lvlText w:val=""/>
      <w:lvlJc w:val="left"/>
      <w:pPr>
        <w:tabs>
          <w:tab w:val="num" w:pos="3570"/>
        </w:tabs>
        <w:ind w:left="3570" w:hanging="420"/>
      </w:pPr>
      <w:rPr>
        <w:rFonts w:ascii="Wingdings" w:hAnsi="Wingdings" w:hint="default"/>
      </w:rPr>
    </w:lvl>
    <w:lvl w:ilvl="7" w:tentative="1">
      <w:start w:val="1"/>
      <w:numFmt w:val="bullet"/>
      <w:lvlText w:val=""/>
      <w:lvlJc w:val="left"/>
      <w:pPr>
        <w:tabs>
          <w:tab w:val="num" w:pos="3990"/>
        </w:tabs>
        <w:ind w:left="3990" w:hanging="420"/>
      </w:pPr>
      <w:rPr>
        <w:rFonts w:ascii="Wingdings" w:hAnsi="Wingdings" w:hint="default"/>
      </w:rPr>
    </w:lvl>
    <w:lvl w:ilvl="8" w:tentative="1">
      <w:start w:val="1"/>
      <w:numFmt w:val="bullet"/>
      <w:lvlText w:val=""/>
      <w:lvlJc w:val="left"/>
      <w:pPr>
        <w:tabs>
          <w:tab w:val="num" w:pos="4410"/>
        </w:tabs>
        <w:ind w:left="4410" w:hanging="420"/>
      </w:pPr>
      <w:rPr>
        <w:rFonts w:ascii="Wingdings" w:hAnsi="Wingdings" w:hint="default"/>
      </w:rPr>
    </w:lvl>
  </w:abstractNum>
  <w:abstractNum w:abstractNumId="715">
    <w:nsid w:val="7EEC7344"/>
    <w:multiLevelType w:val="hybridMultilevel"/>
    <w:tmpl w:val="7C904268"/>
    <w:lvl w:ilvl="0" w:tplc="E3BADD3A">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6">
    <w:nsid w:val="7EFA7FB4"/>
    <w:multiLevelType w:val="hybridMultilevel"/>
    <w:tmpl w:val="D9FAF98E"/>
    <w:lvl w:ilvl="0" w:tplc="D78A6E52">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7">
    <w:nsid w:val="7F0115EB"/>
    <w:multiLevelType w:val="singleLevel"/>
    <w:tmpl w:val="FE8493FC"/>
    <w:lvl w:ilvl="0">
      <w:start w:val="1"/>
      <w:numFmt w:val="lowerLetter"/>
      <w:lvlText w:val="（%1）"/>
      <w:lvlJc w:val="left"/>
      <w:pPr>
        <w:tabs>
          <w:tab w:val="num" w:pos="510"/>
        </w:tabs>
        <w:ind w:left="510" w:hanging="510"/>
      </w:pPr>
      <w:rPr>
        <w:rFonts w:hint="default"/>
      </w:rPr>
    </w:lvl>
  </w:abstractNum>
  <w:abstractNum w:abstractNumId="718">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719">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720">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445"/>
  </w:num>
  <w:num w:numId="2">
    <w:abstractNumId w:val="23"/>
  </w:num>
  <w:num w:numId="3">
    <w:abstractNumId w:val="123"/>
  </w:num>
  <w:num w:numId="4">
    <w:abstractNumId w:val="376"/>
  </w:num>
  <w:num w:numId="5">
    <w:abstractNumId w:val="219"/>
  </w:num>
  <w:num w:numId="6">
    <w:abstractNumId w:val="235"/>
  </w:num>
  <w:num w:numId="7">
    <w:abstractNumId w:val="449"/>
  </w:num>
  <w:num w:numId="8">
    <w:abstractNumId w:val="341"/>
  </w:num>
  <w:num w:numId="9">
    <w:abstractNumId w:val="486"/>
  </w:num>
  <w:num w:numId="10">
    <w:abstractNumId w:val="542"/>
  </w:num>
  <w:num w:numId="11">
    <w:abstractNumId w:val="398"/>
  </w:num>
  <w:num w:numId="12">
    <w:abstractNumId w:val="535"/>
  </w:num>
  <w:num w:numId="13">
    <w:abstractNumId w:val="321"/>
  </w:num>
  <w:num w:numId="14">
    <w:abstractNumId w:val="173"/>
  </w:num>
  <w:num w:numId="15">
    <w:abstractNumId w:val="237"/>
  </w:num>
  <w:num w:numId="16">
    <w:abstractNumId w:val="366"/>
  </w:num>
  <w:num w:numId="17">
    <w:abstractNumId w:val="294"/>
  </w:num>
  <w:num w:numId="18">
    <w:abstractNumId w:val="295"/>
  </w:num>
  <w:num w:numId="19">
    <w:abstractNumId w:val="147"/>
  </w:num>
  <w:num w:numId="20">
    <w:abstractNumId w:val="372"/>
  </w:num>
  <w:num w:numId="21">
    <w:abstractNumId w:val="279"/>
  </w:num>
  <w:num w:numId="22">
    <w:abstractNumId w:val="247"/>
  </w:num>
  <w:num w:numId="23">
    <w:abstractNumId w:val="574"/>
  </w:num>
  <w:num w:numId="24">
    <w:abstractNumId w:val="315"/>
  </w:num>
  <w:num w:numId="25">
    <w:abstractNumId w:val="545"/>
  </w:num>
  <w:num w:numId="26">
    <w:abstractNumId w:val="159"/>
  </w:num>
  <w:num w:numId="27">
    <w:abstractNumId w:val="476"/>
  </w:num>
  <w:num w:numId="28">
    <w:abstractNumId w:val="669"/>
  </w:num>
  <w:num w:numId="29">
    <w:abstractNumId w:val="626"/>
  </w:num>
  <w:num w:numId="30">
    <w:abstractNumId w:val="554"/>
  </w:num>
  <w:num w:numId="31">
    <w:abstractNumId w:val="650"/>
  </w:num>
  <w:num w:numId="32">
    <w:abstractNumId w:val="710"/>
  </w:num>
  <w:num w:numId="33">
    <w:abstractNumId w:val="472"/>
  </w:num>
  <w:num w:numId="34">
    <w:abstractNumId w:val="514"/>
  </w:num>
  <w:num w:numId="35">
    <w:abstractNumId w:val="259"/>
  </w:num>
  <w:num w:numId="36">
    <w:abstractNumId w:val="367"/>
  </w:num>
  <w:num w:numId="37">
    <w:abstractNumId w:val="664"/>
  </w:num>
  <w:num w:numId="38">
    <w:abstractNumId w:val="459"/>
  </w:num>
  <w:num w:numId="39">
    <w:abstractNumId w:val="161"/>
  </w:num>
  <w:num w:numId="40">
    <w:abstractNumId w:val="435"/>
  </w:num>
  <w:num w:numId="41">
    <w:abstractNumId w:val="443"/>
  </w:num>
  <w:num w:numId="42">
    <w:abstractNumId w:val="719"/>
  </w:num>
  <w:num w:numId="43">
    <w:abstractNumId w:val="463"/>
  </w:num>
  <w:num w:numId="44">
    <w:abstractNumId w:val="390"/>
  </w:num>
  <w:num w:numId="45">
    <w:abstractNumId w:val="702"/>
  </w:num>
  <w:num w:numId="46">
    <w:abstractNumId w:val="358"/>
  </w:num>
  <w:num w:numId="47">
    <w:abstractNumId w:val="707"/>
  </w:num>
  <w:num w:numId="48">
    <w:abstractNumId w:val="83"/>
  </w:num>
  <w:num w:numId="49">
    <w:abstractNumId w:val="658"/>
  </w:num>
  <w:num w:numId="50">
    <w:abstractNumId w:val="360"/>
  </w:num>
  <w:num w:numId="51">
    <w:abstractNumId w:val="155"/>
  </w:num>
  <w:num w:numId="52">
    <w:abstractNumId w:val="18"/>
  </w:num>
  <w:num w:numId="53">
    <w:abstractNumId w:val="215"/>
  </w:num>
  <w:num w:numId="54">
    <w:abstractNumId w:val="180"/>
  </w:num>
  <w:num w:numId="55">
    <w:abstractNumId w:val="521"/>
  </w:num>
  <w:num w:numId="56">
    <w:abstractNumId w:val="289"/>
  </w:num>
  <w:num w:numId="57">
    <w:abstractNumId w:val="419"/>
  </w:num>
  <w:num w:numId="58">
    <w:abstractNumId w:val="55"/>
  </w:num>
  <w:num w:numId="59">
    <w:abstractNumId w:val="364"/>
  </w:num>
  <w:num w:numId="60">
    <w:abstractNumId w:val="119"/>
  </w:num>
  <w:num w:numId="61">
    <w:abstractNumId w:val="310"/>
  </w:num>
  <w:num w:numId="62">
    <w:abstractNumId w:val="94"/>
  </w:num>
  <w:num w:numId="63">
    <w:abstractNumId w:val="222"/>
  </w:num>
  <w:num w:numId="64">
    <w:abstractNumId w:val="426"/>
  </w:num>
  <w:num w:numId="65">
    <w:abstractNumId w:val="429"/>
  </w:num>
  <w:num w:numId="66">
    <w:abstractNumId w:val="699"/>
  </w:num>
  <w:num w:numId="67">
    <w:abstractNumId w:val="563"/>
  </w:num>
  <w:num w:numId="68">
    <w:abstractNumId w:val="102"/>
  </w:num>
  <w:num w:numId="69">
    <w:abstractNumId w:val="53"/>
  </w:num>
  <w:num w:numId="70">
    <w:abstractNumId w:val="368"/>
  </w:num>
  <w:num w:numId="71">
    <w:abstractNumId w:val="374"/>
  </w:num>
  <w:num w:numId="72">
    <w:abstractNumId w:val="685"/>
  </w:num>
  <w:num w:numId="73">
    <w:abstractNumId w:val="91"/>
  </w:num>
  <w:num w:numId="74">
    <w:abstractNumId w:val="319"/>
  </w:num>
  <w:num w:numId="75">
    <w:abstractNumId w:val="362"/>
  </w:num>
  <w:num w:numId="76">
    <w:abstractNumId w:val="593"/>
  </w:num>
  <w:num w:numId="77">
    <w:abstractNumId w:val="76"/>
  </w:num>
  <w:num w:numId="78">
    <w:abstractNumId w:val="67"/>
  </w:num>
  <w:num w:numId="79">
    <w:abstractNumId w:val="598"/>
  </w:num>
  <w:num w:numId="80">
    <w:abstractNumId w:val="585"/>
  </w:num>
  <w:num w:numId="81">
    <w:abstractNumId w:val="431"/>
  </w:num>
  <w:num w:numId="82">
    <w:abstractNumId w:val="688"/>
  </w:num>
  <w:num w:numId="83">
    <w:abstractNumId w:val="49"/>
  </w:num>
  <w:num w:numId="84">
    <w:abstractNumId w:val="50"/>
  </w:num>
  <w:num w:numId="85">
    <w:abstractNumId w:val="587"/>
  </w:num>
  <w:num w:numId="86">
    <w:abstractNumId w:val="718"/>
  </w:num>
  <w:num w:numId="87">
    <w:abstractNumId w:val="290"/>
  </w:num>
  <w:num w:numId="88">
    <w:abstractNumId w:val="382"/>
  </w:num>
  <w:num w:numId="89">
    <w:abstractNumId w:val="615"/>
  </w:num>
  <w:num w:numId="90">
    <w:abstractNumId w:val="711"/>
  </w:num>
  <w:num w:numId="91">
    <w:abstractNumId w:val="87"/>
  </w:num>
  <w:num w:numId="92">
    <w:abstractNumId w:val="164"/>
  </w:num>
  <w:num w:numId="93">
    <w:abstractNumId w:val="89"/>
  </w:num>
  <w:num w:numId="94">
    <w:abstractNumId w:val="401"/>
  </w:num>
  <w:num w:numId="95">
    <w:abstractNumId w:val="619"/>
  </w:num>
  <w:num w:numId="96">
    <w:abstractNumId w:val="107"/>
  </w:num>
  <w:num w:numId="97">
    <w:abstractNumId w:val="709"/>
  </w:num>
  <w:num w:numId="98">
    <w:abstractNumId w:val="302"/>
  </w:num>
  <w:num w:numId="99">
    <w:abstractNumId w:val="100"/>
  </w:num>
  <w:num w:numId="100">
    <w:abstractNumId w:val="175"/>
  </w:num>
  <w:num w:numId="101">
    <w:abstractNumId w:val="345"/>
  </w:num>
  <w:num w:numId="102">
    <w:abstractNumId w:val="291"/>
  </w:num>
  <w:num w:numId="103">
    <w:abstractNumId w:val="267"/>
  </w:num>
  <w:num w:numId="104">
    <w:abstractNumId w:val="140"/>
  </w:num>
  <w:num w:numId="105">
    <w:abstractNumId w:val="349"/>
  </w:num>
  <w:num w:numId="106">
    <w:abstractNumId w:val="391"/>
  </w:num>
  <w:num w:numId="107">
    <w:abstractNumId w:val="589"/>
  </w:num>
  <w:num w:numId="108">
    <w:abstractNumId w:val="512"/>
  </w:num>
  <w:num w:numId="109">
    <w:abstractNumId w:val="101"/>
  </w:num>
  <w:num w:numId="110">
    <w:abstractNumId w:val="205"/>
  </w:num>
  <w:num w:numId="111">
    <w:abstractNumId w:val="704"/>
  </w:num>
  <w:num w:numId="112">
    <w:abstractNumId w:val="271"/>
  </w:num>
  <w:num w:numId="113">
    <w:abstractNumId w:val="583"/>
  </w:num>
  <w:num w:numId="114">
    <w:abstractNumId w:val="500"/>
  </w:num>
  <w:num w:numId="115">
    <w:abstractNumId w:val="532"/>
  </w:num>
  <w:num w:numId="116">
    <w:abstractNumId w:val="361"/>
  </w:num>
  <w:num w:numId="117">
    <w:abstractNumId w:val="365"/>
  </w:num>
  <w:num w:numId="118">
    <w:abstractNumId w:val="513"/>
  </w:num>
  <w:num w:numId="119">
    <w:abstractNumId w:val="74"/>
  </w:num>
  <w:num w:numId="120">
    <w:abstractNumId w:val="233"/>
  </w:num>
  <w:num w:numId="121">
    <w:abstractNumId w:val="194"/>
  </w:num>
  <w:num w:numId="122">
    <w:abstractNumId w:val="698"/>
  </w:num>
  <w:num w:numId="123">
    <w:abstractNumId w:val="141"/>
  </w:num>
  <w:num w:numId="124">
    <w:abstractNumId w:val="671"/>
  </w:num>
  <w:num w:numId="125">
    <w:abstractNumId w:val="417"/>
  </w:num>
  <w:num w:numId="126">
    <w:abstractNumId w:val="565"/>
  </w:num>
  <w:num w:numId="127">
    <w:abstractNumId w:val="230"/>
  </w:num>
  <w:num w:numId="128">
    <w:abstractNumId w:val="8"/>
  </w:num>
  <w:num w:numId="129">
    <w:abstractNumId w:val="3"/>
  </w:num>
  <w:num w:numId="130">
    <w:abstractNumId w:val="2"/>
  </w:num>
  <w:num w:numId="131">
    <w:abstractNumId w:val="1"/>
  </w:num>
  <w:num w:numId="132">
    <w:abstractNumId w:val="0"/>
  </w:num>
  <w:num w:numId="133">
    <w:abstractNumId w:val="9"/>
  </w:num>
  <w:num w:numId="134">
    <w:abstractNumId w:val="7"/>
  </w:num>
  <w:num w:numId="135">
    <w:abstractNumId w:val="6"/>
  </w:num>
  <w:num w:numId="136">
    <w:abstractNumId w:val="5"/>
  </w:num>
  <w:num w:numId="137">
    <w:abstractNumId w:val="4"/>
  </w:num>
  <w:num w:numId="138">
    <w:abstractNumId w:val="98"/>
  </w:num>
  <w:num w:numId="139">
    <w:abstractNumId w:val="549"/>
  </w:num>
  <w:num w:numId="140">
    <w:abstractNumId w:val="132"/>
  </w:num>
  <w:num w:numId="141">
    <w:abstractNumId w:val="682"/>
  </w:num>
  <w:num w:numId="142">
    <w:abstractNumId w:val="455"/>
  </w:num>
  <w:num w:numId="143">
    <w:abstractNumId w:val="57"/>
  </w:num>
  <w:num w:numId="144">
    <w:abstractNumId w:val="559"/>
  </w:num>
  <w:num w:numId="145">
    <w:abstractNumId w:val="460"/>
  </w:num>
  <w:num w:numId="146">
    <w:abstractNumId w:val="170"/>
  </w:num>
  <w:num w:numId="147">
    <w:abstractNumId w:val="624"/>
  </w:num>
  <w:num w:numId="148">
    <w:abstractNumId w:val="503"/>
  </w:num>
  <w:num w:numId="149">
    <w:abstractNumId w:val="277"/>
  </w:num>
  <w:num w:numId="150">
    <w:abstractNumId w:val="440"/>
  </w:num>
  <w:num w:numId="151">
    <w:abstractNumId w:val="281"/>
  </w:num>
  <w:num w:numId="152">
    <w:abstractNumId w:val="136"/>
  </w:num>
  <w:num w:numId="153">
    <w:abstractNumId w:val="77"/>
  </w:num>
  <w:num w:numId="154">
    <w:abstractNumId w:val="28"/>
  </w:num>
  <w:num w:numId="155">
    <w:abstractNumId w:val="584"/>
  </w:num>
  <w:num w:numId="156">
    <w:abstractNumId w:val="690"/>
  </w:num>
  <w:num w:numId="157">
    <w:abstractNumId w:val="265"/>
  </w:num>
  <w:num w:numId="158">
    <w:abstractNumId w:val="204"/>
  </w:num>
  <w:num w:numId="159">
    <w:abstractNumId w:val="138"/>
  </w:num>
  <w:num w:numId="160">
    <w:abstractNumId w:val="519"/>
  </w:num>
  <w:num w:numId="161">
    <w:abstractNumId w:val="600"/>
  </w:num>
  <w:num w:numId="162">
    <w:abstractNumId w:val="253"/>
  </w:num>
  <w:num w:numId="163">
    <w:abstractNumId w:val="613"/>
  </w:num>
  <w:num w:numId="164">
    <w:abstractNumId w:val="457"/>
  </w:num>
  <w:num w:numId="165">
    <w:abstractNumId w:val="695"/>
  </w:num>
  <w:num w:numId="166">
    <w:abstractNumId w:val="496"/>
  </w:num>
  <w:num w:numId="167">
    <w:abstractNumId w:val="527"/>
  </w:num>
  <w:num w:numId="168">
    <w:abstractNumId w:val="388"/>
  </w:num>
  <w:num w:numId="169">
    <w:abstractNumId w:val="14"/>
  </w:num>
  <w:num w:numId="170">
    <w:abstractNumId w:val="683"/>
  </w:num>
  <w:num w:numId="171">
    <w:abstractNumId w:val="352"/>
  </w:num>
  <w:num w:numId="172">
    <w:abstractNumId w:val="104"/>
  </w:num>
  <w:num w:numId="173">
    <w:abstractNumId w:val="293"/>
  </w:num>
  <w:num w:numId="174">
    <w:abstractNumId w:val="266"/>
  </w:num>
  <w:num w:numId="175">
    <w:abstractNumId w:val="10"/>
  </w:num>
  <w:num w:numId="176">
    <w:abstractNumId w:val="318"/>
  </w:num>
  <w:num w:numId="177">
    <w:abstractNumId w:val="389"/>
  </w:num>
  <w:num w:numId="178">
    <w:abstractNumId w:val="570"/>
  </w:num>
  <w:num w:numId="179">
    <w:abstractNumId w:val="282"/>
  </w:num>
  <w:num w:numId="180">
    <w:abstractNumId w:val="635"/>
  </w:num>
  <w:num w:numId="181">
    <w:abstractNumId w:val="502"/>
  </w:num>
  <w:num w:numId="182">
    <w:abstractNumId w:val="334"/>
  </w:num>
  <w:num w:numId="183">
    <w:abstractNumId w:val="611"/>
  </w:num>
  <w:num w:numId="184">
    <w:abstractNumId w:val="525"/>
  </w:num>
  <w:num w:numId="185">
    <w:abstractNumId w:val="655"/>
  </w:num>
  <w:num w:numId="186">
    <w:abstractNumId w:val="580"/>
  </w:num>
  <w:num w:numId="187">
    <w:abstractNumId w:val="568"/>
  </w:num>
  <w:num w:numId="188">
    <w:abstractNumId w:val="79"/>
  </w:num>
  <w:num w:numId="189">
    <w:abstractNumId w:val="214"/>
  </w:num>
  <w:num w:numId="190">
    <w:abstractNumId w:val="654"/>
  </w:num>
  <w:num w:numId="191">
    <w:abstractNumId w:val="599"/>
  </w:num>
  <w:num w:numId="192">
    <w:abstractNumId w:val="406"/>
  </w:num>
  <w:num w:numId="193">
    <w:abstractNumId w:val="489"/>
  </w:num>
  <w:num w:numId="194">
    <w:abstractNumId w:val="639"/>
  </w:num>
  <w:num w:numId="195">
    <w:abstractNumId w:val="244"/>
  </w:num>
  <w:num w:numId="196">
    <w:abstractNumId w:val="260"/>
  </w:num>
  <w:num w:numId="197">
    <w:abstractNumId w:val="199"/>
  </w:num>
  <w:num w:numId="198">
    <w:abstractNumId w:val="603"/>
  </w:num>
  <w:num w:numId="199">
    <w:abstractNumId w:val="438"/>
  </w:num>
  <w:num w:numId="200">
    <w:abstractNumId w:val="307"/>
  </w:num>
  <w:num w:numId="201">
    <w:abstractNumId w:val="256"/>
  </w:num>
  <w:num w:numId="202">
    <w:abstractNumId w:val="564"/>
  </w:num>
  <w:num w:numId="203">
    <w:abstractNumId w:val="231"/>
  </w:num>
  <w:num w:numId="204">
    <w:abstractNumId w:val="21"/>
  </w:num>
  <w:num w:numId="205">
    <w:abstractNumId w:val="533"/>
  </w:num>
  <w:num w:numId="206">
    <w:abstractNumId w:val="275"/>
  </w:num>
  <w:num w:numId="207">
    <w:abstractNumId w:val="314"/>
  </w:num>
  <w:num w:numId="208">
    <w:abstractNumId w:val="404"/>
  </w:num>
  <w:num w:numId="209">
    <w:abstractNumId w:val="498"/>
  </w:num>
  <w:num w:numId="210">
    <w:abstractNumId w:val="642"/>
  </w:num>
  <w:num w:numId="211">
    <w:abstractNumId w:val="43"/>
  </w:num>
  <w:num w:numId="212">
    <w:abstractNumId w:val="48"/>
  </w:num>
  <w:num w:numId="213">
    <w:abstractNumId w:val="670"/>
  </w:num>
  <w:num w:numId="214">
    <w:abstractNumId w:val="182"/>
  </w:num>
  <w:num w:numId="215">
    <w:abstractNumId w:val="439"/>
  </w:num>
  <w:num w:numId="216">
    <w:abstractNumId w:val="224"/>
  </w:num>
  <w:num w:numId="217">
    <w:abstractNumId w:val="602"/>
  </w:num>
  <w:num w:numId="218">
    <w:abstractNumId w:val="73"/>
  </w:num>
  <w:num w:numId="219">
    <w:abstractNumId w:val="288"/>
  </w:num>
  <w:num w:numId="220">
    <w:abstractNumId w:val="497"/>
  </w:num>
  <w:num w:numId="221">
    <w:abstractNumId w:val="42"/>
  </w:num>
  <w:num w:numId="222">
    <w:abstractNumId w:val="379"/>
  </w:num>
  <w:num w:numId="223">
    <w:abstractNumId w:val="385"/>
  </w:num>
  <w:num w:numId="224">
    <w:abstractNumId w:val="713"/>
  </w:num>
  <w:num w:numId="225">
    <w:abstractNumId w:val="344"/>
  </w:num>
  <w:num w:numId="226">
    <w:abstractNumId w:val="604"/>
  </w:num>
  <w:num w:numId="227">
    <w:abstractNumId w:val="657"/>
  </w:num>
  <w:num w:numId="228">
    <w:abstractNumId w:val="131"/>
  </w:num>
  <w:num w:numId="229">
    <w:abstractNumId w:val="479"/>
  </w:num>
  <w:num w:numId="230">
    <w:abstractNumId w:val="640"/>
  </w:num>
  <w:num w:numId="231">
    <w:abstractNumId w:val="386"/>
  </w:num>
  <w:num w:numId="232">
    <w:abstractNumId w:val="446"/>
  </w:num>
  <w:num w:numId="233">
    <w:abstractNumId w:val="36"/>
  </w:num>
  <w:num w:numId="234">
    <w:abstractNumId w:val="375"/>
  </w:num>
  <w:num w:numId="235">
    <w:abstractNumId w:val="245"/>
  </w:num>
  <w:num w:numId="236">
    <w:abstractNumId w:val="145"/>
  </w:num>
  <w:num w:numId="237">
    <w:abstractNumId w:val="384"/>
  </w:num>
  <w:num w:numId="238">
    <w:abstractNumId w:val="218"/>
  </w:num>
  <w:num w:numId="239">
    <w:abstractNumId w:val="249"/>
  </w:num>
  <w:num w:numId="240">
    <w:abstractNumId w:val="299"/>
  </w:num>
  <w:num w:numId="241">
    <w:abstractNumId w:val="395"/>
  </w:num>
  <w:num w:numId="242">
    <w:abstractNumId w:val="520"/>
  </w:num>
  <w:num w:numId="243">
    <w:abstractNumId w:val="165"/>
  </w:num>
  <w:num w:numId="244">
    <w:abstractNumId w:val="29"/>
  </w:num>
  <w:num w:numId="245">
    <w:abstractNumId w:val="434"/>
  </w:num>
  <w:num w:numId="246">
    <w:abstractNumId w:val="313"/>
  </w:num>
  <w:num w:numId="247">
    <w:abstractNumId w:val="572"/>
  </w:num>
  <w:num w:numId="248">
    <w:abstractNumId w:val="644"/>
  </w:num>
  <w:num w:numId="249">
    <w:abstractNumId w:val="430"/>
  </w:num>
  <w:num w:numId="250">
    <w:abstractNumId w:val="453"/>
  </w:num>
  <w:num w:numId="251">
    <w:abstractNumId w:val="346"/>
  </w:num>
  <w:num w:numId="252">
    <w:abstractNumId w:val="547"/>
  </w:num>
  <w:num w:numId="253">
    <w:abstractNumId w:val="461"/>
  </w:num>
  <w:num w:numId="254">
    <w:abstractNumId w:val="335"/>
  </w:num>
  <w:num w:numId="255">
    <w:abstractNumId w:val="128"/>
  </w:num>
  <w:num w:numId="256">
    <w:abstractNumId w:val="666"/>
  </w:num>
  <w:num w:numId="257">
    <w:abstractNumId w:val="428"/>
  </w:num>
  <w:num w:numId="258">
    <w:abstractNumId w:val="33"/>
  </w:num>
  <w:num w:numId="259">
    <w:abstractNumId w:val="92"/>
  </w:num>
  <w:num w:numId="260">
    <w:abstractNumId w:val="20"/>
  </w:num>
  <w:num w:numId="261">
    <w:abstractNumId w:val="594"/>
  </w:num>
  <w:num w:numId="262">
    <w:abstractNumId w:val="348"/>
  </w:num>
  <w:num w:numId="263">
    <w:abstractNumId w:val="571"/>
  </w:num>
  <w:num w:numId="264">
    <w:abstractNumId w:val="16"/>
  </w:num>
  <w:num w:numId="265">
    <w:abstractNumId w:val="124"/>
  </w:num>
  <w:num w:numId="266">
    <w:abstractNumId w:val="518"/>
  </w:num>
  <w:num w:numId="267">
    <w:abstractNumId w:val="560"/>
  </w:num>
  <w:num w:numId="268">
    <w:abstractNumId w:val="13"/>
  </w:num>
  <w:num w:numId="269">
    <w:abstractNumId w:val="202"/>
  </w:num>
  <w:num w:numId="270">
    <w:abstractNumId w:val="184"/>
  </w:num>
  <w:num w:numId="271">
    <w:abstractNumId w:val="522"/>
  </w:num>
  <w:num w:numId="272">
    <w:abstractNumId w:val="480"/>
  </w:num>
  <w:num w:numId="273">
    <w:abstractNumId w:val="700"/>
  </w:num>
  <w:num w:numId="274">
    <w:abstractNumId w:val="508"/>
  </w:num>
  <w:num w:numId="275">
    <w:abstractNumId w:val="303"/>
  </w:num>
  <w:num w:numId="276">
    <w:abstractNumId w:val="687"/>
  </w:num>
  <w:num w:numId="277">
    <w:abstractNumId w:val="19"/>
  </w:num>
  <w:num w:numId="278">
    <w:abstractNumId w:val="252"/>
  </w:num>
  <w:num w:numId="279">
    <w:abstractNumId w:val="607"/>
  </w:num>
  <w:num w:numId="280">
    <w:abstractNumId w:val="120"/>
  </w:num>
  <w:num w:numId="281">
    <w:abstractNumId w:val="628"/>
  </w:num>
  <w:num w:numId="282">
    <w:abstractNumId w:val="169"/>
  </w:num>
  <w:num w:numId="283">
    <w:abstractNumId w:val="93"/>
  </w:num>
  <w:num w:numId="284">
    <w:abstractNumId w:val="473"/>
  </w:num>
  <w:num w:numId="285">
    <w:abstractNumId w:val="284"/>
  </w:num>
  <w:num w:numId="286">
    <w:abstractNumId w:val="471"/>
  </w:num>
  <w:num w:numId="287">
    <w:abstractNumId w:val="672"/>
  </w:num>
  <w:num w:numId="288">
    <w:abstractNumId w:val="65"/>
  </w:num>
  <w:num w:numId="289">
    <w:abstractNumId w:val="280"/>
  </w:num>
  <w:num w:numId="290">
    <w:abstractNumId w:val="622"/>
  </w:num>
  <w:num w:numId="291">
    <w:abstractNumId w:val="630"/>
  </w:num>
  <w:num w:numId="292">
    <w:abstractNumId w:val="410"/>
  </w:num>
  <w:num w:numId="293">
    <w:abstractNumId w:val="380"/>
  </w:num>
  <w:num w:numId="294">
    <w:abstractNumId w:val="336"/>
  </w:num>
  <w:num w:numId="295">
    <w:abstractNumId w:val="86"/>
  </w:num>
  <w:num w:numId="296">
    <w:abstractNumId w:val="72"/>
  </w:num>
  <w:num w:numId="297">
    <w:abstractNumId w:val="474"/>
  </w:num>
  <w:num w:numId="298">
    <w:abstractNumId w:val="112"/>
  </w:num>
  <w:num w:numId="299">
    <w:abstractNumId w:val="623"/>
  </w:num>
  <w:num w:numId="300">
    <w:abstractNumId w:val="60"/>
  </w:num>
  <w:num w:numId="301">
    <w:abstractNumId w:val="320"/>
  </w:num>
  <w:num w:numId="302">
    <w:abstractNumId w:val="106"/>
  </w:num>
  <w:num w:numId="303">
    <w:abstractNumId w:val="139"/>
  </w:num>
  <w:num w:numId="304">
    <w:abstractNumId w:val="229"/>
  </w:num>
  <w:num w:numId="305">
    <w:abstractNumId w:val="681"/>
  </w:num>
  <w:num w:numId="306">
    <w:abstractNumId w:val="510"/>
  </w:num>
  <w:num w:numId="307">
    <w:abstractNumId w:val="304"/>
  </w:num>
  <w:num w:numId="308">
    <w:abstractNumId w:val="689"/>
  </w:num>
  <w:num w:numId="309">
    <w:abstractNumId w:val="694"/>
  </w:num>
  <w:num w:numId="310">
    <w:abstractNumId w:val="312"/>
  </w:num>
  <w:num w:numId="311">
    <w:abstractNumId w:val="331"/>
  </w:num>
  <w:num w:numId="312">
    <w:abstractNumId w:val="355"/>
  </w:num>
  <w:num w:numId="313">
    <w:abstractNumId w:val="674"/>
  </w:num>
  <w:num w:numId="314">
    <w:abstractNumId w:val="118"/>
  </w:num>
  <w:num w:numId="315">
    <w:abstractNumId w:val="447"/>
  </w:num>
  <w:num w:numId="316">
    <w:abstractNumId w:val="96"/>
  </w:num>
  <w:num w:numId="317">
    <w:abstractNumId w:val="427"/>
  </w:num>
  <w:num w:numId="318">
    <w:abstractNumId w:val="418"/>
  </w:num>
  <w:num w:numId="319">
    <w:abstractNumId w:val="392"/>
  </w:num>
  <w:num w:numId="320">
    <w:abstractNumId w:val="679"/>
  </w:num>
  <w:num w:numId="321">
    <w:abstractNumId w:val="610"/>
  </w:num>
  <w:num w:numId="322">
    <w:abstractNumId w:val="197"/>
  </w:num>
  <w:num w:numId="323">
    <w:abstractNumId w:val="311"/>
  </w:num>
  <w:num w:numId="324">
    <w:abstractNumId w:val="213"/>
  </w:num>
  <w:num w:numId="325">
    <w:abstractNumId w:val="540"/>
  </w:num>
  <w:num w:numId="326">
    <w:abstractNumId w:val="416"/>
  </w:num>
  <w:num w:numId="327">
    <w:abstractNumId w:val="99"/>
  </w:num>
  <w:num w:numId="328">
    <w:abstractNumId w:val="148"/>
  </w:num>
  <w:num w:numId="329">
    <w:abstractNumId w:val="254"/>
  </w:num>
  <w:num w:numId="330">
    <w:abstractNumId w:val="203"/>
  </w:num>
  <w:num w:numId="331">
    <w:abstractNumId w:val="174"/>
  </w:num>
  <w:num w:numId="332">
    <w:abstractNumId w:val="26"/>
  </w:num>
  <w:num w:numId="333">
    <w:abstractNumId w:val="608"/>
  </w:num>
  <w:num w:numId="334">
    <w:abstractNumId w:val="269"/>
  </w:num>
  <w:num w:numId="335">
    <w:abstractNumId w:val="452"/>
  </w:num>
  <w:num w:numId="336">
    <w:abstractNumId w:val="668"/>
  </w:num>
  <w:num w:numId="337">
    <w:abstractNumId w:val="142"/>
  </w:num>
  <w:num w:numId="338">
    <w:abstractNumId w:val="343"/>
  </w:num>
  <w:num w:numId="339">
    <w:abstractNumId w:val="618"/>
  </w:num>
  <w:num w:numId="340">
    <w:abstractNumId w:val="71"/>
  </w:num>
  <w:num w:numId="341">
    <w:abstractNumId w:val="143"/>
  </w:num>
  <w:num w:numId="342">
    <w:abstractNumId w:val="223"/>
  </w:num>
  <w:num w:numId="343">
    <w:abstractNumId w:val="39"/>
  </w:num>
  <w:num w:numId="344">
    <w:abstractNumId w:val="201"/>
  </w:num>
  <w:num w:numId="345">
    <w:abstractNumId w:val="412"/>
  </w:num>
  <w:num w:numId="346">
    <w:abstractNumId w:val="188"/>
  </w:num>
  <w:num w:numId="347">
    <w:abstractNumId w:val="64"/>
  </w:num>
  <w:num w:numId="348">
    <w:abstractNumId w:val="493"/>
  </w:num>
  <w:num w:numId="349">
    <w:abstractNumId w:val="597"/>
  </w:num>
  <w:num w:numId="350">
    <w:abstractNumId w:val="529"/>
  </w:num>
  <w:num w:numId="351">
    <w:abstractNumId w:val="415"/>
  </w:num>
  <w:num w:numId="352">
    <w:abstractNumId w:val="212"/>
  </w:num>
  <w:num w:numId="353">
    <w:abstractNumId w:val="662"/>
  </w:num>
  <w:num w:numId="354">
    <w:abstractNumId w:val="609"/>
  </w:num>
  <w:num w:numId="355">
    <w:abstractNumId w:val="225"/>
  </w:num>
  <w:num w:numId="356">
    <w:abstractNumId w:val="499"/>
  </w:num>
  <w:num w:numId="357">
    <w:abstractNumId w:val="667"/>
  </w:num>
  <w:num w:numId="358">
    <w:abstractNumId w:val="240"/>
  </w:num>
  <w:num w:numId="359">
    <w:abstractNumId w:val="297"/>
  </w:num>
  <w:num w:numId="360">
    <w:abstractNumId w:val="409"/>
  </w:num>
  <w:num w:numId="361">
    <w:abstractNumId w:val="333"/>
  </w:num>
  <w:num w:numId="362">
    <w:abstractNumId w:val="660"/>
  </w:num>
  <w:num w:numId="363">
    <w:abstractNumId w:val="146"/>
  </w:num>
  <w:num w:numId="364">
    <w:abstractNumId w:val="582"/>
  </w:num>
  <w:num w:numId="365">
    <w:abstractNumId w:val="577"/>
  </w:num>
  <w:num w:numId="366">
    <w:abstractNumId w:val="22"/>
  </w:num>
  <w:num w:numId="367">
    <w:abstractNumId w:val="469"/>
  </w:num>
  <w:num w:numId="368">
    <w:abstractNumId w:val="248"/>
  </w:num>
  <w:num w:numId="369">
    <w:abstractNumId w:val="625"/>
  </w:num>
  <w:num w:numId="370">
    <w:abstractNumId w:val="339"/>
  </w:num>
  <w:num w:numId="371">
    <w:abstractNumId w:val="464"/>
  </w:num>
  <w:num w:numId="372">
    <w:abstractNumId w:val="378"/>
  </w:num>
  <w:num w:numId="373">
    <w:abstractNumId w:val="561"/>
  </w:num>
  <w:num w:numId="374">
    <w:abstractNumId w:val="37"/>
  </w:num>
  <w:num w:numId="375">
    <w:abstractNumId w:val="692"/>
  </w:num>
  <w:num w:numId="376">
    <w:abstractNumId w:val="62"/>
  </w:num>
  <w:num w:numId="377">
    <w:abstractNumId w:val="220"/>
  </w:num>
  <w:num w:numId="378">
    <w:abstractNumId w:val="714"/>
  </w:num>
  <w:num w:numId="379">
    <w:abstractNumId w:val="441"/>
  </w:num>
  <w:num w:numId="380">
    <w:abstractNumId w:val="422"/>
  </w:num>
  <w:num w:numId="381">
    <w:abstractNumId w:val="181"/>
  </w:num>
  <w:num w:numId="382">
    <w:abstractNumId w:val="242"/>
  </w:num>
  <w:num w:numId="383">
    <w:abstractNumId w:val="301"/>
  </w:num>
  <w:num w:numId="384">
    <w:abstractNumId w:val="546"/>
  </w:num>
  <w:num w:numId="385">
    <w:abstractNumId w:val="257"/>
  </w:num>
  <w:num w:numId="386">
    <w:abstractNumId w:val="208"/>
  </w:num>
  <w:num w:numId="387">
    <w:abstractNumId w:val="208"/>
    <w:lvlOverride w:ilvl="0"/>
    <w:lvlOverride w:ilvl="1"/>
    <w:lvlOverride w:ilvl="2"/>
    <w:lvlOverride w:ilvl="3"/>
    <w:lvlOverride w:ilvl="4"/>
    <w:lvlOverride w:ilvl="5"/>
    <w:lvlOverride w:ilvl="6"/>
    <w:lvlOverride w:ilvl="7"/>
    <w:lvlOverride w:ilvl="8"/>
  </w:num>
  <w:num w:numId="388">
    <w:abstractNumId w:val="177"/>
  </w:num>
  <w:num w:numId="389">
    <w:abstractNumId w:val="109"/>
  </w:num>
  <w:num w:numId="390">
    <w:abstractNumId w:val="258"/>
  </w:num>
  <w:num w:numId="391">
    <w:abstractNumId w:val="208"/>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392">
    <w:abstractNumId w:val="504"/>
  </w:num>
  <w:num w:numId="393">
    <w:abstractNumId w:val="115"/>
  </w:num>
  <w:num w:numId="394">
    <w:abstractNumId w:val="633"/>
  </w:num>
  <w:num w:numId="395">
    <w:abstractNumId w:val="6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6">
    <w:abstractNumId w:val="633"/>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7">
    <w:abstractNumId w:val="278"/>
  </w:num>
  <w:num w:numId="398">
    <w:abstractNumId w:val="487"/>
  </w:num>
  <w:num w:numId="399">
    <w:abstractNumId w:val="15"/>
  </w:num>
  <w:num w:numId="400">
    <w:abstractNumId w:val="484"/>
  </w:num>
  <w:num w:numId="401">
    <w:abstractNumId w:val="591"/>
  </w:num>
  <w:num w:numId="402">
    <w:abstractNumId w:val="693"/>
  </w:num>
  <w:num w:numId="403">
    <w:abstractNumId w:val="340"/>
  </w:num>
  <w:num w:numId="404">
    <w:abstractNumId w:val="166"/>
  </w:num>
  <w:num w:numId="405">
    <w:abstractNumId w:val="659"/>
  </w:num>
  <w:num w:numId="406">
    <w:abstractNumId w:val="481"/>
  </w:num>
  <w:num w:numId="407">
    <w:abstractNumId w:val="381"/>
  </w:num>
  <w:num w:numId="408">
    <w:abstractNumId w:val="402"/>
  </w:num>
  <w:num w:numId="409">
    <w:abstractNumId w:val="555"/>
  </w:num>
  <w:num w:numId="410">
    <w:abstractNumId w:val="601"/>
  </w:num>
  <w:num w:numId="411">
    <w:abstractNumId w:val="553"/>
  </w:num>
  <w:num w:numId="412">
    <w:abstractNumId w:val="153"/>
  </w:num>
  <w:num w:numId="413">
    <w:abstractNumId w:val="506"/>
  </w:num>
  <w:num w:numId="414">
    <w:abstractNumId w:val="680"/>
  </w:num>
  <w:num w:numId="415">
    <w:abstractNumId w:val="705"/>
  </w:num>
  <w:num w:numId="416">
    <w:abstractNumId w:val="47"/>
  </w:num>
  <w:num w:numId="417">
    <w:abstractNumId w:val="56"/>
  </w:num>
  <w:num w:numId="418">
    <w:abstractNumId w:val="573"/>
  </w:num>
  <w:num w:numId="419">
    <w:abstractNumId w:val="88"/>
  </w:num>
  <w:num w:numId="420">
    <w:abstractNumId w:val="614"/>
  </w:num>
  <w:num w:numId="421">
    <w:abstractNumId w:val="157"/>
  </w:num>
  <w:num w:numId="422">
    <w:abstractNumId w:val="189"/>
  </w:num>
  <w:num w:numId="423">
    <w:abstractNumId w:val="432"/>
  </w:num>
  <w:num w:numId="424">
    <w:abstractNumId w:val="697"/>
  </w:num>
  <w:num w:numId="425">
    <w:abstractNumId w:val="239"/>
  </w:num>
  <w:num w:numId="426">
    <w:abstractNumId w:val="509"/>
  </w:num>
  <w:num w:numId="427">
    <w:abstractNumId w:val="70"/>
  </w:num>
  <w:num w:numId="428">
    <w:abstractNumId w:val="351"/>
  </w:num>
  <w:num w:numId="429">
    <w:abstractNumId w:val="191"/>
  </w:num>
  <w:num w:numId="430">
    <w:abstractNumId w:val="24"/>
  </w:num>
  <w:num w:numId="431">
    <w:abstractNumId w:val="394"/>
  </w:num>
  <w:num w:numId="432">
    <w:abstractNumId w:val="566"/>
  </w:num>
  <w:num w:numId="433">
    <w:abstractNumId w:val="263"/>
  </w:num>
  <w:num w:numId="434">
    <w:abstractNumId w:val="144"/>
  </w:num>
  <w:num w:numId="435">
    <w:abstractNumId w:val="217"/>
  </w:num>
  <w:num w:numId="436">
    <w:abstractNumId w:val="317"/>
  </w:num>
  <w:num w:numId="437">
    <w:abstractNumId w:val="712"/>
  </w:num>
  <w:num w:numId="438">
    <w:abstractNumId w:val="703"/>
  </w:num>
  <w:num w:numId="439">
    <w:abstractNumId w:val="329"/>
  </w:num>
  <w:num w:numId="440">
    <w:abstractNumId w:val="442"/>
  </w:num>
  <w:num w:numId="441">
    <w:abstractNumId w:val="95"/>
  </w:num>
  <w:num w:numId="442">
    <w:abstractNumId w:val="68"/>
  </w:num>
  <w:num w:numId="443">
    <w:abstractNumId w:val="63"/>
  </w:num>
  <w:num w:numId="444">
    <w:abstractNumId w:val="125"/>
  </w:num>
  <w:num w:numId="445">
    <w:abstractNumId w:val="423"/>
  </w:num>
  <w:num w:numId="446">
    <w:abstractNumId w:val="677"/>
  </w:num>
  <w:num w:numId="447">
    <w:abstractNumId w:val="306"/>
  </w:num>
  <w:num w:numId="448">
    <w:abstractNumId w:val="691"/>
  </w:num>
  <w:num w:numId="449">
    <w:abstractNumId w:val="686"/>
  </w:num>
  <w:num w:numId="450">
    <w:abstractNumId w:val="130"/>
  </w:num>
  <w:num w:numId="451">
    <w:abstractNumId w:val="327"/>
  </w:num>
  <w:num w:numId="452">
    <w:abstractNumId w:val="162"/>
  </w:num>
  <w:num w:numId="453">
    <w:abstractNumId w:val="276"/>
  </w:num>
  <w:num w:numId="454">
    <w:abstractNumId w:val="414"/>
  </w:num>
  <w:num w:numId="455">
    <w:abstractNumId w:val="114"/>
  </w:num>
  <w:num w:numId="456">
    <w:abstractNumId w:val="636"/>
  </w:num>
  <w:num w:numId="457">
    <w:abstractNumId w:val="296"/>
  </w:num>
  <w:num w:numId="458">
    <w:abstractNumId w:val="450"/>
  </w:num>
  <w:num w:numId="459">
    <w:abstractNumId w:val="129"/>
  </w:num>
  <w:num w:numId="460">
    <w:abstractNumId w:val="578"/>
  </w:num>
  <w:num w:numId="461">
    <w:abstractNumId w:val="396"/>
  </w:num>
  <w:num w:numId="462">
    <w:abstractNumId w:val="84"/>
  </w:num>
  <w:num w:numId="463">
    <w:abstractNumId w:val="353"/>
  </w:num>
  <w:num w:numId="464">
    <w:abstractNumId w:val="69"/>
  </w:num>
  <w:num w:numId="465">
    <w:abstractNumId w:val="66"/>
  </w:num>
  <w:num w:numId="466">
    <w:abstractNumId w:val="103"/>
  </w:num>
  <w:num w:numId="467">
    <w:abstractNumId w:val="241"/>
  </w:num>
  <w:num w:numId="468">
    <w:abstractNumId w:val="458"/>
  </w:num>
  <w:num w:numId="469">
    <w:abstractNumId w:val="678"/>
  </w:num>
  <w:num w:numId="470">
    <w:abstractNumId w:val="81"/>
  </w:num>
  <w:num w:numId="471">
    <w:abstractNumId w:val="45"/>
  </w:num>
  <w:num w:numId="472">
    <w:abstractNumId w:val="332"/>
  </w:num>
  <w:num w:numId="473">
    <w:abstractNumId w:val="163"/>
  </w:num>
  <w:num w:numId="474">
    <w:abstractNumId w:val="292"/>
  </w:num>
  <w:num w:numId="475">
    <w:abstractNumId w:val="149"/>
  </w:num>
  <w:num w:numId="476">
    <w:abstractNumId w:val="408"/>
  </w:num>
  <w:num w:numId="477">
    <w:abstractNumId w:val="645"/>
  </w:num>
  <w:num w:numId="478">
    <w:abstractNumId w:val="152"/>
  </w:num>
  <w:num w:numId="479">
    <w:abstractNumId w:val="286"/>
  </w:num>
  <w:num w:numId="480">
    <w:abstractNumId w:val="466"/>
  </w:num>
  <w:num w:numId="481">
    <w:abstractNumId w:val="251"/>
  </w:num>
  <w:num w:numId="482">
    <w:abstractNumId w:val="557"/>
  </w:num>
  <w:num w:numId="483">
    <w:abstractNumId w:val="328"/>
  </w:num>
  <w:num w:numId="484">
    <w:abstractNumId w:val="665"/>
  </w:num>
  <w:num w:numId="485">
    <w:abstractNumId w:val="488"/>
  </w:num>
  <w:num w:numId="486">
    <w:abstractNumId w:val="373"/>
  </w:num>
  <w:num w:numId="487">
    <w:abstractNumId w:val="548"/>
  </w:num>
  <w:num w:numId="488">
    <w:abstractNumId w:val="25"/>
  </w:num>
  <w:num w:numId="489">
    <w:abstractNumId w:val="309"/>
  </w:num>
  <w:num w:numId="490">
    <w:abstractNumId w:val="135"/>
  </w:num>
  <w:num w:numId="491">
    <w:abstractNumId w:val="581"/>
  </w:num>
  <w:num w:numId="492">
    <w:abstractNumId w:val="526"/>
  </w:num>
  <w:num w:numId="493">
    <w:abstractNumId w:val="383"/>
  </w:num>
  <w:num w:numId="494">
    <w:abstractNumId w:val="111"/>
  </w:num>
  <w:num w:numId="495">
    <w:abstractNumId w:val="41"/>
  </w:num>
  <w:num w:numId="496">
    <w:abstractNumId w:val="393"/>
  </w:num>
  <w:num w:numId="497">
    <w:abstractNumId w:val="708"/>
  </w:num>
  <w:num w:numId="498">
    <w:abstractNumId w:val="154"/>
  </w:num>
  <w:num w:numId="499">
    <w:abstractNumId w:val="579"/>
  </w:num>
  <w:num w:numId="500">
    <w:abstractNumId w:val="524"/>
  </w:num>
  <w:num w:numId="501">
    <w:abstractNumId w:val="649"/>
  </w:num>
  <w:num w:numId="502">
    <w:abstractNumId w:val="456"/>
  </w:num>
  <w:num w:numId="503">
    <w:abstractNumId w:val="324"/>
  </w:num>
  <w:num w:numId="504">
    <w:abstractNumId w:val="646"/>
  </w:num>
  <w:num w:numId="505">
    <w:abstractNumId w:val="556"/>
  </w:num>
  <w:num w:numId="506">
    <w:abstractNumId w:val="538"/>
  </w:num>
  <w:num w:numId="507">
    <w:abstractNumId w:val="250"/>
  </w:num>
  <w:num w:numId="508">
    <w:abstractNumId w:val="59"/>
  </w:num>
  <w:num w:numId="509">
    <w:abstractNumId w:val="193"/>
  </w:num>
  <w:num w:numId="510">
    <w:abstractNumId w:val="531"/>
  </w:num>
  <w:num w:numId="511">
    <w:abstractNumId w:val="444"/>
  </w:num>
  <w:num w:numId="512">
    <w:abstractNumId w:val="638"/>
  </w:num>
  <w:num w:numId="513">
    <w:abstractNumId w:val="27"/>
  </w:num>
  <w:num w:numId="514">
    <w:abstractNumId w:val="209"/>
  </w:num>
  <w:num w:numId="515">
    <w:abstractNumId w:val="158"/>
  </w:num>
  <w:num w:numId="516">
    <w:abstractNumId w:val="61"/>
  </w:num>
  <w:num w:numId="517">
    <w:abstractNumId w:val="482"/>
  </w:num>
  <w:num w:numId="518">
    <w:abstractNumId w:val="190"/>
  </w:num>
  <w:num w:numId="519">
    <w:abstractNumId w:val="656"/>
  </w:num>
  <w:num w:numId="520">
    <w:abstractNumId w:val="198"/>
  </w:num>
  <w:num w:numId="521">
    <w:abstractNumId w:val="648"/>
  </w:num>
  <w:num w:numId="522">
    <w:abstractNumId w:val="35"/>
  </w:num>
  <w:num w:numId="523">
    <w:abstractNumId w:val="550"/>
  </w:num>
  <w:num w:numId="524">
    <w:abstractNumId w:val="451"/>
  </w:num>
  <w:num w:numId="525">
    <w:abstractNumId w:val="576"/>
  </w:num>
  <w:num w:numId="526">
    <w:abstractNumId w:val="268"/>
  </w:num>
  <w:num w:numId="527">
    <w:abstractNumId w:val="606"/>
  </w:num>
  <w:num w:numId="528">
    <w:abstractNumId w:val="200"/>
  </w:num>
  <w:num w:numId="529">
    <w:abstractNumId w:val="651"/>
  </w:num>
  <w:num w:numId="530">
    <w:abstractNumId w:val="210"/>
  </w:num>
  <w:num w:numId="531">
    <w:abstractNumId w:val="179"/>
  </w:num>
  <w:num w:numId="532">
    <w:abstractNumId w:val="150"/>
  </w:num>
  <w:num w:numId="533">
    <w:abstractNumId w:val="246"/>
  </w:num>
  <w:num w:numId="534">
    <w:abstractNumId w:val="12"/>
  </w:num>
  <w:num w:numId="535">
    <w:abstractNumId w:val="316"/>
  </w:num>
  <w:num w:numId="536">
    <w:abstractNumId w:val="631"/>
  </w:num>
  <w:num w:numId="537">
    <w:abstractNumId w:val="478"/>
  </w:num>
  <w:num w:numId="538">
    <w:abstractNumId w:val="551"/>
  </w:num>
  <w:num w:numId="539">
    <w:abstractNumId w:val="17"/>
  </w:num>
  <w:num w:numId="540">
    <w:abstractNumId w:val="470"/>
  </w:num>
  <w:num w:numId="541">
    <w:abstractNumId w:val="537"/>
  </w:num>
  <w:num w:numId="542">
    <w:abstractNumId w:val="590"/>
  </w:num>
  <w:num w:numId="543">
    <w:abstractNumId w:val="11"/>
  </w:num>
  <w:num w:numId="544">
    <w:abstractNumId w:val="261"/>
  </w:num>
  <w:num w:numId="545">
    <w:abstractNumId w:val="58"/>
  </w:num>
  <w:num w:numId="546">
    <w:abstractNumId w:val="105"/>
  </w:num>
  <w:num w:numId="547">
    <w:abstractNumId w:val="178"/>
  </w:num>
  <w:num w:numId="548">
    <w:abstractNumId w:val="530"/>
  </w:num>
  <w:num w:numId="549">
    <w:abstractNumId w:val="171"/>
  </w:num>
  <w:num w:numId="550">
    <w:abstractNumId w:val="75"/>
  </w:num>
  <w:num w:numId="551">
    <w:abstractNumId w:val="347"/>
  </w:num>
  <w:num w:numId="552">
    <w:abstractNumId w:val="696"/>
  </w:num>
  <w:num w:numId="553">
    <w:abstractNumId w:val="490"/>
  </w:num>
  <w:num w:numId="554">
    <w:abstractNumId w:val="31"/>
  </w:num>
  <w:num w:numId="555">
    <w:abstractNumId w:val="616"/>
  </w:num>
  <w:num w:numId="556">
    <w:abstractNumId w:val="273"/>
  </w:num>
  <w:num w:numId="557">
    <w:abstractNumId w:val="558"/>
  </w:num>
  <w:num w:numId="558">
    <w:abstractNumId w:val="663"/>
  </w:num>
  <w:num w:numId="559">
    <w:abstractNumId w:val="399"/>
  </w:num>
  <w:num w:numId="560">
    <w:abstractNumId w:val="720"/>
  </w:num>
  <w:num w:numId="561">
    <w:abstractNumId w:val="226"/>
  </w:num>
  <w:num w:numId="562">
    <w:abstractNumId w:val="172"/>
  </w:num>
  <w:num w:numId="563">
    <w:abstractNumId w:val="617"/>
  </w:num>
  <w:num w:numId="564">
    <w:abstractNumId w:val="413"/>
  </w:num>
  <w:num w:numId="565">
    <w:abstractNumId w:val="653"/>
  </w:num>
  <w:num w:numId="566">
    <w:abstractNumId w:val="264"/>
  </w:num>
  <w:num w:numId="567">
    <w:abstractNumId w:val="46"/>
  </w:num>
  <w:num w:numId="568">
    <w:abstractNumId w:val="411"/>
  </w:num>
  <w:num w:numId="569">
    <w:abstractNumId w:val="338"/>
  </w:num>
  <w:num w:numId="570">
    <w:abstractNumId w:val="536"/>
  </w:num>
  <w:num w:numId="571">
    <w:abstractNumId w:val="637"/>
  </w:num>
  <w:num w:numId="572">
    <w:abstractNumId w:val="516"/>
  </w:num>
  <w:num w:numId="573">
    <w:abstractNumId w:val="675"/>
  </w:num>
  <w:num w:numId="574">
    <w:abstractNumId w:val="552"/>
  </w:num>
  <w:num w:numId="575">
    <w:abstractNumId w:val="363"/>
  </w:num>
  <w:num w:numId="576">
    <w:abstractNumId w:val="122"/>
  </w:num>
  <w:num w:numId="577">
    <w:abstractNumId w:val="567"/>
  </w:num>
  <w:num w:numId="578">
    <w:abstractNumId w:val="82"/>
  </w:num>
  <w:num w:numId="579">
    <w:abstractNumId w:val="661"/>
  </w:num>
  <w:num w:numId="580">
    <w:abstractNumId w:val="227"/>
  </w:num>
  <w:num w:numId="581">
    <w:abstractNumId w:val="187"/>
  </w:num>
  <w:num w:numId="582">
    <w:abstractNumId w:val="167"/>
  </w:num>
  <w:num w:numId="583">
    <w:abstractNumId w:val="491"/>
  </w:num>
  <w:num w:numId="584">
    <w:abstractNumId w:val="186"/>
  </w:num>
  <w:num w:numId="585">
    <w:abstractNumId w:val="621"/>
  </w:num>
  <w:num w:numId="586">
    <w:abstractNumId w:val="403"/>
  </w:num>
  <w:num w:numId="587">
    <w:abstractNumId w:val="176"/>
  </w:num>
  <w:num w:numId="588">
    <w:abstractNumId w:val="51"/>
  </w:num>
  <w:num w:numId="589">
    <w:abstractNumId w:val="354"/>
  </w:num>
  <w:num w:numId="590">
    <w:abstractNumId w:val="90"/>
  </w:num>
  <w:num w:numId="591">
    <w:abstractNumId w:val="137"/>
  </w:num>
  <w:num w:numId="592">
    <w:abstractNumId w:val="575"/>
  </w:num>
  <w:num w:numId="593">
    <w:abstractNumId w:val="612"/>
  </w:num>
  <w:num w:numId="594">
    <w:abstractNumId w:val="133"/>
  </w:num>
  <w:num w:numId="595">
    <w:abstractNumId w:val="216"/>
  </w:num>
  <w:num w:numId="596">
    <w:abstractNumId w:val="80"/>
  </w:num>
  <w:num w:numId="597">
    <w:abstractNumId w:val="483"/>
  </w:num>
  <w:num w:numId="598">
    <w:abstractNumId w:val="377"/>
  </w:num>
  <w:num w:numId="599">
    <w:abstractNumId w:val="274"/>
  </w:num>
  <w:num w:numId="600">
    <w:abstractNumId w:val="371"/>
  </w:num>
  <w:num w:numId="601">
    <w:abstractNumId w:val="305"/>
  </w:num>
  <w:num w:numId="602">
    <w:abstractNumId w:val="236"/>
  </w:num>
  <w:num w:numId="603">
    <w:abstractNumId w:val="495"/>
  </w:num>
  <w:num w:numId="604">
    <w:abstractNumId w:val="40"/>
  </w:num>
  <w:num w:numId="605">
    <w:abstractNumId w:val="206"/>
  </w:num>
  <w:num w:numId="606">
    <w:abstractNumId w:val="30"/>
  </w:num>
  <w:num w:numId="607">
    <w:abstractNumId w:val="539"/>
  </w:num>
  <w:num w:numId="608">
    <w:abstractNumId w:val="38"/>
  </w:num>
  <w:num w:numId="609">
    <w:abstractNumId w:val="117"/>
  </w:num>
  <w:num w:numId="610">
    <w:abstractNumId w:val="534"/>
  </w:num>
  <w:num w:numId="611">
    <w:abstractNumId w:val="569"/>
  </w:num>
  <w:num w:numId="612">
    <w:abstractNumId w:val="507"/>
  </w:num>
  <w:num w:numId="613">
    <w:abstractNumId w:val="596"/>
  </w:num>
  <w:num w:numId="614">
    <w:abstractNumId w:val="195"/>
  </w:num>
  <w:num w:numId="615">
    <w:abstractNumId w:val="433"/>
  </w:num>
  <w:num w:numId="616">
    <w:abstractNumId w:val="160"/>
  </w:num>
  <w:num w:numId="617">
    <w:abstractNumId w:val="467"/>
  </w:num>
  <w:num w:numId="618">
    <w:abstractNumId w:val="405"/>
  </w:num>
  <w:num w:numId="619">
    <w:abstractNumId w:val="221"/>
  </w:num>
  <w:num w:numId="620">
    <w:abstractNumId w:val="706"/>
  </w:num>
  <w:num w:numId="621">
    <w:abstractNumId w:val="528"/>
  </w:num>
  <w:num w:numId="622">
    <w:abstractNumId w:val="156"/>
  </w:num>
  <w:num w:numId="623">
    <w:abstractNumId w:val="544"/>
  </w:num>
  <w:num w:numId="624">
    <w:abstractNumId w:val="113"/>
  </w:num>
  <w:num w:numId="625">
    <w:abstractNumId w:val="592"/>
  </w:num>
  <w:num w:numId="626">
    <w:abstractNumId w:val="505"/>
  </w:num>
  <w:num w:numId="627">
    <w:abstractNumId w:val="652"/>
  </w:num>
  <w:num w:numId="628">
    <w:abstractNumId w:val="234"/>
  </w:num>
  <w:num w:numId="629">
    <w:abstractNumId w:val="462"/>
  </w:num>
  <w:num w:numId="630">
    <w:abstractNumId w:val="270"/>
  </w:num>
  <w:num w:numId="631">
    <w:abstractNumId w:val="44"/>
  </w:num>
  <w:num w:numId="632">
    <w:abstractNumId w:val="436"/>
  </w:num>
  <w:num w:numId="633">
    <w:abstractNumId w:val="501"/>
  </w:num>
  <w:num w:numId="634">
    <w:abstractNumId w:val="468"/>
  </w:num>
  <w:num w:numId="635">
    <w:abstractNumId w:val="424"/>
  </w:num>
  <w:num w:numId="636">
    <w:abstractNumId w:val="357"/>
  </w:num>
  <w:num w:numId="637">
    <w:abstractNumId w:val="337"/>
  </w:num>
  <w:num w:numId="638">
    <w:abstractNumId w:val="477"/>
  </w:num>
  <w:num w:numId="639">
    <w:abstractNumId w:val="196"/>
  </w:num>
  <w:num w:numId="640">
    <w:abstractNumId w:val="272"/>
  </w:num>
  <w:num w:numId="641">
    <w:abstractNumId w:val="323"/>
  </w:num>
  <w:num w:numId="642">
    <w:abstractNumId w:val="52"/>
  </w:num>
  <w:num w:numId="643">
    <w:abstractNumId w:val="595"/>
  </w:num>
  <w:num w:numId="644">
    <w:abstractNumId w:val="673"/>
  </w:num>
  <w:num w:numId="645">
    <w:abstractNumId w:val="359"/>
  </w:num>
  <w:num w:numId="646">
    <w:abstractNumId w:val="717"/>
  </w:num>
  <w:num w:numId="647">
    <w:abstractNumId w:val="511"/>
  </w:num>
  <w:num w:numId="648">
    <w:abstractNumId w:val="647"/>
  </w:num>
  <w:num w:numId="649">
    <w:abstractNumId w:val="515"/>
  </w:num>
  <w:num w:numId="650">
    <w:abstractNumId w:val="287"/>
  </w:num>
  <w:num w:numId="651">
    <w:abstractNumId w:val="54"/>
  </w:num>
  <w:num w:numId="652">
    <w:abstractNumId w:val="121"/>
  </w:num>
  <w:num w:numId="653">
    <w:abstractNumId w:val="211"/>
  </w:num>
  <w:num w:numId="654">
    <w:abstractNumId w:val="676"/>
  </w:num>
  <w:num w:numId="655">
    <w:abstractNumId w:val="492"/>
  </w:num>
  <w:num w:numId="656">
    <w:abstractNumId w:val="34"/>
  </w:num>
  <w:num w:numId="657">
    <w:abstractNumId w:val="326"/>
  </w:num>
  <w:num w:numId="658">
    <w:abstractNumId w:val="185"/>
  </w:num>
  <w:num w:numId="659">
    <w:abstractNumId w:val="325"/>
  </w:num>
  <w:num w:numId="660">
    <w:abstractNumId w:val="168"/>
  </w:num>
  <w:num w:numId="661">
    <w:abstractNumId w:val="228"/>
  </w:num>
  <w:num w:numId="662">
    <w:abstractNumId w:val="300"/>
  </w:num>
  <w:num w:numId="663">
    <w:abstractNumId w:val="425"/>
  </w:num>
  <w:num w:numId="664">
    <w:abstractNumId w:val="586"/>
  </w:num>
  <w:num w:numId="665">
    <w:abstractNumId w:val="97"/>
  </w:num>
  <w:num w:numId="666">
    <w:abstractNumId w:val="342"/>
  </w:num>
  <w:num w:numId="667">
    <w:abstractNumId w:val="308"/>
  </w:num>
  <w:num w:numId="668">
    <w:abstractNumId w:val="183"/>
  </w:num>
  <w:num w:numId="669">
    <w:abstractNumId w:val="454"/>
  </w:num>
  <w:num w:numId="670">
    <w:abstractNumId w:val="634"/>
  </w:num>
  <w:num w:numId="671">
    <w:abstractNumId w:val="387"/>
  </w:num>
  <w:num w:numId="672">
    <w:abstractNumId w:val="437"/>
  </w:num>
  <w:num w:numId="673">
    <w:abstractNumId w:val="632"/>
  </w:num>
  <w:num w:numId="674">
    <w:abstractNumId w:val="494"/>
  </w:num>
  <w:num w:numId="675">
    <w:abstractNumId w:val="330"/>
  </w:num>
  <w:num w:numId="676">
    <w:abstractNumId w:val="716"/>
  </w:num>
  <w:num w:numId="677">
    <w:abstractNumId w:val="243"/>
  </w:num>
  <w:num w:numId="678">
    <w:abstractNumId w:val="116"/>
  </w:num>
  <w:num w:numId="679">
    <w:abstractNumId w:val="627"/>
  </w:num>
  <w:num w:numId="680">
    <w:abstractNumId w:val="262"/>
  </w:num>
  <w:num w:numId="681">
    <w:abstractNumId w:val="541"/>
  </w:num>
  <w:num w:numId="682">
    <w:abstractNumId w:val="134"/>
  </w:num>
  <w:num w:numId="683">
    <w:abstractNumId w:val="605"/>
  </w:num>
  <w:num w:numId="684">
    <w:abstractNumId w:val="523"/>
  </w:num>
  <w:num w:numId="685">
    <w:abstractNumId w:val="485"/>
  </w:num>
  <w:num w:numId="686">
    <w:abstractNumId w:val="543"/>
  </w:num>
  <w:num w:numId="687">
    <w:abstractNumId w:val="298"/>
  </w:num>
  <w:num w:numId="688">
    <w:abstractNumId w:val="126"/>
  </w:num>
  <w:num w:numId="689">
    <w:abstractNumId w:val="620"/>
  </w:num>
  <w:num w:numId="690">
    <w:abstractNumId w:val="207"/>
  </w:num>
  <w:num w:numId="691">
    <w:abstractNumId w:val="715"/>
  </w:num>
  <w:num w:numId="692">
    <w:abstractNumId w:val="369"/>
  </w:num>
  <w:num w:numId="693">
    <w:abstractNumId w:val="32"/>
  </w:num>
  <w:num w:numId="694">
    <w:abstractNumId w:val="475"/>
  </w:num>
  <w:num w:numId="695">
    <w:abstractNumId w:val="397"/>
  </w:num>
  <w:num w:numId="696">
    <w:abstractNumId w:val="322"/>
  </w:num>
  <w:num w:numId="697">
    <w:abstractNumId w:val="629"/>
  </w:num>
  <w:num w:numId="698">
    <w:abstractNumId w:val="641"/>
  </w:num>
  <w:num w:numId="699">
    <w:abstractNumId w:val="283"/>
  </w:num>
  <w:num w:numId="700">
    <w:abstractNumId w:val="108"/>
  </w:num>
  <w:num w:numId="701">
    <w:abstractNumId w:val="350"/>
  </w:num>
  <w:num w:numId="702">
    <w:abstractNumId w:val="85"/>
  </w:num>
  <w:num w:numId="703">
    <w:abstractNumId w:val="192"/>
  </w:num>
  <w:num w:numId="704">
    <w:abstractNumId w:val="420"/>
  </w:num>
  <w:num w:numId="705">
    <w:abstractNumId w:val="238"/>
  </w:num>
  <w:num w:numId="706">
    <w:abstractNumId w:val="465"/>
  </w:num>
  <w:num w:numId="707">
    <w:abstractNumId w:val="285"/>
  </w:num>
  <w:num w:numId="708">
    <w:abstractNumId w:val="562"/>
  </w:num>
  <w:num w:numId="709">
    <w:abstractNumId w:val="5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0">
    <w:abstractNumId w:val="701"/>
  </w:num>
  <w:num w:numId="711">
    <w:abstractNumId w:val="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2">
    <w:abstractNumId w:val="127"/>
  </w:num>
  <w:num w:numId="713">
    <w:abstractNumId w:val="232"/>
  </w:num>
  <w:num w:numId="714">
    <w:abstractNumId w:val="151"/>
  </w:num>
  <w:num w:numId="715">
    <w:abstractNumId w:val="407"/>
  </w:num>
  <w:num w:numId="716">
    <w:abstractNumId w:val="78"/>
  </w:num>
  <w:num w:numId="717">
    <w:abstractNumId w:val="588"/>
  </w:num>
  <w:num w:numId="718">
    <w:abstractNumId w:val="684"/>
  </w:num>
  <w:num w:numId="719">
    <w:abstractNumId w:val="370"/>
  </w:num>
  <w:num w:numId="720">
    <w:abstractNumId w:val="255"/>
  </w:num>
  <w:num w:numId="721">
    <w:abstractNumId w:val="643"/>
  </w:num>
  <w:num w:numId="722">
    <w:abstractNumId w:val="421"/>
  </w:num>
  <w:num w:numId="723">
    <w:abstractNumId w:val="356"/>
  </w:num>
  <w:num w:numId="724">
    <w:abstractNumId w:val="110"/>
  </w:num>
  <w:num w:numId="725">
    <w:abstractNumId w:val="624"/>
  </w:num>
  <w:num w:numId="726">
    <w:abstractNumId w:val="624"/>
  </w:num>
  <w:num w:numId="727">
    <w:abstractNumId w:val="624"/>
  </w:num>
  <w:num w:numId="728">
    <w:abstractNumId w:val="624"/>
  </w:num>
  <w:num w:numId="729">
    <w:abstractNumId w:val="624"/>
  </w:num>
  <w:num w:numId="730">
    <w:abstractNumId w:val="624"/>
  </w:num>
  <w:num w:numId="731">
    <w:abstractNumId w:val="624"/>
  </w:num>
  <w:num w:numId="732">
    <w:abstractNumId w:val="624"/>
  </w:num>
  <w:num w:numId="733">
    <w:abstractNumId w:val="624"/>
  </w:num>
  <w:num w:numId="734">
    <w:abstractNumId w:val="624"/>
  </w:num>
  <w:num w:numId="735">
    <w:abstractNumId w:val="624"/>
  </w:num>
  <w:num w:numId="736">
    <w:abstractNumId w:val="624"/>
  </w:num>
  <w:num w:numId="737">
    <w:abstractNumId w:val="624"/>
  </w:num>
  <w:num w:numId="738">
    <w:abstractNumId w:val="624"/>
  </w:num>
  <w:num w:numId="739">
    <w:abstractNumId w:val="624"/>
  </w:num>
  <w:num w:numId="740">
    <w:abstractNumId w:val="624"/>
  </w:num>
  <w:num w:numId="741">
    <w:abstractNumId w:val="624"/>
  </w:num>
  <w:num w:numId="742">
    <w:abstractNumId w:val="624"/>
  </w:num>
  <w:num w:numId="743">
    <w:abstractNumId w:val="624"/>
  </w:num>
  <w:num w:numId="744">
    <w:abstractNumId w:val="624"/>
  </w:num>
  <w:num w:numId="745">
    <w:abstractNumId w:val="624"/>
  </w:num>
  <w:num w:numId="746">
    <w:abstractNumId w:val="517"/>
  </w:num>
  <w:num w:numId="747">
    <w:abstractNumId w:val="448"/>
  </w:num>
  <w:num w:numId="748">
    <w:abstractNumId w:val="4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bordersDoNotSurroundFooter/>
  <w:hideSpellingErrors/>
  <w:hideGrammaticalErrors/>
  <w:attachedTemplate r:id="rId1"/>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2F83"/>
    <w:rsid w:val="004D2F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33"/>
      </w:numPr>
      <w:adjustRightInd/>
      <w:spacing w:line="360" w:lineRule="auto"/>
      <w:textAlignment w:val="auto"/>
      <w:outlineLvl w:val="0"/>
    </w:pPr>
    <w:rPr>
      <w:b/>
      <w:kern w:val="2"/>
      <w:sz w:val="24"/>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147"/>
      </w:numPr>
      <w:spacing w:before="240" w:after="240" w:line="360" w:lineRule="exact"/>
      <w:outlineLvl w:val="2"/>
    </w:pPr>
    <w:rPr>
      <w:rFonts w:ascii="SimHei" w:eastAsia="SimHei"/>
      <w:sz w:val="24"/>
      <w:u w:val="single"/>
    </w:rPr>
  </w:style>
  <w:style w:type="paragraph" w:styleId="Heading4">
    <w:name w:val="heading 4"/>
    <w:basedOn w:val="Normal"/>
    <w:next w:val="NormalIndent"/>
    <w:qFormat/>
    <w:pPr>
      <w:keepNext/>
      <w:numPr>
        <w:numId w:val="147"/>
      </w:numPr>
      <w:spacing w:after="240" w:line="360" w:lineRule="exact"/>
      <w:outlineLvl w:val="3"/>
    </w:pPr>
    <w:rPr>
      <w:rFonts w:ascii="SimHei" w:eastAsia="SimHei"/>
      <w:sz w:val="24"/>
      <w:u w:val="single"/>
    </w:rPr>
  </w:style>
  <w:style w:type="paragraph" w:styleId="Heading5">
    <w:name w:val="heading 5"/>
    <w:basedOn w:val="Normal"/>
    <w:next w:val="Normal"/>
    <w:qFormat/>
    <w:pPr>
      <w:keepNext/>
      <w:spacing w:after="120" w:line="360" w:lineRule="exact"/>
      <w:outlineLvl w:val="4"/>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Date">
    <w:name w:val="Date"/>
    <w:basedOn w:val="Normal"/>
    <w:next w:val="Normal"/>
    <w:semiHidden/>
  </w:style>
  <w:style w:type="paragraph" w:styleId="BodyTextIndent">
    <w:name w:val="Body Text Indent"/>
    <w:basedOn w:val="Normal"/>
    <w:semiHidden/>
    <w:pPr>
      <w:spacing w:after="240" w:line="360" w:lineRule="exact"/>
      <w:ind w:firstLine="425"/>
    </w:p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lockText">
    <w:name w:val="Block Text"/>
    <w:basedOn w:val="Normal"/>
    <w:semiHidden/>
    <w:pPr>
      <w:spacing w:after="240" w:line="440" w:lineRule="exact"/>
      <w:ind w:left="794" w:right="794" w:firstLine="425"/>
    </w:pPr>
  </w:style>
  <w:style w:type="paragraph" w:styleId="BodyTextIndent3">
    <w:name w:val="Body Text Indent 3"/>
    <w:basedOn w:val="Normal"/>
    <w:semiHidden/>
    <w:pPr>
      <w:tabs>
        <w:tab w:val="left" w:pos="2079"/>
      </w:tabs>
      <w:adjustRightInd/>
      <w:spacing w:line="240" w:lineRule="auto"/>
      <w:ind w:left="942"/>
      <w:textAlignment w:val="auto"/>
    </w:pPr>
    <w:rPr>
      <w:kern w:val="2"/>
    </w:rPr>
  </w:style>
  <w:style w:type="paragraph" w:styleId="BodyTextIndent2">
    <w:name w:val="Body Text Indent 2"/>
    <w:basedOn w:val="Normal"/>
    <w:semiHidden/>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adjustRightInd/>
      <w:spacing w:line="240" w:lineRule="auto"/>
      <w:ind w:left="420"/>
      <w:textAlignment w:val="auto"/>
    </w:pPr>
    <w:rPr>
      <w:kern w:val="2"/>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NormalWeb">
    <w:name w:val="Normal (Web)"/>
    <w:basedOn w:val="Normal"/>
    <w:semiHidden/>
    <w:pPr>
      <w:widowControl/>
      <w:adjustRightInd/>
      <w:spacing w:before="100" w:beforeAutospacing="1" w:after="100" w:afterAutospacing="1" w:line="240" w:lineRule="auto"/>
      <w:jc w:val="left"/>
      <w:textAlignment w:val="auto"/>
    </w:pPr>
    <w:rPr>
      <w:rFonts w:ascii="SimSun" w:hAnsi="SimSun"/>
      <w:sz w:val="24"/>
      <w:szCs w:val="24"/>
    </w:rPr>
  </w:style>
  <w:style w:type="paragraph" w:styleId="TOC3">
    <w:name w:val="toc 3"/>
    <w:basedOn w:val="Normal"/>
    <w:next w:val="Normal"/>
    <w:autoRedefine/>
    <w:semiHidden/>
    <w:pPr>
      <w:ind w:leftChars="400" w:left="840"/>
    </w:pPr>
  </w:style>
  <w:style w:type="paragraph" w:styleId="TOC4">
    <w:name w:val="toc 4"/>
    <w:basedOn w:val="Normal"/>
    <w:next w:val="Normal"/>
    <w:autoRedefine/>
    <w:semiHidden/>
    <w:pPr>
      <w:ind w:leftChars="600" w:left="1260"/>
    </w:p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CommentReference">
    <w:name w:val="annotation reference"/>
    <w:semiHidden/>
    <w:rPr>
      <w:sz w:val="21"/>
      <w:szCs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fcc.org.hr/" TargetMode="External"/><Relationship Id="rId18" Type="http://schemas.openxmlformats.org/officeDocument/2006/relationships/image" Target="media/image5.png"/><Relationship Id="rId26" Type="http://schemas.openxmlformats.org/officeDocument/2006/relationships/hyperlink" Target="http://www.cccria.org.br" TargetMode="External"/><Relationship Id="rId39"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image" Target="media/image8.png"/><Relationship Id="rId34"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www.fcc.org.hr/" TargetMode="External"/><Relationship Id="rId17" Type="http://schemas.openxmlformats.org/officeDocument/2006/relationships/image" Target="media/image4.png"/><Relationship Id="rId25" Type="http://schemas.openxmlformats.org/officeDocument/2006/relationships/hyperlink" Target="http://www.casarcnascer.org.br" TargetMode="External"/><Relationship Id="rId33" Type="http://schemas.openxmlformats.org/officeDocument/2006/relationships/hyperlink" Target="http://www.saude.gov.br" TargetMode="External"/><Relationship Id="rId38"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yperlink" Target="http://www.mda.gov.br/mulher"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cc.org.hr/" TargetMode="External"/><Relationship Id="rId24" Type="http://schemas.openxmlformats.org/officeDocument/2006/relationships/hyperlink" Target="http://www.camara.gov.br/ritacamata" TargetMode="External"/><Relationship Id="rId32" Type="http://schemas.openxmlformats.org/officeDocument/2006/relationships/hyperlink" Target="http://www.redegoverno.gov.br/mulhergoverno"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hyperlink" Target="http://www.ipea.gov.br" TargetMode="External"/><Relationship Id="rId36" Type="http://schemas.openxmlformats.org/officeDocument/2006/relationships/footer" Target="footer1.xml"/><Relationship Id="rId10" Type="http://schemas.openxmlformats.org/officeDocument/2006/relationships/hyperlink" Target="http://www.fcc.org.br/" TargetMode="External"/><Relationship Id="rId19" Type="http://schemas.openxmlformats.org/officeDocument/2006/relationships/image" Target="media/image6.png"/><Relationship Id="rId31" Type="http://schemas.openxmlformats.org/officeDocument/2006/relationships/hyperlink" Target="http://www.planejamento.gov.br" TargetMode="External"/><Relationship Id="rId4" Type="http://schemas.openxmlformats.org/officeDocument/2006/relationships/webSettings" Target="webSettings.xml"/><Relationship Id="rId9" Type="http://schemas.openxmlformats.org/officeDocument/2006/relationships/hyperlink" Target="http://www.inep.gov.br" TargetMode="External"/><Relationship Id="rId14" Type="http://schemas.openxmlformats.org/officeDocument/2006/relationships/hyperlink" Target="http://www.fcc.org.br/" TargetMode="External"/><Relationship Id="rId22" Type="http://schemas.openxmlformats.org/officeDocument/2006/relationships/image" Target="media/image9.png"/><Relationship Id="rId27" Type="http://schemas.openxmlformats.org/officeDocument/2006/relationships/hyperlink" Target="http://www.cfemea.org.br" TargetMode="External"/><Relationship Id="rId30" Type="http://schemas.openxmlformats.org/officeDocument/2006/relationships/hyperlink" Target="http://www.mj.gov.br/sedh.cndm" TargetMode="External"/><Relationship Id="rId35"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www.ibge.gov.br/" TargetMode="External"/><Relationship Id="rId7" Type="http://schemas.openxmlformats.org/officeDocument/2006/relationships/hyperlink" Target="http://www.aids.gov.br/" TargetMode="External"/><Relationship Id="rId2" Type="http://schemas.openxmlformats.org/officeDocument/2006/relationships/hyperlink" Target="http://www.fcc.org.br/" TargetMode="External"/><Relationship Id="rId1" Type="http://schemas.openxmlformats.org/officeDocument/2006/relationships/hyperlink" Target="http://www.violeciasexual.org.br" TargetMode="External"/><Relationship Id="rId6" Type="http://schemas.openxmlformats.org/officeDocument/2006/relationships/hyperlink" Target="http://www.ibge.org.br/" TargetMode="External"/><Relationship Id="rId5" Type="http://schemas.openxmlformats.org/officeDocument/2006/relationships/hyperlink" Target="http://www.saude.gov.htm/" TargetMode="External"/><Relationship Id="rId4" Type="http://schemas.openxmlformats.org/officeDocument/2006/relationships/hyperlink" Target="http://www.saude.gov.br/Programas/mulher/operaciona.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TotalTime>
  <Pages>1</Pages>
  <Words>28326</Words>
  <Characters>161461</Characters>
  <Application>Microsoft Office Word</Application>
  <DocSecurity>4</DocSecurity>
  <Lines>1345</Lines>
  <Paragraphs>322</Paragraphs>
  <ScaleCrop>false</ScaleCrop>
  <HeadingPairs>
    <vt:vector size="2" baseType="variant">
      <vt:variant>
        <vt:lpstr>题目</vt:lpstr>
      </vt:variant>
      <vt:variant>
        <vt:i4>1</vt:i4>
      </vt:variant>
    </vt:vector>
  </HeadingPairs>
  <TitlesOfParts>
    <vt:vector size="1" baseType="lpstr">
      <vt:lpstr>联合国</vt:lpstr>
    </vt:vector>
  </TitlesOfParts>
  <Company>infoll</Company>
  <LinksUpToDate>false</LinksUpToDate>
  <CharactersWithSpaces>198285</CharactersWithSpaces>
  <SharedDoc>false</SharedDoc>
  <HLinks>
    <vt:vector size="138" baseType="variant">
      <vt:variant>
        <vt:i4>1310792</vt:i4>
      </vt:variant>
      <vt:variant>
        <vt:i4>45</vt:i4>
      </vt:variant>
      <vt:variant>
        <vt:i4>0</vt:i4>
      </vt:variant>
      <vt:variant>
        <vt:i4>5</vt:i4>
      </vt:variant>
      <vt:variant>
        <vt:lpwstr>http://www.saude.gov.br/</vt:lpwstr>
      </vt:variant>
      <vt:variant>
        <vt:lpwstr/>
      </vt:variant>
      <vt:variant>
        <vt:i4>6684718</vt:i4>
      </vt:variant>
      <vt:variant>
        <vt:i4>42</vt:i4>
      </vt:variant>
      <vt:variant>
        <vt:i4>0</vt:i4>
      </vt:variant>
      <vt:variant>
        <vt:i4>5</vt:i4>
      </vt:variant>
      <vt:variant>
        <vt:lpwstr>http://www.redegoverno.gov.br/mulhergoverno</vt:lpwstr>
      </vt:variant>
      <vt:variant>
        <vt:lpwstr/>
      </vt:variant>
      <vt:variant>
        <vt:i4>3276839</vt:i4>
      </vt:variant>
      <vt:variant>
        <vt:i4>39</vt:i4>
      </vt:variant>
      <vt:variant>
        <vt:i4>0</vt:i4>
      </vt:variant>
      <vt:variant>
        <vt:i4>5</vt:i4>
      </vt:variant>
      <vt:variant>
        <vt:lpwstr>http://www.planejamento.gov.br/</vt:lpwstr>
      </vt:variant>
      <vt:variant>
        <vt:lpwstr/>
      </vt:variant>
      <vt:variant>
        <vt:i4>6357100</vt:i4>
      </vt:variant>
      <vt:variant>
        <vt:i4>36</vt:i4>
      </vt:variant>
      <vt:variant>
        <vt:i4>0</vt:i4>
      </vt:variant>
      <vt:variant>
        <vt:i4>5</vt:i4>
      </vt:variant>
      <vt:variant>
        <vt:lpwstr>http://www.mj.gov.br/sedh.cndm</vt:lpwstr>
      </vt:variant>
      <vt:variant>
        <vt:lpwstr/>
      </vt:variant>
      <vt:variant>
        <vt:i4>1310797</vt:i4>
      </vt:variant>
      <vt:variant>
        <vt:i4>33</vt:i4>
      </vt:variant>
      <vt:variant>
        <vt:i4>0</vt:i4>
      </vt:variant>
      <vt:variant>
        <vt:i4>5</vt:i4>
      </vt:variant>
      <vt:variant>
        <vt:lpwstr>http://www.mda.gov.br/mulher</vt:lpwstr>
      </vt:variant>
      <vt:variant>
        <vt:lpwstr/>
      </vt:variant>
      <vt:variant>
        <vt:i4>3801138</vt:i4>
      </vt:variant>
      <vt:variant>
        <vt:i4>30</vt:i4>
      </vt:variant>
      <vt:variant>
        <vt:i4>0</vt:i4>
      </vt:variant>
      <vt:variant>
        <vt:i4>5</vt:i4>
      </vt:variant>
      <vt:variant>
        <vt:lpwstr>http://www.ipea.gov.br/</vt:lpwstr>
      </vt:variant>
      <vt:variant>
        <vt:lpwstr/>
      </vt:variant>
      <vt:variant>
        <vt:i4>4718672</vt:i4>
      </vt:variant>
      <vt:variant>
        <vt:i4>27</vt:i4>
      </vt:variant>
      <vt:variant>
        <vt:i4>0</vt:i4>
      </vt:variant>
      <vt:variant>
        <vt:i4>5</vt:i4>
      </vt:variant>
      <vt:variant>
        <vt:lpwstr>http://www.cfemea.org.br/</vt:lpwstr>
      </vt:variant>
      <vt:variant>
        <vt:lpwstr/>
      </vt:variant>
      <vt:variant>
        <vt:i4>4325450</vt:i4>
      </vt:variant>
      <vt:variant>
        <vt:i4>24</vt:i4>
      </vt:variant>
      <vt:variant>
        <vt:i4>0</vt:i4>
      </vt:variant>
      <vt:variant>
        <vt:i4>5</vt:i4>
      </vt:variant>
      <vt:variant>
        <vt:lpwstr>http://www.cccria.org.br/</vt:lpwstr>
      </vt:variant>
      <vt:variant>
        <vt:lpwstr/>
      </vt:variant>
      <vt:variant>
        <vt:i4>3211305</vt:i4>
      </vt:variant>
      <vt:variant>
        <vt:i4>21</vt:i4>
      </vt:variant>
      <vt:variant>
        <vt:i4>0</vt:i4>
      </vt:variant>
      <vt:variant>
        <vt:i4>5</vt:i4>
      </vt:variant>
      <vt:variant>
        <vt:lpwstr>http://www.casarcnascer.org.br/</vt:lpwstr>
      </vt:variant>
      <vt:variant>
        <vt:lpwstr/>
      </vt:variant>
      <vt:variant>
        <vt:i4>3539045</vt:i4>
      </vt:variant>
      <vt:variant>
        <vt:i4>18</vt:i4>
      </vt:variant>
      <vt:variant>
        <vt:i4>0</vt:i4>
      </vt:variant>
      <vt:variant>
        <vt:i4>5</vt:i4>
      </vt:variant>
      <vt:variant>
        <vt:lpwstr>http://www.camara.gov.br/ritacamata</vt:lpwstr>
      </vt:variant>
      <vt:variant>
        <vt:lpwstr/>
      </vt:variant>
      <vt:variant>
        <vt:i4>7012403</vt:i4>
      </vt:variant>
      <vt:variant>
        <vt:i4>15</vt:i4>
      </vt:variant>
      <vt:variant>
        <vt:i4>0</vt:i4>
      </vt:variant>
      <vt:variant>
        <vt:i4>5</vt:i4>
      </vt:variant>
      <vt:variant>
        <vt:lpwstr>http://www.fcc.org.br/</vt:lpwstr>
      </vt:variant>
      <vt:variant>
        <vt:lpwstr/>
      </vt:variant>
      <vt:variant>
        <vt:i4>6357043</vt:i4>
      </vt:variant>
      <vt:variant>
        <vt:i4>12</vt:i4>
      </vt:variant>
      <vt:variant>
        <vt:i4>0</vt:i4>
      </vt:variant>
      <vt:variant>
        <vt:i4>5</vt:i4>
      </vt:variant>
      <vt:variant>
        <vt:lpwstr>http://www.fcc.org.hr/</vt:lpwstr>
      </vt:variant>
      <vt:variant>
        <vt:lpwstr/>
      </vt:variant>
      <vt:variant>
        <vt:i4>6357043</vt:i4>
      </vt:variant>
      <vt:variant>
        <vt:i4>9</vt:i4>
      </vt:variant>
      <vt:variant>
        <vt:i4>0</vt:i4>
      </vt:variant>
      <vt:variant>
        <vt:i4>5</vt:i4>
      </vt:variant>
      <vt:variant>
        <vt:lpwstr>http://www.fcc.org.hr/</vt:lpwstr>
      </vt:variant>
      <vt:variant>
        <vt:lpwstr/>
      </vt:variant>
      <vt:variant>
        <vt:i4>6357043</vt:i4>
      </vt:variant>
      <vt:variant>
        <vt:i4>6</vt:i4>
      </vt:variant>
      <vt:variant>
        <vt:i4>0</vt:i4>
      </vt:variant>
      <vt:variant>
        <vt:i4>5</vt:i4>
      </vt:variant>
      <vt:variant>
        <vt:lpwstr>http://www.fcc.org.hr/</vt:lpwstr>
      </vt:variant>
      <vt:variant>
        <vt:lpwstr/>
      </vt:variant>
      <vt:variant>
        <vt:i4>7012403</vt:i4>
      </vt:variant>
      <vt:variant>
        <vt:i4>3</vt:i4>
      </vt:variant>
      <vt:variant>
        <vt:i4>0</vt:i4>
      </vt:variant>
      <vt:variant>
        <vt:i4>5</vt:i4>
      </vt:variant>
      <vt:variant>
        <vt:lpwstr>http://www.fcc.org.br/</vt:lpwstr>
      </vt:variant>
      <vt:variant>
        <vt:lpwstr/>
      </vt:variant>
      <vt:variant>
        <vt:i4>3801149</vt:i4>
      </vt:variant>
      <vt:variant>
        <vt:i4>0</vt:i4>
      </vt:variant>
      <vt:variant>
        <vt:i4>0</vt:i4>
      </vt:variant>
      <vt:variant>
        <vt:i4>5</vt:i4>
      </vt:variant>
      <vt:variant>
        <vt:lpwstr>http://www.inep.gov.br/</vt:lpwstr>
      </vt:variant>
      <vt:variant>
        <vt:lpwstr/>
      </vt:variant>
      <vt:variant>
        <vt:i4>3342393</vt:i4>
      </vt:variant>
      <vt:variant>
        <vt:i4>18</vt:i4>
      </vt:variant>
      <vt:variant>
        <vt:i4>0</vt:i4>
      </vt:variant>
      <vt:variant>
        <vt:i4>5</vt:i4>
      </vt:variant>
      <vt:variant>
        <vt:lpwstr>http://www.aids.gov.br/</vt:lpwstr>
      </vt:variant>
      <vt:variant>
        <vt:lpwstr/>
      </vt:variant>
      <vt:variant>
        <vt:i4>2424893</vt:i4>
      </vt:variant>
      <vt:variant>
        <vt:i4>15</vt:i4>
      </vt:variant>
      <vt:variant>
        <vt:i4>0</vt:i4>
      </vt:variant>
      <vt:variant>
        <vt:i4>5</vt:i4>
      </vt:variant>
      <vt:variant>
        <vt:lpwstr>http://www.ibge.org.br/</vt:lpwstr>
      </vt:variant>
      <vt:variant>
        <vt:lpwstr/>
      </vt:variant>
      <vt:variant>
        <vt:i4>6029390</vt:i4>
      </vt:variant>
      <vt:variant>
        <vt:i4>12</vt:i4>
      </vt:variant>
      <vt:variant>
        <vt:i4>0</vt:i4>
      </vt:variant>
      <vt:variant>
        <vt:i4>5</vt:i4>
      </vt:variant>
      <vt:variant>
        <vt:lpwstr>http://www.saude.gov.htm/</vt:lpwstr>
      </vt:variant>
      <vt:variant>
        <vt:lpwstr/>
      </vt:variant>
      <vt:variant>
        <vt:i4>7798903</vt:i4>
      </vt:variant>
      <vt:variant>
        <vt:i4>9</vt:i4>
      </vt:variant>
      <vt:variant>
        <vt:i4>0</vt:i4>
      </vt:variant>
      <vt:variant>
        <vt:i4>5</vt:i4>
      </vt:variant>
      <vt:variant>
        <vt:lpwstr>http://www.saude.gov.br/Programas/mulher/operaciona.htm</vt:lpwstr>
      </vt:variant>
      <vt:variant>
        <vt:lpwstr/>
      </vt:variant>
      <vt:variant>
        <vt:i4>3670052</vt:i4>
      </vt:variant>
      <vt:variant>
        <vt:i4>6</vt:i4>
      </vt:variant>
      <vt:variant>
        <vt:i4>0</vt:i4>
      </vt:variant>
      <vt:variant>
        <vt:i4>5</vt:i4>
      </vt:variant>
      <vt:variant>
        <vt:lpwstr>http://www.ibge.gov.br/</vt:lpwstr>
      </vt:variant>
      <vt:variant>
        <vt:lpwstr/>
      </vt:variant>
      <vt:variant>
        <vt:i4>7012403</vt:i4>
      </vt:variant>
      <vt:variant>
        <vt:i4>3</vt:i4>
      </vt:variant>
      <vt:variant>
        <vt:i4>0</vt:i4>
      </vt:variant>
      <vt:variant>
        <vt:i4>5</vt:i4>
      </vt:variant>
      <vt:variant>
        <vt:lpwstr>http://www.fcc.org.br/</vt:lpwstr>
      </vt:variant>
      <vt:variant>
        <vt:lpwstr/>
      </vt:variant>
      <vt:variant>
        <vt:i4>5505089</vt:i4>
      </vt:variant>
      <vt:variant>
        <vt:i4>0</vt:i4>
      </vt:variant>
      <vt:variant>
        <vt:i4>0</vt:i4>
      </vt:variant>
      <vt:variant>
        <vt:i4>5</vt:i4>
      </vt:variant>
      <vt:variant>
        <vt:lpwstr>http://www.violeciasexual.org.br/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DGAACS</cp:lastModifiedBy>
  <cp:revision>2</cp:revision>
  <cp:lastPrinted>2003-04-01T12:59:00Z</cp:lastPrinted>
  <dcterms:created xsi:type="dcterms:W3CDTF">2003-04-01T13:09:00Z</dcterms:created>
  <dcterms:modified xsi:type="dcterms:W3CDTF">2003-04-01T13:09:00Z</dcterms:modified>
</cp:coreProperties>
</file>