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176" w:rsidRDefault="008A0176" w:rsidP="008A0176">
      <w:pPr>
        <w:spacing w:line="60" w:lineRule="exact"/>
        <w:sectPr w:rsidR="008A0176" w:rsidSect="008A017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4pt;margin-top:682.55pt;width:57.35pt;height:57.35pt;z-index:1;mso-position-horizontal-relative:page;mso-position-vertical-relative:page" o:preferrelative="f" filled="t">
            <v:imagedata r:id="rId12" o:title="3Size =1Lang = C"/>
            <w10:wrap anchorx="page" anchory="page"/>
          </v:shape>
        </w:pict>
      </w:r>
      <w:commentRangeEnd w:id="0"/>
      <w:r>
        <w:rPr>
          <w:rStyle w:val="CommentReference"/>
        </w:rPr>
        <w:commentReference w:id="0"/>
      </w:r>
    </w:p>
    <w:p w:rsidR="008A0176" w:rsidRDefault="008A0176" w:rsidP="008A0176">
      <w:pPr>
        <w:spacing w:line="60" w:lineRule="exact"/>
      </w:pPr>
    </w:p>
    <w:p w:rsidR="00380A32" w:rsidRDefault="00380A32" w:rsidP="00380A3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4" w:right="1259" w:hanging="1264"/>
        <w:rPr>
          <w:rFonts w:hint="eastAsia"/>
        </w:rPr>
      </w:pPr>
      <w:r>
        <w:rPr>
          <w:rFonts w:hint="eastAsia"/>
        </w:rPr>
        <w:t>消除对妇女歧视委员会</w:t>
      </w:r>
    </w:p>
    <w:p w:rsidR="00380A32" w:rsidRDefault="00380A32" w:rsidP="00380A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与巴林第三次定期报告有关的议题和问题清单</w:t>
      </w:r>
      <w:r w:rsidRPr="00380A32">
        <w:rPr>
          <w:rFonts w:ascii="Times New Roman"/>
          <w:vertAlign w:val="superscript"/>
        </w:rPr>
        <w:t>*</w:t>
      </w:r>
    </w:p>
    <w:p w:rsidR="00380A32" w:rsidRDefault="00380A32" w:rsidP="00380A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总体背景</w:t>
      </w:r>
    </w:p>
    <w:p w:rsidR="00380A32" w:rsidRDefault="00380A32" w:rsidP="00380A32">
      <w:pPr>
        <w:pStyle w:val="SingleTxt"/>
        <w:rPr>
          <w:rFonts w:hint="eastAsia"/>
        </w:rPr>
      </w:pPr>
      <w:r>
        <w:rPr>
          <w:rFonts w:hint="eastAsia"/>
        </w:rPr>
        <w:t>1.</w:t>
      </w:r>
      <w:r>
        <w:rPr>
          <w:rFonts w:hint="eastAsia"/>
        </w:rPr>
        <w:tab/>
        <w:t>2011年以来，缔约国的总体人权状况急剧恶化，对妇女权利也产生了影响。请提供资料说明已采取哪些措施来实施法治，尤其是执行巴林独立调查委员会的建议。缔约国计划如何提高各级执法当局和司法机构的能力，以确保妇女和女孩得到保护并享受其权利？</w:t>
      </w:r>
    </w:p>
    <w:p w:rsidR="00380A32" w:rsidRPr="00380A32" w:rsidRDefault="00380A32" w:rsidP="00380A32">
      <w:pPr>
        <w:pStyle w:val="SingleTxt"/>
        <w:rPr>
          <w:rFonts w:ascii="SimHei" w:eastAsia="SimHei" w:hint="eastAsia"/>
        </w:rPr>
      </w:pPr>
      <w:r w:rsidRPr="00380A32">
        <w:rPr>
          <w:rFonts w:ascii="SimHei" w:eastAsia="SimHei" w:hint="eastAsia"/>
        </w:rPr>
        <w:t>宪法和立法框架</w:t>
      </w:r>
    </w:p>
    <w:p w:rsidR="00380A32" w:rsidRDefault="00380A32" w:rsidP="00380A32">
      <w:pPr>
        <w:pStyle w:val="SingleTxt"/>
        <w:rPr>
          <w:rFonts w:hint="eastAsia"/>
        </w:rPr>
      </w:pPr>
      <w:r>
        <w:rPr>
          <w:rFonts w:hint="eastAsia"/>
        </w:rPr>
        <w:t>2.</w:t>
      </w:r>
      <w:r>
        <w:rPr>
          <w:rFonts w:hint="eastAsia"/>
        </w:rPr>
        <w:tab/>
        <w:t>请说明缔约国是否依照《消除对妇女一切形式歧视公约》第1条采取措施，通过禁止歧视妇女的立法(见</w:t>
      </w:r>
      <w:hyperlink r:id="rId14" w:history="1">
        <w:r w:rsidRPr="00E72C4E">
          <w:rPr>
            <w:rStyle w:val="Hyperlink"/>
            <w:rFonts w:hint="eastAsia"/>
          </w:rPr>
          <w:t>CEDAW/C/BHR/CO/2</w:t>
        </w:r>
      </w:hyperlink>
      <w:r>
        <w:rPr>
          <w:rFonts w:hint="eastAsia"/>
        </w:rPr>
        <w:t>，第13段)。</w:t>
      </w:r>
      <w:r>
        <w:rPr>
          <w:rStyle w:val="FootnoteReference"/>
        </w:rPr>
        <w:footnoteReference w:id="1"/>
      </w:r>
    </w:p>
    <w:p w:rsidR="00380A32" w:rsidRDefault="00380A32" w:rsidP="00380A32">
      <w:pPr>
        <w:pStyle w:val="SingleTxt"/>
        <w:rPr>
          <w:rFonts w:hint="eastAsia"/>
        </w:rPr>
      </w:pPr>
      <w:r>
        <w:rPr>
          <w:rFonts w:hint="eastAsia"/>
        </w:rPr>
        <w:t>3.</w:t>
      </w:r>
      <w:r>
        <w:rPr>
          <w:rFonts w:hint="eastAsia"/>
        </w:rPr>
        <w:tab/>
        <w:t>请澄清目前议会正在审议的公民协会和组织法草案是否符合建立民间社会组织的宪法权利以及关于结社自由的国际标准。请说明在该法律草案的整个起草过程中是否都征求民间社会组织的意见(</w:t>
      </w:r>
      <w:hyperlink r:id="rId15" w:history="1">
        <w:r w:rsidRPr="00E72C4E">
          <w:rPr>
            <w:rStyle w:val="Hyperlink"/>
            <w:rFonts w:hint="eastAsia"/>
          </w:rPr>
          <w:t>A/HRC/21/6/Add.1/Rev.1</w:t>
        </w:r>
      </w:hyperlink>
      <w:r>
        <w:rPr>
          <w:rFonts w:hint="eastAsia"/>
        </w:rPr>
        <w:t>，第21段)，并请说明有哪些机制可以确保非政府妇女组织的参与。</w:t>
      </w:r>
    </w:p>
    <w:p w:rsidR="00380A32" w:rsidRPr="00380A32" w:rsidRDefault="00380A32" w:rsidP="00380A32">
      <w:pPr>
        <w:pStyle w:val="SingleTxt"/>
        <w:rPr>
          <w:rFonts w:ascii="SimHei" w:eastAsia="SimHei" w:hint="eastAsia"/>
        </w:rPr>
      </w:pPr>
      <w:r w:rsidRPr="00380A32">
        <w:rPr>
          <w:rFonts w:ascii="SimHei" w:eastAsia="SimHei" w:hint="eastAsia"/>
        </w:rPr>
        <w:t>保留</w:t>
      </w:r>
    </w:p>
    <w:p w:rsidR="00380A32" w:rsidRDefault="00380A32" w:rsidP="00380A32">
      <w:pPr>
        <w:pStyle w:val="SingleTxt"/>
        <w:rPr>
          <w:rFonts w:hint="eastAsia"/>
        </w:rPr>
      </w:pPr>
      <w:r>
        <w:rPr>
          <w:rFonts w:hint="eastAsia"/>
        </w:rPr>
        <w:t>4.</w:t>
      </w:r>
      <w:r>
        <w:rPr>
          <w:rFonts w:hint="eastAsia"/>
        </w:rPr>
        <w:tab/>
        <w:t>请提供最新资料，说明关于是否有可能修订对《公约》第2条的保留的研究情况(第81段；</w:t>
      </w:r>
      <w:hyperlink r:id="rId16" w:history="1">
        <w:r w:rsidRPr="00E72C4E">
          <w:rPr>
            <w:rStyle w:val="Hyperlink"/>
            <w:rFonts w:hint="eastAsia"/>
          </w:rPr>
          <w:t>CEDAW/C/BHR/CO/2</w:t>
        </w:r>
      </w:hyperlink>
      <w:r>
        <w:rPr>
          <w:rFonts w:hint="eastAsia"/>
        </w:rPr>
        <w:t>，第17段)。请澄清缔约国对《公约》中与伊斯兰教法及缔约国现行立法不一致的所有条款提出保留的范围，说明这些保留对切实执行《公约》第2条规定的男女平等原则的影响。在普遍定期审议期间，缔约国承诺采取措施撤消对第2条、第9条第2款、第15条第4款和第16条的保留(第71段)，请说明这方面的进展情况。</w:t>
      </w:r>
    </w:p>
    <w:p w:rsidR="00380A32" w:rsidRPr="00380A32" w:rsidRDefault="00380A32" w:rsidP="00380A32">
      <w:pPr>
        <w:pStyle w:val="SingleTxt"/>
        <w:rPr>
          <w:rFonts w:ascii="SimHei" w:eastAsia="SimHei" w:hint="eastAsia"/>
        </w:rPr>
      </w:pPr>
      <w:r w:rsidRPr="00380A32">
        <w:rPr>
          <w:rFonts w:ascii="SimHei" w:eastAsia="SimHei" w:hint="eastAsia"/>
        </w:rPr>
        <w:t>法律投诉机制</w:t>
      </w:r>
    </w:p>
    <w:p w:rsidR="00380A32" w:rsidRDefault="00380A32" w:rsidP="00380A32">
      <w:pPr>
        <w:pStyle w:val="SingleTxt"/>
        <w:rPr>
          <w:rFonts w:hint="eastAsia"/>
        </w:rPr>
      </w:pPr>
      <w:r>
        <w:rPr>
          <w:rFonts w:hint="eastAsia"/>
        </w:rPr>
        <w:t>5.</w:t>
      </w:r>
      <w:r>
        <w:rPr>
          <w:rFonts w:hint="eastAsia"/>
        </w:rPr>
        <w:tab/>
        <w:t>请说明过去五年妇女向国家人权机构投诉的数量、指称侵权的类别以及投诉的结果(第39段)。并请详细说明依照促进和保护人权国家机构地位原则(《巴黎原则》)，已采取哪些措施确保该机构拥有独立性、有关妇女权利的任务授权以及人力和财政资源。</w:t>
      </w:r>
    </w:p>
    <w:p w:rsidR="00380A32" w:rsidRPr="00380A32" w:rsidRDefault="00380A32" w:rsidP="00380A32">
      <w:pPr>
        <w:pStyle w:val="SingleTxt"/>
        <w:rPr>
          <w:rFonts w:ascii="SimHei" w:eastAsia="SimHei" w:hint="eastAsia"/>
        </w:rPr>
      </w:pPr>
      <w:r w:rsidRPr="00380A32">
        <w:rPr>
          <w:rFonts w:ascii="SimHei" w:eastAsia="SimHei" w:hint="eastAsia"/>
        </w:rPr>
        <w:t>司法救助</w:t>
      </w:r>
    </w:p>
    <w:p w:rsidR="00380A32" w:rsidRDefault="00380A32" w:rsidP="00380A32">
      <w:pPr>
        <w:pStyle w:val="SingleTxt"/>
        <w:rPr>
          <w:rFonts w:hint="eastAsia"/>
        </w:rPr>
      </w:pPr>
      <w:r>
        <w:rPr>
          <w:rFonts w:hint="eastAsia"/>
        </w:rPr>
        <w:t>6.</w:t>
      </w:r>
      <w:r>
        <w:rPr>
          <w:rFonts w:hint="eastAsia"/>
        </w:rPr>
        <w:tab/>
        <w:t>报告提及妇女在法庭上享有与男子同等待遇，有权以自己的名义提起诉讼和提出请求(第146段)。请说明已采取哪些措施确保妇女在缔约国切实获得司法救助，并保证妇女能够获得法律援助服务，包括在羁押场所也能获得此种服务。并请说明已采取哪些措施，确保在适用伊斯兰教法的庭审中，妇女的证词与男子具有同等份量，因为目前一个男子证词的份量相当于两个妇女的证词。请说明缔约国已采取哪些措施确保女法官参与适用伊斯兰教法。</w:t>
      </w:r>
    </w:p>
    <w:p w:rsidR="00380A32" w:rsidRPr="00380A32" w:rsidRDefault="00380A32" w:rsidP="00380A32">
      <w:pPr>
        <w:pStyle w:val="SingleTxt"/>
        <w:rPr>
          <w:rFonts w:ascii="SimHei" w:eastAsia="SimHei" w:hint="eastAsia"/>
        </w:rPr>
      </w:pPr>
      <w:r w:rsidRPr="00380A32">
        <w:rPr>
          <w:rFonts w:ascii="SimHei" w:eastAsia="SimHei" w:hint="eastAsia"/>
        </w:rPr>
        <w:t>提高妇女地位的国家机制</w:t>
      </w:r>
    </w:p>
    <w:p w:rsidR="00380A32" w:rsidRDefault="00380A32" w:rsidP="00380A32">
      <w:pPr>
        <w:pStyle w:val="SingleTxt"/>
        <w:rPr>
          <w:rFonts w:hint="eastAsia"/>
        </w:rPr>
      </w:pPr>
      <w:r>
        <w:rPr>
          <w:rFonts w:hint="eastAsia"/>
        </w:rPr>
        <w:t>7.</w:t>
      </w:r>
      <w:r>
        <w:rPr>
          <w:rFonts w:hint="eastAsia"/>
        </w:rPr>
        <w:tab/>
        <w:t>请澄清负责监测《公约》执行情况的最高妇女委员会的作用和职能，包括其组成以及在国家结构中的权力等级。并请说明对总秘书处进行调整(第56段)后最高妇女委员会的结构、该委员会内负责《公约》事务单位的作用和地位及其与巴林妇女联合会的关系。</w:t>
      </w:r>
    </w:p>
    <w:p w:rsidR="00380A32" w:rsidRDefault="00380A32" w:rsidP="00380A32">
      <w:pPr>
        <w:pStyle w:val="SingleTxt"/>
        <w:rPr>
          <w:rFonts w:hint="eastAsia"/>
        </w:rPr>
      </w:pPr>
      <w:r>
        <w:rPr>
          <w:rFonts w:hint="eastAsia"/>
        </w:rPr>
        <w:t>8.</w:t>
      </w:r>
      <w:r>
        <w:rPr>
          <w:rFonts w:hint="eastAsia"/>
        </w:rPr>
        <w:tab/>
        <w:t>请提供报告中提到的机会平等单位(第51、90和91段)的信息，并说明是否所有部委都设有这一单位。请说明对这些单位进行的任何业绩评估情况以及是否有任何机制确保对它们的工作进行协调和评价。并说明与负责监测如何将妇女需求纳入政府行动方案的国家模式实施情况的全国委员会(第51段)有关的进展。</w:t>
      </w:r>
    </w:p>
    <w:p w:rsidR="00380A32" w:rsidRPr="00380A32" w:rsidRDefault="00380A32" w:rsidP="00380A32">
      <w:pPr>
        <w:pStyle w:val="SingleTxt"/>
        <w:spacing w:after="120"/>
        <w:rPr>
          <w:rFonts w:ascii="SimHei" w:eastAsia="SimHei" w:hint="eastAsia"/>
        </w:rPr>
      </w:pPr>
      <w:r w:rsidRPr="00380A32">
        <w:rPr>
          <w:rFonts w:ascii="SimHei" w:eastAsia="SimHei" w:hint="eastAsia"/>
        </w:rPr>
        <w:t>暂行特别措施</w:t>
      </w:r>
    </w:p>
    <w:p w:rsidR="00380A32" w:rsidRDefault="00380A32" w:rsidP="00380A32">
      <w:pPr>
        <w:pStyle w:val="SingleTxt"/>
        <w:rPr>
          <w:rFonts w:hint="eastAsia"/>
        </w:rPr>
      </w:pPr>
      <w:r>
        <w:rPr>
          <w:rFonts w:hint="eastAsia"/>
        </w:rPr>
        <w:t>9.</w:t>
      </w:r>
      <w:r>
        <w:rPr>
          <w:rFonts w:hint="eastAsia"/>
        </w:rPr>
        <w:tab/>
        <w:t>请说明缔约国为在《公约》涵盖的所有领域加快实现男女事实平等而采取的任何暂行特别措施。并请说明对此种措施的监测和评价情况，包括妇女在议会和政治生活中的具体配额(</w:t>
      </w:r>
      <w:hyperlink r:id="rId17" w:history="1">
        <w:r w:rsidRPr="00E72C4E">
          <w:rPr>
            <w:rStyle w:val="Hyperlink"/>
            <w:rFonts w:hint="eastAsia"/>
          </w:rPr>
          <w:t>CEDAW/C/BHR/CO/2</w:t>
        </w:r>
      </w:hyperlink>
      <w:r>
        <w:rPr>
          <w:rFonts w:hint="eastAsia"/>
        </w:rPr>
        <w:t>，第21段)。</w:t>
      </w:r>
    </w:p>
    <w:p w:rsidR="00380A32" w:rsidRPr="00380A32" w:rsidRDefault="00380A32" w:rsidP="00380A32">
      <w:pPr>
        <w:pStyle w:val="SingleTxt"/>
        <w:spacing w:after="120"/>
        <w:rPr>
          <w:rFonts w:ascii="SimHei" w:eastAsia="SimHei" w:hint="eastAsia"/>
        </w:rPr>
      </w:pPr>
      <w:r w:rsidRPr="00380A32">
        <w:rPr>
          <w:rFonts w:ascii="SimHei" w:eastAsia="SimHei" w:hint="eastAsia"/>
        </w:rPr>
        <w:t>定型观念</w:t>
      </w:r>
    </w:p>
    <w:p w:rsidR="00380A32" w:rsidRDefault="00380A32" w:rsidP="00380A32">
      <w:pPr>
        <w:pStyle w:val="SingleTxt"/>
        <w:rPr>
          <w:rFonts w:hint="eastAsia"/>
        </w:rPr>
      </w:pPr>
      <w:r>
        <w:rPr>
          <w:rFonts w:hint="eastAsia"/>
        </w:rPr>
        <w:t>10.</w:t>
      </w:r>
      <w:r>
        <w:rPr>
          <w:rFonts w:hint="eastAsia"/>
        </w:rPr>
        <w:tab/>
        <w:t>请说明缔约国为改变人们普遍接受的妇女和男子在家庭和整个社会中的定型作用和责任而采取的各种措施的影响力(第92至95段)。并请说明已采取哪些具体措施改变妇女在媒体、教学课程和教材中的定型形象，所有这些形象都限制了妇女在公共领域的作用(</w:t>
      </w:r>
      <w:hyperlink r:id="rId18" w:history="1">
        <w:r w:rsidRPr="00E72C4E">
          <w:rPr>
            <w:rStyle w:val="Hyperlink"/>
            <w:rFonts w:hint="eastAsia"/>
          </w:rPr>
          <w:t>CRC/C/BHR/CO/2-3</w:t>
        </w:r>
      </w:hyperlink>
      <w:r>
        <w:rPr>
          <w:rFonts w:hint="eastAsia"/>
        </w:rPr>
        <w:t>，第61和62段)。</w:t>
      </w:r>
    </w:p>
    <w:p w:rsidR="00380A32" w:rsidRPr="00380A32" w:rsidRDefault="00380A32" w:rsidP="00380A32">
      <w:pPr>
        <w:pStyle w:val="SingleTxt"/>
        <w:spacing w:after="120"/>
        <w:rPr>
          <w:rFonts w:ascii="SimHei" w:eastAsia="SimHei" w:hint="eastAsia"/>
        </w:rPr>
      </w:pPr>
      <w:r w:rsidRPr="00380A32">
        <w:rPr>
          <w:rFonts w:ascii="SimHei" w:eastAsia="SimHei" w:hint="eastAsia"/>
        </w:rPr>
        <w:t>暴力侵害妇女行为</w:t>
      </w:r>
    </w:p>
    <w:p w:rsidR="00380A32" w:rsidRDefault="00380A32" w:rsidP="00380A32">
      <w:pPr>
        <w:pStyle w:val="SingleTxt"/>
        <w:rPr>
          <w:rFonts w:hint="eastAsia"/>
        </w:rPr>
      </w:pPr>
      <w:r>
        <w:rPr>
          <w:rFonts w:hint="eastAsia"/>
        </w:rPr>
        <w:t>11.</w:t>
      </w:r>
      <w:r>
        <w:rPr>
          <w:rFonts w:hint="eastAsia"/>
        </w:rPr>
        <w:tab/>
        <w:t>请说明已采取哪些措施颁布立法，将暴力侵害妇女行为、尤其是婚内强奸定为犯罪。并请说明已采取哪些措施废除《刑法》第535条关于强奸犯娶受害者为妻即可免于起诉和惩罚的规定(第138条；</w:t>
      </w:r>
      <w:hyperlink r:id="rId19" w:history="1">
        <w:r w:rsidRPr="00E72C4E">
          <w:rPr>
            <w:rStyle w:val="Hyperlink"/>
            <w:rFonts w:hint="eastAsia"/>
          </w:rPr>
          <w:t>CEDAW/C/BHR/CO/2</w:t>
        </w:r>
      </w:hyperlink>
      <w:r>
        <w:rPr>
          <w:rFonts w:hint="eastAsia"/>
        </w:rPr>
        <w:t>，第25条)。请提供最新信息，说明家庭暴力法草案的现状(第138条)。请澄清对于家庭暴力案件，报告中提到的家庭指导与调解科是否必须提供服务(第152条)，以及使用这种服务是否会导致行凶者不受起诉。请说明已采取哪些措施处理阻碍妇女举报暴力案件的文化和传统态度，并确保遭受暴力、包括家庭暴力的妇女和女孩能够得到有效补救和保护。请说明已采取哪些步骤系统地搜集关于暴力侵害妇女和女孩行为的数据。</w:t>
      </w:r>
    </w:p>
    <w:p w:rsidR="00380A32" w:rsidRDefault="00380A32" w:rsidP="00380A32">
      <w:pPr>
        <w:pStyle w:val="SingleTxt"/>
        <w:rPr>
          <w:rFonts w:hint="eastAsia"/>
        </w:rPr>
      </w:pPr>
      <w:r>
        <w:rPr>
          <w:rFonts w:hint="eastAsia"/>
        </w:rPr>
        <w:t>12.</w:t>
      </w:r>
      <w:r>
        <w:rPr>
          <w:rFonts w:hint="eastAsia"/>
        </w:rPr>
        <w:tab/>
        <w:t>请说明监察员已采取哪些措施落实巴林独立调查委员会的建议。请说明缔约国是否已经对2011年2月和3月事件之后将性暴力作为酷刑手段的行为进行任何调查和起诉。请说明缔约国是否考虑批准酷刑和其他残忍、不人道或有辱人格的待遇或处罚问题报告员访问该国。请解释司法部下属监察员和特别调查股在对关于拘留所和监狱中警察过度使用暴力、虐待和折磨的行为，尤其是针对妇女的这种行为的指控进行调查方面的作用。</w:t>
      </w:r>
    </w:p>
    <w:p w:rsidR="00380A32" w:rsidRPr="00380A32" w:rsidRDefault="00380A32" w:rsidP="00380A32">
      <w:pPr>
        <w:pStyle w:val="SingleTxt"/>
        <w:rPr>
          <w:rFonts w:ascii="SimHei" w:eastAsia="SimHei" w:hint="eastAsia"/>
        </w:rPr>
      </w:pPr>
      <w:r w:rsidRPr="00380A32">
        <w:rPr>
          <w:rFonts w:ascii="SimHei" w:eastAsia="SimHei" w:hint="eastAsia"/>
        </w:rPr>
        <w:t>贩运人口和利用卖淫营利</w:t>
      </w:r>
    </w:p>
    <w:p w:rsidR="00380A32" w:rsidRDefault="00380A32" w:rsidP="00380A32">
      <w:pPr>
        <w:pStyle w:val="SingleTxt"/>
        <w:rPr>
          <w:rFonts w:hint="eastAsia"/>
        </w:rPr>
      </w:pPr>
      <w:r>
        <w:rPr>
          <w:rFonts w:hint="eastAsia"/>
        </w:rPr>
        <w:t>13.</w:t>
      </w:r>
      <w:r>
        <w:rPr>
          <w:rFonts w:hint="eastAsia"/>
        </w:rPr>
        <w:tab/>
        <w:t>请提供详细资料，说明为监测和协调执行关于打击贩运人口的第1(2008)号法令而建立的机制(第98段)。请说明被贩运妇女和女孩可以获得哪些保护和康复服务。请说明已采取哪些措施来搜集和分析关于贩运妇女的数据并对贩运人口罪行进行调查和起诉(</w:t>
      </w:r>
      <w:hyperlink r:id="rId20" w:history="1">
        <w:r w:rsidRPr="00E72C4E">
          <w:rPr>
            <w:rStyle w:val="Hyperlink"/>
            <w:rFonts w:hint="eastAsia"/>
          </w:rPr>
          <w:t>CEDAW/C/BHR/CO/2</w:t>
        </w:r>
      </w:hyperlink>
      <w:r>
        <w:rPr>
          <w:rFonts w:hint="eastAsia"/>
        </w:rPr>
        <w:t>，第27段)。有哪些机制来防止贩运妇女和女孩、尤其是女性移徙工人等身处易受伤害境地妇女群体的行为，并在早期查明贩运行为的受害者？请说明贩运人口行为的外国受害者除了从巴林离境之外，还有哪些其他合法出路。</w:t>
      </w:r>
    </w:p>
    <w:p w:rsidR="00380A32" w:rsidRPr="00380A32" w:rsidRDefault="00380A32" w:rsidP="00380A32">
      <w:pPr>
        <w:pStyle w:val="SingleTxt"/>
        <w:rPr>
          <w:rFonts w:ascii="SimHei" w:eastAsia="SimHei" w:hint="eastAsia"/>
        </w:rPr>
      </w:pPr>
      <w:r w:rsidRPr="00380A32">
        <w:rPr>
          <w:rFonts w:ascii="SimHei" w:eastAsia="SimHei" w:hint="eastAsia"/>
        </w:rPr>
        <w:t>参政和决策</w:t>
      </w:r>
    </w:p>
    <w:p w:rsidR="00380A32" w:rsidRDefault="00380A32" w:rsidP="00380A32">
      <w:pPr>
        <w:pStyle w:val="SingleTxt"/>
        <w:rPr>
          <w:rFonts w:hint="eastAsia"/>
        </w:rPr>
      </w:pPr>
      <w:r>
        <w:rPr>
          <w:rFonts w:hint="eastAsia"/>
        </w:rPr>
        <w:t>14.</w:t>
      </w:r>
      <w:r>
        <w:rPr>
          <w:rFonts w:hint="eastAsia"/>
        </w:rPr>
        <w:tab/>
        <w:t>报告提到缔约国已采取若干提高认识的举措来促进妇女参与公共生活(第107段)。请说明这些举措产生了哪些影响，缔约国已采取哪些措施来处理所谓妇女不愿意申请民间社会组织领导职位的现象(第110段)。请说明已经调查和起诉多少涉及在公共生活中威胁、骚扰、恐吓、攻击或谋杀妇女的案件。并请说明已经采取哪些措施来保护参与公共生活的妇女。</w:t>
      </w:r>
    </w:p>
    <w:p w:rsidR="00380A32" w:rsidRPr="00380A32" w:rsidRDefault="00380A32" w:rsidP="00380A32">
      <w:pPr>
        <w:pStyle w:val="SingleTxt"/>
        <w:rPr>
          <w:rFonts w:ascii="SimHei" w:eastAsia="SimHei" w:hint="eastAsia"/>
        </w:rPr>
      </w:pPr>
      <w:r w:rsidRPr="00380A32">
        <w:rPr>
          <w:rFonts w:ascii="SimHei" w:eastAsia="SimHei" w:hint="eastAsia"/>
        </w:rPr>
        <w:t>国籍</w:t>
      </w:r>
    </w:p>
    <w:p w:rsidR="00380A32" w:rsidRDefault="00380A32" w:rsidP="00380A32">
      <w:pPr>
        <w:pStyle w:val="SingleTxt"/>
        <w:rPr>
          <w:rFonts w:hint="eastAsia"/>
        </w:rPr>
      </w:pPr>
      <w:r>
        <w:rPr>
          <w:rFonts w:hint="eastAsia"/>
        </w:rPr>
        <w:t>15.</w:t>
      </w:r>
      <w:r>
        <w:rPr>
          <w:rFonts w:hint="eastAsia"/>
        </w:rPr>
        <w:tab/>
        <w:t>请说明允许巴林妇女将国籍传给非巴林籍子女和配偶的《国籍法》修正案的现状(第82和119段；</w:t>
      </w:r>
      <w:hyperlink r:id="rId21" w:history="1">
        <w:r w:rsidRPr="00E72C4E">
          <w:rPr>
            <w:rStyle w:val="Hyperlink"/>
            <w:rFonts w:hint="eastAsia"/>
          </w:rPr>
          <w:t>CEDAW/C/BHR/CO/2</w:t>
        </w:r>
      </w:hyperlink>
      <w:r>
        <w:rPr>
          <w:rFonts w:hint="eastAsia"/>
        </w:rPr>
        <w:t>，第30段)。请说明有哪些法律理由可以剥夺巴林人的国籍，并提供按性别分列的被剥夺国籍的巴林人的最新数据。</w:t>
      </w:r>
    </w:p>
    <w:p w:rsidR="00380A32" w:rsidRPr="00380A32" w:rsidRDefault="00380A32" w:rsidP="00380A32">
      <w:pPr>
        <w:pStyle w:val="SingleTxt"/>
        <w:rPr>
          <w:rFonts w:ascii="SimHei" w:eastAsia="SimHei" w:hint="eastAsia"/>
        </w:rPr>
      </w:pPr>
      <w:r w:rsidRPr="00380A32">
        <w:rPr>
          <w:rFonts w:ascii="SimHei" w:eastAsia="SimHei" w:hint="eastAsia"/>
        </w:rPr>
        <w:t>教育</w:t>
      </w:r>
    </w:p>
    <w:p w:rsidR="00380A32" w:rsidRDefault="00380A32" w:rsidP="00380A32">
      <w:pPr>
        <w:pStyle w:val="SingleTxt"/>
        <w:rPr>
          <w:rFonts w:hint="eastAsia"/>
        </w:rPr>
      </w:pPr>
      <w:r>
        <w:rPr>
          <w:rFonts w:hint="eastAsia"/>
        </w:rPr>
        <w:t>16.</w:t>
      </w:r>
      <w:r>
        <w:rPr>
          <w:rFonts w:hint="eastAsia"/>
        </w:rPr>
        <w:tab/>
        <w:t>请说明已作出哪些努力使男孩和女孩能够平等获得职业培训机会(</w:t>
      </w:r>
      <w:hyperlink r:id="rId22" w:history="1">
        <w:r w:rsidRPr="00E72C4E">
          <w:rPr>
            <w:rStyle w:val="Hyperlink"/>
            <w:rFonts w:hint="eastAsia"/>
          </w:rPr>
          <w:t>CEDAW/C/BHR/CO/2</w:t>
        </w:r>
      </w:hyperlink>
      <w:r>
        <w:rPr>
          <w:rFonts w:hint="eastAsia"/>
        </w:rPr>
        <w:t>，第32段)。请说明旨在鼓励妇女接受非传统领域培训和教育的措施是否有任何进展。请说明已采取哪些措施确保移徙工人的子女、尤其是女孩有机会获得教育。</w:t>
      </w:r>
    </w:p>
    <w:p w:rsidR="00380A32" w:rsidRPr="00380A32" w:rsidRDefault="00380A32" w:rsidP="00380A32">
      <w:pPr>
        <w:pStyle w:val="SingleTxt"/>
        <w:rPr>
          <w:rFonts w:ascii="SimHei" w:eastAsia="SimHei" w:hint="eastAsia"/>
        </w:rPr>
      </w:pPr>
      <w:r w:rsidRPr="00380A32">
        <w:rPr>
          <w:rFonts w:ascii="SimHei" w:eastAsia="SimHei" w:hint="eastAsia"/>
        </w:rPr>
        <w:t>就业</w:t>
      </w:r>
    </w:p>
    <w:p w:rsidR="00380A32" w:rsidRDefault="00380A32" w:rsidP="00380A32">
      <w:pPr>
        <w:pStyle w:val="SingleTxt"/>
        <w:rPr>
          <w:rFonts w:hint="eastAsia"/>
        </w:rPr>
      </w:pPr>
      <w:r>
        <w:rPr>
          <w:rFonts w:hint="eastAsia"/>
        </w:rPr>
        <w:t>17.</w:t>
      </w:r>
      <w:r>
        <w:rPr>
          <w:rFonts w:hint="eastAsia"/>
        </w:rPr>
        <w:tab/>
        <w:t>请阐述旨在确保就业领域男女享有平等权利的具体措施(第94段)。并请说明现有哪些措施确保妇女在工作场所不受性骚扰。最高妇女委员会所实施的各种增加妇女参与经济领域活动的方案产生了哪些影响？</w:t>
      </w:r>
    </w:p>
    <w:p w:rsidR="00380A32" w:rsidRDefault="00380A32" w:rsidP="00380A32">
      <w:pPr>
        <w:pStyle w:val="SingleTxt"/>
        <w:rPr>
          <w:rFonts w:hint="eastAsia"/>
        </w:rPr>
      </w:pPr>
      <w:r>
        <w:rPr>
          <w:rFonts w:hint="eastAsia"/>
        </w:rPr>
        <w:t>18.</w:t>
      </w:r>
      <w:r>
        <w:rPr>
          <w:rFonts w:hint="eastAsia"/>
        </w:rPr>
        <w:tab/>
        <w:t>请解释哪个机构负责监督非巴林籍工人、包括家政工人的雇主遵守劳动法(包括第21(1994)号部长令)(第132段)。请澄清报告中提到的私营部门劳工法草案是否含有保护所有家政和外国工人的条款。有何体制机制负责在私营部门中提高对家政工人权利的认识？请说明缔约国已采取哪些具体措施确保移徙工人、尤其是女性家政工人了解自己的权利并有机会获得法律援助，例如将法律和文件翻译为英文。缔约国考虑采取哪些措施使移徙工人能够行使诉诸法律的权利？</w:t>
      </w:r>
    </w:p>
    <w:p w:rsidR="00380A32" w:rsidRDefault="00380A32" w:rsidP="00380A32">
      <w:pPr>
        <w:pStyle w:val="SingleTxt"/>
        <w:rPr>
          <w:rFonts w:hint="eastAsia"/>
        </w:rPr>
      </w:pPr>
      <w:r>
        <w:rPr>
          <w:rFonts w:hint="eastAsia"/>
        </w:rPr>
        <w:t>19.</w:t>
      </w:r>
      <w:r>
        <w:rPr>
          <w:rFonts w:hint="eastAsia"/>
        </w:rPr>
        <w:tab/>
        <w:t>请提供详细资料，说明2011年2月和3月事件之后包括许多妇女在内的公共部门员工被大批解雇和暂停雇佣的情况，以及巴林独立调查委员会相关建议的落实情况。</w:t>
      </w:r>
    </w:p>
    <w:p w:rsidR="00380A32" w:rsidRPr="00380A32" w:rsidRDefault="00380A32" w:rsidP="00380A32">
      <w:pPr>
        <w:pStyle w:val="SingleTxt"/>
        <w:rPr>
          <w:rFonts w:ascii="SimHei" w:eastAsia="SimHei" w:hint="eastAsia"/>
        </w:rPr>
      </w:pPr>
      <w:r w:rsidRPr="00380A32">
        <w:rPr>
          <w:rFonts w:ascii="SimHei" w:eastAsia="SimHei" w:hint="eastAsia"/>
        </w:rPr>
        <w:t>保健</w:t>
      </w:r>
    </w:p>
    <w:p w:rsidR="00380A32" w:rsidRDefault="00380A32" w:rsidP="00380A32">
      <w:pPr>
        <w:pStyle w:val="SingleTxt"/>
        <w:rPr>
          <w:rFonts w:hint="eastAsia"/>
        </w:rPr>
      </w:pPr>
      <w:r>
        <w:rPr>
          <w:rFonts w:hint="eastAsia"/>
        </w:rPr>
        <w:t>20.</w:t>
      </w:r>
      <w:r>
        <w:rPr>
          <w:rFonts w:hint="eastAsia"/>
        </w:rPr>
        <w:tab/>
        <w:t>请说明使用计划生育服务、包括现代避孕手段的妇女人数，并澄清妇女是否能够未经丈夫同意作出节育决定。政策规定妇女无需包括丈夫在内的任何其他人准许就可同意进行剖腹产和相关治疗(第135段)，请说明缔约国如何监测这项政策的切实执行。</w:t>
      </w:r>
    </w:p>
    <w:p w:rsidR="00380A32" w:rsidRPr="00380A32" w:rsidRDefault="00380A32" w:rsidP="00380A32">
      <w:pPr>
        <w:pStyle w:val="SingleTxt"/>
        <w:rPr>
          <w:rFonts w:ascii="SimHei" w:eastAsia="SimHei" w:hint="eastAsia"/>
        </w:rPr>
      </w:pPr>
      <w:r w:rsidRPr="00380A32">
        <w:rPr>
          <w:rFonts w:ascii="SimHei" w:eastAsia="SimHei" w:hint="eastAsia"/>
        </w:rPr>
        <w:t>婚姻和家庭关系</w:t>
      </w:r>
    </w:p>
    <w:p w:rsidR="00380A32" w:rsidRDefault="00380A32" w:rsidP="00380A32">
      <w:pPr>
        <w:pStyle w:val="SingleTxt"/>
        <w:rPr>
          <w:rFonts w:hint="eastAsia"/>
        </w:rPr>
      </w:pPr>
      <w:r>
        <w:rPr>
          <w:rFonts w:hint="eastAsia"/>
        </w:rPr>
        <w:t>21.</w:t>
      </w:r>
      <w:r>
        <w:rPr>
          <w:rFonts w:hint="eastAsia"/>
        </w:rPr>
        <w:tab/>
      </w:r>
      <w:r w:rsidRPr="00380A32">
        <w:rPr>
          <w:rFonts w:hint="eastAsia"/>
          <w:spacing w:val="-4"/>
        </w:rPr>
        <w:t>请说明缔约国已采取哪些措施依照《公约》和委员会建议，通过一项规定所有妇女在婚姻和家庭关系中享有平等权利的统一的家庭法(</w:t>
      </w:r>
      <w:hyperlink r:id="rId23" w:history="1">
        <w:r w:rsidRPr="00E72C4E">
          <w:rPr>
            <w:rStyle w:val="Hyperlink"/>
            <w:rFonts w:hint="eastAsia"/>
            <w:spacing w:val="-4"/>
          </w:rPr>
          <w:t>CEDAW/C/BHR/CO/2</w:t>
        </w:r>
      </w:hyperlink>
      <w:r w:rsidRPr="00380A32">
        <w:rPr>
          <w:rFonts w:hint="eastAsia"/>
          <w:spacing w:val="-4"/>
        </w:rPr>
        <w:t>，第39段)。请说明已采取哪些措施将女孩的最低婚龄从15岁提高到18岁。与男子相比，妇女想要离婚时面临法律、经济和社会方面的重大障碍(</w:t>
      </w:r>
      <w:hyperlink r:id="rId24" w:history="1">
        <w:r w:rsidRPr="00E72C4E">
          <w:rPr>
            <w:rStyle w:val="Hyperlink"/>
            <w:rFonts w:hint="eastAsia"/>
            <w:spacing w:val="-4"/>
          </w:rPr>
          <w:t>CEDAW/C/BHR/CO/2</w:t>
        </w:r>
      </w:hyperlink>
      <w:r w:rsidRPr="00380A32">
        <w:rPr>
          <w:rFonts w:hint="eastAsia"/>
          <w:spacing w:val="-4"/>
        </w:rPr>
        <w:t>，</w:t>
      </w:r>
      <w:r>
        <w:rPr>
          <w:rFonts w:hint="eastAsia"/>
        </w:rPr>
        <w:t>第41段)，请说明正在采取哪些措施应对这种现象。</w:t>
      </w:r>
    </w:p>
    <w:p w:rsidR="00EA31C3" w:rsidRPr="00380A32" w:rsidRDefault="00380A32" w:rsidP="00380A32">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EA31C3" w:rsidRPr="00380A32" w:rsidSect="008A0176">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19T00:12:00Z" w:initials="Start">
    <w:p w:rsidR="00E72C4E" w:rsidRDefault="00E72C4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NO&gt;&gt;N1341619C&lt;&lt;ODS JOB NO&gt;&gt;</w:t>
      </w:r>
    </w:p>
    <w:p w:rsidR="00E72C4E" w:rsidRDefault="00E72C4E">
      <w:pPr>
        <w:pStyle w:val="CommentText"/>
      </w:pPr>
      <w:r>
        <w:t>&lt;&lt;ODS DOC SYMBOL1&gt;&gt;CEDAW/C/BHR/Q/3&lt;&lt;ODS DOC SYMBOL1&gt;&gt;</w:t>
      </w:r>
    </w:p>
    <w:p w:rsidR="00E72C4E" w:rsidRDefault="00E72C4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4407" w:rsidRDefault="00E24407">
      <w:r>
        <w:separator/>
      </w:r>
    </w:p>
  </w:endnote>
  <w:endnote w:type="continuationSeparator" w:id="0">
    <w:p w:rsidR="00E24407" w:rsidRDefault="00E244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72C4E" w:rsidTr="008A0176">
      <w:tblPrEx>
        <w:tblCellMar>
          <w:top w:w="0" w:type="dxa"/>
          <w:bottom w:w="0" w:type="dxa"/>
        </w:tblCellMar>
      </w:tblPrEx>
      <w:tc>
        <w:tcPr>
          <w:tcW w:w="5033" w:type="dxa"/>
          <w:shd w:val="clear" w:color="auto" w:fill="auto"/>
        </w:tcPr>
        <w:p w:rsidR="00E72C4E" w:rsidRPr="008A0176" w:rsidRDefault="00E72C4E" w:rsidP="008A0176">
          <w:pPr>
            <w:pStyle w:val="Footer"/>
            <w:jc w:val="right"/>
            <w:rPr>
              <w:b w:val="0"/>
              <w:w w:val="103"/>
              <w:sz w:val="14"/>
            </w:rPr>
          </w:pPr>
          <w:fldSimple w:instr=" DOCVARIABLE &quot;FooterJN&quot; \* MERGEFORMAT ">
            <w:r>
              <w:rPr>
                <w:b w:val="0"/>
                <w:w w:val="103"/>
                <w:sz w:val="14"/>
              </w:rPr>
              <w:t>13-41619 (C)</w:t>
            </w:r>
          </w:fldSimple>
        </w:p>
      </w:tc>
      <w:tc>
        <w:tcPr>
          <w:tcW w:w="5033" w:type="dxa"/>
          <w:shd w:val="clear" w:color="auto" w:fill="auto"/>
        </w:tcPr>
        <w:p w:rsidR="00E72C4E" w:rsidRPr="008A0176" w:rsidRDefault="00E72C4E" w:rsidP="008A0176">
          <w:pPr>
            <w:pStyle w:val="Footer"/>
            <w:jc w:val="left"/>
            <w:rPr>
              <w:w w:val="103"/>
            </w:rPr>
          </w:pPr>
          <w:r>
            <w:rPr>
              <w:w w:val="103"/>
            </w:rPr>
            <w:fldChar w:fldCharType="begin"/>
          </w:r>
          <w:r>
            <w:rPr>
              <w:w w:val="103"/>
            </w:rPr>
            <w:instrText xml:space="preserve"> PAGE  \* Arabic  \* MERGEFORMAT </w:instrText>
          </w:r>
          <w:r>
            <w:rPr>
              <w:w w:val="103"/>
            </w:rPr>
            <w:fldChar w:fldCharType="separate"/>
          </w:r>
          <w:r w:rsidR="002E54FD">
            <w:rPr>
              <w:w w:val="103"/>
            </w:rPr>
            <w:t>4</w:t>
          </w:r>
          <w:r>
            <w:rPr>
              <w:w w:val="103"/>
            </w:rPr>
            <w:fldChar w:fldCharType="end"/>
          </w:r>
          <w:r>
            <w:rPr>
              <w:w w:val="103"/>
            </w:rPr>
            <w:t>/</w:t>
          </w:r>
          <w:fldSimple w:instr=" NUMPAGES  \* Arabic  \* MERGEFORMAT ">
            <w:r>
              <w:rPr>
                <w:w w:val="103"/>
              </w:rPr>
              <w:t>4</w:t>
            </w:r>
          </w:fldSimple>
        </w:p>
      </w:tc>
    </w:tr>
  </w:tbl>
  <w:p w:rsidR="00E72C4E" w:rsidRPr="008A0176" w:rsidRDefault="00E72C4E" w:rsidP="008A017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72C4E" w:rsidTr="008A0176">
      <w:tblPrEx>
        <w:tblCellMar>
          <w:top w:w="0" w:type="dxa"/>
          <w:bottom w:w="0" w:type="dxa"/>
        </w:tblCellMar>
      </w:tblPrEx>
      <w:tc>
        <w:tcPr>
          <w:tcW w:w="5033" w:type="dxa"/>
          <w:shd w:val="clear" w:color="auto" w:fill="auto"/>
        </w:tcPr>
        <w:p w:rsidR="00E72C4E" w:rsidRPr="008A0176" w:rsidRDefault="00E72C4E" w:rsidP="008A0176">
          <w:pPr>
            <w:pStyle w:val="Footer"/>
            <w:jc w:val="right"/>
          </w:pPr>
          <w:fldSimple w:instr=" PAGE  \* Arabic  \* MERGEFORMAT ">
            <w:r w:rsidR="002E54FD">
              <w:t>3</w:t>
            </w:r>
          </w:fldSimple>
          <w:r>
            <w:t>/</w:t>
          </w:r>
          <w:fldSimple w:instr=" NUMPAGES  \* Arabic  \* MERGEFORMAT ">
            <w:r>
              <w:t>4</w:t>
            </w:r>
          </w:fldSimple>
        </w:p>
      </w:tc>
      <w:tc>
        <w:tcPr>
          <w:tcW w:w="5033" w:type="dxa"/>
          <w:shd w:val="clear" w:color="auto" w:fill="auto"/>
        </w:tcPr>
        <w:p w:rsidR="00E72C4E" w:rsidRPr="008A0176" w:rsidRDefault="00E72C4E" w:rsidP="008A0176">
          <w:pPr>
            <w:pStyle w:val="Footer"/>
            <w:jc w:val="left"/>
            <w:rPr>
              <w:b w:val="0"/>
              <w:w w:val="103"/>
              <w:sz w:val="14"/>
            </w:rPr>
          </w:pPr>
          <w:fldSimple w:instr=" DOCVARIABLE &quot;FooterJN&quot; \* MERGEFORMAT ">
            <w:r>
              <w:rPr>
                <w:b w:val="0"/>
                <w:w w:val="103"/>
                <w:sz w:val="14"/>
              </w:rPr>
              <w:t>13-41619 (C)</w:t>
            </w:r>
          </w:fldSimple>
        </w:p>
      </w:tc>
    </w:tr>
  </w:tbl>
  <w:p w:rsidR="00E72C4E" w:rsidRPr="008A0176" w:rsidRDefault="00E72C4E" w:rsidP="008A017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72C4E" w:rsidTr="008A0176">
      <w:tblPrEx>
        <w:tblCellMar>
          <w:top w:w="0" w:type="dxa"/>
          <w:bottom w:w="0" w:type="dxa"/>
        </w:tblCellMar>
      </w:tblPrEx>
      <w:tc>
        <w:tcPr>
          <w:tcW w:w="5033" w:type="dxa"/>
        </w:tcPr>
        <w:p w:rsidR="00E72C4E" w:rsidRDefault="00E72C4E" w:rsidP="008A0176">
          <w:pPr>
            <w:pStyle w:val="Footer"/>
            <w:rPr>
              <w:b w:val="0"/>
              <w:sz w:val="21"/>
            </w:rPr>
          </w:pPr>
          <w:fldSimple w:instr=" DOCVARIABLE &quot;jobn&quot; \* MERGEFORMAT ">
            <w:r>
              <w:rPr>
                <w:b w:val="0"/>
                <w:sz w:val="21"/>
              </w:rPr>
              <w:t>13-41619 (C)</w:t>
            </w:r>
          </w:fldSimple>
          <w:r>
            <w:rPr>
              <w:b w:val="0"/>
              <w:sz w:val="21"/>
            </w:rPr>
            <w:t xml:space="preserve">    1</w:t>
          </w:r>
          <w:r>
            <w:rPr>
              <w:rFonts w:hint="eastAsia"/>
              <w:b w:val="0"/>
              <w:sz w:val="21"/>
            </w:rPr>
            <w:t>7</w:t>
          </w:r>
          <w:r>
            <w:rPr>
              <w:b w:val="0"/>
              <w:sz w:val="21"/>
            </w:rPr>
            <w:t xml:space="preserve">1013    </w:t>
          </w:r>
          <w:r>
            <w:rPr>
              <w:rFonts w:hint="eastAsia"/>
              <w:b w:val="0"/>
              <w:sz w:val="21"/>
            </w:rPr>
            <w:t>05</w:t>
          </w:r>
          <w:r>
            <w:rPr>
              <w:b w:val="0"/>
              <w:sz w:val="21"/>
            </w:rPr>
            <w:t>1</w:t>
          </w:r>
          <w:r>
            <w:rPr>
              <w:rFonts w:hint="eastAsia"/>
              <w:b w:val="0"/>
              <w:sz w:val="21"/>
            </w:rPr>
            <w:t>1</w:t>
          </w:r>
          <w:r>
            <w:rPr>
              <w:b w:val="0"/>
              <w:sz w:val="21"/>
            </w:rPr>
            <w:t>13</w:t>
          </w:r>
        </w:p>
        <w:p w:rsidR="00E72C4E" w:rsidRPr="008A0176" w:rsidRDefault="00E72C4E" w:rsidP="008A0176">
          <w:pPr>
            <w:spacing w:before="80" w:line="210" w:lineRule="exact"/>
            <w:rPr>
              <w:rFonts w:ascii="Barcode 3 of 9 by request" w:hAnsi="Barcode 3 of 9 by request"/>
              <w:sz w:val="24"/>
            </w:rPr>
          </w:pPr>
          <w:r>
            <w:rPr>
              <w:rFonts w:ascii="Barcode 3 of 9 by request" w:hAnsi="Barcode 3 of 9 by request" w:hint="eastAsia"/>
              <w:sz w:val="24"/>
            </w:rPr>
            <w:t>*1341619*</w:t>
          </w:r>
        </w:p>
      </w:tc>
      <w:tc>
        <w:tcPr>
          <w:tcW w:w="3686" w:type="dxa"/>
        </w:tcPr>
        <w:p w:rsidR="00E72C4E" w:rsidRDefault="00E72C4E" w:rsidP="008A0176">
          <w:pPr>
            <w:pStyle w:val="Footer"/>
            <w:jc w:val="right"/>
            <w:rPr>
              <w:b w:val="0"/>
              <w:sz w:val="21"/>
            </w:rPr>
          </w:pPr>
          <w:r w:rsidRPr="008A0176">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E72C4E" w:rsidRPr="008A0176" w:rsidRDefault="00E72C4E" w:rsidP="008A0176">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4407" w:rsidRPr="00380A32" w:rsidRDefault="00E24407" w:rsidP="00380A32">
      <w:pPr>
        <w:pStyle w:val="Footer"/>
        <w:spacing w:after="80"/>
        <w:ind w:left="792"/>
        <w:rPr>
          <w:sz w:val="16"/>
        </w:rPr>
      </w:pPr>
      <w:r w:rsidRPr="00380A32">
        <w:rPr>
          <w:sz w:val="16"/>
        </w:rPr>
        <w:t>__________________</w:t>
      </w:r>
    </w:p>
  </w:footnote>
  <w:footnote w:type="continuationSeparator" w:id="0">
    <w:p w:rsidR="00E24407" w:rsidRPr="00380A32" w:rsidRDefault="00E24407" w:rsidP="00380A32">
      <w:pPr>
        <w:pStyle w:val="Footer"/>
        <w:spacing w:after="80"/>
        <w:ind w:left="792"/>
        <w:rPr>
          <w:sz w:val="16"/>
        </w:rPr>
      </w:pPr>
      <w:r w:rsidRPr="00380A32">
        <w:rPr>
          <w:sz w:val="16"/>
        </w:rPr>
        <w:t>__________________</w:t>
      </w:r>
    </w:p>
  </w:footnote>
  <w:footnote w:id="1">
    <w:p w:rsidR="00E72C4E" w:rsidRDefault="00E72C4E" w:rsidP="00380A32">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rPr>
          <w:rFonts w:hint="eastAsia"/>
        </w:rPr>
        <w:tab/>
      </w:r>
      <w:r w:rsidRPr="00380A32">
        <w:rPr>
          <w:rFonts w:ascii="Times New Roman"/>
          <w:sz w:val="21"/>
          <w:szCs w:val="21"/>
          <w:vertAlign w:val="superscript"/>
        </w:rPr>
        <w:t>*</w:t>
      </w:r>
      <w:r>
        <w:rPr>
          <w:rFonts w:hint="eastAsia"/>
        </w:rPr>
        <w:tab/>
        <w:t>委员会在第五十七届会议(2013年7月29日至8月2日)会前工作组中通过。</w:t>
      </w:r>
    </w:p>
    <w:p w:rsidR="00E72C4E" w:rsidRDefault="00E72C4E" w:rsidP="00380A32">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除非另有说明，段号是指缔约国第三次定期报告(CEDAW/C/BHR/3)。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72C4E" w:rsidTr="008A0176">
      <w:tblPrEx>
        <w:tblCellMar>
          <w:top w:w="0" w:type="dxa"/>
          <w:bottom w:w="0" w:type="dxa"/>
        </w:tblCellMar>
      </w:tblPrEx>
      <w:trPr>
        <w:trHeight w:hRule="exact" w:val="864"/>
      </w:trPr>
      <w:tc>
        <w:tcPr>
          <w:tcW w:w="4838" w:type="dxa"/>
          <w:shd w:val="clear" w:color="auto" w:fill="auto"/>
          <w:vAlign w:val="bottom"/>
        </w:tcPr>
        <w:p w:rsidR="00E72C4E" w:rsidRPr="008A0176" w:rsidRDefault="00E72C4E" w:rsidP="008A0176">
          <w:pPr>
            <w:pStyle w:val="Header"/>
            <w:spacing w:after="80"/>
            <w:jc w:val="left"/>
            <w:rPr>
              <w:b/>
              <w:sz w:val="17"/>
            </w:rPr>
          </w:pPr>
          <w:fldSimple w:instr=" DOCVARIABLE &quot;sss1&quot; \* MERGEFORMAT ">
            <w:r>
              <w:rPr>
                <w:b/>
                <w:sz w:val="17"/>
              </w:rPr>
              <w:t>CEDAW/C/BHR/Q/3</w:t>
            </w:r>
          </w:fldSimple>
        </w:p>
      </w:tc>
      <w:tc>
        <w:tcPr>
          <w:tcW w:w="5033" w:type="dxa"/>
          <w:shd w:val="clear" w:color="auto" w:fill="auto"/>
          <w:vAlign w:val="bottom"/>
        </w:tcPr>
        <w:p w:rsidR="00E72C4E" w:rsidRDefault="00E72C4E" w:rsidP="008A0176">
          <w:pPr>
            <w:pStyle w:val="Header"/>
          </w:pPr>
        </w:p>
      </w:tc>
    </w:tr>
  </w:tbl>
  <w:p w:rsidR="00E72C4E" w:rsidRPr="008A0176" w:rsidRDefault="00E72C4E" w:rsidP="008A017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72C4E" w:rsidTr="008A0176">
      <w:tblPrEx>
        <w:tblCellMar>
          <w:top w:w="0" w:type="dxa"/>
          <w:bottom w:w="0" w:type="dxa"/>
        </w:tblCellMar>
      </w:tblPrEx>
      <w:trPr>
        <w:trHeight w:hRule="exact" w:val="864"/>
      </w:trPr>
      <w:tc>
        <w:tcPr>
          <w:tcW w:w="4838" w:type="dxa"/>
          <w:shd w:val="clear" w:color="auto" w:fill="auto"/>
          <w:vAlign w:val="bottom"/>
        </w:tcPr>
        <w:p w:rsidR="00E72C4E" w:rsidRDefault="00E72C4E" w:rsidP="008A0176">
          <w:pPr>
            <w:pStyle w:val="Header"/>
          </w:pPr>
        </w:p>
      </w:tc>
      <w:tc>
        <w:tcPr>
          <w:tcW w:w="5033" w:type="dxa"/>
          <w:shd w:val="clear" w:color="auto" w:fill="auto"/>
          <w:vAlign w:val="bottom"/>
        </w:tcPr>
        <w:p w:rsidR="00E72C4E" w:rsidRPr="008A0176" w:rsidRDefault="00E72C4E" w:rsidP="008A0176">
          <w:pPr>
            <w:pStyle w:val="Header"/>
            <w:spacing w:after="80"/>
            <w:jc w:val="right"/>
            <w:rPr>
              <w:b/>
              <w:sz w:val="17"/>
            </w:rPr>
          </w:pPr>
          <w:fldSimple w:instr=" DOCVARIABLE &quot;sss1&quot; \* MERGEFORMAT ">
            <w:r>
              <w:rPr>
                <w:b/>
                <w:sz w:val="17"/>
              </w:rPr>
              <w:t>CEDAW/C/BHR/Q/3</w:t>
            </w:r>
          </w:fldSimple>
        </w:p>
      </w:tc>
    </w:tr>
  </w:tbl>
  <w:p w:rsidR="00E72C4E" w:rsidRPr="008A0176" w:rsidRDefault="00E72C4E" w:rsidP="008A017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E72C4E" w:rsidTr="008A017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72C4E" w:rsidRDefault="00E72C4E" w:rsidP="008A0176">
          <w:pPr>
            <w:pStyle w:val="Header"/>
            <w:spacing w:after="120"/>
          </w:pPr>
        </w:p>
      </w:tc>
      <w:tc>
        <w:tcPr>
          <w:tcW w:w="1872" w:type="dxa"/>
          <w:tcBorders>
            <w:bottom w:val="single" w:sz="4" w:space="0" w:color="auto"/>
          </w:tcBorders>
          <w:shd w:val="clear" w:color="auto" w:fill="auto"/>
          <w:vAlign w:val="bottom"/>
        </w:tcPr>
        <w:p w:rsidR="00E72C4E" w:rsidRPr="008A0176" w:rsidRDefault="00E72C4E" w:rsidP="008A017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72C4E" w:rsidRDefault="00E72C4E" w:rsidP="008A0176">
          <w:pPr>
            <w:pStyle w:val="Header"/>
            <w:spacing w:after="120"/>
          </w:pPr>
        </w:p>
      </w:tc>
      <w:tc>
        <w:tcPr>
          <w:tcW w:w="6523" w:type="dxa"/>
          <w:gridSpan w:val="3"/>
          <w:tcBorders>
            <w:bottom w:val="single" w:sz="4" w:space="0" w:color="auto"/>
          </w:tcBorders>
          <w:shd w:val="clear" w:color="auto" w:fill="auto"/>
          <w:vAlign w:val="bottom"/>
        </w:tcPr>
        <w:p w:rsidR="00E72C4E" w:rsidRPr="008A0176" w:rsidRDefault="00E72C4E" w:rsidP="008A0176">
          <w:pPr>
            <w:spacing w:after="80" w:line="240" w:lineRule="auto"/>
            <w:jc w:val="right"/>
            <w:rPr>
              <w:rFonts w:ascii="Times New Roman"/>
              <w:position w:val="-4"/>
            </w:rPr>
          </w:pPr>
          <w:r>
            <w:rPr>
              <w:rFonts w:ascii="Times New Roman"/>
              <w:position w:val="-4"/>
              <w:sz w:val="40"/>
            </w:rPr>
            <w:t>CEDAW</w:t>
          </w:r>
          <w:r>
            <w:rPr>
              <w:rFonts w:ascii="Times New Roman"/>
              <w:position w:val="-4"/>
            </w:rPr>
            <w:t>/C/BHR/Q/3</w:t>
          </w:r>
        </w:p>
      </w:tc>
    </w:tr>
    <w:tr w:rsidR="00E72C4E" w:rsidRPr="008A0176" w:rsidTr="008A017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72C4E" w:rsidRDefault="00E72C4E" w:rsidP="008A017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72C4E" w:rsidRPr="008A0176" w:rsidRDefault="00E72C4E" w:rsidP="008A0176">
          <w:pPr>
            <w:pStyle w:val="Header"/>
            <w:spacing w:before="109"/>
            <w:ind w:left="-72"/>
          </w:pPr>
        </w:p>
      </w:tc>
      <w:tc>
        <w:tcPr>
          <w:tcW w:w="5227" w:type="dxa"/>
          <w:gridSpan w:val="3"/>
          <w:tcBorders>
            <w:top w:val="single" w:sz="4" w:space="0" w:color="auto"/>
            <w:bottom w:val="single" w:sz="12" w:space="0" w:color="auto"/>
          </w:tcBorders>
          <w:shd w:val="clear" w:color="auto" w:fill="auto"/>
        </w:tcPr>
        <w:p w:rsidR="00E72C4E" w:rsidRPr="008A0176" w:rsidRDefault="00E72C4E" w:rsidP="008A017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72C4E" w:rsidRPr="008A0176" w:rsidRDefault="00E72C4E" w:rsidP="008A0176">
          <w:pPr>
            <w:pStyle w:val="Header"/>
            <w:spacing w:before="109"/>
          </w:pPr>
        </w:p>
      </w:tc>
      <w:tc>
        <w:tcPr>
          <w:tcW w:w="3180" w:type="dxa"/>
          <w:gridSpan w:val="2"/>
          <w:tcBorders>
            <w:top w:val="single" w:sz="4" w:space="0" w:color="auto"/>
            <w:bottom w:val="single" w:sz="12" w:space="0" w:color="auto"/>
          </w:tcBorders>
          <w:shd w:val="clear" w:color="auto" w:fill="auto"/>
        </w:tcPr>
        <w:p w:rsidR="00E72C4E" w:rsidRDefault="00E72C4E" w:rsidP="008A0176">
          <w:pPr>
            <w:spacing w:before="240" w:line="240" w:lineRule="exact"/>
            <w:rPr>
              <w:rFonts w:ascii="Times New Roman"/>
            </w:rPr>
          </w:pPr>
          <w:r>
            <w:rPr>
              <w:rFonts w:ascii="Times New Roman"/>
            </w:rPr>
            <w:t>Distr.: General</w:t>
          </w:r>
        </w:p>
        <w:p w:rsidR="00E72C4E" w:rsidRDefault="00E72C4E" w:rsidP="008A0176">
          <w:pPr>
            <w:spacing w:line="240" w:lineRule="exact"/>
            <w:rPr>
              <w:rFonts w:ascii="Times New Roman"/>
            </w:rPr>
          </w:pPr>
          <w:r>
            <w:rPr>
              <w:rFonts w:ascii="Times New Roman"/>
            </w:rPr>
            <w:t>2 August 2013</w:t>
          </w:r>
        </w:p>
        <w:p w:rsidR="00E72C4E" w:rsidRDefault="00E72C4E" w:rsidP="008A0176">
          <w:pPr>
            <w:spacing w:line="240" w:lineRule="exact"/>
            <w:rPr>
              <w:rFonts w:ascii="Times New Roman"/>
            </w:rPr>
          </w:pPr>
          <w:r>
            <w:rPr>
              <w:rFonts w:ascii="Times New Roman"/>
            </w:rPr>
            <w:t>Chinese</w:t>
          </w:r>
        </w:p>
        <w:p w:rsidR="00E72C4E" w:rsidRPr="008A0176" w:rsidRDefault="00E72C4E" w:rsidP="008A0176">
          <w:pPr>
            <w:spacing w:line="240" w:lineRule="exact"/>
            <w:rPr>
              <w:rFonts w:ascii="Times New Roman"/>
            </w:rPr>
          </w:pPr>
          <w:r>
            <w:rPr>
              <w:rFonts w:ascii="Times New Roman"/>
            </w:rPr>
            <w:t>Original: English</w:t>
          </w:r>
        </w:p>
      </w:tc>
    </w:tr>
  </w:tbl>
  <w:p w:rsidR="00E72C4E" w:rsidRPr="008A0176" w:rsidRDefault="00E72C4E" w:rsidP="008A017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19*"/>
    <w:docVar w:name="CreationDt" w:val="19/10/2013 00:01:43"/>
    <w:docVar w:name="DocCategory" w:val="Doc"/>
    <w:docVar w:name="DocType" w:val="Final"/>
    <w:docVar w:name="FooterJN" w:val="13-41619 (C)"/>
    <w:docVar w:name="jobn" w:val="13-41619 (C)"/>
    <w:docVar w:name="jobnDT" w:val="13-41619 (C)   191013"/>
    <w:docVar w:name="jobnDTDT" w:val="13-41619 (C)   191013   191013"/>
    <w:docVar w:name="JobNo" w:val="1341619C"/>
    <w:docVar w:name="OandT" w:val="sheng"/>
    <w:docVar w:name="sss1" w:val="CEDAW/C/BHR/Q/3"/>
    <w:docVar w:name="sss2" w:val="-"/>
    <w:docVar w:name="Symbol1" w:val="CEDAW/C/BHR/Q/3"/>
    <w:docVar w:name="Symbol2" w:val="-"/>
  </w:docVars>
  <w:rsids>
    <w:rsidRoot w:val="009B17B1"/>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85838"/>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54FD"/>
    <w:rsid w:val="002E66D5"/>
    <w:rsid w:val="002F41E2"/>
    <w:rsid w:val="003063F6"/>
    <w:rsid w:val="00320C99"/>
    <w:rsid w:val="003274A9"/>
    <w:rsid w:val="00331221"/>
    <w:rsid w:val="00346223"/>
    <w:rsid w:val="00363610"/>
    <w:rsid w:val="003649EE"/>
    <w:rsid w:val="00371BC6"/>
    <w:rsid w:val="00373A15"/>
    <w:rsid w:val="00376C04"/>
    <w:rsid w:val="00380A32"/>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83DB0"/>
    <w:rsid w:val="00884C8F"/>
    <w:rsid w:val="00896D38"/>
    <w:rsid w:val="008A0176"/>
    <w:rsid w:val="008A0216"/>
    <w:rsid w:val="008C076B"/>
    <w:rsid w:val="008C3296"/>
    <w:rsid w:val="008C3413"/>
    <w:rsid w:val="008E2D03"/>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B1250"/>
    <w:rsid w:val="009B17B1"/>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72E47"/>
    <w:rsid w:val="00A750A5"/>
    <w:rsid w:val="00A778F1"/>
    <w:rsid w:val="00A90956"/>
    <w:rsid w:val="00A95404"/>
    <w:rsid w:val="00A968C5"/>
    <w:rsid w:val="00AA3C28"/>
    <w:rsid w:val="00AA759D"/>
    <w:rsid w:val="00AB2786"/>
    <w:rsid w:val="00AC550F"/>
    <w:rsid w:val="00AD4308"/>
    <w:rsid w:val="00AF2A33"/>
    <w:rsid w:val="00B014C7"/>
    <w:rsid w:val="00B03EFA"/>
    <w:rsid w:val="00B171E7"/>
    <w:rsid w:val="00B309DD"/>
    <w:rsid w:val="00B36621"/>
    <w:rsid w:val="00B36D64"/>
    <w:rsid w:val="00B41B48"/>
    <w:rsid w:val="00B55E1D"/>
    <w:rsid w:val="00B56194"/>
    <w:rsid w:val="00B60F41"/>
    <w:rsid w:val="00B61A34"/>
    <w:rsid w:val="00B64E8E"/>
    <w:rsid w:val="00B65E8B"/>
    <w:rsid w:val="00B8025A"/>
    <w:rsid w:val="00B827B1"/>
    <w:rsid w:val="00B9116F"/>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1A27"/>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4407"/>
    <w:rsid w:val="00E25442"/>
    <w:rsid w:val="00E25A1F"/>
    <w:rsid w:val="00E34E6A"/>
    <w:rsid w:val="00E35B72"/>
    <w:rsid w:val="00E37EEB"/>
    <w:rsid w:val="00E5153D"/>
    <w:rsid w:val="00E710FB"/>
    <w:rsid w:val="00E72C4E"/>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CRC/C/BHR/CO/2"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undocs.org/ch/CEDAW/C/BHR/CO/2"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DAW/C/BHR/CO/2"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undocs.org/ch/CEDAW/C/BHR/CO/2" TargetMode="External"/><Relationship Id="rId20" Type="http://schemas.openxmlformats.org/officeDocument/2006/relationships/hyperlink" Target="http://undocs.org/ch/CEDAW/C/BHR/CO/2"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h/CEDAW/C/BHR/CO/2" TargetMode="External"/><Relationship Id="rId5" Type="http://schemas.openxmlformats.org/officeDocument/2006/relationships/endnotes" Target="endnotes.xml"/><Relationship Id="rId15" Type="http://schemas.openxmlformats.org/officeDocument/2006/relationships/hyperlink" Target="http://undocs.org/ch/A/HRC/21/6/Add.1/Rev.1" TargetMode="External"/><Relationship Id="rId23" Type="http://schemas.openxmlformats.org/officeDocument/2006/relationships/hyperlink" Target="http://undocs.org/ch/CEDAW/C/BHR/CO/2" TargetMode="External"/><Relationship Id="rId10" Type="http://schemas.openxmlformats.org/officeDocument/2006/relationships/header" Target="header3.xml"/><Relationship Id="rId19" Type="http://schemas.openxmlformats.org/officeDocument/2006/relationships/hyperlink" Target="http://undocs.org/ch/CEDAW/C/BHR/CO/2"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BHR/CO/2" TargetMode="External"/><Relationship Id="rId22" Type="http://schemas.openxmlformats.org/officeDocument/2006/relationships/hyperlink" Target="http://undocs.org/ch/CEDAW/C/BHR/CO/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1</Pages>
  <Words>1901</Words>
  <Characters>2073</Characters>
  <Application>Microsoft Office Outlook</Application>
  <DocSecurity>4</DocSecurity>
  <Lines>74</Lines>
  <Paragraphs>46</Paragraphs>
  <ScaleCrop>false</ScaleCrop>
  <Company>United Nations</Company>
  <LinksUpToDate>false</LinksUpToDate>
  <CharactersWithSpaces>3928</CharactersWithSpaces>
  <SharedDoc>false</SharedDoc>
  <HLinks>
    <vt:vector size="66" baseType="variant">
      <vt:variant>
        <vt:i4>851987</vt:i4>
      </vt:variant>
      <vt:variant>
        <vt:i4>30</vt:i4>
      </vt:variant>
      <vt:variant>
        <vt:i4>0</vt:i4>
      </vt:variant>
      <vt:variant>
        <vt:i4>5</vt:i4>
      </vt:variant>
      <vt:variant>
        <vt:lpwstr>http://undocs.org/ch/CEDAW/C/BHR/CO/2</vt:lpwstr>
      </vt:variant>
      <vt:variant>
        <vt:lpwstr/>
      </vt:variant>
      <vt:variant>
        <vt:i4>851987</vt:i4>
      </vt:variant>
      <vt:variant>
        <vt:i4>27</vt:i4>
      </vt:variant>
      <vt:variant>
        <vt:i4>0</vt:i4>
      </vt:variant>
      <vt:variant>
        <vt:i4>5</vt:i4>
      </vt:variant>
      <vt:variant>
        <vt:lpwstr>http://undocs.org/ch/CEDAW/C/BHR/CO/2</vt:lpwstr>
      </vt:variant>
      <vt:variant>
        <vt:lpwstr/>
      </vt:variant>
      <vt:variant>
        <vt:i4>851987</vt:i4>
      </vt:variant>
      <vt:variant>
        <vt:i4>24</vt:i4>
      </vt:variant>
      <vt:variant>
        <vt:i4>0</vt:i4>
      </vt:variant>
      <vt:variant>
        <vt:i4>5</vt:i4>
      </vt:variant>
      <vt:variant>
        <vt:lpwstr>http://undocs.org/ch/CEDAW/C/BHR/CO/2</vt:lpwstr>
      </vt:variant>
      <vt:variant>
        <vt:lpwstr/>
      </vt:variant>
      <vt:variant>
        <vt:i4>851987</vt:i4>
      </vt:variant>
      <vt:variant>
        <vt:i4>21</vt:i4>
      </vt:variant>
      <vt:variant>
        <vt:i4>0</vt:i4>
      </vt:variant>
      <vt:variant>
        <vt:i4>5</vt:i4>
      </vt:variant>
      <vt:variant>
        <vt:lpwstr>http://undocs.org/ch/CEDAW/C/BHR/CO/2</vt:lpwstr>
      </vt:variant>
      <vt:variant>
        <vt:lpwstr/>
      </vt:variant>
      <vt:variant>
        <vt:i4>851987</vt:i4>
      </vt:variant>
      <vt:variant>
        <vt:i4>18</vt:i4>
      </vt:variant>
      <vt:variant>
        <vt:i4>0</vt:i4>
      </vt:variant>
      <vt:variant>
        <vt:i4>5</vt:i4>
      </vt:variant>
      <vt:variant>
        <vt:lpwstr>http://undocs.org/ch/CEDAW/C/BHR/CO/2</vt:lpwstr>
      </vt:variant>
      <vt:variant>
        <vt:lpwstr/>
      </vt:variant>
      <vt:variant>
        <vt:i4>851987</vt:i4>
      </vt:variant>
      <vt:variant>
        <vt:i4>15</vt:i4>
      </vt:variant>
      <vt:variant>
        <vt:i4>0</vt:i4>
      </vt:variant>
      <vt:variant>
        <vt:i4>5</vt:i4>
      </vt:variant>
      <vt:variant>
        <vt:lpwstr>http://undocs.org/ch/CEDAW/C/BHR/CO/2</vt:lpwstr>
      </vt:variant>
      <vt:variant>
        <vt:lpwstr/>
      </vt:variant>
      <vt:variant>
        <vt:i4>8192101</vt:i4>
      </vt:variant>
      <vt:variant>
        <vt:i4>12</vt:i4>
      </vt:variant>
      <vt:variant>
        <vt:i4>0</vt:i4>
      </vt:variant>
      <vt:variant>
        <vt:i4>5</vt:i4>
      </vt:variant>
      <vt:variant>
        <vt:lpwstr>http://undocs.org/ch/CRC/C/BHR/CO/2</vt:lpwstr>
      </vt:variant>
      <vt:variant>
        <vt:lpwstr/>
      </vt:variant>
      <vt:variant>
        <vt:i4>851987</vt:i4>
      </vt:variant>
      <vt:variant>
        <vt:i4>9</vt:i4>
      </vt:variant>
      <vt:variant>
        <vt:i4>0</vt:i4>
      </vt:variant>
      <vt:variant>
        <vt:i4>5</vt:i4>
      </vt:variant>
      <vt:variant>
        <vt:lpwstr>http://undocs.org/ch/CEDAW/C/BHR/CO/2</vt:lpwstr>
      </vt:variant>
      <vt:variant>
        <vt:lpwstr/>
      </vt:variant>
      <vt:variant>
        <vt:i4>851987</vt:i4>
      </vt:variant>
      <vt:variant>
        <vt:i4>6</vt:i4>
      </vt:variant>
      <vt:variant>
        <vt:i4>0</vt:i4>
      </vt:variant>
      <vt:variant>
        <vt:i4>5</vt:i4>
      </vt:variant>
      <vt:variant>
        <vt:lpwstr>http://undocs.org/ch/CEDAW/C/BHR/CO/2</vt:lpwstr>
      </vt:variant>
      <vt:variant>
        <vt:lpwstr/>
      </vt:variant>
      <vt:variant>
        <vt:i4>3407994</vt:i4>
      </vt:variant>
      <vt:variant>
        <vt:i4>3</vt:i4>
      </vt:variant>
      <vt:variant>
        <vt:i4>0</vt:i4>
      </vt:variant>
      <vt:variant>
        <vt:i4>5</vt:i4>
      </vt:variant>
      <vt:variant>
        <vt:lpwstr>http://undocs.org/ch/A/HRC/21/6/Add.1/Rev.1</vt:lpwstr>
      </vt:variant>
      <vt:variant>
        <vt:lpwstr/>
      </vt:variant>
      <vt:variant>
        <vt:i4>851987</vt:i4>
      </vt:variant>
      <vt:variant>
        <vt:i4>0</vt:i4>
      </vt:variant>
      <vt:variant>
        <vt:i4>0</vt:i4>
      </vt:variant>
      <vt:variant>
        <vt:i4>5</vt:i4>
      </vt:variant>
      <vt:variant>
        <vt:lpwstr>http://undocs.org/ch/CEDAW/C/BHR/CO/2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FrontDesk1</dc:creator>
  <cp:keywords/>
  <dc:description/>
  <cp:lastModifiedBy>FrontDesk1</cp:lastModifiedBy>
  <cp:revision>8</cp:revision>
  <cp:lastPrinted>2013-10-18T23:12:00Z</cp:lastPrinted>
  <dcterms:created xsi:type="dcterms:W3CDTF">2013-10-18T23:00:00Z</dcterms:created>
  <dcterms:modified xsi:type="dcterms:W3CDTF">2013-10-18T23:22:00Z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1341619</vt:lpwstr>
  </property>
  <property fmtid="{D5CDD505-2E9C-101B-9397-08002B2CF9AE}" pid="3" name="Symbol1">
    <vt:lpwstr>CEDAW/C/BHR/Q/3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sheng</vt:lpwstr>
  </property>
</Properties>
</file>