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0FE" w:rsidRDefault="00C500FE" w:rsidP="00C500FE">
      <w:pPr>
        <w:spacing w:line="60" w:lineRule="exact"/>
        <w:rPr>
          <w:sz w:val="6"/>
        </w:rPr>
        <w:sectPr w:rsidR="00C500FE" w:rsidSect="00C500F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C500FE" w:rsidRDefault="00C500FE" w:rsidP="00C500FE">
      <w:pPr>
        <w:spacing w:line="60" w:lineRule="exact"/>
        <w:rPr>
          <w:sz w:val="6"/>
        </w:rPr>
      </w:pPr>
    </w:p>
    <w:p w:rsidR="00E71D86" w:rsidRDefault="00E71D86" w:rsidP="00E71D8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消除对妇女歧视委员会</w:t>
      </w:r>
    </w:p>
    <w:p w:rsidR="00E71D86" w:rsidRDefault="00E71D86" w:rsidP="00E71D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第三十九届会议</w:t>
      </w:r>
    </w:p>
    <w:p w:rsidR="00E71D86" w:rsidRDefault="00E71D86" w:rsidP="00E71D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hint="eastAsia"/>
        </w:rPr>
      </w:pPr>
      <w:r>
        <w:rPr>
          <w:rFonts w:hint="eastAsia"/>
        </w:rPr>
        <w:t>2007年7月23日至8月10日</w:t>
      </w:r>
    </w:p>
    <w:p w:rsidR="00E71D86" w:rsidRPr="00E71D86" w:rsidRDefault="00E71D86" w:rsidP="00E71D86">
      <w:pPr>
        <w:pStyle w:val="SingleTxt"/>
        <w:spacing w:after="0" w:line="120" w:lineRule="exact"/>
        <w:rPr>
          <w:rFonts w:hint="eastAsia"/>
          <w:sz w:val="10"/>
        </w:rPr>
      </w:pPr>
    </w:p>
    <w:p w:rsidR="00E71D86" w:rsidRPr="00E71D86" w:rsidRDefault="00E71D86" w:rsidP="00E71D86">
      <w:pPr>
        <w:pStyle w:val="SingleTxt"/>
        <w:spacing w:after="0" w:line="120" w:lineRule="exact"/>
        <w:rPr>
          <w:rFonts w:hint="eastAsia"/>
          <w:sz w:val="10"/>
        </w:rPr>
      </w:pPr>
    </w:p>
    <w:p w:rsidR="00E71D86" w:rsidRPr="00E71D86" w:rsidRDefault="00E71D86" w:rsidP="00E71D86">
      <w:pPr>
        <w:pStyle w:val="SingleTxt"/>
        <w:spacing w:after="0" w:line="120" w:lineRule="exact"/>
        <w:rPr>
          <w:rFonts w:hint="eastAsia"/>
          <w:sz w:val="10"/>
        </w:rPr>
      </w:pPr>
    </w:p>
    <w:p w:rsidR="00E71D86" w:rsidRDefault="00E71D86" w:rsidP="00E71D8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rFonts w:hint="eastAsia"/>
        </w:rPr>
      </w:pPr>
      <w:r>
        <w:rPr>
          <w:rFonts w:hint="eastAsia"/>
        </w:rPr>
        <w:t>消除对妇女歧视委员会的结论意见：挪威</w:t>
      </w:r>
    </w:p>
    <w:p w:rsidR="00E71D86" w:rsidRPr="00E71D86" w:rsidRDefault="00E71D86" w:rsidP="00E71D86">
      <w:pPr>
        <w:pStyle w:val="SingleTxt"/>
        <w:spacing w:after="0" w:line="120" w:lineRule="exact"/>
        <w:rPr>
          <w:rFonts w:hint="eastAsia"/>
          <w:sz w:val="10"/>
        </w:rPr>
      </w:pPr>
    </w:p>
    <w:p w:rsidR="00E71D86" w:rsidRPr="00E71D86" w:rsidRDefault="00E71D86" w:rsidP="00E71D86">
      <w:pPr>
        <w:pStyle w:val="SingleTxt"/>
        <w:spacing w:after="0" w:line="120" w:lineRule="exact"/>
        <w:rPr>
          <w:rFonts w:hint="eastAsia"/>
          <w:sz w:val="10"/>
        </w:rPr>
      </w:pPr>
    </w:p>
    <w:p w:rsidR="00E71D86" w:rsidRDefault="00E71D86" w:rsidP="00E71D86">
      <w:pPr>
        <w:pStyle w:val="SingleTxt"/>
        <w:rPr>
          <w:rFonts w:hint="eastAsia"/>
        </w:rPr>
      </w:pPr>
      <w:r>
        <w:rPr>
          <w:rFonts w:hint="eastAsia"/>
        </w:rPr>
        <w:t>1.</w:t>
      </w:r>
      <w:r>
        <w:rPr>
          <w:rFonts w:hint="eastAsia"/>
        </w:rPr>
        <w:tab/>
        <w:t>2007年8月1日,委员会第803次和第804次会议审议了挪威的第七次定期报告（CEDAW/C/NOR/7）（见CEDAW/C/SR.803</w:t>
      </w:r>
      <w:r>
        <w:t xml:space="preserve"> </w:t>
      </w:r>
      <w:r>
        <w:rPr>
          <w:rFonts w:hint="eastAsia"/>
        </w:rPr>
        <w:t>B和804</w:t>
      </w:r>
      <w:r>
        <w:t xml:space="preserve"> </w:t>
      </w:r>
      <w:r>
        <w:rPr>
          <w:rFonts w:hint="eastAsia"/>
        </w:rPr>
        <w:t>B）。委员会的议题和问题清单载于CEDAW/C/NOR/Q/7，挪威政府的答复载于CEDAW/C/NOR/Q/7/Add.1。</w:t>
      </w:r>
    </w:p>
    <w:p w:rsidR="00E71D86" w:rsidRPr="00E71D86" w:rsidRDefault="00E71D86" w:rsidP="00E71D86">
      <w:pPr>
        <w:pStyle w:val="SingleTxt"/>
        <w:rPr>
          <w:rFonts w:ascii="SimHei" w:eastAsia="SimHei" w:hint="eastAsia"/>
          <w:color w:val="FF0000"/>
        </w:rPr>
      </w:pPr>
      <w:r w:rsidRPr="00E71D86">
        <w:rPr>
          <w:rFonts w:ascii="SimHei" w:eastAsia="SimHei" w:hint="eastAsia"/>
          <w:color w:val="FF0000"/>
        </w:rPr>
        <w:t>导言</w:t>
      </w:r>
    </w:p>
    <w:p w:rsidR="00E71D86" w:rsidRDefault="00E71D86" w:rsidP="00E71D86">
      <w:pPr>
        <w:pStyle w:val="SingleTxt"/>
        <w:rPr>
          <w:rFonts w:hint="eastAsia"/>
        </w:rPr>
      </w:pPr>
      <w:r>
        <w:rPr>
          <w:rFonts w:hint="eastAsia"/>
        </w:rPr>
        <w:t>2.</w:t>
      </w:r>
      <w:r>
        <w:rPr>
          <w:rFonts w:hint="eastAsia"/>
        </w:rPr>
        <w:tab/>
        <w:t>委员会感谢缔约国遵循委员会编写报告导则并考虑到委员会以往的结论意见及时提交第七次定期报告。委员会赞扬缔约国对会前工作组提出的议题和问题清单的书面答复，以及对委员会的口头提问作出口头说明和进一步阐释。</w:t>
      </w:r>
    </w:p>
    <w:p w:rsidR="00E71D86" w:rsidRDefault="00E71D86" w:rsidP="00E71D86">
      <w:pPr>
        <w:pStyle w:val="SingleTxt"/>
        <w:rPr>
          <w:rFonts w:hint="eastAsia"/>
        </w:rPr>
      </w:pPr>
      <w:r>
        <w:rPr>
          <w:rFonts w:hint="eastAsia"/>
        </w:rPr>
        <w:t>3.</w:t>
      </w:r>
      <w:r>
        <w:rPr>
          <w:rFonts w:hint="eastAsia"/>
        </w:rPr>
        <w:tab/>
        <w:t>委员会赞扬缔约国派遣由儿童与平等部主任率领的代表团。委员会对代表团同委员会成员进行坦率和开诚布公的建设性对话表示赞赏。</w:t>
      </w:r>
    </w:p>
    <w:p w:rsidR="00E71D86" w:rsidRDefault="00E71D86" w:rsidP="00E71D86">
      <w:pPr>
        <w:pStyle w:val="SingleTxt"/>
        <w:rPr>
          <w:rFonts w:hint="eastAsia"/>
        </w:rPr>
      </w:pPr>
      <w:r>
        <w:rPr>
          <w:rFonts w:hint="eastAsia"/>
        </w:rPr>
        <w:t>4.</w:t>
      </w:r>
      <w:r>
        <w:rPr>
          <w:rFonts w:hint="eastAsia"/>
        </w:rPr>
        <w:tab/>
        <w:t>委员会赞赏地注意到挪威人权中心（全国人权机构）提交了关于缔约国第七次定期报告的书面来文。</w:t>
      </w:r>
    </w:p>
    <w:p w:rsidR="00E71D86" w:rsidRDefault="00E71D86" w:rsidP="00E71D86">
      <w:pPr>
        <w:pStyle w:val="SingleTxt"/>
        <w:rPr>
          <w:rFonts w:hint="eastAsia"/>
        </w:rPr>
      </w:pPr>
      <w:r>
        <w:rPr>
          <w:rFonts w:hint="eastAsia"/>
        </w:rPr>
        <w:t>5.</w:t>
      </w:r>
      <w:r>
        <w:rPr>
          <w:rFonts w:hint="eastAsia"/>
        </w:rPr>
        <w:tab/>
        <w:t>委员会欣见缔约国确认妇女非政府组织对编写报告作出积极贡献。然而，委员会注意到没有挪威非政府组织出席会议，显然是因为缺乏资金。</w:t>
      </w:r>
    </w:p>
    <w:p w:rsidR="00E71D86" w:rsidRPr="00E71D86" w:rsidRDefault="00E71D86" w:rsidP="00E71D86">
      <w:pPr>
        <w:pStyle w:val="SingleTxt"/>
        <w:rPr>
          <w:rFonts w:ascii="SimHei" w:eastAsia="SimHei" w:hint="eastAsia"/>
          <w:color w:val="FF0000"/>
        </w:rPr>
      </w:pPr>
      <w:r w:rsidRPr="00E71D86">
        <w:rPr>
          <w:rFonts w:ascii="SimHei" w:eastAsia="SimHei" w:hint="eastAsia"/>
          <w:color w:val="FF0000"/>
        </w:rPr>
        <w:t>积极方面</w:t>
      </w:r>
    </w:p>
    <w:p w:rsidR="00E71D86" w:rsidRDefault="00E71D86" w:rsidP="00E71D86">
      <w:pPr>
        <w:pStyle w:val="SingleTxt"/>
        <w:rPr>
          <w:rFonts w:hint="eastAsia"/>
        </w:rPr>
      </w:pPr>
      <w:r>
        <w:rPr>
          <w:rFonts w:hint="eastAsia"/>
        </w:rPr>
        <w:t>6.</w:t>
      </w:r>
      <w:r>
        <w:rPr>
          <w:rFonts w:hint="eastAsia"/>
        </w:rPr>
        <w:tab/>
        <w:t>委员会赞赏地注意到已采取了若干举措来消除移民妇女和女孩在实现两性平等方面面临的各种障碍，尤其是于2005年6月3日通过了《反歧视法》。</w:t>
      </w:r>
    </w:p>
    <w:p w:rsidR="00E71D86" w:rsidRDefault="00E71D86" w:rsidP="00E71D86">
      <w:pPr>
        <w:pStyle w:val="SingleTxt"/>
        <w:rPr>
          <w:rFonts w:hint="eastAsia"/>
        </w:rPr>
      </w:pPr>
      <w:r>
        <w:rPr>
          <w:rFonts w:hint="eastAsia"/>
        </w:rPr>
        <w:t>7.</w:t>
      </w:r>
      <w:r>
        <w:rPr>
          <w:rFonts w:hint="eastAsia"/>
        </w:rPr>
        <w:tab/>
        <w:t>委员会欣见缔约国通过了2006年12月初提出的新的《打击贩卖人口行动计划》，并批准了《联合国打击跨国有组织犯罪公约关于预防、禁止和惩治贩运人口特别是妇女和儿童行为的补充议定书》。</w:t>
      </w:r>
    </w:p>
    <w:p w:rsidR="00E71D86" w:rsidRDefault="00E71D86" w:rsidP="00E71D86">
      <w:pPr>
        <w:pStyle w:val="SingleTxt"/>
        <w:rPr>
          <w:rFonts w:hint="eastAsia"/>
        </w:rPr>
      </w:pPr>
      <w:r>
        <w:rPr>
          <w:rFonts w:hint="eastAsia"/>
        </w:rPr>
        <w:t>8.</w:t>
      </w:r>
      <w:r>
        <w:rPr>
          <w:rFonts w:hint="eastAsia"/>
        </w:rPr>
        <w:tab/>
        <w:t>委员会欣见缔约国于2006年推出旨在执行关于妇女、和平与安全的安全理事会第1325（2000）号决议的行动计划。</w:t>
      </w:r>
    </w:p>
    <w:p w:rsidR="00E71D86" w:rsidRDefault="00E71D86" w:rsidP="00E71D86">
      <w:pPr>
        <w:pStyle w:val="SingleTxt"/>
        <w:rPr>
          <w:rFonts w:hint="eastAsia"/>
        </w:rPr>
      </w:pPr>
      <w:r>
        <w:rPr>
          <w:rFonts w:hint="eastAsia"/>
        </w:rPr>
        <w:t>9.</w:t>
      </w:r>
      <w:r>
        <w:rPr>
          <w:rFonts w:hint="eastAsia"/>
        </w:rPr>
        <w:tab/>
        <w:t>委员会赞扬缔约国在其所有27个警察管辖区都建立了家庭暴力协调员系统，以确保警察在与家庭暴力受害者及其家庭成员接触时能够表现出理解和洞察力；建立了全国移动暴力警报系统；并针对违反探视禁令的暴力罪犯展开了“反向警报”试验项目。</w:t>
      </w:r>
    </w:p>
    <w:p w:rsidR="00E71D86" w:rsidRDefault="00E71D86" w:rsidP="00E71D86">
      <w:pPr>
        <w:pStyle w:val="SingleTxt"/>
        <w:rPr>
          <w:rFonts w:hint="eastAsia"/>
        </w:rPr>
      </w:pPr>
      <w:r>
        <w:rPr>
          <w:rFonts w:hint="eastAsia"/>
        </w:rPr>
        <w:t>10.</w:t>
      </w:r>
      <w:r>
        <w:rPr>
          <w:rFonts w:hint="eastAsia"/>
        </w:rPr>
        <w:tab/>
        <w:t>委员会赞赏地注意到缔约国把注重两性平等的预算方式进一步拓展到所有各部委，还要求各部委对自己专门的预算领域进行两性平等评估，并在其拟议预算中汇报这方面的情况。</w:t>
      </w:r>
    </w:p>
    <w:p w:rsidR="00E71D86" w:rsidRDefault="00E71D86" w:rsidP="00E71D86">
      <w:pPr>
        <w:pStyle w:val="SingleTxt"/>
        <w:rPr>
          <w:rFonts w:hint="eastAsia"/>
        </w:rPr>
      </w:pPr>
      <w:r>
        <w:rPr>
          <w:rFonts w:hint="eastAsia"/>
        </w:rPr>
        <w:t>11.</w:t>
      </w:r>
      <w:r>
        <w:rPr>
          <w:rFonts w:hint="eastAsia"/>
        </w:rPr>
        <w:tab/>
        <w:t>委员会赞扬缔约国在发展合作政策中日益注重两性平等，同时指出《公约》应成为缔约国在这个领域所作出努力的基本规范性框架。</w:t>
      </w:r>
    </w:p>
    <w:p w:rsidR="00E71D86" w:rsidRPr="00E71D86" w:rsidRDefault="00E71D86" w:rsidP="00E71D86">
      <w:pPr>
        <w:pStyle w:val="SingleTxt"/>
        <w:rPr>
          <w:rFonts w:ascii="SimHei" w:eastAsia="SimHei" w:hint="eastAsia"/>
          <w:color w:val="FF0000"/>
        </w:rPr>
      </w:pPr>
      <w:r w:rsidRPr="00E71D86">
        <w:rPr>
          <w:rFonts w:ascii="SimHei" w:eastAsia="SimHei" w:hint="eastAsia"/>
          <w:color w:val="FF0000"/>
        </w:rPr>
        <w:t>主要关切领域和建议</w:t>
      </w:r>
    </w:p>
    <w:p w:rsidR="00E71D86" w:rsidRDefault="00E71D86" w:rsidP="00E71D86">
      <w:pPr>
        <w:pStyle w:val="SingleTxt"/>
        <w:rPr>
          <w:rFonts w:hint="eastAsia"/>
        </w:rPr>
      </w:pPr>
      <w:r>
        <w:rPr>
          <w:rFonts w:hint="eastAsia"/>
        </w:rPr>
        <w:t>12.</w:t>
      </w:r>
      <w:r>
        <w:rPr>
          <w:rFonts w:hint="eastAsia"/>
        </w:rPr>
        <w:tab/>
      </w:r>
      <w:r w:rsidRPr="00B5414E">
        <w:rPr>
          <w:rFonts w:ascii="SimHei" w:eastAsia="SimHei" w:hint="eastAsia"/>
          <w:color w:val="FF0000"/>
        </w:rPr>
        <w:t>委员会提请注意，缔约国有义务系统地、持续地执行《公约》的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具体成果。委员会还吁请缔约国将本结论意见发交各相关部委、其他各级政府机构和议会，以确保这些意见得到充分执行</w:t>
      </w:r>
      <w:r>
        <w:rPr>
          <w:rFonts w:hint="eastAsia"/>
        </w:rPr>
        <w:t>。</w:t>
      </w:r>
    </w:p>
    <w:p w:rsidR="00E71D86" w:rsidRDefault="00E71D86" w:rsidP="00E71D86">
      <w:pPr>
        <w:pStyle w:val="SingleTxt"/>
        <w:rPr>
          <w:rFonts w:hint="eastAsia"/>
        </w:rPr>
      </w:pPr>
      <w:r>
        <w:rPr>
          <w:rFonts w:hint="eastAsia"/>
        </w:rPr>
        <w:t>13.</w:t>
      </w:r>
      <w:r>
        <w:rPr>
          <w:rFonts w:hint="eastAsia"/>
        </w:rPr>
        <w:tab/>
        <w:t>委员会仍然关切《公约》在国内法律制度中的地位。委员会赞赏《公约》及其《附加议定书》已在2005年纳入《性别平等法》，但是委员会忆及它在上一次结论性意见中曾建议，缔约国将《公约》及其《附加议定书》纳入《人权法》，从而确保《公约》的各项规定优先于任何有冲突的规约；并确保《公约》具有与纳入《人权法》之中的其他联合国人权条约相同的法律地位。</w:t>
      </w:r>
    </w:p>
    <w:p w:rsidR="00E71D86" w:rsidRDefault="00E71D86" w:rsidP="00E71D86">
      <w:pPr>
        <w:pStyle w:val="SingleTxt"/>
        <w:rPr>
          <w:rFonts w:hint="eastAsia"/>
        </w:rPr>
      </w:pPr>
      <w:r>
        <w:rPr>
          <w:rFonts w:hint="eastAsia"/>
        </w:rPr>
        <w:t>14.</w:t>
      </w:r>
      <w:r>
        <w:rPr>
          <w:rFonts w:hint="eastAsia"/>
        </w:rPr>
        <w:tab/>
      </w:r>
      <w:r w:rsidRPr="00B5414E">
        <w:rPr>
          <w:rFonts w:ascii="SimHei" w:eastAsia="SimHei" w:hint="eastAsia"/>
          <w:color w:val="FF0000"/>
        </w:rPr>
        <w:t>委员会建议，缔约国采取一切必要步骤，将《消除对妇女一切形式歧视公约》纳入《人权法》，以确保将消除对妇女的歧视作为核心的人权义务。委员会还建议缔约国进一步努力提高法官、检察官和律师对《公约》及其《任择议定书》、以及委员会的一般性建议的认识，确保充分理解《公约》的精神、目标和规定，并将其经常适用于司法程序</w:t>
      </w:r>
      <w:r>
        <w:rPr>
          <w:rFonts w:hint="eastAsia"/>
        </w:rPr>
        <w:t>。</w:t>
      </w:r>
    </w:p>
    <w:p w:rsidR="00E71D86" w:rsidRDefault="00E71D86" w:rsidP="00E71D86">
      <w:pPr>
        <w:pStyle w:val="SingleTxt"/>
        <w:rPr>
          <w:rFonts w:hint="eastAsia"/>
        </w:rPr>
      </w:pPr>
      <w:r>
        <w:rPr>
          <w:rFonts w:hint="eastAsia"/>
        </w:rPr>
        <w:t>15.</w:t>
      </w:r>
      <w:r>
        <w:rPr>
          <w:rFonts w:hint="eastAsia"/>
        </w:rPr>
        <w:tab/>
        <w:t>委员会赞赏将性别观点纳入中央行政管辖的所有领域是缔约国的一项长期政策，但是，委员会略感关切地指出，反歧视和平等监察署的新的行动范围有可能造成不能充分关注对妇女的歧视问题。委员会注意到，将在2008年年底之前评价新的平等机制的效力。委员会对《促进妇女利益国家行动计划》表示赞赏，但是对该项计划未能以《公约》的规范性框架为基础仍表关切。</w:t>
      </w:r>
    </w:p>
    <w:p w:rsidR="00E71D86" w:rsidRDefault="00E71D86" w:rsidP="00E71D86">
      <w:pPr>
        <w:pStyle w:val="SingleTxt"/>
        <w:rPr>
          <w:rFonts w:hint="eastAsia"/>
        </w:rPr>
      </w:pPr>
      <w:r>
        <w:rPr>
          <w:rFonts w:hint="eastAsia"/>
        </w:rPr>
        <w:t>16.</w:t>
      </w:r>
      <w:r>
        <w:rPr>
          <w:rFonts w:hint="eastAsia"/>
        </w:rPr>
        <w:tab/>
      </w:r>
      <w:r w:rsidRPr="00B5414E">
        <w:rPr>
          <w:rFonts w:ascii="SimHei" w:eastAsia="SimHei" w:hint="eastAsia"/>
          <w:color w:val="FF0000"/>
        </w:rPr>
        <w:t>委员会建议，缔约国确保所有有关妇女的政策和《促进妇女利益国家行动计划》均以《公约》的各项目标和规定为基础，任何负责促进两性平等和提高妇女地位的国家机构应根据《公约》的规定，全面和专业地处理对妇女歧视的具体问题，并且完全能够监测在切实落实男女享有人权方面的实质性平等原则的进展和限制因素</w:t>
      </w:r>
      <w:r>
        <w:rPr>
          <w:rFonts w:hint="eastAsia"/>
        </w:rPr>
        <w:t>。</w:t>
      </w:r>
    </w:p>
    <w:p w:rsidR="00E71D86" w:rsidRDefault="00E71D86" w:rsidP="00E71D86">
      <w:pPr>
        <w:pStyle w:val="SingleTxt"/>
        <w:rPr>
          <w:rFonts w:hint="eastAsia"/>
        </w:rPr>
      </w:pPr>
      <w:r>
        <w:rPr>
          <w:rFonts w:hint="eastAsia"/>
        </w:rPr>
        <w:t>17.</w:t>
      </w:r>
      <w:r>
        <w:rPr>
          <w:rFonts w:hint="eastAsia"/>
        </w:rPr>
        <w:tab/>
        <w:t>委员会欣见缔约国开展富有创意的活动，处理男女社会行为及相关的陈规定见，如设计和采用教学及讨论方案，以及北欧国家共同研究项目，以便促进年轻人了解性别平等问题，但是，委员会对于陈规定型的文化态度顽固存在感到关切。这些定型观念特别反映在妇女在劳动力市场的地位，她们占非全时工的绝大多数，并反映在她们在接受教育，尤其是高等教育方面的选择。</w:t>
      </w:r>
    </w:p>
    <w:p w:rsidR="00E71D86" w:rsidRDefault="00E71D86" w:rsidP="00E71D86">
      <w:pPr>
        <w:pStyle w:val="SingleTxt"/>
        <w:rPr>
          <w:rFonts w:hint="eastAsia"/>
        </w:rPr>
      </w:pPr>
      <w:r>
        <w:rPr>
          <w:rFonts w:hint="eastAsia"/>
        </w:rPr>
        <w:t>18.</w:t>
      </w:r>
      <w:r>
        <w:rPr>
          <w:rFonts w:hint="eastAsia"/>
        </w:rPr>
        <w:tab/>
      </w:r>
      <w:r w:rsidRPr="00B5414E">
        <w:rPr>
          <w:rFonts w:ascii="SimHei" w:eastAsia="SimHei" w:hint="eastAsia"/>
          <w:color w:val="FF0000"/>
        </w:rPr>
        <w:t>委员会建议缔约国采取更多措施消除传统陈规定型态度，包括提高所有教育工作者和学校辅导员的敏感程度并对其进行培训，针对妇女和男子以及年轻人持续开展提高认识的运动。考虑到媒体在文化变革方面发挥的重要作用，委员会再次建议缔约国鼓励媒体塑造妇女的积极形象，以及妇女和男子在公私营部门的平等地位和平等责任</w:t>
      </w:r>
      <w:r>
        <w:rPr>
          <w:rFonts w:hint="eastAsia"/>
        </w:rPr>
        <w:t>。</w:t>
      </w:r>
    </w:p>
    <w:p w:rsidR="00E71D86" w:rsidRDefault="00E71D86" w:rsidP="00E71D86">
      <w:pPr>
        <w:pStyle w:val="SingleTxt"/>
        <w:rPr>
          <w:rFonts w:hint="eastAsia"/>
        </w:rPr>
      </w:pPr>
      <w:r>
        <w:rPr>
          <w:rFonts w:hint="eastAsia"/>
        </w:rPr>
        <w:t>19.</w:t>
      </w:r>
      <w:r>
        <w:rPr>
          <w:rFonts w:hint="eastAsia"/>
        </w:rPr>
        <w:tab/>
        <w:t>委员会欣见已采取法律和其他措施打击对妇女的暴力行为，包括修订《刑法》（2006年）和《警察法》（2004年），以及通过和实施《打击家庭暴力行动计划》（2004年至2007年），但是委员会对普遍存在暴力侵害妇女行为，包括家庭暴力依然感到关切。委员会赞扬缔约国收集有关被亲密伴侣杀害的妇女人数的数据，但感到遗憾的是，关于这些受害者的年龄和族裔的数据和资料有限，而且没有评估预防这类谋杀所需采取的其他措施。</w:t>
      </w:r>
    </w:p>
    <w:p w:rsidR="00E71D86" w:rsidRDefault="00E71D86" w:rsidP="00E71D86">
      <w:pPr>
        <w:pStyle w:val="SingleTxt"/>
        <w:rPr>
          <w:rFonts w:hint="eastAsia"/>
        </w:rPr>
      </w:pPr>
      <w:r>
        <w:rPr>
          <w:rFonts w:hint="eastAsia"/>
        </w:rPr>
        <w:t>20.</w:t>
      </w:r>
      <w:r>
        <w:rPr>
          <w:rFonts w:hint="eastAsia"/>
        </w:rPr>
        <w:tab/>
      </w:r>
      <w:r w:rsidRPr="00B5414E">
        <w:rPr>
          <w:rFonts w:ascii="SimHei" w:eastAsia="SimHei" w:hint="eastAsia"/>
          <w:color w:val="FF0000"/>
        </w:rPr>
        <w:t>委员会根据其一般性建议19，敦促缔约国确保采取综合措施应付一切形式暴力侵害妇女行为，包括家庭暴力，同时认识到这种暴力是一种歧视，而且侵犯了《公约》赋予妇女的人权。委员会吁请缔约国研究和分析所有暴力侵害妇女的案件，尤其是那些造成妇女被谋杀的案件，并确保采取有效措施防止暴力侵害妇女的行为和保护妇女免遭暴力侵害。委员会还吁请缔约国重新考虑关于不打算颁布一项专门针对家庭暴力的法律的立场。委员会又吁请缔约国确保收集按性别、年龄和族裔分类，以及根据暴力类型和罪犯与受害者关系分类的综合统计数据</w:t>
      </w:r>
      <w:r>
        <w:rPr>
          <w:rFonts w:hint="eastAsia"/>
        </w:rPr>
        <w:t>。</w:t>
      </w:r>
    </w:p>
    <w:p w:rsidR="00E71D86" w:rsidRDefault="00E71D86" w:rsidP="00E71D86">
      <w:pPr>
        <w:pStyle w:val="SingleTxt"/>
        <w:rPr>
          <w:rFonts w:hint="eastAsia"/>
        </w:rPr>
      </w:pPr>
      <w:r>
        <w:rPr>
          <w:rFonts w:hint="eastAsia"/>
        </w:rPr>
        <w:t>21.</w:t>
      </w:r>
      <w:r>
        <w:rPr>
          <w:rFonts w:hint="eastAsia"/>
        </w:rPr>
        <w:tab/>
        <w:t>委员会赞扬缔约国通过立法和采取措施处理贩运人口问题，但委员会对于缺乏贩运妇女和女孩的统计数据感到关切。委员会还感到关切的是，尽管缔约国已采取各种措施，贩运人口的现象仍然普遍存在，而且被贩运妇女人数的增加，有可能加剧利用妇女卖淫营利的问题。</w:t>
      </w:r>
    </w:p>
    <w:p w:rsidR="00E71D86" w:rsidRDefault="00E71D86" w:rsidP="00E71D86">
      <w:pPr>
        <w:pStyle w:val="SingleTxt"/>
        <w:rPr>
          <w:rFonts w:hint="eastAsia"/>
        </w:rPr>
      </w:pPr>
      <w:r>
        <w:rPr>
          <w:rFonts w:hint="eastAsia"/>
        </w:rPr>
        <w:t>22.</w:t>
      </w:r>
      <w:r>
        <w:rPr>
          <w:rFonts w:hint="eastAsia"/>
        </w:rPr>
        <w:tab/>
      </w:r>
      <w:r w:rsidRPr="00B5414E">
        <w:rPr>
          <w:rFonts w:ascii="SimHei" w:eastAsia="SimHei" w:hint="eastAsia"/>
          <w:color w:val="FF0000"/>
        </w:rPr>
        <w:t>委员会请缔约国在下次报告中提供新成立的国家援助和保护贩运人口受害者协调股所提供的全面资料和数据，说明贩运妇女的情况以及按照新的打击人口贩运行动计划所采取的措施的作用和取得的成果。委员会还建议，缔约国继续开展双边、区域和国际合作，以进一步遏制这种现象。委员会呼吁缔约国采取得力措施查禁利用妇女卖淫营利的行为，采取措施帮助想摆脱卖淫的妇女恢复生活，并详细研究关于将嫖娼者刑事定罪的各种计划的效果</w:t>
      </w:r>
      <w:r>
        <w:rPr>
          <w:rFonts w:hint="eastAsia"/>
        </w:rPr>
        <w:t>。</w:t>
      </w:r>
    </w:p>
    <w:p w:rsidR="00E71D86" w:rsidRDefault="00E71D86" w:rsidP="00E71D86">
      <w:pPr>
        <w:pStyle w:val="SingleTxt"/>
        <w:rPr>
          <w:rFonts w:hint="eastAsia"/>
        </w:rPr>
      </w:pPr>
      <w:r>
        <w:rPr>
          <w:rFonts w:hint="eastAsia"/>
        </w:rPr>
        <w:t>23.</w:t>
      </w:r>
      <w:r>
        <w:rPr>
          <w:rFonts w:hint="eastAsia"/>
        </w:rPr>
        <w:tab/>
        <w:t>委员会赞赏地注意到，目前在19个内阁部长中有9名妇女，并且国家议会和县市议会的妇女代表人数相对较高。但是女性市（镇）长、女性教授以及各级司法部门中女性法官的人数偏低，委员会对此仍表关切。委员会注意到，缺乏关于政治和公共生活以及学术界中移徙妇女和少数民族妇女参与情况的统计数字。</w:t>
      </w:r>
    </w:p>
    <w:p w:rsidR="00E71D86" w:rsidRDefault="00E71D86" w:rsidP="00E71D86">
      <w:pPr>
        <w:pStyle w:val="SingleTxt"/>
        <w:rPr>
          <w:rFonts w:hint="eastAsia"/>
        </w:rPr>
      </w:pPr>
      <w:r>
        <w:rPr>
          <w:rFonts w:hint="eastAsia"/>
        </w:rPr>
        <w:t>24.</w:t>
      </w:r>
      <w:r>
        <w:rPr>
          <w:rFonts w:hint="eastAsia"/>
        </w:rPr>
        <w:tab/>
      </w:r>
      <w:r w:rsidRPr="00B5414E">
        <w:rPr>
          <w:rFonts w:ascii="SimHei" w:eastAsia="SimHei" w:hint="eastAsia"/>
          <w:color w:val="FF0000"/>
        </w:rPr>
        <w:t>委员会吁请缔约国继续采取措施，加速妇女全面平等地参与各方面的政治和公共生活以及决策——尤其是成为市（镇）长和法官，以及参与学术界。委员会呼吁缔约国按照《公约》第四条第1款以及委员会关于暂行特别措施的一般建议25和关于妇女参与政治和公共生活的一般建议23，采取暂行特别措施。委员会鼓励缔约国确保政治和公共机构中妇女代表人数充分体现人口多样化，并且其中要包含移徙妇女和少数民族妇女。委员会请缔约国在下次定期报告中提供数据和资料，说明妇女，包括移徙妇女和少数民族妇女在政治和公共生活以及学术界中的代表情况</w:t>
      </w:r>
      <w:r>
        <w:rPr>
          <w:rFonts w:hint="eastAsia"/>
        </w:rPr>
        <w:t>。</w:t>
      </w:r>
    </w:p>
    <w:p w:rsidR="00E71D86" w:rsidRDefault="00E71D86" w:rsidP="00E71D86">
      <w:pPr>
        <w:pStyle w:val="SingleTxt"/>
        <w:rPr>
          <w:rFonts w:hint="eastAsia"/>
        </w:rPr>
      </w:pPr>
      <w:r>
        <w:rPr>
          <w:rFonts w:hint="eastAsia"/>
        </w:rPr>
        <w:t>25.</w:t>
      </w:r>
      <w:r>
        <w:rPr>
          <w:rFonts w:hint="eastAsia"/>
        </w:rPr>
        <w:tab/>
        <w:t>委员会对妇女在劳动力市场中的不利地位仍表关切。这种不利地位体现在男女薪酬一直存有差距、非全时工以女性为主、职业隔离严重。</w:t>
      </w:r>
    </w:p>
    <w:p w:rsidR="00E71D86" w:rsidRDefault="00E71D86" w:rsidP="00E71D86">
      <w:pPr>
        <w:pStyle w:val="SingleTxt"/>
        <w:rPr>
          <w:rFonts w:hint="eastAsia"/>
        </w:rPr>
      </w:pPr>
      <w:r>
        <w:rPr>
          <w:rFonts w:hint="eastAsia"/>
        </w:rPr>
        <w:t>26.</w:t>
      </w:r>
      <w:r>
        <w:rPr>
          <w:rFonts w:hint="eastAsia"/>
        </w:rPr>
        <w:tab/>
      </w:r>
      <w:r w:rsidRPr="00B5414E">
        <w:rPr>
          <w:rFonts w:ascii="SimHei" w:eastAsia="SimHei" w:hint="eastAsia"/>
          <w:color w:val="FF0000"/>
        </w:rPr>
        <w:t>委员会吁请缔约国优先在劳动力市场中实现妇女的实际平等机会，以便达到《公约》第十一条的规定。委员会吁请缔约国采取积极主动的措施，消除纵向和横向职业隔离，并且缩小和弥合男女薪酬差距。委员会呼吁缔约国监测发展趋势，采取的办法包括收集和分析按性别、技能和部门比较非全时工和全时工的数据以及采取的措施的影响和取得的成果，并采取必要的纠正措施。委员会建议，缔约国继续致力于家庭和工作责任兼顾，并鼓励男女平等分担家务和家庭责任</w:t>
      </w:r>
      <w:r>
        <w:rPr>
          <w:rFonts w:hint="eastAsia"/>
        </w:rPr>
        <w:t>。</w:t>
      </w:r>
    </w:p>
    <w:p w:rsidR="00E71D86" w:rsidRDefault="00E71D86" w:rsidP="00E71D86">
      <w:pPr>
        <w:pStyle w:val="SingleTxt"/>
        <w:rPr>
          <w:rFonts w:hint="eastAsia"/>
        </w:rPr>
      </w:pPr>
      <w:r>
        <w:rPr>
          <w:rFonts w:hint="eastAsia"/>
        </w:rPr>
        <w:t>27.</w:t>
      </w:r>
      <w:r>
        <w:rPr>
          <w:rFonts w:hint="eastAsia"/>
        </w:rPr>
        <w:tab/>
        <w:t>委员会遗憾地注意到，缺乏按照性别、种族、民族和年龄分类的关于艾滋病毒/艾滋病流行情况的综合资料数据。</w:t>
      </w:r>
    </w:p>
    <w:p w:rsidR="00E71D86" w:rsidRDefault="00E71D86" w:rsidP="00E71D86">
      <w:pPr>
        <w:pStyle w:val="SingleTxt"/>
        <w:rPr>
          <w:rFonts w:hint="eastAsia"/>
        </w:rPr>
      </w:pPr>
      <w:r>
        <w:rPr>
          <w:rFonts w:hint="eastAsia"/>
        </w:rPr>
        <w:t>28.</w:t>
      </w:r>
      <w:r>
        <w:rPr>
          <w:rFonts w:hint="eastAsia"/>
        </w:rPr>
        <w:tab/>
      </w:r>
      <w:r w:rsidRPr="00B5414E">
        <w:rPr>
          <w:rFonts w:ascii="SimHei" w:eastAsia="SimHei" w:hint="eastAsia"/>
          <w:color w:val="FF0000"/>
        </w:rPr>
        <w:t>委员会呼吁缔约国在下次定期报告中提供关于妇女和艾滋病毒/艾滋病情况的详细分类统计和分析资料</w:t>
      </w:r>
      <w:r>
        <w:rPr>
          <w:rFonts w:hint="eastAsia"/>
        </w:rPr>
        <w:t>。</w:t>
      </w:r>
    </w:p>
    <w:p w:rsidR="00E71D86" w:rsidRDefault="00E71D86" w:rsidP="00E71D86">
      <w:pPr>
        <w:pStyle w:val="SingleTxt"/>
        <w:rPr>
          <w:rFonts w:hint="eastAsia"/>
        </w:rPr>
      </w:pPr>
      <w:r>
        <w:rPr>
          <w:rFonts w:hint="eastAsia"/>
        </w:rPr>
        <w:t>29.</w:t>
      </w:r>
      <w:r>
        <w:rPr>
          <w:rFonts w:hint="eastAsia"/>
        </w:rPr>
        <w:tab/>
        <w:t>委员会注意到缔约国继续在政治议程中考虑强迫婚姻和切割女性生殖器的问题，并且连续通过和执行了行动计划。但是委员会对这些习俗仍表关切。</w:t>
      </w:r>
    </w:p>
    <w:p w:rsidR="00E71D86" w:rsidRDefault="00E71D86" w:rsidP="00E71D86">
      <w:pPr>
        <w:pStyle w:val="SingleTxt"/>
        <w:rPr>
          <w:rFonts w:hint="eastAsia"/>
        </w:rPr>
      </w:pPr>
      <w:r>
        <w:rPr>
          <w:rFonts w:hint="eastAsia"/>
        </w:rPr>
        <w:t>30.</w:t>
      </w:r>
      <w:r>
        <w:rPr>
          <w:rFonts w:hint="eastAsia"/>
        </w:rPr>
        <w:tab/>
      </w:r>
      <w:r w:rsidRPr="00B5414E">
        <w:rPr>
          <w:rFonts w:ascii="SimHei" w:eastAsia="SimHei" w:hint="eastAsia"/>
          <w:color w:val="FF0000"/>
        </w:rPr>
        <w:t>委员会请缔约国继续致力于根除这些习俗并常规性地监测和评估法律和行动计划的执行情况和影响</w:t>
      </w:r>
      <w:r>
        <w:rPr>
          <w:rFonts w:hint="eastAsia"/>
        </w:rPr>
        <w:t>。</w:t>
      </w:r>
    </w:p>
    <w:p w:rsidR="00E71D86" w:rsidRDefault="00E71D86" w:rsidP="00E71D86">
      <w:pPr>
        <w:pStyle w:val="SingleTxt"/>
        <w:rPr>
          <w:rFonts w:hint="eastAsia"/>
        </w:rPr>
      </w:pPr>
      <w:r>
        <w:rPr>
          <w:rFonts w:hint="eastAsia"/>
        </w:rPr>
        <w:t>31.</w:t>
      </w:r>
      <w:r>
        <w:rPr>
          <w:rFonts w:hint="eastAsia"/>
        </w:rPr>
        <w:tab/>
        <w:t>委员会关切地注意到，事实上的结合缺乏法律框架，从而使此类结合中的妇女在关系解体后失去稳定地位，有必要就没有事先签订适当合约情况下的财产分配作出规定。委员会还关切地注意到关于确认父子关系规定的新修正案。按照这些修正案，同居父亲不再需要母亲同意就可以对她的子女确认父子关系。</w:t>
      </w:r>
    </w:p>
    <w:p w:rsidR="00E71D86" w:rsidRDefault="00E71D86" w:rsidP="00E71D86">
      <w:pPr>
        <w:pStyle w:val="SingleTxt"/>
        <w:rPr>
          <w:rFonts w:hint="eastAsia"/>
        </w:rPr>
      </w:pPr>
      <w:r>
        <w:rPr>
          <w:rFonts w:hint="eastAsia"/>
        </w:rPr>
        <w:t>32.</w:t>
      </w:r>
      <w:r>
        <w:rPr>
          <w:rFonts w:hint="eastAsia"/>
        </w:rPr>
        <w:tab/>
      </w:r>
      <w:r w:rsidRPr="00B5414E">
        <w:rPr>
          <w:rFonts w:ascii="SimHei" w:eastAsia="SimHei" w:hint="eastAsia"/>
          <w:color w:val="FF0000"/>
        </w:rPr>
        <w:t>委员会建议，缔约国应确保在关系解体时妇女对事实上的结合中积累的财产享有与男子同等的权利。委员会还建议，缔约国应认真监测关于同居父亲可确认父子关系的规定的新修正案的影响，并在下次定期报告中提供此方面的资料</w:t>
      </w:r>
      <w:r>
        <w:rPr>
          <w:rFonts w:hint="eastAsia"/>
        </w:rPr>
        <w:t>。</w:t>
      </w:r>
    </w:p>
    <w:p w:rsidR="00E71D86" w:rsidRDefault="00E71D86" w:rsidP="00E71D86">
      <w:pPr>
        <w:pStyle w:val="SingleTxt"/>
        <w:rPr>
          <w:rFonts w:hint="eastAsia"/>
        </w:rPr>
      </w:pPr>
      <w:r>
        <w:rPr>
          <w:rFonts w:hint="eastAsia"/>
        </w:rPr>
        <w:t>33.</w:t>
      </w:r>
      <w:r>
        <w:rPr>
          <w:rFonts w:hint="eastAsia"/>
        </w:rPr>
        <w:tab/>
        <w:t>委员会关切地注意到根据《婚姻法》，郡长可以在特殊情况下，特许不遵守结婚年龄须满18岁的这项规定。</w:t>
      </w:r>
    </w:p>
    <w:p w:rsidR="00E71D86" w:rsidRDefault="00E71D86" w:rsidP="00E71D86">
      <w:pPr>
        <w:pStyle w:val="SingleTxt"/>
        <w:rPr>
          <w:rFonts w:hint="eastAsia"/>
        </w:rPr>
      </w:pPr>
      <w:r>
        <w:rPr>
          <w:rFonts w:hint="eastAsia"/>
        </w:rPr>
        <w:t>34.</w:t>
      </w:r>
      <w:r>
        <w:rPr>
          <w:rFonts w:hint="eastAsia"/>
        </w:rPr>
        <w:tab/>
      </w:r>
      <w:r w:rsidRPr="00B5414E">
        <w:rPr>
          <w:rFonts w:ascii="SimHei" w:eastAsia="SimHei" w:hint="eastAsia"/>
          <w:color w:val="FF0000"/>
        </w:rPr>
        <w:t>委员会促请缔约国严格适用结婚年龄须满18岁的规定，并请缔约国在下次定期报告中提供相关资料以及按性别和民族分类的关于批准特许的统计数据以及所涉理由的资料</w:t>
      </w:r>
      <w:r>
        <w:rPr>
          <w:rFonts w:hint="eastAsia"/>
        </w:rPr>
        <w:t>。</w:t>
      </w:r>
    </w:p>
    <w:p w:rsidR="00E71D86" w:rsidRDefault="00E71D86" w:rsidP="00E71D86">
      <w:pPr>
        <w:pStyle w:val="SingleTxt"/>
        <w:rPr>
          <w:rFonts w:hint="eastAsia"/>
        </w:rPr>
      </w:pPr>
      <w:r>
        <w:rPr>
          <w:rFonts w:hint="eastAsia"/>
        </w:rPr>
        <w:t>35.</w:t>
      </w:r>
      <w:r>
        <w:rPr>
          <w:rFonts w:hint="eastAsia"/>
        </w:rPr>
        <w:tab/>
        <w:t>委员会对报告没有在《公约》各领域充分提供按性别、种族、民族和年龄分类的数据表示关切。委员会指出，这类数据本应进一步澄清不同妇女群体在《公约》所涉各个领域的实际情况、旨在消除对妇女歧视的政府政策和方案的影响以及长期趋势。</w:t>
      </w:r>
    </w:p>
    <w:p w:rsidR="00E71D86" w:rsidRDefault="00E71D86" w:rsidP="00E71D86">
      <w:pPr>
        <w:pStyle w:val="SingleTxt"/>
        <w:rPr>
          <w:rFonts w:hint="eastAsia"/>
        </w:rPr>
      </w:pPr>
      <w:r>
        <w:rPr>
          <w:rFonts w:hint="eastAsia"/>
        </w:rPr>
        <w:t>36.</w:t>
      </w:r>
      <w:r>
        <w:rPr>
          <w:rFonts w:hint="eastAsia"/>
        </w:rPr>
        <w:tab/>
      </w:r>
      <w:r w:rsidRPr="00B5414E">
        <w:rPr>
          <w:rFonts w:ascii="SimHei" w:eastAsia="SimHei" w:hint="eastAsia"/>
          <w:color w:val="FF0000"/>
        </w:rPr>
        <w:t>委员会请缔约国在其下次报告中载入充分的分类统计数据和分析，以全面阐释《公约》各项规定的执行情况。它还建议缔约国定期对其立法、政策、计划和方案进行影响评估，以确保所采取的措施达到了预期目标，并建议缔约国在其下次报告中向委员会通报在执行《公约》方面取得的成果</w:t>
      </w:r>
      <w:r>
        <w:rPr>
          <w:rFonts w:hint="eastAsia"/>
        </w:rPr>
        <w:t>。</w:t>
      </w:r>
    </w:p>
    <w:p w:rsidR="00E71D86" w:rsidRDefault="00E71D86" w:rsidP="00E71D86">
      <w:pPr>
        <w:pStyle w:val="SingleTxt"/>
        <w:rPr>
          <w:rFonts w:hint="eastAsia"/>
        </w:rPr>
      </w:pPr>
      <w:r>
        <w:rPr>
          <w:rFonts w:hint="eastAsia"/>
        </w:rPr>
        <w:t>37.</w:t>
      </w:r>
      <w:r>
        <w:rPr>
          <w:rFonts w:hint="eastAsia"/>
        </w:rPr>
        <w:tab/>
      </w:r>
      <w:r w:rsidRPr="00B5414E">
        <w:rPr>
          <w:rFonts w:ascii="SimHei" w:eastAsia="SimHei" w:hint="eastAsia"/>
          <w:color w:val="FF0000"/>
        </w:rPr>
        <w:t>委员会促请缔约国在履行《公约》义务时，继续利用加强了《公约》各项规定的《北京宣言和行动纲要》，并请缔约国在下一次定期报告中提供有关资料</w:t>
      </w:r>
      <w:r>
        <w:rPr>
          <w:rFonts w:hint="eastAsia"/>
        </w:rPr>
        <w:t>。</w:t>
      </w:r>
    </w:p>
    <w:p w:rsidR="00E71D86" w:rsidRDefault="00E71D86" w:rsidP="00E71D86">
      <w:pPr>
        <w:pStyle w:val="SingleTxt"/>
        <w:rPr>
          <w:rFonts w:hint="eastAsia"/>
        </w:rPr>
      </w:pPr>
      <w:r>
        <w:rPr>
          <w:rFonts w:hint="eastAsia"/>
        </w:rPr>
        <w:t>38.</w:t>
      </w:r>
      <w:r>
        <w:rPr>
          <w:rFonts w:hint="eastAsia"/>
        </w:rPr>
        <w:tab/>
      </w:r>
      <w:r w:rsidRPr="00B5414E">
        <w:rPr>
          <w:rFonts w:ascii="SimHei" w:eastAsia="SimHei" w:hint="eastAsia"/>
          <w:color w:val="FF0000"/>
        </w:rPr>
        <w:t>委员会还强调，充分和有效地执行《公约》对实现千年发展目标不可或缺。委员会要求在实现千年发展目标的一切工作中纳入性别观点，明确体现《公约》各项规定，并请缔约国在下一次定期报告中提供有关资料</w:t>
      </w:r>
      <w:r>
        <w:rPr>
          <w:rFonts w:hint="eastAsia"/>
        </w:rPr>
        <w:t>。</w:t>
      </w:r>
    </w:p>
    <w:p w:rsidR="00E71D86" w:rsidRDefault="00E71D86" w:rsidP="00E71D86">
      <w:pPr>
        <w:pStyle w:val="SingleTxt"/>
        <w:rPr>
          <w:rFonts w:hint="eastAsia"/>
        </w:rPr>
      </w:pPr>
      <w:r>
        <w:rPr>
          <w:rFonts w:hint="eastAsia"/>
        </w:rPr>
        <w:t>39.</w:t>
      </w:r>
      <w:r>
        <w:rPr>
          <w:rFonts w:hint="eastAsia"/>
        </w:rPr>
        <w:tab/>
      </w:r>
      <w:r w:rsidRPr="00B5414E">
        <w:rPr>
          <w:rFonts w:ascii="SimHei" w:eastAsia="SimHei" w:hint="eastAsia"/>
          <w:color w:val="FF0000"/>
        </w:rPr>
        <w:t>委员会指出，各国遵守七项主要国际人权文书，</w:t>
      </w:r>
      <w:r w:rsidR="00B5414E">
        <w:rPr>
          <w:rStyle w:val="FootnoteReference"/>
          <w:rFonts w:ascii="SimHei" w:eastAsia="SimHei"/>
        </w:rPr>
        <w:footnoteReference w:id="1"/>
      </w:r>
      <w:r w:rsidRPr="00B5414E">
        <w:rPr>
          <w:rFonts w:ascii="SimHei" w:eastAsia="SimHei" w:hint="eastAsia"/>
          <w:color w:val="FF0000"/>
        </w:rPr>
        <w:t xml:space="preserve"> 有助于促进妇女在生活的各个方面享受人权和基本自由。因此，委员会鼓励挪威政府考虑批准它尚未成为缔约国的条约，即《保护所有移徙工人及其家庭成员权利国际公约》</w:t>
      </w:r>
      <w:r>
        <w:rPr>
          <w:rFonts w:hint="eastAsia"/>
        </w:rPr>
        <w:t>。</w:t>
      </w:r>
    </w:p>
    <w:p w:rsidR="00E71D86" w:rsidRDefault="00E71D86" w:rsidP="00E71D86">
      <w:pPr>
        <w:pStyle w:val="SingleTxt"/>
        <w:rPr>
          <w:rFonts w:hint="eastAsia"/>
        </w:rPr>
      </w:pPr>
      <w:r>
        <w:rPr>
          <w:rFonts w:hint="eastAsia"/>
        </w:rPr>
        <w:t>40.</w:t>
      </w:r>
      <w:r>
        <w:rPr>
          <w:rFonts w:hint="eastAsia"/>
        </w:rPr>
        <w:tab/>
      </w:r>
      <w:r w:rsidRPr="00B5414E">
        <w:rPr>
          <w:rFonts w:ascii="SimHei" w:eastAsia="SimHei" w:hint="eastAsia"/>
          <w:color w:val="FF0000"/>
        </w:rPr>
        <w:t>委员会请挪威在国内广为传播本结论意见，使人民，包括政府官员、政界人士、议员以及妇女组织和人权组织，了解为确保妇女在法律上和实际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r>
        <w:rPr>
          <w:rFonts w:hint="eastAsia"/>
        </w:rPr>
        <w:t>。</w:t>
      </w:r>
    </w:p>
    <w:p w:rsidR="00E71D86" w:rsidRDefault="00E71D86" w:rsidP="00E71D86">
      <w:pPr>
        <w:pStyle w:val="SingleTxt"/>
      </w:pPr>
      <w:r>
        <w:rPr>
          <w:rFonts w:hint="eastAsia"/>
        </w:rPr>
        <w:t>41.</w:t>
      </w:r>
      <w:r>
        <w:rPr>
          <w:rFonts w:hint="eastAsia"/>
        </w:rPr>
        <w:tab/>
      </w:r>
      <w:r w:rsidRPr="00B5414E">
        <w:rPr>
          <w:rFonts w:ascii="SimHei" w:eastAsia="SimHei" w:hint="eastAsia"/>
          <w:color w:val="FF0000"/>
        </w:rPr>
        <w:t>委员会请缔约国在应于2010年9月根据《公约》第十八条提交的下一次定期报告中答复本结论意见所提出的各项关切</w:t>
      </w:r>
      <w:r>
        <w:rPr>
          <w:rFonts w:hint="eastAsia"/>
        </w:rPr>
        <w:t>。</w:t>
      </w:r>
    </w:p>
    <w:p w:rsidR="00E71D86" w:rsidRPr="00E71D86" w:rsidRDefault="00E71D86" w:rsidP="00E71D86">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E71D86" w:rsidRPr="00E71D86" w:rsidSect="00C500F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1T13:22:00Z" w:initials="Start">
    <w:p w:rsidR="00B5414E" w:rsidRDefault="00B5414E">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NO&gt;&gt;N0745970C&lt;&lt;ODS JOB NO&gt;&gt;</w:t>
      </w:r>
    </w:p>
    <w:p w:rsidR="00B5414E" w:rsidRDefault="00B5414E">
      <w:pPr>
        <w:pStyle w:val="CommentText"/>
      </w:pPr>
      <w:r>
        <w:t>&lt;&lt;ODS DOC SYMBOL1&gt;&gt;CEDAW/C/NOR/CO/7&lt;&lt;ODS DOC SYMBOL1&gt;&gt;</w:t>
      </w:r>
    </w:p>
    <w:p w:rsidR="00B5414E" w:rsidRDefault="00B5414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3AD" w:rsidRDefault="002E73AD">
      <w:r>
        <w:separator/>
      </w:r>
    </w:p>
  </w:endnote>
  <w:endnote w:type="continuationSeparator" w:id="0">
    <w:p w:rsidR="002E73AD" w:rsidRDefault="002E7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414E" w:rsidTr="00C500FE">
      <w:tblPrEx>
        <w:tblCellMar>
          <w:top w:w="0" w:type="dxa"/>
          <w:bottom w:w="0" w:type="dxa"/>
        </w:tblCellMar>
      </w:tblPrEx>
      <w:tc>
        <w:tcPr>
          <w:tcW w:w="5033" w:type="dxa"/>
          <w:shd w:val="clear" w:color="auto" w:fill="auto"/>
        </w:tcPr>
        <w:p w:rsidR="00B5414E" w:rsidRPr="00C500FE" w:rsidRDefault="00B5414E" w:rsidP="00C500F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07-45970</w:t>
          </w:r>
          <w:r>
            <w:rPr>
              <w:b w:val="0"/>
              <w:w w:val="103"/>
              <w:sz w:val="14"/>
            </w:rPr>
            <w:fldChar w:fldCharType="end"/>
          </w:r>
        </w:p>
      </w:tc>
      <w:tc>
        <w:tcPr>
          <w:tcW w:w="5033" w:type="dxa"/>
          <w:shd w:val="clear" w:color="auto" w:fill="auto"/>
        </w:tcPr>
        <w:p w:rsidR="00B5414E" w:rsidRPr="00C500FE" w:rsidRDefault="00B5414E" w:rsidP="00C500FE">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912320">
            <w:rPr>
              <w:w w:val="103"/>
              <w:sz w:val="17"/>
            </w:rPr>
            <w:t>6</w:t>
          </w:r>
          <w:r>
            <w:rPr>
              <w:w w:val="103"/>
              <w:sz w:val="17"/>
            </w:rPr>
            <w:fldChar w:fldCharType="end"/>
          </w:r>
        </w:p>
      </w:tc>
    </w:tr>
  </w:tbl>
  <w:p w:rsidR="00B5414E" w:rsidRPr="00C500FE" w:rsidRDefault="00B5414E" w:rsidP="00C500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5414E" w:rsidTr="00C500FE">
      <w:tblPrEx>
        <w:tblCellMar>
          <w:top w:w="0" w:type="dxa"/>
          <w:bottom w:w="0" w:type="dxa"/>
        </w:tblCellMar>
      </w:tblPrEx>
      <w:tc>
        <w:tcPr>
          <w:tcW w:w="5033" w:type="dxa"/>
          <w:shd w:val="clear" w:color="auto" w:fill="auto"/>
        </w:tcPr>
        <w:p w:rsidR="00B5414E" w:rsidRPr="00C500FE" w:rsidRDefault="00B5414E" w:rsidP="00C500FE">
          <w:pPr>
            <w:pStyle w:val="Footer"/>
            <w:jc w:val="right"/>
          </w:pPr>
          <w:r>
            <w:fldChar w:fldCharType="begin"/>
          </w:r>
          <w:r>
            <w:instrText xml:space="preserve"> PAGE  \* MERGEFORMAT </w:instrText>
          </w:r>
          <w:r>
            <w:fldChar w:fldCharType="separate"/>
          </w:r>
          <w:r w:rsidR="00912320">
            <w:t>5</w:t>
          </w:r>
          <w:r>
            <w:fldChar w:fldCharType="end"/>
          </w:r>
        </w:p>
      </w:tc>
      <w:tc>
        <w:tcPr>
          <w:tcW w:w="5033" w:type="dxa"/>
          <w:shd w:val="clear" w:color="auto" w:fill="auto"/>
        </w:tcPr>
        <w:p w:rsidR="00B5414E" w:rsidRPr="00C500FE" w:rsidRDefault="00B5414E" w:rsidP="00C500F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07-45970</w:t>
          </w:r>
          <w:r>
            <w:rPr>
              <w:b w:val="0"/>
              <w:w w:val="103"/>
              <w:sz w:val="14"/>
            </w:rPr>
            <w:fldChar w:fldCharType="end"/>
          </w:r>
        </w:p>
      </w:tc>
    </w:tr>
  </w:tbl>
  <w:p w:rsidR="00B5414E" w:rsidRPr="00C500FE" w:rsidRDefault="00B5414E" w:rsidP="00C500F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14E" w:rsidRDefault="00B5414E" w:rsidP="00C500F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07-45970 (C)</w:t>
    </w:r>
    <w:r>
      <w:rPr>
        <w:b w:val="0"/>
        <w:sz w:val="21"/>
      </w:rPr>
      <w:fldChar w:fldCharType="end"/>
    </w:r>
    <w:r>
      <w:rPr>
        <w:b w:val="0"/>
        <w:sz w:val="21"/>
      </w:rPr>
      <w:t xml:space="preserve">    210807    210807</w:t>
    </w:r>
  </w:p>
  <w:p w:rsidR="00B5414E" w:rsidRPr="00C500FE" w:rsidRDefault="00B5414E" w:rsidP="00C500FE">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*0745970*</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3AD" w:rsidRPr="00B5414E" w:rsidRDefault="002E73AD" w:rsidP="00B5414E">
      <w:pPr>
        <w:pStyle w:val="Footer"/>
        <w:spacing w:after="80"/>
        <w:ind w:left="792"/>
        <w:rPr>
          <w:sz w:val="16"/>
        </w:rPr>
      </w:pPr>
      <w:r w:rsidRPr="00B5414E">
        <w:rPr>
          <w:sz w:val="16"/>
        </w:rPr>
        <w:t>__________________</w:t>
      </w:r>
    </w:p>
  </w:footnote>
  <w:footnote w:type="continuationSeparator" w:id="0">
    <w:p w:rsidR="002E73AD" w:rsidRPr="00B5414E" w:rsidRDefault="002E73AD" w:rsidP="00B5414E">
      <w:pPr>
        <w:pStyle w:val="Footer"/>
        <w:spacing w:after="80"/>
        <w:ind w:left="792"/>
        <w:rPr>
          <w:sz w:val="16"/>
        </w:rPr>
      </w:pPr>
      <w:r w:rsidRPr="00B5414E">
        <w:rPr>
          <w:sz w:val="16"/>
        </w:rPr>
        <w:t>__________________</w:t>
      </w:r>
    </w:p>
  </w:footnote>
  <w:footnote w:id="1">
    <w:p w:rsidR="00B5414E" w:rsidRPr="00B5414E" w:rsidRDefault="00B5414E" w:rsidP="00B5414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B5414E">
        <w:rPr>
          <w:rFonts w:hint="eastAsia"/>
        </w:rPr>
        <w:t>《经济、社会、文化权利国际公约》、《公民及政治权利国际公约》、《消除一切形式种族歧视国际公约》、《消除对妇女一切形式歧视公约》、《禁止酷刑和其他残忍、不人道或有辱人格的待遇或处罚公约》、《儿童权利公约》及《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5414E" w:rsidTr="00C500FE">
      <w:tblPrEx>
        <w:tblCellMar>
          <w:top w:w="0" w:type="dxa"/>
          <w:bottom w:w="0" w:type="dxa"/>
        </w:tblCellMar>
      </w:tblPrEx>
      <w:trPr>
        <w:trHeight w:hRule="exact" w:val="864"/>
      </w:trPr>
      <w:tc>
        <w:tcPr>
          <w:tcW w:w="4838" w:type="dxa"/>
          <w:shd w:val="clear" w:color="auto" w:fill="auto"/>
          <w:vAlign w:val="bottom"/>
        </w:tcPr>
        <w:p w:rsidR="00B5414E" w:rsidRPr="00C500FE" w:rsidRDefault="00B5414E" w:rsidP="00C500F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CEDAW/C/NOR/CO/7</w:t>
          </w:r>
          <w:r>
            <w:rPr>
              <w:b/>
              <w:sz w:val="17"/>
            </w:rPr>
            <w:fldChar w:fldCharType="end"/>
          </w:r>
        </w:p>
      </w:tc>
      <w:tc>
        <w:tcPr>
          <w:tcW w:w="5033" w:type="dxa"/>
          <w:shd w:val="clear" w:color="auto" w:fill="auto"/>
          <w:vAlign w:val="bottom"/>
        </w:tcPr>
        <w:p w:rsidR="00B5414E" w:rsidRDefault="00B5414E" w:rsidP="00C500FE">
          <w:pPr>
            <w:pStyle w:val="Header"/>
          </w:pPr>
        </w:p>
      </w:tc>
    </w:tr>
  </w:tbl>
  <w:p w:rsidR="00B5414E" w:rsidRPr="00C500FE" w:rsidRDefault="00B5414E" w:rsidP="00C500F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5414E" w:rsidTr="00C500FE">
      <w:tblPrEx>
        <w:tblCellMar>
          <w:top w:w="0" w:type="dxa"/>
          <w:bottom w:w="0" w:type="dxa"/>
        </w:tblCellMar>
      </w:tblPrEx>
      <w:trPr>
        <w:trHeight w:hRule="exact" w:val="864"/>
      </w:trPr>
      <w:tc>
        <w:tcPr>
          <w:tcW w:w="4838" w:type="dxa"/>
          <w:shd w:val="clear" w:color="auto" w:fill="auto"/>
          <w:vAlign w:val="bottom"/>
        </w:tcPr>
        <w:p w:rsidR="00B5414E" w:rsidRDefault="00B5414E" w:rsidP="00C500FE">
          <w:pPr>
            <w:pStyle w:val="Header"/>
          </w:pPr>
        </w:p>
      </w:tc>
      <w:tc>
        <w:tcPr>
          <w:tcW w:w="5033" w:type="dxa"/>
          <w:shd w:val="clear" w:color="auto" w:fill="auto"/>
          <w:vAlign w:val="bottom"/>
        </w:tcPr>
        <w:p w:rsidR="00B5414E" w:rsidRPr="00C500FE" w:rsidRDefault="00B5414E" w:rsidP="00C500F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CEDAW/C/NOR/CO/7</w:t>
          </w:r>
          <w:r>
            <w:rPr>
              <w:b/>
              <w:sz w:val="17"/>
            </w:rPr>
            <w:fldChar w:fldCharType="end"/>
          </w:r>
        </w:p>
      </w:tc>
    </w:tr>
  </w:tbl>
  <w:p w:rsidR="00B5414E" w:rsidRPr="00C500FE" w:rsidRDefault="00B5414E" w:rsidP="00C500F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5414E" w:rsidTr="00C500F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5414E" w:rsidRDefault="00B5414E" w:rsidP="00C500FE">
          <w:pPr>
            <w:pStyle w:val="Header"/>
            <w:spacing w:after="120"/>
          </w:pPr>
        </w:p>
      </w:tc>
      <w:tc>
        <w:tcPr>
          <w:tcW w:w="1872" w:type="dxa"/>
          <w:tcBorders>
            <w:bottom w:val="single" w:sz="4" w:space="0" w:color="auto"/>
          </w:tcBorders>
          <w:shd w:val="clear" w:color="auto" w:fill="auto"/>
          <w:vAlign w:val="bottom"/>
        </w:tcPr>
        <w:p w:rsidR="00B5414E" w:rsidRPr="00C500FE" w:rsidRDefault="00B5414E" w:rsidP="00C500F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5414E" w:rsidRDefault="00B5414E" w:rsidP="00C500FE">
          <w:pPr>
            <w:pStyle w:val="Header"/>
            <w:spacing w:after="120"/>
          </w:pPr>
        </w:p>
      </w:tc>
      <w:tc>
        <w:tcPr>
          <w:tcW w:w="6523" w:type="dxa"/>
          <w:gridSpan w:val="3"/>
          <w:tcBorders>
            <w:bottom w:val="single" w:sz="4" w:space="0" w:color="auto"/>
          </w:tcBorders>
          <w:shd w:val="clear" w:color="auto" w:fill="auto"/>
          <w:vAlign w:val="bottom"/>
        </w:tcPr>
        <w:p w:rsidR="00B5414E" w:rsidRPr="00C500FE" w:rsidRDefault="00B5414E" w:rsidP="00C500FE">
          <w:pPr>
            <w:spacing w:after="80" w:line="240" w:lineRule="auto"/>
            <w:jc w:val="right"/>
            <w:rPr>
              <w:rFonts w:ascii="Times New Roman"/>
              <w:position w:val="-4"/>
            </w:rPr>
          </w:pPr>
          <w:r>
            <w:rPr>
              <w:rFonts w:ascii="Times New Roman"/>
              <w:position w:val="-4"/>
              <w:sz w:val="40"/>
            </w:rPr>
            <w:t>CEDAW</w:t>
          </w:r>
          <w:r>
            <w:rPr>
              <w:rFonts w:ascii="Times New Roman"/>
              <w:position w:val="-4"/>
            </w:rPr>
            <w:t>/C/NOR/CO/7</w:t>
          </w:r>
        </w:p>
      </w:tc>
    </w:tr>
    <w:tr w:rsidR="00B5414E" w:rsidRPr="00C500FE" w:rsidTr="00C500F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5414E" w:rsidRDefault="00B5414E" w:rsidP="00C500F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5414E" w:rsidRPr="00C500FE" w:rsidRDefault="00B5414E" w:rsidP="00C500FE">
          <w:pPr>
            <w:pStyle w:val="Header"/>
            <w:spacing w:before="109"/>
            <w:ind w:left="-72"/>
          </w:pPr>
        </w:p>
      </w:tc>
      <w:tc>
        <w:tcPr>
          <w:tcW w:w="5227" w:type="dxa"/>
          <w:gridSpan w:val="3"/>
          <w:tcBorders>
            <w:top w:val="single" w:sz="4" w:space="0" w:color="auto"/>
            <w:bottom w:val="single" w:sz="12" w:space="0" w:color="auto"/>
          </w:tcBorders>
          <w:shd w:val="clear" w:color="auto" w:fill="auto"/>
        </w:tcPr>
        <w:p w:rsidR="00B5414E" w:rsidRPr="00C500FE" w:rsidRDefault="00B5414E" w:rsidP="00C500F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5414E" w:rsidRPr="00C500FE" w:rsidRDefault="00B5414E" w:rsidP="00C500FE">
          <w:pPr>
            <w:pStyle w:val="Header"/>
            <w:spacing w:before="109"/>
          </w:pPr>
        </w:p>
      </w:tc>
      <w:tc>
        <w:tcPr>
          <w:tcW w:w="3180" w:type="dxa"/>
          <w:gridSpan w:val="2"/>
          <w:tcBorders>
            <w:top w:val="single" w:sz="4" w:space="0" w:color="auto"/>
            <w:bottom w:val="single" w:sz="12" w:space="0" w:color="auto"/>
          </w:tcBorders>
          <w:shd w:val="clear" w:color="auto" w:fill="auto"/>
        </w:tcPr>
        <w:p w:rsidR="00B5414E" w:rsidRDefault="00B5414E" w:rsidP="00C500FE">
          <w:pPr>
            <w:spacing w:before="240" w:line="240" w:lineRule="exact"/>
            <w:rPr>
              <w:rFonts w:ascii="Times New Roman"/>
            </w:rPr>
          </w:pPr>
          <w:r>
            <w:rPr>
              <w:rFonts w:ascii="Times New Roman"/>
            </w:rPr>
            <w:t>Distr.: General</w:t>
          </w:r>
        </w:p>
        <w:p w:rsidR="00B5414E" w:rsidRDefault="00B5414E" w:rsidP="00C500FE">
          <w:pPr>
            <w:spacing w:line="240" w:lineRule="exact"/>
            <w:rPr>
              <w:rFonts w:ascii="Times New Roman"/>
            </w:rPr>
          </w:pPr>
          <w:r>
            <w:rPr>
              <w:rFonts w:ascii="Times New Roman"/>
            </w:rPr>
            <w:t>10 August 2007</w:t>
          </w:r>
        </w:p>
        <w:p w:rsidR="00B5414E" w:rsidRDefault="00B5414E" w:rsidP="00C500FE">
          <w:pPr>
            <w:spacing w:line="240" w:lineRule="exact"/>
            <w:rPr>
              <w:rFonts w:ascii="Times New Roman"/>
            </w:rPr>
          </w:pPr>
          <w:r>
            <w:rPr>
              <w:rFonts w:ascii="Times New Roman"/>
            </w:rPr>
            <w:t>Chinese</w:t>
          </w:r>
        </w:p>
        <w:p w:rsidR="00B5414E" w:rsidRPr="00C500FE" w:rsidRDefault="00B5414E" w:rsidP="00C500FE">
          <w:pPr>
            <w:spacing w:line="240" w:lineRule="exact"/>
            <w:rPr>
              <w:rFonts w:ascii="Times New Roman"/>
            </w:rPr>
          </w:pPr>
          <w:r>
            <w:rPr>
              <w:rFonts w:ascii="Times New Roman"/>
            </w:rPr>
            <w:t>Original: English</w:t>
          </w:r>
        </w:p>
      </w:tc>
    </w:tr>
  </w:tbl>
  <w:p w:rsidR="00B5414E" w:rsidRPr="00C500FE" w:rsidRDefault="00B5414E" w:rsidP="00C500F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70*"/>
    <w:docVar w:name="CreationDt" w:val="21/08/2007 13:06:22"/>
    <w:docVar w:name="DocCategory" w:val="Doc"/>
    <w:docVar w:name="DocType" w:val="Final"/>
    <w:docVar w:name="FooterJN" w:val="07-45970"/>
    <w:docVar w:name="jobn" w:val="07-45970 (C)"/>
    <w:docVar w:name="jobnDT" w:val="07-45970 (C)   210807"/>
    <w:docVar w:name="jobnDTDT" w:val="07-45970 (C)   210807   210807"/>
    <w:docVar w:name="JobNo" w:val="0745970C"/>
    <w:docVar w:name="OandT" w:val="JI SX"/>
    <w:docVar w:name="sss1" w:val="CEDAW/C/NOR/CO/7"/>
    <w:docVar w:name="sss2" w:val="-"/>
    <w:docVar w:name="Symbol1" w:val="CEDAW/C/NOR/CO/7"/>
    <w:docVar w:name="Symbol2" w:val="-"/>
  </w:docVars>
  <w:rsids>
    <w:rsidRoot w:val="001F157F"/>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E20EC"/>
    <w:rsid w:val="001E4442"/>
    <w:rsid w:val="001E5A51"/>
    <w:rsid w:val="001F03A7"/>
    <w:rsid w:val="001F157F"/>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E73AD"/>
    <w:rsid w:val="002F41E2"/>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61190"/>
    <w:rsid w:val="00776537"/>
    <w:rsid w:val="00783A25"/>
    <w:rsid w:val="007877F4"/>
    <w:rsid w:val="007E1B5E"/>
    <w:rsid w:val="007F2278"/>
    <w:rsid w:val="00805783"/>
    <w:rsid w:val="00806F57"/>
    <w:rsid w:val="00806F90"/>
    <w:rsid w:val="00824C19"/>
    <w:rsid w:val="008378D1"/>
    <w:rsid w:val="00846462"/>
    <w:rsid w:val="0086691F"/>
    <w:rsid w:val="00883DB0"/>
    <w:rsid w:val="00884C8F"/>
    <w:rsid w:val="00896D38"/>
    <w:rsid w:val="008C3296"/>
    <w:rsid w:val="008E2D03"/>
    <w:rsid w:val="008F2BB5"/>
    <w:rsid w:val="008F425D"/>
    <w:rsid w:val="008F5472"/>
    <w:rsid w:val="008F5D0F"/>
    <w:rsid w:val="009122E0"/>
    <w:rsid w:val="0091232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5223"/>
    <w:rsid w:val="00AB2786"/>
    <w:rsid w:val="00AD4308"/>
    <w:rsid w:val="00AF2A33"/>
    <w:rsid w:val="00B309DD"/>
    <w:rsid w:val="00B36621"/>
    <w:rsid w:val="00B36D64"/>
    <w:rsid w:val="00B41B48"/>
    <w:rsid w:val="00B5414E"/>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500FE"/>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71D86"/>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745</Words>
  <Characters>4249</Characters>
  <Application>Microsoft Office Word</Application>
  <DocSecurity>4</DocSecurity>
  <Lines>35</Lines>
  <Paragraphs>9</Paragraphs>
  <ScaleCrop>false</ScaleCrop>
  <Company>United Nations</Company>
  <LinksUpToDate>false</LinksUpToDate>
  <CharactersWithSpaces>4985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Shuxing.Ji</dc:creator>
  <cp:keywords/>
  <dc:description/>
  <cp:lastModifiedBy>Shuxing.Ji</cp:lastModifiedBy>
  <cp:revision>6</cp:revision>
  <cp:lastPrinted>2007-08-21T12:22:00Z</cp:lastPrinted>
  <dcterms:created xsi:type="dcterms:W3CDTF">2007-08-21T12:04:00Z</dcterms:created>
  <dcterms:modified xsi:type="dcterms:W3CDTF">2007-08-21T12:23:00Z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0745970</vt:lpwstr>
  </property>
  <property fmtid="{D5CDD505-2E9C-101B-9397-08002B2CF9AE}" pid="3" name="Symbol1">
    <vt:lpwstr>CEDAW/C/NOR/CO/7</vt:lpwstr>
  </property>
  <property fmtid="{D5CDD505-2E9C-101B-9397-08002B2CF9AE}" pid="4" name="Symbol2">
    <vt:lpwstr/>
  </property>
  <property fmtid="{D5CDD505-2E9C-101B-9397-08002B2CF9AE}" pid="5" name="Translator">
    <vt:lpwstr/>
  </property>
  <property fmtid="{D5CDD505-2E9C-101B-9397-08002B2CF9AE}" pid="6" name="Operator">
    <vt:lpwstr>JI SX</vt:lpwstr>
  </property>
  <property fmtid="{D5CDD505-2E9C-101B-9397-08002B2CF9AE}" pid="7" name="DraftPages">
    <vt:lpwstr> </vt:lpwstr>
  </property>
  <property fmtid="{D5CDD505-2E9C-101B-9397-08002B2CF9AE}" pid="8" name="Comment">
    <vt:lpwstr/>
  </property>
</Properties>
</file>