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92C50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090413" w14:textId="77777777" w:rsidR="002D5AAC" w:rsidRDefault="002D5AAC" w:rsidP="00475A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1EE21F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79920F8" w14:textId="4870F370" w:rsidR="002D5AAC" w:rsidRDefault="00475A71" w:rsidP="00475A71">
            <w:pPr>
              <w:jc w:val="right"/>
            </w:pPr>
            <w:r w:rsidRPr="00475A71">
              <w:rPr>
                <w:sz w:val="40"/>
              </w:rPr>
              <w:t>CERD</w:t>
            </w:r>
            <w:r>
              <w:t>/C/SGP/CO/1</w:t>
            </w:r>
          </w:p>
        </w:tc>
      </w:tr>
      <w:tr w:rsidR="002D5AAC" w:rsidRPr="005D6B70" w14:paraId="5F1526EA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9E6056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55FEDB" wp14:editId="561EF10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E28A34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B271111" w14:textId="77777777" w:rsidR="002D5AAC" w:rsidRPr="005D6B70" w:rsidRDefault="00475A71" w:rsidP="008D2AAD">
            <w:pPr>
              <w:spacing w:before="240"/>
              <w:rPr>
                <w:lang w:val="en-US"/>
              </w:rPr>
            </w:pPr>
            <w:r w:rsidRPr="005D6B70">
              <w:rPr>
                <w:lang w:val="en-US"/>
              </w:rPr>
              <w:t>Distr.: General</w:t>
            </w:r>
          </w:p>
          <w:p w14:paraId="742A48BA" w14:textId="77777777" w:rsidR="00475A71" w:rsidRPr="005D6B70" w:rsidRDefault="00475A71" w:rsidP="00475A71">
            <w:pPr>
              <w:spacing w:line="240" w:lineRule="exact"/>
              <w:rPr>
                <w:lang w:val="en-US"/>
              </w:rPr>
            </w:pPr>
            <w:r w:rsidRPr="005D6B70">
              <w:rPr>
                <w:lang w:val="en-US"/>
              </w:rPr>
              <w:t>2 February 2022</w:t>
            </w:r>
          </w:p>
          <w:p w14:paraId="08F240D6" w14:textId="77777777" w:rsidR="00475A71" w:rsidRPr="005D6B70" w:rsidRDefault="00475A71" w:rsidP="00475A71">
            <w:pPr>
              <w:spacing w:line="240" w:lineRule="exact"/>
              <w:rPr>
                <w:lang w:val="en-US"/>
              </w:rPr>
            </w:pPr>
            <w:r w:rsidRPr="005D6B70">
              <w:rPr>
                <w:lang w:val="en-US"/>
              </w:rPr>
              <w:t>Russian</w:t>
            </w:r>
          </w:p>
          <w:p w14:paraId="44DCA0E4" w14:textId="3EEE484F" w:rsidR="00475A71" w:rsidRPr="005D6B70" w:rsidRDefault="00475A71" w:rsidP="00475A71">
            <w:pPr>
              <w:spacing w:line="240" w:lineRule="exact"/>
              <w:rPr>
                <w:lang w:val="en-US"/>
              </w:rPr>
            </w:pPr>
            <w:r w:rsidRPr="005D6B70">
              <w:rPr>
                <w:lang w:val="en-US"/>
              </w:rPr>
              <w:t>Original: English</w:t>
            </w:r>
          </w:p>
        </w:tc>
      </w:tr>
    </w:tbl>
    <w:p w14:paraId="44135D4F" w14:textId="77777777" w:rsidR="001112F6" w:rsidRPr="001E1A4D" w:rsidRDefault="001112F6" w:rsidP="001112F6">
      <w:pPr>
        <w:spacing w:before="120"/>
        <w:rPr>
          <w:b/>
          <w:sz w:val="24"/>
          <w:szCs w:val="24"/>
        </w:rPr>
      </w:pPr>
      <w:r w:rsidRPr="001E1A4D">
        <w:rPr>
          <w:b/>
          <w:bCs/>
          <w:sz w:val="24"/>
          <w:szCs w:val="24"/>
        </w:rPr>
        <w:t>Комитет по ликвидации расовой дискриминации</w:t>
      </w:r>
    </w:p>
    <w:p w14:paraId="35EF7678" w14:textId="77777777" w:rsidR="001112F6" w:rsidRPr="001E1A4D" w:rsidRDefault="001112F6" w:rsidP="001112F6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Сингапура</w:t>
      </w:r>
      <w:r w:rsidRPr="006E6C53">
        <w:rPr>
          <w:b w:val="0"/>
          <w:bCs/>
          <w:sz w:val="20"/>
        </w:rPr>
        <w:footnoteReference w:customMarkFollows="1" w:id="1"/>
        <w:t>*</w:t>
      </w:r>
    </w:p>
    <w:p w14:paraId="3EA09A1B" w14:textId="3C4F9D63" w:rsidR="001112F6" w:rsidRPr="001E1A4D" w:rsidRDefault="001112F6" w:rsidP="001112F6">
      <w:pPr>
        <w:pStyle w:val="SingleTxtG"/>
      </w:pPr>
      <w:r>
        <w:t>1.</w:t>
      </w:r>
      <w:r>
        <w:tab/>
        <w:t>Комитет рассмотрел первоначальный доклад Сингапура</w:t>
      </w:r>
      <w:r w:rsidRPr="006E6C53">
        <w:rPr>
          <w:rStyle w:val="aa"/>
        </w:rPr>
        <w:footnoteReference w:id="2"/>
      </w:r>
      <w:r>
        <w:t xml:space="preserve"> на своих 2843-м </w:t>
      </w:r>
      <w:r>
        <w:br/>
        <w:t>и 2844-м заседаниях</w:t>
      </w:r>
      <w:r w:rsidRPr="006E6C53">
        <w:rPr>
          <w:rStyle w:val="aa"/>
        </w:rPr>
        <w:footnoteReference w:id="3"/>
      </w:r>
      <w:r>
        <w:t xml:space="preserve">, состоявшихся 18 и 19 ноября 2021 года. На своем </w:t>
      </w:r>
      <w:r>
        <w:br/>
        <w:t>2856-м заседании, состоявшемся 29 ноября 2021 года, он принял настоящие заключительные замечания.</w:t>
      </w:r>
    </w:p>
    <w:p w14:paraId="3244E6B6" w14:textId="77777777" w:rsidR="001112F6" w:rsidRPr="001E1A4D" w:rsidRDefault="001112F6" w:rsidP="001112F6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85392FC" w14:textId="77777777" w:rsidR="001112F6" w:rsidRPr="001E1A4D" w:rsidRDefault="001112F6" w:rsidP="001112F6">
      <w:pPr>
        <w:pStyle w:val="SingleTxtG"/>
      </w:pPr>
      <w:r>
        <w:t>2.</w:t>
      </w:r>
      <w:r>
        <w:tab/>
        <w:t>Комитет приветствует своевременное представление первоначального доклада государства-участника и выражает свою признательность за конструктивный диалог с делегацией государства-участника. Он благодарит делегацию высокого уровня за информацию, представленную в ходе рассмотрения доклада, и за дополнительные сведения, направленные в письменном виде после диалога.</w:t>
      </w:r>
    </w:p>
    <w:p w14:paraId="593A903B" w14:textId="77777777" w:rsidR="001112F6" w:rsidRPr="001E1A4D" w:rsidRDefault="001112F6" w:rsidP="001112F6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36BC1A99" w14:textId="77777777" w:rsidR="001112F6" w:rsidRPr="001E1A4D" w:rsidRDefault="001112F6" w:rsidP="001112F6">
      <w:pPr>
        <w:pStyle w:val="SingleTxtG"/>
      </w:pPr>
      <w:r>
        <w:t>3.</w:t>
      </w:r>
      <w:r>
        <w:tab/>
        <w:t>Комитет приветствует присоединение государства-участника к Конвенции о правах инвалидов в 2013 году.</w:t>
      </w:r>
    </w:p>
    <w:p w14:paraId="69554063" w14:textId="77777777" w:rsidR="001112F6" w:rsidRPr="001E1A4D" w:rsidRDefault="001112F6" w:rsidP="001112F6">
      <w:pPr>
        <w:pStyle w:val="SingleTxtG"/>
      </w:pPr>
      <w:r>
        <w:t>4.</w:t>
      </w:r>
      <w:r>
        <w:tab/>
        <w:t>Комитет также приветствует следующие законодательные, институциональные и политические меры, принятые государством-участником:</w:t>
      </w:r>
    </w:p>
    <w:p w14:paraId="069409E2" w14:textId="77777777" w:rsidR="001112F6" w:rsidRPr="001E1A4D" w:rsidRDefault="001112F6" w:rsidP="001112F6">
      <w:pPr>
        <w:pStyle w:val="SingleTxtG"/>
      </w:pPr>
      <w:r>
        <w:tab/>
        <w:t>a)</w:t>
      </w:r>
      <w:r>
        <w:tab/>
        <w:t>поправки, внесенные в 2016 году в Конституцию и Закон о выборах президента и направленные на обеспечение представленности этнических меньшинств в Администрации президента;</w:t>
      </w:r>
    </w:p>
    <w:p w14:paraId="784BD680" w14:textId="7D9B1168" w:rsidR="001112F6" w:rsidRPr="001E1A4D" w:rsidRDefault="001112F6" w:rsidP="001112F6">
      <w:pPr>
        <w:pStyle w:val="SingleTxtG"/>
      </w:pPr>
      <w:r>
        <w:tab/>
        <w:t>b)</w:t>
      </w:r>
      <w:r>
        <w:tab/>
        <w:t xml:space="preserve">принятие Национального подхода по борьбе с торговлей людьми </w:t>
      </w:r>
      <w:r w:rsidR="00DD2BD0">
        <w:br/>
      </w:r>
      <w:r>
        <w:t>(2016–2026 годы);</w:t>
      </w:r>
    </w:p>
    <w:p w14:paraId="1070DD92" w14:textId="77777777" w:rsidR="001112F6" w:rsidRPr="001E1A4D" w:rsidRDefault="001112F6" w:rsidP="001112F6">
      <w:pPr>
        <w:pStyle w:val="SingleTxtG"/>
      </w:pPr>
      <w:r>
        <w:tab/>
        <w:t>c)</w:t>
      </w:r>
      <w:r>
        <w:tab/>
        <w:t>создание в 2015 году Межминистерского комитета по Международной конвенции о ликвидации всех форм расовой дискриминации, целью которого является контроль за осуществлением Конвенции;</w:t>
      </w:r>
    </w:p>
    <w:p w14:paraId="54F0E143" w14:textId="77777777" w:rsidR="001112F6" w:rsidRPr="001E1A4D" w:rsidRDefault="001112F6" w:rsidP="001112F6">
      <w:pPr>
        <w:pStyle w:val="SingleTxtG"/>
      </w:pPr>
      <w:r>
        <w:tab/>
        <w:t>d)</w:t>
      </w:r>
      <w:r>
        <w:tab/>
        <w:t>принятие Закона о противодействии торговле людьми 2014 года.</w:t>
      </w:r>
    </w:p>
    <w:p w14:paraId="37FE9C29" w14:textId="77777777" w:rsidR="001112F6" w:rsidRPr="001E1A4D" w:rsidRDefault="001112F6" w:rsidP="001112F6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Вопросы, вызывающие озабоченность, и рекомендации</w:t>
      </w:r>
    </w:p>
    <w:p w14:paraId="3DB99C0C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4A45952" w14:textId="77777777" w:rsidR="001112F6" w:rsidRPr="001E1A4D" w:rsidRDefault="001112F6" w:rsidP="001112F6">
      <w:pPr>
        <w:pStyle w:val="SingleTxtG"/>
      </w:pPr>
      <w:r>
        <w:t>5.</w:t>
      </w:r>
      <w:r>
        <w:tab/>
        <w:t>Комитет принимает к сведению представленные государством-участником в своем докладе и в ходе диалога данные об этническом составе населения и о положении групп меньшинств в отношении жилья и образования. При этом Комитет выражает сожаление по поводу отсутствия всеобъемлющих данных, которые послужили бы эмпирической основой для оценки обеспечения равного осуществления всех защищаемых Конвенцией прав различными этническими группами, в разбивке по этническому или национальному происхождению и с учетом неграждан, таких как мигранты, беженцы и лица без гражданства (ст. 1 и 5).</w:t>
      </w:r>
    </w:p>
    <w:p w14:paraId="000353EB" w14:textId="1F36943B" w:rsidR="001112F6" w:rsidRPr="001E1A4D" w:rsidRDefault="001112F6" w:rsidP="001112F6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Ссылаясь на руководящие принципы представления докладов согласно Конвенции</w:t>
      </w:r>
      <w:r w:rsidRPr="00F84C5A">
        <w:rPr>
          <w:rStyle w:val="aa"/>
        </w:rPr>
        <w:footnoteReference w:id="4"/>
      </w:r>
      <w:r>
        <w:rPr>
          <w:b/>
          <w:bCs/>
        </w:rPr>
        <w:t>, Комитет рекомендует государству-участнику представить в своем следующем периодическом докладе всеобъемлющие данные об этническом составе населения в разбивке по этническому и национальному происхождению и с учетом неграждан, таких как мигранты, беженцы и лица без гражданства, а</w:t>
      </w:r>
      <w:r w:rsidR="00DD2BD0">
        <w:rPr>
          <w:b/>
          <w:bCs/>
        </w:rPr>
        <w:t> </w:t>
      </w:r>
      <w:r>
        <w:rPr>
          <w:b/>
          <w:bCs/>
        </w:rPr>
        <w:t>также данные о социально-экономических показателях, с тем чтобы Комитет располагал эмпирической базой для оценки обеспечения равного осуществления прав, закрепленных в Конвенции.</w:t>
      </w:r>
    </w:p>
    <w:p w14:paraId="1AB70988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Определение расовой дискриминации и законодательство</w:t>
      </w:r>
    </w:p>
    <w:p w14:paraId="7AF571DB" w14:textId="38960180" w:rsidR="001112F6" w:rsidRPr="001E1A4D" w:rsidRDefault="001112F6" w:rsidP="001112F6">
      <w:pPr>
        <w:pStyle w:val="SingleTxtG"/>
      </w:pPr>
      <w:r>
        <w:t>7.</w:t>
      </w:r>
      <w:r>
        <w:tab/>
        <w:t xml:space="preserve">Комитет обеспокоен отсутствием всеобъемлющего антидискриминационного законодательства, которое включало бы определение расовой дискриминации в соответствии со статьей 1 Конвенции и обеспечивало бы надлежащую защиту от актов расовой дискриминации, предусматривая средства правовой защиты от них (ст. 1, 2 </w:t>
      </w:r>
      <w:r>
        <w:br/>
        <w:t>и 6).</w:t>
      </w:r>
    </w:p>
    <w:p w14:paraId="351DE937" w14:textId="2156D8F4" w:rsidR="001112F6" w:rsidRPr="001E1A4D" w:rsidRDefault="001112F6" w:rsidP="001112F6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которое будет: a) включать определение расовой дискриминации, распространяющееся на все основания для дискриминации, в соответствии со статьей 1 Конвенции;</w:t>
      </w:r>
      <w:r>
        <w:t xml:space="preserve"> </w:t>
      </w:r>
      <w:r>
        <w:rPr>
          <w:b/>
          <w:bCs/>
        </w:rPr>
        <w:t>b) охватывать прямую и косвенную дискриминацию как в государственной, так и в частной сферах;</w:t>
      </w:r>
      <w:r>
        <w:t xml:space="preserve"> </w:t>
      </w:r>
      <w:r>
        <w:br/>
      </w:r>
      <w:r>
        <w:rPr>
          <w:b/>
          <w:bCs/>
        </w:rPr>
        <w:t>c) предусматривать меры наказания в случае нарушения законодательства и возмещение ущерба жертвам расовой дискриминации с учетом общей рекомендации Комитета № 26 (2000) по статье 6 Конвенции;</w:t>
      </w:r>
      <w:r>
        <w:t xml:space="preserve"> </w:t>
      </w:r>
      <w:r>
        <w:br/>
      </w:r>
      <w:r>
        <w:rPr>
          <w:b/>
          <w:bCs/>
        </w:rPr>
        <w:t>и d) предусматривать создание механизмов по предоставлению средств правовой защиты и возмещения.</w:t>
      </w:r>
    </w:p>
    <w:p w14:paraId="5788AE95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19E6E89" w14:textId="77777777" w:rsidR="001112F6" w:rsidRPr="001E1A4D" w:rsidRDefault="001112F6" w:rsidP="001112F6">
      <w:pPr>
        <w:pStyle w:val="SingleTxtG"/>
      </w:pPr>
      <w:r>
        <w:t>9.</w:t>
      </w:r>
      <w:r>
        <w:tab/>
        <w:t>Комитет обеспокоен отсутствием в государстве-участнике национального правозащитного учреждения, учитывая, что полномочия существующих ведомств — Межминистерского комитета по Конвенции и Президентского совета по правам меньшинств — не замещают полномочий независимого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(ст. 2).</w:t>
      </w:r>
    </w:p>
    <w:p w14:paraId="26034088" w14:textId="77777777" w:rsidR="001112F6" w:rsidRPr="001E1A4D" w:rsidRDefault="001112F6" w:rsidP="001112F6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призывает государство-участник создать независимое национальное правозащитное учреждение с широкими полномочиями в области поощрения и защиты прав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Он также призывает государство-участник наделить такое учреждение полномочиями по рассмотрению индивидуальных жалоб, касающихся расовой дискриминации, как это предусмотрено в пункте 2 статьи 14 Конвенции.</w:t>
      </w:r>
    </w:p>
    <w:p w14:paraId="65CF752D" w14:textId="77777777" w:rsidR="001112F6" w:rsidRPr="001E1A4D" w:rsidRDefault="001112F6" w:rsidP="001112F6">
      <w:pPr>
        <w:pStyle w:val="H23G"/>
      </w:pPr>
      <w:r>
        <w:lastRenderedPageBreak/>
        <w:tab/>
      </w:r>
      <w:r>
        <w:tab/>
      </w:r>
      <w:r>
        <w:rPr>
          <w:bCs/>
        </w:rPr>
        <w:t>Ненавистнические высказывания расистского толка и преступления на почве расовой ненависти</w:t>
      </w:r>
    </w:p>
    <w:p w14:paraId="62CF1C08" w14:textId="7FA6B378" w:rsidR="001112F6" w:rsidRPr="001E1A4D" w:rsidRDefault="001112F6" w:rsidP="001112F6">
      <w:pPr>
        <w:pStyle w:val="SingleTxtG"/>
      </w:pPr>
      <w:r>
        <w:t>11.</w:t>
      </w:r>
      <w:r>
        <w:tab/>
        <w:t>Комитет принимает к сведению наличие и применение властями государства-участника законодательных актов, криминализирующих ненавистнические высказывания расистского толка, преступления на почве расовой ненависти и деятельность организаций, поощряющих расовую дискриминацию и подстрекающих к ней, таких как статьи 298 и 298А Уголовного кодекса, Закон о внутренней безопасности, Закон о нежелательных публикациях, Закон о поддержании религиозной гармонии и Закон о защите от фальсификаций и манипуляций онлайн. При этом Комитет обеспокоен сообщениями о том, что поправки к этим законам на практике могут привести к запугиванию, задержанию и преследованию журналистов, правозащитников или представителей политической оппозиции в связи с осуществлением их прав на свободу мнений и их свободное выражение, в том числе в отношении вопросов расовой дискриминации и расизма (ст. 4).</w:t>
      </w:r>
    </w:p>
    <w:p w14:paraId="3E735332" w14:textId="41AD7A6E" w:rsidR="001112F6" w:rsidRPr="001E1A4D" w:rsidRDefault="001112F6" w:rsidP="001112F6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ссылается на свою общую рекомендацию № 35 (2013) о борьбе с ненавистническими высказываниями расистского толка, согласно которой запрещение ненавистнических высказываний расистского толка и обеспечение свободы выражения мнений должны носить взаимодополняющий характер, а не рассматриваться как противодействующие факторы, когда предпочтение одного из них автоматически означает умаление другого.</w:t>
      </w:r>
      <w:r>
        <w:t xml:space="preserve"> </w:t>
      </w:r>
      <w:r>
        <w:rPr>
          <w:b/>
          <w:bCs/>
        </w:rPr>
        <w:t>Соответственно, Комитет рекомендует государству-участнику пересмотреть вышеупомянутые законы для обеспечения того, чтобы свобода выражения мнений не ограничивалась ни в законодательстве, ни на практике, в том числе в отношении обсуждения вопросов расовой дискриминации и расизма.</w:t>
      </w:r>
      <w:r>
        <w:t xml:space="preserve"> </w:t>
      </w:r>
      <w:r>
        <w:rPr>
          <w:b/>
          <w:bCs/>
        </w:rPr>
        <w:t>Ему также следует принять необходимые меры для обеспечения того, чтобы журналисты, правозащитники или представители политической оппозиции не подвергались запугиванию, задержанию или судебному преследованию за осуществление права на свободу мнений и их свободное выражение, в том числе по вопросам расовой дискриминации и расизма.</w:t>
      </w:r>
    </w:p>
    <w:p w14:paraId="694B7B68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Расовое профилирование</w:t>
      </w:r>
    </w:p>
    <w:p w14:paraId="0FCA213F" w14:textId="30F56E31" w:rsidR="001112F6" w:rsidRPr="001E1A4D" w:rsidRDefault="001112F6" w:rsidP="001112F6">
      <w:pPr>
        <w:pStyle w:val="SingleTxtG"/>
      </w:pPr>
      <w:r>
        <w:t>13.</w:t>
      </w:r>
      <w:r>
        <w:tab/>
        <w:t>Комитет сожалеет об отсутствии конкретного законодательства, запрещающего акты расового профилирования, или других мер, направленных на борьбу с такими актами. Он также обеспокоен сообщениями о том, что представители меньшинств чаще останавливаются и проверяются сотрудниками правоохранительных органов и что ассоциирование проблемы незаконного оборота наркотиков с определенными этническими меньшинствами, особенно малайцами, может усугубить предрассудки и нетерпимость по отношению к ним (ст. 4 и 5).</w:t>
      </w:r>
    </w:p>
    <w:p w14:paraId="586A26E8" w14:textId="77777777" w:rsidR="001112F6" w:rsidRPr="001E1A4D" w:rsidRDefault="001112F6" w:rsidP="001112F6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свою общую рекомендацию № 36 (2020) о предупреждении расового профилирования со стороны сотрудников правоохранительных органов и борьбе с ним, Комитет рекомендует государству-участнику разработать и эффективно применять законы и политические стратегии по выявлению и запрещению расового профилирования со стороны сотрудников правоохранительных органов, а также обеспечить обязательную подготовку по противодействию дискриминации и предвзятости в работе полиции, в том числе в связи с проблемой незаконного оборота наркотиков.</w:t>
      </w:r>
    </w:p>
    <w:p w14:paraId="7B6374E2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Положение этнических меньшинств</w:t>
      </w:r>
    </w:p>
    <w:p w14:paraId="318803CE" w14:textId="77777777" w:rsidR="001112F6" w:rsidRPr="001E1A4D" w:rsidRDefault="001112F6" w:rsidP="001112F6">
      <w:pPr>
        <w:pStyle w:val="SingleTxtG"/>
      </w:pPr>
      <w:r>
        <w:t>15.</w:t>
      </w:r>
      <w:r>
        <w:tab/>
        <w:t>Принимая к сведению разъяснение государства-участника о том, что принцип меритократии обеспечивает равные возможности для всех и что более уязвимые группы населения получают поддержку в виде целевых субсидий в сфере занятости, жилья и образования, Комитет по-прежнему обеспокоен тем, что этих мер недостаточно ни для решения проблемы структурной дискриминации в отношении представителей этнических меньшинств, ни для улучшения их социально-экономического положения (ст. 5).</w:t>
      </w:r>
    </w:p>
    <w:p w14:paraId="4A06B97F" w14:textId="77777777" w:rsidR="001112F6" w:rsidRPr="001E1A4D" w:rsidRDefault="001112F6" w:rsidP="001112F6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Принимая во внимание свою общую рекомендацию № 32 (2009) о значении и сфере применения особых мер в Конвенции, Комитет рекомендует государству-участнику принять эффективные меры по сокращению бедности и неравенства, от которых страдают представители этнических меньшинств, в том числе путем принятия особых мер, направленных на ликвидацию структурной дискриминации в их отношении.</w:t>
      </w:r>
      <w:r>
        <w:t xml:space="preserve"> </w:t>
      </w:r>
      <w:r>
        <w:rPr>
          <w:b/>
          <w:bCs/>
        </w:rPr>
        <w:t>При этом для достижения существенного сокращения бедности и неравенства государству-участнику следует учитывать глубокое неравенство, затрагивающее представителей этнических меньшинств, и их конкретные потребности.</w:t>
      </w:r>
    </w:p>
    <w:p w14:paraId="7F0717CC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4E28E512" w14:textId="77777777" w:rsidR="001112F6" w:rsidRPr="001E1A4D" w:rsidRDefault="001112F6" w:rsidP="001112F6">
      <w:pPr>
        <w:pStyle w:val="SingleTxtG"/>
      </w:pPr>
      <w:r>
        <w:t>17.</w:t>
      </w:r>
      <w:r>
        <w:tab/>
        <w:t>Комитет обеспокоен сообщениями о том, что лица, принадлежащие к этническим меньшинствам, статистически чаще страдают хроническими заболеваниями и имеют более высокие показатели смертности, чем представители большинства, и что некоторые этнические группы сталкиваются с языковыми барьерами, затрудняющими доступ к медицинским услугам. Он также отмечает, что схема «Владение жильем плюс образование» (ВЖПО), в рамках которой малообеспеченным семьям предоставляются жилищные субсидии и финансовая помощь при условии, что в семье не более двух детей, особенно ущемляет малайских женщин, коэффициент фертильности которых обычно выше, чем среди женщин другого этнического происхождения, и которые чаще относятся к малообеспеченным группам населения (ст. 5).</w:t>
      </w:r>
    </w:p>
    <w:p w14:paraId="11E8B60A" w14:textId="77777777" w:rsidR="001112F6" w:rsidRPr="001E1A4D" w:rsidRDefault="001112F6" w:rsidP="001112F6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9C5096" w14:textId="45787F6B" w:rsidR="001112F6" w:rsidRPr="00FA34A4" w:rsidRDefault="001112F6" w:rsidP="001112F6">
      <w:pPr>
        <w:pStyle w:val="SingleTxtG"/>
        <w:rPr>
          <w:b/>
          <w:bCs/>
        </w:rPr>
      </w:pPr>
      <w:r w:rsidRPr="00FA34A4">
        <w:rPr>
          <w:b/>
          <w:bCs/>
        </w:rPr>
        <w:tab/>
        <w:t>a)</w:t>
      </w:r>
      <w:r w:rsidRPr="00FA34A4">
        <w:rPr>
          <w:b/>
          <w:bCs/>
        </w:rPr>
        <w:tab/>
        <w:t>обеспечить представителям меньшинств надлежащий доступ к качественным медицинским услугам, при необходимости</w:t>
      </w:r>
      <w:r w:rsidR="00FA34A4">
        <w:rPr>
          <w:b/>
          <w:bCs/>
        </w:rPr>
        <w:t xml:space="preserve"> </w:t>
      </w:r>
      <w:r w:rsidRPr="00FA34A4">
        <w:rPr>
          <w:b/>
          <w:bCs/>
        </w:rPr>
        <w:t>с помощью переводчиков;</w:t>
      </w:r>
    </w:p>
    <w:p w14:paraId="32CC51C0" w14:textId="77777777" w:rsidR="001112F6" w:rsidRPr="001E1A4D" w:rsidRDefault="001112F6" w:rsidP="001112F6">
      <w:pPr>
        <w:pStyle w:val="SingleTxtG"/>
        <w:rPr>
          <w:b/>
          <w:bCs/>
        </w:rPr>
      </w:pPr>
      <w:r w:rsidRPr="00FA34A4">
        <w:rPr>
          <w:b/>
          <w:bCs/>
        </w:rPr>
        <w:tab/>
        <w:t>b)</w:t>
      </w:r>
      <w:r w:rsidRPr="00FA34A4">
        <w:rPr>
          <w:b/>
          <w:bCs/>
        </w:rPr>
        <w:tab/>
        <w:t>п</w:t>
      </w:r>
      <w:r>
        <w:rPr>
          <w:b/>
          <w:bCs/>
        </w:rPr>
        <w:t xml:space="preserve">ересмотреть политику и законодательство, включая схему </w:t>
      </w:r>
      <w:r w:rsidRPr="001112F6">
        <w:rPr>
          <w:b/>
          <w:bCs/>
        </w:rPr>
        <w:t xml:space="preserve">ВЖПО, </w:t>
      </w:r>
      <w:r>
        <w:rPr>
          <w:b/>
          <w:bCs/>
        </w:rPr>
        <w:t>чтобы избежать дискриминационного воздействия на права определенных меньшинств, включая право на репродуктивное здоровье.</w:t>
      </w:r>
    </w:p>
    <w:p w14:paraId="6369029F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Меньшинства в общественной и политической жизни</w:t>
      </w:r>
    </w:p>
    <w:p w14:paraId="4E967FBA" w14:textId="77777777" w:rsidR="001112F6" w:rsidRPr="001E1A4D" w:rsidRDefault="001112F6" w:rsidP="001112F6">
      <w:pPr>
        <w:pStyle w:val="SingleTxtG"/>
      </w:pPr>
      <w:r>
        <w:t>19.</w:t>
      </w:r>
      <w:r>
        <w:tab/>
        <w:t>Отмечая меры, принимаемые для содействия представленности этнических меньшинств в общественной и политической жизни, такие как создание системы избирательных округов с групповым представительством, Комитет выражает сожаление по поводу отсутствия дезагрегированных данных о представленности меньшинств на всех уровнях государственного управления, правоприменительной и судебной системы (ст. 2 и 5).</w:t>
      </w:r>
    </w:p>
    <w:p w14:paraId="7EAEE6F9" w14:textId="77777777" w:rsidR="001112F6" w:rsidRPr="001E1A4D" w:rsidRDefault="001112F6" w:rsidP="001112F6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надлежащей представленности меньшинств в политической и общественной жизни, в том числе на гражданской службе, в правоприменительных и судебных органах, в частности на должностях старшего звена.</w:t>
      </w:r>
      <w:r>
        <w:t xml:space="preserve"> </w:t>
      </w:r>
      <w:r>
        <w:rPr>
          <w:b/>
          <w:bCs/>
        </w:rPr>
        <w:t>Государству-участнику предлагается в своем следующем периодическом докладе представить дезагрегированные статистические данные по этому вопросу.</w:t>
      </w:r>
    </w:p>
    <w:p w14:paraId="16DFC796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Система уголовного правосудия</w:t>
      </w:r>
    </w:p>
    <w:p w14:paraId="21F872FA" w14:textId="77777777" w:rsidR="001112F6" w:rsidRPr="001E1A4D" w:rsidRDefault="001112F6" w:rsidP="001112F6">
      <w:pPr>
        <w:pStyle w:val="SingleTxtG"/>
      </w:pPr>
      <w:r>
        <w:t>21.</w:t>
      </w:r>
      <w:r>
        <w:tab/>
        <w:t>Комитет обеспокоен информацией о чрезвычайно высокой доле лиц, принадлежащих к этническим меньшинствам, в частности малайцев, в системе уголовного правосудия, особенно среди приговоренных к обязательной смертной казни в соответствии с Законом о злоупотреблении наркотиками, а также среди тех, кто подвергается телесным наказаниям, таким как битье палками. Он выражает сожаление по поводу того, что государство-участник не предоставляет подробных статистических данных в разбивке по этнической принадлежности (ст. 2, 5 и 6).</w:t>
      </w:r>
    </w:p>
    <w:p w14:paraId="535F9E1C" w14:textId="77777777" w:rsidR="001112F6" w:rsidRPr="001E1A4D" w:rsidRDefault="001112F6" w:rsidP="001112F6">
      <w:pPr>
        <w:pStyle w:val="SingleTxtG"/>
        <w:pageBreakBefore/>
        <w:rPr>
          <w:b/>
          <w:bCs/>
        </w:rPr>
      </w:pPr>
      <w:r>
        <w:lastRenderedPageBreak/>
        <w:t>22.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призывает государство-участник принять конкретные и эффективные меры для ликвидации расового неравенства на всех уровнях системы уголовного правосудия, в частности, путем:</w:t>
      </w:r>
    </w:p>
    <w:p w14:paraId="16418858" w14:textId="77777777" w:rsidR="001112F6" w:rsidRPr="001112F6" w:rsidRDefault="001112F6" w:rsidP="001112F6">
      <w:pPr>
        <w:pStyle w:val="SingleTxtG"/>
        <w:rPr>
          <w:b/>
          <w:bCs/>
        </w:rPr>
      </w:pPr>
      <w:r>
        <w:tab/>
      </w:r>
      <w:r w:rsidRPr="001112F6">
        <w:rPr>
          <w:b/>
          <w:bCs/>
        </w:rPr>
        <w:t>a)</w:t>
      </w:r>
      <w:r w:rsidRPr="001112F6">
        <w:rPr>
          <w:b/>
          <w:bCs/>
        </w:rPr>
        <w:tab/>
        <w:t>пересмотра и изменения законов и мер политики, приводящих к расово несопоставимым последствиям в рамках системы уголовного правосудия, и реализации эффективных национальных стратегий или планов действий, направленных на устранение структурной дискриминации, особенно в отношении преступлений, связанных с незаконным оборотом наркотиков;</w:t>
      </w:r>
    </w:p>
    <w:p w14:paraId="6B184838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b)</w:t>
      </w:r>
      <w:r w:rsidRPr="001112F6">
        <w:rPr>
          <w:b/>
          <w:bCs/>
        </w:rPr>
        <w:tab/>
        <w:t>применения моратория на смертную казнь с расчетом на ее отмену;</w:t>
      </w:r>
    </w:p>
    <w:p w14:paraId="1D978BA6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c)</w:t>
      </w:r>
      <w:r w:rsidRPr="001112F6">
        <w:rPr>
          <w:b/>
          <w:bCs/>
        </w:rPr>
        <w:tab/>
        <w:t>запрета на применение телесных наказаний, таких как избиение палками;</w:t>
      </w:r>
    </w:p>
    <w:p w14:paraId="59D52A28" w14:textId="77777777" w:rsidR="001112F6" w:rsidRPr="001E1A4D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d)</w:t>
      </w:r>
      <w:r w:rsidRPr="001112F6">
        <w:rPr>
          <w:b/>
          <w:bCs/>
        </w:rPr>
        <w:tab/>
        <w:t>сбора статистических данных об этническом и национальном происхождении заключенных, особенно ожидающих исполнения смертного пригов</w:t>
      </w:r>
      <w:r>
        <w:rPr>
          <w:b/>
          <w:bCs/>
        </w:rPr>
        <w:t>ора.</w:t>
      </w:r>
    </w:p>
    <w:p w14:paraId="61BF2BFA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Трудящиеся-мигранты</w:t>
      </w:r>
    </w:p>
    <w:p w14:paraId="7E0701CA" w14:textId="77777777" w:rsidR="001112F6" w:rsidRPr="001E1A4D" w:rsidRDefault="001112F6" w:rsidP="001112F6">
      <w:pPr>
        <w:pStyle w:val="SingleTxtG"/>
      </w:pPr>
      <w:r>
        <w:t>23.</w:t>
      </w:r>
      <w:r>
        <w:tab/>
        <w:t>Комитет обеспокоен тем, что:</w:t>
      </w:r>
    </w:p>
    <w:p w14:paraId="6DDC98C4" w14:textId="77777777" w:rsidR="001112F6" w:rsidRPr="001E1A4D" w:rsidRDefault="001112F6" w:rsidP="001112F6">
      <w:pPr>
        <w:pStyle w:val="SingleTxtG"/>
      </w:pPr>
      <w:r>
        <w:tab/>
        <w:t>a)</w:t>
      </w:r>
      <w:r>
        <w:tab/>
        <w:t>Закон о найме иностранной рабочей силы, который регулирует условия найма трудящихся-мигрантов, занятых в качестве домашней прислуги, не обеспечивает надлежащей защиты их трудовых прав;</w:t>
      </w:r>
    </w:p>
    <w:p w14:paraId="42DD971B" w14:textId="033D0A03" w:rsidR="001112F6" w:rsidRPr="001E1A4D" w:rsidRDefault="001112F6" w:rsidP="001112F6">
      <w:pPr>
        <w:pStyle w:val="SingleTxtG"/>
      </w:pPr>
      <w:r>
        <w:tab/>
        <w:t>b)</w:t>
      </w:r>
      <w:r>
        <w:tab/>
        <w:t>трудящиеся-мигранты уязвимы для злоупотреблений и эксплуатации со стороны своих работодателей</w:t>
      </w:r>
      <w:r w:rsidR="00FA34A4">
        <w:t xml:space="preserve"> </w:t>
      </w:r>
      <w:r>
        <w:t>в основном потому, что их разрешения на работу привязаны к их нынешним работодателям, без</w:t>
      </w:r>
      <w:r w:rsidRPr="001112F6">
        <w:t xml:space="preserve"> </w:t>
      </w:r>
      <w:r>
        <w:t>согласия которых они не могут сменить работу;</w:t>
      </w:r>
    </w:p>
    <w:p w14:paraId="49FAC30C" w14:textId="77777777" w:rsidR="001112F6" w:rsidRPr="001E1A4D" w:rsidRDefault="001112F6" w:rsidP="001112F6">
      <w:pPr>
        <w:pStyle w:val="SingleTxtG"/>
      </w:pPr>
      <w:r>
        <w:tab/>
        <w:t>c)</w:t>
      </w:r>
      <w:r>
        <w:tab/>
        <w:t>женщины из числа трудящихся-мигрантов сдают обязательный тест на беременность и анализы на инфекционные заболевания, при неудовлетворительных результатах которых их депортируют;</w:t>
      </w:r>
    </w:p>
    <w:p w14:paraId="34196DD7" w14:textId="77777777" w:rsidR="001112F6" w:rsidRPr="001E1A4D" w:rsidRDefault="001112F6" w:rsidP="001112F6">
      <w:pPr>
        <w:pStyle w:val="SingleTxtG"/>
      </w:pPr>
      <w:r>
        <w:tab/>
        <w:t>d)</w:t>
      </w:r>
      <w:r>
        <w:tab/>
        <w:t>онлайновый канал с рекомендациями позволяет бывшим работодателям оставлять необоснованные отзывы о трудящихся-мигрантах, что может поставить под угрозу их будущие перспективы трудоустройства;</w:t>
      </w:r>
    </w:p>
    <w:p w14:paraId="4E9799B6" w14:textId="77777777" w:rsidR="001112F6" w:rsidRPr="001E1A4D" w:rsidRDefault="001112F6" w:rsidP="001112F6">
      <w:pPr>
        <w:pStyle w:val="SingleTxtG"/>
      </w:pPr>
      <w:r>
        <w:tab/>
        <w:t>e)</w:t>
      </w:r>
      <w:r>
        <w:tab/>
        <w:t>право трудящихся-мигрантов на создание профсоюзов и вступление в профсоюзы по своему выбору ограничено Законом о профсоюзах, который, в частности, предусматривает, что сотрудники профсоюза, не являющиеся гражданами Сингапура, должны предварительно запрашивать разрешение у министра трудовых ресурсов;</w:t>
      </w:r>
    </w:p>
    <w:p w14:paraId="28F0B555" w14:textId="77777777" w:rsidR="001112F6" w:rsidRPr="001E1A4D" w:rsidRDefault="001112F6" w:rsidP="001112F6">
      <w:pPr>
        <w:pStyle w:val="SingleTxtG"/>
      </w:pPr>
      <w:r>
        <w:tab/>
        <w:t>f)</w:t>
      </w:r>
      <w:r>
        <w:tab/>
        <w:t>Закон о защите от фальсификаций и манипуляций онлайн может оказать запугивающее воздействие на защитников прав трудящихся-мигрантов;</w:t>
      </w:r>
    </w:p>
    <w:p w14:paraId="35694C08" w14:textId="77777777" w:rsidR="001112F6" w:rsidRPr="001E1A4D" w:rsidRDefault="001112F6" w:rsidP="001112F6">
      <w:pPr>
        <w:pStyle w:val="SingleTxtG"/>
      </w:pPr>
      <w:r>
        <w:tab/>
        <w:t>g)</w:t>
      </w:r>
      <w:r>
        <w:tab/>
        <w:t>трудящиеся-мигранты, проживающие в общежитиях, непропорционально сильно пострадали от пандемии коронавирусного заболевания (COVID-19), а их передвижение было ограничено сильнее и на более длительный срок, чем у населения в целом;</w:t>
      </w:r>
    </w:p>
    <w:p w14:paraId="239693B1" w14:textId="77777777" w:rsidR="001112F6" w:rsidRPr="001E1A4D" w:rsidRDefault="001112F6" w:rsidP="001112F6">
      <w:pPr>
        <w:pStyle w:val="SingleTxtG"/>
      </w:pPr>
      <w:r>
        <w:tab/>
        <w:t>h)</w:t>
      </w:r>
      <w:r>
        <w:tab/>
        <w:t>трудоустройство в сфере услуг, в отличие от отраслей строительства, судостроения или обрабатывающей промышленности, разрешено только трудящимся-мигрантам определенных национальностей;</w:t>
      </w:r>
    </w:p>
    <w:p w14:paraId="62ACBD66" w14:textId="77777777" w:rsidR="001112F6" w:rsidRPr="001E1A4D" w:rsidRDefault="001112F6" w:rsidP="001112F6">
      <w:pPr>
        <w:pStyle w:val="SingleTxtG"/>
      </w:pPr>
      <w:r>
        <w:tab/>
        <w:t>i)</w:t>
      </w:r>
      <w:r>
        <w:tab/>
        <w:t>принятых мер было недостаточно для сокращения дискриминации по признаку национального происхождения в сфере оплаты труда (ст. 5 и 7).</w:t>
      </w:r>
    </w:p>
    <w:p w14:paraId="17EAD291" w14:textId="77777777" w:rsidR="001112F6" w:rsidRPr="001E1A4D" w:rsidRDefault="001112F6" w:rsidP="001112F6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свои общие рекомендации № 25 (2000) о гендерных аспектах расовой дискриминации и № 30 (2004) о дискриминации неграждан, Комитет рекомендует государству-участнику:</w:t>
      </w:r>
    </w:p>
    <w:p w14:paraId="269CB65B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lastRenderedPageBreak/>
        <w:tab/>
        <w:t>a)</w:t>
      </w:r>
      <w:r w:rsidRPr="001112F6">
        <w:rPr>
          <w:b/>
          <w:bCs/>
        </w:rPr>
        <w:tab/>
        <w:t>обеспечить защиту трудовых прав трудящихся-мигрантов, особенно мигрантов, занятых в качестве домашней прислуги, в том числе путем регулирования их занятости в соответствии с Законом о занятости, принимая во внимание особую уязвимость женщин из числа трудящихся-мигрантов, занятых в качестве домашней прислуги;</w:t>
      </w:r>
    </w:p>
    <w:p w14:paraId="650C84F1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b)</w:t>
      </w:r>
      <w:r w:rsidRPr="001112F6">
        <w:rPr>
          <w:b/>
          <w:bCs/>
        </w:rPr>
        <w:tab/>
        <w:t>эффективно решать проблему злоупотреблений в отношении трудящихся-мигрантов и их эксплуатации, в том числе путем разрешения им менять работу без согласия работодателей, введения более строгих наказаний для лиц, виновных в таких злоупотреблениях, и предоставления трудящимся-мигрантам беспрепятственного доступа к правосудию, включая бесплатную юридическую помощь, и эффективным средствам правовой защиты без боязни ареста, задержания или депортации;</w:t>
      </w:r>
    </w:p>
    <w:p w14:paraId="2C55011F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c)</w:t>
      </w:r>
      <w:r w:rsidRPr="001112F6">
        <w:rPr>
          <w:b/>
          <w:bCs/>
        </w:rPr>
        <w:tab/>
        <w:t>положить конец практике сдачи женщинами из числа трудящихся-мигрантов обязательных тестов на беременность и анализов на инфекционные заболевания и их репатриации на основании результатов тестирования;</w:t>
      </w:r>
    </w:p>
    <w:p w14:paraId="5418C77F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d)</w:t>
      </w:r>
      <w:r w:rsidRPr="001112F6">
        <w:rPr>
          <w:b/>
          <w:bCs/>
        </w:rPr>
        <w:tab/>
        <w:t>ликвидировать онлайновый канал для рекомендаций, который позволяет бывшим работодателям трудящихся-мигрантов оставлять необоснованные отзывы;</w:t>
      </w:r>
    </w:p>
    <w:p w14:paraId="55AA26AE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e)</w:t>
      </w:r>
      <w:r w:rsidRPr="001112F6">
        <w:rPr>
          <w:b/>
          <w:bCs/>
        </w:rPr>
        <w:tab/>
        <w:t>обеспечить полное соблюдение права трудящихся-мигрантов на свободу ассоциации, включая право создавать профсоюзы и вступать в профсоюзы по своему выбору;</w:t>
      </w:r>
    </w:p>
    <w:p w14:paraId="7B9ACF5A" w14:textId="27FD5D85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f)</w:t>
      </w:r>
      <w:r w:rsidRPr="001112F6">
        <w:rPr>
          <w:b/>
          <w:bCs/>
        </w:rPr>
        <w:tab/>
        <w:t>обеспечить, чтобы применение Закона о защите от фальсификаций и манипуляций онлайн не оказывало запугивающего воздействия на защитников прав трудящихся-мигрантов;</w:t>
      </w:r>
    </w:p>
    <w:p w14:paraId="7D11B058" w14:textId="77777777" w:rsidR="001112F6" w:rsidRPr="001112F6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g)</w:t>
      </w:r>
      <w:r w:rsidRPr="001112F6">
        <w:rPr>
          <w:b/>
          <w:bCs/>
        </w:rPr>
        <w:tab/>
        <w:t>улучшать условия жизни трудящихся-мигрантов, особенно проживающих в общежитиях, предотвращать и запрещать принятие в их отношении дискриминационных мер в связи с пандемией COVID-19 при полном соблюдении их права на свободу передвижения;</w:t>
      </w:r>
    </w:p>
    <w:p w14:paraId="2AA71B87" w14:textId="77777777" w:rsidR="001112F6" w:rsidRPr="001E1A4D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h)</w:t>
      </w:r>
      <w:r w:rsidRPr="001112F6">
        <w:rPr>
          <w:b/>
          <w:bCs/>
        </w:rPr>
        <w:tab/>
        <w:t>принять необходимые меры для обеспечения того, чтобы существующие в сфере услуг ограничения занятости в зависимости от «стран или регионов происхождения» не были равносильны дискриминации по признаку националь</w:t>
      </w:r>
      <w:r>
        <w:rPr>
          <w:b/>
          <w:bCs/>
        </w:rPr>
        <w:t>ного происхождения;</w:t>
      </w:r>
    </w:p>
    <w:p w14:paraId="67D7D1BF" w14:textId="1D23E80F" w:rsidR="001112F6" w:rsidRPr="001E1A4D" w:rsidRDefault="001112F6" w:rsidP="001112F6">
      <w:pPr>
        <w:pStyle w:val="SingleTxtG"/>
        <w:rPr>
          <w:b/>
          <w:bCs/>
        </w:rPr>
      </w:pPr>
      <w:r w:rsidRPr="001112F6">
        <w:rPr>
          <w:b/>
          <w:bCs/>
        </w:rPr>
        <w:tab/>
        <w:t>i)</w:t>
      </w:r>
      <w:r>
        <w:tab/>
      </w:r>
      <w:r>
        <w:rPr>
          <w:b/>
          <w:bCs/>
        </w:rPr>
        <w:t>активизировать усилия, направленные на ликвидацию дискриминации по признаку национального происхождения в сфере оплаты труда.</w:t>
      </w:r>
    </w:p>
    <w:p w14:paraId="5D968612" w14:textId="77777777" w:rsidR="001112F6" w:rsidRPr="001E1A4D" w:rsidRDefault="001112F6" w:rsidP="001112F6">
      <w:pPr>
        <w:pStyle w:val="H23G"/>
      </w:pPr>
      <w:r>
        <w:tab/>
      </w:r>
      <w:r>
        <w:tab/>
      </w:r>
      <w:r>
        <w:tab/>
      </w:r>
      <w:r>
        <w:rPr>
          <w:bCs/>
        </w:rPr>
        <w:t>Лица без гражданства, беженцы и просители убежища</w:t>
      </w:r>
    </w:p>
    <w:p w14:paraId="72A239C7" w14:textId="7649186A" w:rsidR="001112F6" w:rsidRPr="001E1A4D" w:rsidRDefault="001112F6" w:rsidP="001112F6">
      <w:pPr>
        <w:pStyle w:val="SingleTxtG"/>
      </w:pPr>
      <w:r>
        <w:t>25.</w:t>
      </w:r>
      <w:r>
        <w:tab/>
        <w:t>Комитет обеспокоен отсутствием национального законодательства и процедур в отношении беженцев и предоставления убежища. Он также с озабоченностью отмечает недостаточность мер защиты для обеспечения того, чтобы дети, родившиеся в государстве-участнике, могли получить гражданство,</w:t>
      </w:r>
      <w:r w:rsidR="00FA34A4">
        <w:t xml:space="preserve"> </w:t>
      </w:r>
      <w:r>
        <w:t>особенно если в противном случае они окажутся лицами без гражданства (ст. 5).</w:t>
      </w:r>
    </w:p>
    <w:p w14:paraId="548F6DF2" w14:textId="4B080CE4" w:rsidR="001112F6" w:rsidRPr="001E1A4D" w:rsidRDefault="001112F6" w:rsidP="001112F6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свою общую рекомендацию № 22 (1996) по статье 5 Конвенции применительно к беженцам и перемещенным лицам, Комитет рекомендует государству-участнику создать всеобъемлющую законодательную и институциональную базу для рассмотрения ходатайств о предоставлении убежища и определения статуса беженцев.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обеспечить, чтобы дети, родившиеся в государстве-участнике, могли получить гражданство, особенно если в противном случае они окажутся лицами без гражданства.</w:t>
      </w:r>
    </w:p>
    <w:p w14:paraId="1D79B110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Жалобы на расовую дискриминацию</w:t>
      </w:r>
    </w:p>
    <w:p w14:paraId="608A659D" w14:textId="058A3E27" w:rsidR="001112F6" w:rsidRPr="001E1A4D" w:rsidRDefault="001112F6" w:rsidP="001112F6">
      <w:pPr>
        <w:pStyle w:val="SingleTxtG"/>
      </w:pPr>
      <w:r>
        <w:t>27.</w:t>
      </w:r>
      <w:r>
        <w:tab/>
        <w:t xml:space="preserve">Отмечая, что жалобы на предполагаемую расовую дискриминацию в сфере занятости подаются в Трехсторонний альянс справедливой и прогрессивной практики </w:t>
      </w:r>
      <w:r>
        <w:lastRenderedPageBreak/>
        <w:t xml:space="preserve">найма, Комитет обеспокоен информацией о том, что национальные суды до настоящего времени не получили ни одной жалобы на расовую дискриминацию </w:t>
      </w:r>
      <w:r>
        <w:br/>
        <w:t>(ст. 6).</w:t>
      </w:r>
    </w:p>
    <w:p w14:paraId="386917B8" w14:textId="5A849341" w:rsidR="001112F6" w:rsidRPr="001E1A4D" w:rsidRDefault="001112F6" w:rsidP="001112F6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напоминает государству-участнику, что небольшое количество жалоб не означает отсутствия расовой дискриминации в государстве-участнике, а скорее может свидетельствовать о наличии препятствий для того, чтобы ссылаться на предусмотренные Конвенцией права в национальных судах, в том числе о неосведомленности населения об этих правах и способах задействования средств судебной защиты.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информацию о делах, касающихся расовой дискриминации, и решениях по ним, о видах жалоб на расовую дискриминацию и о числе случаев судебного преследования и осуждения виновных, в разбивке по возрасту, полу, этническому и национальному происхождению потерпевших, а также включить информацию о предоставленной потерпевшим компенсации.</w:t>
      </w:r>
      <w:r>
        <w:t xml:space="preserve"> </w:t>
      </w:r>
      <w:r>
        <w:rPr>
          <w:b/>
          <w:bCs/>
        </w:rPr>
        <w:t>Комитет рекомендует государству-участнику проводить среди населения информационно-просветительские кампании, посвященные правам, которые закреплены в Конвенции, а также процедурам подачи жалоб на расовую дискриминацию.</w:t>
      </w:r>
    </w:p>
    <w:p w14:paraId="32BFC5F6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021A393A" w14:textId="237F0236" w:rsidR="001112F6" w:rsidRPr="001E1A4D" w:rsidRDefault="001112F6" w:rsidP="001112F6">
      <w:pPr>
        <w:pStyle w:val="SingleTxtG"/>
      </w:pPr>
      <w:r>
        <w:t>29.</w:t>
      </w:r>
      <w:r>
        <w:tab/>
        <w:t xml:space="preserve">Принимая к сведению систему юридической помощи в государстве-участнике, Комитет обеспокоен тем, что услугами юридической помощи по гражданским делам вправе пользоваться только его граждане и постоянные жители. Он также выражает сожаление по поводу отсутствия статистических данных о числе лиц, подавших заявку на получение услуги и прошедших проверку наличия средств и существа дела </w:t>
      </w:r>
      <w:r>
        <w:br/>
        <w:t>(ст. 5 и 6).</w:t>
      </w:r>
    </w:p>
    <w:p w14:paraId="431204CB" w14:textId="77777777" w:rsidR="001112F6" w:rsidRPr="001E1A4D" w:rsidRDefault="001112F6" w:rsidP="001112F6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распространить юридическую помощь также на неграждан, не являющихся постоянными жителями, включая трудящихся-мигрантов, для обеспечения равного доступа к правосудию, в том числе для жертв расовой дискриминации.</w:t>
      </w:r>
      <w:r>
        <w:t xml:space="preserve"> </w:t>
      </w:r>
      <w:r>
        <w:rPr>
          <w:b/>
          <w:bCs/>
        </w:rPr>
        <w:t>Государству-участнику предлагается собрать информацию о числе лиц, которые обратились за юридической помощью и воспользовались ею для предъявления претензий о расовой дискриминации.</w:t>
      </w:r>
    </w:p>
    <w:p w14:paraId="254EA55C" w14:textId="77777777" w:rsidR="001112F6" w:rsidRPr="001E1A4D" w:rsidRDefault="001112F6" w:rsidP="001112F6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552A7B16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59C0CB77" w14:textId="78C49286" w:rsidR="001112F6" w:rsidRPr="001E1A4D" w:rsidRDefault="001112F6" w:rsidP="001112F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еще не ратифицированных им международных договоров по правам человека, в частности договоров, положения которых непосредственно касаются общин, которые могут подвергаться расовой дискриминации,</w:t>
      </w:r>
      <w:r w:rsidR="00FA34A4">
        <w:rPr>
          <w:b/>
          <w:bCs/>
        </w:rPr>
        <w:t xml:space="preserve"> </w:t>
      </w:r>
      <w:r>
        <w:rPr>
          <w:b/>
          <w:bCs/>
        </w:rPr>
        <w:t>таких как Международный пакт о гражданских и политических правах, Международный пакт об экономических, социальных и культурных правах и Международная конвенция о защите прав всех трудящихся-мигрантов и членов их семей.</w:t>
      </w:r>
      <w:r>
        <w:t xml:space="preserve"> </w:t>
      </w:r>
      <w:r>
        <w:rPr>
          <w:b/>
          <w:bCs/>
        </w:rPr>
        <w:t>Кроме того, Комитет призывает государство-участник присоединиться к Конвенции 1951 года о статусе беженцев и Протоколу 1967 года к этой Конвенции, а также к Конвенции 1954 года о статусе апатридов и Конвенции 1961 года о сокращении безгражданства.</w:t>
      </w:r>
    </w:p>
    <w:p w14:paraId="544A7137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46E634C7" w14:textId="746102CE" w:rsidR="001112F6" w:rsidRPr="001E1A4D" w:rsidRDefault="001112F6" w:rsidP="001112F6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призывает государство-участник рассмотреть возможность сделать факультативное заявление о признании компетенции Комитета принимать и рассматривать индивидуальные жалобы, предусмотренное в статье</w:t>
      </w:r>
      <w:r w:rsidR="00B16BB7">
        <w:rPr>
          <w:b/>
          <w:bCs/>
          <w:lang w:val="fr-CH"/>
        </w:rPr>
        <w:t> </w:t>
      </w:r>
      <w:r>
        <w:rPr>
          <w:b/>
          <w:bCs/>
        </w:rPr>
        <w:t>14 Конвенции.</w:t>
      </w:r>
    </w:p>
    <w:p w14:paraId="0883A26B" w14:textId="77777777" w:rsidR="001112F6" w:rsidRPr="001E1A4D" w:rsidRDefault="001112F6" w:rsidP="001112F6">
      <w:pPr>
        <w:pStyle w:val="H23G"/>
      </w:pPr>
      <w:r>
        <w:lastRenderedPageBreak/>
        <w:tab/>
      </w:r>
      <w:r>
        <w:tab/>
      </w:r>
      <w:r>
        <w:rPr>
          <w:bCs/>
        </w:rPr>
        <w:t>Последующие меры в связи с Дурбанской декларацией и Программой действий</w:t>
      </w:r>
    </w:p>
    <w:p w14:paraId="3CFA9A78" w14:textId="77777777" w:rsidR="001112F6" w:rsidRPr="001E1A4D" w:rsidRDefault="001112F6" w:rsidP="001112F6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принятого в апреле 2009 года в Женеве.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 других мерах, принятых для осуществления Дурбанской декларации и Программы действий на национальном уровне.</w:t>
      </w:r>
    </w:p>
    <w:p w14:paraId="7504BEE3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521C0DBD" w14:textId="77777777" w:rsidR="001112F6" w:rsidRPr="001E1A4D" w:rsidRDefault="001112F6" w:rsidP="001112F6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В свете резолюции 68/237 Генеральной Ассамблеи о провозглашении периода 2015–2024 годов Международным десятилетием лиц африканского происхождения, а также резолюции 69/16 Генеральной Ассамблеи, касающейся программы мероприятий по проведению Десятилетия, Комитет рекомендует государству-участнику разработать и осуществить надлежащую программу соответствующих мер и политических стратегий.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доклад точные сведения о принятых им в этой связи конкретных мерах с учетом общей рекомендации № 34 (2011) о расовой дискриминации в отношении лиц африканского происхождения.</w:t>
      </w:r>
    </w:p>
    <w:p w14:paraId="1947EE7E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779521A6" w14:textId="77777777" w:rsidR="001112F6" w:rsidRPr="001E1A4D" w:rsidRDefault="001112F6" w:rsidP="001112F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с расовой дискриминацией,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2F38E141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4264F82" w14:textId="3E4EA13B" w:rsidR="001112F6" w:rsidRPr="001E1A4D" w:rsidRDefault="001112F6" w:rsidP="001112F6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обеспечить доступность своих докладов для общественности на момент их представления и препровождение заключительных замечаний Комитета всем государственным органам, занимающимся осуществлением Конвенции, на официальных языках, а при необходимости</w:t>
      </w:r>
      <w:r w:rsidR="00FA34A4">
        <w:rPr>
          <w:b/>
          <w:bCs/>
        </w:rPr>
        <w:t xml:space="preserve"> </w:t>
      </w:r>
      <w:r>
        <w:rPr>
          <w:b/>
          <w:bCs/>
        </w:rPr>
        <w:t>и на других широко используемых языках.</w:t>
      </w:r>
    </w:p>
    <w:p w14:paraId="3CC50059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Общий базовый документ</w:t>
      </w:r>
    </w:p>
    <w:p w14:paraId="6CAB332A" w14:textId="77777777" w:rsidR="001112F6" w:rsidRPr="001E1A4D" w:rsidRDefault="001112F6" w:rsidP="001112F6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призывает государство-участник представить свой общий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 года</w:t>
      </w:r>
      <w:r w:rsidRPr="006E6C53">
        <w:rPr>
          <w:rStyle w:val="aa"/>
        </w:rPr>
        <w:footnoteReference w:id="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таких документов ограничение в 42 400 слов.</w:t>
      </w:r>
    </w:p>
    <w:p w14:paraId="7ED6D47B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12A26733" w14:textId="77777777" w:rsidR="001112F6" w:rsidRPr="001E1A4D" w:rsidRDefault="001112F6" w:rsidP="001112F6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предоставить в течение одного года с момента принятия настоящих заключительных замечаний </w:t>
      </w:r>
      <w:r>
        <w:rPr>
          <w:b/>
          <w:bCs/>
        </w:rPr>
        <w:lastRenderedPageBreak/>
        <w:t>информацию об осуществлении им рекомендаций, содержащихся в пунктах 18 а) (право на здоровье) и 30 (доступ к правосудию) выше.</w:t>
      </w:r>
    </w:p>
    <w:p w14:paraId="7B5DD462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59A9B108" w14:textId="474A3F84" w:rsidR="001112F6" w:rsidRPr="001E1A4D" w:rsidRDefault="001112F6" w:rsidP="001112F6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 xml:space="preserve">Комитет обращает внимание государства-участника на особое значение рекомендаций, содержащихся в пунктах 22 (система уголовного правосудия) </w:t>
      </w:r>
      <w:r w:rsidR="00A96B20">
        <w:rPr>
          <w:b/>
          <w:bCs/>
        </w:rPr>
        <w:br/>
      </w:r>
      <w:r>
        <w:rPr>
          <w:b/>
          <w:bCs/>
        </w:rPr>
        <w:t>и 24 (трудящиеся-мигранты)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14:paraId="5DF95C71" w14:textId="77777777" w:rsidR="001112F6" w:rsidRPr="001E1A4D" w:rsidRDefault="001112F6" w:rsidP="001112F6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425C4167" w14:textId="77777777" w:rsidR="001112F6" w:rsidRPr="001E1A4D" w:rsidRDefault="001112F6" w:rsidP="001112F6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второй–четвертый периодические доклады в едином документе к 27 ноября 2025 года, приняв во внимание руководящие принципы подготовки докладов об осуществлении Конвенции, принятые Комитетом в ходе его семьдесят первой сессии</w:t>
      </w:r>
      <w:r w:rsidRPr="006A53E7">
        <w:rPr>
          <w:rStyle w:val="aa"/>
        </w:rPr>
        <w:footnoteReference w:id="6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14:paraId="7A3D9801" w14:textId="77777777" w:rsidR="00FA34A4" w:rsidRDefault="001112F6" w:rsidP="001112F6">
      <w:pPr>
        <w:spacing w:before="240"/>
        <w:jc w:val="center"/>
      </w:pPr>
      <w:r w:rsidRPr="001E1A4D">
        <w:rPr>
          <w:u w:val="single"/>
        </w:rPr>
        <w:tab/>
      </w:r>
      <w:r w:rsidRPr="001E1A4D">
        <w:rPr>
          <w:u w:val="single"/>
        </w:rPr>
        <w:tab/>
      </w:r>
      <w:r w:rsidRPr="001E1A4D">
        <w:rPr>
          <w:u w:val="single"/>
        </w:rPr>
        <w:tab/>
      </w:r>
    </w:p>
    <w:p w14:paraId="2BADCFFD" w14:textId="4F2C86D6" w:rsidR="00381C24" w:rsidRPr="00BC18B2" w:rsidRDefault="00381C24" w:rsidP="004055E9"/>
    <w:sectPr w:rsidR="00381C24" w:rsidRPr="00BC18B2" w:rsidSect="00475A7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D09E7" w14:textId="77777777" w:rsidR="003F7BE4" w:rsidRPr="00A312BC" w:rsidRDefault="003F7BE4" w:rsidP="00A312BC"/>
  </w:endnote>
  <w:endnote w:type="continuationSeparator" w:id="0">
    <w:p w14:paraId="08AA1429" w14:textId="77777777" w:rsidR="003F7BE4" w:rsidRPr="00A312BC" w:rsidRDefault="003F7BE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129" w14:textId="098F5F48" w:rsidR="00475A71" w:rsidRPr="00475A71" w:rsidRDefault="00475A71">
    <w:pPr>
      <w:pStyle w:val="a8"/>
    </w:pPr>
    <w:r w:rsidRPr="00475A71">
      <w:rPr>
        <w:b/>
        <w:sz w:val="18"/>
      </w:rPr>
      <w:fldChar w:fldCharType="begin"/>
    </w:r>
    <w:r w:rsidRPr="00475A71">
      <w:rPr>
        <w:b/>
        <w:sz w:val="18"/>
      </w:rPr>
      <w:instrText xml:space="preserve"> PAGE  \* MERGEFORMAT </w:instrText>
    </w:r>
    <w:r w:rsidRPr="00475A71">
      <w:rPr>
        <w:b/>
        <w:sz w:val="18"/>
      </w:rPr>
      <w:fldChar w:fldCharType="separate"/>
    </w:r>
    <w:r w:rsidRPr="00475A71">
      <w:rPr>
        <w:b/>
        <w:noProof/>
        <w:sz w:val="18"/>
      </w:rPr>
      <w:t>2</w:t>
    </w:r>
    <w:r w:rsidRPr="00475A71">
      <w:rPr>
        <w:b/>
        <w:sz w:val="18"/>
      </w:rPr>
      <w:fldChar w:fldCharType="end"/>
    </w:r>
    <w:r>
      <w:rPr>
        <w:b/>
        <w:sz w:val="18"/>
      </w:rPr>
      <w:tab/>
    </w:r>
    <w:r>
      <w:t>GE.22-01299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DCEE" w14:textId="636FE326" w:rsidR="00475A71" w:rsidRPr="00475A71" w:rsidRDefault="00475A71" w:rsidP="00475A71">
    <w:pPr>
      <w:pStyle w:val="a8"/>
      <w:tabs>
        <w:tab w:val="clear" w:pos="9639"/>
        <w:tab w:val="right" w:pos="9638"/>
      </w:tabs>
      <w:rPr>
        <w:b/>
        <w:sz w:val="18"/>
      </w:rPr>
    </w:pPr>
    <w:r>
      <w:t>GE.22-01299</w:t>
    </w:r>
    <w:r>
      <w:tab/>
    </w:r>
    <w:r w:rsidRPr="00475A71">
      <w:rPr>
        <w:b/>
        <w:sz w:val="18"/>
      </w:rPr>
      <w:fldChar w:fldCharType="begin"/>
    </w:r>
    <w:r w:rsidRPr="00475A71">
      <w:rPr>
        <w:b/>
        <w:sz w:val="18"/>
      </w:rPr>
      <w:instrText xml:space="preserve"> PAGE  \* MERGEFORMAT </w:instrText>
    </w:r>
    <w:r w:rsidRPr="00475A71">
      <w:rPr>
        <w:b/>
        <w:sz w:val="18"/>
      </w:rPr>
      <w:fldChar w:fldCharType="separate"/>
    </w:r>
    <w:r w:rsidRPr="00475A71">
      <w:rPr>
        <w:b/>
        <w:noProof/>
        <w:sz w:val="18"/>
      </w:rPr>
      <w:t>3</w:t>
    </w:r>
    <w:r w:rsidRPr="00475A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5C51B" w14:textId="5AA4D325" w:rsidR="00042B72" w:rsidRPr="00475A71" w:rsidRDefault="00475A71" w:rsidP="00475A7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F93C4C" wp14:editId="24E86C9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22-01299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1C94A9" wp14:editId="5A973E4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010422  070422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1485F" w14:textId="77777777" w:rsidR="003F7BE4" w:rsidRPr="001075E9" w:rsidRDefault="003F7BE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F41194" w14:textId="77777777" w:rsidR="003F7BE4" w:rsidRDefault="003F7BE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53E0176" w14:textId="77777777" w:rsidR="001112F6" w:rsidRPr="001E1A4D" w:rsidRDefault="001112F6" w:rsidP="001112F6">
      <w:pPr>
        <w:pStyle w:val="ad"/>
      </w:pPr>
      <w:r>
        <w:tab/>
      </w:r>
      <w:r w:rsidRPr="001112F6">
        <w:rPr>
          <w:sz w:val="20"/>
          <w:szCs w:val="22"/>
        </w:rPr>
        <w:t>*</w:t>
      </w:r>
      <w:r>
        <w:tab/>
        <w:t>Приняты Комитетом на его сто пятой сессии (15 ноября — 3 декабря 2021 года).</w:t>
      </w:r>
    </w:p>
  </w:footnote>
  <w:footnote w:id="2">
    <w:p w14:paraId="06CACC4F" w14:textId="49C03C72" w:rsidR="001112F6" w:rsidRPr="00A96B20" w:rsidRDefault="001112F6" w:rsidP="001112F6">
      <w:pPr>
        <w:pStyle w:val="ad"/>
      </w:pPr>
      <w:r>
        <w:tab/>
      </w:r>
      <w:r w:rsidRPr="00A45C57">
        <w:rPr>
          <w:rStyle w:val="aa"/>
        </w:rPr>
        <w:footnoteRef/>
      </w:r>
      <w:r w:rsidRPr="009078CE">
        <w:tab/>
      </w:r>
      <w:hyperlink r:id="rId1" w:history="1">
        <w:r w:rsidR="00A96B20" w:rsidRPr="00A96B20">
          <w:rPr>
            <w:rStyle w:val="af1"/>
            <w:lang w:val="de-CH"/>
          </w:rPr>
          <w:t>CERD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C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SGP</w:t>
        </w:r>
        <w:r w:rsidR="00A96B20" w:rsidRPr="005D6B70">
          <w:rPr>
            <w:rStyle w:val="af1"/>
          </w:rPr>
          <w:t>/1</w:t>
        </w:r>
      </w:hyperlink>
      <w:r w:rsidR="00A96B20" w:rsidRPr="00A96B20">
        <w:rPr>
          <w:rStyle w:val="af1"/>
          <w:color w:val="auto"/>
        </w:rPr>
        <w:t>.</w:t>
      </w:r>
    </w:p>
  </w:footnote>
  <w:footnote w:id="3">
    <w:p w14:paraId="2D0CAE45" w14:textId="0149F669" w:rsidR="001112F6" w:rsidRPr="005D6B70" w:rsidRDefault="001112F6" w:rsidP="001112F6">
      <w:pPr>
        <w:pStyle w:val="ad"/>
      </w:pPr>
      <w:r w:rsidRPr="00B64735">
        <w:tab/>
      </w:r>
      <w:r w:rsidRPr="00645144">
        <w:rPr>
          <w:rStyle w:val="aa"/>
        </w:rPr>
        <w:footnoteRef/>
      </w:r>
      <w:r w:rsidRPr="00B64735">
        <w:tab/>
      </w:r>
      <w:r>
        <w:t>См</w:t>
      </w:r>
      <w:r w:rsidRPr="00B64735">
        <w:t xml:space="preserve">. </w:t>
      </w:r>
      <w:hyperlink r:id="rId2" w:history="1">
        <w:r w:rsidR="00A96B20" w:rsidRPr="00A96B20">
          <w:rPr>
            <w:rStyle w:val="af1"/>
            <w:lang w:val="de-CH"/>
          </w:rPr>
          <w:t>CERD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C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SR</w:t>
        </w:r>
        <w:r w:rsidR="00A96B20" w:rsidRPr="005D6B70">
          <w:rPr>
            <w:rStyle w:val="af1"/>
          </w:rPr>
          <w:t>.2843</w:t>
        </w:r>
      </w:hyperlink>
      <w:r w:rsidR="00A96B20" w:rsidRPr="005D6B70">
        <w:t xml:space="preserve"> </w:t>
      </w:r>
      <w:r w:rsidR="00A96B20">
        <w:t>и</w:t>
      </w:r>
      <w:r w:rsidR="00A96B20" w:rsidRPr="005D6B70">
        <w:t xml:space="preserve"> </w:t>
      </w:r>
      <w:hyperlink r:id="rId3" w:history="1">
        <w:r w:rsidR="00A96B20" w:rsidRPr="00A96B20">
          <w:rPr>
            <w:rStyle w:val="af1"/>
            <w:lang w:val="de-CH"/>
          </w:rPr>
          <w:t>CERD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C</w:t>
        </w:r>
        <w:r w:rsidR="00A96B20" w:rsidRPr="005D6B70">
          <w:rPr>
            <w:rStyle w:val="af1"/>
          </w:rPr>
          <w:t>/</w:t>
        </w:r>
        <w:r w:rsidR="00A96B20" w:rsidRPr="00A96B20">
          <w:rPr>
            <w:rStyle w:val="af1"/>
            <w:lang w:val="de-CH"/>
          </w:rPr>
          <w:t>SR</w:t>
        </w:r>
        <w:r w:rsidR="00A96B20" w:rsidRPr="005D6B70">
          <w:rPr>
            <w:rStyle w:val="af1"/>
          </w:rPr>
          <w:t>.2844</w:t>
        </w:r>
        <w:r w:rsidR="00A96B20" w:rsidRPr="005D6B70">
          <w:rPr>
            <w:rStyle w:val="af1"/>
            <w:color w:val="auto"/>
          </w:rPr>
          <w:t>.</w:t>
        </w:r>
      </w:hyperlink>
    </w:p>
  </w:footnote>
  <w:footnote w:id="4">
    <w:p w14:paraId="5A86500D" w14:textId="77777777" w:rsidR="001112F6" w:rsidRPr="00E263B1" w:rsidRDefault="001112F6" w:rsidP="001112F6">
      <w:pPr>
        <w:pStyle w:val="ad"/>
        <w:rPr>
          <w:lang w:val="de-CH"/>
        </w:rPr>
      </w:pPr>
      <w:r w:rsidRPr="005D6B70">
        <w:tab/>
      </w:r>
      <w:r w:rsidRPr="00A45C57">
        <w:rPr>
          <w:rStyle w:val="aa"/>
        </w:rPr>
        <w:footnoteRef/>
      </w:r>
      <w:r w:rsidRPr="00E263B1">
        <w:rPr>
          <w:lang w:val="de-CH"/>
        </w:rPr>
        <w:tab/>
      </w:r>
      <w:hyperlink r:id="rId4" w:history="1">
        <w:r w:rsidRPr="00E263B1">
          <w:rPr>
            <w:rStyle w:val="af1"/>
            <w:lang w:val="de-CH"/>
          </w:rPr>
          <w:t>CERD/C/2007/1.</w:t>
        </w:r>
      </w:hyperlink>
    </w:p>
  </w:footnote>
  <w:footnote w:id="5">
    <w:p w14:paraId="6DB9EB65" w14:textId="2F3A2AF1" w:rsidR="001112F6" w:rsidRPr="00FE3C0A" w:rsidRDefault="001112F6" w:rsidP="001112F6">
      <w:pPr>
        <w:pStyle w:val="ad"/>
        <w:rPr>
          <w:lang w:val="fr-CH"/>
        </w:rPr>
      </w:pPr>
      <w:r w:rsidRPr="00E263B1">
        <w:rPr>
          <w:lang w:val="de-CH"/>
        </w:rPr>
        <w:tab/>
      </w:r>
      <w:r w:rsidRPr="00A45C57">
        <w:rPr>
          <w:rStyle w:val="aa"/>
        </w:rPr>
        <w:footnoteRef/>
      </w:r>
      <w:r w:rsidRPr="00E263B1">
        <w:rPr>
          <w:lang w:val="de-CH"/>
        </w:rPr>
        <w:tab/>
      </w:r>
      <w:hyperlink r:id="rId5" w:history="1">
        <w:r w:rsidRPr="00E263B1">
          <w:rPr>
            <w:rStyle w:val="af1"/>
            <w:lang w:val="de-CH"/>
          </w:rPr>
          <w:t>HRI/GEN/2/Rev.6</w:t>
        </w:r>
      </w:hyperlink>
      <w:r w:rsidRPr="00E263B1">
        <w:rPr>
          <w:lang w:val="de-CH"/>
        </w:rPr>
        <w:t xml:space="preserve">, </w:t>
      </w:r>
      <w:proofErr w:type="spellStart"/>
      <w:r>
        <w:t>гл</w:t>
      </w:r>
      <w:proofErr w:type="spellEnd"/>
      <w:r w:rsidRPr="00E263B1">
        <w:rPr>
          <w:lang w:val="de-CH"/>
        </w:rPr>
        <w:t xml:space="preserve">. </w:t>
      </w:r>
      <w:r w:rsidRPr="00FE3C0A">
        <w:rPr>
          <w:lang w:val="fr-CH"/>
        </w:rPr>
        <w:t>I.</w:t>
      </w:r>
    </w:p>
  </w:footnote>
  <w:footnote w:id="6">
    <w:p w14:paraId="10887862" w14:textId="77777777" w:rsidR="001112F6" w:rsidRPr="00FE3C0A" w:rsidRDefault="001112F6" w:rsidP="001112F6">
      <w:pPr>
        <w:pStyle w:val="ad"/>
        <w:rPr>
          <w:lang w:val="fr-CH"/>
        </w:rPr>
      </w:pPr>
      <w:r w:rsidRPr="00FE3C0A">
        <w:rPr>
          <w:lang w:val="fr-CH"/>
        </w:rPr>
        <w:tab/>
      </w:r>
      <w:r w:rsidRPr="00645144">
        <w:rPr>
          <w:rStyle w:val="aa"/>
        </w:rPr>
        <w:footnoteRef/>
      </w:r>
      <w:r w:rsidRPr="00FE3C0A">
        <w:rPr>
          <w:lang w:val="fr-CH"/>
        </w:rPr>
        <w:tab/>
      </w:r>
      <w:hyperlink r:id="rId6" w:history="1">
        <w:bookmarkStart w:id="0" w:name="_Hlk96466319"/>
        <w:r w:rsidRPr="00FE3C0A">
          <w:rPr>
            <w:rStyle w:val="af1"/>
            <w:lang w:val="fr-CH"/>
          </w:rPr>
          <w:t>CERD/C/2007/1</w:t>
        </w:r>
        <w:bookmarkEnd w:id="0"/>
        <w:r w:rsidRPr="00FE3C0A">
          <w:rPr>
            <w:rStyle w:val="af1"/>
            <w:lang w:val="fr-CH"/>
          </w:rPr>
          <w:t>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6FEE1" w14:textId="3ACFA768" w:rsidR="00475A71" w:rsidRPr="00475A71" w:rsidRDefault="00473EE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CERD/C/SGP/CO/1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17C26" w14:textId="3EC9F425" w:rsidR="00475A71" w:rsidRPr="00475A71" w:rsidRDefault="00473EE6" w:rsidP="00475A7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CERD/C/SGP/CO/1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E4"/>
    <w:rsid w:val="00033EE1"/>
    <w:rsid w:val="00042B72"/>
    <w:rsid w:val="000558BD"/>
    <w:rsid w:val="000B57E7"/>
    <w:rsid w:val="000B6373"/>
    <w:rsid w:val="000F09DF"/>
    <w:rsid w:val="000F61B2"/>
    <w:rsid w:val="001075E9"/>
    <w:rsid w:val="001112F6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3F7BE4"/>
    <w:rsid w:val="004055E9"/>
    <w:rsid w:val="00407B78"/>
    <w:rsid w:val="00424203"/>
    <w:rsid w:val="00452493"/>
    <w:rsid w:val="00453318"/>
    <w:rsid w:val="00454E07"/>
    <w:rsid w:val="00472C5C"/>
    <w:rsid w:val="00473EE6"/>
    <w:rsid w:val="00475A71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6B70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96B20"/>
    <w:rsid w:val="00AB4B51"/>
    <w:rsid w:val="00B10CC7"/>
    <w:rsid w:val="00B16BB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731EA"/>
    <w:rsid w:val="00D90028"/>
    <w:rsid w:val="00D90138"/>
    <w:rsid w:val="00DD2BD0"/>
    <w:rsid w:val="00DD78D1"/>
    <w:rsid w:val="00DE32CD"/>
    <w:rsid w:val="00DF71B9"/>
    <w:rsid w:val="00E263B1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A2939"/>
    <w:rsid w:val="00FA34A4"/>
    <w:rsid w:val="00FD2EF7"/>
    <w:rsid w:val="00FE3C0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3F999D"/>
  <w15:docId w15:val="{E6DC74E2-7043-49AC-8BA7-D321B4433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1112F6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1112F6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1112F6"/>
    <w:rPr>
      <w:sz w:val="16"/>
      <w:szCs w:val="16"/>
    </w:rPr>
  </w:style>
  <w:style w:type="character" w:styleId="af6">
    <w:name w:val="Unresolved Mention"/>
    <w:basedOn w:val="a0"/>
    <w:uiPriority w:val="99"/>
    <w:semiHidden/>
    <w:unhideWhenUsed/>
    <w:rsid w:val="00B16B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RD/C/SR.2844." TargetMode="External"/><Relationship Id="rId2" Type="http://schemas.openxmlformats.org/officeDocument/2006/relationships/hyperlink" Target="http://undocs.org/en/CERD/C/SR.2843" TargetMode="External"/><Relationship Id="rId1" Type="http://schemas.openxmlformats.org/officeDocument/2006/relationships/hyperlink" Target="http://undocs.org/en/CERD/C/SGP/1." TargetMode="External"/><Relationship Id="rId6" Type="http://schemas.openxmlformats.org/officeDocument/2006/relationships/hyperlink" Target="http://undocs.org/en/CERD/C/2007/1." TargetMode="External"/><Relationship Id="rId5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en/CERD/C/2007/1.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3076</Words>
  <Characters>22214</Characters>
  <Application>Microsoft Office Word</Application>
  <DocSecurity>0</DocSecurity>
  <Lines>2019</Lines>
  <Paragraphs>561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CERD/C/SGP/CO/1</vt:lpstr>
      <vt:lpstr>A/</vt:lpstr>
      <vt:lpstr>A/</vt:lpstr>
    </vt:vector>
  </TitlesOfParts>
  <Company>DCM</Company>
  <LinksUpToDate>false</LinksUpToDate>
  <CharactersWithSpaces>24729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CERD/C/SGP/CO/1</dc:title>
  <dc:subject/>
  <dc:creator>Elena IZOTOVA</dc:creator>
  <cp:keywords/>
  <cp:lastModifiedBy>Elena Izotova</cp:lastModifiedBy>
  <cp:revision>3</cp:revision>
  <cp:lastPrinted>2022-04-07T09:27:00Z</cp:lastPrinted>
  <dcterms:created xsi:type="dcterms:W3CDTF">2022-04-07T09:27:00Z</dcterms:created>
  <dcterms:modified xsi:type="dcterms:W3CDTF">2022-04-07T09:27:00Z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