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F58" w:rsidRDefault="00B03F58" w:rsidP="00B03F58">
      <w:pPr>
        <w:spacing w:line="60" w:lineRule="exact"/>
        <w:sectPr w:rsidR="00B03F58" w:rsidSect="00B03F5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2Size =1Lang = C"/>
            <w10:wrap anchorx="page" anchory="page"/>
          </v:shape>
        </w:pict>
      </w:r>
      <w:commentRangeEnd w:id="0"/>
      <w:r>
        <w:rPr>
          <w:rStyle w:val="CommentReference"/>
        </w:rPr>
        <w:commentReference w:id="0"/>
      </w:r>
    </w:p>
    <w:p w:rsidR="00B03F58" w:rsidRDefault="00B03F58" w:rsidP="00B03F58">
      <w:pPr>
        <w:spacing w:line="60" w:lineRule="exact"/>
        <w:rPr>
          <w:rFonts w:hint="eastAsia"/>
        </w:rPr>
      </w:pPr>
    </w:p>
    <w:p w:rsidR="00A517C8" w:rsidRPr="00A517C8"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A517C8">
        <w:rPr>
          <w:rFonts w:hint="eastAsia"/>
        </w:rPr>
        <w:t>消除对妇女歧视委员会</w:t>
      </w:r>
    </w:p>
    <w:p w:rsidR="00A517C8" w:rsidRPr="00A517C8" w:rsidRDefault="00A517C8" w:rsidP="00A517C8">
      <w:pPr>
        <w:pStyle w:val="SingleTxt"/>
        <w:spacing w:after="60"/>
        <w:ind w:left="0"/>
        <w:rPr>
          <w:rFonts w:ascii="SimHei" w:eastAsia="SimHei" w:hint="eastAsia"/>
        </w:rPr>
      </w:pPr>
      <w:r w:rsidRPr="00A517C8">
        <w:rPr>
          <w:rFonts w:ascii="SimHei" w:eastAsia="SimHei" w:hint="eastAsia"/>
        </w:rPr>
        <w:t>第五十七届会议</w:t>
      </w:r>
    </w:p>
    <w:p w:rsidR="00A517C8" w:rsidRDefault="00A517C8" w:rsidP="00A517C8">
      <w:pPr>
        <w:pStyle w:val="SingleTxt"/>
        <w:spacing w:after="60"/>
        <w:ind w:left="0"/>
        <w:rPr>
          <w:rFonts w:hint="eastAsia"/>
        </w:rPr>
      </w:pPr>
      <w:r>
        <w:rPr>
          <w:rFonts w:hint="eastAsia"/>
        </w:rPr>
        <w:t>2014年2月10日至28日</w:t>
      </w:r>
    </w:p>
    <w:p w:rsidR="00A517C8" w:rsidRPr="00A517C8" w:rsidRDefault="00A517C8" w:rsidP="00A517C8">
      <w:pPr>
        <w:framePr w:w="9792" w:h="432" w:hSpace="180" w:wrap="around" w:hAnchor="page" w:x="1210" w:yAlign="bottom"/>
        <w:spacing w:line="100" w:lineRule="exact"/>
        <w:rPr>
          <w:sz w:val="10"/>
        </w:rPr>
      </w:pPr>
    </w:p>
    <w:p w:rsidR="00A517C8" w:rsidRPr="00A517C8" w:rsidRDefault="00A517C8" w:rsidP="00A517C8">
      <w:pPr>
        <w:framePr w:w="9792" w:h="432" w:hSpace="180" w:wrap="around" w:hAnchor="page" w:x="1210" w:yAlign="bottom"/>
        <w:spacing w:line="60" w:lineRule="exact"/>
        <w:rPr>
          <w:sz w:val="6"/>
        </w:rPr>
      </w:pPr>
      <w:r w:rsidRPr="00A517C8">
        <w:rPr>
          <w:noProof/>
          <w:sz w:val="6"/>
        </w:rPr>
        <w:pict>
          <v:line id="_x0000_s1027" style="position:absolute;left:0;text-align:left;z-index:2;mso-position-horizontal-relative:page" from="108pt,-1pt" to="180pt,-1pt" strokeweight=".25pt">
            <w10:wrap anchorx="page"/>
          </v:line>
        </w:pict>
      </w:r>
    </w:p>
    <w:p w:rsidR="00A517C8" w:rsidRPr="00A517C8" w:rsidRDefault="00A517C8" w:rsidP="00A517C8">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A517C8">
        <w:rPr>
          <w:sz w:val="18"/>
          <w:vertAlign w:val="superscript"/>
        </w:rPr>
        <w:t>*</w:t>
      </w:r>
      <w:r>
        <w:rPr>
          <w:sz w:val="18"/>
        </w:rPr>
        <w:tab/>
      </w:r>
      <w:r w:rsidRPr="00A517C8">
        <w:rPr>
          <w:rFonts w:hint="eastAsia"/>
          <w:sz w:val="18"/>
        </w:rPr>
        <w:t>CEDAW/C/57/1。</w:t>
      </w:r>
    </w:p>
    <w:p w:rsidR="00A517C8" w:rsidRDefault="00A517C8" w:rsidP="00A517C8">
      <w:pPr>
        <w:pStyle w:val="SingleTxt"/>
        <w:spacing w:after="60"/>
        <w:ind w:left="0"/>
        <w:rPr>
          <w:rFonts w:hint="eastAsia"/>
        </w:rPr>
      </w:pPr>
      <w:r>
        <w:rPr>
          <w:rFonts w:hint="eastAsia"/>
        </w:rPr>
        <w:t>临时议程</w:t>
      </w:r>
      <w:r w:rsidRPr="00A517C8">
        <w:rPr>
          <w:rFonts w:hint="eastAsia"/>
          <w:vertAlign w:val="superscript"/>
        </w:rPr>
        <w:t>*</w:t>
      </w:r>
      <w:r>
        <w:rPr>
          <w:rFonts w:hint="eastAsia"/>
        </w:rPr>
        <w:t xml:space="preserve"> 项目6</w:t>
      </w:r>
    </w:p>
    <w:p w:rsidR="00EA31C3" w:rsidRPr="00A517C8" w:rsidRDefault="00A517C8" w:rsidP="00A517C8">
      <w:pPr>
        <w:pStyle w:val="SingleTxt"/>
        <w:spacing w:after="60"/>
        <w:ind w:left="0"/>
        <w:rPr>
          <w:rFonts w:ascii="SimHei" w:eastAsia="SimHei" w:hint="eastAsia"/>
        </w:rPr>
      </w:pPr>
      <w:r w:rsidRPr="00A517C8">
        <w:rPr>
          <w:rFonts w:ascii="SimHei" w:eastAsia="SimHei" w:hint="eastAsia"/>
        </w:rPr>
        <w:t>《消除对妇女一切形式歧视公约》第21条</w:t>
      </w:r>
      <w:r w:rsidRPr="00A517C8">
        <w:rPr>
          <w:rFonts w:ascii="SimHei" w:eastAsia="SimHei"/>
        </w:rPr>
        <w:br/>
      </w:r>
      <w:r w:rsidRPr="00A517C8">
        <w:rPr>
          <w:rFonts w:ascii="SimHei" w:eastAsia="SimHei" w:hint="eastAsia"/>
        </w:rPr>
        <w:t>和第22条的执行情况</w:t>
      </w:r>
    </w:p>
    <w:p w:rsidR="00A517C8" w:rsidRPr="00A517C8"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517C8" w:rsidRPr="00A517C8"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517C8" w:rsidRPr="00A517C8"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517C8" w:rsidRPr="000C330C"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Pr="000C330C">
        <w:rPr>
          <w:rFonts w:hint="eastAsia"/>
        </w:rPr>
        <w:t>各专门机构提交的关于在其活动范围各领域《消除对妇女一切形式歧视公约》执行情况的报告</w:t>
      </w:r>
    </w:p>
    <w:p w:rsidR="00A517C8" w:rsidRPr="000C330C" w:rsidRDefault="00A517C8" w:rsidP="00A517C8">
      <w:pPr>
        <w:pStyle w:val="SingleTxt"/>
        <w:spacing w:after="0" w:line="120" w:lineRule="exact"/>
        <w:rPr>
          <w:rFonts w:hint="eastAsia"/>
          <w:sz w:val="10"/>
        </w:rPr>
      </w:pPr>
    </w:p>
    <w:p w:rsidR="00A517C8" w:rsidRPr="000C330C" w:rsidRDefault="00A517C8" w:rsidP="00A517C8">
      <w:pPr>
        <w:pStyle w:val="SingleTxt"/>
        <w:spacing w:after="0" w:line="120" w:lineRule="exact"/>
        <w:rPr>
          <w:rFonts w:hint="eastAsia"/>
          <w:sz w:val="10"/>
        </w:rPr>
      </w:pPr>
    </w:p>
    <w:p w:rsidR="00A517C8" w:rsidRPr="000C330C" w:rsidRDefault="00A517C8" w:rsidP="00A517C8">
      <w:pPr>
        <w:pStyle w:val="SingleTxt"/>
        <w:spacing w:after="0" w:line="120" w:lineRule="exact"/>
        <w:rPr>
          <w:rFonts w:hint="eastAsia"/>
          <w:sz w:val="10"/>
        </w:rPr>
      </w:pPr>
    </w:p>
    <w:p w:rsidR="00A517C8" w:rsidRPr="000C330C"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0C330C">
        <w:rPr>
          <w:rFonts w:hint="eastAsia"/>
        </w:rPr>
        <w:tab/>
      </w:r>
      <w:r w:rsidRPr="000C330C">
        <w:rPr>
          <w:rFonts w:hint="eastAsia"/>
        </w:rPr>
        <w:tab/>
        <w:t>联合国教育、科学及文化组织的报告</w:t>
      </w:r>
    </w:p>
    <w:p w:rsidR="00A517C8" w:rsidRPr="000C330C" w:rsidRDefault="00A517C8" w:rsidP="00A517C8">
      <w:pPr>
        <w:pStyle w:val="SingleTxt"/>
        <w:spacing w:after="0" w:line="120" w:lineRule="exact"/>
        <w:rPr>
          <w:sz w:val="10"/>
        </w:rPr>
      </w:pPr>
    </w:p>
    <w:p w:rsidR="00A517C8" w:rsidRPr="000C330C" w:rsidRDefault="00A517C8" w:rsidP="00A517C8">
      <w:pPr>
        <w:pStyle w:val="SingleTxt"/>
        <w:spacing w:after="0" w:line="120" w:lineRule="exact"/>
        <w:rPr>
          <w:sz w:val="10"/>
        </w:rPr>
      </w:pPr>
    </w:p>
    <w:p w:rsidR="00A517C8" w:rsidRPr="000C330C" w:rsidRDefault="00A517C8" w:rsidP="00A517C8">
      <w:pPr>
        <w:pStyle w:val="SingleTxt"/>
        <w:spacing w:after="0" w:line="120" w:lineRule="exact"/>
        <w:rPr>
          <w:sz w:val="10"/>
        </w:rPr>
      </w:pP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A517C8" w:rsidTr="00A517C8">
        <w:tblPrEx>
          <w:tblCellMar>
            <w:top w:w="0" w:type="dxa"/>
            <w:bottom w:w="0" w:type="dxa"/>
          </w:tblCellMar>
        </w:tblPrEx>
        <w:tc>
          <w:tcPr>
            <w:tcW w:w="9850" w:type="dxa"/>
            <w:tcBorders>
              <w:top w:val="single" w:sz="2" w:space="0" w:color="auto"/>
            </w:tcBorders>
            <w:shd w:val="clear" w:color="auto" w:fill="auto"/>
          </w:tcPr>
          <w:p w:rsidR="00A517C8" w:rsidRPr="00D822F4" w:rsidRDefault="00A517C8" w:rsidP="00A517C8">
            <w:pPr>
              <w:tabs>
                <w:tab w:val="left" w:pos="240"/>
              </w:tabs>
              <w:spacing w:before="240" w:after="120"/>
              <w:rPr>
                <w:rFonts w:eastAsia="KaiTi_GB2312"/>
                <w:sz w:val="24"/>
              </w:rPr>
            </w:pPr>
            <w:r>
              <w:rPr>
                <w:rFonts w:eastAsia="KaiTi_GB2312" w:hint="eastAsia"/>
                <w:sz w:val="24"/>
              </w:rPr>
              <w:tab/>
            </w:r>
            <w:r>
              <w:rPr>
                <w:rFonts w:eastAsia="KaiTi_GB2312" w:hint="eastAsia"/>
                <w:sz w:val="24"/>
              </w:rPr>
              <w:t>摘要</w:t>
            </w:r>
          </w:p>
        </w:tc>
      </w:tr>
      <w:tr w:rsidR="00A517C8" w:rsidTr="00A517C8">
        <w:tblPrEx>
          <w:tblCellMar>
            <w:top w:w="0" w:type="dxa"/>
            <w:bottom w:w="0" w:type="dxa"/>
          </w:tblCellMar>
        </w:tblPrEx>
        <w:tc>
          <w:tcPr>
            <w:tcW w:w="9850" w:type="dxa"/>
            <w:shd w:val="clear" w:color="auto" w:fill="auto"/>
          </w:tcPr>
          <w:p w:rsidR="00A517C8" w:rsidRPr="00D822F4" w:rsidRDefault="00A517C8" w:rsidP="00A517C8">
            <w:pPr>
              <w:pStyle w:val="SingleTxt"/>
            </w:pPr>
            <w:r>
              <w:tab/>
            </w:r>
            <w:r>
              <w:rPr>
                <w:rFonts w:hint="eastAsia"/>
              </w:rPr>
              <w:t>依照《消除对妇女一切形式歧视公约》第22条，联合国各专门机构应邀就在其活动范围内各个领域《公约》的执行情况向消除对妇女歧视委员会第五十七届会议提出报告。</w:t>
            </w:r>
          </w:p>
        </w:tc>
      </w:tr>
      <w:tr w:rsidR="00A517C8" w:rsidTr="00A517C8">
        <w:tblPrEx>
          <w:tblCellMar>
            <w:top w:w="0" w:type="dxa"/>
            <w:bottom w:w="0" w:type="dxa"/>
          </w:tblCellMar>
        </w:tblPrEx>
        <w:tc>
          <w:tcPr>
            <w:tcW w:w="9850" w:type="dxa"/>
            <w:tcBorders>
              <w:bottom w:val="single" w:sz="2" w:space="0" w:color="auto"/>
            </w:tcBorders>
            <w:shd w:val="clear" w:color="auto" w:fill="auto"/>
          </w:tcPr>
          <w:p w:rsidR="00A517C8" w:rsidRPr="00D822F4" w:rsidRDefault="00A517C8" w:rsidP="00A517C8">
            <w:pPr>
              <w:pStyle w:val="SingleTxt"/>
              <w:spacing w:after="0" w:line="120" w:lineRule="exact"/>
            </w:pPr>
          </w:p>
        </w:tc>
      </w:tr>
    </w:tbl>
    <w:p w:rsidR="00A517C8" w:rsidRDefault="00A517C8" w:rsidP="00A517C8">
      <w:pPr>
        <w:pStyle w:val="SingleTxt"/>
      </w:pPr>
    </w:p>
    <w:p w:rsidR="00A517C8" w:rsidRPr="00A139F4"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A139F4">
        <w:rPr>
          <w:rFonts w:hint="eastAsia"/>
        </w:rPr>
        <w:tab/>
        <w:t>一.</w:t>
      </w:r>
      <w:r w:rsidRPr="00A139F4">
        <w:rPr>
          <w:rFonts w:hint="eastAsia"/>
        </w:rPr>
        <w:tab/>
        <w:t>导言</w:t>
      </w:r>
    </w:p>
    <w:p w:rsidR="00A517C8" w:rsidRPr="00A139F4" w:rsidRDefault="00A517C8" w:rsidP="00A517C8">
      <w:pPr>
        <w:pStyle w:val="SingleTxt"/>
        <w:spacing w:after="0" w:line="120" w:lineRule="exact"/>
        <w:rPr>
          <w:rFonts w:hint="eastAsia"/>
          <w:sz w:val="10"/>
        </w:rPr>
      </w:pPr>
    </w:p>
    <w:p w:rsidR="00A517C8" w:rsidRPr="00A139F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1.</w:t>
      </w:r>
      <w:r>
        <w:rPr>
          <w:rFonts w:hint="eastAsia"/>
        </w:rPr>
        <w:tab/>
        <w:t>消除对妇女歧视委员会第五十七届会议将审议以下国家的国家报告：巴林、喀麦隆、芬兰、伊拉克、哈萨克斯坦、卡塔尔、塞内加尔和塞拉利昂。</w:t>
      </w:r>
    </w:p>
    <w:p w:rsidR="00A517C8" w:rsidRDefault="00A517C8" w:rsidP="00A517C8">
      <w:pPr>
        <w:pStyle w:val="SingleTxt"/>
        <w:rPr>
          <w:rFonts w:hint="eastAsia"/>
        </w:rPr>
      </w:pPr>
      <w:r>
        <w:rPr>
          <w:rFonts w:hint="eastAsia"/>
        </w:rPr>
        <w:t>2.</w:t>
      </w:r>
      <w:r>
        <w:rPr>
          <w:rFonts w:hint="eastAsia"/>
        </w:rPr>
        <w:tab/>
        <w:t>作为联合国的一个专门机构，联合国教育、科学及文化组织(教科文组织)通过教育、科学、文化以及通信和信息来协助建立和平、减轻贫困、可持续发展和文化间对话。根据教科文组织2008-2013年中期战略，性别平等已被指定为本组织两个全球优先事项之一。性别平等优先事项是通过下列双管齐下的做法谋求实现的：针对性别的方案拟订；以及将性别平等观点纳入教科文组织各主管领域的主流。</w:t>
      </w:r>
    </w:p>
    <w:p w:rsidR="00A517C8" w:rsidRDefault="00A517C8" w:rsidP="00A517C8">
      <w:pPr>
        <w:pStyle w:val="SingleTxt"/>
        <w:rPr>
          <w:rFonts w:hint="eastAsia"/>
        </w:rPr>
      </w:pPr>
      <w:r>
        <w:rPr>
          <w:rFonts w:hint="eastAsia"/>
        </w:rPr>
        <w:t>3.</w:t>
      </w:r>
      <w:r>
        <w:rPr>
          <w:rFonts w:hint="eastAsia"/>
        </w:rPr>
        <w:tab/>
        <w:t>在联合国系统内，教科文组织在执行《消除对妇女一切形式歧视公约》方面发挥着重大作用并拥有重要责任。《公约》第10条规定，“缔约各国应采取一切适当措施以消除对妇女的歧视，并保证妇女在教育方面享有与男子平等的权利”。受教育权利是教科文组织使命的核心所在，是其章程所规定的任务的一个有机组成部分。</w:t>
      </w:r>
    </w:p>
    <w:p w:rsidR="00A517C8" w:rsidRDefault="00A517C8" w:rsidP="00A517C8">
      <w:pPr>
        <w:pStyle w:val="SingleTxt"/>
        <w:rPr>
          <w:rFonts w:hint="eastAsia"/>
        </w:rPr>
      </w:pPr>
      <w:r>
        <w:rPr>
          <w:rFonts w:hint="eastAsia"/>
        </w:rPr>
        <w:t>4.</w:t>
      </w:r>
      <w:r>
        <w:rPr>
          <w:rFonts w:hint="eastAsia"/>
        </w:rPr>
        <w:tab/>
        <w:t>教科文组织在促进增强妇女权能、妇女权利和性别平等方面的工作以下列各项为指针：其2008-2013年中期战略、其两年期方案和预算文件、支持并指导其落实性别平等全球优先事项的全组织2008-2013年性别平等行动计划、《消除对妇女一切形式歧视公约》、《第四次妇女问题世界会议行动纲要》、以及与教科文组织行动领域有关的决议及国际和区域文书。</w:t>
      </w:r>
    </w:p>
    <w:p w:rsidR="00A517C8" w:rsidRDefault="00A517C8" w:rsidP="00A517C8">
      <w:pPr>
        <w:pStyle w:val="SingleTxt"/>
        <w:rPr>
          <w:rFonts w:hint="eastAsia"/>
        </w:rPr>
      </w:pPr>
      <w:r>
        <w:rPr>
          <w:rFonts w:hint="eastAsia"/>
        </w:rPr>
        <w:t>5.</w:t>
      </w:r>
      <w:r>
        <w:rPr>
          <w:rFonts w:hint="eastAsia"/>
        </w:rPr>
        <w:tab/>
        <w:t>教科文组织致力于实现性别平等这一优先事项，这方面得到总干事办公室性别</w:t>
      </w:r>
      <w:r w:rsidRPr="005B4F58">
        <w:rPr>
          <w:rFonts w:hint="eastAsia"/>
          <w:spacing w:val="2"/>
        </w:rPr>
        <w:t>平等司的协助。作为教科文组织性别平等工作的协调中心，该司就性别平等考虑因素纳入教科文组织的政策、战略和方案的主流问题向高级管理层和方案部门提供政策指导和建议；开展能力建设；监测教科文组织秘书处内的性别均等和工作生活平衡；并与其他联合国机构、区域机构、政府间和非政府组织、私人基金会和支持增强妇女权能和性别平等举措的私营部门伙伴发展和建立伙伴关系。</w:t>
      </w:r>
    </w:p>
    <w:p w:rsidR="00A517C8" w:rsidRPr="005B4F58"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A517C8" w:rsidRPr="00A139F4"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139F4">
        <w:rPr>
          <w:rFonts w:hint="eastAsia"/>
        </w:rPr>
        <w:tab/>
        <w:t>二.</w:t>
      </w:r>
      <w:r w:rsidRPr="00A139F4">
        <w:rPr>
          <w:rFonts w:hint="eastAsia"/>
        </w:rPr>
        <w:tab/>
        <w:t>委员会第五十七届会议将审议的国家为执行《消除对妇女一切形式歧视公约》各项规定而采取的措施</w:t>
      </w:r>
    </w:p>
    <w:p w:rsidR="00A517C8" w:rsidRPr="00A139F4" w:rsidRDefault="00A517C8" w:rsidP="00A517C8">
      <w:pPr>
        <w:pStyle w:val="SingleTxt"/>
        <w:spacing w:after="0" w:line="120" w:lineRule="exact"/>
        <w:rPr>
          <w:rFonts w:hint="eastAsia"/>
          <w:sz w:val="10"/>
        </w:rPr>
      </w:pPr>
    </w:p>
    <w:p w:rsidR="00A517C8" w:rsidRPr="00A139F4" w:rsidRDefault="00A517C8" w:rsidP="00A517C8">
      <w:pPr>
        <w:pStyle w:val="SingleTxt"/>
        <w:spacing w:after="0" w:line="120" w:lineRule="exact"/>
        <w:rPr>
          <w:rFonts w:hint="eastAsia"/>
          <w:sz w:val="10"/>
        </w:rPr>
      </w:pPr>
    </w:p>
    <w:p w:rsidR="00A517C8" w:rsidRPr="00A139F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139F4">
        <w:tab/>
      </w:r>
      <w:r w:rsidRPr="00A139F4">
        <w:tab/>
      </w:r>
      <w:r w:rsidRPr="00A139F4">
        <w:rPr>
          <w:rFonts w:hint="eastAsia"/>
        </w:rPr>
        <w:t>巴林</w:t>
      </w:r>
    </w:p>
    <w:p w:rsidR="00A517C8" w:rsidRPr="00A139F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6.</w:t>
      </w:r>
      <w:r>
        <w:tab/>
      </w:r>
      <w:r>
        <w:rPr>
          <w:rFonts w:hint="eastAsia"/>
        </w:rPr>
        <w:t>巴林还没有加入教科文组织《取缔教育歧视公约》，但就关于《公约》和教科文组织有关消除教育方面歧视的建议执行情况的第七次成员国咨商向教科文组织提交了报告。</w:t>
      </w:r>
    </w:p>
    <w:p w:rsidR="00A517C8" w:rsidRDefault="00A517C8" w:rsidP="00A517C8">
      <w:pPr>
        <w:pStyle w:val="SingleTxt"/>
        <w:rPr>
          <w:rFonts w:hint="eastAsia"/>
        </w:rPr>
      </w:pPr>
      <w:r>
        <w:rPr>
          <w:rFonts w:hint="eastAsia"/>
        </w:rPr>
        <w:t>7</w:t>
      </w:r>
      <w:r>
        <w:t>.</w:t>
      </w:r>
      <w:r>
        <w:tab/>
      </w:r>
      <w:r>
        <w:rPr>
          <w:rFonts w:hint="eastAsia"/>
        </w:rPr>
        <w:t>2002年《宪法》第18条规定，人民享有平等的尊严，就公共权利与义务而言，所有公民在法律面前一律平等。该条还保证不得以性别、出身、语言、宗教或信仰为由对公民歧视。《宪法》还规定所有公民在一切领域、包括作为国家保障的社会支柱之一的教育方面享有平等机会。</w:t>
      </w:r>
    </w:p>
    <w:p w:rsidR="00A517C8" w:rsidRDefault="00A517C8" w:rsidP="00A517C8">
      <w:pPr>
        <w:pStyle w:val="SingleTxt"/>
        <w:rPr>
          <w:rFonts w:hint="eastAsia"/>
        </w:rPr>
      </w:pPr>
      <w:r>
        <w:rPr>
          <w:rFonts w:hint="eastAsia"/>
        </w:rPr>
        <w:t>8.</w:t>
      </w:r>
      <w:r>
        <w:tab/>
      </w:r>
      <w:r>
        <w:rPr>
          <w:rFonts w:hint="eastAsia"/>
        </w:rPr>
        <w:t>《宪法》第7条规定，国家保证公民享有教育和文化服务。按照法律，教育在早期阶段是义务和免费的。法律作出了制定消除文盲必要计划的规定。法律还规定，照顾各个阶段和各种形式的宗教和民族教育，而各个阶段的教育是为了培养公民的人格及其对阿拉伯主义的自豪感。个人和机构可依法在国家监督下设立私立学校和大学。国家还保证学习场所不可侵犯。</w:t>
      </w:r>
    </w:p>
    <w:p w:rsidR="00A517C8" w:rsidRDefault="00A517C8" w:rsidP="00A517C8">
      <w:pPr>
        <w:pStyle w:val="SingleTxt"/>
        <w:rPr>
          <w:rFonts w:hint="eastAsia"/>
        </w:rPr>
      </w:pPr>
      <w:r>
        <w:rPr>
          <w:rFonts w:hint="eastAsia"/>
        </w:rPr>
        <w:t>9.</w:t>
      </w:r>
      <w:r>
        <w:tab/>
      </w:r>
      <w:r>
        <w:rPr>
          <w:rFonts w:hint="eastAsia"/>
        </w:rPr>
        <w:t>根据2005年《教育法》，教育的宗旨是在伊斯兰教义、阿拉伯遗产、现代文化、巴林社会习俗和传统范围内，使受教育者在文化、职业、科学、国家、情感、道德、心理、社会、卫生、行为和体育诸方面得到发展。教育还旨在向受教育者灌输公民精神、爱国主义和对国王的效忠，强调伊斯兰在将人格、家庭、融合和团结纳入社会方面的作用，强调伊斯兰作为日常生活指针的作用及其在任何时间、任何地点跟上现代发展的能力。该法规定，教育是所有公民受保障的权利。</w:t>
      </w:r>
      <w:r w:rsidRPr="007D6075">
        <w:rPr>
          <w:rFonts w:hint="eastAsia"/>
          <w:spacing w:val="-2"/>
        </w:rPr>
        <w:t>教育直到中学(其中包括中学)都是免费的。基础教育(9年学校教育)对6至15</w:t>
      </w:r>
      <w:r>
        <w:rPr>
          <w:rFonts w:hint="eastAsia"/>
        </w:rPr>
        <w:t>岁的儿童是义务和免费的。</w:t>
      </w:r>
    </w:p>
    <w:p w:rsidR="00A517C8" w:rsidRDefault="00A517C8" w:rsidP="00A517C8">
      <w:pPr>
        <w:pStyle w:val="SingleTxt"/>
        <w:rPr>
          <w:rFonts w:hint="eastAsia"/>
        </w:rPr>
      </w:pPr>
      <w:r>
        <w:rPr>
          <w:rFonts w:hint="eastAsia"/>
        </w:rPr>
        <w:t>10</w:t>
      </w:r>
      <w:r>
        <w:t>.</w:t>
      </w:r>
      <w:r>
        <w:tab/>
      </w:r>
      <w:r>
        <w:rPr>
          <w:rFonts w:hint="eastAsia"/>
        </w:rPr>
        <w:t>巴林教育以两项原则作为其宪政基础。第一个原则就是必须使全国各地的所有适龄儿童受到教育。这种教育免费的、义务的、在不受歧视或排斥的情况下提供的。第二项原则是应改进教育质量，以满足学生以及国家的社会和经济发展需求，也就是说确保接受基本和持续教育的公平机会，通过消除文盲和参加适当学习和谋生技能方案的公平机会，使所有青少年和成年人的基本学习需求得到满足，从而加强尊重人权，促进所有各国之间的了解、容忍和友谊，并促进和平。在政策一级，巴林特别重视包容性教育。它力求在教育中消除对残疾人的歧视，注重将残疾儿童教育纳入正规学校。此外，已制定了私立教育机构的规范框架，确保教育机会和待遇平等。</w:t>
      </w:r>
    </w:p>
    <w:p w:rsidR="00A517C8" w:rsidRDefault="00A517C8" w:rsidP="00A517C8">
      <w:pPr>
        <w:pStyle w:val="SingleTxt"/>
        <w:rPr>
          <w:rFonts w:hint="eastAsia"/>
        </w:rPr>
      </w:pPr>
      <w:r>
        <w:rPr>
          <w:rFonts w:hint="eastAsia"/>
        </w:rPr>
        <w:t>11</w:t>
      </w:r>
      <w:r>
        <w:t>.</w:t>
      </w:r>
      <w:r>
        <w:tab/>
      </w:r>
      <w:r>
        <w:rPr>
          <w:rFonts w:hint="eastAsia"/>
        </w:rPr>
        <w:t>就有关性别平等的活动而言，在参与方案下开展了在专业方面增强成年妇女领导人权能的项目。</w:t>
      </w:r>
    </w:p>
    <w:p w:rsidR="00A517C8" w:rsidRPr="00A139F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A139F4">
        <w:tab/>
      </w:r>
      <w:r w:rsidRPr="00A139F4">
        <w:tab/>
      </w:r>
      <w:r w:rsidRPr="00A139F4">
        <w:rPr>
          <w:rFonts w:hint="eastAsia"/>
        </w:rPr>
        <w:t>喀麦隆</w:t>
      </w:r>
    </w:p>
    <w:p w:rsidR="00A517C8" w:rsidRPr="00A139F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12.</w:t>
      </w:r>
      <w:r>
        <w:tab/>
      </w:r>
      <w:r>
        <w:rPr>
          <w:rFonts w:hint="eastAsia"/>
        </w:rPr>
        <w:t>喀麦隆没有加入《取缔教育歧视公约》，但就关于《公约》和教科文组织有关消除教育方面歧视的建议执行情况的第七次成员国咨商向教科文组织提交了报告。</w:t>
      </w:r>
    </w:p>
    <w:p w:rsidR="00A517C8" w:rsidRDefault="00A517C8" w:rsidP="00A517C8">
      <w:pPr>
        <w:pStyle w:val="SingleTxt"/>
        <w:rPr>
          <w:rFonts w:hint="eastAsia"/>
        </w:rPr>
      </w:pPr>
      <w:r>
        <w:rPr>
          <w:rFonts w:hint="eastAsia"/>
        </w:rPr>
        <w:t>13.</w:t>
      </w:r>
      <w:r>
        <w:tab/>
      </w:r>
      <w:r w:rsidRPr="007D6075">
        <w:rPr>
          <w:rFonts w:hint="eastAsia"/>
          <w:spacing w:val="-2"/>
        </w:rPr>
        <w:t>根据《宪法》(经2008年修订)和1998年《教育方针法》，所有人均享有平</w:t>
      </w:r>
      <w:r>
        <w:rPr>
          <w:rFonts w:hint="eastAsia"/>
        </w:rPr>
        <w:t>等的权利和义务。国家保障儿童受教育的权利。公共初级教育是非宗教的、义务的、不加区别地向所有人提供。各级教育的组织和监督是国家的主要职责。自2000年以来，初级教育实行免费。</w:t>
      </w:r>
    </w:p>
    <w:p w:rsidR="00A517C8" w:rsidRDefault="00A517C8" w:rsidP="00A517C8">
      <w:pPr>
        <w:pStyle w:val="SingleTxt"/>
        <w:rPr>
          <w:rFonts w:hint="eastAsia"/>
        </w:rPr>
      </w:pPr>
      <w:r>
        <w:rPr>
          <w:rFonts w:hint="eastAsia"/>
        </w:rPr>
        <w:t>14.</w:t>
      </w:r>
      <w:r>
        <w:tab/>
      </w:r>
      <w:r>
        <w:rPr>
          <w:rFonts w:hint="eastAsia"/>
        </w:rPr>
        <w:t>喀麦隆的教育系统是非洲广泛采用的体系。从历史上看，喀麦隆东部地区的学习方法与西部地区不同，这两个地区的系统分别基于法国和英国模式。1976年，这两个系统合并，使学习系统更强有力。教育分为初级教育、中等教育和高等教育。教育在14岁以前为义务教育，在这一期间将完成六年初级教育。一些小学由政府开办，另一些则由宗教组织开办。中等教育系统分为中学、职业学校和学徒。令人遗憾的是，父母要支付校服、书本费、有时甚至是预防疟疾的费用。在中学一级的学费和各种收费对许多家庭来说是负担不起的。</w:t>
      </w:r>
    </w:p>
    <w:p w:rsidR="00A517C8" w:rsidRDefault="00A517C8" w:rsidP="00A517C8">
      <w:pPr>
        <w:pStyle w:val="SingleTxt"/>
        <w:rPr>
          <w:rFonts w:hint="eastAsia"/>
        </w:rPr>
      </w:pPr>
      <w:r>
        <w:rPr>
          <w:rFonts w:hint="eastAsia"/>
        </w:rPr>
        <w:t>15.</w:t>
      </w:r>
      <w:r>
        <w:tab/>
      </w:r>
      <w:r>
        <w:rPr>
          <w:rFonts w:hint="eastAsia"/>
        </w:rPr>
        <w:t>喀麦隆残疾妇女协会在《保护和促进文化表现形式多样性公约》(2005年)下得到供资，开展了一个项目，向残疾妇女提供在喀麦隆文化产业从业的机会。该项目的主要目标是通过专业化的设计、艺术和手工艺，增强残疾妇女的权能，并加强其从事艺术工作和创业的技能。</w:t>
      </w:r>
    </w:p>
    <w:p w:rsidR="00A517C8" w:rsidRDefault="00A517C8" w:rsidP="00A517C8">
      <w:pPr>
        <w:pStyle w:val="SingleTxt"/>
        <w:rPr>
          <w:rFonts w:hint="eastAsia"/>
        </w:rPr>
      </w:pPr>
      <w:r>
        <w:rPr>
          <w:rFonts w:hint="eastAsia"/>
        </w:rPr>
        <w:t>16.</w:t>
      </w:r>
      <w:r>
        <w:tab/>
      </w:r>
      <w:r>
        <w:rPr>
          <w:rFonts w:hint="eastAsia"/>
        </w:rPr>
        <w:t>在研究金方案方面，向喀麦隆女科学家颁发了19项研究金，所涉的领域为地质旅游、生物技术、生态水文学、微型企业管理、水资源管理以及性别与农业可持续发展。此外，在2011年教科文组织/小渊惠三研究金方案框架内，向从事水科学项目的喀麦隆的一名女青年研究者颁发了研究金。</w:t>
      </w:r>
    </w:p>
    <w:p w:rsidR="00A517C8" w:rsidRPr="008B4889"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8B4889">
        <w:tab/>
      </w:r>
      <w:r w:rsidRPr="008B4889">
        <w:tab/>
      </w:r>
      <w:r w:rsidRPr="008B4889">
        <w:rPr>
          <w:rFonts w:hint="eastAsia"/>
        </w:rPr>
        <w:t>芬兰</w:t>
      </w:r>
    </w:p>
    <w:p w:rsidR="00A517C8" w:rsidRPr="008B4889"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17.</w:t>
      </w:r>
      <w:r>
        <w:tab/>
      </w:r>
      <w:r>
        <w:rPr>
          <w:rFonts w:hint="eastAsia"/>
        </w:rPr>
        <w:t>芬兰自1971年以来一直是《取缔教育歧视公约》缔约国，但没有就关于《公约》和教科文组织有关消除教育方面歧视的建议执行情况的第七次成员国咨商向教科文组织提交报告。</w:t>
      </w:r>
    </w:p>
    <w:p w:rsidR="00A517C8" w:rsidRDefault="00A517C8" w:rsidP="00A517C8">
      <w:pPr>
        <w:pStyle w:val="SingleTxt"/>
        <w:rPr>
          <w:rFonts w:hint="eastAsia"/>
        </w:rPr>
      </w:pPr>
      <w:r>
        <w:rPr>
          <w:rFonts w:hint="eastAsia"/>
        </w:rPr>
        <w:t>18.</w:t>
      </w:r>
      <w:r>
        <w:tab/>
      </w:r>
      <w:r>
        <w:rPr>
          <w:rFonts w:hint="eastAsia"/>
        </w:rPr>
        <w:t>在芬兰，受教育被视为所有公民的基本权利之一。芬兰教育政策传统的主要目标是提高教育水平，向所有公民提供平等的受教育机会，而不论其居住地、财富、母语或性别如何。</w:t>
      </w:r>
    </w:p>
    <w:p w:rsidR="00A517C8" w:rsidRDefault="00A517C8" w:rsidP="00A517C8">
      <w:pPr>
        <w:pStyle w:val="SingleTxt"/>
        <w:rPr>
          <w:rFonts w:hint="eastAsia"/>
        </w:rPr>
      </w:pPr>
      <w:r>
        <w:rPr>
          <w:rFonts w:hint="eastAsia"/>
        </w:rPr>
        <w:t>19.</w:t>
      </w:r>
      <w:r>
        <w:tab/>
      </w:r>
      <w:r>
        <w:rPr>
          <w:rFonts w:hint="eastAsia"/>
        </w:rPr>
        <w:t>根据1999年《宪法》(经2011年修订)第6条，法律面前人人平等，任何人不应在没有可以接受的理由的情况下由于性别、年龄、出身、语言、宗教、信仰、见解、健康、残疾或涉及其本人的其他原因得到有别于他人的不同待遇。儿童应作为个人受到平等对待，并被允许在与其成长状况相当的程度上对与其相关的事项施加影响。在社会活动和工作中，尤其是在确定薪酬和其他就业条件方面，根据法律规定，促进两性平等。2004年的平等法律禁止以年龄、族裔或民族血统、语言、宗教、信仰、见解、健康、残疾或性取向为由实行歧视。这一点同样适用于教育和工作。</w:t>
      </w:r>
    </w:p>
    <w:p w:rsidR="00A517C8" w:rsidRDefault="00A517C8" w:rsidP="00A517C8">
      <w:pPr>
        <w:pStyle w:val="SingleTxt"/>
        <w:rPr>
          <w:rFonts w:hint="eastAsia"/>
        </w:rPr>
      </w:pPr>
      <w:r>
        <w:rPr>
          <w:rFonts w:hint="eastAsia"/>
        </w:rPr>
        <w:t>20.</w:t>
      </w:r>
      <w:r>
        <w:tab/>
      </w:r>
      <w:r>
        <w:rPr>
          <w:rFonts w:hint="eastAsia"/>
        </w:rPr>
        <w:t>根据《宪法》第16条，人人有权免费接受基本教育。接受教育的义务是法律规定的。公共当局要保证每个人除了有机会使自己不受经济困难的阻碍而得到发展外，还享有按照自己的能力和特殊需要获得其他教育服务的平等机会。科学、艺术和高等教育自由得到保障。</w:t>
      </w:r>
    </w:p>
    <w:p w:rsidR="00A517C8" w:rsidRDefault="00A517C8" w:rsidP="00A517C8">
      <w:pPr>
        <w:pStyle w:val="SingleTxt"/>
        <w:rPr>
          <w:rFonts w:hint="eastAsia"/>
        </w:rPr>
      </w:pPr>
      <w:r>
        <w:rPr>
          <w:rFonts w:hint="eastAsia"/>
        </w:rPr>
        <w:t>21.</w:t>
      </w:r>
      <w:r>
        <w:tab/>
      </w:r>
      <w:r>
        <w:rPr>
          <w:rFonts w:hint="eastAsia"/>
        </w:rPr>
        <w:t>基本教育、中等教育和成人教育1999年通过立法得到改革。这一统一的法律框架除了侧重学生的权利和责任外，还注重教育目标、内容和水平。新的法律除了学生的选择自由外，大大增强了地方当局、其他教育机构和学校的独立决策权力。</w:t>
      </w:r>
    </w:p>
    <w:p w:rsidR="00A517C8" w:rsidRDefault="00A517C8" w:rsidP="00A517C8">
      <w:pPr>
        <w:pStyle w:val="SingleTxt"/>
        <w:rPr>
          <w:rFonts w:hint="eastAsia"/>
        </w:rPr>
      </w:pPr>
      <w:r>
        <w:rPr>
          <w:rFonts w:hint="eastAsia"/>
        </w:rPr>
        <w:t>22.</w:t>
      </w:r>
      <w:r>
        <w:tab/>
      </w:r>
      <w:r>
        <w:rPr>
          <w:rFonts w:hint="eastAsia"/>
        </w:rPr>
        <w:t>全时学生无需缴纳学费，而且享有全部补贴的餐食。目前的教育体系包括日托方案和一年的学前班(6岁儿童的幼儿园)、九年的义务基础全面教育(7至15岁)、义务制之后的普通中等学术和职业教育、高等教育和成人(终身，持续)教育。</w:t>
      </w:r>
    </w:p>
    <w:p w:rsidR="00A517C8" w:rsidRDefault="00A517C8" w:rsidP="00A517C8">
      <w:pPr>
        <w:pStyle w:val="SingleTxt"/>
        <w:rPr>
          <w:rFonts w:hint="eastAsia"/>
        </w:rPr>
      </w:pPr>
      <w:r>
        <w:rPr>
          <w:rFonts w:hint="eastAsia"/>
        </w:rPr>
        <w:t>23.</w:t>
      </w:r>
      <w:r>
        <w:tab/>
      </w:r>
      <w:r>
        <w:rPr>
          <w:rFonts w:hint="eastAsia"/>
        </w:rPr>
        <w:t>所有儿童都有受教育的权利。根据日托法，出生后一直到6岁的儿童可以在日托中心接受日托，日托收费合理，而且取决于父母的收入。在义务教育开始之前的一年，儿童可参加学前教育，这一教育须由地方当局免费提供。虽然参与属于自愿性质，但实际上所有6岁儿童均入学接受教育。</w:t>
      </w:r>
    </w:p>
    <w:p w:rsidR="00A517C8" w:rsidRDefault="00A517C8" w:rsidP="00A517C8">
      <w:pPr>
        <w:pStyle w:val="SingleTxt"/>
        <w:rPr>
          <w:rFonts w:hint="eastAsia"/>
        </w:rPr>
      </w:pPr>
      <w:r>
        <w:rPr>
          <w:rFonts w:hint="eastAsia"/>
        </w:rPr>
        <w:t>24.</w:t>
      </w:r>
      <w:r>
        <w:tab/>
      </w:r>
      <w:r>
        <w:rPr>
          <w:rFonts w:hint="eastAsia"/>
        </w:rPr>
        <w:t>基本义务教育采取九年综合制的形式，入学是法定的(家庭学校教育是被允许的，但很少采用)。不设天才班。要求较有能力的儿童帮助那些学习较慢的儿童赶上进度。义务教育从儿童满7周岁开始，到完成基本的教育课程或接受义务教育九年后终止。如果因儿童残疾或生病，无法在九年里达到为基本教育设定的目标，则义务教育会提前一年开始。需要有机会改善成绩和明确其职业规划的学生，其基本教育可延长一年。</w:t>
      </w:r>
    </w:p>
    <w:p w:rsidR="00A517C8" w:rsidRDefault="00A517C8" w:rsidP="00A517C8">
      <w:pPr>
        <w:pStyle w:val="SingleTxt"/>
        <w:rPr>
          <w:rFonts w:hint="eastAsia"/>
        </w:rPr>
      </w:pPr>
      <w:r>
        <w:rPr>
          <w:rFonts w:hint="eastAsia"/>
        </w:rPr>
        <w:t>25.</w:t>
      </w:r>
      <w:r>
        <w:tab/>
      </w:r>
      <w:r>
        <w:rPr>
          <w:rFonts w:hint="eastAsia"/>
        </w:rPr>
        <w:t>高中教育在16岁或17岁开始，为期三至四年。这不是法定的。学生可选择学术轨道或职业轨道。不收学费，两个轨道的学生都可享有学校保健和免费午餐。不过，他们必须自己购买书籍和材料。</w:t>
      </w:r>
    </w:p>
    <w:p w:rsidR="00A517C8" w:rsidRDefault="00A517C8" w:rsidP="00A517C8">
      <w:pPr>
        <w:pStyle w:val="SingleTxt"/>
        <w:rPr>
          <w:rFonts w:hint="eastAsia"/>
        </w:rPr>
      </w:pPr>
      <w:r>
        <w:rPr>
          <w:rFonts w:hint="eastAsia"/>
        </w:rPr>
        <w:t>26.</w:t>
      </w:r>
      <w:r>
        <w:tab/>
      </w:r>
      <w:r>
        <w:rPr>
          <w:rFonts w:hint="eastAsia"/>
        </w:rPr>
        <w:t>学校在大学之前几乎完全是由市政当局(地方政府)供资和管理的。私立学校很少。新的私立综合学校必须得到国务委员会批准才能成立。私立学校在成立后可得到国家赠款，数额相当于给予相同规模市政学校的数额。即便在私立学校，也严格禁止收学费以及选择性录取。私立学校必须在与相应的公共(市政)学校相同的基础上录取所有学生。此外，要求私立学校向学生提供市政学校学生得到的全部社会福利。因此，现有的私立学校大多是基于信仰的学校。教师遵循国家课程指导，但在教学方法上享有很大的自主权，甚至可以自己选择教科书。</w:t>
      </w:r>
    </w:p>
    <w:p w:rsidR="00A517C8" w:rsidRDefault="00A517C8" w:rsidP="00A517C8">
      <w:pPr>
        <w:pStyle w:val="SingleTxt"/>
        <w:rPr>
          <w:rFonts w:hint="eastAsia"/>
        </w:rPr>
      </w:pPr>
      <w:r>
        <w:rPr>
          <w:rFonts w:hint="eastAsia"/>
        </w:rPr>
        <w:t>27.</w:t>
      </w:r>
      <w:r>
        <w:tab/>
      </w:r>
      <w:r>
        <w:rPr>
          <w:rFonts w:hint="eastAsia"/>
        </w:rPr>
        <w:t>有两个部门从事高等教育：传统大学和应用科学大学。甄选过程完全透明、客观并基于才干。传统的大学侧重于研究，提供理论教育。应用科学大学则更为注重满足工作需求，并参与工业研发项目。此种研究更面向实际，注重运用理论来解决问题。职业学校和应用科学大学由市政当局开办，在特殊情况下由私营实体开办。但所有传统大学均为国家所有。</w:t>
      </w:r>
    </w:p>
    <w:p w:rsidR="00A517C8" w:rsidRDefault="00A517C8" w:rsidP="00A517C8">
      <w:pPr>
        <w:pStyle w:val="SingleTxt"/>
        <w:rPr>
          <w:rFonts w:hint="eastAsia"/>
        </w:rPr>
      </w:pPr>
      <w:r>
        <w:rPr>
          <w:rFonts w:hint="eastAsia"/>
        </w:rPr>
        <w:t>28.</w:t>
      </w:r>
      <w:r>
        <w:tab/>
      </w:r>
      <w:r>
        <w:rPr>
          <w:rFonts w:hint="eastAsia"/>
        </w:rPr>
        <w:t>芬兰实现教育平等、追求教育卓越的战略基于构建一个公共供资的综合学校体系，在共同的基本教育期间不对学生进行甄选、跟踪或按能力分组。该战略的一部分是在可能的情况下广布学校网络，这样学生可以就近上学，或在不可行的情况下，如在农村地区，提供免费交通，以供前往分布更分散的学校。课堂和教学工作中的包容性特殊教育也是教育体系的一个特点，以尽量减少成绩不佳的情况。</w:t>
      </w:r>
    </w:p>
    <w:p w:rsidR="00A517C8" w:rsidRPr="00A517C8"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517C8" w:rsidRPr="007B36DA"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7B36DA">
        <w:tab/>
      </w:r>
      <w:r w:rsidRPr="007B36DA">
        <w:tab/>
      </w:r>
      <w:r w:rsidRPr="007B36DA">
        <w:rPr>
          <w:rFonts w:hint="eastAsia"/>
        </w:rPr>
        <w:t>伊拉克</w:t>
      </w:r>
    </w:p>
    <w:p w:rsidR="00A517C8" w:rsidRPr="007B36DA" w:rsidRDefault="00A517C8" w:rsidP="00A517C8">
      <w:pPr>
        <w:pStyle w:val="SingleTxt"/>
        <w:spacing w:after="0" w:line="120" w:lineRule="exact"/>
        <w:rPr>
          <w:rFonts w:hint="eastAsia"/>
          <w:sz w:val="10"/>
        </w:rPr>
      </w:pPr>
    </w:p>
    <w:p w:rsidR="00A517C8" w:rsidRDefault="00A517C8" w:rsidP="00A517C8">
      <w:pPr>
        <w:pStyle w:val="SingleTxt"/>
        <w:spacing w:line="328" w:lineRule="exact"/>
        <w:rPr>
          <w:rFonts w:hint="eastAsia"/>
        </w:rPr>
      </w:pPr>
      <w:r>
        <w:rPr>
          <w:rFonts w:hint="eastAsia"/>
        </w:rPr>
        <w:t>29.</w:t>
      </w:r>
      <w:r>
        <w:tab/>
      </w:r>
      <w:r>
        <w:rPr>
          <w:rFonts w:hint="eastAsia"/>
        </w:rPr>
        <w:t>伊拉克自1977年以来一直是《取缔教育歧视公约》缔约国，但没有就关于《公约》和教科文组织有关消除教育方面歧视的建议执行情况的第七次成员国咨商向教科文组织提交报告。</w:t>
      </w:r>
    </w:p>
    <w:p w:rsidR="00A517C8" w:rsidRDefault="00A517C8" w:rsidP="00A517C8">
      <w:pPr>
        <w:pStyle w:val="SingleTxt"/>
        <w:spacing w:line="328" w:lineRule="exact"/>
        <w:rPr>
          <w:rFonts w:hint="eastAsia"/>
        </w:rPr>
      </w:pPr>
      <w:r>
        <w:rPr>
          <w:rFonts w:hint="eastAsia"/>
        </w:rPr>
        <w:t>30.</w:t>
      </w:r>
      <w:r>
        <w:tab/>
      </w:r>
      <w:r>
        <w:rPr>
          <w:rFonts w:hint="eastAsia"/>
        </w:rPr>
        <w:t>根据2010年《宪法》第14条，伊拉克人在法律面前一律平等，不因性别、种族、人种、出身、肤色、宗教、信念、信仰或见解、或经济和社会地位而受歧视。根据第16条的规定，全体伊拉克人享有人人机会均等的保障，国家保障采取必要措施来实现这种均等机会。</w:t>
      </w:r>
    </w:p>
    <w:p w:rsidR="00A517C8" w:rsidRDefault="00A517C8" w:rsidP="00A517C8">
      <w:pPr>
        <w:pStyle w:val="SingleTxt"/>
        <w:spacing w:line="328" w:lineRule="exact"/>
        <w:rPr>
          <w:rFonts w:hint="eastAsia"/>
        </w:rPr>
      </w:pPr>
      <w:r>
        <w:rPr>
          <w:rFonts w:hint="eastAsia"/>
        </w:rPr>
        <w:t>31.</w:t>
      </w:r>
      <w:r>
        <w:tab/>
      </w:r>
      <w:r>
        <w:rPr>
          <w:rFonts w:hint="eastAsia"/>
        </w:rPr>
        <w:t>《宪法》第34条规定，教育是社会进步的一项基本因素，也是国家保障的一项权利。初级教育是法定的，国家保证消除文盲。所有阶段的免费教育是全体伊拉克人享有的权利。国家鼓励为和平目的进行科学研究，以为人民服务，支持卓越表现、创造力、创新和不同方面的发明。私营和公共教育均受法律保障，并须依法行事。</w:t>
      </w:r>
    </w:p>
    <w:p w:rsidR="00A517C8" w:rsidRDefault="00A517C8" w:rsidP="00A517C8">
      <w:pPr>
        <w:pStyle w:val="SingleTxt"/>
        <w:spacing w:line="328" w:lineRule="exact"/>
        <w:rPr>
          <w:rFonts w:hint="eastAsia"/>
        </w:rPr>
      </w:pPr>
      <w:r>
        <w:rPr>
          <w:rFonts w:hint="eastAsia"/>
        </w:rPr>
        <w:t>32.</w:t>
      </w:r>
      <w:r>
        <w:tab/>
      </w:r>
      <w:r>
        <w:rPr>
          <w:rFonts w:hint="eastAsia"/>
        </w:rPr>
        <w:t>教育立法的目的是确保国家对教育政策的监督，以及根据不同教育水平的理念、一般目标和宗旨来组织、资助和指导不同类别的教育。教育体系传统上基于源自宗教、人文和民族特点的价值观和原则。最主要的是认为教育是一个社会进程，它对时间和地点因素较为敏感，并取决于社会的思想意识、需求以及物质和人力资源。在这一框架内，国家保证所有公民有权得到各级免费教育。小学教育对于6至11岁的儿童属于义务教育。在执行教育民主化原则方面，国家承诺不加歧视地向所有公民提供平等的学习机会，无论其性别、种族或宗教如何；鼓励在所有知识、科学和艺术活动中表现才能和创造性，并特别关注农村和偏远地区的妇女和居民；克服经济和社会阻碍，以便为进入教育机构提供便利；并促进教育在建立国际一级的相互了解、合作与和平以及对人权和人类基本自由的尊重人权方面的作用。</w:t>
      </w:r>
    </w:p>
    <w:p w:rsidR="00A517C8" w:rsidRDefault="00A517C8" w:rsidP="00A517C8">
      <w:pPr>
        <w:pStyle w:val="SingleTxt"/>
        <w:rPr>
          <w:rFonts w:hint="eastAsia"/>
        </w:rPr>
      </w:pPr>
      <w:r>
        <w:rPr>
          <w:rFonts w:hint="eastAsia"/>
        </w:rPr>
        <w:t>33.</w:t>
      </w:r>
      <w:r>
        <w:tab/>
      </w:r>
      <w:r>
        <w:rPr>
          <w:rFonts w:hint="eastAsia"/>
        </w:rPr>
        <w:t>在1990年之前，伊拉克教育体系就入学机会和质量而言是该区域最好的体系之一。但是，在几场战争和实施经济制裁之后，尽管通过石油换粮食方案提供基本物品，情况仍开始迅速恶化。由于通过若干联合国机构开展的恢复和重建方案，伊拉克北部地区没有受到很大影响。今天，阻碍教育系统的主要问题包括缺乏资源、政治化、不均衡的向外移民、教师和学生在境内流离失所、安全威胁和腐败。</w:t>
      </w:r>
    </w:p>
    <w:p w:rsidR="00A517C8" w:rsidRDefault="00A517C8" w:rsidP="00A517C8">
      <w:pPr>
        <w:pStyle w:val="SingleTxt"/>
        <w:rPr>
          <w:rFonts w:hint="eastAsia"/>
        </w:rPr>
      </w:pPr>
      <w:r>
        <w:rPr>
          <w:rFonts w:hint="eastAsia"/>
        </w:rPr>
        <w:t>34.</w:t>
      </w:r>
      <w:r>
        <w:tab/>
      </w:r>
      <w:r>
        <w:rPr>
          <w:rFonts w:hint="eastAsia"/>
        </w:rPr>
        <w:t>在初级教育方面，伊拉克正在艰难地努力从十多年的暴力中恢复过来；在十多年的暴力中，许多学校被毁坏，很多教师战死。另外还存在原教旨主义宗教与自由和公开的全民教育理念之间的冲突。这种情况如果持续存在，儿童就会遭殃。因儿童就业和完全缺乏一些设施等问题，这种情况对于贫困地区的小学适龄女孩来说尤为令人沮丧。</w:t>
      </w:r>
    </w:p>
    <w:p w:rsidR="00A517C8" w:rsidRDefault="00A517C8" w:rsidP="00A517C8">
      <w:pPr>
        <w:pStyle w:val="SingleTxt"/>
        <w:rPr>
          <w:rFonts w:hint="eastAsia"/>
        </w:rPr>
      </w:pPr>
      <w:r>
        <w:rPr>
          <w:rFonts w:hint="eastAsia"/>
        </w:rPr>
        <w:t>35</w:t>
      </w:r>
      <w:r>
        <w:t>.</w:t>
      </w:r>
      <w:r>
        <w:tab/>
      </w:r>
      <w:r>
        <w:rPr>
          <w:rFonts w:hint="eastAsia"/>
        </w:rPr>
        <w:t>完成初级教育、但不能负担私立学校学费的儿童在进入国立中学后往往面临同样令人沮丧的环境。教师尽管本意良好并作出努力，但他们人数太少，而且得到的支持不足。</w:t>
      </w:r>
    </w:p>
    <w:p w:rsidR="00A517C8" w:rsidRDefault="00A517C8" w:rsidP="00A517C8">
      <w:pPr>
        <w:pStyle w:val="SingleTxt"/>
        <w:rPr>
          <w:rFonts w:hint="eastAsia"/>
        </w:rPr>
      </w:pPr>
      <w:r>
        <w:rPr>
          <w:rFonts w:hint="eastAsia"/>
        </w:rPr>
        <w:t>36.</w:t>
      </w:r>
      <w:r>
        <w:tab/>
      </w:r>
      <w:r>
        <w:rPr>
          <w:rFonts w:hint="eastAsia"/>
        </w:rPr>
        <w:t>在教科文组织在伊拉克开展的与性别有关的活动中，在阿卜杜拉·本·阿卜杜勒·阿齐兹国王和平与对话文化国际方案框架内拟订了一个关于修订或改编修改课程表、学校教科书和其他学习材料以消除文化、宗教和性别陈规定型观念的工具包。课程编制人员和教科书编者受到了关于将性别观点纳入学校教科书和课程主流的培训。此外，还开展了与在冲突和冲突后情势下女性媒体从业人员和记者的安全和保障有关的活动。</w:t>
      </w:r>
    </w:p>
    <w:p w:rsidR="00A517C8" w:rsidRDefault="00A517C8" w:rsidP="00A517C8">
      <w:pPr>
        <w:pStyle w:val="SingleTxt"/>
        <w:rPr>
          <w:rFonts w:hint="eastAsia"/>
        </w:rPr>
      </w:pPr>
      <w:r>
        <w:rPr>
          <w:rFonts w:hint="eastAsia"/>
        </w:rPr>
        <w:t>37.</w:t>
      </w:r>
      <w:r>
        <w:tab/>
      </w:r>
      <w:r>
        <w:rPr>
          <w:rFonts w:hint="eastAsia"/>
        </w:rPr>
        <w:t>在预算外项目中，开展了若干将性别观点纳入主流的活动，包括：一个支持政府努力发展教育部门能力的项目，该项目采取的办法是加强脆弱地区的学习环境，以实现全民教育的目标；一个有关教育方面信息和通信技术的项目；一个关于进行扫盲以促进增强权能的项目；一个针对库尔德斯坦地区、摩苏尔和基尔库克境内流离失所者和难民社区的教育支助方案；一个有关通过教育消除青年失业问题的项目；一个有关通过教育促进青少年(12岁至19岁)的公民价值观和生活技能的项目；以及一项关于保护媒体专业人士、人权维护者和学术界成员的项目。</w:t>
      </w:r>
    </w:p>
    <w:p w:rsidR="00A517C8" w:rsidRDefault="00A517C8" w:rsidP="00A517C8">
      <w:pPr>
        <w:pStyle w:val="SingleTxt"/>
        <w:rPr>
          <w:rFonts w:hint="eastAsia"/>
        </w:rPr>
      </w:pPr>
      <w:r>
        <w:rPr>
          <w:rFonts w:hint="eastAsia"/>
        </w:rPr>
        <w:t>38</w:t>
      </w:r>
      <w:r>
        <w:t>.</w:t>
      </w:r>
      <w:r>
        <w:tab/>
      </w:r>
      <w:r>
        <w:rPr>
          <w:rFonts w:hint="eastAsia"/>
        </w:rPr>
        <w:t>在研究金方案方面，向伊拉克药理学方面的女研究人员颁发了两项研究金。</w:t>
      </w:r>
    </w:p>
    <w:p w:rsidR="00A517C8" w:rsidRDefault="00A517C8" w:rsidP="00A517C8">
      <w:pPr>
        <w:pStyle w:val="SingleTxt"/>
        <w:rPr>
          <w:rFonts w:hint="eastAsia"/>
        </w:rPr>
      </w:pPr>
      <w:r>
        <w:rPr>
          <w:rFonts w:hint="eastAsia"/>
        </w:rPr>
        <w:t>39.</w:t>
      </w:r>
      <w:r>
        <w:tab/>
      </w:r>
      <w:r>
        <w:rPr>
          <w:rFonts w:hint="eastAsia"/>
        </w:rPr>
        <w:t>在参与方案方面，向在纳杰夫省女子职业学校内设立通信部的项目提供了资助。</w:t>
      </w:r>
    </w:p>
    <w:p w:rsidR="00A517C8" w:rsidRPr="00A517C8"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A517C8" w:rsidRPr="0024107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41074">
        <w:tab/>
      </w:r>
      <w:r w:rsidRPr="00241074">
        <w:tab/>
      </w:r>
      <w:r w:rsidRPr="00241074">
        <w:rPr>
          <w:rFonts w:hint="eastAsia"/>
        </w:rPr>
        <w:t>哈萨克斯坦</w:t>
      </w:r>
    </w:p>
    <w:p w:rsidR="00A517C8" w:rsidRPr="0024107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40.</w:t>
      </w:r>
      <w:r>
        <w:tab/>
      </w:r>
      <w:r>
        <w:rPr>
          <w:rFonts w:hint="eastAsia"/>
        </w:rPr>
        <w:t>哈萨克斯坦不是《取缔教育歧视公约》缔约国，而且没有就关于《公约》和教科文组织有关消除教育方面歧视的建议执行情况的第七次成员国咨商向教科文组织提交报告。</w:t>
      </w:r>
    </w:p>
    <w:p w:rsidR="00A517C8" w:rsidRDefault="00A517C8" w:rsidP="00A517C8">
      <w:pPr>
        <w:pStyle w:val="SingleTxt"/>
        <w:rPr>
          <w:rFonts w:hint="eastAsia"/>
        </w:rPr>
      </w:pPr>
      <w:r>
        <w:rPr>
          <w:rFonts w:hint="eastAsia"/>
        </w:rPr>
        <w:t>41.</w:t>
      </w:r>
      <w:r>
        <w:tab/>
      </w:r>
      <w:r>
        <w:rPr>
          <w:rFonts w:hint="eastAsia"/>
        </w:rPr>
        <w:t>1995年《宪法》第14条规定，在法律和法院面前人人平等。任何人不得由于出身、社会地位、财产状况、职业、性别、种族、民族、语言、对宗教的态度、信仰、居住地或任何其他情况而受到歧视。</w:t>
      </w:r>
    </w:p>
    <w:p w:rsidR="00A517C8" w:rsidRDefault="00A517C8" w:rsidP="00A517C8">
      <w:pPr>
        <w:pStyle w:val="SingleTxt"/>
        <w:rPr>
          <w:rFonts w:hint="eastAsia"/>
        </w:rPr>
      </w:pPr>
      <w:r>
        <w:rPr>
          <w:rFonts w:hint="eastAsia"/>
        </w:rPr>
        <w:t>42.</w:t>
      </w:r>
      <w:r>
        <w:tab/>
      </w:r>
      <w:r>
        <w:rPr>
          <w:rFonts w:hint="eastAsia"/>
        </w:rPr>
        <w:t>根据《宪法》，必须保证公民在国家教育机构免费接受小学和中学教育。小学和中学教育是义务制教育。公民有权在竞争性基础上在国家高等学府接受高等教育。公民有权在法律规定的基础上按法律规定的条件付费在私立教育机构接受教育。国家应制定教育方面统一的法定标准。任何教育机构的活动必须遵守这些标准。</w:t>
      </w:r>
    </w:p>
    <w:p w:rsidR="00A517C8" w:rsidRDefault="00A517C8" w:rsidP="00A517C8">
      <w:pPr>
        <w:pStyle w:val="SingleTxt"/>
        <w:rPr>
          <w:rFonts w:hint="eastAsia"/>
        </w:rPr>
      </w:pPr>
      <w:r>
        <w:rPr>
          <w:rFonts w:hint="eastAsia"/>
        </w:rPr>
        <w:t>43.</w:t>
      </w:r>
      <w:r>
        <w:tab/>
      </w:r>
      <w:r>
        <w:rPr>
          <w:rFonts w:hint="eastAsia"/>
        </w:rPr>
        <w:t>2007年《教育法》规定了教育原则和目标。根据第3条的规定，哈萨克斯坦的基本教育原则是：公民享有平等接受教育的权利；教育机构在所有权、对活动的指导、教育和培训形式方面多样化；教育进程的持续性；教育在国家教育机构中的科学和世俗性质和生态倾向；以及对教育系统的民主管理。法律保障学术机构、大学和中学的自主权。</w:t>
      </w:r>
    </w:p>
    <w:p w:rsidR="00A517C8" w:rsidRDefault="00A517C8" w:rsidP="00A517C8">
      <w:pPr>
        <w:pStyle w:val="SingleTxt"/>
        <w:rPr>
          <w:rFonts w:hint="eastAsia"/>
        </w:rPr>
      </w:pPr>
      <w:r>
        <w:rPr>
          <w:rFonts w:hint="eastAsia"/>
        </w:rPr>
        <w:t>44.</w:t>
      </w:r>
      <w:r>
        <w:tab/>
      </w:r>
      <w:r>
        <w:rPr>
          <w:rFonts w:hint="eastAsia"/>
        </w:rPr>
        <w:t>就受教育机会而言，哈萨克斯坦在性别、区域和收入水平之间一直到中学一般都非常均等。然而，有特殊需要的儿童接受教育的情况令人严重关切。由于各种因素，残疾儿童在很大程度上未被纳入公共教育系统的主流。例如，由于学前班入学率较低，儿童的许多特殊需要在小学前都未发现或受到注意。此外，严重缺乏在入学之前或在在校期间处理残疾问题的服务；帮助残疾儿童受教育的受培训专业教育人士少之又少，学校没有支持残疾儿童的技术，而且也缺乏针对有严重发展问题的儿童的医疗服务。最后，没有立法措施强调应将有特殊需求的儿童纳入公共教育体系，也没有任何管制进程来追究教育体系的责任。</w:t>
      </w:r>
    </w:p>
    <w:p w:rsidR="00A517C8" w:rsidRDefault="00A517C8" w:rsidP="00A517C8">
      <w:pPr>
        <w:pStyle w:val="SingleTxt"/>
        <w:rPr>
          <w:rFonts w:hint="eastAsia"/>
        </w:rPr>
      </w:pPr>
      <w:r>
        <w:rPr>
          <w:rFonts w:hint="eastAsia"/>
        </w:rPr>
        <w:t>45.</w:t>
      </w:r>
      <w:r>
        <w:tab/>
      </w:r>
      <w:r>
        <w:rPr>
          <w:rFonts w:hint="eastAsia"/>
        </w:rPr>
        <w:t>教育质量面临重大挑战。学校短缺，而且供暖不足、环卫设施缺乏，使学校更不安全。学校基础设施状况不佳，妨碍了接受教育和教育质量。在政府将大部分资源花费在修缮校舍上时，用在学习材料上的花费就会受影响。尽管按照法律义务教育是免费的，但实际上学生家长和社区往往要负担一部分教育费用，包括书本费、用品费、学费和餐饮费，在一些情况下甚至要负担学校维修费用。哈萨克斯坦的监测和评价系统存在的问题，意味着并非始终拥有有关学习结果的具体信息。受培训教师短缺，尤其是在偏远地区，因为在城市受培训的教师不愿前往偏远地区工作。在更新课程和教学材料方面也存在挑战。需要确定一套具体的统一标准，以维持问责并保持各学区之间的平等。据认为辍学率正在增加，原因是国家课程表越来越被视为与现代职场无关，不过没有这方面的官方数字。</w:t>
      </w:r>
    </w:p>
    <w:p w:rsidR="00A517C8" w:rsidRDefault="00A517C8" w:rsidP="00A517C8">
      <w:pPr>
        <w:pStyle w:val="SingleTxt"/>
        <w:rPr>
          <w:rFonts w:hint="eastAsia"/>
        </w:rPr>
      </w:pPr>
      <w:r>
        <w:rPr>
          <w:rFonts w:hint="eastAsia"/>
        </w:rPr>
        <w:t>46.</w:t>
      </w:r>
      <w:r>
        <w:tab/>
      </w:r>
      <w:r>
        <w:rPr>
          <w:rFonts w:hint="eastAsia"/>
        </w:rPr>
        <w:t>教科文组织在哈萨克斯坦和该区域另外三个国家开展工作，以提高移徙劳工对艾滋病毒风险的认识，其中特别注重女性移徙劳工所面临的特殊挑战。在该项目中，为1 000多名移徙劳工进行了培训和外联活动。对60多个民间实体以及政府和媒体提供了教育，说明如何使用非轻蔑话语，以及如何就中亚的劳工移徙和发展进行有效沟通。教科文组织还与联合国促进性别平等和增强妇女权能署(妇女署)开展伙伴合作，以建立一个特有的记者网络，这些记者致力于编制有关该区域劳工移徙的基于事实的没有轻蔑措辞的材料。教科文组织还与妇女署合作，派遣哈萨克斯坦的一批记者前往塔吉克斯坦和哈萨克斯坦南部(与乌兹别克斯坦接壤的边界)的移徙劳工来源地进行实地访问，为其提供了实地培训，教他们如何报导移徙劳工问题以及如何与移徙劳工及其家庭接触，使他们亲眼看到了一些劳工及其留在原地的家属所面临的严重挑战。</w:t>
      </w:r>
    </w:p>
    <w:p w:rsidR="00A517C8" w:rsidRDefault="00A517C8" w:rsidP="00A517C8">
      <w:pPr>
        <w:pStyle w:val="SingleTxt"/>
        <w:rPr>
          <w:rFonts w:hint="eastAsia"/>
        </w:rPr>
      </w:pPr>
      <w:r>
        <w:rPr>
          <w:rFonts w:hint="eastAsia"/>
        </w:rPr>
        <w:t>47.</w:t>
      </w:r>
      <w:r>
        <w:tab/>
      </w:r>
      <w:r>
        <w:rPr>
          <w:rFonts w:hint="eastAsia"/>
        </w:rPr>
        <w:t>在研究金方案方面，向哈萨克斯坦从事可再生能源和发电的女性科研人员提供了三项研究金。</w:t>
      </w:r>
    </w:p>
    <w:p w:rsidR="00A517C8" w:rsidRPr="0024107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41074">
        <w:tab/>
      </w:r>
      <w:r w:rsidRPr="00241074">
        <w:tab/>
      </w:r>
      <w:r w:rsidRPr="00241074">
        <w:rPr>
          <w:rFonts w:hint="eastAsia"/>
        </w:rPr>
        <w:t>卡塔尔</w:t>
      </w:r>
    </w:p>
    <w:p w:rsidR="00A517C8" w:rsidRPr="0024107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48.</w:t>
      </w:r>
      <w:r>
        <w:tab/>
      </w:r>
      <w:r>
        <w:rPr>
          <w:rFonts w:hint="eastAsia"/>
        </w:rPr>
        <w:t>卡塔尔不是《取缔教育歧视公约》缔约国，也没有就关于《公约》和教科文组织有关消除教育方面歧视的建议执行情况的第七次成员国咨商向教科文组织提交报告。</w:t>
      </w:r>
    </w:p>
    <w:p w:rsidR="00A517C8" w:rsidRDefault="00A517C8" w:rsidP="00A517C8">
      <w:pPr>
        <w:pStyle w:val="SingleTxt"/>
        <w:rPr>
          <w:rFonts w:hint="eastAsia"/>
        </w:rPr>
      </w:pPr>
      <w:r>
        <w:rPr>
          <w:rFonts w:hint="eastAsia"/>
        </w:rPr>
        <w:t>49.</w:t>
      </w:r>
      <w:r>
        <w:tab/>
      </w:r>
      <w:r>
        <w:rPr>
          <w:rFonts w:hint="eastAsia"/>
        </w:rPr>
        <w:t>根据2003年《宪法》第18、34和35条，卡塔尔社会以正义、仁慈、自由、平等和道德为基础。所有公民均拥有平等的一般权利和义务。所有人在法律面前一律平等。不因性别、出身、语言或宗教而受歧视。</w:t>
      </w:r>
    </w:p>
    <w:p w:rsidR="00A517C8" w:rsidRDefault="00A517C8" w:rsidP="00A517C8">
      <w:pPr>
        <w:pStyle w:val="SingleTxt"/>
        <w:rPr>
          <w:rFonts w:hint="eastAsia"/>
        </w:rPr>
      </w:pPr>
      <w:r>
        <w:rPr>
          <w:rFonts w:hint="eastAsia"/>
        </w:rPr>
        <w:t>50</w:t>
      </w:r>
      <w:r>
        <w:t>.</w:t>
      </w:r>
      <w:r>
        <w:tab/>
      </w:r>
      <w:r>
        <w:rPr>
          <w:rFonts w:hint="eastAsia"/>
        </w:rPr>
        <w:t>根据《宪法》第25条，教育是社会进步的重要基础。国家应促进教育。第49条保证每一位公民享有受教育的权利。国家将进一步努力，以便根据国家适用法律和规则，实现普遍的免费义务教育。根据这一宪法规定，教育在卡塔尔各级是对卡塔尔国民免费的。根据2001年通过并于2009年修订的《义务教育法》，教育从小学到中学或直至儿童年满18岁</w:t>
      </w:r>
      <w:r>
        <w:t>(</w:t>
      </w:r>
      <w:r>
        <w:rPr>
          <w:rFonts w:hint="eastAsia"/>
        </w:rPr>
        <w:t>以先到者为准</w:t>
      </w:r>
      <w:r>
        <w:t>)</w:t>
      </w:r>
      <w:r>
        <w:rPr>
          <w:rFonts w:hint="eastAsia"/>
        </w:rPr>
        <w:t>是免费和义务的。为确保普及高质量教育，2011-2016年期间的国家发展战略设想卡塔尔儿童从3岁起必须上幼儿园，中小学实行义务教育。</w:t>
      </w:r>
    </w:p>
    <w:p w:rsidR="00A517C8" w:rsidRDefault="00A517C8" w:rsidP="00A517C8">
      <w:pPr>
        <w:pStyle w:val="SingleTxt"/>
        <w:rPr>
          <w:rFonts w:hint="eastAsia"/>
        </w:rPr>
      </w:pPr>
      <w:r>
        <w:rPr>
          <w:rFonts w:hint="eastAsia"/>
        </w:rPr>
        <w:t>51.</w:t>
      </w:r>
      <w:r>
        <w:tab/>
      </w:r>
      <w:r>
        <w:rPr>
          <w:rFonts w:hint="eastAsia"/>
        </w:rPr>
        <w:t>多哈媒体自由中心是2013年12月2日至4日在曼谷举行的媒体和性别平等问题全球论坛一个主要合作伙伴。教科文组织与该中心合作在线和离线举办一次关于女记者安全小组会议，其中侧重于阿拉伯国家。论坛的一项主要成果是建立了教科文组织作为其中一员的一个媒体和性别平等问题全球联盟，以促进该区域的性别平等。</w:t>
      </w:r>
    </w:p>
    <w:p w:rsidR="00A517C8" w:rsidRPr="0024107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41074">
        <w:tab/>
      </w:r>
      <w:r w:rsidRPr="00241074">
        <w:tab/>
      </w:r>
      <w:r w:rsidRPr="00241074">
        <w:rPr>
          <w:rFonts w:hint="eastAsia"/>
        </w:rPr>
        <w:t>塞内加尔</w:t>
      </w:r>
    </w:p>
    <w:p w:rsidR="00A517C8" w:rsidRPr="0024107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52.</w:t>
      </w:r>
      <w:r>
        <w:tab/>
      </w:r>
      <w:r>
        <w:rPr>
          <w:rFonts w:hint="eastAsia"/>
        </w:rPr>
        <w:t>塞内加尔自1967年以来一直是《取缔教育歧视公约》缔约国，并就关于《公约》和教科文组织有关消除教育方面歧视的建议执行情况的第七次成员国咨商向教科文组织提交了报告。</w:t>
      </w:r>
    </w:p>
    <w:p w:rsidR="00A517C8" w:rsidRDefault="00A517C8" w:rsidP="00A517C8">
      <w:pPr>
        <w:pStyle w:val="SingleTxt"/>
        <w:rPr>
          <w:rFonts w:hint="eastAsia"/>
        </w:rPr>
      </w:pPr>
      <w:r>
        <w:rPr>
          <w:rFonts w:hint="eastAsia"/>
        </w:rPr>
        <w:t>53.</w:t>
      </w:r>
      <w:r>
        <w:tab/>
      </w:r>
      <w:r>
        <w:rPr>
          <w:rFonts w:hint="eastAsia"/>
        </w:rPr>
        <w:t>根据2001年《宪法》第7条，所有人在法律面前一律平等。男子和妇女在法律上是平等的。</w:t>
      </w:r>
    </w:p>
    <w:p w:rsidR="00A517C8" w:rsidRDefault="00A517C8" w:rsidP="00A517C8">
      <w:pPr>
        <w:pStyle w:val="SingleTxt"/>
        <w:rPr>
          <w:rFonts w:hint="eastAsia"/>
        </w:rPr>
      </w:pPr>
      <w:r>
        <w:rPr>
          <w:rFonts w:hint="eastAsia"/>
        </w:rPr>
        <w:t>54.</w:t>
      </w:r>
      <w:r>
        <w:tab/>
      </w:r>
      <w:r>
        <w:rPr>
          <w:rFonts w:hint="eastAsia"/>
        </w:rPr>
        <w:t>根据《宪法》第21条和第22条，国家和公共集体须创造初步条件并设立公共机构以保证儿童教育。国家有义务、有责任通过公立学校对青少年进行教育和培训。所有儿童都有上学的权利。宗教和非宗教机构和社区也可被视为教育设施。所有国家、公共或私人机构有责任确保其成员学习读和写，包括参与国家扫盲工作，这项工作旨在确保人人都能用本国一种语言阅读和书写。第23条规定，私立学校如获国家批准，可在国家监督下开办。</w:t>
      </w:r>
    </w:p>
    <w:p w:rsidR="00A517C8" w:rsidRDefault="00A517C8" w:rsidP="00A517C8">
      <w:pPr>
        <w:pStyle w:val="SingleTxt"/>
        <w:rPr>
          <w:rFonts w:hint="eastAsia"/>
        </w:rPr>
      </w:pPr>
      <w:r>
        <w:rPr>
          <w:rFonts w:hint="eastAsia"/>
        </w:rPr>
        <w:t>55.</w:t>
      </w:r>
      <w:r>
        <w:tab/>
      </w:r>
      <w:r>
        <w:rPr>
          <w:rFonts w:hint="eastAsia"/>
        </w:rPr>
        <w:t>世俗的初级教育在塞内加尔直至16岁都是义务和免费的。不过，在倾向于伊斯兰教育的地区没有强制执行这一政策。贫穷和漠不关心的行政态度合在一起，也使许多父母和子女远离教育。国立学校如不超出现有名额，不加区别地对所有儿童开放，但虽然国立学校的教育是免费提供的，现有条件不足以让所有适龄儿童入学。因此，许多学龄儿童寻求通过更非正规的手段获取教育和培训。许多儿童(超过10多万)在非正规部门和手工艺店铺获得很少培训，并得不到薪酬。各捐助机构通过开办面向学生的职业培训学校，正在努力扭转这一趋势。中学是大多数贫穷家庭的儿童负担不起的。许多女孩甚至从未上到中学，在此之前已早早地被家人送出去打工或已当了妈妈。</w:t>
      </w:r>
    </w:p>
    <w:p w:rsidR="00A517C8" w:rsidRDefault="00A517C8" w:rsidP="00A517C8">
      <w:pPr>
        <w:pStyle w:val="SingleTxt"/>
        <w:rPr>
          <w:rFonts w:hint="eastAsia"/>
        </w:rPr>
      </w:pPr>
      <w:r>
        <w:rPr>
          <w:rFonts w:hint="eastAsia"/>
        </w:rPr>
        <w:t>56.</w:t>
      </w:r>
      <w:r>
        <w:tab/>
      </w:r>
      <w:r>
        <w:rPr>
          <w:rFonts w:hint="eastAsia"/>
        </w:rPr>
        <w:t>教科文组织与非洲广播联盟开展伙伴合作，推动在塞内加尔媒体人员编制方面和就影响妇女的问题进行报道方面做到性别平等。根据这一安排，由三个电视频道和四个电台组成的塞内加尔公共广播公司正在开展活动，以试行教科文组织的媒体性别敏感指标。该项目包括依据选定的指标进行内部自我评估、开展相关的能力建设以及制定对性别问题敏感的政策和战略，以改善人员配置和内容上的平等。</w:t>
      </w:r>
    </w:p>
    <w:p w:rsidR="00A517C8" w:rsidRDefault="00A517C8" w:rsidP="00A517C8">
      <w:pPr>
        <w:pStyle w:val="SingleTxt"/>
        <w:rPr>
          <w:rFonts w:hint="eastAsia"/>
        </w:rPr>
      </w:pPr>
      <w:r>
        <w:rPr>
          <w:rFonts w:hint="eastAsia"/>
        </w:rPr>
        <w:t>57.</w:t>
      </w:r>
      <w:r>
        <w:tab/>
      </w:r>
      <w:r>
        <w:rPr>
          <w:rFonts w:hint="eastAsia"/>
        </w:rPr>
        <w:t>在女童和妇女教育全球伙伴关系框架内在塞内加尔开展的扫盲项目拥有诸多益处。有更多机会进行扫盲，大约4 000名女童和妇女参加了扫盲班和创收活动(开了193个班，200名教师和辅导者受到培训)。共有900名女童和年轻妇女接受了扫盲和职业培训，其中54%的人将继续接受正规教育。约2 300名列入数据分析的女童和妇女将很快可以参加量身定做的网上课程。此外，教育质量已经改善，获得课后帮助并有较高辍学风险的96%的人通过了考试，或将进入下一级的学习，这些受益者平均有20%在各个科目上都取得了重要进步。</w:t>
      </w:r>
    </w:p>
    <w:p w:rsidR="00A517C8" w:rsidRDefault="00A517C8" w:rsidP="00A517C8">
      <w:pPr>
        <w:pStyle w:val="SingleTxt"/>
        <w:rPr>
          <w:rFonts w:hint="eastAsia"/>
        </w:rPr>
      </w:pPr>
      <w:r>
        <w:rPr>
          <w:rFonts w:hint="eastAsia"/>
        </w:rPr>
        <w:t>58.</w:t>
      </w:r>
      <w:r>
        <w:tab/>
      </w:r>
      <w:r>
        <w:rPr>
          <w:rFonts w:hint="eastAsia"/>
        </w:rPr>
        <w:t>为了更好地认识学生从初级教育到中级教育过渡的特殊挑战，教科文组织支持就使女童继续接受中级教育的最佳做法开展一系列国别研究，包括在塞内加尔开展国别研究。教科文组织还一直领导关于性别平等与技术职业教育和培训的研究，以供制定国家政策和战略之用。年轻妇女接受了职业培训。在对性别问题有敏感认识的艾滋病毒/艾滋病教育方案内，通过就扫盲、艾滋病毒与性别问题举办培训讲习班，发展了国家能力；讲习班旨在增强妇女的权能，使其能谈论性健康和生殖健康。</w:t>
      </w:r>
    </w:p>
    <w:p w:rsidR="00A517C8" w:rsidRDefault="00A517C8" w:rsidP="00A517C8">
      <w:pPr>
        <w:pStyle w:val="SingleTxt"/>
        <w:rPr>
          <w:rFonts w:hint="eastAsia"/>
        </w:rPr>
      </w:pPr>
      <w:r>
        <w:rPr>
          <w:rFonts w:hint="eastAsia"/>
        </w:rPr>
        <w:t>59.</w:t>
      </w:r>
      <w:r>
        <w:tab/>
      </w:r>
      <w:r>
        <w:rPr>
          <w:rFonts w:hint="eastAsia"/>
        </w:rPr>
        <w:t>执行了以妇女和女童为对象的预算外项目，其中除其他外侧重于女童和青年妇女的识字率，增强妇女的权能，提高妇女对艾滋病毒的认识，通过利用信息和通信技术提高女童和妇女的识字率，分析妇女的社会运动和基于性别的暴力以加强萨赫勒地区的社会包容和妇女人权，以及加强自由、独立及多元化的媒体、公民参与和促进两性平等的沟通以促进可持续发展。</w:t>
      </w:r>
    </w:p>
    <w:p w:rsidR="00A517C8" w:rsidRDefault="00A517C8" w:rsidP="00A517C8">
      <w:pPr>
        <w:pStyle w:val="SingleTxt"/>
        <w:rPr>
          <w:rFonts w:hint="eastAsia"/>
        </w:rPr>
      </w:pPr>
      <w:r>
        <w:rPr>
          <w:rFonts w:hint="eastAsia"/>
        </w:rPr>
        <w:t>60.</w:t>
      </w:r>
      <w:r>
        <w:tab/>
      </w:r>
      <w:r w:rsidRPr="007A3393">
        <w:rPr>
          <w:rFonts w:hint="eastAsia"/>
          <w:spacing w:val="2"/>
        </w:rPr>
        <w:t>在研究金方案方面，向塞内加尔女性研究人员颁发了15项研究金，共计</w:t>
      </w:r>
      <w:r>
        <w:rPr>
          <w:rFonts w:hint="eastAsia"/>
        </w:rPr>
        <w:t>184 611美元，所涉领域包括微型企业管理、基本教育方面的师资培训、水资源管理、可再生能源、性别与可持续发展、以及教师教育的能力建设等。</w:t>
      </w:r>
    </w:p>
    <w:p w:rsidR="00A517C8" w:rsidRDefault="00A517C8" w:rsidP="00A517C8">
      <w:pPr>
        <w:pStyle w:val="SingleTxt"/>
        <w:rPr>
          <w:rFonts w:hint="eastAsia"/>
        </w:rPr>
      </w:pPr>
      <w:r>
        <w:rPr>
          <w:rFonts w:hint="eastAsia"/>
        </w:rPr>
        <w:t>61.</w:t>
      </w:r>
      <w:r>
        <w:tab/>
      </w:r>
      <w:r>
        <w:rPr>
          <w:rFonts w:hint="eastAsia"/>
        </w:rPr>
        <w:t>在参与方案内，批准了与性别平等有关的三项活动，共计67 000美元。它们分别是：举办一次关于扫盲政策和方案的全国研讨会，以增强塞内加尔妇女的政治和经济权能，并促进性别平等；举办一次区域讨论会，以讨论就年轻人和基于性别的暴力采用教学办法从事人权教育这一战略当前和今后面临的挑战；以及开展一次有关女科学家的活动。</w:t>
      </w:r>
    </w:p>
    <w:p w:rsidR="00A517C8" w:rsidRPr="00241074" w:rsidRDefault="00A517C8" w:rsidP="00A517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241074">
        <w:tab/>
      </w:r>
      <w:r w:rsidRPr="00241074">
        <w:tab/>
      </w:r>
      <w:r w:rsidRPr="00241074">
        <w:rPr>
          <w:rFonts w:hint="eastAsia"/>
        </w:rPr>
        <w:t>塞拉利昂</w:t>
      </w:r>
    </w:p>
    <w:p w:rsidR="00A517C8" w:rsidRPr="00241074" w:rsidRDefault="00A517C8" w:rsidP="00A517C8">
      <w:pPr>
        <w:pStyle w:val="SingleTxt"/>
        <w:spacing w:after="0" w:line="120" w:lineRule="exact"/>
        <w:rPr>
          <w:rFonts w:hint="eastAsia"/>
          <w:sz w:val="10"/>
        </w:rPr>
      </w:pPr>
    </w:p>
    <w:p w:rsidR="00A517C8" w:rsidRDefault="00A517C8" w:rsidP="00A517C8">
      <w:pPr>
        <w:pStyle w:val="SingleTxt"/>
        <w:rPr>
          <w:rFonts w:hint="eastAsia"/>
        </w:rPr>
      </w:pPr>
      <w:r>
        <w:rPr>
          <w:rFonts w:hint="eastAsia"/>
        </w:rPr>
        <w:t>62.</w:t>
      </w:r>
      <w:r>
        <w:tab/>
      </w:r>
      <w:r>
        <w:rPr>
          <w:rFonts w:hint="eastAsia"/>
        </w:rPr>
        <w:t>塞拉利昂自1967年以来一直是《取缔教育歧视公约》缔约国，但没有就关于《公约》和教科文组织有关消除教育方面歧视的建议执行情况的第七次成员国咨商向教科文组织提交报告。</w:t>
      </w:r>
    </w:p>
    <w:p w:rsidR="00A517C8" w:rsidRDefault="00A517C8" w:rsidP="00A517C8">
      <w:pPr>
        <w:pStyle w:val="SingleTxt"/>
        <w:rPr>
          <w:rFonts w:hint="eastAsia"/>
        </w:rPr>
      </w:pPr>
      <w:r>
        <w:rPr>
          <w:rFonts w:hint="eastAsia"/>
        </w:rPr>
        <w:t>63.</w:t>
      </w:r>
      <w:r>
        <w:tab/>
      </w:r>
      <w:r>
        <w:rPr>
          <w:rFonts w:hint="eastAsia"/>
        </w:rPr>
        <w:t>根据1991年《宪法》(经2001年修订)第27条，任何法律都不得含有歧视性规定或歧视性影响；任何人都不应受到凭借法律行事或履行公职或行使公共权力的任何人的歧视对待；“歧视性”的含义是不同的人完全或主要因各自不同的种族、部落、性别、出生地、政见、肤色或信仰等情况而受到不同的待遇。</w:t>
      </w:r>
    </w:p>
    <w:p w:rsidR="00A517C8" w:rsidRDefault="00A517C8" w:rsidP="00A517C8">
      <w:pPr>
        <w:pStyle w:val="SingleTxt"/>
        <w:rPr>
          <w:rFonts w:hint="eastAsia"/>
        </w:rPr>
      </w:pPr>
      <w:r>
        <w:rPr>
          <w:rFonts w:hint="eastAsia"/>
        </w:rPr>
        <w:t>64.</w:t>
      </w:r>
      <w:r>
        <w:tab/>
      </w:r>
      <w:r>
        <w:rPr>
          <w:rFonts w:hint="eastAsia"/>
        </w:rPr>
        <w:t>根据《宪法》第9条(专门涉及教育目标)，政府应指引其政策确保所有各级的全体公民享有平等的权利和适当的受教育机会，办法是确保每一位公民都有机会按其才能、天资和爱好接受最大程度的教育，为此在各级提供教育设施和各种教育，如小学教育、中学教育、职业教育、技术教育、大专教育和大学教育；在确保教育设施方面维护弱势群体、如儿童、妇女和残疾人的权利；以及在可行的情况下提供必要的结构、资金和支助性教育设施。</w:t>
      </w:r>
    </w:p>
    <w:p w:rsidR="00A517C8" w:rsidRDefault="00A517C8" w:rsidP="00A517C8">
      <w:pPr>
        <w:pStyle w:val="SingleTxt"/>
        <w:rPr>
          <w:rFonts w:hint="eastAsia"/>
        </w:rPr>
      </w:pPr>
      <w:r>
        <w:rPr>
          <w:rFonts w:hint="eastAsia"/>
        </w:rPr>
        <w:t>65.</w:t>
      </w:r>
      <w:r>
        <w:tab/>
      </w:r>
      <w:r>
        <w:rPr>
          <w:rFonts w:hint="eastAsia"/>
        </w:rPr>
        <w:t>根据同一项规定，政府应努力消除文盲，并为此目的指导其教育政策在可行的情况下努力实行免费成人扫盲方案、免费的小学和初中义务基础教育以及免费的高中教育。</w:t>
      </w:r>
    </w:p>
    <w:p w:rsidR="00A517C8" w:rsidRDefault="00A517C8" w:rsidP="00A517C8">
      <w:pPr>
        <w:pStyle w:val="SingleTxt"/>
        <w:rPr>
          <w:rFonts w:hint="eastAsia"/>
        </w:rPr>
      </w:pPr>
      <w:r>
        <w:rPr>
          <w:rFonts w:hint="eastAsia"/>
        </w:rPr>
        <w:t>66.</w:t>
      </w:r>
      <w:r>
        <w:tab/>
      </w:r>
      <w:r>
        <w:rPr>
          <w:rFonts w:hint="eastAsia"/>
        </w:rPr>
        <w:t>教育制度分为四个阶段。初级教育为期六年，初中教育为期三年，高中或职业技术教育为期三年，大学或其他高等教育为期四年。2004年，废除了所有儿童的小学学费，北部和东部地区废除了女童的初中学费。另外还废除了小学结束时进行的、要进入中学必须通过的全国小学统考收费。</w:t>
      </w:r>
    </w:p>
    <w:p w:rsidR="00A517C8" w:rsidRDefault="00A517C8" w:rsidP="00A517C8">
      <w:pPr>
        <w:pStyle w:val="SingleTxt"/>
        <w:rPr>
          <w:rFonts w:hint="eastAsia"/>
        </w:rPr>
      </w:pPr>
      <w:r>
        <w:rPr>
          <w:rFonts w:hint="eastAsia"/>
        </w:rPr>
        <w:t>67.</w:t>
      </w:r>
      <w:r>
        <w:tab/>
      </w:r>
      <w:r>
        <w:rPr>
          <w:rFonts w:hint="eastAsia"/>
        </w:rPr>
        <w:t>所有儿童的6年小学教育是义务和免费的，北部和东部地区女童的初中3年也是义务和免费的。不过，由于长期的政治和社会不稳定，学校和教师缺乏，这一法定标准无法执行。儿童在约12岁时进入初中，通常在初中呆到15岁。高中学生在学习3年后可作出选择，或者进行学术深造，或者选择职业教育，学习更多的实用技能。职业培训方面的努力侧重于农业技能以及机械工、木工和泥瓦匠等有关工种。</w:t>
      </w:r>
    </w:p>
    <w:p w:rsidR="00A517C8" w:rsidRDefault="00A517C8" w:rsidP="00A517C8">
      <w:pPr>
        <w:pStyle w:val="SingleTxt"/>
        <w:rPr>
          <w:rFonts w:hint="eastAsia"/>
        </w:rPr>
      </w:pPr>
      <w:r>
        <w:rPr>
          <w:rFonts w:hint="eastAsia"/>
        </w:rPr>
        <w:t>68.</w:t>
      </w:r>
      <w:r>
        <w:tab/>
      </w:r>
      <w:r>
        <w:rPr>
          <w:rFonts w:hint="eastAsia"/>
        </w:rPr>
        <w:t>2012年，塞拉利昂开始对其教育体制实行重大改革，因为该国的一些教学成绩据报告在西非最差。它开始将中学毕业时间拉长了一年，高中生需要增加一年的学习时间才能参加标准化考试，而且每天的学时从4小时增加到7小时。不过，据该国政府称，尽管公共教育支出自2008年以来增加了36%，但经济危机造成的财政困难一直是教育体系所有各级的难题。鉴于学生支付学费，中学增加一年学习时间构成为他们往往负担不起的额外费用。</w:t>
      </w:r>
    </w:p>
    <w:p w:rsidR="00A517C8" w:rsidRDefault="00A517C8" w:rsidP="00A517C8">
      <w:pPr>
        <w:pStyle w:val="SingleTxt"/>
        <w:rPr>
          <w:rFonts w:hint="eastAsia"/>
        </w:rPr>
      </w:pPr>
      <w:r>
        <w:rPr>
          <w:rFonts w:hint="eastAsia"/>
        </w:rPr>
        <w:t>69.</w:t>
      </w:r>
      <w:r>
        <w:tab/>
      </w:r>
      <w:r>
        <w:rPr>
          <w:rFonts w:hint="eastAsia"/>
        </w:rPr>
        <w:t>在研究金方案方面，向塞拉利昂妇女颁发了5项研究金，共计141 352美元，所涉领域包括水产养殖、水文和基础教育能力发展。</w:t>
      </w:r>
    </w:p>
    <w:p w:rsidR="00A517C8" w:rsidRDefault="00A517C8" w:rsidP="00A517C8">
      <w:pPr>
        <w:pStyle w:val="SingleTxt"/>
      </w:pPr>
    </w:p>
    <w:p w:rsidR="00A517C8" w:rsidRPr="00E55F9E"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sidRPr="00E55F9E">
        <w:rPr>
          <w:rFonts w:hint="eastAsia"/>
        </w:rPr>
        <w:t>附件</w:t>
      </w:r>
    </w:p>
    <w:p w:rsidR="00A517C8" w:rsidRPr="00E55F9E"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A517C8" w:rsidRPr="00E55F9E"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A517C8" w:rsidRPr="00E55F9E"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sz w:val="10"/>
        </w:rPr>
      </w:pPr>
    </w:p>
    <w:p w:rsidR="00A517C8" w:rsidRPr="00E55F9E" w:rsidRDefault="00A517C8" w:rsidP="00A517C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ascii="Times New Roman"/>
        </w:rPr>
        <w:tab/>
      </w:r>
      <w:r>
        <w:rPr>
          <w:rFonts w:ascii="Times New Roman"/>
        </w:rPr>
        <w:tab/>
      </w:r>
      <w:r w:rsidRPr="00E55F9E">
        <w:rPr>
          <w:rFonts w:hint="eastAsia"/>
        </w:rPr>
        <w:t>向消除对妇女歧视委员会第五十七届会议提交报告的国家的教育统计数据：女性和男性的总入学率以及性别均等指数</w:t>
      </w:r>
    </w:p>
    <w:p w:rsidR="00A517C8" w:rsidRPr="00FF2EDE" w:rsidRDefault="00A517C8" w:rsidP="00A517C8">
      <w:pPr>
        <w:pStyle w:val="SingleTxt"/>
        <w:spacing w:after="0" w:line="120" w:lineRule="exact"/>
        <w:rPr>
          <w:rFonts w:hint="eastAsia"/>
          <w:sz w:val="10"/>
        </w:rPr>
      </w:pPr>
    </w:p>
    <w:p w:rsidR="00A517C8" w:rsidRPr="00FF2EDE" w:rsidRDefault="00A517C8" w:rsidP="00A517C8">
      <w:pPr>
        <w:pStyle w:val="SingleTxt"/>
        <w:spacing w:after="0" w:line="120" w:lineRule="exact"/>
        <w:rPr>
          <w:rFonts w:hint="eastAsia"/>
          <w:sz w:val="10"/>
        </w:rPr>
      </w:pPr>
    </w:p>
    <w:p w:rsidR="00A517C8" w:rsidRPr="00FF2EDE" w:rsidRDefault="00A517C8" w:rsidP="00A517C8">
      <w:pPr>
        <w:pStyle w:val="SingleTxt"/>
        <w:spacing w:after="0" w:line="120" w:lineRule="exact"/>
        <w:rPr>
          <w:rFonts w:hint="eastAsia"/>
          <w:sz w:val="10"/>
        </w:rPr>
      </w:pPr>
    </w:p>
    <w:tbl>
      <w:tblPr>
        <w:tblW w:w="0" w:type="auto"/>
        <w:tblLayout w:type="fixed"/>
        <w:tblCellMar>
          <w:left w:w="0" w:type="dxa"/>
          <w:right w:w="0" w:type="dxa"/>
        </w:tblCellMar>
        <w:tblLook w:val="0000"/>
      </w:tblPr>
      <w:tblGrid>
        <w:gridCol w:w="1193"/>
        <w:gridCol w:w="597"/>
        <w:gridCol w:w="895"/>
        <w:gridCol w:w="896"/>
        <w:gridCol w:w="895"/>
        <w:gridCol w:w="895"/>
        <w:gridCol w:w="895"/>
        <w:gridCol w:w="896"/>
        <w:gridCol w:w="895"/>
        <w:gridCol w:w="895"/>
        <w:gridCol w:w="896"/>
      </w:tblGrid>
      <w:tr w:rsidR="00A517C8" w:rsidRPr="00A27E34" w:rsidTr="00A517C8">
        <w:tblPrEx>
          <w:tblCellMar>
            <w:top w:w="0" w:type="dxa"/>
            <w:bottom w:w="0" w:type="dxa"/>
          </w:tblCellMar>
        </w:tblPrEx>
        <w:trPr>
          <w:tblHeader/>
        </w:trPr>
        <w:tc>
          <w:tcPr>
            <w:tcW w:w="1193" w:type="dxa"/>
            <w:tcBorders>
              <w:top w:val="single" w:sz="4" w:space="0" w:color="auto"/>
              <w:bottom w:val="single" w:sz="12" w:space="0" w:color="auto"/>
            </w:tcBorders>
            <w:shd w:val="clear" w:color="auto" w:fill="auto"/>
            <w:vAlign w:val="bottom"/>
          </w:tcPr>
          <w:p w:rsidR="00A517C8" w:rsidRPr="00A27E34" w:rsidRDefault="00A517C8" w:rsidP="00A517C8">
            <w:pPr>
              <w:suppressAutoHyphens/>
              <w:spacing w:before="60" w:after="60" w:line="200" w:lineRule="exact"/>
              <w:ind w:right="57"/>
              <w:jc w:val="right"/>
              <w:rPr>
                <w:rFonts w:ascii="KaiTi_GB2312" w:eastAsia="KaiTi_GB2312" w:hint="eastAsia"/>
                <w:sz w:val="15"/>
              </w:rPr>
            </w:pPr>
          </w:p>
        </w:tc>
        <w:tc>
          <w:tcPr>
            <w:tcW w:w="597" w:type="dxa"/>
            <w:tcBorders>
              <w:top w:val="single" w:sz="4" w:space="0" w:color="auto"/>
              <w:bottom w:val="single" w:sz="12" w:space="0" w:color="auto"/>
            </w:tcBorders>
            <w:shd w:val="clear" w:color="auto" w:fill="auto"/>
            <w:vAlign w:val="bottom"/>
          </w:tcPr>
          <w:p w:rsidR="00A517C8" w:rsidRPr="00A27E34" w:rsidRDefault="00A517C8" w:rsidP="00A517C8">
            <w:pPr>
              <w:suppressAutoHyphens/>
              <w:spacing w:before="60" w:after="60" w:line="200" w:lineRule="exact"/>
              <w:ind w:right="57"/>
              <w:jc w:val="right"/>
              <w:rPr>
                <w:rFonts w:ascii="KaiTi_GB2312" w:eastAsia="KaiTi_GB2312" w:hint="eastAsia"/>
                <w:sz w:val="15"/>
              </w:rPr>
            </w:pP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小学总入学率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男性</w:t>
            </w:r>
          </w:p>
        </w:tc>
        <w:tc>
          <w:tcPr>
            <w:tcW w:w="896"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小学总入学率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女性</w:t>
            </w: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中学总入学率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男性</w:t>
            </w: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中学总入学率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女性</w:t>
            </w:r>
            <w:r w:rsidRPr="00FF2EDE">
              <w:rPr>
                <w:rFonts w:ascii="KaiTi_GB2312" w:eastAsia="KaiTi_GB2312"/>
                <w:sz w:val="15"/>
              </w:rPr>
              <w:t xml:space="preserve"> </w:t>
            </w: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大学总入学率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男性</w:t>
            </w:r>
            <w:r w:rsidRPr="00FF2EDE">
              <w:rPr>
                <w:rFonts w:ascii="KaiTi_GB2312" w:eastAsia="KaiTi_GB2312"/>
                <w:sz w:val="15"/>
              </w:rPr>
              <w:t xml:space="preserve"> </w:t>
            </w:r>
          </w:p>
        </w:tc>
        <w:tc>
          <w:tcPr>
            <w:tcW w:w="896"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hint="eastAsia"/>
                <w:spacing w:val="-6"/>
                <w:sz w:val="15"/>
              </w:rPr>
            </w:pPr>
            <w:r w:rsidRPr="00FF2EDE">
              <w:rPr>
                <w:rFonts w:ascii="KaiTi_GB2312" w:eastAsia="KaiTi_GB2312" w:hint="eastAsia"/>
                <w:spacing w:val="-6"/>
                <w:sz w:val="15"/>
              </w:rPr>
              <w:t>大学总入学率</w:t>
            </w:r>
          </w:p>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女性</w:t>
            </w:r>
            <w:r w:rsidRPr="00FF2EDE">
              <w:rPr>
                <w:rFonts w:ascii="KaiTi_GB2312" w:eastAsia="KaiTi_GB2312"/>
                <w:sz w:val="15"/>
              </w:rPr>
              <w:t xml:space="preserve"> </w:t>
            </w: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小学总入学率性别均等指数</w:t>
            </w:r>
          </w:p>
        </w:tc>
        <w:tc>
          <w:tcPr>
            <w:tcW w:w="895"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中学总入学率性别均等指数</w:t>
            </w:r>
          </w:p>
        </w:tc>
        <w:tc>
          <w:tcPr>
            <w:tcW w:w="896" w:type="dxa"/>
            <w:tcBorders>
              <w:top w:val="single" w:sz="4" w:space="0" w:color="auto"/>
              <w:bottom w:val="single" w:sz="12" w:space="0" w:color="auto"/>
            </w:tcBorders>
            <w:shd w:val="clear" w:color="auto" w:fill="auto"/>
            <w:vAlign w:val="bottom"/>
          </w:tcPr>
          <w:p w:rsidR="00A517C8" w:rsidRPr="00FF2EDE" w:rsidRDefault="00A517C8" w:rsidP="00A517C8">
            <w:pPr>
              <w:suppressAutoHyphens/>
              <w:spacing w:before="60" w:after="60" w:line="200" w:lineRule="exact"/>
              <w:ind w:right="57"/>
              <w:jc w:val="right"/>
              <w:rPr>
                <w:rFonts w:ascii="KaiTi_GB2312" w:eastAsia="KaiTi_GB2312"/>
                <w:sz w:val="15"/>
              </w:rPr>
            </w:pPr>
            <w:r w:rsidRPr="00FF2EDE">
              <w:rPr>
                <w:rFonts w:ascii="KaiTi_GB2312" w:eastAsia="KaiTi_GB2312" w:hint="eastAsia"/>
                <w:sz w:val="15"/>
              </w:rPr>
              <w:t>大学总入学率性别均等指数</w:t>
            </w:r>
            <w:r w:rsidRPr="00FF2EDE">
              <w:rPr>
                <w:rFonts w:ascii="KaiTi_GB2312" w:eastAsia="KaiTi_GB2312"/>
                <w:sz w:val="15"/>
              </w:rPr>
              <w:t xml:space="preserve"> </w:t>
            </w:r>
          </w:p>
        </w:tc>
      </w:tr>
      <w:tr w:rsidR="00A517C8" w:rsidRPr="00A27E34" w:rsidTr="00A517C8">
        <w:tblPrEx>
          <w:tblCellMar>
            <w:top w:w="0" w:type="dxa"/>
            <w:bottom w:w="0" w:type="dxa"/>
          </w:tblCellMar>
        </w:tblPrEx>
        <w:trPr>
          <w:trHeight w:hRule="exact" w:val="115"/>
          <w:tblHeader/>
        </w:trPr>
        <w:tc>
          <w:tcPr>
            <w:tcW w:w="1193"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rPr>
                <w:rFonts w:hint="eastAsia"/>
                <w:sz w:val="17"/>
              </w:rPr>
            </w:pPr>
          </w:p>
        </w:tc>
        <w:tc>
          <w:tcPr>
            <w:tcW w:w="597"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6"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6"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5"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c>
          <w:tcPr>
            <w:tcW w:w="896" w:type="dxa"/>
            <w:tcBorders>
              <w:top w:val="single" w:sz="12" w:space="0" w:color="auto"/>
            </w:tcBorders>
            <w:shd w:val="clear" w:color="auto" w:fill="auto"/>
            <w:vAlign w:val="bottom"/>
          </w:tcPr>
          <w:p w:rsidR="00A517C8" w:rsidRPr="00A27E34" w:rsidRDefault="00A517C8" w:rsidP="00A517C8">
            <w:pPr>
              <w:suppressAutoHyphens/>
              <w:spacing w:after="60" w:line="280" w:lineRule="exact"/>
              <w:ind w:right="57"/>
              <w:jc w:val="right"/>
              <w:rPr>
                <w:rFonts w:hint="eastAsia"/>
                <w:sz w:val="17"/>
              </w:rPr>
            </w:pPr>
          </w:p>
        </w:tc>
      </w:tr>
      <w:tr w:rsidR="00A517C8" w:rsidRPr="00A27E34" w:rsidTr="00A517C8">
        <w:tblPrEx>
          <w:tblCellMar>
            <w:top w:w="0" w:type="dxa"/>
            <w:bottom w:w="0" w:type="dxa"/>
          </w:tblCellMar>
        </w:tblPrEx>
        <w:tc>
          <w:tcPr>
            <w:tcW w:w="1193"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rPr>
                <w:rFonts w:ascii="KaiTi_GB2312" w:eastAsia="KaiTi_GB2312" w:hint="eastAsia"/>
              </w:rPr>
            </w:pPr>
            <w:r w:rsidRPr="00E55F9E">
              <w:rPr>
                <w:rFonts w:ascii="KaiTi_GB2312" w:eastAsia="KaiTi_GB2312" w:hint="eastAsia"/>
              </w:rPr>
              <w:t>国家</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rFonts w:ascii="KaiTi_GB2312" w:eastAsia="KaiTi_GB2312"/>
                <w:sz w:val="17"/>
              </w:rPr>
            </w:pPr>
            <w:r w:rsidRPr="00E55F9E">
              <w:rPr>
                <w:rFonts w:ascii="KaiTi_GB2312" w:eastAsia="KaiTi_GB2312" w:hint="eastAsia"/>
                <w:sz w:val="17"/>
              </w:rPr>
              <w:t>年份</w:t>
            </w: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sz w:val="17"/>
              </w:rPr>
            </w:pP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5"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c>
          <w:tcPr>
            <w:tcW w:w="896"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jc w:val="right"/>
              <w:rPr>
                <w:rFonts w:hint="eastAsia"/>
                <w:sz w:val="17"/>
              </w:rPr>
            </w:pP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巴楚</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92</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92</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93</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0.98</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30</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0.98</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1.57</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26</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0.96</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1.88</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喀麦隆</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32</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0.80</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0.79</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111</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43</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0.83</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0.79</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47</w:t>
            </w:r>
            <w:r w:rsidRPr="005B25F1">
              <w:rPr>
                <w:sz w:val="17"/>
                <w:vertAlign w:val="superscript"/>
              </w:rPr>
              <w:t>a</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40</w:t>
            </w:r>
            <w:r w:rsidRPr="005B25F1">
              <w:rPr>
                <w:sz w:val="17"/>
                <w:vertAlign w:val="superscript"/>
              </w:rPr>
              <w:t>a</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12</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0.84</w:t>
            </w:r>
            <w:r w:rsidRPr="005B25F1">
              <w:rPr>
                <w:sz w:val="17"/>
                <w:vertAlign w:val="superscript"/>
              </w:rPr>
              <w:t>a</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0.81</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113</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51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43</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0.85</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0.73</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芬兰</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1.05</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1.24</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82</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102</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1.05</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1.23</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104</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1.05</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1.22</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100</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86</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1.04</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1.23</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伊拉克</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哈萨克斯坦</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92</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39</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54</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0.98</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1.40</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106</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93</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48</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1.00</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0.97</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1.40</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33</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1.00</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0.97</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1.40</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49</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1.01</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0.97</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1.41</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卡塔尔</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6</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1.37</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4.76</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113</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1.34</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5.41</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95</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27</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1.23</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5.50</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117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5</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32</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1.10</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5.93</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塞内加尔</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84</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1.02</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0.79</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0.54</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83</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87</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1.04</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0.58</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82</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34</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10</w:t>
            </w:r>
            <w:r w:rsidRPr="005B25F1">
              <w:rPr>
                <w:sz w:val="17"/>
                <w:vertAlign w:val="superscript"/>
              </w:rPr>
              <w:t>a</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6</w:t>
            </w:r>
            <w:r w:rsidRPr="005B25F1">
              <w:rPr>
                <w:sz w:val="17"/>
                <w:vertAlign w:val="superscript"/>
              </w:rPr>
              <w:t>a</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w:t>
            </w:r>
            <w:r>
              <w:rPr>
                <w:sz w:val="17"/>
              </w:rPr>
              <w:t>.</w:t>
            </w:r>
            <w:r w:rsidRPr="008F1D9F">
              <w:rPr>
                <w:sz w:val="17"/>
              </w:rPr>
              <w:t>05</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0.87</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0.59</w:t>
            </w:r>
            <w:r w:rsidRPr="005B25F1">
              <w:rPr>
                <w:sz w:val="17"/>
                <w:vertAlign w:val="superscript"/>
              </w:rPr>
              <w:t>a</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81</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86</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43</w:t>
            </w:r>
            <w:r w:rsidRPr="005B25F1">
              <w:rPr>
                <w:sz w:val="17"/>
                <w:vertAlign w:val="superscript"/>
              </w:rPr>
              <w:t>a</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39</w:t>
            </w:r>
            <w:r w:rsidRPr="005B25F1">
              <w:rPr>
                <w:sz w:val="17"/>
                <w:vertAlign w:val="superscript"/>
              </w:rPr>
              <w:t>b</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1.06</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0.91</w:t>
            </w:r>
            <w:r w:rsidRPr="005B25F1">
              <w:rPr>
                <w:sz w:val="17"/>
                <w:vertAlign w:val="superscript"/>
              </w:rPr>
              <w:t>b</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r>
              <w:rPr>
                <w:rFonts w:hint="eastAsia"/>
                <w:sz w:val="17"/>
              </w:rPr>
              <w:t>塞拉利</w:t>
            </w:r>
            <w:r w:rsidRPr="00E55F9E">
              <w:rPr>
                <w:rFonts w:hint="eastAsia"/>
                <w:sz w:val="17"/>
              </w:rPr>
              <w:t>昂</w:t>
            </w: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2008</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2009</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2010</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r w:rsidR="00A517C8" w:rsidRPr="00A27E34" w:rsidTr="00A517C8">
        <w:tblPrEx>
          <w:tblCellMar>
            <w:top w:w="0" w:type="dxa"/>
            <w:bottom w:w="0" w:type="dxa"/>
          </w:tblCellMar>
        </w:tblPrEx>
        <w:tc>
          <w:tcPr>
            <w:tcW w:w="1193" w:type="dxa"/>
            <w:tcBorders>
              <w:bottom w:val="single" w:sz="12" w:space="0" w:color="auto"/>
            </w:tcBorders>
            <w:shd w:val="clear" w:color="auto" w:fill="auto"/>
            <w:vAlign w:val="bottom"/>
          </w:tcPr>
          <w:p w:rsidR="00A517C8" w:rsidRPr="00A27E34" w:rsidRDefault="00A517C8" w:rsidP="00A517C8">
            <w:pPr>
              <w:tabs>
                <w:tab w:val="left" w:pos="334"/>
                <w:tab w:val="left" w:pos="669"/>
                <w:tab w:val="left" w:pos="1003"/>
                <w:tab w:val="left" w:pos="1338"/>
              </w:tabs>
              <w:suppressAutoHyphens/>
              <w:spacing w:after="60" w:line="280" w:lineRule="exact"/>
              <w:ind w:right="57"/>
              <w:rPr>
                <w:rFonts w:hint="eastAsia"/>
                <w:sz w:val="17"/>
              </w:rPr>
            </w:pPr>
          </w:p>
        </w:tc>
        <w:tc>
          <w:tcPr>
            <w:tcW w:w="597"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2011</w:t>
            </w:r>
          </w:p>
        </w:tc>
        <w:tc>
          <w:tcPr>
            <w:tcW w:w="895"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132</w:t>
            </w:r>
          </w:p>
        </w:tc>
        <w:tc>
          <w:tcPr>
            <w:tcW w:w="896"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sidRPr="00E55F9E">
              <w:rPr>
                <w:sz w:val="17"/>
              </w:rPr>
              <w:t>125</w:t>
            </w:r>
          </w:p>
        </w:tc>
        <w:tc>
          <w:tcPr>
            <w:tcW w:w="895"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tcBorders>
              <w:bottom w:val="single" w:sz="12" w:space="0" w:color="auto"/>
            </w:tcBorders>
            <w:shd w:val="clear" w:color="auto" w:fill="auto"/>
            <w:vAlign w:val="bottom"/>
          </w:tcPr>
          <w:p w:rsidR="00A517C8" w:rsidRPr="00E55F9E"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5" w:type="dxa"/>
            <w:tcBorders>
              <w:bottom w:val="single" w:sz="12" w:space="0" w:color="auto"/>
            </w:tcBorders>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sidRPr="008F1D9F">
              <w:rPr>
                <w:sz w:val="17"/>
              </w:rPr>
              <w:t>0.95</w:t>
            </w:r>
          </w:p>
        </w:tc>
        <w:tc>
          <w:tcPr>
            <w:tcW w:w="895" w:type="dxa"/>
            <w:tcBorders>
              <w:bottom w:val="single" w:sz="12" w:space="0" w:color="auto"/>
            </w:tcBorders>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c>
          <w:tcPr>
            <w:tcW w:w="896" w:type="dxa"/>
            <w:tcBorders>
              <w:bottom w:val="single" w:sz="12" w:space="0" w:color="auto"/>
            </w:tcBorders>
            <w:shd w:val="clear" w:color="auto" w:fill="auto"/>
            <w:vAlign w:val="bottom"/>
          </w:tcPr>
          <w:p w:rsidR="00A517C8" w:rsidRPr="008F1D9F" w:rsidRDefault="00A517C8" w:rsidP="00A517C8">
            <w:pPr>
              <w:tabs>
                <w:tab w:val="left" w:pos="334"/>
                <w:tab w:val="left" w:pos="669"/>
                <w:tab w:val="left" w:pos="1003"/>
                <w:tab w:val="left" w:pos="1338"/>
              </w:tabs>
              <w:suppressAutoHyphens/>
              <w:spacing w:after="60" w:line="280" w:lineRule="exact"/>
              <w:ind w:right="57"/>
              <w:jc w:val="right"/>
              <w:rPr>
                <w:sz w:val="17"/>
              </w:rPr>
            </w:pPr>
            <w:r>
              <w:rPr>
                <w:sz w:val="17"/>
              </w:rPr>
              <w:t>-</w:t>
            </w:r>
          </w:p>
        </w:tc>
      </w:tr>
    </w:tbl>
    <w:p w:rsidR="00A517C8" w:rsidRPr="004246C2" w:rsidRDefault="00A517C8" w:rsidP="00A517C8">
      <w:pPr>
        <w:pStyle w:val="SingleTxt"/>
        <w:spacing w:after="0" w:line="120" w:lineRule="exact"/>
        <w:rPr>
          <w:rFonts w:hint="eastAsia"/>
          <w:sz w:val="10"/>
        </w:rPr>
      </w:pPr>
    </w:p>
    <w:p w:rsidR="00A517C8" w:rsidRPr="004246C2" w:rsidRDefault="00A517C8" w:rsidP="00A517C8">
      <w:pPr>
        <w:pStyle w:val="SingleTxt"/>
        <w:spacing w:after="0" w:line="120" w:lineRule="exact"/>
        <w:rPr>
          <w:rFonts w:hint="eastAsia"/>
          <w:sz w:val="10"/>
        </w:rPr>
      </w:pPr>
    </w:p>
    <w:p w:rsidR="00A517C8" w:rsidRDefault="00A517C8" w:rsidP="00A517C8">
      <w:pPr>
        <w:pStyle w:val="FootnoteText"/>
        <w:tabs>
          <w:tab w:val="clear" w:pos="418"/>
          <w:tab w:val="right" w:pos="216"/>
          <w:tab w:val="left" w:pos="288"/>
          <w:tab w:val="right" w:pos="576"/>
          <w:tab w:val="left" w:pos="648"/>
        </w:tabs>
        <w:ind w:left="288" w:hanging="288"/>
        <w:rPr>
          <w:rFonts w:hint="eastAsia"/>
        </w:rPr>
      </w:pPr>
      <w:r>
        <w:tab/>
        <w:t>-</w:t>
      </w:r>
      <w:r>
        <w:tab/>
      </w:r>
      <w:r>
        <w:rPr>
          <w:rFonts w:hint="eastAsia"/>
        </w:rPr>
        <w:t>短线表示没有相关数据。</w:t>
      </w:r>
    </w:p>
    <w:p w:rsidR="00A517C8" w:rsidRDefault="00A517C8" w:rsidP="00A517C8">
      <w:pPr>
        <w:pStyle w:val="FootnoteText"/>
        <w:tabs>
          <w:tab w:val="clear" w:pos="418"/>
          <w:tab w:val="right" w:pos="216"/>
          <w:tab w:val="left" w:pos="288"/>
          <w:tab w:val="right" w:pos="576"/>
          <w:tab w:val="left" w:pos="648"/>
        </w:tabs>
        <w:ind w:left="288" w:hanging="288"/>
        <w:rPr>
          <w:rFonts w:hint="eastAsia"/>
        </w:rPr>
      </w:pPr>
      <w:r>
        <w:tab/>
      </w:r>
      <w:r w:rsidRPr="004246C2">
        <w:rPr>
          <w:rFonts w:hint="eastAsia"/>
          <w:vertAlign w:val="superscript"/>
        </w:rPr>
        <w:t>a</w:t>
      </w:r>
      <w:r>
        <w:tab/>
      </w:r>
      <w:r>
        <w:rPr>
          <w:rFonts w:hint="eastAsia"/>
        </w:rPr>
        <w:t>教科文组织统计学会估计数。</w:t>
      </w:r>
    </w:p>
    <w:p w:rsidR="00A517C8" w:rsidRDefault="00A517C8" w:rsidP="00A517C8">
      <w:pPr>
        <w:pStyle w:val="FootnoteText"/>
        <w:tabs>
          <w:tab w:val="clear" w:pos="418"/>
          <w:tab w:val="right" w:pos="216"/>
          <w:tab w:val="left" w:pos="288"/>
          <w:tab w:val="right" w:pos="576"/>
          <w:tab w:val="left" w:pos="648"/>
        </w:tabs>
        <w:ind w:left="288" w:hanging="288"/>
        <w:rPr>
          <w:rFonts w:hint="eastAsia"/>
        </w:rPr>
      </w:pPr>
      <w:r>
        <w:tab/>
      </w:r>
      <w:r w:rsidRPr="004246C2">
        <w:rPr>
          <w:rFonts w:hint="eastAsia"/>
          <w:vertAlign w:val="superscript"/>
        </w:rPr>
        <w:t>b</w:t>
      </w:r>
      <w:r>
        <w:tab/>
      </w:r>
      <w:r>
        <w:rPr>
          <w:rFonts w:hint="eastAsia"/>
        </w:rPr>
        <w:t>国家估计数字。</w:t>
      </w:r>
    </w:p>
    <w:p w:rsidR="00A517C8" w:rsidRPr="00A517C8" w:rsidRDefault="00A517C8" w:rsidP="00A517C8">
      <w:pPr>
        <w:pStyle w:val="SingleTxt"/>
        <w:spacing w:after="0" w:line="240" w:lineRule="auto"/>
        <w:rPr>
          <w:sz w:val="20"/>
        </w:rPr>
      </w:pPr>
      <w:r>
        <w:rPr>
          <w:noProof/>
          <w:sz w:val="20"/>
        </w:rPr>
        <w:pict>
          <v:line id="_x0000_s1028" style="position:absolute;left:0;text-align:left;z-index:3;mso-position-horizontal:center" from="0,30pt" to="1in,30pt" strokeweight=".25pt"/>
        </w:pict>
      </w:r>
    </w:p>
    <w:sectPr w:rsidR="00A517C8" w:rsidRPr="00A517C8" w:rsidSect="00B03F58">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1-07T15:08:00Z" w:initials="Start">
    <w:p w:rsidR="0090613F" w:rsidRDefault="0023021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rsidR="0090613F">
        <w:t>&lt;&lt;ODS JOB NO&gt;&gt;N1361467C&lt;&lt;ODS JOB NO&gt;&gt;</w:t>
      </w:r>
    </w:p>
    <w:p w:rsidR="0090613F" w:rsidRDefault="0090613F">
      <w:pPr>
        <w:pStyle w:val="CommentText"/>
      </w:pPr>
      <w:r>
        <w:t>&lt;&lt;ODS DOC SYMBOL1&gt;&gt;CEDAW/C/57/2&lt;&lt;ODS DOC SYMBOL1&gt;&gt;</w:t>
      </w:r>
    </w:p>
    <w:p w:rsidR="00230216" w:rsidRDefault="0090613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3F27" w:rsidRDefault="00433F27">
      <w:r>
        <w:separator/>
      </w:r>
    </w:p>
  </w:endnote>
  <w:endnote w:type="continuationSeparator" w:id="0">
    <w:p w:rsidR="00433F27" w:rsidRDefault="00433F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0216" w:rsidTr="00B03F58">
      <w:tblPrEx>
        <w:tblCellMar>
          <w:top w:w="0" w:type="dxa"/>
          <w:bottom w:w="0" w:type="dxa"/>
        </w:tblCellMar>
      </w:tblPrEx>
      <w:tc>
        <w:tcPr>
          <w:tcW w:w="5033" w:type="dxa"/>
          <w:shd w:val="clear" w:color="auto" w:fill="auto"/>
        </w:tcPr>
        <w:p w:rsidR="00230216" w:rsidRPr="00B03F58" w:rsidRDefault="00230216" w:rsidP="00B03F58">
          <w:pPr>
            <w:pStyle w:val="Footer"/>
            <w:jc w:val="right"/>
            <w:rPr>
              <w:b w:val="0"/>
              <w:w w:val="103"/>
              <w:sz w:val="14"/>
            </w:rPr>
          </w:pPr>
          <w:fldSimple w:instr=" DOCVARIABLE &quot;FooterJN&quot; \* MERGEFORMAT ">
            <w:r w:rsidR="0090613F">
              <w:rPr>
                <w:b w:val="0"/>
                <w:w w:val="103"/>
                <w:sz w:val="14"/>
              </w:rPr>
              <w:t>13-61467 (C)</w:t>
            </w:r>
          </w:fldSimple>
        </w:p>
      </w:tc>
      <w:tc>
        <w:tcPr>
          <w:tcW w:w="5033" w:type="dxa"/>
          <w:shd w:val="clear" w:color="auto" w:fill="auto"/>
        </w:tcPr>
        <w:p w:rsidR="00230216" w:rsidRPr="00B03F58" w:rsidRDefault="00230216" w:rsidP="00B03F58">
          <w:pPr>
            <w:pStyle w:val="Footer"/>
            <w:jc w:val="left"/>
            <w:rPr>
              <w:w w:val="103"/>
            </w:rPr>
          </w:pPr>
          <w:r>
            <w:rPr>
              <w:w w:val="103"/>
            </w:rPr>
            <w:fldChar w:fldCharType="begin"/>
          </w:r>
          <w:r>
            <w:rPr>
              <w:w w:val="103"/>
            </w:rPr>
            <w:instrText xml:space="preserve"> PAGE  \* Arabic  \* MERGEFORMAT </w:instrText>
          </w:r>
          <w:r>
            <w:rPr>
              <w:w w:val="103"/>
            </w:rPr>
            <w:fldChar w:fldCharType="separate"/>
          </w:r>
          <w:r w:rsidR="0090613F">
            <w:rPr>
              <w:w w:val="103"/>
            </w:rPr>
            <w:t>14</w:t>
          </w:r>
          <w:r>
            <w:rPr>
              <w:w w:val="103"/>
            </w:rPr>
            <w:fldChar w:fldCharType="end"/>
          </w:r>
          <w:r>
            <w:rPr>
              <w:w w:val="103"/>
            </w:rPr>
            <w:t>/</w:t>
          </w:r>
          <w:fldSimple w:instr=" NUMPAGES  \* Arabic  \* MERGEFORMAT ">
            <w:r>
              <w:rPr>
                <w:w w:val="103"/>
              </w:rPr>
              <w:t>14</w:t>
            </w:r>
          </w:fldSimple>
        </w:p>
      </w:tc>
    </w:tr>
  </w:tbl>
  <w:p w:rsidR="00230216" w:rsidRPr="00B03F58" w:rsidRDefault="00230216" w:rsidP="00B03F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30216" w:rsidTr="00B03F58">
      <w:tblPrEx>
        <w:tblCellMar>
          <w:top w:w="0" w:type="dxa"/>
          <w:bottom w:w="0" w:type="dxa"/>
        </w:tblCellMar>
      </w:tblPrEx>
      <w:tc>
        <w:tcPr>
          <w:tcW w:w="5033" w:type="dxa"/>
          <w:shd w:val="clear" w:color="auto" w:fill="auto"/>
        </w:tcPr>
        <w:p w:rsidR="00230216" w:rsidRPr="00B03F58" w:rsidRDefault="00230216" w:rsidP="00B03F58">
          <w:pPr>
            <w:pStyle w:val="Footer"/>
            <w:jc w:val="right"/>
          </w:pPr>
          <w:fldSimple w:instr=" PAGE  \* Arabic  \* MERGEFORMAT ">
            <w:r w:rsidR="0090613F">
              <w:t>13</w:t>
            </w:r>
          </w:fldSimple>
          <w:r>
            <w:t>/</w:t>
          </w:r>
          <w:fldSimple w:instr=" NUMPAGES  \* Arabic  \* MERGEFORMAT ">
            <w:r>
              <w:t>14</w:t>
            </w:r>
          </w:fldSimple>
        </w:p>
      </w:tc>
      <w:tc>
        <w:tcPr>
          <w:tcW w:w="5033" w:type="dxa"/>
          <w:shd w:val="clear" w:color="auto" w:fill="auto"/>
        </w:tcPr>
        <w:p w:rsidR="00230216" w:rsidRPr="00B03F58" w:rsidRDefault="00230216" w:rsidP="00B03F58">
          <w:pPr>
            <w:pStyle w:val="Footer"/>
            <w:jc w:val="left"/>
            <w:rPr>
              <w:b w:val="0"/>
              <w:w w:val="103"/>
              <w:sz w:val="14"/>
            </w:rPr>
          </w:pPr>
          <w:fldSimple w:instr=" DOCVARIABLE &quot;FooterJN&quot; \* MERGEFORMAT ">
            <w:r w:rsidR="0090613F">
              <w:rPr>
                <w:b w:val="0"/>
                <w:w w:val="103"/>
                <w:sz w:val="14"/>
              </w:rPr>
              <w:t>13-61467 (C)</w:t>
            </w:r>
          </w:fldSimple>
        </w:p>
      </w:tc>
    </w:tr>
  </w:tbl>
  <w:p w:rsidR="00230216" w:rsidRPr="00B03F58" w:rsidRDefault="00230216" w:rsidP="00B03F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30216" w:rsidTr="00B03F58">
      <w:tblPrEx>
        <w:tblCellMar>
          <w:top w:w="0" w:type="dxa"/>
          <w:bottom w:w="0" w:type="dxa"/>
        </w:tblCellMar>
      </w:tblPrEx>
      <w:tc>
        <w:tcPr>
          <w:tcW w:w="5033" w:type="dxa"/>
        </w:tcPr>
        <w:p w:rsidR="00230216" w:rsidRDefault="00230216" w:rsidP="00B03F58">
          <w:pPr>
            <w:pStyle w:val="Footer"/>
            <w:rPr>
              <w:b w:val="0"/>
              <w:sz w:val="21"/>
            </w:rPr>
          </w:pPr>
          <w:fldSimple w:instr=" DOCVARIABLE &quot;jobn&quot; \* MERGEFORMAT ">
            <w:r w:rsidR="0090613F">
              <w:rPr>
                <w:b w:val="0"/>
                <w:sz w:val="21"/>
              </w:rPr>
              <w:t>13-61467 (C)</w:t>
            </w:r>
          </w:fldSimple>
          <w:r>
            <w:rPr>
              <w:b w:val="0"/>
              <w:sz w:val="21"/>
            </w:rPr>
            <w:t xml:space="preserve">    0</w:t>
          </w:r>
          <w:r>
            <w:rPr>
              <w:rFonts w:hint="eastAsia"/>
              <w:b w:val="0"/>
              <w:sz w:val="21"/>
            </w:rPr>
            <w:t>6</w:t>
          </w:r>
          <w:r>
            <w:rPr>
              <w:b w:val="0"/>
              <w:sz w:val="21"/>
            </w:rPr>
            <w:t>0114    070114</w:t>
          </w:r>
        </w:p>
        <w:p w:rsidR="00230216" w:rsidRPr="00B03F58" w:rsidRDefault="00230216" w:rsidP="00B03F58">
          <w:pPr>
            <w:spacing w:before="80" w:line="210" w:lineRule="exact"/>
            <w:rPr>
              <w:rFonts w:ascii="Barcode 3 of 9 by request" w:hAnsi="Barcode 3 of 9 by request"/>
              <w:sz w:val="24"/>
            </w:rPr>
          </w:pPr>
          <w:r>
            <w:rPr>
              <w:rFonts w:ascii="Barcode 3 of 9 by request" w:hAnsi="Barcode 3 of 9 by request"/>
              <w:sz w:val="24"/>
            </w:rPr>
            <w:t>*1461467*</w:t>
          </w:r>
        </w:p>
      </w:tc>
      <w:tc>
        <w:tcPr>
          <w:tcW w:w="3686" w:type="dxa"/>
        </w:tcPr>
        <w:p w:rsidR="00230216" w:rsidRDefault="00230216" w:rsidP="00B03F58">
          <w:pPr>
            <w:pStyle w:val="Footer"/>
            <w:jc w:val="right"/>
            <w:rPr>
              <w:b w:val="0"/>
              <w:sz w:val="21"/>
            </w:rPr>
          </w:pPr>
          <w:r w:rsidRPr="00B03F58">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230216" w:rsidRPr="00B03F58" w:rsidRDefault="00230216" w:rsidP="00B03F58">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3F27" w:rsidRDefault="00433F27">
      <w:r>
        <w:separator/>
      </w:r>
    </w:p>
  </w:footnote>
  <w:footnote w:type="continuationSeparator" w:id="0">
    <w:p w:rsidR="00433F27" w:rsidRDefault="00433F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0216" w:rsidTr="00B03F58">
      <w:tblPrEx>
        <w:tblCellMar>
          <w:top w:w="0" w:type="dxa"/>
          <w:bottom w:w="0" w:type="dxa"/>
        </w:tblCellMar>
      </w:tblPrEx>
      <w:trPr>
        <w:trHeight w:hRule="exact" w:val="864"/>
      </w:trPr>
      <w:tc>
        <w:tcPr>
          <w:tcW w:w="4838" w:type="dxa"/>
          <w:shd w:val="clear" w:color="auto" w:fill="auto"/>
          <w:vAlign w:val="bottom"/>
        </w:tcPr>
        <w:p w:rsidR="00230216" w:rsidRPr="00B03F58" w:rsidRDefault="00230216" w:rsidP="00B03F58">
          <w:pPr>
            <w:pStyle w:val="Header"/>
            <w:spacing w:after="80"/>
            <w:jc w:val="left"/>
            <w:rPr>
              <w:b/>
              <w:sz w:val="17"/>
            </w:rPr>
          </w:pPr>
          <w:fldSimple w:instr=" DOCVARIABLE &quot;sss1&quot; \* MERGEFORMAT ">
            <w:r w:rsidR="0090613F">
              <w:rPr>
                <w:b/>
                <w:sz w:val="17"/>
              </w:rPr>
              <w:t>CEDAW/C/57/2</w:t>
            </w:r>
          </w:fldSimple>
        </w:p>
      </w:tc>
      <w:tc>
        <w:tcPr>
          <w:tcW w:w="5033" w:type="dxa"/>
          <w:shd w:val="clear" w:color="auto" w:fill="auto"/>
          <w:vAlign w:val="bottom"/>
        </w:tcPr>
        <w:p w:rsidR="00230216" w:rsidRDefault="00230216" w:rsidP="00B03F58">
          <w:pPr>
            <w:pStyle w:val="Header"/>
          </w:pPr>
        </w:p>
      </w:tc>
    </w:tr>
  </w:tbl>
  <w:p w:rsidR="00230216" w:rsidRPr="00B03F58" w:rsidRDefault="00230216" w:rsidP="00B03F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30216" w:rsidTr="00B03F58">
      <w:tblPrEx>
        <w:tblCellMar>
          <w:top w:w="0" w:type="dxa"/>
          <w:bottom w:w="0" w:type="dxa"/>
        </w:tblCellMar>
      </w:tblPrEx>
      <w:trPr>
        <w:trHeight w:hRule="exact" w:val="864"/>
      </w:trPr>
      <w:tc>
        <w:tcPr>
          <w:tcW w:w="4838" w:type="dxa"/>
          <w:shd w:val="clear" w:color="auto" w:fill="auto"/>
          <w:vAlign w:val="bottom"/>
        </w:tcPr>
        <w:p w:rsidR="00230216" w:rsidRDefault="00230216" w:rsidP="00B03F58">
          <w:pPr>
            <w:pStyle w:val="Header"/>
          </w:pPr>
        </w:p>
      </w:tc>
      <w:tc>
        <w:tcPr>
          <w:tcW w:w="5033" w:type="dxa"/>
          <w:shd w:val="clear" w:color="auto" w:fill="auto"/>
          <w:vAlign w:val="bottom"/>
        </w:tcPr>
        <w:p w:rsidR="00230216" w:rsidRPr="00B03F58" w:rsidRDefault="00230216" w:rsidP="00B03F58">
          <w:pPr>
            <w:pStyle w:val="Header"/>
            <w:spacing w:after="80"/>
            <w:jc w:val="right"/>
            <w:rPr>
              <w:b/>
              <w:sz w:val="17"/>
            </w:rPr>
          </w:pPr>
          <w:fldSimple w:instr=" DOCVARIABLE &quot;sss1&quot; \* MERGEFORMAT ">
            <w:r w:rsidR="0090613F">
              <w:rPr>
                <w:b/>
                <w:sz w:val="17"/>
              </w:rPr>
              <w:t>CEDAW/C/57/2</w:t>
            </w:r>
          </w:fldSimple>
        </w:p>
      </w:tc>
    </w:tr>
  </w:tbl>
  <w:p w:rsidR="00230216" w:rsidRPr="00B03F58" w:rsidRDefault="00230216" w:rsidP="00B03F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230216" w:rsidTr="00B03F5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0216" w:rsidRDefault="00230216" w:rsidP="00B03F58">
          <w:pPr>
            <w:pStyle w:val="Header"/>
            <w:spacing w:after="120"/>
          </w:pPr>
        </w:p>
      </w:tc>
      <w:tc>
        <w:tcPr>
          <w:tcW w:w="1872" w:type="dxa"/>
          <w:tcBorders>
            <w:bottom w:val="single" w:sz="4" w:space="0" w:color="auto"/>
          </w:tcBorders>
          <w:shd w:val="clear" w:color="auto" w:fill="auto"/>
          <w:vAlign w:val="bottom"/>
        </w:tcPr>
        <w:p w:rsidR="00230216" w:rsidRPr="00B03F58" w:rsidRDefault="00230216" w:rsidP="00B03F58">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230216" w:rsidRDefault="00230216" w:rsidP="00B03F58">
          <w:pPr>
            <w:pStyle w:val="Header"/>
            <w:spacing w:after="120"/>
          </w:pPr>
        </w:p>
      </w:tc>
      <w:tc>
        <w:tcPr>
          <w:tcW w:w="6523" w:type="dxa"/>
          <w:gridSpan w:val="3"/>
          <w:tcBorders>
            <w:bottom w:val="single" w:sz="4" w:space="0" w:color="auto"/>
          </w:tcBorders>
          <w:shd w:val="clear" w:color="auto" w:fill="auto"/>
          <w:vAlign w:val="bottom"/>
        </w:tcPr>
        <w:p w:rsidR="00230216" w:rsidRPr="00B03F58" w:rsidRDefault="00230216" w:rsidP="00B03F58">
          <w:pPr>
            <w:spacing w:after="80" w:line="240" w:lineRule="auto"/>
            <w:jc w:val="right"/>
            <w:rPr>
              <w:rFonts w:ascii="Times New Roman"/>
              <w:position w:val="-4"/>
            </w:rPr>
          </w:pPr>
          <w:r>
            <w:rPr>
              <w:rFonts w:ascii="Times New Roman"/>
              <w:position w:val="-4"/>
              <w:sz w:val="40"/>
            </w:rPr>
            <w:t>CEDAW</w:t>
          </w:r>
          <w:r>
            <w:rPr>
              <w:rFonts w:ascii="Times New Roman"/>
              <w:position w:val="-4"/>
            </w:rPr>
            <w:t>/C/57/2</w:t>
          </w:r>
        </w:p>
      </w:tc>
    </w:tr>
    <w:tr w:rsidR="00230216" w:rsidRPr="00B03F58" w:rsidTr="00B03F5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0216" w:rsidRDefault="00230216" w:rsidP="00B03F5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230216" w:rsidRPr="00B03F58" w:rsidRDefault="00230216" w:rsidP="00B03F58">
          <w:pPr>
            <w:pStyle w:val="Header"/>
            <w:spacing w:before="109"/>
            <w:ind w:left="-72"/>
          </w:pPr>
        </w:p>
      </w:tc>
      <w:tc>
        <w:tcPr>
          <w:tcW w:w="5227" w:type="dxa"/>
          <w:gridSpan w:val="3"/>
          <w:tcBorders>
            <w:top w:val="single" w:sz="4" w:space="0" w:color="auto"/>
            <w:bottom w:val="single" w:sz="12" w:space="0" w:color="auto"/>
          </w:tcBorders>
          <w:shd w:val="clear" w:color="auto" w:fill="auto"/>
        </w:tcPr>
        <w:p w:rsidR="00230216" w:rsidRPr="00B03F58" w:rsidRDefault="00230216" w:rsidP="00B03F58">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230216" w:rsidRPr="00B03F58" w:rsidRDefault="00230216" w:rsidP="00B03F58">
          <w:pPr>
            <w:pStyle w:val="Header"/>
            <w:spacing w:before="109"/>
          </w:pPr>
        </w:p>
      </w:tc>
      <w:tc>
        <w:tcPr>
          <w:tcW w:w="3180" w:type="dxa"/>
          <w:gridSpan w:val="2"/>
          <w:tcBorders>
            <w:top w:val="single" w:sz="4" w:space="0" w:color="auto"/>
            <w:bottom w:val="single" w:sz="12" w:space="0" w:color="auto"/>
          </w:tcBorders>
          <w:shd w:val="clear" w:color="auto" w:fill="auto"/>
        </w:tcPr>
        <w:p w:rsidR="00230216" w:rsidRDefault="00230216" w:rsidP="00B03F58">
          <w:pPr>
            <w:spacing w:before="240" w:line="240" w:lineRule="exact"/>
            <w:rPr>
              <w:rFonts w:ascii="Times New Roman"/>
            </w:rPr>
          </w:pPr>
          <w:r>
            <w:rPr>
              <w:rFonts w:ascii="Times New Roman"/>
            </w:rPr>
            <w:t>Distr.: General</w:t>
          </w:r>
        </w:p>
        <w:p w:rsidR="00230216" w:rsidRDefault="00230216" w:rsidP="00B03F58">
          <w:pPr>
            <w:spacing w:line="240" w:lineRule="exact"/>
            <w:rPr>
              <w:rFonts w:ascii="Times New Roman"/>
            </w:rPr>
          </w:pPr>
          <w:r>
            <w:rPr>
              <w:rFonts w:ascii="Times New Roman"/>
            </w:rPr>
            <w:t>11 December 2013</w:t>
          </w:r>
        </w:p>
        <w:p w:rsidR="00230216" w:rsidRDefault="00230216" w:rsidP="00B03F58">
          <w:pPr>
            <w:spacing w:line="240" w:lineRule="exact"/>
            <w:rPr>
              <w:rFonts w:ascii="Times New Roman"/>
            </w:rPr>
          </w:pPr>
          <w:r>
            <w:rPr>
              <w:rFonts w:ascii="Times New Roman"/>
            </w:rPr>
            <w:t>Chinese</w:t>
          </w:r>
        </w:p>
        <w:p w:rsidR="00230216" w:rsidRPr="00B03F58" w:rsidRDefault="00230216" w:rsidP="00B03F58">
          <w:pPr>
            <w:spacing w:line="240" w:lineRule="exact"/>
            <w:rPr>
              <w:rFonts w:ascii="Times New Roman"/>
            </w:rPr>
          </w:pPr>
          <w:r>
            <w:rPr>
              <w:rFonts w:ascii="Times New Roman"/>
            </w:rPr>
            <w:t>Original: English</w:t>
          </w:r>
        </w:p>
      </w:tc>
    </w:tr>
  </w:tbl>
  <w:p w:rsidR="00230216" w:rsidRPr="00B03F58" w:rsidRDefault="00230216" w:rsidP="00B03F5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1467*"/>
    <w:docVar w:name="CreationDt" w:val="07/01/2014 14:16:49"/>
    <w:docVar w:name="DocCategory" w:val="Doc"/>
    <w:docVar w:name="DocType" w:val="Final"/>
    <w:docVar w:name="FooterJN" w:val="13-61467 (C)"/>
    <w:docVar w:name="Jobn" w:val="13-61467 (C)"/>
    <w:docVar w:name="jobnDT" w:val="14-61467 (C)   070114"/>
    <w:docVar w:name="jobnDTDT" w:val="14-61467 (C)   070114   070114"/>
    <w:docVar w:name="JobNo" w:val="1361467C"/>
    <w:docVar w:name="OandT" w:val="zxs"/>
    <w:docVar w:name="sss1" w:val="CEDAW/C/57/2"/>
    <w:docVar w:name="sss2" w:val="-"/>
    <w:docVar w:name="Symbol1" w:val="CEDAW/C/57/2"/>
    <w:docVar w:name="Symbol2" w:val="-"/>
  </w:docVars>
  <w:rsids>
    <w:rsidRoot w:val="001F3272"/>
    <w:rsid w:val="0000347C"/>
    <w:rsid w:val="000125BC"/>
    <w:rsid w:val="0001645E"/>
    <w:rsid w:val="00021A2B"/>
    <w:rsid w:val="00024E72"/>
    <w:rsid w:val="00034465"/>
    <w:rsid w:val="00036AA2"/>
    <w:rsid w:val="00036F1B"/>
    <w:rsid w:val="00037444"/>
    <w:rsid w:val="00037B39"/>
    <w:rsid w:val="00044CA4"/>
    <w:rsid w:val="00044EE9"/>
    <w:rsid w:val="00045EFE"/>
    <w:rsid w:val="00050E73"/>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3272"/>
    <w:rsid w:val="001F6F25"/>
    <w:rsid w:val="00203760"/>
    <w:rsid w:val="00207135"/>
    <w:rsid w:val="002145EA"/>
    <w:rsid w:val="00230216"/>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3853"/>
    <w:rsid w:val="00433F27"/>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3337"/>
    <w:rsid w:val="008E7BDF"/>
    <w:rsid w:val="008F2BB5"/>
    <w:rsid w:val="008F425D"/>
    <w:rsid w:val="008F5472"/>
    <w:rsid w:val="008F5478"/>
    <w:rsid w:val="008F5D0F"/>
    <w:rsid w:val="0090613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17C8"/>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03F58"/>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D5787"/>
    <w:rsid w:val="00CE474E"/>
    <w:rsid w:val="00CE64AC"/>
    <w:rsid w:val="00CE7DFC"/>
    <w:rsid w:val="00CF02D3"/>
    <w:rsid w:val="00CF49BA"/>
    <w:rsid w:val="00CF7718"/>
    <w:rsid w:val="00D050AF"/>
    <w:rsid w:val="00D06512"/>
    <w:rsid w:val="00D177F1"/>
    <w:rsid w:val="00D25E6B"/>
    <w:rsid w:val="00D32015"/>
    <w:rsid w:val="00D323B5"/>
    <w:rsid w:val="00D42ACC"/>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0DF5"/>
    <w:rsid w:val="00DD3D6B"/>
    <w:rsid w:val="00DD4467"/>
    <w:rsid w:val="00DD5418"/>
    <w:rsid w:val="00DD61C8"/>
    <w:rsid w:val="00DD772B"/>
    <w:rsid w:val="00DF742A"/>
    <w:rsid w:val="00E041F4"/>
    <w:rsid w:val="00E050BA"/>
    <w:rsid w:val="00E078CF"/>
    <w:rsid w:val="00E10534"/>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1880</Words>
  <Characters>10722</Characters>
  <Application>Microsoft Office Outlook</Application>
  <DocSecurity>4</DocSecurity>
  <Lines>89</Lines>
  <Paragraphs>25</Paragraphs>
  <ScaleCrop>false</ScaleCrop>
  <Company>United Nations</Company>
  <LinksUpToDate>false</LinksUpToDate>
  <CharactersWithSpaces>12577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ZXS</dc:creator>
  <cp:keywords/>
  <dc:description/>
  <cp:lastModifiedBy>ctpu1</cp:lastModifiedBy>
  <cp:revision>6</cp:revision>
  <cp:lastPrinted>2014-01-07T12:22:00Z</cp:lastPrinted>
  <dcterms:created xsi:type="dcterms:W3CDTF">2014-01-07T13:08:00Z</dcterms:created>
  <dcterms:modified xsi:type="dcterms:W3CDTF">2014-01-07T13:08:00Z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CEDAW/C/57/2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zxs</vt:lpwstr>
  </property>
  <property fmtid="{D5CDD505-2E9C-101B-9397-08002B2CF9AE}" pid="8" name="JobNo">
    <vt:lpwstr>1361467C</vt:lpwstr>
  </property>
</Properties>
</file>