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7166EBC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7847798" w14:textId="77777777" w:rsidR="002D5AAC" w:rsidRDefault="002D5AAC" w:rsidP="00B20CB2"/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FECBE8A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8567013" w14:textId="5B779E60" w:rsidR="002D5AAC" w:rsidRDefault="00F7143B" w:rsidP="00F7143B">
            <w:pPr>
              <w:jc w:val="right"/>
            </w:pPr>
            <w:r w:rsidRPr="00F7143B">
              <w:rPr>
                <w:sz w:val="40"/>
              </w:rPr>
              <w:t>CAT</w:t>
            </w:r>
            <w:r>
              <w:t>/C/LIE/CO/5</w:t>
            </w:r>
          </w:p>
        </w:tc>
      </w:tr>
      <w:tr w:rsidR="002D5AAC" w:rsidRPr="001662DD" w14:paraId="169C0FDC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2A2D002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D5C21F2" wp14:editId="028F2AF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B12888F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5CD2BC2" w14:textId="77777777" w:rsidR="002D5AAC" w:rsidRPr="00F7143B" w:rsidRDefault="00F7143B" w:rsidP="00F90E40">
            <w:pPr>
              <w:spacing w:before="240"/>
              <w:rPr>
                <w:lang w:val="en-US"/>
              </w:rPr>
            </w:pPr>
            <w:r w:rsidRPr="00F7143B">
              <w:rPr>
                <w:lang w:val="en-US"/>
              </w:rPr>
              <w:t>Distr.: General</w:t>
            </w:r>
          </w:p>
          <w:p w14:paraId="337B3C8E" w14:textId="77777777" w:rsidR="00F7143B" w:rsidRPr="00F7143B" w:rsidRDefault="00F7143B" w:rsidP="00F7143B">
            <w:pPr>
              <w:spacing w:line="240" w:lineRule="exact"/>
              <w:rPr>
                <w:lang w:val="en-US"/>
              </w:rPr>
            </w:pPr>
            <w:r w:rsidRPr="00F7143B">
              <w:rPr>
                <w:lang w:val="en-US"/>
              </w:rPr>
              <w:t>12 June 2024</w:t>
            </w:r>
          </w:p>
          <w:p w14:paraId="43EC2BDE" w14:textId="77777777" w:rsidR="00F7143B" w:rsidRPr="00F7143B" w:rsidRDefault="00F7143B" w:rsidP="00F7143B">
            <w:pPr>
              <w:spacing w:line="240" w:lineRule="exact"/>
              <w:rPr>
                <w:lang w:val="en-US"/>
              </w:rPr>
            </w:pPr>
            <w:r w:rsidRPr="00F7143B">
              <w:rPr>
                <w:lang w:val="en-US"/>
              </w:rPr>
              <w:t>Russian</w:t>
            </w:r>
          </w:p>
          <w:p w14:paraId="510DB9C1" w14:textId="18E8B16E" w:rsidR="00F7143B" w:rsidRPr="00F7143B" w:rsidRDefault="00F7143B" w:rsidP="00F7143B">
            <w:pPr>
              <w:spacing w:line="240" w:lineRule="exact"/>
              <w:rPr>
                <w:lang w:val="en-US"/>
              </w:rPr>
            </w:pPr>
            <w:r w:rsidRPr="00F7143B">
              <w:rPr>
                <w:lang w:val="en-US"/>
              </w:rPr>
              <w:t>Original: English</w:t>
            </w:r>
          </w:p>
        </w:tc>
      </w:tr>
    </w:tbl>
    <w:p w14:paraId="21570AA4" w14:textId="77777777" w:rsidR="00F7143B" w:rsidRPr="00F7143B" w:rsidRDefault="00F7143B" w:rsidP="00F7143B">
      <w:pPr>
        <w:spacing w:before="120"/>
        <w:rPr>
          <w:b/>
          <w:bCs/>
          <w:sz w:val="24"/>
          <w:szCs w:val="24"/>
        </w:rPr>
      </w:pPr>
      <w:r w:rsidRPr="00F7143B">
        <w:rPr>
          <w:b/>
          <w:bCs/>
          <w:sz w:val="24"/>
          <w:szCs w:val="24"/>
        </w:rPr>
        <w:t>Комитет против пыток</w:t>
      </w:r>
    </w:p>
    <w:p w14:paraId="233FFFC2" w14:textId="77777777" w:rsidR="00F7143B" w:rsidRPr="0014428A" w:rsidRDefault="00F7143B" w:rsidP="00F7143B">
      <w:pPr>
        <w:pStyle w:val="HChG"/>
        <w:rPr>
          <w:b w:val="0"/>
          <w:sz w:val="20"/>
        </w:rPr>
      </w:pPr>
      <w:r>
        <w:tab/>
      </w:r>
      <w:r>
        <w:tab/>
      </w:r>
      <w:r>
        <w:tab/>
      </w:r>
      <w:r>
        <w:rPr>
          <w:bCs/>
        </w:rPr>
        <w:t>Заключительные замечания по пятому периодическому докладу Лихтенштейна</w:t>
      </w:r>
      <w:r w:rsidRPr="00373EBA">
        <w:rPr>
          <w:b w:val="0"/>
          <w:sz w:val="20"/>
        </w:rPr>
        <w:footnoteReference w:customMarkFollows="1" w:id="1"/>
        <w:t>*</w:t>
      </w:r>
    </w:p>
    <w:p w14:paraId="69438892" w14:textId="77777777" w:rsidR="00F7143B" w:rsidRPr="0014428A" w:rsidRDefault="00F7143B" w:rsidP="00F7143B">
      <w:pPr>
        <w:pStyle w:val="SingleTxtG"/>
      </w:pPr>
      <w:r>
        <w:t>1.</w:t>
      </w:r>
      <w:r>
        <w:tab/>
        <w:t>Комитет рассмотрел пятый периодический доклад Лихтенштейна</w:t>
      </w:r>
      <w:r>
        <w:rPr>
          <w:rStyle w:val="aa"/>
        </w:rPr>
        <w:footnoteReference w:id="2"/>
      </w:r>
      <w:r>
        <w:t xml:space="preserve"> на своих 2086-м и 2089-м заседаниях</w:t>
      </w:r>
      <w:r w:rsidRPr="00826F3D">
        <w:rPr>
          <w:rStyle w:val="aa"/>
        </w:rPr>
        <w:footnoteReference w:id="3"/>
      </w:r>
      <w:r>
        <w:t xml:space="preserve">, состоявшихся 24 и 25 апреля 2024 года, и принял настоящие заключительные замечания на своем 2104-м заседании, состоявшемся 7 мая 2024 года. </w:t>
      </w:r>
    </w:p>
    <w:p w14:paraId="5EDB33BC" w14:textId="77777777" w:rsidR="00F7143B" w:rsidRPr="0014428A" w:rsidRDefault="00F7143B" w:rsidP="00F7143B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1A5CA650" w14:textId="77777777" w:rsidR="00F7143B" w:rsidRPr="0014428A" w:rsidRDefault="00F7143B" w:rsidP="00DF5266">
      <w:pPr>
        <w:pStyle w:val="SingleTxtG"/>
      </w:pPr>
      <w:r>
        <w:t>2.</w:t>
      </w:r>
      <w:r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своего периодического доклада в соответствии с ней, поскольку это способствует совершенствованию сотрудничества между государством-участником и Комитетом и задает более четкую направленность рассмотрению доклада и диалогу с делегацией.</w:t>
      </w:r>
    </w:p>
    <w:p w14:paraId="6F651DEE" w14:textId="77777777" w:rsidR="00F7143B" w:rsidRPr="0014428A" w:rsidRDefault="00F7143B" w:rsidP="00F7143B">
      <w:pPr>
        <w:pStyle w:val="SingleTxtG"/>
      </w:pPr>
      <w:r>
        <w:t>3.</w:t>
      </w:r>
      <w:r>
        <w:tab/>
        <w:t>Комитет приветствует диалог, состоявшийся с делегацией государства-участника, и ответы на вопросы, поднятые в ходе рассмотрения доклада, в том числе вызывающие обеспокоенность.</w:t>
      </w:r>
    </w:p>
    <w:p w14:paraId="153A2F9F" w14:textId="77777777" w:rsidR="00F7143B" w:rsidRPr="0014428A" w:rsidRDefault="00F7143B" w:rsidP="00F7143B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7441997C" w14:textId="77777777" w:rsidR="00F7143B" w:rsidRPr="0014428A" w:rsidRDefault="00F7143B" w:rsidP="00F7143B">
      <w:pPr>
        <w:spacing w:after="120"/>
        <w:ind w:left="1134" w:right="1134"/>
        <w:jc w:val="both"/>
      </w:pPr>
      <w:r>
        <w:t>4.</w:t>
      </w:r>
      <w:r>
        <w:tab/>
        <w:t>Комитет приветствует ратификацию государством-участником следующих международных документов или присоединение к ним:</w:t>
      </w:r>
    </w:p>
    <w:p w14:paraId="13AA2921" w14:textId="77777777" w:rsidR="00F7143B" w:rsidRPr="0014428A" w:rsidRDefault="00F7143B" w:rsidP="00AB681C">
      <w:pPr>
        <w:pStyle w:val="SingleTxtG"/>
        <w:ind w:firstLine="567"/>
      </w:pPr>
      <w:r>
        <w:t>a)</w:t>
      </w:r>
      <w:r>
        <w:tab/>
        <w:t>Конвенция Совета Европы о предупреждении терроризма, 22 ноября 2016 года;</w:t>
      </w:r>
    </w:p>
    <w:p w14:paraId="01F88CDE" w14:textId="6AAB0464" w:rsidR="00F7143B" w:rsidRPr="0014428A" w:rsidRDefault="00F7143B" w:rsidP="00AB681C">
      <w:pPr>
        <w:pStyle w:val="SingleTxtG"/>
        <w:ind w:firstLine="567"/>
      </w:pPr>
      <w:r>
        <w:t>b)</w:t>
      </w:r>
      <w:r>
        <w:tab/>
        <w:t>Конвенция Совета Европы о предотвращении и борьбе с насилием в отношении женщин и домашним насилием (Стамбульская конвенция), 17 июня 2021</w:t>
      </w:r>
      <w:r w:rsidR="002503B4">
        <w:rPr>
          <w:lang w:val="en-US"/>
        </w:rPr>
        <w:t> </w:t>
      </w:r>
      <w:r>
        <w:t>года;</w:t>
      </w:r>
    </w:p>
    <w:p w14:paraId="3740C4C4" w14:textId="77777777" w:rsidR="00F7143B" w:rsidRPr="0014428A" w:rsidRDefault="00F7143B" w:rsidP="00AB681C">
      <w:pPr>
        <w:pStyle w:val="SingleTxtG"/>
        <w:ind w:firstLine="567"/>
      </w:pPr>
      <w:r>
        <w:t>c)</w:t>
      </w:r>
      <w:r>
        <w:tab/>
        <w:t>Конвенция о правах инвалидов, 18 декабря 2023 года.</w:t>
      </w:r>
    </w:p>
    <w:p w14:paraId="4AC95BD0" w14:textId="77777777" w:rsidR="00F7143B" w:rsidRPr="0014428A" w:rsidRDefault="00F7143B" w:rsidP="00F7143B">
      <w:pPr>
        <w:spacing w:after="120"/>
        <w:ind w:left="1134" w:right="1134"/>
        <w:jc w:val="both"/>
      </w:pPr>
      <w:r>
        <w:t>5.</w:t>
      </w:r>
      <w:r>
        <w:tab/>
        <w:t>Комитет также приветствует меры, принятые государством-участником для пересмотра своего законодательства с целью выполнения рекомендаций Комитета и более эффективного осуществления Конвенции, в частности:</w:t>
      </w:r>
    </w:p>
    <w:p w14:paraId="29D4056B" w14:textId="7B3F93ED" w:rsidR="00F7143B" w:rsidRPr="0014428A" w:rsidRDefault="00F7143B" w:rsidP="00AB681C">
      <w:pPr>
        <w:pStyle w:val="SingleTxtG"/>
        <w:ind w:firstLine="567"/>
      </w:pPr>
      <w:r>
        <w:t>a)</w:t>
      </w:r>
      <w:r>
        <w:tab/>
      </w:r>
      <w:r w:rsidR="00DF5266">
        <w:t>п</w:t>
      </w:r>
      <w:r>
        <w:t>ринятие Постановления от 28 ноября 2017 года о сотрудничестве с Международным уголовным судом и другими международными трибуналами;</w:t>
      </w:r>
    </w:p>
    <w:p w14:paraId="45E09EF4" w14:textId="10C77A77" w:rsidR="00F7143B" w:rsidRPr="0014428A" w:rsidRDefault="00F7143B" w:rsidP="002503B4">
      <w:pPr>
        <w:pStyle w:val="SingleTxtG"/>
        <w:keepLines/>
        <w:ind w:firstLine="567"/>
      </w:pPr>
      <w:r>
        <w:lastRenderedPageBreak/>
        <w:t>b)</w:t>
      </w:r>
      <w:r>
        <w:tab/>
      </w:r>
      <w:r w:rsidR="00DF5266">
        <w:t>и</w:t>
      </w:r>
      <w:r>
        <w:t>зменения, внесенные в Закон о социальной помощи в 2020 году и вступившие в силу 1 сентября 2021 года, касающиеся недобровольного помещения в специальные учреждения и институционализации, в рамках подготовки к ратификации Конвенции о правах инвалидов;</w:t>
      </w:r>
    </w:p>
    <w:p w14:paraId="553EE29C" w14:textId="4AD7B49F" w:rsidR="00F7143B" w:rsidRPr="0014428A" w:rsidRDefault="00F7143B" w:rsidP="00AB681C">
      <w:pPr>
        <w:pStyle w:val="SingleTxtG"/>
        <w:ind w:firstLine="567"/>
      </w:pPr>
      <w:r>
        <w:t>c)</w:t>
      </w:r>
      <w:r>
        <w:tab/>
      </w:r>
      <w:r w:rsidR="00DF5266">
        <w:t>и</w:t>
      </w:r>
      <w:r>
        <w:t>зменения, внесенные в Закон о назначении судей и Закон о прокуратуре в 2022 году в соответствии с рекомендациями Группы государств Совета Европы против коррупции</w:t>
      </w:r>
      <w:r w:rsidR="00DF5266">
        <w:t>.</w:t>
      </w:r>
    </w:p>
    <w:p w14:paraId="6888710E" w14:textId="77777777" w:rsidR="00F7143B" w:rsidRPr="0014428A" w:rsidRDefault="00F7143B" w:rsidP="00F7143B">
      <w:pPr>
        <w:pStyle w:val="SingleTxtG"/>
      </w:pPr>
      <w:r>
        <w:t>6.</w:t>
      </w:r>
      <w:r>
        <w:tab/>
        <w:t>Комитет также приветствует другие усилия, предпринятые государством-участником для осуществления Конвенции, включая:</w:t>
      </w:r>
    </w:p>
    <w:p w14:paraId="556625FD" w14:textId="49A8D0C6" w:rsidR="00F7143B" w:rsidRPr="0014428A" w:rsidRDefault="00F7143B" w:rsidP="00AB681C">
      <w:pPr>
        <w:pStyle w:val="SingleTxtG"/>
        <w:ind w:firstLine="567"/>
      </w:pPr>
      <w:r>
        <w:t>a)</w:t>
      </w:r>
      <w:r>
        <w:tab/>
        <w:t xml:space="preserve">начало выполнения резолюции 71/248 Генеральной Ассамблеи от </w:t>
      </w:r>
      <w:r w:rsidR="00DF5266">
        <w:br/>
      </w:r>
      <w:r>
        <w:t>21</w:t>
      </w:r>
      <w:r w:rsidR="00DF5266">
        <w:t xml:space="preserve"> </w:t>
      </w:r>
      <w:r>
        <w:t>декабря 2016 года, в которой Ассамблея учредила Международный, беспристрастный и независимый механизм для содействия проведению расследований в отношении лиц, которые несут ответственность за наиболее серьезные преступления по международному праву, совершенные в Сирийской Арабской Республике с марта 2011 года, и их судебному преследованию;</w:t>
      </w:r>
    </w:p>
    <w:p w14:paraId="4ACC3712" w14:textId="463836F1" w:rsidR="00F7143B" w:rsidRPr="0014428A" w:rsidRDefault="00F7143B" w:rsidP="00AB681C">
      <w:pPr>
        <w:pStyle w:val="SingleTxtG"/>
        <w:ind w:firstLine="567"/>
      </w:pPr>
      <w:r>
        <w:t>b)</w:t>
      </w:r>
      <w:r>
        <w:tab/>
        <w:t xml:space="preserve">запуск в 2018 году инициативы по созданию комиссии финансового сектора по борьбе с современным рабством и торговлей людьми и последующая работа в рамках инициативы </w:t>
      </w:r>
      <w:r w:rsidR="002503B4">
        <w:t>«</w:t>
      </w:r>
      <w:r>
        <w:t>Финансы против рабства и торговли людьми</w:t>
      </w:r>
      <w:r w:rsidR="002503B4">
        <w:t>»</w:t>
      </w:r>
      <w:r>
        <w:t>;</w:t>
      </w:r>
    </w:p>
    <w:p w14:paraId="1769976A" w14:textId="77777777" w:rsidR="00F7143B" w:rsidRPr="0014428A" w:rsidRDefault="00F7143B" w:rsidP="00AB681C">
      <w:pPr>
        <w:pStyle w:val="SingleTxtG"/>
        <w:ind w:firstLine="567"/>
      </w:pPr>
      <w:r>
        <w:t>c)</w:t>
      </w:r>
      <w:r>
        <w:tab/>
        <w:t>создание в 2019 году внутренней рабочей группы по правам человека для мониторинга выполнения рекомендаций международных правозащитных механизмов;</w:t>
      </w:r>
    </w:p>
    <w:p w14:paraId="48E28A3C" w14:textId="77777777" w:rsidR="00F7143B" w:rsidRPr="0014428A" w:rsidRDefault="00F7143B" w:rsidP="00AB681C">
      <w:pPr>
        <w:pStyle w:val="SingleTxtG"/>
        <w:ind w:firstLine="567"/>
      </w:pPr>
      <w:r>
        <w:t>d)</w:t>
      </w:r>
      <w:r>
        <w:tab/>
        <w:t>создание в 2019 году в составе Национальной полиции специального подразделения по борьбе с угрозами, которое будет выявлять и пресекать акты насилия при первой же возможности, а также защищать и оказывать поддержку пострадавшим;</w:t>
      </w:r>
    </w:p>
    <w:p w14:paraId="35DDF9A3" w14:textId="77777777" w:rsidR="00F7143B" w:rsidRPr="0014428A" w:rsidRDefault="00F7143B" w:rsidP="00AB681C">
      <w:pPr>
        <w:pStyle w:val="SingleTxtG"/>
        <w:ind w:firstLine="567"/>
      </w:pPr>
      <w:r>
        <w:t>e)</w:t>
      </w:r>
      <w:r>
        <w:tab/>
        <w:t>оказание поддержки специализированной работе гражданского общества в области предупреждения пыток и содействия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наказания;</w:t>
      </w:r>
    </w:p>
    <w:p w14:paraId="1FBEB3E4" w14:textId="77777777" w:rsidR="00F7143B" w:rsidRPr="0014428A" w:rsidRDefault="00F7143B" w:rsidP="00AB681C">
      <w:pPr>
        <w:pStyle w:val="SingleTxtG"/>
        <w:ind w:firstLine="567"/>
      </w:pPr>
      <w:r>
        <w:t>f)</w:t>
      </w:r>
      <w:r>
        <w:tab/>
        <w:t>сохранение постоянного приглашения всех мандатариев специальных процедур Совета по правам человека посетить страну.</w:t>
      </w:r>
    </w:p>
    <w:p w14:paraId="7207E4DA" w14:textId="77777777" w:rsidR="00F7143B" w:rsidRPr="0014428A" w:rsidRDefault="00F7143B" w:rsidP="00F7143B">
      <w:pPr>
        <w:pStyle w:val="SingleTxtG"/>
      </w:pPr>
      <w:r>
        <w:t>7.</w:t>
      </w:r>
      <w:r>
        <w:tab/>
        <w:t>Комитет также приветствует приверженность государства-участника поддержке Фонда добровольных взносов Организации Объединенных Наций для жертв пыток и призывает его продолжать вносить взносы в Фонд и рассмотреть возможность их увеличения.</w:t>
      </w:r>
    </w:p>
    <w:p w14:paraId="33E373C9" w14:textId="351467AF" w:rsidR="00F7143B" w:rsidRPr="004469B1" w:rsidRDefault="00F7143B" w:rsidP="004469B1">
      <w:pPr>
        <w:pStyle w:val="H1G"/>
      </w:pPr>
      <w:r w:rsidRPr="004469B1">
        <w:tab/>
        <w:t>C.</w:t>
      </w:r>
      <w:r w:rsidRPr="004469B1">
        <w:tab/>
        <w:t>Основные вопросы, вызывающие обеспокоенность, и</w:t>
      </w:r>
      <w:r w:rsidR="004469B1">
        <w:t> </w:t>
      </w:r>
      <w:r w:rsidRPr="004469B1">
        <w:t>рекомендации</w:t>
      </w:r>
    </w:p>
    <w:p w14:paraId="37DDB1C6" w14:textId="5C5B6CBA" w:rsidR="00F7143B" w:rsidRPr="0014428A" w:rsidRDefault="00F7143B" w:rsidP="00F7143B">
      <w:pPr>
        <w:pStyle w:val="H23G"/>
      </w:pPr>
      <w:r>
        <w:tab/>
      </w:r>
      <w:r>
        <w:tab/>
      </w:r>
      <w:r>
        <w:rPr>
          <w:bCs/>
        </w:rPr>
        <w:t>Вопросы последующей деятельности, оставшиеся нерассмотренными со</w:t>
      </w:r>
      <w:r w:rsidR="004469B1">
        <w:rPr>
          <w:bCs/>
        </w:rPr>
        <w:t> </w:t>
      </w:r>
      <w:r>
        <w:rPr>
          <w:bCs/>
        </w:rPr>
        <w:t>времени предыдущего цикла представления докладов</w:t>
      </w:r>
    </w:p>
    <w:p w14:paraId="4EF9C4E8" w14:textId="71CEE8B7" w:rsidR="00F7143B" w:rsidRPr="0014428A" w:rsidRDefault="00F7143B" w:rsidP="00F7143B">
      <w:pPr>
        <w:pStyle w:val="SingleTxtG"/>
      </w:pPr>
      <w:r>
        <w:t>8.</w:t>
      </w:r>
      <w:r>
        <w:tab/>
        <w:t>В своих предыдущих заключительных замечаниях Комитет просил государство-участник представить информацию о принятых мерах по осуществлению рекомендаций Комитета, касающихся определения пытки и срока давности; обращение с лицами, лишенными свободы; насилие в отношении женщин; и</w:t>
      </w:r>
      <w:r w:rsidR="00DF5266">
        <w:t> </w:t>
      </w:r>
      <w:r>
        <w:t>обучение</w:t>
      </w:r>
      <w:r w:rsidRPr="009B03CE">
        <w:rPr>
          <w:sz w:val="18"/>
          <w:vertAlign w:val="superscript"/>
        </w:rPr>
        <w:footnoteReference w:id="4"/>
      </w:r>
      <w:r>
        <w:t>. С учетом освещения данных вопросов в докладе о последующей деятельности, представленном государством-участником 21 декабря 2016 года</w:t>
      </w:r>
      <w:r w:rsidRPr="009B03CE">
        <w:rPr>
          <w:sz w:val="18"/>
          <w:vertAlign w:val="superscript"/>
        </w:rPr>
        <w:footnoteReference w:id="5"/>
      </w:r>
      <w:r>
        <w:t>, а</w:t>
      </w:r>
      <w:r w:rsidR="004469B1">
        <w:t> </w:t>
      </w:r>
      <w:r>
        <w:t>также информации, содержащейся в его пятом периодическом докладе, Комитет считает, что эти рекомендации в полном объеме пока еще не выполнены</w:t>
      </w:r>
      <w:r w:rsidRPr="009B03CE">
        <w:rPr>
          <w:sz w:val="18"/>
          <w:vertAlign w:val="superscript"/>
        </w:rPr>
        <w:footnoteReference w:id="6"/>
      </w:r>
      <w:r>
        <w:t>. Эти</w:t>
      </w:r>
      <w:r w:rsidR="00A04909">
        <w:t> </w:t>
      </w:r>
      <w:r>
        <w:t xml:space="preserve">нерешенные вопросы рассматриваются в пунктах 10, 12, 16, 24 и 32 настоящих заключительных замечаний. </w:t>
      </w:r>
    </w:p>
    <w:p w14:paraId="5F03D929" w14:textId="77777777" w:rsidR="00F7143B" w:rsidRPr="0014428A" w:rsidRDefault="00F7143B" w:rsidP="00F7143B">
      <w:pPr>
        <w:pStyle w:val="H23G"/>
      </w:pPr>
      <w:r>
        <w:tab/>
      </w:r>
      <w:r>
        <w:tab/>
      </w:r>
      <w:r>
        <w:rPr>
          <w:bCs/>
        </w:rPr>
        <w:t>Определение пытки и ее квалификация в качестве преступления</w:t>
      </w:r>
      <w:r>
        <w:t xml:space="preserve"> </w:t>
      </w:r>
    </w:p>
    <w:p w14:paraId="31AEF4C7" w14:textId="2BBAEE10" w:rsidR="00F7143B" w:rsidRPr="0014428A" w:rsidRDefault="00F7143B" w:rsidP="00F7143B">
      <w:pPr>
        <w:pStyle w:val="SingleTxtG"/>
      </w:pPr>
      <w:r>
        <w:t>9.</w:t>
      </w:r>
      <w:r>
        <w:tab/>
        <w:t>Отмечая усилия государства-участника по внесению поправок в Уголовный кодекс с целью включения в него уголовного преступления пытки, в значительной степени основанного на определении, содержащемся в статье 1 Конвенции,</w:t>
      </w:r>
      <w:r w:rsidR="00A04909">
        <w:t> —</w:t>
      </w:r>
      <w:r>
        <w:t xml:space="preserve"> соответствующее новое положение вступило в силу 1 октября 2019 года </w:t>
      </w:r>
      <w:r w:rsidR="00A04909">
        <w:t>—</w:t>
      </w:r>
      <w:r>
        <w:t xml:space="preserve"> Комитет с обеспокоенностью отмечает, что лица, виновные в совершении актов пыток, могут быть приговорены к тюремному заключению сроком до одного года. Комитет считает, что эта мера наказания не соответствует тяжести данного преступления (статьи 1 и 4).</w:t>
      </w:r>
    </w:p>
    <w:p w14:paraId="1FF14BF0" w14:textId="2E2FE899" w:rsidR="00F7143B" w:rsidRPr="0014428A" w:rsidRDefault="00F7143B" w:rsidP="00F7143B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В целях исключения любого риск</w:t>
      </w:r>
      <w:r>
        <w:rPr>
          <w:b/>
          <w:bCs/>
          <w:lang w:val="fr-CH"/>
        </w:rPr>
        <w:t>a</w:t>
      </w:r>
      <w:r>
        <w:rPr>
          <w:b/>
          <w:bCs/>
        </w:rPr>
        <w:t xml:space="preserve"> безнаказанности в отношении расследования актов пыток, а также преследования и наказания виновных, государству-участнику следует обеспечить, чтобы за акты пыток выносились соответствующие наказания, соразмерные тяжести этого преступления, в</w:t>
      </w:r>
      <w:r w:rsidR="00DF5266">
        <w:rPr>
          <w:b/>
          <w:bCs/>
        </w:rPr>
        <w:t> </w:t>
      </w:r>
      <w:r>
        <w:rPr>
          <w:b/>
          <w:bCs/>
        </w:rPr>
        <w:t>соответствии с пунктом 2 статьи 4 Конвенции.</w:t>
      </w:r>
      <w:r>
        <w:t xml:space="preserve"> </w:t>
      </w:r>
    </w:p>
    <w:p w14:paraId="06FB0145" w14:textId="77777777" w:rsidR="00F7143B" w:rsidRPr="0014428A" w:rsidRDefault="00F7143B" w:rsidP="00F7143B">
      <w:pPr>
        <w:pStyle w:val="H23G"/>
      </w:pPr>
      <w:r>
        <w:tab/>
      </w:r>
      <w:r>
        <w:tab/>
      </w:r>
      <w:r>
        <w:rPr>
          <w:bCs/>
        </w:rPr>
        <w:t>Срок исковой давности</w:t>
      </w:r>
    </w:p>
    <w:p w14:paraId="666C67B1" w14:textId="57BA39CD" w:rsidR="00F7143B" w:rsidRPr="0014428A" w:rsidRDefault="00F7143B" w:rsidP="00F7143B">
      <w:pPr>
        <w:pStyle w:val="SingleTxtG"/>
      </w:pPr>
      <w:r>
        <w:t>11.</w:t>
      </w:r>
      <w:r>
        <w:tab/>
        <w:t xml:space="preserve">Комитет выражает обеспокоенность в отношении того, что срок </w:t>
      </w:r>
      <w:r w:rsidR="00293635">
        <w:t>давности преступления</w:t>
      </w:r>
      <w:r>
        <w:t xml:space="preserve"> пытки составляет от 3 до 10 лет в зависимости от наличия отягчающих обстоятельств. Единственными обстоятельствами, при которых на акты пыток не распространяется срок давности, являются случаи, когда они приводят к смерти жертвы (Уголовный кодекс, статья 57) или когда преступник причиняет сильную физическую или психическую боль лицу, подлежащему защите, в ходе вооруженного конфликта (Уголовный кодекс, статья 321b (4)).</w:t>
      </w:r>
    </w:p>
    <w:p w14:paraId="67D2D0E8" w14:textId="77777777" w:rsidR="00F7143B" w:rsidRPr="0014428A" w:rsidRDefault="00F7143B" w:rsidP="00F7143B">
      <w:pPr>
        <w:pStyle w:val="SingleTxtG"/>
      </w:pPr>
      <w:r>
        <w:t>12.</w:t>
      </w:r>
      <w:r>
        <w:tab/>
      </w:r>
      <w:r>
        <w:rPr>
          <w:b/>
          <w:bCs/>
        </w:rPr>
        <w:t>Вновь подтверждая свои предыдущие заключительные замечания</w:t>
      </w:r>
      <w:r w:rsidRPr="00BD5040">
        <w:rPr>
          <w:bCs/>
          <w:sz w:val="18"/>
          <w:vertAlign w:val="superscript"/>
        </w:rPr>
        <w:footnoteReference w:id="7"/>
      </w:r>
      <w:r>
        <w:rPr>
          <w:b/>
          <w:bCs/>
        </w:rPr>
        <w:t>, Комитет рекомендует государству-участнику стремиться к принятию законодательных мер, необходимых для обеспечения того, чтобы на преступление пытки не распространялся срок исковой давности, даже в случаях, когда акты пытки не привели к смерти жертвы или были совершены не в ходе вооруженного конфликта.</w:t>
      </w:r>
      <w:r>
        <w:t xml:space="preserve"> </w:t>
      </w:r>
    </w:p>
    <w:p w14:paraId="1DA54BCB" w14:textId="77777777" w:rsidR="00F7143B" w:rsidRPr="0014428A" w:rsidRDefault="00F7143B" w:rsidP="00F7143B">
      <w:pPr>
        <w:pStyle w:val="H23G"/>
      </w:pPr>
      <w:r>
        <w:tab/>
      </w:r>
      <w:r>
        <w:tab/>
      </w:r>
      <w:r>
        <w:rPr>
          <w:bCs/>
        </w:rPr>
        <w:t>Основные правовые гарантии</w:t>
      </w:r>
      <w:r>
        <w:t xml:space="preserve"> </w:t>
      </w:r>
    </w:p>
    <w:p w14:paraId="695979B8" w14:textId="77777777" w:rsidR="00F7143B" w:rsidRPr="0014428A" w:rsidRDefault="00F7143B" w:rsidP="00F7143B">
      <w:pPr>
        <w:pStyle w:val="SingleTxtG"/>
      </w:pPr>
      <w:r>
        <w:t>13.</w:t>
      </w:r>
      <w:r>
        <w:tab/>
        <w:t xml:space="preserve">Комитет выражает обеспокоенность в отношении того, что государство-участник не требует в систематическом порядке аудио- и </w:t>
      </w:r>
      <w:proofErr w:type="spellStart"/>
      <w:r>
        <w:t>видеорегистрации</w:t>
      </w:r>
      <w:proofErr w:type="spellEnd"/>
      <w:r>
        <w:t xml:space="preserve"> допросов в полиции, что несовершеннолетние могут быть допрошены без присутствия доверенного лица или адвоката и что, хотя несовершеннолетние имеют право ходатайствовать о присутствии доверенного лица, бремя подачи такого ходатайства возлагается на несовершеннолетнего (статья 2). </w:t>
      </w:r>
    </w:p>
    <w:p w14:paraId="289F72EB" w14:textId="40544A09" w:rsidR="00F7143B" w:rsidRPr="0014428A" w:rsidRDefault="00F7143B" w:rsidP="00F7143B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 xml:space="preserve">Государству-участнику следует обеспечить предоставление всех основных правовых гарантий против пыток и жестокого обращения были </w:t>
      </w:r>
      <w:r w:rsidR="00293635">
        <w:rPr>
          <w:b/>
          <w:bCs/>
        </w:rPr>
        <w:t>гарантированы</w:t>
      </w:r>
      <w:r>
        <w:rPr>
          <w:b/>
          <w:bCs/>
        </w:rPr>
        <w:t xml:space="preserve"> как на законодательном уровне, так и на практике всем задержанным лицам с самого начала лишения их свободы в соответствии с международными стандартами.</w:t>
      </w:r>
      <w:r>
        <w:t xml:space="preserve"> </w:t>
      </w:r>
      <w:r>
        <w:rPr>
          <w:b/>
          <w:bCs/>
        </w:rPr>
        <w:t>В частности, государству-участнику следует сделать аудио- и видеозапись всех допросов лиц стандартной процедурой, хранить записи в защищенных помещениях и предоставлять их следователям, задержанным и адвокатам.</w:t>
      </w:r>
      <w:r>
        <w:t xml:space="preserve"> </w:t>
      </w:r>
      <w:r>
        <w:rPr>
          <w:b/>
          <w:bCs/>
        </w:rPr>
        <w:t xml:space="preserve">Оно также должно обеспечить, чтобы во время допроса несовершеннолетние имели доступ к доверенному лицу и юридической помощи в обязательном </w:t>
      </w:r>
      <w:proofErr w:type="gramStart"/>
      <w:r>
        <w:rPr>
          <w:b/>
          <w:bCs/>
        </w:rPr>
        <w:t>порядке</w:t>
      </w:r>
      <w:proofErr w:type="gramEnd"/>
      <w:r>
        <w:rPr>
          <w:b/>
          <w:bCs/>
        </w:rPr>
        <w:t xml:space="preserve"> и чтобы бремя ходатайства в этом отношении не лежала на несовершеннолетнем.</w:t>
      </w:r>
      <w:bookmarkStart w:id="0" w:name="_Hlk165386542"/>
      <w:bookmarkEnd w:id="0"/>
    </w:p>
    <w:p w14:paraId="08086A81" w14:textId="77777777" w:rsidR="00F7143B" w:rsidRPr="0014428A" w:rsidRDefault="00F7143B" w:rsidP="00F7143B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  <w:r>
        <w:t xml:space="preserve"> </w:t>
      </w:r>
    </w:p>
    <w:p w14:paraId="45EA9521" w14:textId="7CA90D76" w:rsidR="00F7143B" w:rsidRPr="0014428A" w:rsidRDefault="00F7143B" w:rsidP="00F7143B">
      <w:pPr>
        <w:pStyle w:val="SingleTxtG"/>
      </w:pPr>
      <w:r>
        <w:t>15.</w:t>
      </w:r>
      <w:r>
        <w:tab/>
        <w:t>Отмечая незначительный размер национальной тюрьмы в Вадуце и усилия государства-участника по обновлению ее оборудования, Комитет по-прежнему обеспокоен нехваткой мест для содержания заключенных и сообщениями об ограниченных возможностях трудовой интеграции. Кроме того, Комитет выражает обеспокоенность в отношении того, что из-за малого количества заключенных женщины, содержащиеся в национальной тюрьме в Вадуце, могут оказаться в условиях, сходных с одиночным заключением. Отмечая усилия государства-участника по привлечению ассоциации помощи семьям Лихтенштейна к доставке медикаментов, Комитет выражает обеспокоенность в отношении отсутствия медицинского персонала для работы в тюрьме и сообщениями о недостаточной психологической поддержке заключенных, а также того, что заключенные не проходят медицинского освидетельствования независимым врачом в течение 24 часов после прибытия (статьи</w:t>
      </w:r>
      <w:r w:rsidR="00293635">
        <w:rPr>
          <w:lang w:val="en-US"/>
        </w:rPr>
        <w:t> </w:t>
      </w:r>
      <w:r>
        <w:t>2, 11 и 16).</w:t>
      </w:r>
    </w:p>
    <w:p w14:paraId="5367EAA7" w14:textId="77777777" w:rsidR="00F7143B" w:rsidRPr="0014428A" w:rsidRDefault="00F7143B" w:rsidP="00F7143B">
      <w:pPr>
        <w:pStyle w:val="SingleTxtG"/>
        <w:rPr>
          <w:b/>
        </w:rPr>
      </w:pPr>
      <w:r>
        <w:t>16.</w:t>
      </w:r>
      <w:r>
        <w:tab/>
      </w:r>
      <w:r>
        <w:rPr>
          <w:b/>
          <w:bCs/>
        </w:rPr>
        <w:t>Ссылаясь на рекомендации, изложенные в предыдущих заключительных замечаниях</w:t>
      </w:r>
      <w:r w:rsidRPr="00BD5040">
        <w:rPr>
          <w:bCs/>
          <w:sz w:val="18"/>
          <w:vertAlign w:val="superscript"/>
        </w:rPr>
        <w:footnoteReference w:id="8"/>
      </w:r>
      <w:r>
        <w:rPr>
          <w:b/>
          <w:bCs/>
        </w:rPr>
        <w:t>, государству-участнику следует:</w:t>
      </w:r>
    </w:p>
    <w:p w14:paraId="54A1F670" w14:textId="67019B02" w:rsidR="00F7143B" w:rsidRPr="0014428A" w:rsidRDefault="00F7143B" w:rsidP="00AB681C">
      <w:pPr>
        <w:pStyle w:val="SingleTxtG"/>
        <w:ind w:firstLine="567"/>
        <w:rPr>
          <w:b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расширить доступ к профессиональному обучению и образованию, а</w:t>
      </w:r>
      <w:r w:rsidR="00DF5266">
        <w:rPr>
          <w:b/>
          <w:bCs/>
        </w:rPr>
        <w:t> </w:t>
      </w:r>
      <w:r>
        <w:rPr>
          <w:b/>
          <w:bCs/>
        </w:rPr>
        <w:t>также к досуговым и культурным мероприятиям в местах лишения свободы, особенно для женщин;</w:t>
      </w:r>
    </w:p>
    <w:p w14:paraId="6478047F" w14:textId="77777777" w:rsidR="00F7143B" w:rsidRPr="0014428A" w:rsidRDefault="00F7143B" w:rsidP="00AB681C">
      <w:pPr>
        <w:pStyle w:val="SingleTxtG"/>
        <w:ind w:firstLine="567"/>
        <w:rPr>
          <w:b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продолжать принимать меры по обеспечению полноценных социальных контактов для женщин-заключенных;</w:t>
      </w:r>
    </w:p>
    <w:p w14:paraId="6B5165DC" w14:textId="1B49DECB" w:rsidR="00F7143B" w:rsidRPr="0014428A" w:rsidRDefault="00F7143B" w:rsidP="00AB681C">
      <w:pPr>
        <w:pStyle w:val="SingleTxtG"/>
        <w:ind w:firstLine="567"/>
        <w:rPr>
          <w:b/>
          <w:bCs/>
        </w:rPr>
      </w:pPr>
      <w:r w:rsidRPr="007817B3">
        <w:rPr>
          <w:b/>
          <w:bCs/>
        </w:rPr>
        <w:t>c)</w:t>
      </w:r>
      <w:r w:rsidRPr="007817B3">
        <w:rPr>
          <w:b/>
          <w:bCs/>
        </w:rPr>
        <w:tab/>
        <w:t xml:space="preserve">гарантировать удовлетворение основных потребностей лиц, </w:t>
      </w:r>
      <w:r>
        <w:rPr>
          <w:b/>
          <w:bCs/>
        </w:rPr>
        <w:t>лишенных свободы, в том числе в отношении воды, пищи и санитарии, и</w:t>
      </w:r>
      <w:r w:rsidR="00DF5266">
        <w:rPr>
          <w:b/>
          <w:bCs/>
        </w:rPr>
        <w:t> </w:t>
      </w:r>
      <w:r>
        <w:rPr>
          <w:b/>
          <w:bCs/>
        </w:rPr>
        <w:t>обеспечить надлежащее медицинское обслуживание заключенных в соответствии с правилами 24–35 Минимальных стандартных правил Организации Объединенных Наций в отношении обращения с заключенными (Правила Нельсона Манделы);</w:t>
      </w:r>
    </w:p>
    <w:p w14:paraId="2CBD8E14" w14:textId="77777777" w:rsidR="00F7143B" w:rsidRPr="0014428A" w:rsidRDefault="00F7143B" w:rsidP="00AB681C">
      <w:pPr>
        <w:pStyle w:val="SingleTxtG"/>
        <w:ind w:firstLine="567"/>
        <w:rPr>
          <w:b/>
          <w:bCs/>
        </w:rPr>
      </w:pPr>
      <w:r w:rsidRPr="007817B3">
        <w:rPr>
          <w:b/>
          <w:bCs/>
        </w:rPr>
        <w:t>d)</w:t>
      </w:r>
      <w:r w:rsidRPr="007817B3">
        <w:rPr>
          <w:b/>
          <w:bCs/>
        </w:rPr>
        <w:tab/>
      </w:r>
      <w:r>
        <w:rPr>
          <w:b/>
          <w:bCs/>
        </w:rPr>
        <w:t>обеспечить возможность для заключенных прохождения медицинского освидетельствования при поступлении в тюрьму и в дальнейшем с такой периодичностью, которая необходима, чтобы можно было выявлять потребности в медицинском обслуживании, инфекционные заболевания и возможные случаи жестокого обращения.</w:t>
      </w:r>
    </w:p>
    <w:p w14:paraId="7F005121" w14:textId="77777777" w:rsidR="00F7143B" w:rsidRPr="0014428A" w:rsidRDefault="00F7143B" w:rsidP="00F7143B">
      <w:pPr>
        <w:pStyle w:val="H23G"/>
      </w:pPr>
      <w:r>
        <w:tab/>
      </w:r>
      <w:r>
        <w:tab/>
      </w:r>
      <w:r>
        <w:rPr>
          <w:bCs/>
        </w:rPr>
        <w:t>Одиночное заключение</w:t>
      </w:r>
    </w:p>
    <w:p w14:paraId="4A356436" w14:textId="77777777" w:rsidR="00F7143B" w:rsidRPr="0014428A" w:rsidRDefault="00F7143B" w:rsidP="00F7143B">
      <w:pPr>
        <w:pStyle w:val="SingleTxtG"/>
      </w:pPr>
      <w:r>
        <w:t>17.</w:t>
      </w:r>
      <w:r>
        <w:tab/>
        <w:t>Комитет выражает обеспокоенность в отношении того, что, хотя на практике одиночное заключение не назначается на срок более одной недели, Закон об исполнении наказаний допускает такое заключение на срок до четырех недель для взрослых и до двух недель для несовершеннолетних (статьи 2, 11 и 16).</w:t>
      </w:r>
    </w:p>
    <w:p w14:paraId="7D5243F4" w14:textId="7A10986D" w:rsidR="00F7143B" w:rsidRPr="0014428A" w:rsidRDefault="00F7143B" w:rsidP="00F7143B">
      <w:pPr>
        <w:pStyle w:val="SingleTxtG"/>
        <w:rPr>
          <w:rFonts w:eastAsia="Malgun Gothic"/>
          <w:b/>
        </w:rPr>
      </w:pPr>
      <w:r>
        <w:t>18.</w:t>
      </w:r>
      <w:r>
        <w:tab/>
      </w:r>
      <w:r>
        <w:rPr>
          <w:b/>
          <w:bCs/>
        </w:rPr>
        <w:t>Государству-участнику следует привести свое законодательство в части одиночного заключения в соответствие с международными стандартами, в</w:t>
      </w:r>
      <w:r w:rsidR="00DF5266">
        <w:rPr>
          <w:b/>
          <w:bCs/>
        </w:rPr>
        <w:t> </w:t>
      </w:r>
      <w:r>
        <w:rPr>
          <w:b/>
          <w:bCs/>
        </w:rPr>
        <w:t>частности с правилами 43–46 Правил Нельсона Манделы, и прибегать к одиночному заключению только в исключительных случаях, в качестве крайней меры и на максимально короткий срок, при условии осуществления независимого контроля и только с санкции компетентного должностного лица.</w:t>
      </w:r>
      <w:r>
        <w:t xml:space="preserve"> </w:t>
      </w:r>
      <w:r>
        <w:rPr>
          <w:b/>
          <w:bCs/>
        </w:rPr>
        <w:t>Кроме того, государству-участнику следует соблюдать запрет на применение к несовершеннолетним одиночного заключения и аналогичных мер (см. также правило 67 Правил Организации Объединенных Наций, касающихся защиты несовершеннолетних, лишенных свободы).</w:t>
      </w:r>
    </w:p>
    <w:p w14:paraId="5805EDC3" w14:textId="77777777" w:rsidR="00F7143B" w:rsidRPr="0014428A" w:rsidRDefault="00F7143B" w:rsidP="00F7143B">
      <w:pPr>
        <w:pStyle w:val="H23G"/>
      </w:pPr>
      <w:r>
        <w:tab/>
      </w:r>
      <w:r>
        <w:tab/>
      </w:r>
      <w:r>
        <w:rPr>
          <w:bCs/>
        </w:rPr>
        <w:t>Экстерриториальное тюремное заключение</w:t>
      </w:r>
      <w:bookmarkStart w:id="1" w:name="_Hlk165398056"/>
    </w:p>
    <w:p w14:paraId="767F3112" w14:textId="5C3083D5" w:rsidR="00F7143B" w:rsidRPr="0014428A" w:rsidRDefault="00F7143B" w:rsidP="00F7143B">
      <w:pPr>
        <w:pStyle w:val="SingleTxtG"/>
      </w:pPr>
      <w:r>
        <w:t>19.</w:t>
      </w:r>
      <w:r>
        <w:tab/>
        <w:t xml:space="preserve">Комитет с обеспокоенностью отмечает расширение практики государства-участника по переводу заключенных в Австрию и Швейцарию, ранее для отбывания наказания сроком более двух лет, а с 2018 года </w:t>
      </w:r>
      <w:r w:rsidR="00612E82">
        <w:t>—</w:t>
      </w:r>
      <w:r>
        <w:t xml:space="preserve"> для отбывания всех наказаний независимо от срока, а также его планы по заключению соглашения со Швейцарией о недобровольном помещении пациентов в психиатрические учреждения или учреждения социального обеспечения. Ссылаясь на озабоченность, выраженную Комитетом по правам человека</w:t>
      </w:r>
      <w:r w:rsidRPr="009B03CE">
        <w:rPr>
          <w:sz w:val="18"/>
          <w:vertAlign w:val="superscript"/>
        </w:rPr>
        <w:footnoteReference w:id="9"/>
      </w:r>
      <w:r>
        <w:t xml:space="preserve">, Комитет обеспокоен тем, что государство-участник не осуществляет надзор за условиями содержания в местах лишения свободы в Австрии и Швейцарии. Кроме того, Комитет выражает </w:t>
      </w:r>
      <w:r w:rsidR="00293635">
        <w:t>обеспокоенность</w:t>
      </w:r>
      <w:r>
        <w:t xml:space="preserve"> последствиями такой практики для беспрепятственного доступа задержанных к адвокатам, а также осуществлением права на свидания и возможностью задержанных поддерживать социальные связи в Лихтенштейне, особенно со своими детьми и родителями. В дополнение к этому он обеспокоен тем, что такая практика может привести к правовой неопределенности в отношении обязанностей государства-участника по Конвенции (статьи 2, </w:t>
      </w:r>
      <w:r w:rsidR="00293635">
        <w:t>11–14</w:t>
      </w:r>
      <w:r>
        <w:t>, 16 и 22).</w:t>
      </w:r>
    </w:p>
    <w:p w14:paraId="088A7A93" w14:textId="77777777" w:rsidR="00F7143B" w:rsidRPr="0014428A" w:rsidRDefault="00F7143B" w:rsidP="00F7143B">
      <w:pPr>
        <w:pStyle w:val="SingleTxtG"/>
        <w:rPr>
          <w:b/>
        </w:rPr>
      </w:pPr>
      <w:r>
        <w:t>20.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438D16C5" w14:textId="109B140D" w:rsidR="00F7143B" w:rsidRPr="0014428A" w:rsidRDefault="00F7143B" w:rsidP="00AB681C">
      <w:pPr>
        <w:pStyle w:val="SingleTxtG"/>
        <w:ind w:firstLine="567"/>
        <w:rPr>
          <w:b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пересмотреть договоренности в рамках двустороннего договора между Лихтенштейном и Австрией от 1982 года о размещении заключенных и обеспечить, чтобы задержанным из Лихтенштейна, содержащимся за рубежом, были гарантированы основные правовые гарантии против пыток и жестокого обращения, в том числе путем принятия мер, позволяющих властям государства-участника и национальному превентивному механизму в рамках Факультативного протокола к Конвенции посещать заключенных за рубежом, и</w:t>
      </w:r>
      <w:r w:rsidR="00612E82">
        <w:rPr>
          <w:b/>
          <w:bCs/>
        </w:rPr>
        <w:t> </w:t>
      </w:r>
      <w:r>
        <w:rPr>
          <w:b/>
          <w:bCs/>
        </w:rPr>
        <w:t xml:space="preserve">обеспечить, чтобы заключенные, содержащиеся в </w:t>
      </w:r>
      <w:r w:rsidR="00293635">
        <w:rPr>
          <w:b/>
          <w:bCs/>
        </w:rPr>
        <w:t>пенитенциарных</w:t>
      </w:r>
      <w:r>
        <w:rPr>
          <w:b/>
          <w:bCs/>
        </w:rPr>
        <w:t xml:space="preserve"> учреждениях за рубежом, имели беспрепятственный доступ к независимым адвокатам по своему выбору и возможность поддерживать социальные связи в Лихтенштейне, особенно с детьми, родителями, другими близкими родственниками и партнерами;</w:t>
      </w:r>
    </w:p>
    <w:p w14:paraId="16AF5458" w14:textId="77777777" w:rsidR="00F7143B" w:rsidRPr="0014428A" w:rsidRDefault="00F7143B" w:rsidP="00AB681C">
      <w:pPr>
        <w:pStyle w:val="SingleTxtG"/>
        <w:ind w:firstLine="567"/>
        <w:rPr>
          <w:b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принять меры для разъяснения правовой неопределенности, касающейся обязанностей государства-участника по Конвенции в отношении задержанных, содержащихся за рубежом, в связи с расследованием утверждений о пытках по статье 12, получением жалоб по статье 13, обеспечением возмещения по статье 14 и ответами на индивидуальные сообщения по статье 22;</w:t>
      </w:r>
      <w:r>
        <w:t xml:space="preserve"> </w:t>
      </w:r>
    </w:p>
    <w:p w14:paraId="5F43601A" w14:textId="77777777" w:rsidR="00F7143B" w:rsidRPr="0014428A" w:rsidRDefault="00F7143B" w:rsidP="00AB681C">
      <w:pPr>
        <w:pStyle w:val="SingleTxtG"/>
        <w:ind w:firstLine="567"/>
        <w:rPr>
          <w:b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рассмотреть вопрос о расширении возможностей государственной пенитенциарной системы Лихтенштейна, чтобы осужденные заключенные могли оставаться в Лихтенштейне в течение всего срока отбывания наказания.</w:t>
      </w:r>
      <w:r>
        <w:t xml:space="preserve"> </w:t>
      </w:r>
      <w:bookmarkEnd w:id="1"/>
    </w:p>
    <w:p w14:paraId="36CA9EC3" w14:textId="1F455CF3" w:rsidR="00F7143B" w:rsidRPr="00293635" w:rsidRDefault="00F7143B" w:rsidP="00293635">
      <w:pPr>
        <w:pStyle w:val="H23G"/>
      </w:pPr>
      <w:r w:rsidRPr="00293635">
        <w:tab/>
      </w:r>
      <w:r w:rsidRPr="00293635">
        <w:tab/>
        <w:t>Расследование актов пыток и жестокого обращения и судебное преследование за</w:t>
      </w:r>
      <w:r w:rsidR="00293635">
        <w:rPr>
          <w:lang w:val="en-US"/>
        </w:rPr>
        <w:t> </w:t>
      </w:r>
      <w:r w:rsidRPr="00293635">
        <w:t>них</w:t>
      </w:r>
    </w:p>
    <w:p w14:paraId="16396619" w14:textId="77777777" w:rsidR="00F7143B" w:rsidRPr="0014428A" w:rsidRDefault="00F7143B" w:rsidP="00F7143B">
      <w:pPr>
        <w:pStyle w:val="SingleTxtG"/>
      </w:pPr>
      <w:r>
        <w:t>21.</w:t>
      </w:r>
      <w:r>
        <w:tab/>
        <w:t>Отмечая отсутствие утверждений о применении пыток за отчетный период, Комитет выражает обеспокоенность тем, что государство-участник не создало независимый механизм для расследования случаев пыток и жестокого обращения</w:t>
      </w:r>
      <w:r w:rsidRPr="009B03CE">
        <w:rPr>
          <w:sz w:val="18"/>
          <w:vertAlign w:val="superscript"/>
        </w:rPr>
        <w:footnoteReference w:id="10"/>
      </w:r>
      <w:r>
        <w:t xml:space="preserve">. Комитет также обеспокоен тем, что принятое государством-участником в 2017 году распоряжение о создании в рамках Национальной полиции группы по расследованию случаев пыток укрепит институциональные или иерархические отношения, которые могут повлиять на независимость расследования (статьи 12 и 13). </w:t>
      </w:r>
    </w:p>
    <w:p w14:paraId="330E9CF5" w14:textId="77777777" w:rsidR="00F7143B" w:rsidRPr="0014428A" w:rsidRDefault="00F7143B" w:rsidP="00F7143B">
      <w:pPr>
        <w:pStyle w:val="SingleTxtG"/>
        <w:rPr>
          <w:b/>
        </w:rPr>
      </w:pPr>
      <w:r>
        <w:t>22.</w:t>
      </w:r>
      <w:r>
        <w:tab/>
      </w:r>
      <w:r>
        <w:rPr>
          <w:b/>
          <w:bCs/>
        </w:rPr>
        <w:t>Государству-участнику следует:</w:t>
      </w:r>
    </w:p>
    <w:p w14:paraId="52A82E9B" w14:textId="314DEDA2" w:rsidR="00F7143B" w:rsidRPr="0014428A" w:rsidRDefault="00F7143B" w:rsidP="00AB681C">
      <w:pPr>
        <w:pStyle w:val="SingleTxtG"/>
        <w:ind w:firstLine="567"/>
        <w:rPr>
          <w:b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 xml:space="preserve">чтобы по всем предполагаемым фактам </w:t>
      </w:r>
      <w:r w:rsidR="00293635">
        <w:rPr>
          <w:b/>
          <w:bCs/>
        </w:rPr>
        <w:t>совершения</w:t>
      </w:r>
      <w:r>
        <w:rPr>
          <w:b/>
          <w:bCs/>
        </w:rPr>
        <w:t xml:space="preserve"> актов пыток или жестокого обращения проводилось оперативное, эффективное и беспристрастное расследование путем создания независимого органа, в котором отсутствуют институциональные или иерархические отношения между следователями и подозреваемыми в совершении таких актов;</w:t>
      </w:r>
      <w:r>
        <w:t xml:space="preserve"> </w:t>
      </w:r>
    </w:p>
    <w:p w14:paraId="1910D4B7" w14:textId="77777777" w:rsidR="00F7143B" w:rsidRPr="0014428A" w:rsidRDefault="00F7143B" w:rsidP="00AB681C">
      <w:pPr>
        <w:pStyle w:val="SingleTxtG"/>
        <w:ind w:firstLine="567"/>
        <w:rPr>
          <w:b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обеспечить, чтобы власти проводили расследования по своей собственной инициативе при наличии достаточных оснований полагать, что был совершен акт пыток или жестокого обращения;</w:t>
      </w:r>
    </w:p>
    <w:p w14:paraId="35BD333E" w14:textId="77777777" w:rsidR="00F7143B" w:rsidRPr="0014428A" w:rsidRDefault="00F7143B" w:rsidP="00AB681C">
      <w:pPr>
        <w:pStyle w:val="SingleTxtG"/>
        <w:ind w:firstLine="567"/>
        <w:rPr>
          <w:b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обеспечить, чтобы в случаях пыток и/или жестокого обращения подозреваемые в их совершении немедленно отстранялись от работы на время расследования, в особенности если существует риск того, что в противном случае они могут повторно совершить предполагаемое преступление, принять в отношении предполагаемой жертвы меры возмездия или воспрепятствовать расследованию;</w:t>
      </w:r>
      <w:r>
        <w:t xml:space="preserve"> </w:t>
      </w:r>
    </w:p>
    <w:p w14:paraId="3663A54B" w14:textId="11CA9E99" w:rsidR="00F7143B" w:rsidRPr="0014428A" w:rsidRDefault="00F7143B" w:rsidP="00AB681C">
      <w:pPr>
        <w:pStyle w:val="SingleTxtG"/>
        <w:ind w:firstLine="567"/>
        <w:rPr>
          <w:b/>
        </w:rPr>
      </w:pP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обеспечить, чтобы подозреваемые в совершении актов пыток и жестокого обращения, а также вышестоящие должностные лица, ответственные за отдачу приказов или терпимое отношение к подобным актам, были должным образом преданы суду и, в случае признания их вины, понесли наказание, соразмерное тяжести совершенных ими деяний</w:t>
      </w:r>
      <w:r w:rsidR="00612E82">
        <w:rPr>
          <w:b/>
          <w:bCs/>
        </w:rPr>
        <w:t>.</w:t>
      </w:r>
    </w:p>
    <w:p w14:paraId="27C90AEF" w14:textId="77777777" w:rsidR="00F7143B" w:rsidRPr="0014428A" w:rsidRDefault="00F7143B" w:rsidP="00F7143B">
      <w:pPr>
        <w:pStyle w:val="H23G"/>
      </w:pPr>
      <w:r>
        <w:tab/>
      </w:r>
      <w:r>
        <w:tab/>
      </w:r>
      <w:r>
        <w:rPr>
          <w:bCs/>
        </w:rPr>
        <w:t>Гендерное насилие</w:t>
      </w:r>
    </w:p>
    <w:p w14:paraId="66B540BF" w14:textId="3004AEBF" w:rsidR="00F7143B" w:rsidRPr="0014428A" w:rsidRDefault="00F7143B" w:rsidP="00F7143B">
      <w:pPr>
        <w:pStyle w:val="SingleTxtG"/>
        <w:rPr>
          <w:b/>
        </w:rPr>
      </w:pPr>
      <w:r>
        <w:t>23.</w:t>
      </w:r>
      <w:r>
        <w:tab/>
        <w:t>Хотя Комитет отмечает шаги, предпринятые государством-участником с целью борьбы с гендерным неравенством и насилием в отношении женщин с целью обеспечения осуществления Стамбульской конвенции, а также представленную делегацией информацию, согласно которой государство-участник в настоящее время разрабатывает национальную стратегию обеспечения равенства, Комитет по</w:t>
      </w:r>
      <w:r w:rsidR="00612E82">
        <w:noBreakHyphen/>
      </w:r>
      <w:r>
        <w:t>прежнему обеспокоен тем, что государство-участник еще не приняло всеобъемлющий национальный план действий по борьбе со всеми формами насилия в отношении женщин (статьи 2 и 16).</w:t>
      </w:r>
    </w:p>
    <w:p w14:paraId="5281DBFE" w14:textId="350FA8A2" w:rsidR="00F7143B" w:rsidRPr="0014428A" w:rsidRDefault="00F7143B" w:rsidP="00F7143B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Государству-участнику следует обеспечить проведение надл</w:t>
      </w:r>
      <w:r w:rsidR="00293635">
        <w:rPr>
          <w:b/>
          <w:bCs/>
        </w:rPr>
        <w:t>е</w:t>
      </w:r>
      <w:r>
        <w:rPr>
          <w:b/>
          <w:bCs/>
        </w:rPr>
        <w:t>ж</w:t>
      </w:r>
      <w:r w:rsidR="00293635">
        <w:rPr>
          <w:b/>
          <w:bCs/>
        </w:rPr>
        <w:t>а</w:t>
      </w:r>
      <w:r>
        <w:rPr>
          <w:b/>
          <w:bCs/>
        </w:rPr>
        <w:t>щ</w:t>
      </w:r>
      <w:r w:rsidR="00293635">
        <w:rPr>
          <w:b/>
          <w:bCs/>
        </w:rPr>
        <w:t>е</w:t>
      </w:r>
      <w:r>
        <w:rPr>
          <w:b/>
          <w:bCs/>
        </w:rPr>
        <w:t>го расследования по всем фактам гендерного насилия, особенно связанным с действиями или бездействием государственных властей или других учреждений, которые влекут за собой международную ответственность государства-участника в соответствии с Конвенцией, а также обеспечить судебное преследование подозреваемых, назначение в случае установления вины надлежащих наказаний.</w:t>
      </w:r>
      <w:r>
        <w:t xml:space="preserve"> </w:t>
      </w:r>
      <w:r>
        <w:rPr>
          <w:b/>
          <w:bCs/>
        </w:rPr>
        <w:t>Государству-участнику следует также обеспечить, чтобы жертвы или их семьи получали возмещение, включая соответствующую компенсацию и реабилитацию, и имели доступ к правовой помощи, безопасному убежищу, необходимой медицинской помощи и психосоциальной поддержке.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 разработать новый национальный план действий, направленный на искоренение насилия в отношении женщин, и обеспечить его достаточное финансирование.</w:t>
      </w:r>
    </w:p>
    <w:p w14:paraId="5AE17BBC" w14:textId="77777777" w:rsidR="00F7143B" w:rsidRPr="0014428A" w:rsidRDefault="00F7143B" w:rsidP="00F7143B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</w:rPr>
      </w:pPr>
      <w:r>
        <w:tab/>
      </w:r>
      <w:r>
        <w:tab/>
      </w:r>
      <w:r>
        <w:rPr>
          <w:b/>
          <w:bCs/>
        </w:rPr>
        <w:t>Торговля людьми</w:t>
      </w:r>
      <w:r>
        <w:t xml:space="preserve"> </w:t>
      </w:r>
    </w:p>
    <w:p w14:paraId="1754BAAF" w14:textId="77777777" w:rsidR="00F7143B" w:rsidRPr="0014428A" w:rsidRDefault="00F7143B" w:rsidP="00F7143B">
      <w:pPr>
        <w:pStyle w:val="SingleTxtG"/>
      </w:pPr>
      <w:r>
        <w:t>25.</w:t>
      </w:r>
      <w:r>
        <w:tab/>
        <w:t>Комитет высоко оценивает усилия государства-участника по борьбе с торговлей людьми, в том числе введение Национальной полицией в 2023 году платформы для информирования о случаях торговли людьми. Комитет выражает обеспокоенность в отношении отсутствия национального плана по борьбе с торговлей людьми и отмечает, что небольшое число преступлений, связанных с торговлей людьми, расследованных государством-участником за отчетный период, может свидетельствовать о проблемах с выявлением жертв (статьи 2, 12, 13 и 16).</w:t>
      </w:r>
    </w:p>
    <w:p w14:paraId="288A87D1" w14:textId="181FF9B3" w:rsidR="00F7143B" w:rsidRPr="0014428A" w:rsidRDefault="00F7143B" w:rsidP="00F7143B">
      <w:pPr>
        <w:pStyle w:val="SingleTxtG"/>
        <w:rPr>
          <w:b/>
        </w:rPr>
      </w:pPr>
      <w:r>
        <w:t>26.</w:t>
      </w:r>
      <w:r>
        <w:tab/>
      </w:r>
      <w:r>
        <w:rPr>
          <w:b/>
          <w:bCs/>
        </w:rPr>
        <w:t>Государству-участнику следует продолжать наращивать усилия по борьбе с торговлей людьми, обеспечивая тщательное расследование таких случаев, в</w:t>
      </w:r>
      <w:r w:rsidR="00612E82">
        <w:rPr>
          <w:b/>
          <w:bCs/>
        </w:rPr>
        <w:t> </w:t>
      </w:r>
      <w:r>
        <w:rPr>
          <w:b/>
          <w:bCs/>
        </w:rPr>
        <w:t>том числе при отсутствии жалобы, а также привлечение подозреваемых к ответственности и, в случае осуждения, надлежащее наказание, а также получение жертвами возмещения ущерба.</w:t>
      </w:r>
      <w:r>
        <w:t xml:space="preserve"> </w:t>
      </w:r>
      <w:r>
        <w:rPr>
          <w:b/>
          <w:bCs/>
        </w:rPr>
        <w:t>Государству-участнику следует обеспечить доступ к адекватной защите и поддержке, включая временный вид на жительство достаточной продолжительности, для всех жертв торговли людьми, независимо от их готовности сотрудничать с властями, в том числе в контексте судебного разбирательства в отношении преступников.</w:t>
      </w:r>
      <w:r>
        <w:t xml:space="preserve"> </w:t>
      </w:r>
      <w:r>
        <w:rPr>
          <w:b/>
          <w:bCs/>
        </w:rPr>
        <w:t>Государству-участнику следует предпринять шаги по принятию национального плана, направленного на борьбу с торговлей людьми.</w:t>
      </w:r>
      <w:r>
        <w:t xml:space="preserve"> </w:t>
      </w:r>
      <w:r>
        <w:rPr>
          <w:b/>
          <w:bCs/>
        </w:rPr>
        <w:t xml:space="preserve">Государству-участнику следует также поощрять подачу заявлений о фактах </w:t>
      </w:r>
      <w:r w:rsidR="002818AD">
        <w:rPr>
          <w:b/>
          <w:bCs/>
        </w:rPr>
        <w:t>противоправных</w:t>
      </w:r>
      <w:r>
        <w:rPr>
          <w:b/>
          <w:bCs/>
        </w:rPr>
        <w:t xml:space="preserve"> актов путем повышения осведомленности среди представителей уязвимых сообществ о рисках торговли людьми, а также проводить обучение судей, сотрудников правоохранительных органов, иммиграционных и пограничных служб методам раннего выявления жертв торговли людьми и направления их в соответствующие социальные и юридические службы</w:t>
      </w:r>
      <w:r w:rsidR="00877493">
        <w:rPr>
          <w:b/>
          <w:bCs/>
        </w:rPr>
        <w:t>.</w:t>
      </w:r>
    </w:p>
    <w:p w14:paraId="65893843" w14:textId="77777777" w:rsidR="00F7143B" w:rsidRPr="0014428A" w:rsidRDefault="00F7143B" w:rsidP="00F7143B">
      <w:pPr>
        <w:pStyle w:val="H23G"/>
      </w:pPr>
      <w:r>
        <w:tab/>
      </w:r>
      <w:r>
        <w:tab/>
      </w:r>
      <w:r>
        <w:rPr>
          <w:bCs/>
        </w:rPr>
        <w:t>Просители убежища</w:t>
      </w:r>
      <w:r>
        <w:t xml:space="preserve"> </w:t>
      </w:r>
    </w:p>
    <w:p w14:paraId="5C404C49" w14:textId="77777777" w:rsidR="00F7143B" w:rsidRPr="0014428A" w:rsidRDefault="00F7143B" w:rsidP="00F7143B">
      <w:pPr>
        <w:pStyle w:val="SingleTxtG"/>
      </w:pPr>
      <w:r>
        <w:t>27.</w:t>
      </w:r>
      <w:r>
        <w:tab/>
        <w:t>Отмечая поддержку, оказываемую государством-участником несопровождаемым несовершеннолетним лицам, и тот факт, что государство-участник на практике не содержит под стражей несовершеннолетних, Комитет обеспокоен тем, что статья 60 (2) Закона об иностранцах не запрещает содержание под стражей несовершеннолетних лиц старше 15 лет и что задержанные иммигранты не отделены от других задержанных, содержащихся под стражей в национальной тюрьме в Вадуце (статьи 2, 3 и 16).</w:t>
      </w:r>
    </w:p>
    <w:p w14:paraId="29BB8694" w14:textId="77777777" w:rsidR="00F7143B" w:rsidRPr="0014428A" w:rsidRDefault="00F7143B" w:rsidP="00F7143B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 пересмотреть свое национальное законодательство с целью дальнейшего обеспечения защиты детей в ситуациях миграции, обеспечить, чтобы дети и семьи с детьми не задерживались исключительно по причине их иммиграционного статуса, а также принять меры по поиску альтернативного жилья для таких лиц.</w:t>
      </w:r>
      <w:r>
        <w:t xml:space="preserve"> </w:t>
      </w:r>
      <w:r>
        <w:rPr>
          <w:b/>
          <w:bCs/>
        </w:rPr>
        <w:t>Государству-участнику также следует продолжить усилия по обеспечению надлежащего размещения несопровождаемых и разлученных детей в ситуациях миграции, разработать многодисциплинарную систему ухода, основанную на наилучших интересах таких детей и индивидуальной оценке потребностей, а также обеспечить достаточные гарантии защиты.</w:t>
      </w:r>
      <w:r>
        <w:t xml:space="preserve"> </w:t>
      </w:r>
      <w:r>
        <w:rPr>
          <w:b/>
          <w:bCs/>
        </w:rPr>
        <w:t>Кроме того, государству-участнику следует активизировать свои усилия по обеспечению раздельного содержания заключенных в национальной тюрьме в Вадуце.</w:t>
      </w:r>
      <w:r>
        <w:t xml:space="preserve"> </w:t>
      </w:r>
    </w:p>
    <w:p w14:paraId="1A26B17C" w14:textId="77777777" w:rsidR="00F7143B" w:rsidRPr="0014428A" w:rsidRDefault="00F7143B" w:rsidP="00F7143B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5973B418" w14:textId="5BFC1DB5" w:rsidR="00F7143B" w:rsidRPr="0014428A" w:rsidRDefault="00F7143B" w:rsidP="00F7143B">
      <w:pPr>
        <w:pStyle w:val="SingleTxtG"/>
      </w:pPr>
      <w:r>
        <w:t>29.</w:t>
      </w:r>
      <w:r>
        <w:tab/>
        <w:t xml:space="preserve">Комитет приветствует создание в 2017 году Лихтенштейнской ассоциации по правам человека в качестве национального правозащитного учреждения государства-участника, а также представленную делегацией информацию о том, что финансирование Ассоциации включено в национальный бюджет. </w:t>
      </w:r>
      <w:r w:rsidR="00612E82">
        <w:t>Вместе с тем</w:t>
      </w:r>
      <w:r>
        <w:t xml:space="preserve"> Комитет выражает обеспокоенность тем, что Ассоциация до сих пор не подала заявку на аккредитацию в Глобальном альянсе национальных правозащитных учреждений, а</w:t>
      </w:r>
      <w:r w:rsidR="00612E82">
        <w:t> </w:t>
      </w:r>
      <w:r>
        <w:t>также сообщениями о том, что Ассоциация не получает достаточных ресурсов для выполнения своего мандата в соответствии с принципами, касающимися статуса национальных учреждений, занимающихся поощрением и защитой прав человека (Парижские принципы) (статья 2).</w:t>
      </w:r>
    </w:p>
    <w:p w14:paraId="46D0D296" w14:textId="77777777" w:rsidR="00F7143B" w:rsidRPr="0014428A" w:rsidRDefault="00F7143B" w:rsidP="00F7143B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Государству-участнику следует принять необходимые меры для обеспечения того, чтобы Лихтенштейнская ассоциация по правам человека подала заявку на аккредитацию в Глобальном альянсе национальных правозащитных учреждений, и предоставить Ассоциации людские, технические и финансовые ресурсы, необходимые для эффективного выполнения ее мандата в соответствии с Парижскими принципами.</w:t>
      </w:r>
    </w:p>
    <w:p w14:paraId="542BA479" w14:textId="77777777" w:rsidR="00F7143B" w:rsidRPr="0014428A" w:rsidRDefault="00F7143B" w:rsidP="00F7143B">
      <w:pPr>
        <w:pStyle w:val="H23G"/>
      </w:pPr>
      <w:r>
        <w:tab/>
      </w:r>
      <w:r>
        <w:tab/>
      </w:r>
      <w:r>
        <w:tab/>
      </w:r>
      <w:r>
        <w:rPr>
          <w:bCs/>
        </w:rPr>
        <w:t>Обучение</w:t>
      </w:r>
    </w:p>
    <w:p w14:paraId="2951A9F3" w14:textId="77777777" w:rsidR="00F7143B" w:rsidRPr="0014428A" w:rsidRDefault="00F7143B" w:rsidP="00F7143B">
      <w:pPr>
        <w:pStyle w:val="SingleTxtG"/>
      </w:pPr>
      <w:r>
        <w:t>31.</w:t>
      </w:r>
      <w:r>
        <w:tab/>
        <w:t>Комитет выражает обеспокоенность отсутствием конкретных методик оценки эффективности подготовки, проводимой в Швейцарии сотрудниками национальной полиции и сотрудниками исправительных учреждений национальной тюрьмы. Кроме того, он сожалеет, что не получил информации о том, проводится ли подготовка по Руководству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в новой редакции для всех соответствующих сотрудников, работающих с лицами, лишенными свободы, включая медицинских работников (статья 10).</w:t>
      </w:r>
    </w:p>
    <w:p w14:paraId="3CF189A6" w14:textId="399F08D3" w:rsidR="00F7143B" w:rsidRPr="0014428A" w:rsidRDefault="00F7143B" w:rsidP="00F7143B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Комитет, ссылаясь на свои предыдущие рекомендации</w:t>
      </w:r>
      <w:r w:rsidRPr="00C23B8B">
        <w:rPr>
          <w:rStyle w:val="aa"/>
          <w:bCs/>
        </w:rPr>
        <w:footnoteReference w:id="11"/>
      </w:r>
      <w:r>
        <w:rPr>
          <w:b/>
          <w:bCs/>
        </w:rPr>
        <w:t xml:space="preserve">, просит государство-участник разработать и внедрить конкретные методологии для оценки эффективности и воздействия программ подготовки и обучения, </w:t>
      </w:r>
      <w:r w:rsidR="00BB3A41">
        <w:rPr>
          <w:b/>
          <w:bCs/>
        </w:rPr>
        <w:t>организуемых</w:t>
      </w:r>
      <w:r>
        <w:rPr>
          <w:b/>
          <w:bCs/>
        </w:rPr>
        <w:t xml:space="preserve"> для сотрудников правоохранительных органов и других государственных служащих.</w:t>
      </w:r>
      <w:r>
        <w:t xml:space="preserve"> </w:t>
      </w:r>
      <w:r>
        <w:rPr>
          <w:b/>
          <w:bCs/>
        </w:rPr>
        <w:t>Комитет также просит государство-участник укрепить программы подготовки всех соответствующих сотрудников, включая медиков и психологов, прокуроров и судей, по вопросам выявления, документирования и расследования случаев пыток и жестокого обращения в соответствии с пересмотренным вариантом Стамбульского протокола.</w:t>
      </w:r>
    </w:p>
    <w:p w14:paraId="193A6BE4" w14:textId="77777777" w:rsidR="00F7143B" w:rsidRPr="0014428A" w:rsidRDefault="00F7143B" w:rsidP="00F7143B">
      <w:pPr>
        <w:pStyle w:val="H23G"/>
      </w:pPr>
      <w:r>
        <w:tab/>
      </w:r>
      <w:r>
        <w:tab/>
      </w:r>
      <w:r>
        <w:rPr>
          <w:bCs/>
        </w:rPr>
        <w:t>Процедура последующих действий</w:t>
      </w:r>
    </w:p>
    <w:p w14:paraId="7149C159" w14:textId="77777777" w:rsidR="00F7143B" w:rsidRPr="0014428A" w:rsidRDefault="00F7143B" w:rsidP="00F7143B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просит государство-участник представить к 10 мая 2025 года информацию о последующих мерах по выполнению рекомендаций Комитета, касающихся основных правовых гарантий, условий содержания под стражей и экстерриториального тюремного заключения (см. пункты 14, 16 d) и 20 a)).</w:t>
      </w:r>
      <w:r>
        <w:t xml:space="preserve"> </w:t>
      </w:r>
      <w:r>
        <w:rPr>
          <w:b/>
          <w:bCs/>
        </w:rPr>
        <w:t>В этой связи государству-участнику предлагается сообщить Комитету о своих планах по выполнению в течение предстоящего отчетного периода оставшихся рекомендаций, содержащихся в заключительных замечаниях.</w:t>
      </w:r>
      <w:r>
        <w:t xml:space="preserve"> </w:t>
      </w:r>
    </w:p>
    <w:p w14:paraId="358B6406" w14:textId="77777777" w:rsidR="00F7143B" w:rsidRPr="0014428A" w:rsidRDefault="00F7143B" w:rsidP="00F7143B">
      <w:pPr>
        <w:pStyle w:val="H23G"/>
      </w:pPr>
      <w:r>
        <w:tab/>
      </w:r>
      <w:r>
        <w:tab/>
      </w:r>
      <w:r>
        <w:rPr>
          <w:bCs/>
        </w:rPr>
        <w:t>Прочие вопросы</w:t>
      </w:r>
    </w:p>
    <w:p w14:paraId="3F891B36" w14:textId="77777777" w:rsidR="00F7143B" w:rsidRPr="0014428A" w:rsidRDefault="00F7143B" w:rsidP="00F7143B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 и проинформировать Комитет о своей деятельности по распространению информации.</w:t>
      </w:r>
    </w:p>
    <w:p w14:paraId="09E5C914" w14:textId="77777777" w:rsidR="00F7143B" w:rsidRPr="0014428A" w:rsidRDefault="00F7143B" w:rsidP="00F7143B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Государству-участнику предлагается представить свой следующий, шестой по счету, периодический доклад к 10 мая 2028 года.</w:t>
      </w:r>
      <w:r>
        <w:t xml:space="preserve"> </w:t>
      </w:r>
      <w:r>
        <w:rPr>
          <w:b/>
          <w:bCs/>
        </w:rPr>
        <w:t>С этой целью и с учетом того, что государство-участник согласилось представлять Комитету доклады по упрощенной процедуре, Комитет в надлежащее время препроводит государству-участнику перечень вопросов, предваряющий представление доклада.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составят его шестой периодический доклад в соответствии со статьей 19 Конвенции.</w:t>
      </w:r>
    </w:p>
    <w:p w14:paraId="4F5FAB4D" w14:textId="77777777" w:rsidR="00F7143B" w:rsidRPr="0014428A" w:rsidRDefault="00F7143B" w:rsidP="00F7143B">
      <w:pPr>
        <w:spacing w:before="240"/>
        <w:ind w:left="1134" w:right="1134"/>
        <w:jc w:val="center"/>
        <w:rPr>
          <w:rFonts w:eastAsiaTheme="minorEastAsia"/>
        </w:rPr>
      </w:pPr>
      <w:r w:rsidRPr="0014428A">
        <w:rPr>
          <w:u w:val="single"/>
        </w:rPr>
        <w:tab/>
      </w:r>
      <w:r w:rsidRPr="0014428A">
        <w:rPr>
          <w:u w:val="single"/>
        </w:rPr>
        <w:tab/>
      </w:r>
      <w:r w:rsidRPr="0014428A">
        <w:rPr>
          <w:u w:val="single"/>
        </w:rPr>
        <w:tab/>
      </w:r>
      <w:r w:rsidRPr="0014428A">
        <w:rPr>
          <w:u w:val="single"/>
        </w:rPr>
        <w:tab/>
      </w:r>
    </w:p>
    <w:sectPr w:rsidR="00F7143B" w:rsidRPr="0014428A" w:rsidSect="00F714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5BD59" w14:textId="77777777" w:rsidR="002B3A56" w:rsidRPr="00A312BC" w:rsidRDefault="002B3A56" w:rsidP="00A312BC"/>
  </w:endnote>
  <w:endnote w:type="continuationSeparator" w:id="0">
    <w:p w14:paraId="33E645F5" w14:textId="77777777" w:rsidR="002B3A56" w:rsidRPr="00A312BC" w:rsidRDefault="002B3A5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3139B" w14:textId="77764F9E" w:rsidR="00F7143B" w:rsidRPr="00F7143B" w:rsidRDefault="00F7143B">
    <w:pPr>
      <w:pStyle w:val="a8"/>
    </w:pPr>
    <w:r w:rsidRPr="00F7143B">
      <w:rPr>
        <w:b/>
        <w:sz w:val="18"/>
      </w:rPr>
      <w:fldChar w:fldCharType="begin"/>
    </w:r>
    <w:r w:rsidRPr="00F7143B">
      <w:rPr>
        <w:b/>
        <w:sz w:val="18"/>
      </w:rPr>
      <w:instrText xml:space="preserve"> PAGE  \* MERGEFORMAT </w:instrText>
    </w:r>
    <w:r w:rsidRPr="00F7143B">
      <w:rPr>
        <w:b/>
        <w:sz w:val="18"/>
      </w:rPr>
      <w:fldChar w:fldCharType="separate"/>
    </w:r>
    <w:r w:rsidRPr="00F7143B">
      <w:rPr>
        <w:b/>
        <w:noProof/>
        <w:sz w:val="18"/>
      </w:rPr>
      <w:t>2</w:t>
    </w:r>
    <w:r w:rsidRPr="00F7143B">
      <w:rPr>
        <w:b/>
        <w:sz w:val="18"/>
      </w:rPr>
      <w:fldChar w:fldCharType="end"/>
    </w:r>
    <w:r>
      <w:rPr>
        <w:b/>
        <w:sz w:val="18"/>
      </w:rPr>
      <w:tab/>
    </w:r>
    <w:r>
      <w:t>GE.24-08519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69306" w14:textId="62A7981E" w:rsidR="00F7143B" w:rsidRPr="00F7143B" w:rsidRDefault="00F7143B" w:rsidP="00F7143B">
    <w:pPr>
      <w:pStyle w:val="a8"/>
      <w:tabs>
        <w:tab w:val="clear" w:pos="9639"/>
        <w:tab w:val="right" w:pos="9638"/>
      </w:tabs>
      <w:rPr>
        <w:b/>
        <w:sz w:val="18"/>
      </w:rPr>
    </w:pPr>
    <w:r>
      <w:t>GE.24-08519</w:t>
    </w:r>
    <w:r>
      <w:tab/>
    </w:r>
    <w:r w:rsidRPr="00F7143B">
      <w:rPr>
        <w:b/>
        <w:sz w:val="18"/>
      </w:rPr>
      <w:fldChar w:fldCharType="begin"/>
    </w:r>
    <w:r w:rsidRPr="00F7143B">
      <w:rPr>
        <w:b/>
        <w:sz w:val="18"/>
      </w:rPr>
      <w:instrText xml:space="preserve"> PAGE  \* MERGEFORMAT </w:instrText>
    </w:r>
    <w:r w:rsidRPr="00F7143B">
      <w:rPr>
        <w:b/>
        <w:sz w:val="18"/>
      </w:rPr>
      <w:fldChar w:fldCharType="separate"/>
    </w:r>
    <w:r w:rsidRPr="00F7143B">
      <w:rPr>
        <w:b/>
        <w:noProof/>
        <w:sz w:val="18"/>
      </w:rPr>
      <w:t>3</w:t>
    </w:r>
    <w:r w:rsidRPr="00F7143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39010" w14:textId="7AB72DB9" w:rsidR="00042B72" w:rsidRPr="00F7143B" w:rsidRDefault="00F7143B" w:rsidP="00F7143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B49326A" wp14:editId="65B4FF9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</w:t>
    </w:r>
    <w:proofErr w:type="gramStart"/>
    <w:r>
      <w:t>08519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D897E99" wp14:editId="2E2AE77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200624  250624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F13ED" w14:textId="77777777" w:rsidR="002B3A56" w:rsidRPr="001075E9" w:rsidRDefault="002B3A5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F9CB60F" w14:textId="77777777" w:rsidR="002B3A56" w:rsidRDefault="002B3A5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43B9B2A" w14:textId="77777777" w:rsidR="00F7143B" w:rsidRPr="0014428A" w:rsidRDefault="00F7143B" w:rsidP="00F7143B">
      <w:pPr>
        <w:pStyle w:val="ad"/>
        <w:rPr>
          <w:rFonts w:eastAsiaTheme="minorEastAsia"/>
          <w:color w:val="000000" w:themeColor="text1"/>
          <w:sz w:val="20"/>
        </w:rPr>
      </w:pPr>
      <w:r>
        <w:tab/>
      </w:r>
      <w:r w:rsidRPr="002503B4">
        <w:rPr>
          <w:sz w:val="20"/>
        </w:rPr>
        <w:t>*</w:t>
      </w:r>
      <w:r w:rsidRPr="002503B4">
        <w:rPr>
          <w:sz w:val="20"/>
        </w:rPr>
        <w:tab/>
      </w:r>
      <w:r>
        <w:t>Принято Комитетом на его семьдесят девятой сессии (15 апреля — 10 мая 2024 года).</w:t>
      </w:r>
    </w:p>
  </w:footnote>
  <w:footnote w:id="2">
    <w:p w14:paraId="1DBC6D35" w14:textId="2D1D91BF" w:rsidR="00F7143B" w:rsidRPr="00F7143B" w:rsidRDefault="00F7143B" w:rsidP="00F7143B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14428A">
        <w:rPr>
          <w:lang w:val="en-US"/>
        </w:rPr>
        <w:t xml:space="preserve"> </w:t>
      </w:r>
      <w:r w:rsidRPr="0014428A">
        <w:rPr>
          <w:lang w:val="en-US"/>
        </w:rPr>
        <w:tab/>
      </w:r>
      <w:hyperlink r:id="rId1" w:history="1">
        <w:r w:rsidRPr="00485DCA">
          <w:rPr>
            <w:rStyle w:val="af1"/>
            <w:lang w:val="en-US"/>
          </w:rPr>
          <w:t>CAT/C/LIE/5</w:t>
        </w:r>
      </w:hyperlink>
      <w:r w:rsidRPr="0014428A">
        <w:rPr>
          <w:lang w:val="en-US"/>
        </w:rPr>
        <w:t>.</w:t>
      </w:r>
    </w:p>
  </w:footnote>
  <w:footnote w:id="3">
    <w:p w14:paraId="60B640A6" w14:textId="293706AD" w:rsidR="00F7143B" w:rsidRPr="00F7143B" w:rsidRDefault="00F7143B" w:rsidP="00F7143B">
      <w:pPr>
        <w:pStyle w:val="ad"/>
        <w:rPr>
          <w:lang w:val="en-US"/>
        </w:rPr>
      </w:pPr>
      <w:r w:rsidRPr="0014428A">
        <w:rPr>
          <w:lang w:val="en-US"/>
        </w:rPr>
        <w:tab/>
      </w:r>
      <w:r>
        <w:rPr>
          <w:rStyle w:val="aa"/>
        </w:rPr>
        <w:footnoteRef/>
      </w:r>
      <w:r w:rsidRPr="0014428A">
        <w:rPr>
          <w:lang w:val="en-US"/>
        </w:rPr>
        <w:t xml:space="preserve"> </w:t>
      </w:r>
      <w:r w:rsidRPr="0014428A">
        <w:rPr>
          <w:lang w:val="en-US"/>
        </w:rPr>
        <w:tab/>
      </w:r>
      <w:r>
        <w:t>См</w:t>
      </w:r>
      <w:r w:rsidRPr="0014428A">
        <w:rPr>
          <w:lang w:val="en-US"/>
        </w:rPr>
        <w:t xml:space="preserve">. </w:t>
      </w:r>
      <w:hyperlink r:id="rId2" w:history="1">
        <w:r w:rsidRPr="00485DCA">
          <w:rPr>
            <w:rStyle w:val="af1"/>
            <w:lang w:val="en-US"/>
          </w:rPr>
          <w:t>CAT/C/SR.2086</w:t>
        </w:r>
      </w:hyperlink>
      <w:r w:rsidRPr="0014428A">
        <w:rPr>
          <w:lang w:val="en-US"/>
        </w:rPr>
        <w:t xml:space="preserve"> </w:t>
      </w:r>
      <w:r>
        <w:t>и</w:t>
      </w:r>
      <w:r w:rsidRPr="0014428A">
        <w:rPr>
          <w:lang w:val="en-US"/>
        </w:rPr>
        <w:t xml:space="preserve"> </w:t>
      </w:r>
      <w:hyperlink r:id="rId3" w:history="1">
        <w:r w:rsidRPr="00485DCA">
          <w:rPr>
            <w:rStyle w:val="af1"/>
            <w:lang w:val="en-US"/>
          </w:rPr>
          <w:t>CAT/C/SR.2089</w:t>
        </w:r>
      </w:hyperlink>
      <w:r w:rsidRPr="0014428A">
        <w:rPr>
          <w:lang w:val="en-US"/>
        </w:rPr>
        <w:t>.</w:t>
      </w:r>
    </w:p>
  </w:footnote>
  <w:footnote w:id="4">
    <w:p w14:paraId="4ADB1B90" w14:textId="081708CC" w:rsidR="00F7143B" w:rsidRPr="00F7143B" w:rsidRDefault="00F7143B" w:rsidP="00F7143B">
      <w:pPr>
        <w:pStyle w:val="ad"/>
        <w:rPr>
          <w:lang w:val="en-US"/>
        </w:rPr>
      </w:pPr>
      <w:r w:rsidRPr="0014428A">
        <w:rPr>
          <w:lang w:val="en-US"/>
        </w:rPr>
        <w:tab/>
      </w:r>
      <w:r>
        <w:rPr>
          <w:rStyle w:val="aa"/>
        </w:rPr>
        <w:footnoteRef/>
      </w:r>
      <w:r w:rsidRPr="0014428A">
        <w:rPr>
          <w:lang w:val="en-US"/>
        </w:rPr>
        <w:t xml:space="preserve"> </w:t>
      </w:r>
      <w:r w:rsidRPr="0014428A">
        <w:rPr>
          <w:lang w:val="en-US"/>
        </w:rPr>
        <w:tab/>
      </w:r>
      <w:r w:rsidR="003B0304">
        <w:fldChar w:fldCharType="begin"/>
      </w:r>
      <w:r w:rsidR="003B0304" w:rsidRPr="001662DD">
        <w:rPr>
          <w:lang w:val="en-US"/>
        </w:rPr>
        <w:instrText>HYPERLINK "http://undocs.org/ru/CAT/C/LIE/CO/4"</w:instrText>
      </w:r>
      <w:r w:rsidR="003B0304">
        <w:fldChar w:fldCharType="separate"/>
      </w:r>
      <w:r w:rsidRPr="00485DCA">
        <w:rPr>
          <w:rStyle w:val="af1"/>
          <w:lang w:val="en-US"/>
        </w:rPr>
        <w:t>CAT/C/LIE/CO/4</w:t>
      </w:r>
      <w:r w:rsidR="003B0304">
        <w:rPr>
          <w:rStyle w:val="af1"/>
          <w:lang w:val="en-US"/>
        </w:rPr>
        <w:fldChar w:fldCharType="end"/>
      </w:r>
      <w:r w:rsidRPr="0014428A">
        <w:rPr>
          <w:lang w:val="en-US"/>
        </w:rPr>
        <w:t>.</w:t>
      </w:r>
    </w:p>
  </w:footnote>
  <w:footnote w:id="5">
    <w:p w14:paraId="52BD356F" w14:textId="5811E5E2" w:rsidR="00F7143B" w:rsidRPr="00F7143B" w:rsidRDefault="00F7143B" w:rsidP="00F7143B">
      <w:pPr>
        <w:pStyle w:val="ad"/>
        <w:rPr>
          <w:lang w:val="en-US"/>
        </w:rPr>
      </w:pPr>
      <w:r w:rsidRPr="0014428A">
        <w:rPr>
          <w:lang w:val="en-US"/>
        </w:rPr>
        <w:tab/>
      </w:r>
      <w:r>
        <w:rPr>
          <w:rStyle w:val="aa"/>
        </w:rPr>
        <w:footnoteRef/>
      </w:r>
      <w:r w:rsidRPr="0014428A">
        <w:rPr>
          <w:lang w:val="en-US"/>
        </w:rPr>
        <w:t xml:space="preserve"> </w:t>
      </w:r>
      <w:r w:rsidRPr="0014428A">
        <w:rPr>
          <w:lang w:val="en-US"/>
        </w:rPr>
        <w:tab/>
      </w:r>
      <w:r w:rsidR="003B0304">
        <w:fldChar w:fldCharType="begin"/>
      </w:r>
      <w:r w:rsidR="003B0304" w:rsidRPr="001662DD">
        <w:rPr>
          <w:lang w:val="en-US"/>
        </w:rPr>
        <w:instrText>HYPERLI</w:instrText>
      </w:r>
      <w:r w:rsidR="003B0304" w:rsidRPr="001662DD">
        <w:rPr>
          <w:lang w:val="en-US"/>
        </w:rPr>
        <w:instrText>NK "http://undocs.org/ru/CAT/C/LIE/CO/4/Add.1"</w:instrText>
      </w:r>
      <w:r w:rsidR="003B0304">
        <w:fldChar w:fldCharType="separate"/>
      </w:r>
      <w:r w:rsidRPr="00485DCA">
        <w:rPr>
          <w:rStyle w:val="af1"/>
          <w:lang w:val="en-US"/>
        </w:rPr>
        <w:t>CAT/C/LIE/CO/4/Add.1</w:t>
      </w:r>
      <w:r w:rsidR="003B0304">
        <w:rPr>
          <w:rStyle w:val="af1"/>
          <w:lang w:val="en-US"/>
        </w:rPr>
        <w:fldChar w:fldCharType="end"/>
      </w:r>
      <w:r w:rsidRPr="0014428A">
        <w:rPr>
          <w:lang w:val="en-US"/>
        </w:rPr>
        <w:t xml:space="preserve">. </w:t>
      </w:r>
    </w:p>
  </w:footnote>
  <w:footnote w:id="6">
    <w:p w14:paraId="3FB7C029" w14:textId="13BA9920" w:rsidR="00F7143B" w:rsidRPr="008D309B" w:rsidRDefault="00F7143B" w:rsidP="00F7143B">
      <w:pPr>
        <w:pStyle w:val="ad"/>
        <w:rPr>
          <w:lang w:val="en-US"/>
        </w:rPr>
      </w:pPr>
      <w:r w:rsidRPr="0014428A">
        <w:rPr>
          <w:lang w:val="en-US"/>
        </w:rPr>
        <w:tab/>
      </w:r>
      <w:r>
        <w:rPr>
          <w:rStyle w:val="aa"/>
        </w:rPr>
        <w:footnoteRef/>
      </w:r>
      <w:r>
        <w:t xml:space="preserve"> </w:t>
      </w:r>
      <w:r>
        <w:tab/>
        <w:t xml:space="preserve">См. письмо Докладчика Комитета по последующим мерам в связи с заключительными замечаниями от 10 мая 2018 года, адресованное Постоянному представительству Лихтенштейна при Отделении Организации Объединенных Наций и других международных организациях в Женеве. </w:t>
      </w:r>
      <w:r w:rsidR="00293635">
        <w:rPr>
          <w:lang w:val="en-US"/>
        </w:rPr>
        <w:t>URL</w:t>
      </w:r>
      <w:r w:rsidR="00293635" w:rsidRPr="008D309B">
        <w:rPr>
          <w:lang w:val="en-US"/>
        </w:rPr>
        <w:t xml:space="preserve">: </w:t>
      </w:r>
      <w:r w:rsidR="003B0304">
        <w:fldChar w:fldCharType="begin"/>
      </w:r>
      <w:r w:rsidR="003B0304" w:rsidRPr="001662DD">
        <w:rPr>
          <w:lang w:val="en-US"/>
        </w:rPr>
        <w:instrText>HYPERLINK "https://tbinternet.ohchr.org/_layouts/15/treatybodyexternal/Download.aspx?symbolno=INT%2FCAT%2FFUL%2FLIE%2F31198&amp;Lang=en"</w:instrText>
      </w:r>
      <w:r w:rsidR="003B0304">
        <w:fldChar w:fldCharType="separate"/>
      </w:r>
      <w:r w:rsidR="00293635" w:rsidRPr="008D309B">
        <w:rPr>
          <w:rStyle w:val="af1"/>
          <w:lang w:val="en-US"/>
        </w:rPr>
        <w:t>https://tbinternet.ohchr.org/_layouts/15/treatybodyexternal/Download.aspx?symbolno=INT%2FCAT%2FFUL%2FLIE%2F31198&amp;Lang=en</w:t>
      </w:r>
      <w:r w:rsidR="003B0304">
        <w:rPr>
          <w:rStyle w:val="af1"/>
          <w:lang w:val="en-US"/>
        </w:rPr>
        <w:fldChar w:fldCharType="end"/>
      </w:r>
      <w:r w:rsidRPr="008D309B">
        <w:rPr>
          <w:lang w:val="en-US"/>
        </w:rPr>
        <w:t>.</w:t>
      </w:r>
      <w:r w:rsidR="00293635" w:rsidRPr="008D309B">
        <w:rPr>
          <w:lang w:val="en-US"/>
        </w:rPr>
        <w:t xml:space="preserve"> </w:t>
      </w:r>
    </w:p>
  </w:footnote>
  <w:footnote w:id="7">
    <w:p w14:paraId="0753C0C3" w14:textId="322A8BCB" w:rsidR="00F7143B" w:rsidRPr="001662DD" w:rsidRDefault="00F7143B" w:rsidP="00F7143B">
      <w:pPr>
        <w:pStyle w:val="ad"/>
        <w:rPr>
          <w:lang w:val="en-US"/>
        </w:rPr>
      </w:pPr>
      <w:r w:rsidRPr="008D309B">
        <w:rPr>
          <w:lang w:val="en-US"/>
        </w:rPr>
        <w:tab/>
      </w:r>
      <w:r>
        <w:rPr>
          <w:rStyle w:val="aa"/>
        </w:rPr>
        <w:footnoteRef/>
      </w:r>
      <w:r w:rsidRPr="001662DD">
        <w:rPr>
          <w:lang w:val="en-US"/>
        </w:rPr>
        <w:tab/>
      </w:r>
      <w:hyperlink r:id="rId4" w:history="1">
        <w:r w:rsidRPr="001662DD">
          <w:rPr>
            <w:rStyle w:val="af1"/>
            <w:lang w:val="en-US"/>
          </w:rPr>
          <w:t>CAT/C/LIE/CO/4</w:t>
        </w:r>
      </w:hyperlink>
      <w:r w:rsidRPr="001662DD">
        <w:rPr>
          <w:lang w:val="en-US"/>
        </w:rPr>
        <w:t xml:space="preserve">, </w:t>
      </w:r>
      <w:r>
        <w:t>п</w:t>
      </w:r>
      <w:r w:rsidR="00293635">
        <w:rPr>
          <w:lang w:val="en-US"/>
        </w:rPr>
        <w:t>.</w:t>
      </w:r>
      <w:r w:rsidRPr="001662DD">
        <w:rPr>
          <w:lang w:val="en-US"/>
        </w:rPr>
        <w:t xml:space="preserve"> 11. </w:t>
      </w:r>
    </w:p>
  </w:footnote>
  <w:footnote w:id="8">
    <w:p w14:paraId="3316A07A" w14:textId="77777777" w:rsidR="00F7143B" w:rsidRPr="001662DD" w:rsidRDefault="00F7143B" w:rsidP="00F7143B">
      <w:pPr>
        <w:pStyle w:val="ad"/>
        <w:rPr>
          <w:lang w:val="en-US"/>
        </w:rPr>
      </w:pPr>
      <w:r w:rsidRPr="001662DD">
        <w:rPr>
          <w:lang w:val="en-US"/>
        </w:rPr>
        <w:tab/>
      </w:r>
      <w:r>
        <w:rPr>
          <w:rStyle w:val="aa"/>
        </w:rPr>
        <w:footnoteRef/>
      </w:r>
      <w:r w:rsidRPr="001662DD">
        <w:rPr>
          <w:lang w:val="en-US"/>
        </w:rPr>
        <w:t xml:space="preserve"> </w:t>
      </w:r>
      <w:r w:rsidRPr="001662DD">
        <w:rPr>
          <w:lang w:val="en-US"/>
        </w:rPr>
        <w:tab/>
      </w:r>
      <w:r>
        <w:t>Там</w:t>
      </w:r>
      <w:r w:rsidRPr="001662DD">
        <w:rPr>
          <w:lang w:val="en-US"/>
        </w:rPr>
        <w:t xml:space="preserve"> </w:t>
      </w:r>
      <w:r>
        <w:t>же</w:t>
      </w:r>
      <w:r w:rsidRPr="001662DD">
        <w:rPr>
          <w:lang w:val="en-US"/>
        </w:rPr>
        <w:t xml:space="preserve">, </w:t>
      </w:r>
      <w:r>
        <w:t>п</w:t>
      </w:r>
      <w:r w:rsidRPr="001662DD">
        <w:rPr>
          <w:lang w:val="en-US"/>
        </w:rPr>
        <w:t xml:space="preserve">. 16. </w:t>
      </w:r>
    </w:p>
  </w:footnote>
  <w:footnote w:id="9">
    <w:p w14:paraId="06174589" w14:textId="3B41C7AD" w:rsidR="00F7143B" w:rsidRPr="00F7143B" w:rsidRDefault="00F7143B" w:rsidP="00F7143B">
      <w:pPr>
        <w:pStyle w:val="ad"/>
        <w:rPr>
          <w:lang w:val="en-US"/>
        </w:rPr>
      </w:pPr>
      <w:r w:rsidRPr="001662DD">
        <w:rPr>
          <w:lang w:val="en-US"/>
        </w:rPr>
        <w:tab/>
      </w:r>
      <w:r>
        <w:rPr>
          <w:rStyle w:val="aa"/>
        </w:rPr>
        <w:footnoteRef/>
      </w:r>
      <w:r w:rsidRPr="0014428A">
        <w:rPr>
          <w:lang w:val="en-US"/>
        </w:rPr>
        <w:tab/>
      </w:r>
      <w:hyperlink r:id="rId5" w:history="1">
        <w:r w:rsidR="00B51B68" w:rsidRPr="005E3D8E">
          <w:rPr>
            <w:rStyle w:val="af1"/>
            <w:lang w:val="es-ES"/>
          </w:rPr>
          <w:t>CCPR/C/LIE/CO/2</w:t>
        </w:r>
      </w:hyperlink>
      <w:r w:rsidRPr="0014428A">
        <w:rPr>
          <w:lang w:val="en-US"/>
        </w:rPr>
        <w:t xml:space="preserve">, </w:t>
      </w:r>
      <w:r>
        <w:t>п</w:t>
      </w:r>
      <w:r w:rsidRPr="0014428A">
        <w:rPr>
          <w:lang w:val="en-US"/>
        </w:rPr>
        <w:t xml:space="preserve">. 23. </w:t>
      </w:r>
    </w:p>
  </w:footnote>
  <w:footnote w:id="10">
    <w:p w14:paraId="45D34ABF" w14:textId="1DECCD5D" w:rsidR="00F7143B" w:rsidRPr="0014428A" w:rsidRDefault="00F7143B" w:rsidP="00F7143B">
      <w:pPr>
        <w:pStyle w:val="ad"/>
      </w:pPr>
      <w:r w:rsidRPr="0014428A">
        <w:rPr>
          <w:lang w:val="en-US"/>
        </w:rPr>
        <w:tab/>
      </w:r>
      <w:r>
        <w:rPr>
          <w:rStyle w:val="aa"/>
        </w:rPr>
        <w:footnoteRef/>
      </w:r>
      <w:r>
        <w:tab/>
        <w:t xml:space="preserve">Там же, п. 30 c), и </w:t>
      </w:r>
      <w:hyperlink r:id="rId6" w:history="1">
        <w:r w:rsidRPr="00485DCA">
          <w:rPr>
            <w:rStyle w:val="af1"/>
          </w:rPr>
          <w:t>CCPR/C/LIE/CO/2/Add.1</w:t>
        </w:r>
      </w:hyperlink>
      <w:r>
        <w:t>, п. 8.</w:t>
      </w:r>
    </w:p>
  </w:footnote>
  <w:footnote w:id="11">
    <w:p w14:paraId="55E76125" w14:textId="558458BA" w:rsidR="00F7143B" w:rsidRDefault="00F7143B" w:rsidP="00F7143B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7" w:history="1">
        <w:r w:rsidRPr="00485DCA">
          <w:rPr>
            <w:rStyle w:val="af1"/>
          </w:rPr>
          <w:t>CAT/C/LIE/CO/4</w:t>
        </w:r>
      </w:hyperlink>
      <w:r>
        <w:t xml:space="preserve">, п. 27.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04F3" w14:textId="1D0551AB" w:rsidR="00F7143B" w:rsidRPr="00F7143B" w:rsidRDefault="003B030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F7143B">
      <w:t>CAT/C/LIE/CO/5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E53B5" w14:textId="5CF288DC" w:rsidR="00F7143B" w:rsidRPr="00F7143B" w:rsidRDefault="003B0304" w:rsidP="00F7143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F7143B">
      <w:t>CAT/C/LIE/CO/5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6F8C" w14:textId="77777777" w:rsidR="00F7143B" w:rsidRDefault="00F7143B" w:rsidP="00F7143B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A56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E2C37"/>
    <w:rsid w:val="000F09DF"/>
    <w:rsid w:val="000F61B2"/>
    <w:rsid w:val="001075E9"/>
    <w:rsid w:val="001662DD"/>
    <w:rsid w:val="00180183"/>
    <w:rsid w:val="0018024D"/>
    <w:rsid w:val="0018649F"/>
    <w:rsid w:val="00196389"/>
    <w:rsid w:val="001B3EF6"/>
    <w:rsid w:val="001C7A89"/>
    <w:rsid w:val="002503B4"/>
    <w:rsid w:val="002818AD"/>
    <w:rsid w:val="00293635"/>
    <w:rsid w:val="002A2EFC"/>
    <w:rsid w:val="002B3A56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3C9E"/>
    <w:rsid w:val="00407B78"/>
    <w:rsid w:val="00424203"/>
    <w:rsid w:val="004469B1"/>
    <w:rsid w:val="00452493"/>
    <w:rsid w:val="00454E07"/>
    <w:rsid w:val="00472C5C"/>
    <w:rsid w:val="00485DCA"/>
    <w:rsid w:val="0050108D"/>
    <w:rsid w:val="00513081"/>
    <w:rsid w:val="00517901"/>
    <w:rsid w:val="00523039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E3D8E"/>
    <w:rsid w:val="005F0B42"/>
    <w:rsid w:val="00612E82"/>
    <w:rsid w:val="00681A10"/>
    <w:rsid w:val="006A1ED8"/>
    <w:rsid w:val="006C2031"/>
    <w:rsid w:val="006D461A"/>
    <w:rsid w:val="006F35EE"/>
    <w:rsid w:val="007021FF"/>
    <w:rsid w:val="00712895"/>
    <w:rsid w:val="00757357"/>
    <w:rsid w:val="007817B3"/>
    <w:rsid w:val="00806A6B"/>
    <w:rsid w:val="00825F8D"/>
    <w:rsid w:val="00834B71"/>
    <w:rsid w:val="00834CC0"/>
    <w:rsid w:val="0086445C"/>
    <w:rsid w:val="00877493"/>
    <w:rsid w:val="00894693"/>
    <w:rsid w:val="008A08D7"/>
    <w:rsid w:val="008B6909"/>
    <w:rsid w:val="008D309B"/>
    <w:rsid w:val="00906890"/>
    <w:rsid w:val="00911BE4"/>
    <w:rsid w:val="00951972"/>
    <w:rsid w:val="00953B7A"/>
    <w:rsid w:val="009569AF"/>
    <w:rsid w:val="009608F3"/>
    <w:rsid w:val="009A24AC"/>
    <w:rsid w:val="00A04909"/>
    <w:rsid w:val="00A312BC"/>
    <w:rsid w:val="00A45225"/>
    <w:rsid w:val="00A478EF"/>
    <w:rsid w:val="00A66C5E"/>
    <w:rsid w:val="00A74D9D"/>
    <w:rsid w:val="00A84021"/>
    <w:rsid w:val="00A84D35"/>
    <w:rsid w:val="00A917B3"/>
    <w:rsid w:val="00AB4B51"/>
    <w:rsid w:val="00AB681C"/>
    <w:rsid w:val="00B10CC7"/>
    <w:rsid w:val="00B20CB2"/>
    <w:rsid w:val="00B51B68"/>
    <w:rsid w:val="00B539E7"/>
    <w:rsid w:val="00B62458"/>
    <w:rsid w:val="00BB3A41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6392D"/>
    <w:rsid w:val="00D7263B"/>
    <w:rsid w:val="00D90028"/>
    <w:rsid w:val="00D90138"/>
    <w:rsid w:val="00DF5266"/>
    <w:rsid w:val="00DF71B9"/>
    <w:rsid w:val="00E21169"/>
    <w:rsid w:val="00E528D1"/>
    <w:rsid w:val="00E73F76"/>
    <w:rsid w:val="00EA2C9F"/>
    <w:rsid w:val="00ED0BDA"/>
    <w:rsid w:val="00EF1360"/>
    <w:rsid w:val="00EF3220"/>
    <w:rsid w:val="00F21B00"/>
    <w:rsid w:val="00F7143B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34BAE3"/>
  <w15:docId w15:val="{D71D860A-271D-46D4-904F-6B9945290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/>
      <w:u w:val="none"/>
    </w:rPr>
  </w:style>
  <w:style w:type="character" w:styleId="af2">
    <w:name w:val="FollowedHyperlink"/>
    <w:basedOn w:val="a0"/>
    <w:rsid w:val="00570A37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locked/>
    <w:rsid w:val="00F7143B"/>
    <w:rPr>
      <w:lang w:val="ru-RU" w:eastAsia="en-US"/>
    </w:rPr>
  </w:style>
  <w:style w:type="character" w:customStyle="1" w:styleId="H23GChar">
    <w:name w:val="_ H_2/3_G Char"/>
    <w:link w:val="H23G"/>
    <w:rsid w:val="00F7143B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2936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AT/C/SR.2089" TargetMode="External"/><Relationship Id="rId7" Type="http://schemas.openxmlformats.org/officeDocument/2006/relationships/hyperlink" Target="http://undocs.org/ru/CAT/C/LIE/CO/4" TargetMode="External"/><Relationship Id="rId2" Type="http://schemas.openxmlformats.org/officeDocument/2006/relationships/hyperlink" Target="http://undocs.org/ru/CAT/C/SR.2086" TargetMode="External"/><Relationship Id="rId1" Type="http://schemas.openxmlformats.org/officeDocument/2006/relationships/hyperlink" Target="http://undocs.org/ru/CAT/C/LIE/5" TargetMode="External"/><Relationship Id="rId6" Type="http://schemas.openxmlformats.org/officeDocument/2006/relationships/hyperlink" Target="http://undocs.org/ru/CCPR/C/LIE/CO/2/Add.1" TargetMode="External"/><Relationship Id="rId5" Type="http://schemas.openxmlformats.org/officeDocument/2006/relationships/hyperlink" Target="http://undocs.org/ru/CCPR/C/LIE/CO/2" TargetMode="External"/><Relationship Id="rId4" Type="http://schemas.openxmlformats.org/officeDocument/2006/relationships/hyperlink" Target="http://undocs.org/ru/CAT/C/LIE/CO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8</Pages>
  <Words>2903</Words>
  <Characters>20584</Characters>
  <Application>Microsoft Office Word</Application>
  <DocSecurity>0</DocSecurity>
  <Lines>381</Lines>
  <Paragraphs>97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CAT/C/LIE/CO/5</vt:lpstr>
      <vt:lpstr>A/</vt:lpstr>
      <vt:lpstr>A/</vt:lpstr>
      <vt:lpstr>A/</vt:lpstr>
    </vt:vector>
  </TitlesOfParts>
  <Company>DCM</Company>
  <LinksUpToDate>false</LinksUpToDate>
  <CharactersWithSpaces>23390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CAT/C/LIE/CO/5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2024-06-25T12:38:00Z</dcterms:created>
  <dcterms:modified xsi:type="dcterms:W3CDTF">2024-06-25T12:38:00Z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