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982"/>
        <w:gridCol w:w="1861"/>
        <w:gridCol w:w="4522"/>
      </w:tblGrid>
      <w:tr w:rsidR="00AD0014" w:rsidRPr="00DB7679" w:rsidTr="00A11DDA">
        <w:trPr>
          <w:trHeight w:hRule="exact" w:val="851"/>
        </w:trPr>
        <w:tc>
          <w:tcPr>
            <w:tcW w:w="1274" w:type="dxa"/>
            <w:tcBorders>
              <w:bottom w:val="single" w:sz="4" w:space="0" w:color="auto"/>
            </w:tcBorders>
          </w:tcPr>
          <w:p w:rsidR="00AD0014" w:rsidRPr="00983870" w:rsidRDefault="00AD0014" w:rsidP="00BC55C8">
            <w:pPr>
              <w:rPr>
                <w:rFonts w:hint="cs"/>
              </w:rPr>
            </w:pPr>
          </w:p>
        </w:tc>
        <w:tc>
          <w:tcPr>
            <w:tcW w:w="1982"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383" w:type="dxa"/>
            <w:gridSpan w:val="2"/>
            <w:tcBorders>
              <w:bottom w:val="single" w:sz="4" w:space="0" w:color="auto"/>
            </w:tcBorders>
            <w:vAlign w:val="bottom"/>
          </w:tcPr>
          <w:p w:rsidR="00AD0014" w:rsidRPr="00DB7679" w:rsidRDefault="00576E9C" w:rsidP="00576E9C">
            <w:pPr>
              <w:bidi w:val="0"/>
              <w:spacing w:after="20"/>
              <w:jc w:val="left"/>
              <w:rPr>
                <w:szCs w:val="20"/>
              </w:rPr>
            </w:pPr>
            <w:r w:rsidRPr="00576E9C">
              <w:rPr>
                <w:sz w:val="40"/>
                <w:szCs w:val="20"/>
              </w:rPr>
              <w:t>A</w:t>
            </w:r>
            <w:r>
              <w:rPr>
                <w:szCs w:val="20"/>
              </w:rPr>
              <w:t>/</w:t>
            </w:r>
            <w:proofErr w:type="spellStart"/>
            <w:r>
              <w:rPr>
                <w:szCs w:val="20"/>
              </w:rPr>
              <w:t>HRC</w:t>
            </w:r>
            <w:proofErr w:type="spellEnd"/>
            <w:r>
              <w:rPr>
                <w:szCs w:val="20"/>
              </w:rPr>
              <w:t>/RES/15/12</w:t>
            </w:r>
          </w:p>
        </w:tc>
      </w:tr>
      <w:tr w:rsidR="00257225" w:rsidRPr="00DB7679" w:rsidTr="007B599E">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3843" w:type="dxa"/>
            <w:gridSpan w:val="2"/>
            <w:tcBorders>
              <w:top w:val="single" w:sz="4" w:space="0" w:color="auto"/>
              <w:bottom w:val="single" w:sz="12" w:space="0" w:color="auto"/>
            </w:tcBorders>
          </w:tcPr>
          <w:p w:rsidR="00257225" w:rsidRPr="00DB7679" w:rsidRDefault="00257225" w:rsidP="00BC55C8">
            <w:pPr>
              <w:spacing w:before="120" w:line="640" w:lineRule="exact"/>
              <w:rPr>
                <w:rFonts w:hint="cs"/>
                <w:b/>
                <w:bCs/>
                <w:szCs w:val="60"/>
              </w:rPr>
            </w:pPr>
            <w:r w:rsidRPr="00DB7679">
              <w:rPr>
                <w:rFonts w:hint="cs"/>
                <w:b/>
                <w:bCs/>
                <w:szCs w:val="60"/>
                <w:rtl/>
              </w:rPr>
              <w:t>الجمعية العامة</w:t>
            </w:r>
          </w:p>
        </w:tc>
        <w:tc>
          <w:tcPr>
            <w:tcW w:w="4522" w:type="dxa"/>
            <w:tcBorders>
              <w:top w:val="single" w:sz="4" w:space="0" w:color="auto"/>
              <w:bottom w:val="single" w:sz="12" w:space="0" w:color="auto"/>
            </w:tcBorders>
          </w:tcPr>
          <w:p w:rsidR="00576E9C" w:rsidRDefault="00576E9C" w:rsidP="00576E9C">
            <w:pPr>
              <w:bidi w:val="0"/>
              <w:spacing w:before="240"/>
              <w:jc w:val="left"/>
            </w:pPr>
            <w:r>
              <w:t>Distr.: General</w:t>
            </w:r>
          </w:p>
          <w:p w:rsidR="00576E9C" w:rsidRDefault="00576E9C" w:rsidP="00576E9C">
            <w:pPr>
              <w:bidi w:val="0"/>
              <w:jc w:val="left"/>
            </w:pPr>
            <w:r>
              <w:t>6 October 2010</w:t>
            </w:r>
          </w:p>
          <w:p w:rsidR="00576E9C" w:rsidRDefault="00576E9C" w:rsidP="00576E9C">
            <w:pPr>
              <w:bidi w:val="0"/>
              <w:jc w:val="left"/>
            </w:pPr>
            <w:r>
              <w:t>Arabic</w:t>
            </w:r>
          </w:p>
          <w:p w:rsidR="00257225" w:rsidRPr="008B4BC6" w:rsidRDefault="00576E9C" w:rsidP="00576E9C">
            <w:pPr>
              <w:bidi w:val="0"/>
              <w:jc w:val="left"/>
            </w:pPr>
            <w:r>
              <w:t>Original: English</w:t>
            </w:r>
          </w:p>
        </w:tc>
      </w:tr>
    </w:tbl>
    <w:p w:rsidR="00576E9C" w:rsidRPr="006C67F1" w:rsidRDefault="00576E9C" w:rsidP="00576E9C">
      <w:pPr>
        <w:spacing w:before="120" w:line="380" w:lineRule="exact"/>
        <w:rPr>
          <w:rFonts w:hint="cs"/>
          <w:b/>
          <w:bCs/>
          <w:sz w:val="26"/>
          <w:szCs w:val="36"/>
          <w:rtl/>
        </w:rPr>
      </w:pPr>
      <w:r>
        <w:rPr>
          <w:rFonts w:hint="cs"/>
          <w:b/>
          <w:bCs/>
          <w:sz w:val="26"/>
          <w:szCs w:val="36"/>
          <w:rtl/>
        </w:rPr>
        <w:t>مجلس حقوق الإنسان</w:t>
      </w:r>
    </w:p>
    <w:p w:rsidR="00576E9C" w:rsidRPr="006C67F1" w:rsidRDefault="00576E9C" w:rsidP="00576E9C">
      <w:pPr>
        <w:spacing w:line="380" w:lineRule="exact"/>
        <w:rPr>
          <w:b/>
          <w:bCs/>
          <w:rtl/>
        </w:rPr>
      </w:pPr>
      <w:r w:rsidRPr="006C67F1">
        <w:rPr>
          <w:b/>
          <w:bCs/>
          <w:rtl/>
        </w:rPr>
        <w:t>الدورة الخامسة عشرة</w:t>
      </w:r>
    </w:p>
    <w:p w:rsidR="00576E9C" w:rsidRDefault="00576E9C" w:rsidP="00576E9C">
      <w:pPr>
        <w:spacing w:line="380" w:lineRule="exact"/>
        <w:rPr>
          <w:rtl/>
        </w:rPr>
      </w:pPr>
      <w:r>
        <w:rPr>
          <w:rtl/>
        </w:rPr>
        <w:t>البند 3 من جدول الأعمال</w:t>
      </w:r>
    </w:p>
    <w:p w:rsidR="00576E9C" w:rsidRPr="006C67F1" w:rsidRDefault="00576E9C" w:rsidP="00576E9C">
      <w:pPr>
        <w:spacing w:line="380" w:lineRule="exact"/>
        <w:rPr>
          <w:rFonts w:hint="cs"/>
          <w:b/>
          <w:bCs/>
          <w:rtl/>
        </w:rPr>
      </w:pPr>
      <w:r w:rsidRPr="006C67F1">
        <w:rPr>
          <w:b/>
          <w:bCs/>
          <w:rtl/>
        </w:rPr>
        <w:t>تعزيز وحماية جميع حقوق الإنسان</w:t>
      </w:r>
      <w:r>
        <w:rPr>
          <w:b/>
          <w:bCs/>
          <w:rtl/>
        </w:rPr>
        <w:t>، المدنية والسياسية والاقتصادية</w:t>
      </w:r>
    </w:p>
    <w:p w:rsidR="00576E9C" w:rsidRPr="006C67F1" w:rsidRDefault="00576E9C" w:rsidP="00576E9C">
      <w:pPr>
        <w:spacing w:line="380" w:lineRule="exact"/>
        <w:rPr>
          <w:b/>
          <w:bCs/>
          <w:rtl/>
        </w:rPr>
      </w:pPr>
      <w:r w:rsidRPr="006C67F1">
        <w:rPr>
          <w:b/>
          <w:bCs/>
          <w:rtl/>
        </w:rPr>
        <w:t>والاجتماعية والثقافية، بما في ذلك الحق في التنمية</w:t>
      </w:r>
    </w:p>
    <w:p w:rsidR="00576E9C" w:rsidRPr="001D53C7" w:rsidRDefault="00576E9C" w:rsidP="00576E9C">
      <w:pPr>
        <w:pStyle w:val="HChGA"/>
        <w:rPr>
          <w:rFonts w:hint="cs"/>
          <w:rtl/>
          <w:lang w:bidi="ar-BH"/>
        </w:rPr>
      </w:pPr>
      <w:r>
        <w:rPr>
          <w:rFonts w:hint="cs"/>
          <w:kern w:val="16"/>
          <w:rtl/>
          <w:lang w:bidi="ar-BH"/>
        </w:rPr>
        <w:tab/>
      </w:r>
      <w:r>
        <w:rPr>
          <w:rFonts w:hint="cs"/>
          <w:kern w:val="16"/>
          <w:rtl/>
          <w:lang w:bidi="ar-BH"/>
        </w:rPr>
        <w:tab/>
        <w:t>قرار اعتمده مجلس حقوق الإنسان</w:t>
      </w:r>
      <w:r w:rsidRPr="00576E9C">
        <w:rPr>
          <w:rStyle w:val="FootnoteReference"/>
          <w:sz w:val="20"/>
          <w:vertAlign w:val="baseline"/>
          <w:rtl/>
          <w:lang w:bidi="ar-BH"/>
        </w:rPr>
        <w:footnoteReference w:customMarkFollows="1" w:id="1"/>
        <w:t>*</w:t>
      </w:r>
    </w:p>
    <w:p w:rsidR="00576E9C" w:rsidRDefault="00576E9C" w:rsidP="00576E9C">
      <w:pPr>
        <w:pStyle w:val="HChGA"/>
        <w:rPr>
          <w:rFonts w:hint="cs"/>
          <w:rtl/>
        </w:rPr>
      </w:pPr>
      <w:r>
        <w:rPr>
          <w:rFonts w:hint="cs"/>
          <w:rtl/>
        </w:rPr>
        <w:tab/>
      </w:r>
      <w:r>
        <w:rPr>
          <w:rFonts w:hint="cs"/>
          <w:rtl/>
        </w:rPr>
        <w:tab/>
        <w:t>15/12</w:t>
      </w:r>
      <w:r>
        <w:rPr>
          <w:rtl/>
        </w:rPr>
        <w:br/>
      </w:r>
      <w:r>
        <w:rPr>
          <w:rFonts w:hint="cs"/>
          <w:rtl/>
        </w:rPr>
        <w:t>استخدام المرتزقة كوسيلة لانتهاك حقوق الإنسان وإعاقة ممارسة حق الشعوب في تقرير مصيرها</w:t>
      </w:r>
    </w:p>
    <w:p w:rsidR="00576E9C" w:rsidRPr="00576E9C" w:rsidRDefault="00576E9C" w:rsidP="00576E9C">
      <w:pPr>
        <w:pStyle w:val="SingleTxtGA"/>
        <w:rPr>
          <w:rFonts w:hint="cs"/>
          <w:i/>
          <w:iCs/>
          <w:rtl/>
        </w:rPr>
      </w:pPr>
      <w:r>
        <w:rPr>
          <w:rFonts w:hint="cs"/>
          <w:rtl/>
        </w:rPr>
        <w:tab/>
      </w:r>
      <w:r w:rsidRPr="00576E9C">
        <w:rPr>
          <w:rFonts w:hint="cs"/>
          <w:i/>
          <w:iCs/>
          <w:rtl/>
        </w:rPr>
        <w:t>إن مجلس حقوق الإنسان،</w:t>
      </w:r>
    </w:p>
    <w:p w:rsidR="00576E9C" w:rsidRPr="00321BAB" w:rsidRDefault="00576E9C" w:rsidP="00576E9C">
      <w:pPr>
        <w:pStyle w:val="SingleTxtGA"/>
        <w:rPr>
          <w:rFonts w:hint="cs"/>
          <w:rtl/>
        </w:rPr>
      </w:pPr>
      <w:r>
        <w:rPr>
          <w:rFonts w:hint="cs"/>
          <w:i/>
          <w:iCs/>
          <w:rtl/>
        </w:rPr>
        <w:tab/>
      </w:r>
      <w:r w:rsidRPr="00321BAB">
        <w:rPr>
          <w:rFonts w:hint="cs"/>
          <w:i/>
          <w:iCs/>
          <w:rtl/>
        </w:rPr>
        <w:t>إذ يشير</w:t>
      </w:r>
      <w:r w:rsidRPr="00321BAB">
        <w:rPr>
          <w:rFonts w:hint="cs"/>
          <w:rtl/>
        </w:rPr>
        <w:t xml:space="preserve"> إلى جميع القرارات السابقة التي اعتمدتها الجمعية العامة</w:t>
      </w:r>
      <w:r>
        <w:rPr>
          <w:rFonts w:hint="cs"/>
          <w:rtl/>
        </w:rPr>
        <w:t>،</w:t>
      </w:r>
      <w:r w:rsidRPr="00321BAB">
        <w:rPr>
          <w:rFonts w:hint="cs"/>
          <w:rtl/>
        </w:rPr>
        <w:t xml:space="preserve"> ومجلس حقوق الإنسان</w:t>
      </w:r>
      <w:r>
        <w:rPr>
          <w:rFonts w:hint="cs"/>
          <w:rtl/>
        </w:rPr>
        <w:t>،</w:t>
      </w:r>
      <w:r w:rsidRPr="00321BAB">
        <w:rPr>
          <w:rFonts w:hint="cs"/>
          <w:rtl/>
        </w:rPr>
        <w:t xml:space="preserve"> ولجنة حقوق الإنسان بشأن هذا الموضوع، بما فيها قرار الجمعية العامة </w:t>
      </w:r>
      <w:r>
        <w:rPr>
          <w:rFonts w:hint="cs"/>
          <w:rtl/>
        </w:rPr>
        <w:t>64</w:t>
      </w:r>
      <w:r w:rsidRPr="00321BAB">
        <w:rPr>
          <w:rFonts w:hint="cs"/>
          <w:rtl/>
        </w:rPr>
        <w:t>/</w:t>
      </w:r>
      <w:r>
        <w:rPr>
          <w:rFonts w:hint="cs"/>
          <w:rtl/>
        </w:rPr>
        <w:t>151</w:t>
      </w:r>
      <w:r w:rsidRPr="00321BAB">
        <w:rPr>
          <w:rFonts w:hint="cs"/>
          <w:rtl/>
        </w:rPr>
        <w:t xml:space="preserve"> المؤرخ 18 كانون الأول/ديسمبر 200</w:t>
      </w:r>
      <w:r>
        <w:rPr>
          <w:rFonts w:hint="cs"/>
          <w:rtl/>
        </w:rPr>
        <w:t>9</w:t>
      </w:r>
      <w:r w:rsidRPr="00321BAB">
        <w:rPr>
          <w:rFonts w:hint="cs"/>
          <w:rtl/>
        </w:rPr>
        <w:t xml:space="preserve"> وقرار المجلس </w:t>
      </w:r>
      <w:r>
        <w:rPr>
          <w:rFonts w:hint="cs"/>
          <w:rtl/>
        </w:rPr>
        <w:t>10</w:t>
      </w:r>
      <w:r w:rsidRPr="00321BAB">
        <w:rPr>
          <w:rFonts w:hint="cs"/>
          <w:rtl/>
        </w:rPr>
        <w:t>/</w:t>
      </w:r>
      <w:r>
        <w:rPr>
          <w:rFonts w:hint="cs"/>
          <w:rtl/>
        </w:rPr>
        <w:t>11</w:t>
      </w:r>
      <w:r w:rsidRPr="00321BAB">
        <w:rPr>
          <w:rFonts w:hint="cs"/>
          <w:rtl/>
        </w:rPr>
        <w:t xml:space="preserve"> المؤرخ </w:t>
      </w:r>
      <w:r>
        <w:rPr>
          <w:rFonts w:hint="cs"/>
          <w:rtl/>
        </w:rPr>
        <w:t>26</w:t>
      </w:r>
      <w:r w:rsidRPr="00321BAB">
        <w:rPr>
          <w:rFonts w:hint="cs"/>
          <w:rtl/>
        </w:rPr>
        <w:t xml:space="preserve"> آذار/</w:t>
      </w:r>
      <w:r>
        <w:rPr>
          <w:rFonts w:hint="cs"/>
          <w:rtl/>
        </w:rPr>
        <w:t xml:space="preserve">           </w:t>
      </w:r>
      <w:r w:rsidRPr="00321BAB">
        <w:rPr>
          <w:rFonts w:hint="cs"/>
          <w:rtl/>
        </w:rPr>
        <w:t xml:space="preserve">مارس </w:t>
      </w:r>
      <w:r>
        <w:rPr>
          <w:rFonts w:hint="cs"/>
          <w:rtl/>
        </w:rPr>
        <w:t>2009</w:t>
      </w:r>
      <w:r w:rsidRPr="00321BAB">
        <w:rPr>
          <w:rFonts w:hint="cs"/>
          <w:rtl/>
        </w:rPr>
        <w:t xml:space="preserve">، </w:t>
      </w:r>
    </w:p>
    <w:p w:rsidR="00576E9C" w:rsidRPr="00576E9C" w:rsidRDefault="00576E9C" w:rsidP="00576E9C">
      <w:pPr>
        <w:pStyle w:val="SingleTxtGA"/>
        <w:rPr>
          <w:rFonts w:hint="cs"/>
          <w:spacing w:val="-2"/>
          <w:rtl/>
        </w:rPr>
      </w:pPr>
      <w:r w:rsidRPr="00576E9C">
        <w:rPr>
          <w:rFonts w:hint="cs"/>
          <w:i/>
          <w:iCs/>
          <w:spacing w:val="-2"/>
          <w:rtl/>
        </w:rPr>
        <w:tab/>
        <w:t>وإذ يشير أيضاً</w:t>
      </w:r>
      <w:r w:rsidRPr="00576E9C">
        <w:rPr>
          <w:rFonts w:hint="cs"/>
          <w:spacing w:val="-2"/>
          <w:rtl/>
        </w:rPr>
        <w:t xml:space="preserve"> إلى جميع القرارات ذات الصلة التي تدين، في جملة أمور، أي دولة تجيز أو تتسامح في تجنيد المرتزقة وتمويلهم وتدريبهم وحشدهم ونقلهم واستخدامهم بهدف الإطاحة بحكومات دول أعضاء في الأمم المتحدة، ولا</w:t>
      </w:r>
      <w:r w:rsidRPr="00576E9C">
        <w:rPr>
          <w:rFonts w:hint="eastAsia"/>
          <w:spacing w:val="-2"/>
          <w:rtl/>
        </w:rPr>
        <w:t> </w:t>
      </w:r>
      <w:r w:rsidRPr="00576E9C">
        <w:rPr>
          <w:rFonts w:hint="cs"/>
          <w:spacing w:val="-2"/>
          <w:rtl/>
        </w:rPr>
        <w:t>سيما حكومات البلدان النامية، أو بهدف محاربة حركات التحرير الوطني، وإذ يشير كذلك إلى القرارات والصكوك الدولية ذات الصلة التي اعتمدتها الجمعية العامة، ومجلس الأمن، والمجلس الاقتصادي والاجتماعي، والاتحاد الأفريقي، ومنظمة الوحدة الأفريقية، ومنها اتفاقية القضاء على استخدام المرتزقة في أفريقيا،</w:t>
      </w:r>
    </w:p>
    <w:p w:rsidR="00576E9C" w:rsidRPr="00321BAB" w:rsidRDefault="00576E9C" w:rsidP="00576E9C">
      <w:pPr>
        <w:pStyle w:val="SingleTxtGA"/>
        <w:rPr>
          <w:rFonts w:hint="cs"/>
          <w:rtl/>
        </w:rPr>
      </w:pPr>
      <w:r>
        <w:rPr>
          <w:rFonts w:hint="cs"/>
          <w:i/>
          <w:iCs/>
          <w:rtl/>
        </w:rPr>
        <w:tab/>
      </w:r>
      <w:r w:rsidRPr="00321BAB">
        <w:rPr>
          <w:rFonts w:hint="cs"/>
          <w:i/>
          <w:iCs/>
          <w:rtl/>
        </w:rPr>
        <w:t>وإذ يؤكد من جديد</w:t>
      </w:r>
      <w:r w:rsidRPr="00321BAB">
        <w:rPr>
          <w:rFonts w:hint="cs"/>
          <w:rtl/>
        </w:rPr>
        <w:t xml:space="preserve"> المقاصد والمبادئ المكرسة في ميثاق الأمم المتحدة بشأن التقيد الصارم بمبادئ المساواة في السيادة</w:t>
      </w:r>
      <w:r>
        <w:rPr>
          <w:rFonts w:hint="cs"/>
          <w:rtl/>
        </w:rPr>
        <w:t>،</w:t>
      </w:r>
      <w:r w:rsidRPr="00321BAB">
        <w:rPr>
          <w:rFonts w:hint="cs"/>
          <w:rtl/>
        </w:rPr>
        <w:t xml:space="preserve"> والاستقلال السياسي</w:t>
      </w:r>
      <w:r>
        <w:rPr>
          <w:rFonts w:hint="cs"/>
          <w:rtl/>
        </w:rPr>
        <w:t>،</w:t>
      </w:r>
      <w:r w:rsidRPr="00321BAB">
        <w:rPr>
          <w:rFonts w:hint="cs"/>
          <w:rtl/>
        </w:rPr>
        <w:t xml:space="preserve"> والسلامة الإقليمية للدول</w:t>
      </w:r>
      <w:r>
        <w:rPr>
          <w:rFonts w:hint="cs"/>
          <w:rtl/>
        </w:rPr>
        <w:t>،</w:t>
      </w:r>
      <w:r w:rsidRPr="00321BAB">
        <w:rPr>
          <w:rFonts w:hint="cs"/>
          <w:rtl/>
        </w:rPr>
        <w:t xml:space="preserve"> وحق الشعوب في تقرير المصير</w:t>
      </w:r>
      <w:r>
        <w:rPr>
          <w:rFonts w:hint="cs"/>
          <w:rtl/>
        </w:rPr>
        <w:t>،</w:t>
      </w:r>
      <w:r w:rsidRPr="00321BAB">
        <w:rPr>
          <w:rFonts w:hint="cs"/>
          <w:rtl/>
        </w:rPr>
        <w:t xml:space="preserve"> وعدم استعمال القوة أو</w:t>
      </w:r>
      <w:r w:rsidRPr="00321BAB">
        <w:rPr>
          <w:rFonts w:hint="eastAsia"/>
          <w:rtl/>
        </w:rPr>
        <w:t> </w:t>
      </w:r>
      <w:r w:rsidRPr="00321BAB">
        <w:rPr>
          <w:rFonts w:hint="cs"/>
          <w:rtl/>
        </w:rPr>
        <w:t>التهديد باستعمالها في العلاقات الدولية</w:t>
      </w:r>
      <w:r>
        <w:rPr>
          <w:rFonts w:hint="cs"/>
          <w:rtl/>
        </w:rPr>
        <w:t>،</w:t>
      </w:r>
      <w:r w:rsidRPr="00321BAB">
        <w:rPr>
          <w:rFonts w:hint="cs"/>
          <w:rtl/>
        </w:rPr>
        <w:t xml:space="preserve"> وعدم التدخل في الشؤون التي تدخل في صميم الولاية الداخلية للدول،</w:t>
      </w:r>
    </w:p>
    <w:p w:rsidR="00576E9C" w:rsidRPr="00321BAB" w:rsidRDefault="00576E9C" w:rsidP="00576E9C">
      <w:pPr>
        <w:pStyle w:val="SingleTxtGA"/>
        <w:rPr>
          <w:rFonts w:hint="cs"/>
          <w:rtl/>
        </w:rPr>
      </w:pPr>
      <w:r>
        <w:rPr>
          <w:rFonts w:hint="cs"/>
          <w:i/>
          <w:iCs/>
          <w:rtl/>
        </w:rPr>
        <w:tab/>
      </w:r>
      <w:r w:rsidRPr="00321BAB">
        <w:rPr>
          <w:rFonts w:hint="cs"/>
          <w:i/>
          <w:iCs/>
          <w:rtl/>
        </w:rPr>
        <w:t>وإذ يؤكد من جديد أيضاً</w:t>
      </w:r>
      <w:r w:rsidRPr="00321BAB">
        <w:rPr>
          <w:rFonts w:hint="cs"/>
          <w:rtl/>
        </w:rPr>
        <w:t xml:space="preserve"> أنه، عملاً بمبدأ حق تقرير المصير، يحق لجميع الشعوب</w:t>
      </w:r>
      <w:r>
        <w:rPr>
          <w:rFonts w:hint="cs"/>
          <w:rtl/>
        </w:rPr>
        <w:t xml:space="preserve">    </w:t>
      </w:r>
      <w:r w:rsidRPr="00321BAB">
        <w:rPr>
          <w:rFonts w:hint="cs"/>
          <w:rtl/>
        </w:rPr>
        <w:t xml:space="preserve"> أن تحدد بحرية وضعها السياسي وأن تسعى بحرية إلى تحقيق تنميتها الاقتصادية</w:t>
      </w:r>
      <w:r>
        <w:rPr>
          <w:rFonts w:hint="cs"/>
          <w:rtl/>
        </w:rPr>
        <w:t xml:space="preserve">           </w:t>
      </w:r>
      <w:r w:rsidRPr="00321BAB">
        <w:rPr>
          <w:rFonts w:hint="cs"/>
          <w:rtl/>
        </w:rPr>
        <w:t xml:space="preserve"> والاجتماعية والثقافية،</w:t>
      </w:r>
    </w:p>
    <w:p w:rsidR="00576E9C" w:rsidRPr="00321BAB" w:rsidRDefault="00576E9C" w:rsidP="00576E9C">
      <w:pPr>
        <w:pStyle w:val="SingleTxtGA"/>
        <w:rPr>
          <w:rFonts w:hint="cs"/>
          <w:rtl/>
        </w:rPr>
      </w:pPr>
      <w:r>
        <w:rPr>
          <w:rFonts w:hint="cs"/>
          <w:i/>
          <w:iCs/>
          <w:rtl/>
        </w:rPr>
        <w:tab/>
      </w:r>
      <w:r w:rsidRPr="00321BAB">
        <w:rPr>
          <w:rFonts w:hint="cs"/>
          <w:i/>
          <w:iCs/>
          <w:rtl/>
        </w:rPr>
        <w:t>وإذ يؤكد من جديد كذلك</w:t>
      </w:r>
      <w:r w:rsidRPr="00321BAB">
        <w:rPr>
          <w:rFonts w:hint="cs"/>
          <w:rtl/>
        </w:rPr>
        <w:t xml:space="preserve"> إعلان مبادئ القانون الدولي المتصلة بالعلاقات الودية والتعاون بين الدول وفقاً لميثاق الأمم المتحدة،</w:t>
      </w:r>
    </w:p>
    <w:p w:rsidR="00576E9C" w:rsidRPr="00321BAB" w:rsidRDefault="00576E9C" w:rsidP="00576E9C">
      <w:pPr>
        <w:pStyle w:val="SingleTxtGA"/>
        <w:rPr>
          <w:rFonts w:hint="cs"/>
          <w:rtl/>
        </w:rPr>
      </w:pPr>
      <w:r>
        <w:rPr>
          <w:rFonts w:hint="cs"/>
          <w:i/>
          <w:iCs/>
          <w:rtl/>
        </w:rPr>
        <w:tab/>
      </w:r>
      <w:r w:rsidRPr="00321BAB">
        <w:rPr>
          <w:rFonts w:hint="cs"/>
          <w:i/>
          <w:iCs/>
          <w:rtl/>
        </w:rPr>
        <w:t>وإذ يثير جزعه وقلقه</w:t>
      </w:r>
      <w:r w:rsidRPr="00321BAB">
        <w:rPr>
          <w:rFonts w:hint="cs"/>
          <w:rtl/>
        </w:rPr>
        <w:t xml:space="preserve"> ما تشكله أنشطة المرتزقة من خطر على السلم والأمن في لبلدان النامية في شتى أنحاء العالم، ولا سيما في مناطق النزاع،</w:t>
      </w:r>
    </w:p>
    <w:p w:rsidR="00576E9C" w:rsidRPr="00321BAB" w:rsidRDefault="00576E9C" w:rsidP="00576E9C">
      <w:pPr>
        <w:pStyle w:val="SingleTxtGA"/>
        <w:rPr>
          <w:rFonts w:hint="cs"/>
          <w:rtl/>
        </w:rPr>
      </w:pPr>
      <w:r>
        <w:rPr>
          <w:rFonts w:hint="cs"/>
          <w:i/>
          <w:iCs/>
          <w:rtl/>
        </w:rPr>
        <w:tab/>
      </w:r>
      <w:r w:rsidRPr="00321BAB">
        <w:rPr>
          <w:rFonts w:hint="cs"/>
          <w:i/>
          <w:iCs/>
          <w:rtl/>
        </w:rPr>
        <w:t>وإذ يساوره بالغ القلق</w:t>
      </w:r>
      <w:r w:rsidRPr="00321BAB">
        <w:rPr>
          <w:rFonts w:hint="cs"/>
          <w:rtl/>
        </w:rPr>
        <w:t xml:space="preserve"> إزاء الخسائر في الأرواح</w:t>
      </w:r>
      <w:r>
        <w:rPr>
          <w:rFonts w:hint="cs"/>
          <w:rtl/>
        </w:rPr>
        <w:t>،</w:t>
      </w:r>
      <w:r w:rsidRPr="00321BAB">
        <w:rPr>
          <w:rFonts w:hint="cs"/>
          <w:rtl/>
        </w:rPr>
        <w:t xml:space="preserve"> والأضرار الجسيمة التي تلحق بالممتلكات</w:t>
      </w:r>
      <w:r>
        <w:rPr>
          <w:rFonts w:hint="cs"/>
          <w:rtl/>
        </w:rPr>
        <w:t>،</w:t>
      </w:r>
      <w:r w:rsidRPr="00321BAB">
        <w:rPr>
          <w:rFonts w:hint="cs"/>
          <w:rtl/>
        </w:rPr>
        <w:t xml:space="preserve"> والآثار السلبية على سياسة البلدان المتضررة </w:t>
      </w:r>
      <w:proofErr w:type="spellStart"/>
      <w:r w:rsidRPr="00321BAB">
        <w:rPr>
          <w:rFonts w:hint="cs"/>
          <w:rtl/>
        </w:rPr>
        <w:t>واقتصاداتها</w:t>
      </w:r>
      <w:proofErr w:type="spellEnd"/>
      <w:r w:rsidRPr="00321BAB">
        <w:rPr>
          <w:rFonts w:hint="cs"/>
          <w:rtl/>
        </w:rPr>
        <w:t xml:space="preserve"> نتيجة لما يقوم به المرتزقة من أنشطة إجرامية دولية الطابع،</w:t>
      </w:r>
    </w:p>
    <w:p w:rsidR="00576E9C" w:rsidRPr="00321BAB" w:rsidRDefault="00576E9C" w:rsidP="00576E9C">
      <w:pPr>
        <w:pStyle w:val="SingleTxtGA"/>
        <w:rPr>
          <w:rFonts w:hint="cs"/>
          <w:rtl/>
        </w:rPr>
      </w:pPr>
      <w:r>
        <w:rPr>
          <w:rFonts w:hint="cs"/>
          <w:i/>
          <w:iCs/>
          <w:rtl/>
        </w:rPr>
        <w:tab/>
      </w:r>
      <w:r w:rsidRPr="00321BAB">
        <w:rPr>
          <w:rFonts w:hint="cs"/>
          <w:i/>
          <w:iCs/>
          <w:rtl/>
        </w:rPr>
        <w:t>وإذ يثير بالغ جزعه وقلقه</w:t>
      </w:r>
      <w:r w:rsidRPr="00321BAB">
        <w:rPr>
          <w:rFonts w:hint="cs"/>
          <w:rtl/>
        </w:rPr>
        <w:t xml:space="preserve"> أنشطة المرتزقة في الآونة الأخيرة في البلدان النامية في شتى أنحاء العالم، ولا</w:t>
      </w:r>
      <w:r w:rsidRPr="00321BAB">
        <w:rPr>
          <w:rFonts w:hint="eastAsia"/>
          <w:rtl/>
        </w:rPr>
        <w:t> </w:t>
      </w:r>
      <w:r w:rsidRPr="00321BAB">
        <w:rPr>
          <w:rFonts w:hint="cs"/>
          <w:rtl/>
        </w:rPr>
        <w:t>سيما في</w:t>
      </w:r>
      <w:r w:rsidRPr="00321BAB">
        <w:rPr>
          <w:rFonts w:hint="eastAsia"/>
          <w:rtl/>
        </w:rPr>
        <w:t> </w:t>
      </w:r>
      <w:r w:rsidRPr="00321BAB">
        <w:rPr>
          <w:rFonts w:hint="cs"/>
          <w:rtl/>
        </w:rPr>
        <w:t>مناطق النزاع، وما تنطوي عليه هذه الأنشطة من خطر يهدد سلامة واحترام النظام الدستوري للبلدان المتضررة،</w:t>
      </w:r>
    </w:p>
    <w:p w:rsidR="00576E9C" w:rsidRPr="00321BAB" w:rsidRDefault="00576E9C" w:rsidP="00576E9C">
      <w:pPr>
        <w:pStyle w:val="SingleTxtGA"/>
        <w:rPr>
          <w:rFonts w:hint="cs"/>
          <w:rtl/>
        </w:rPr>
      </w:pPr>
      <w:r>
        <w:rPr>
          <w:rFonts w:hint="cs"/>
          <w:i/>
          <w:iCs/>
          <w:rtl/>
        </w:rPr>
        <w:tab/>
      </w:r>
      <w:r w:rsidRPr="00321BAB">
        <w:rPr>
          <w:rFonts w:hint="cs"/>
          <w:i/>
          <w:iCs/>
          <w:rtl/>
        </w:rPr>
        <w:t xml:space="preserve">واقتناعاً منه </w:t>
      </w:r>
      <w:r w:rsidRPr="00321BAB">
        <w:rPr>
          <w:rFonts w:hint="cs"/>
          <w:rtl/>
        </w:rPr>
        <w:t>بأن المرتزقة والأنشطة المتصلة بهم يشكلون، بصرف النظر عن طريقة استخدامهم أو الشكل الذي يتخذونه لاكتساب بعض مظاهر الشرعية، خطراً يهدد سلام الشعوب وأمنها وحقها في تقرير المصير وعقبة تعوق تمتع الشعوب بحقوق الإنسان،</w:t>
      </w:r>
    </w:p>
    <w:p w:rsidR="00576E9C" w:rsidRPr="00321BAB" w:rsidRDefault="00576E9C" w:rsidP="00576E9C">
      <w:pPr>
        <w:pStyle w:val="SingleTxtGA"/>
        <w:rPr>
          <w:rFonts w:hint="cs"/>
          <w:rtl/>
        </w:rPr>
      </w:pPr>
      <w:r>
        <w:rPr>
          <w:rFonts w:hint="cs"/>
          <w:rtl/>
        </w:rPr>
        <w:tab/>
      </w:r>
      <w:r w:rsidRPr="00321BAB">
        <w:rPr>
          <w:rFonts w:hint="cs"/>
          <w:rtl/>
        </w:rPr>
        <w:t>1-</w:t>
      </w:r>
      <w:r w:rsidRPr="00321BAB">
        <w:rPr>
          <w:rFonts w:hint="cs"/>
          <w:rtl/>
        </w:rPr>
        <w:tab/>
      </w:r>
      <w:r w:rsidRPr="00321BAB">
        <w:rPr>
          <w:rFonts w:hint="cs"/>
          <w:i/>
          <w:iCs/>
          <w:rtl/>
        </w:rPr>
        <w:t>يؤكد من جديد</w:t>
      </w:r>
      <w:r w:rsidRPr="00321BAB">
        <w:rPr>
          <w:rFonts w:hint="cs"/>
          <w:rtl/>
        </w:rPr>
        <w:t xml:space="preserve"> أن استخدام المرتزقة وتجنيدهم وتمويلهم </w:t>
      </w:r>
      <w:r>
        <w:rPr>
          <w:rFonts w:hint="cs"/>
          <w:rtl/>
        </w:rPr>
        <w:t xml:space="preserve">وحمايتهم </w:t>
      </w:r>
      <w:r w:rsidRPr="00321BAB">
        <w:rPr>
          <w:rFonts w:hint="cs"/>
          <w:rtl/>
        </w:rPr>
        <w:t>وتدريبهم هي أمور تثير قلقاً شديداً لدى جميع الدول وتشكل انتهاكاً للمقاصد والمبادئ المكرسة في ميثاق الأمم المتحدة؛</w:t>
      </w:r>
    </w:p>
    <w:p w:rsidR="00576E9C" w:rsidRPr="00321BAB" w:rsidRDefault="00576E9C" w:rsidP="00576E9C">
      <w:pPr>
        <w:pStyle w:val="SingleTxtGA"/>
        <w:rPr>
          <w:rFonts w:hint="cs"/>
          <w:rtl/>
        </w:rPr>
      </w:pPr>
      <w:r>
        <w:rPr>
          <w:rFonts w:hint="cs"/>
          <w:rtl/>
        </w:rPr>
        <w:tab/>
      </w:r>
      <w:r w:rsidRPr="00321BAB">
        <w:rPr>
          <w:rFonts w:hint="cs"/>
          <w:rtl/>
        </w:rPr>
        <w:t>2-</w:t>
      </w:r>
      <w:r w:rsidRPr="00321BAB">
        <w:rPr>
          <w:rFonts w:hint="cs"/>
          <w:rtl/>
        </w:rPr>
        <w:tab/>
      </w:r>
      <w:r w:rsidRPr="00321BAB">
        <w:rPr>
          <w:rFonts w:hint="cs"/>
          <w:i/>
          <w:iCs/>
          <w:rtl/>
        </w:rPr>
        <w:t>يسل</w:t>
      </w:r>
      <w:r>
        <w:rPr>
          <w:rFonts w:hint="cs"/>
          <w:i/>
          <w:iCs/>
          <w:rtl/>
        </w:rPr>
        <w:t>ّ</w:t>
      </w:r>
      <w:r w:rsidRPr="00321BAB">
        <w:rPr>
          <w:rFonts w:hint="cs"/>
          <w:i/>
          <w:iCs/>
          <w:rtl/>
        </w:rPr>
        <w:t xml:space="preserve">م </w:t>
      </w:r>
      <w:r w:rsidRPr="00321BAB">
        <w:rPr>
          <w:rFonts w:hint="cs"/>
          <w:rtl/>
        </w:rPr>
        <w:t>بأن النزاعات المسلحة</w:t>
      </w:r>
      <w:r>
        <w:rPr>
          <w:rFonts w:hint="cs"/>
          <w:rtl/>
        </w:rPr>
        <w:t>،</w:t>
      </w:r>
      <w:r w:rsidRPr="00321BAB">
        <w:rPr>
          <w:rFonts w:hint="cs"/>
          <w:rtl/>
        </w:rPr>
        <w:t xml:space="preserve"> والإرهاب</w:t>
      </w:r>
      <w:r>
        <w:rPr>
          <w:rFonts w:hint="cs"/>
          <w:rtl/>
        </w:rPr>
        <w:t>،</w:t>
      </w:r>
      <w:r w:rsidRPr="00321BAB">
        <w:rPr>
          <w:rFonts w:hint="cs"/>
          <w:rtl/>
        </w:rPr>
        <w:t xml:space="preserve"> والاتجار بالأسلحة</w:t>
      </w:r>
      <w:r>
        <w:rPr>
          <w:rFonts w:hint="cs"/>
          <w:rtl/>
        </w:rPr>
        <w:t>،</w:t>
      </w:r>
      <w:r w:rsidRPr="00321BAB">
        <w:rPr>
          <w:rFonts w:hint="cs"/>
          <w:rtl/>
        </w:rPr>
        <w:t xml:space="preserve"> والعمليات السرية التي تقوم بها قوى ثالثة تؤدي إلى تشجيع أمور عدة منها الطلب على المرتزقة في السوق العالمية؛</w:t>
      </w:r>
    </w:p>
    <w:p w:rsidR="00576E9C" w:rsidRPr="00321BAB" w:rsidRDefault="00576E9C" w:rsidP="00576E9C">
      <w:pPr>
        <w:pStyle w:val="SingleTxtGA"/>
        <w:rPr>
          <w:rFonts w:hint="cs"/>
          <w:rtl/>
        </w:rPr>
      </w:pPr>
      <w:r>
        <w:rPr>
          <w:rFonts w:hint="cs"/>
          <w:rtl/>
        </w:rPr>
        <w:tab/>
      </w:r>
      <w:r w:rsidRPr="00321BAB">
        <w:rPr>
          <w:rFonts w:hint="cs"/>
          <w:rtl/>
        </w:rPr>
        <w:t>3-</w:t>
      </w:r>
      <w:r w:rsidRPr="00321BAB">
        <w:rPr>
          <w:rFonts w:hint="cs"/>
          <w:rtl/>
        </w:rPr>
        <w:tab/>
      </w:r>
      <w:r w:rsidRPr="00321BAB">
        <w:rPr>
          <w:rFonts w:hint="cs"/>
          <w:i/>
          <w:iCs/>
          <w:rtl/>
        </w:rPr>
        <w:t>يحث</w:t>
      </w:r>
      <w:r w:rsidRPr="00321BAB">
        <w:rPr>
          <w:rFonts w:hint="cs"/>
          <w:rtl/>
        </w:rPr>
        <w:t xml:space="preserve"> جميع الدول على اتخاذ الخطوات اللازمة وتوخي أقصى درجات اليقظة إزاء الخطر الذي تشكله أنشطة المرتزقة، وعلى اتخاذ تدابير تشريعية لكفالة عدم استخدام أراضيها والأراضي الأخرى الخاضعة لسيطرتها، وكذلك رعاياها، في تجنيد المرتزقة وحشدهم وتمويلهم وتدريبهم </w:t>
      </w:r>
      <w:r>
        <w:rPr>
          <w:rFonts w:hint="cs"/>
          <w:rtl/>
        </w:rPr>
        <w:t xml:space="preserve">وحمايتهم </w:t>
      </w:r>
      <w:r w:rsidRPr="00321BAB">
        <w:rPr>
          <w:rFonts w:hint="cs"/>
          <w:rtl/>
        </w:rPr>
        <w:t>ونقلهم من أجل التخطيط لأنشطة تهدف إلى إعاقة ممارسة الحق في تقرير المصير</w:t>
      </w:r>
      <w:r>
        <w:rPr>
          <w:rFonts w:hint="cs"/>
          <w:rtl/>
        </w:rPr>
        <w:t>،</w:t>
      </w:r>
      <w:r w:rsidRPr="00321BAB">
        <w:rPr>
          <w:rFonts w:hint="cs"/>
          <w:rtl/>
        </w:rPr>
        <w:t xml:space="preserve"> أو الإطاحة بحكومة أي دولة أو القيام، بصورة كلية أو</w:t>
      </w:r>
      <w:r w:rsidRPr="00321BAB">
        <w:rPr>
          <w:rFonts w:hint="eastAsia"/>
          <w:rtl/>
        </w:rPr>
        <w:t> </w:t>
      </w:r>
      <w:r w:rsidRPr="00321BAB">
        <w:rPr>
          <w:rFonts w:hint="cs"/>
          <w:rtl/>
        </w:rPr>
        <w:t>جزئية، بتقويض أو إضعاف السلامة الإقليمية أو الوحدة السياسية للدول المستقلة وذات السيادة التي تتصرف بما يتفق مع احترام حق الشعوب في تقرير مصيرها؛</w:t>
      </w:r>
    </w:p>
    <w:p w:rsidR="00576E9C" w:rsidRPr="00321BAB" w:rsidRDefault="00576E9C" w:rsidP="00576E9C">
      <w:pPr>
        <w:pStyle w:val="SingleTxtGA"/>
        <w:rPr>
          <w:rFonts w:hint="cs"/>
          <w:rtl/>
        </w:rPr>
      </w:pPr>
      <w:r>
        <w:rPr>
          <w:rFonts w:hint="cs"/>
          <w:rtl/>
        </w:rPr>
        <w:tab/>
      </w:r>
      <w:r w:rsidRPr="00321BAB">
        <w:rPr>
          <w:rFonts w:hint="cs"/>
          <w:rtl/>
        </w:rPr>
        <w:t>4-</w:t>
      </w:r>
      <w:r w:rsidRPr="00321BAB">
        <w:rPr>
          <w:rFonts w:hint="cs"/>
          <w:rtl/>
        </w:rPr>
        <w:tab/>
      </w:r>
      <w:r w:rsidRPr="00321BAB">
        <w:rPr>
          <w:rFonts w:hint="cs"/>
          <w:i/>
          <w:iCs/>
          <w:rtl/>
        </w:rPr>
        <w:t>يطلب</w:t>
      </w:r>
      <w:r w:rsidRPr="00321BAB">
        <w:rPr>
          <w:rFonts w:hint="cs"/>
          <w:rtl/>
        </w:rPr>
        <w:t xml:space="preserve"> إلى جميع الدول أن تتوخى أقصى درجات اليقظة إزاء أي نوع من أنواع تجنيد المرتزقة أو</w:t>
      </w:r>
      <w:r w:rsidRPr="00321BAB">
        <w:rPr>
          <w:rFonts w:hint="eastAsia"/>
          <w:rtl/>
        </w:rPr>
        <w:t> </w:t>
      </w:r>
      <w:r w:rsidRPr="00321BAB">
        <w:rPr>
          <w:rFonts w:hint="cs"/>
          <w:rtl/>
        </w:rPr>
        <w:t>تدريبهم أو توظيفهم أو تمويلهم تقوم به شركات خاصة تقدم الخدمات الاستشارية والأمنية العسكرية الدوليـة الطابع، وأن تفرض حظراً محدداً على تدخل هذه الشركات في النزاعات المسلحة أو الأعمال الراميـة إلى زعـزعة</w:t>
      </w:r>
      <w:r>
        <w:rPr>
          <w:rFonts w:hint="cs"/>
          <w:rtl/>
        </w:rPr>
        <w:t xml:space="preserve">               </w:t>
      </w:r>
      <w:r w:rsidRPr="00321BAB">
        <w:rPr>
          <w:rFonts w:hint="cs"/>
          <w:rtl/>
        </w:rPr>
        <w:t xml:space="preserve"> الأنظمة الدستورية؛</w:t>
      </w:r>
    </w:p>
    <w:p w:rsidR="00576E9C" w:rsidRPr="00321BAB" w:rsidRDefault="00576E9C" w:rsidP="00576E9C">
      <w:pPr>
        <w:pStyle w:val="SingleTxtGA"/>
        <w:rPr>
          <w:rFonts w:hint="cs"/>
          <w:rtl/>
        </w:rPr>
      </w:pPr>
      <w:r>
        <w:rPr>
          <w:rFonts w:hint="cs"/>
          <w:rtl/>
        </w:rPr>
        <w:tab/>
      </w:r>
      <w:r w:rsidRPr="00321BAB">
        <w:rPr>
          <w:rFonts w:hint="cs"/>
          <w:rtl/>
        </w:rPr>
        <w:t>5-</w:t>
      </w:r>
      <w:r w:rsidRPr="00321BAB">
        <w:rPr>
          <w:rFonts w:hint="cs"/>
          <w:rtl/>
        </w:rPr>
        <w:tab/>
      </w:r>
      <w:r>
        <w:rPr>
          <w:rFonts w:hint="cs"/>
          <w:rtl/>
        </w:rPr>
        <w:t xml:space="preserve">يدعو </w:t>
      </w:r>
      <w:r w:rsidRPr="00321BAB">
        <w:rPr>
          <w:rFonts w:hint="cs"/>
          <w:rtl/>
        </w:rPr>
        <w:t xml:space="preserve">جميع الدول التي لم </w:t>
      </w:r>
      <w:r>
        <w:rPr>
          <w:rFonts w:hint="cs"/>
          <w:rtl/>
        </w:rPr>
        <w:t xml:space="preserve">تصبح </w:t>
      </w:r>
      <w:r w:rsidRPr="00321BAB">
        <w:rPr>
          <w:rFonts w:hint="cs"/>
          <w:rtl/>
        </w:rPr>
        <w:t xml:space="preserve">بعد </w:t>
      </w:r>
      <w:r>
        <w:rPr>
          <w:rFonts w:hint="cs"/>
          <w:rtl/>
        </w:rPr>
        <w:t xml:space="preserve">أطرافاً في </w:t>
      </w:r>
      <w:r w:rsidRPr="00321BAB">
        <w:rPr>
          <w:rFonts w:hint="cs"/>
          <w:rtl/>
        </w:rPr>
        <w:t xml:space="preserve">الاتفاقية الدولية لمناهضة تجنيد المرتزقة واستخدامهم وتمويلهم وتدريبهم </w:t>
      </w:r>
      <w:r>
        <w:rPr>
          <w:rFonts w:hint="cs"/>
          <w:rtl/>
        </w:rPr>
        <w:t xml:space="preserve">إلى النظر </w:t>
      </w:r>
      <w:r w:rsidRPr="00321BAB">
        <w:rPr>
          <w:rFonts w:hint="cs"/>
          <w:rtl/>
        </w:rPr>
        <w:t>في اتخاذ الإجراءات اللازمة</w:t>
      </w:r>
      <w:r>
        <w:rPr>
          <w:rFonts w:hint="cs"/>
          <w:rtl/>
        </w:rPr>
        <w:t xml:space="preserve">            </w:t>
      </w:r>
      <w:r w:rsidRPr="00321BAB">
        <w:rPr>
          <w:rFonts w:hint="cs"/>
          <w:rtl/>
        </w:rPr>
        <w:t xml:space="preserve"> للقيام بذلك؛</w:t>
      </w:r>
    </w:p>
    <w:p w:rsidR="00576E9C" w:rsidRPr="00321BAB" w:rsidRDefault="00576E9C" w:rsidP="00576E9C">
      <w:pPr>
        <w:pStyle w:val="SingleTxtGA"/>
        <w:rPr>
          <w:rFonts w:hint="cs"/>
          <w:rtl/>
        </w:rPr>
      </w:pPr>
      <w:r>
        <w:rPr>
          <w:rFonts w:hint="cs"/>
          <w:rtl/>
        </w:rPr>
        <w:tab/>
      </w:r>
      <w:r w:rsidRPr="00321BAB">
        <w:rPr>
          <w:rFonts w:hint="cs"/>
          <w:rtl/>
        </w:rPr>
        <w:t>6-</w:t>
      </w:r>
      <w:r w:rsidRPr="00321BAB">
        <w:rPr>
          <w:rFonts w:hint="cs"/>
          <w:rtl/>
        </w:rPr>
        <w:tab/>
      </w:r>
      <w:r w:rsidRPr="00321BAB">
        <w:rPr>
          <w:rFonts w:hint="cs"/>
          <w:i/>
          <w:iCs/>
          <w:rtl/>
        </w:rPr>
        <w:t xml:space="preserve">يرحب </w:t>
      </w:r>
      <w:r w:rsidRPr="00321BAB">
        <w:rPr>
          <w:rFonts w:hint="cs"/>
          <w:rtl/>
        </w:rPr>
        <w:t>بالتعاون الذي أبدته تلك البلدان التي زارها الفريق العامل</w:t>
      </w:r>
      <w:r>
        <w:rPr>
          <w:rFonts w:hint="cs"/>
          <w:rtl/>
        </w:rPr>
        <w:t xml:space="preserve"> المعني باستخدام المرتزقة كوسيلة لانتهاك حقوق الإنسان وإعاقة ممارسة حق الشعوب في تقرير مصيرها</w:t>
      </w:r>
      <w:r w:rsidRPr="00321BAB">
        <w:rPr>
          <w:rFonts w:hint="cs"/>
          <w:rtl/>
        </w:rPr>
        <w:t>، وباعتماد بعض الدول تشريعات وطنية تقيد تجنيد المرتزقة وحشدهم وتمويلهم وتدريبهم ونقلهم؛</w:t>
      </w:r>
    </w:p>
    <w:p w:rsidR="00576E9C" w:rsidRPr="00321BAB" w:rsidRDefault="00576E9C" w:rsidP="00576E9C">
      <w:pPr>
        <w:pStyle w:val="SingleTxtGA"/>
        <w:rPr>
          <w:rFonts w:hint="cs"/>
          <w:rtl/>
        </w:rPr>
      </w:pPr>
      <w:r>
        <w:rPr>
          <w:rFonts w:hint="cs"/>
          <w:rtl/>
        </w:rPr>
        <w:tab/>
      </w:r>
      <w:r w:rsidRPr="00321BAB">
        <w:rPr>
          <w:rFonts w:hint="cs"/>
          <w:rtl/>
        </w:rPr>
        <w:t>7-</w:t>
      </w:r>
      <w:r w:rsidRPr="00321BAB">
        <w:rPr>
          <w:rFonts w:hint="cs"/>
          <w:rtl/>
        </w:rPr>
        <w:tab/>
      </w:r>
      <w:r w:rsidRPr="00321BAB">
        <w:rPr>
          <w:rFonts w:hint="cs"/>
          <w:i/>
          <w:iCs/>
          <w:rtl/>
        </w:rPr>
        <w:t>يدعو</w:t>
      </w:r>
      <w:r w:rsidRPr="00321BAB">
        <w:rPr>
          <w:rFonts w:hint="cs"/>
          <w:rtl/>
        </w:rPr>
        <w:t xml:space="preserve"> الدول إلى أن تحقق في احتمال ضلوع المرتزقة متى وحيثما ترتكب أعمـال إجراميـة ذات طابع إرهابي؛</w:t>
      </w:r>
    </w:p>
    <w:p w:rsidR="00576E9C" w:rsidRPr="00321BAB" w:rsidRDefault="00576E9C" w:rsidP="00576E9C">
      <w:pPr>
        <w:pStyle w:val="SingleTxtGA"/>
        <w:rPr>
          <w:rFonts w:hint="cs"/>
          <w:rtl/>
        </w:rPr>
      </w:pPr>
      <w:r>
        <w:rPr>
          <w:rFonts w:hint="cs"/>
          <w:rtl/>
        </w:rPr>
        <w:tab/>
      </w:r>
      <w:r w:rsidRPr="00321BAB">
        <w:rPr>
          <w:rFonts w:hint="cs"/>
          <w:rtl/>
        </w:rPr>
        <w:t>8-</w:t>
      </w:r>
      <w:r w:rsidRPr="00321BAB">
        <w:rPr>
          <w:rFonts w:hint="cs"/>
          <w:rtl/>
        </w:rPr>
        <w:tab/>
      </w:r>
      <w:r w:rsidRPr="00321BAB">
        <w:rPr>
          <w:rFonts w:hint="cs"/>
          <w:i/>
          <w:iCs/>
          <w:rtl/>
        </w:rPr>
        <w:t>يدين</w:t>
      </w:r>
      <w:r w:rsidRPr="00321BAB">
        <w:rPr>
          <w:rFonts w:hint="cs"/>
          <w:rtl/>
        </w:rPr>
        <w:t xml:space="preserve"> الأنشطة التي </w:t>
      </w:r>
      <w:r>
        <w:rPr>
          <w:rFonts w:hint="cs"/>
          <w:rtl/>
        </w:rPr>
        <w:t xml:space="preserve">يقوم </w:t>
      </w:r>
      <w:r w:rsidRPr="00321BAB">
        <w:rPr>
          <w:rFonts w:hint="cs"/>
          <w:rtl/>
        </w:rPr>
        <w:t>بها المرتزقة في البلدان النامية في مختلف أنحاء العالم، لا سيما في مناطق النزاع، لما تشكله هذه الأنشطة من خطر يهدد سلامة واحترام النظام الدستوري لتلك البلدان ولممارسة شعوبها لحقها في تقرير المصير؛</w:t>
      </w:r>
    </w:p>
    <w:p w:rsidR="00576E9C" w:rsidRPr="00321BAB" w:rsidRDefault="00576E9C" w:rsidP="00576E9C">
      <w:pPr>
        <w:pStyle w:val="SingleTxtGA"/>
        <w:rPr>
          <w:rFonts w:hint="cs"/>
          <w:rtl/>
        </w:rPr>
      </w:pPr>
      <w:r>
        <w:rPr>
          <w:rFonts w:hint="cs"/>
          <w:rtl/>
        </w:rPr>
        <w:tab/>
      </w:r>
      <w:r w:rsidRPr="00321BAB">
        <w:rPr>
          <w:rFonts w:hint="cs"/>
          <w:rtl/>
        </w:rPr>
        <w:t>9-</w:t>
      </w:r>
      <w:r w:rsidRPr="00321BAB">
        <w:rPr>
          <w:rFonts w:hint="cs"/>
          <w:rtl/>
        </w:rPr>
        <w:tab/>
      </w:r>
      <w:r>
        <w:rPr>
          <w:rFonts w:hint="cs"/>
          <w:i/>
          <w:iCs/>
          <w:rtl/>
        </w:rPr>
        <w:t>يدعو</w:t>
      </w:r>
      <w:r w:rsidRPr="00321BAB">
        <w:rPr>
          <w:rFonts w:hint="cs"/>
          <w:rtl/>
        </w:rPr>
        <w:t xml:space="preserve"> المجتمع الدولي </w:t>
      </w:r>
      <w:r>
        <w:rPr>
          <w:rFonts w:hint="cs"/>
          <w:rtl/>
        </w:rPr>
        <w:t>وجميع الدول إلى القيام</w:t>
      </w:r>
      <w:r w:rsidRPr="00321BAB">
        <w:rPr>
          <w:rFonts w:hint="cs"/>
          <w:rtl/>
        </w:rPr>
        <w:t>، وفقاً لالتزاماته</w:t>
      </w:r>
      <w:r>
        <w:rPr>
          <w:rFonts w:hint="cs"/>
          <w:rtl/>
        </w:rPr>
        <w:t>م</w:t>
      </w:r>
      <w:r w:rsidRPr="00321BAB">
        <w:rPr>
          <w:rFonts w:hint="cs"/>
          <w:rtl/>
        </w:rPr>
        <w:t xml:space="preserve"> بموجب القانون الدولي، </w:t>
      </w:r>
      <w:r>
        <w:rPr>
          <w:rFonts w:hint="cs"/>
          <w:rtl/>
        </w:rPr>
        <w:t xml:space="preserve">بتقديم </w:t>
      </w:r>
      <w:r w:rsidRPr="00321BAB">
        <w:rPr>
          <w:rFonts w:hint="cs"/>
          <w:rtl/>
        </w:rPr>
        <w:t>يد العون والمساعدة في</w:t>
      </w:r>
      <w:r w:rsidRPr="00321BAB">
        <w:rPr>
          <w:rFonts w:hint="eastAsia"/>
          <w:rtl/>
        </w:rPr>
        <w:t> </w:t>
      </w:r>
      <w:r w:rsidRPr="00321BAB">
        <w:rPr>
          <w:rFonts w:hint="cs"/>
          <w:rtl/>
        </w:rPr>
        <w:t xml:space="preserve">مقاضاة المتهمين بارتكاب أنشطة الارتزاق في إطار محاكمات </w:t>
      </w:r>
      <w:r>
        <w:rPr>
          <w:rFonts w:hint="cs"/>
          <w:rtl/>
        </w:rPr>
        <w:t>شفافة و</w:t>
      </w:r>
      <w:r w:rsidRPr="00321BAB">
        <w:rPr>
          <w:rFonts w:hint="cs"/>
          <w:rtl/>
        </w:rPr>
        <w:t xml:space="preserve">علنية </w:t>
      </w:r>
      <w:r>
        <w:rPr>
          <w:rFonts w:hint="cs"/>
          <w:rtl/>
        </w:rPr>
        <w:t>ونزيهة</w:t>
      </w:r>
      <w:r w:rsidRPr="00321BAB">
        <w:rPr>
          <w:rFonts w:hint="cs"/>
          <w:rtl/>
        </w:rPr>
        <w:t>؛</w:t>
      </w:r>
    </w:p>
    <w:p w:rsidR="00576E9C" w:rsidRDefault="00576E9C" w:rsidP="00576E9C">
      <w:pPr>
        <w:pStyle w:val="SingleTxtGA"/>
        <w:rPr>
          <w:rFonts w:hint="cs"/>
          <w:rtl/>
        </w:rPr>
      </w:pPr>
      <w:r>
        <w:rPr>
          <w:rFonts w:hint="cs"/>
          <w:rtl/>
        </w:rPr>
        <w:tab/>
      </w:r>
      <w:r w:rsidRPr="00321BAB">
        <w:rPr>
          <w:rFonts w:hint="cs"/>
          <w:rtl/>
        </w:rPr>
        <w:t>10-</w:t>
      </w:r>
      <w:r w:rsidRPr="00321BAB">
        <w:rPr>
          <w:rFonts w:hint="cs"/>
          <w:rtl/>
        </w:rPr>
        <w:tab/>
      </w:r>
      <w:r w:rsidRPr="00321BAB">
        <w:rPr>
          <w:rFonts w:hint="cs"/>
          <w:i/>
          <w:iCs/>
          <w:rtl/>
        </w:rPr>
        <w:t>يقر مع التقدير</w:t>
      </w:r>
      <w:r w:rsidRPr="00321BAB">
        <w:rPr>
          <w:rFonts w:hint="cs"/>
          <w:rtl/>
        </w:rPr>
        <w:t xml:space="preserve"> بعمل الفريق العامل ومساهماته، ويحيط علماً</w:t>
      </w:r>
      <w:r>
        <w:rPr>
          <w:rFonts w:hint="cs"/>
          <w:rtl/>
        </w:rPr>
        <w:t xml:space="preserve">                </w:t>
      </w:r>
      <w:r w:rsidRPr="00321BAB">
        <w:rPr>
          <w:rFonts w:hint="cs"/>
          <w:rtl/>
        </w:rPr>
        <w:t xml:space="preserve"> </w:t>
      </w:r>
      <w:r>
        <w:rPr>
          <w:rFonts w:hint="cs"/>
          <w:rtl/>
        </w:rPr>
        <w:t xml:space="preserve">بتقريره </w:t>
      </w:r>
      <w:r w:rsidRPr="00321BAB">
        <w:rPr>
          <w:rFonts w:hint="cs"/>
          <w:rtl/>
        </w:rPr>
        <w:t>الأخير</w:t>
      </w:r>
      <w:r w:rsidRPr="00576E9C">
        <w:rPr>
          <w:rFonts w:hint="cs"/>
          <w:vertAlign w:val="superscript"/>
          <w:rtl/>
        </w:rPr>
        <w:t>(</w:t>
      </w:r>
      <w:r w:rsidRPr="00576E9C">
        <w:rPr>
          <w:vertAlign w:val="superscript"/>
          <w:rtl/>
        </w:rPr>
        <w:footnoteReference w:id="2"/>
      </w:r>
      <w:r w:rsidRPr="00576E9C">
        <w:rPr>
          <w:rFonts w:hint="cs"/>
          <w:vertAlign w:val="superscript"/>
          <w:rtl/>
        </w:rPr>
        <w:t>)</w:t>
      </w:r>
      <w:r>
        <w:rPr>
          <w:rFonts w:hint="cs"/>
          <w:rtl/>
        </w:rPr>
        <w:t>؛</w:t>
      </w:r>
    </w:p>
    <w:p w:rsidR="00576E9C" w:rsidRDefault="00576E9C" w:rsidP="00576E9C">
      <w:pPr>
        <w:pStyle w:val="SingleTxtGA"/>
        <w:rPr>
          <w:rFonts w:hint="cs"/>
          <w:rtl/>
        </w:rPr>
      </w:pPr>
      <w:r>
        <w:rPr>
          <w:rFonts w:hint="cs"/>
          <w:rtl/>
        </w:rPr>
        <w:tab/>
        <w:t>11-</w:t>
      </w:r>
      <w:r>
        <w:rPr>
          <w:rFonts w:hint="cs"/>
          <w:rtl/>
        </w:rPr>
        <w:tab/>
        <w:t>يقرر أن يمدّد لفترة ثلاث سنوات ولاية الفريق العامل كي يواصل الاضطلاع بالمهام المنصوص عليها في القرار 7/21 المؤرخ 28 آذار/مارس 2008 وفي جميع القرارات الأخرى ذات الصلة بهذا الموضوع؛</w:t>
      </w:r>
    </w:p>
    <w:p w:rsidR="00576E9C" w:rsidRPr="00321BAB" w:rsidRDefault="00576E9C" w:rsidP="00576E9C">
      <w:pPr>
        <w:pStyle w:val="SingleTxtGA"/>
        <w:rPr>
          <w:rFonts w:hint="cs"/>
          <w:rtl/>
        </w:rPr>
      </w:pPr>
      <w:r>
        <w:rPr>
          <w:rFonts w:hint="cs"/>
          <w:rtl/>
        </w:rPr>
        <w:tab/>
        <w:t>12-</w:t>
      </w:r>
      <w:r>
        <w:rPr>
          <w:rFonts w:hint="cs"/>
          <w:rtl/>
        </w:rPr>
        <w:tab/>
      </w:r>
      <w:r w:rsidRPr="00321BAB">
        <w:rPr>
          <w:rFonts w:hint="cs"/>
          <w:i/>
          <w:iCs/>
          <w:rtl/>
        </w:rPr>
        <w:t>يطلب</w:t>
      </w:r>
      <w:r w:rsidRPr="00321BAB">
        <w:rPr>
          <w:rFonts w:hint="cs"/>
          <w:rtl/>
        </w:rPr>
        <w:t xml:space="preserve"> إلى الفريق العامل أن يواصل العمل الذي سبق أن قام به المقررون الخاصون السابقون بشأن تعزيز الإطار القانوني الدولي لمنع تجنيد المرتزقة واستخدامهم وتمويلهم وتدريبهم والمعاقبة على ذلك، على أن يأخذ في الاعتبار الاقتراح المتعلق بوضع تعريف قانوني جديد للمرتزقة الذي قدمه المقرر الخاص في تقريره إلى لجنة حقوق الإنسان في دورتها الستين</w:t>
      </w:r>
      <w:r w:rsidRPr="00D02F08">
        <w:rPr>
          <w:rFonts w:hint="cs"/>
          <w:vertAlign w:val="superscript"/>
          <w:rtl/>
        </w:rPr>
        <w:t>(</w:t>
      </w:r>
      <w:r w:rsidRPr="00D02F08">
        <w:rPr>
          <w:vertAlign w:val="superscript"/>
          <w:rtl/>
        </w:rPr>
        <w:footnoteReference w:id="3"/>
      </w:r>
      <w:r w:rsidRPr="00D02F08">
        <w:rPr>
          <w:rFonts w:hint="cs"/>
          <w:vertAlign w:val="superscript"/>
          <w:rtl/>
        </w:rPr>
        <w:t>)</w:t>
      </w:r>
      <w:r w:rsidRPr="00321BAB">
        <w:rPr>
          <w:rFonts w:hint="cs"/>
          <w:rtl/>
        </w:rPr>
        <w:t>؛</w:t>
      </w:r>
    </w:p>
    <w:p w:rsidR="00576E9C" w:rsidRPr="00436FC0" w:rsidRDefault="00576E9C" w:rsidP="00576E9C">
      <w:pPr>
        <w:pStyle w:val="SingleTxtGA"/>
        <w:rPr>
          <w:rFonts w:hint="cs"/>
          <w:rtl/>
        </w:rPr>
      </w:pPr>
      <w:r>
        <w:rPr>
          <w:rFonts w:hint="cs"/>
          <w:rtl/>
        </w:rPr>
        <w:tab/>
        <w:t>13</w:t>
      </w:r>
      <w:r w:rsidRPr="00321BAB">
        <w:rPr>
          <w:rFonts w:hint="cs"/>
          <w:rtl/>
        </w:rPr>
        <w:t>-</w:t>
      </w:r>
      <w:r>
        <w:rPr>
          <w:rFonts w:hint="cs"/>
          <w:rtl/>
        </w:rPr>
        <w:tab/>
      </w:r>
      <w:r>
        <w:rPr>
          <w:rFonts w:hint="cs"/>
          <w:i/>
          <w:iCs/>
          <w:rtl/>
        </w:rPr>
        <w:t xml:space="preserve">يطلب </w:t>
      </w:r>
      <w:r>
        <w:rPr>
          <w:rFonts w:hint="cs"/>
          <w:rtl/>
        </w:rPr>
        <w:t>إلى مفوضية الأمم المتحدة لحقوق الإنسان</w:t>
      </w:r>
      <w:r>
        <w:rPr>
          <w:rFonts w:hint="cs"/>
          <w:rtl/>
          <w:lang w:bidi="ar-BH"/>
        </w:rPr>
        <w:t xml:space="preserve"> أن تقوم</w:t>
      </w:r>
      <w:r>
        <w:rPr>
          <w:rFonts w:hint="cs"/>
          <w:rtl/>
        </w:rPr>
        <w:t>، على سبيل الأولوية، بفضح الآثار السلبية التي تطال حق الشعوب في تقرير المصير جراء أنشطة المرتزقة والشركات الخاصة التي تقدم المساعدة والمشورة وغيرهما من الخدمات العسكرية والأمنية في السوق الدولية، وبتقديم الخدمات الاستشارية، عند الطلب وحسب الاقتضاء، إلى الدول المتضررة من هذه الأنشطة؛</w:t>
      </w:r>
    </w:p>
    <w:p w:rsidR="00576E9C" w:rsidRDefault="00576E9C" w:rsidP="00576E9C">
      <w:pPr>
        <w:pStyle w:val="SingleTxtGA"/>
        <w:rPr>
          <w:rFonts w:hint="cs"/>
          <w:rtl/>
        </w:rPr>
      </w:pPr>
      <w:r>
        <w:rPr>
          <w:rFonts w:hint="cs"/>
          <w:rtl/>
        </w:rPr>
        <w:tab/>
        <w:t>14-</w:t>
      </w:r>
      <w:r>
        <w:rPr>
          <w:rFonts w:hint="cs"/>
          <w:rtl/>
        </w:rPr>
        <w:tab/>
      </w:r>
      <w:r>
        <w:rPr>
          <w:rFonts w:hint="cs"/>
          <w:i/>
          <w:iCs/>
          <w:rtl/>
        </w:rPr>
        <w:t>يطلب</w:t>
      </w:r>
      <w:r>
        <w:rPr>
          <w:rFonts w:hint="cs"/>
          <w:rtl/>
        </w:rPr>
        <w:t xml:space="preserve"> إلى الفريق العامل أن يواصل مراقبة المرتزقة والأنشطة المتصلة بالمرتزقة بجميع أشكالها ومظاهرها، بما فيها الشركات الخاصة العسكرية والأمنية، في مختلف أنحاء العالم، وبما في ذلك الحالات التي توفر فيها الحكومات الحماية لأفراد ضالعين في         أنشطة المرتزقة؛</w:t>
      </w:r>
    </w:p>
    <w:p w:rsidR="00576E9C" w:rsidRPr="00EE4EC1" w:rsidRDefault="00576E9C" w:rsidP="00576E9C">
      <w:pPr>
        <w:pStyle w:val="SingleTxtGA"/>
        <w:rPr>
          <w:rFonts w:hint="cs"/>
          <w:rtl/>
        </w:rPr>
      </w:pPr>
      <w:r>
        <w:rPr>
          <w:rFonts w:hint="cs"/>
          <w:rtl/>
        </w:rPr>
        <w:tab/>
        <w:t>15-</w:t>
      </w:r>
      <w:r>
        <w:rPr>
          <w:rFonts w:hint="cs"/>
          <w:rtl/>
        </w:rPr>
        <w:tab/>
      </w:r>
      <w:r>
        <w:rPr>
          <w:rFonts w:hint="cs"/>
          <w:i/>
          <w:iCs/>
          <w:rtl/>
        </w:rPr>
        <w:t>يطلب أيضاً</w:t>
      </w:r>
      <w:r>
        <w:rPr>
          <w:rFonts w:hint="cs"/>
          <w:rtl/>
        </w:rPr>
        <w:t xml:space="preserve"> إلى الفريق العامل أن يواصل دراسة وتحديد المصادر والأسباب، والقضايا الناشئة، والمظاهر، والاتجاهات فيما يتعلق بالمرتزقة أو الأنشطة المتصلة بالمرتزقة وتأثيرها في حقوق الإنسان، وخاصة حق الشعوب في تقرير مصيرها؛</w:t>
      </w:r>
    </w:p>
    <w:p w:rsidR="00576E9C" w:rsidRPr="00321BAB" w:rsidRDefault="00576E9C" w:rsidP="00576E9C">
      <w:pPr>
        <w:pStyle w:val="SingleTxtGA"/>
        <w:rPr>
          <w:rFonts w:hint="cs"/>
          <w:rtl/>
        </w:rPr>
      </w:pPr>
      <w:r>
        <w:rPr>
          <w:rFonts w:hint="cs"/>
          <w:rtl/>
        </w:rPr>
        <w:tab/>
        <w:t>16</w:t>
      </w:r>
      <w:r w:rsidRPr="00321BAB">
        <w:rPr>
          <w:rFonts w:hint="cs"/>
          <w:rtl/>
        </w:rPr>
        <w:t>-</w:t>
      </w:r>
      <w:r w:rsidRPr="00321BAB">
        <w:rPr>
          <w:rFonts w:hint="cs"/>
          <w:rtl/>
        </w:rPr>
        <w:tab/>
      </w:r>
      <w:r w:rsidRPr="00321BAB">
        <w:rPr>
          <w:rFonts w:hint="cs"/>
          <w:i/>
          <w:iCs/>
          <w:rtl/>
        </w:rPr>
        <w:t xml:space="preserve">يعرب </w:t>
      </w:r>
      <w:r w:rsidRPr="00321BAB">
        <w:rPr>
          <w:rFonts w:hint="cs"/>
          <w:rtl/>
        </w:rPr>
        <w:t xml:space="preserve">عن تقديره لما قدمته المفوضية السامية من دعم لعقد </w:t>
      </w:r>
      <w:r>
        <w:rPr>
          <w:rFonts w:hint="cs"/>
          <w:rtl/>
        </w:rPr>
        <w:t xml:space="preserve">خمس مشاورات حكومية إقليمية للدول </w:t>
      </w:r>
      <w:r w:rsidRPr="00321BAB">
        <w:rPr>
          <w:rFonts w:hint="cs"/>
          <w:rtl/>
        </w:rPr>
        <w:t>بشأن الأشكال التقليدية والجديدة لأنشطة المرتزقة كوسيلة لانتهاك حقوق الإنسان وإعاقة ممارسة حق الشعوب في تقرير المصير، وبخاصة</w:t>
      </w:r>
      <w:r w:rsidRPr="00321BAB">
        <w:rPr>
          <w:rFonts w:hint="eastAsia"/>
          <w:rtl/>
        </w:rPr>
        <w:t> </w:t>
      </w:r>
      <w:r w:rsidRPr="00321BAB">
        <w:rPr>
          <w:rFonts w:hint="cs"/>
          <w:rtl/>
        </w:rPr>
        <w:t xml:space="preserve">فيما يتعلق بتأثير أنشطة الشركات </w:t>
      </w:r>
      <w:r>
        <w:rPr>
          <w:rFonts w:hint="cs"/>
          <w:rtl/>
        </w:rPr>
        <w:t xml:space="preserve">الخاصة </w:t>
      </w:r>
      <w:r w:rsidRPr="00321BAB">
        <w:rPr>
          <w:rFonts w:hint="cs"/>
          <w:rtl/>
        </w:rPr>
        <w:t>العسكرية والأمنية على التمتع بحقوق الإنسان؛</w:t>
      </w:r>
    </w:p>
    <w:p w:rsidR="00576E9C" w:rsidRPr="00321BAB" w:rsidRDefault="00576E9C" w:rsidP="00576E9C">
      <w:pPr>
        <w:pStyle w:val="SingleTxtGA"/>
        <w:rPr>
          <w:rFonts w:hint="cs"/>
          <w:rtl/>
        </w:rPr>
      </w:pPr>
      <w:r>
        <w:rPr>
          <w:rFonts w:hint="cs"/>
          <w:rtl/>
        </w:rPr>
        <w:tab/>
      </w:r>
      <w:r w:rsidRPr="00321BAB">
        <w:rPr>
          <w:rFonts w:hint="cs"/>
          <w:rtl/>
        </w:rPr>
        <w:t>17-</w:t>
      </w:r>
      <w:r w:rsidRPr="00321BAB">
        <w:rPr>
          <w:rFonts w:hint="cs"/>
          <w:rtl/>
        </w:rPr>
        <w:tab/>
      </w:r>
      <w:r w:rsidRPr="00321BAB">
        <w:rPr>
          <w:rFonts w:hint="cs"/>
          <w:i/>
          <w:iCs/>
          <w:rtl/>
        </w:rPr>
        <w:t>يحث</w:t>
      </w:r>
      <w:r w:rsidRPr="00321BAB">
        <w:rPr>
          <w:rFonts w:hint="cs"/>
          <w:rtl/>
        </w:rPr>
        <w:t xml:space="preserve"> جميع الدول على التعاون التام مع الفريق العامل في إنجاز ولايته؛</w:t>
      </w:r>
    </w:p>
    <w:p w:rsidR="00576E9C" w:rsidRPr="00321BAB" w:rsidRDefault="00576E9C" w:rsidP="00576E9C">
      <w:pPr>
        <w:pStyle w:val="SingleTxtGA"/>
        <w:rPr>
          <w:rFonts w:hint="cs"/>
          <w:rtl/>
        </w:rPr>
      </w:pPr>
      <w:r>
        <w:rPr>
          <w:rFonts w:hint="cs"/>
          <w:rtl/>
        </w:rPr>
        <w:tab/>
      </w:r>
      <w:r w:rsidRPr="00321BAB">
        <w:rPr>
          <w:rFonts w:hint="cs"/>
          <w:rtl/>
        </w:rPr>
        <w:t>18</w:t>
      </w:r>
      <w:r>
        <w:rPr>
          <w:rFonts w:hint="cs"/>
          <w:rtl/>
        </w:rPr>
        <w:t>-</w:t>
      </w:r>
      <w:r w:rsidRPr="00321BAB">
        <w:rPr>
          <w:rFonts w:hint="cs"/>
          <w:rtl/>
        </w:rPr>
        <w:tab/>
      </w:r>
      <w:r w:rsidRPr="00321BAB">
        <w:rPr>
          <w:rFonts w:hint="cs"/>
          <w:i/>
          <w:iCs/>
          <w:rtl/>
        </w:rPr>
        <w:t>يطلب</w:t>
      </w:r>
      <w:r w:rsidRPr="00321BAB">
        <w:rPr>
          <w:rFonts w:hint="cs"/>
          <w:rtl/>
        </w:rPr>
        <w:t xml:space="preserve"> إلى الأمين العام وإلى مفوضة الأمم المتحدة السامية لحقوق الإنسان تزويد الفريق العامل بكل ما يلزم من مساعدة ودعم، من الناحيتين المهنية والمالية، لإنجاز ولايته، بوسائل منها تعزيز التعاون بين الفريق العامل وغيره من </w:t>
      </w:r>
      <w:r>
        <w:rPr>
          <w:rFonts w:hint="cs"/>
          <w:rtl/>
        </w:rPr>
        <w:t>أجهزة</w:t>
      </w:r>
      <w:r w:rsidRPr="00321BAB">
        <w:rPr>
          <w:rFonts w:hint="cs"/>
          <w:rtl/>
        </w:rPr>
        <w:t xml:space="preserve"> منظومة الأمم المتحدة المختصة بمكافحة الأنشطة ذات الصلة بالمرتزقة، ليفي بمقتضيات أنشطته الحالية والمقبلة؛</w:t>
      </w:r>
    </w:p>
    <w:p w:rsidR="00576E9C" w:rsidRPr="00321BAB" w:rsidRDefault="00576E9C" w:rsidP="00576E9C">
      <w:pPr>
        <w:pStyle w:val="SingleTxtGA"/>
        <w:rPr>
          <w:rFonts w:hint="cs"/>
          <w:rtl/>
        </w:rPr>
      </w:pPr>
      <w:r>
        <w:rPr>
          <w:rFonts w:hint="cs"/>
          <w:rtl/>
        </w:rPr>
        <w:tab/>
      </w:r>
      <w:r w:rsidRPr="00321BAB">
        <w:rPr>
          <w:rFonts w:hint="cs"/>
          <w:rtl/>
        </w:rPr>
        <w:t>19-</w:t>
      </w:r>
      <w:r w:rsidRPr="00321BAB">
        <w:rPr>
          <w:rFonts w:hint="cs"/>
          <w:rtl/>
        </w:rPr>
        <w:tab/>
      </w:r>
      <w:r w:rsidRPr="00321BAB">
        <w:rPr>
          <w:rFonts w:hint="cs"/>
          <w:i/>
          <w:iCs/>
          <w:rtl/>
        </w:rPr>
        <w:t>يطلب</w:t>
      </w:r>
      <w:r w:rsidRPr="00321BAB">
        <w:rPr>
          <w:rFonts w:hint="cs"/>
          <w:rtl/>
        </w:rPr>
        <w:t xml:space="preserve"> إلى الفريق العامل أن يتشاور مع الدول</w:t>
      </w:r>
      <w:r>
        <w:rPr>
          <w:rFonts w:hint="cs"/>
          <w:rtl/>
        </w:rPr>
        <w:t>،</w:t>
      </w:r>
      <w:r w:rsidRPr="00321BAB">
        <w:rPr>
          <w:rFonts w:hint="cs"/>
          <w:rtl/>
        </w:rPr>
        <w:t xml:space="preserve"> والمنظمات الحكومية الدولية</w:t>
      </w:r>
      <w:r>
        <w:rPr>
          <w:rFonts w:hint="cs"/>
          <w:rtl/>
        </w:rPr>
        <w:t>،</w:t>
      </w:r>
      <w:r w:rsidRPr="00321BAB">
        <w:rPr>
          <w:rFonts w:hint="cs"/>
          <w:rtl/>
        </w:rPr>
        <w:t xml:space="preserve"> والمنظمات غير الحكومية</w:t>
      </w:r>
      <w:r>
        <w:rPr>
          <w:rFonts w:hint="cs"/>
          <w:rtl/>
        </w:rPr>
        <w:t>،</w:t>
      </w:r>
      <w:r w:rsidRPr="00321BAB">
        <w:rPr>
          <w:rFonts w:hint="cs"/>
          <w:rtl/>
        </w:rPr>
        <w:t xml:space="preserve"> وغيرها من الجهات الفاعلة ذات الصلة في المجتمع المدني في تنفيذ هذا القرار، وتقديم استنتاجاته بشأن استخدام المرتزقة كوسيلة لانتهاك حقوق الإنسان وإعاقة ممارسة حق الشعوب في تقرير المصير إلى الجمعية الع</w:t>
      </w:r>
      <w:r>
        <w:rPr>
          <w:rFonts w:hint="cs"/>
          <w:rtl/>
        </w:rPr>
        <w:t>امة في دورتها السادسة</w:t>
      </w:r>
      <w:r w:rsidRPr="00321BAB">
        <w:rPr>
          <w:rFonts w:hint="cs"/>
          <w:rtl/>
        </w:rPr>
        <w:t xml:space="preserve"> والستين وإلى المجلس في دورته </w:t>
      </w:r>
      <w:r>
        <w:rPr>
          <w:rFonts w:hint="cs"/>
          <w:rtl/>
        </w:rPr>
        <w:t>الثامنة</w:t>
      </w:r>
      <w:r w:rsidRPr="00321BAB">
        <w:rPr>
          <w:rFonts w:hint="cs"/>
          <w:rtl/>
        </w:rPr>
        <w:t xml:space="preserve"> عشرة؛</w:t>
      </w:r>
    </w:p>
    <w:p w:rsidR="00576E9C" w:rsidRDefault="00576E9C" w:rsidP="00576E9C">
      <w:pPr>
        <w:pStyle w:val="SingleTxtGA"/>
        <w:rPr>
          <w:rFonts w:hint="cs"/>
          <w:rtl/>
        </w:rPr>
      </w:pPr>
      <w:r>
        <w:rPr>
          <w:rFonts w:hint="cs"/>
          <w:rtl/>
        </w:rPr>
        <w:tab/>
      </w:r>
      <w:r w:rsidRPr="00321BAB">
        <w:rPr>
          <w:rFonts w:hint="cs"/>
          <w:rtl/>
        </w:rPr>
        <w:t>20-</w:t>
      </w:r>
      <w:r w:rsidRPr="00321BAB">
        <w:rPr>
          <w:rFonts w:hint="cs"/>
          <w:rtl/>
        </w:rPr>
        <w:tab/>
      </w:r>
      <w:r w:rsidRPr="00321BAB">
        <w:rPr>
          <w:rFonts w:hint="cs"/>
          <w:i/>
          <w:iCs/>
          <w:rtl/>
        </w:rPr>
        <w:t>يقرر</w:t>
      </w:r>
      <w:r w:rsidRPr="00321BAB">
        <w:rPr>
          <w:rFonts w:hint="cs"/>
          <w:rtl/>
        </w:rPr>
        <w:t xml:space="preserve"> مواصلة نظره في هذه المسألة في دورته </w:t>
      </w:r>
      <w:r>
        <w:rPr>
          <w:rFonts w:hint="cs"/>
          <w:rtl/>
        </w:rPr>
        <w:t>الثامنة</w:t>
      </w:r>
      <w:r w:rsidRPr="00321BAB">
        <w:rPr>
          <w:rFonts w:hint="cs"/>
          <w:rtl/>
        </w:rPr>
        <w:t xml:space="preserve"> عشرة في </w:t>
      </w:r>
      <w:r>
        <w:rPr>
          <w:rFonts w:hint="cs"/>
          <w:rtl/>
        </w:rPr>
        <w:t xml:space="preserve">إطار </w:t>
      </w:r>
      <w:r w:rsidRPr="00321BAB">
        <w:rPr>
          <w:rFonts w:hint="cs"/>
          <w:rtl/>
        </w:rPr>
        <w:t xml:space="preserve">البند </w:t>
      </w:r>
      <w:r>
        <w:rPr>
          <w:rFonts w:hint="cs"/>
          <w:rtl/>
        </w:rPr>
        <w:t xml:space="preserve">نفسه </w:t>
      </w:r>
      <w:r w:rsidRPr="00321BAB">
        <w:rPr>
          <w:rFonts w:hint="cs"/>
          <w:rtl/>
        </w:rPr>
        <w:t>من جدول الأعمال.</w:t>
      </w:r>
    </w:p>
    <w:p w:rsidR="00576E9C" w:rsidRPr="00576E9C" w:rsidRDefault="00576E9C" w:rsidP="005B29DC">
      <w:pPr>
        <w:pStyle w:val="SingleTxtGA"/>
        <w:spacing w:after="0"/>
        <w:jc w:val="right"/>
        <w:rPr>
          <w:rFonts w:hint="cs"/>
          <w:i/>
          <w:iCs/>
          <w:rtl/>
          <w:lang w:bidi="ar-BH"/>
        </w:rPr>
      </w:pPr>
      <w:r w:rsidRPr="00576E9C">
        <w:rPr>
          <w:rFonts w:hint="cs"/>
          <w:i/>
          <w:iCs/>
          <w:rtl/>
          <w:lang w:bidi="ar-BH"/>
        </w:rPr>
        <w:t xml:space="preserve">الجلسة </w:t>
      </w:r>
      <w:r w:rsidR="005B29DC">
        <w:rPr>
          <w:rFonts w:hint="cs"/>
          <w:i/>
          <w:iCs/>
          <w:rtl/>
          <w:lang w:bidi="ar-BH"/>
        </w:rPr>
        <w:t>31</w:t>
      </w:r>
    </w:p>
    <w:p w:rsidR="00576E9C" w:rsidRPr="00576E9C" w:rsidRDefault="00576E9C" w:rsidP="00576E9C">
      <w:pPr>
        <w:pStyle w:val="SingleTxtGA"/>
        <w:jc w:val="right"/>
        <w:rPr>
          <w:rFonts w:hint="cs"/>
          <w:i/>
          <w:iCs/>
          <w:rtl/>
          <w:lang w:bidi="ar-BH"/>
        </w:rPr>
      </w:pPr>
      <w:r w:rsidRPr="00576E9C">
        <w:rPr>
          <w:rFonts w:hint="cs"/>
          <w:i/>
          <w:iCs/>
          <w:rtl/>
          <w:lang w:bidi="ar-BH"/>
        </w:rPr>
        <w:t>30 أيلول/سبتمبر 2010</w:t>
      </w:r>
    </w:p>
    <w:p w:rsidR="00576E9C" w:rsidRDefault="00576E9C" w:rsidP="00576E9C">
      <w:pPr>
        <w:pStyle w:val="SingleTxtGA"/>
        <w:rPr>
          <w:rFonts w:hint="cs"/>
          <w:rtl/>
          <w:lang w:bidi="ar-BH"/>
        </w:rPr>
      </w:pPr>
      <w:r>
        <w:rPr>
          <w:rFonts w:hint="cs"/>
          <w:rtl/>
          <w:lang w:bidi="ar-BH"/>
        </w:rPr>
        <w:t>[اعتُمد بتصويت مسجل بأغلبية 31 صوتاً مقابل 13 صوتاً وامتناع عضوين عن التصويت. وكانت نتيجة التصويت كما يلي:</w:t>
      </w:r>
    </w:p>
    <w:p w:rsidR="00576E9C" w:rsidRDefault="00576E9C" w:rsidP="00576E9C">
      <w:pPr>
        <w:pStyle w:val="SingleTxtGA"/>
        <w:ind w:left="2009"/>
        <w:rPr>
          <w:rFonts w:hint="cs"/>
          <w:rtl/>
          <w:lang w:bidi="ar-BH"/>
        </w:rPr>
      </w:pPr>
      <w:r w:rsidRPr="00576E9C">
        <w:rPr>
          <w:rFonts w:hint="cs"/>
          <w:i/>
          <w:iCs/>
          <w:rtl/>
          <w:lang w:bidi="ar-BH"/>
        </w:rPr>
        <w:t>المؤيدون</w:t>
      </w:r>
      <w:r>
        <w:rPr>
          <w:rFonts w:hint="cs"/>
          <w:rtl/>
          <w:lang w:bidi="ar-BH"/>
        </w:rPr>
        <w:t>:</w:t>
      </w:r>
    </w:p>
    <w:p w:rsidR="00576E9C" w:rsidRDefault="00576E9C" w:rsidP="00576E9C">
      <w:pPr>
        <w:pStyle w:val="SingleTxtGA"/>
        <w:tabs>
          <w:tab w:val="clear" w:pos="1928"/>
          <w:tab w:val="clear" w:pos="2608"/>
        </w:tabs>
        <w:ind w:left="2891"/>
        <w:rPr>
          <w:rFonts w:hint="cs"/>
          <w:rtl/>
        </w:rPr>
      </w:pPr>
      <w:r>
        <w:rPr>
          <w:rtl/>
        </w:rPr>
        <w:t>الاتحاد الروس</w:t>
      </w:r>
      <w:r>
        <w:rPr>
          <w:rFonts w:hint="cs"/>
          <w:rtl/>
        </w:rPr>
        <w:t xml:space="preserve">ي، </w:t>
      </w:r>
      <w:r w:rsidRPr="00AD6516">
        <w:rPr>
          <w:rtl/>
        </w:rPr>
        <w:t>الأرجنتين</w:t>
      </w:r>
      <w:r>
        <w:rPr>
          <w:rFonts w:hint="cs"/>
          <w:rtl/>
        </w:rPr>
        <w:t xml:space="preserve">، </w:t>
      </w:r>
      <w:r w:rsidRPr="00AD6516">
        <w:rPr>
          <w:rtl/>
        </w:rPr>
        <w:t>الأردن</w:t>
      </w:r>
      <w:r>
        <w:rPr>
          <w:rFonts w:hint="cs"/>
          <w:rtl/>
        </w:rPr>
        <w:t xml:space="preserve">، </w:t>
      </w:r>
      <w:r w:rsidRPr="00AD6516">
        <w:rPr>
          <w:rtl/>
        </w:rPr>
        <w:t>إكوادور</w:t>
      </w:r>
      <w:r>
        <w:rPr>
          <w:rFonts w:hint="cs"/>
          <w:rtl/>
        </w:rPr>
        <w:t xml:space="preserve">، </w:t>
      </w:r>
      <w:r w:rsidRPr="00AD6516">
        <w:rPr>
          <w:rtl/>
        </w:rPr>
        <w:t>أنغولا</w:t>
      </w:r>
      <w:r>
        <w:rPr>
          <w:rFonts w:hint="cs"/>
          <w:rtl/>
        </w:rPr>
        <w:t xml:space="preserve">، </w:t>
      </w:r>
      <w:r w:rsidRPr="00AD6516">
        <w:rPr>
          <w:rtl/>
        </w:rPr>
        <w:t>أوروغواي</w:t>
      </w:r>
      <w:r>
        <w:rPr>
          <w:rFonts w:hint="cs"/>
          <w:rtl/>
        </w:rPr>
        <w:t xml:space="preserve">، </w:t>
      </w:r>
      <w:r w:rsidRPr="00AD6516">
        <w:rPr>
          <w:rtl/>
        </w:rPr>
        <w:t>أوغندا</w:t>
      </w:r>
      <w:r>
        <w:rPr>
          <w:rFonts w:hint="cs"/>
          <w:rtl/>
        </w:rPr>
        <w:t xml:space="preserve">، </w:t>
      </w:r>
      <w:r w:rsidRPr="00AD6516">
        <w:rPr>
          <w:rtl/>
        </w:rPr>
        <w:t>باكستان</w:t>
      </w:r>
      <w:r>
        <w:rPr>
          <w:rFonts w:hint="cs"/>
          <w:rtl/>
        </w:rPr>
        <w:t xml:space="preserve">، </w:t>
      </w:r>
      <w:r w:rsidRPr="00AD6516">
        <w:rPr>
          <w:rtl/>
        </w:rPr>
        <w:t>البحرين</w:t>
      </w:r>
      <w:r>
        <w:rPr>
          <w:rFonts w:hint="cs"/>
          <w:rtl/>
        </w:rPr>
        <w:t xml:space="preserve">، </w:t>
      </w:r>
      <w:r w:rsidRPr="00AD6516">
        <w:rPr>
          <w:rtl/>
        </w:rPr>
        <w:t>بنغلاديش</w:t>
      </w:r>
      <w:r>
        <w:rPr>
          <w:rFonts w:hint="cs"/>
          <w:rtl/>
        </w:rPr>
        <w:t xml:space="preserve">، </w:t>
      </w:r>
      <w:r w:rsidRPr="00AD6516">
        <w:rPr>
          <w:rtl/>
        </w:rPr>
        <w:t>البرازيل</w:t>
      </w:r>
      <w:r>
        <w:rPr>
          <w:rFonts w:hint="cs"/>
          <w:rtl/>
        </w:rPr>
        <w:t xml:space="preserve">، </w:t>
      </w:r>
      <w:r w:rsidRPr="00AD6516">
        <w:rPr>
          <w:rtl/>
        </w:rPr>
        <w:t>بوركينا فاسو</w:t>
      </w:r>
      <w:r>
        <w:rPr>
          <w:rFonts w:hint="cs"/>
          <w:rtl/>
        </w:rPr>
        <w:t xml:space="preserve">، </w:t>
      </w:r>
      <w:r w:rsidRPr="00AD6516">
        <w:rPr>
          <w:rtl/>
        </w:rPr>
        <w:t>تايلند</w:t>
      </w:r>
      <w:r>
        <w:rPr>
          <w:rFonts w:hint="cs"/>
          <w:rtl/>
        </w:rPr>
        <w:t xml:space="preserve">، </w:t>
      </w:r>
      <w:r w:rsidRPr="00AD6516">
        <w:rPr>
          <w:rtl/>
        </w:rPr>
        <w:t>الجماهيرية العربية الليبية</w:t>
      </w:r>
      <w:r>
        <w:rPr>
          <w:rFonts w:hint="cs"/>
          <w:rtl/>
        </w:rPr>
        <w:t xml:space="preserve">، </w:t>
      </w:r>
      <w:r w:rsidRPr="00AD6516">
        <w:rPr>
          <w:rtl/>
        </w:rPr>
        <w:t>جيبوتي</w:t>
      </w:r>
      <w:r>
        <w:rPr>
          <w:rFonts w:hint="cs"/>
          <w:rtl/>
        </w:rPr>
        <w:t xml:space="preserve">، </w:t>
      </w:r>
      <w:r w:rsidRPr="00AD6516">
        <w:rPr>
          <w:rtl/>
        </w:rPr>
        <w:t>زامبيا</w:t>
      </w:r>
      <w:r>
        <w:rPr>
          <w:rFonts w:hint="cs"/>
          <w:rtl/>
        </w:rPr>
        <w:t xml:space="preserve">، </w:t>
      </w:r>
      <w:r w:rsidRPr="00AD6516">
        <w:rPr>
          <w:rtl/>
        </w:rPr>
        <w:t>السنغال</w:t>
      </w:r>
      <w:r>
        <w:rPr>
          <w:rFonts w:hint="cs"/>
          <w:rtl/>
        </w:rPr>
        <w:t xml:space="preserve">، </w:t>
      </w:r>
      <w:r w:rsidRPr="00AD6516">
        <w:rPr>
          <w:rtl/>
        </w:rPr>
        <w:t>شيلي</w:t>
      </w:r>
      <w:r>
        <w:rPr>
          <w:rFonts w:hint="cs"/>
          <w:rtl/>
        </w:rPr>
        <w:t xml:space="preserve">، </w:t>
      </w:r>
      <w:r w:rsidRPr="00AD6516">
        <w:rPr>
          <w:rtl/>
        </w:rPr>
        <w:t>الصين</w:t>
      </w:r>
      <w:r>
        <w:rPr>
          <w:rFonts w:hint="cs"/>
          <w:rtl/>
        </w:rPr>
        <w:t xml:space="preserve">، </w:t>
      </w:r>
      <w:r w:rsidRPr="00AD6516">
        <w:rPr>
          <w:rtl/>
        </w:rPr>
        <w:t>غابون</w:t>
      </w:r>
      <w:r>
        <w:rPr>
          <w:rFonts w:hint="cs"/>
          <w:rtl/>
        </w:rPr>
        <w:t xml:space="preserve">، </w:t>
      </w:r>
      <w:r w:rsidRPr="00AD6516">
        <w:rPr>
          <w:rtl/>
        </w:rPr>
        <w:t>غانا</w:t>
      </w:r>
      <w:r>
        <w:rPr>
          <w:rFonts w:hint="cs"/>
          <w:rtl/>
        </w:rPr>
        <w:t xml:space="preserve">، </w:t>
      </w:r>
      <w:r w:rsidRPr="00AD6516">
        <w:rPr>
          <w:rtl/>
        </w:rPr>
        <w:t>غواتيمالا</w:t>
      </w:r>
      <w:r>
        <w:rPr>
          <w:rFonts w:hint="cs"/>
          <w:rtl/>
        </w:rPr>
        <w:t xml:space="preserve">، </w:t>
      </w:r>
      <w:r w:rsidRPr="00AD6516">
        <w:rPr>
          <w:rtl/>
        </w:rPr>
        <w:t>قطر</w:t>
      </w:r>
      <w:r>
        <w:rPr>
          <w:rFonts w:hint="cs"/>
          <w:rtl/>
        </w:rPr>
        <w:t xml:space="preserve">، </w:t>
      </w:r>
      <w:r w:rsidRPr="00AD6516">
        <w:rPr>
          <w:rtl/>
        </w:rPr>
        <w:t>قيرغيزستان</w:t>
      </w:r>
      <w:r>
        <w:rPr>
          <w:rFonts w:hint="cs"/>
          <w:rtl/>
        </w:rPr>
        <w:t xml:space="preserve">، </w:t>
      </w:r>
      <w:r w:rsidRPr="00AD6516">
        <w:rPr>
          <w:rtl/>
        </w:rPr>
        <w:t>الكاميرون</w:t>
      </w:r>
      <w:r>
        <w:rPr>
          <w:rFonts w:hint="cs"/>
          <w:rtl/>
        </w:rPr>
        <w:t xml:space="preserve">، </w:t>
      </w:r>
      <w:r w:rsidRPr="00AD6516">
        <w:rPr>
          <w:rtl/>
        </w:rPr>
        <w:t>كوبا</w:t>
      </w:r>
      <w:r>
        <w:rPr>
          <w:rFonts w:hint="cs"/>
          <w:rtl/>
        </w:rPr>
        <w:t xml:space="preserve">، </w:t>
      </w:r>
      <w:r w:rsidRPr="00AD6516">
        <w:rPr>
          <w:rtl/>
        </w:rPr>
        <w:t>ماليزيا</w:t>
      </w:r>
      <w:r>
        <w:rPr>
          <w:rFonts w:hint="cs"/>
          <w:rtl/>
        </w:rPr>
        <w:t xml:space="preserve">، </w:t>
      </w:r>
      <w:r w:rsidRPr="00AD6516">
        <w:rPr>
          <w:rtl/>
        </w:rPr>
        <w:t>المكسيك</w:t>
      </w:r>
      <w:r>
        <w:rPr>
          <w:rFonts w:hint="cs"/>
          <w:rtl/>
        </w:rPr>
        <w:t xml:space="preserve">، </w:t>
      </w:r>
      <w:r w:rsidRPr="00AD6516">
        <w:rPr>
          <w:rtl/>
        </w:rPr>
        <w:t>المملكة العربية السعودية</w:t>
      </w:r>
      <w:r>
        <w:rPr>
          <w:rFonts w:hint="cs"/>
          <w:rtl/>
        </w:rPr>
        <w:t xml:space="preserve">، </w:t>
      </w:r>
      <w:r w:rsidRPr="00AD6516">
        <w:rPr>
          <w:rtl/>
        </w:rPr>
        <w:t>موريشيوس</w:t>
      </w:r>
      <w:r>
        <w:rPr>
          <w:rFonts w:hint="cs"/>
          <w:rtl/>
        </w:rPr>
        <w:t xml:space="preserve">، </w:t>
      </w:r>
      <w:r w:rsidRPr="00AD6516">
        <w:rPr>
          <w:rtl/>
        </w:rPr>
        <w:t>نيجيريا</w:t>
      </w:r>
    </w:p>
    <w:p w:rsidR="00576E9C" w:rsidRDefault="00576E9C" w:rsidP="00576E9C">
      <w:pPr>
        <w:pStyle w:val="SingleTxtGA"/>
        <w:ind w:left="2009"/>
        <w:rPr>
          <w:rFonts w:hint="cs"/>
          <w:rtl/>
        </w:rPr>
      </w:pPr>
      <w:r w:rsidRPr="00576E9C">
        <w:rPr>
          <w:rFonts w:hint="cs"/>
          <w:i/>
          <w:iCs/>
          <w:rtl/>
          <w:lang w:bidi="ar-BH"/>
        </w:rPr>
        <w:t>المعارضون</w:t>
      </w:r>
      <w:r>
        <w:rPr>
          <w:rFonts w:hint="cs"/>
          <w:rtl/>
        </w:rPr>
        <w:t>:</w:t>
      </w:r>
    </w:p>
    <w:p w:rsidR="00576E9C" w:rsidRDefault="00576E9C" w:rsidP="00576E9C">
      <w:pPr>
        <w:pStyle w:val="SingleTxtGA"/>
        <w:tabs>
          <w:tab w:val="clear" w:pos="1928"/>
          <w:tab w:val="clear" w:pos="2608"/>
        </w:tabs>
        <w:ind w:left="2891"/>
        <w:rPr>
          <w:rFonts w:hint="cs"/>
          <w:rtl/>
        </w:rPr>
      </w:pPr>
      <w:r>
        <w:rPr>
          <w:rFonts w:hint="cs"/>
          <w:rtl/>
        </w:rPr>
        <w:t>إسبانيا، أوكرانيا، بلجيكا، بولندا، جمهورية كوريا، جمهورية مولدوفا، سلوفاكيا، فرنسا، المملكة المتحدة لبريطانيا العظمى وآيرلندا الشمالية، النرويج، هنغاريا، الولايات المتحدة الأمريكية، اليابان</w:t>
      </w:r>
    </w:p>
    <w:p w:rsidR="00576E9C" w:rsidRDefault="00576E9C" w:rsidP="00576E9C">
      <w:pPr>
        <w:pStyle w:val="SingleTxtGA"/>
        <w:ind w:left="2009"/>
        <w:rPr>
          <w:rFonts w:hint="cs"/>
          <w:rtl/>
        </w:rPr>
      </w:pPr>
      <w:r w:rsidRPr="00576E9C">
        <w:rPr>
          <w:rFonts w:hint="cs"/>
          <w:i/>
          <w:iCs/>
          <w:rtl/>
          <w:lang w:bidi="ar-BH"/>
        </w:rPr>
        <w:t>الممتنعون</w:t>
      </w:r>
      <w:r>
        <w:rPr>
          <w:rFonts w:hint="cs"/>
          <w:rtl/>
        </w:rPr>
        <w:t>:</w:t>
      </w:r>
    </w:p>
    <w:p w:rsidR="00576E9C" w:rsidRPr="00AD6516" w:rsidRDefault="005B29DC" w:rsidP="00576E9C">
      <w:pPr>
        <w:pStyle w:val="SingleTxtGA"/>
        <w:tabs>
          <w:tab w:val="clear" w:pos="1928"/>
          <w:tab w:val="clear" w:pos="2608"/>
        </w:tabs>
        <w:ind w:left="2891"/>
        <w:rPr>
          <w:rFonts w:hint="cs"/>
          <w:rtl/>
        </w:rPr>
      </w:pPr>
      <w:r>
        <w:rPr>
          <w:rFonts w:hint="cs"/>
          <w:rtl/>
        </w:rPr>
        <w:t>ملديف، سويسرا.]</w:t>
      </w:r>
    </w:p>
    <w:p w:rsidR="00576E9C" w:rsidRPr="00576E9C" w:rsidRDefault="00576E9C" w:rsidP="00576E9C">
      <w:pPr>
        <w:spacing w:before="120"/>
        <w:jc w:val="center"/>
        <w:rPr>
          <w:rFonts w:hint="cs"/>
          <w:u w:val="single"/>
          <w:rtl/>
        </w:rPr>
      </w:pPr>
      <w:r>
        <w:rPr>
          <w:u w:val="single"/>
          <w:rtl/>
        </w:rPr>
        <w:tab/>
      </w:r>
      <w:r>
        <w:rPr>
          <w:u w:val="single"/>
          <w:rtl/>
        </w:rPr>
        <w:tab/>
      </w:r>
      <w:r>
        <w:rPr>
          <w:u w:val="single"/>
          <w:rtl/>
        </w:rPr>
        <w:tab/>
      </w:r>
    </w:p>
    <w:sectPr w:rsidR="00576E9C" w:rsidRPr="00576E9C" w:rsidSect="00576E9C">
      <w:headerReference w:type="even" r:id="rId8"/>
      <w:headerReference w:type="default" r:id="rId9"/>
      <w:footerReference w:type="even" r:id="rId10"/>
      <w:footerReference w:type="default" r:id="rId11"/>
      <w:footerReference w:type="first" r:id="rId12"/>
      <w:endnotePr>
        <w:numFmt w:val="decimal"/>
      </w:endnotePr>
      <w:type w:val="continuous"/>
      <w:pgSz w:w="11906" w:h="16838" w:code="9"/>
      <w:pgMar w:top="1701" w:right="1134" w:bottom="2268" w:left="1134" w:header="1134" w:footer="1701" w:gutter="0"/>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A6548" w:rsidRPr="00FE6865" w:rsidRDefault="00EA6548" w:rsidP="00FE6865">
      <w:pPr>
        <w:pStyle w:val="Footer"/>
      </w:pPr>
    </w:p>
  </w:endnote>
  <w:endnote w:type="continuationSeparator" w:id="0">
    <w:p w:rsidR="00EA6548" w:rsidRDefault="00EA65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6548" w:rsidRPr="00576E9C" w:rsidRDefault="00EA6548" w:rsidP="00576E9C">
    <w:pPr>
      <w:pStyle w:val="Footer"/>
      <w:tabs>
        <w:tab w:val="right" w:pos="9598"/>
      </w:tabs>
    </w:pPr>
    <w:r>
      <w:t>GE.10-16652</w:t>
    </w:r>
    <w:r>
      <w:tab/>
    </w:r>
    <w:r w:rsidRPr="00576E9C">
      <w:rPr>
        <w:b/>
        <w:sz w:val="18"/>
      </w:rPr>
      <w:fldChar w:fldCharType="begin"/>
    </w:r>
    <w:r w:rsidRPr="00576E9C">
      <w:rPr>
        <w:b/>
        <w:sz w:val="18"/>
      </w:rPr>
      <w:instrText xml:space="preserve"> PAGE  \* MERGEFORMAT </w:instrText>
    </w:r>
    <w:r w:rsidRPr="00576E9C">
      <w:rPr>
        <w:b/>
        <w:sz w:val="18"/>
      </w:rPr>
      <w:fldChar w:fldCharType="separate"/>
    </w:r>
    <w:r>
      <w:rPr>
        <w:b/>
        <w:noProof/>
        <w:sz w:val="18"/>
      </w:rPr>
      <w:t>4</w:t>
    </w:r>
    <w:r w:rsidRPr="00576E9C">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6548" w:rsidRPr="00576E9C" w:rsidRDefault="00EA6548" w:rsidP="00576E9C">
    <w:pPr>
      <w:pStyle w:val="Footer"/>
      <w:tabs>
        <w:tab w:val="right" w:pos="9598"/>
      </w:tabs>
      <w:rPr>
        <w:b/>
        <w:sz w:val="18"/>
      </w:rPr>
    </w:pPr>
    <w:r w:rsidRPr="00576E9C">
      <w:rPr>
        <w:b/>
        <w:sz w:val="18"/>
      </w:rPr>
      <w:fldChar w:fldCharType="begin"/>
    </w:r>
    <w:r w:rsidRPr="00576E9C">
      <w:rPr>
        <w:b/>
        <w:sz w:val="18"/>
      </w:rPr>
      <w:instrText xml:space="preserve"> PAGE  \* MERGEFORMAT </w:instrText>
    </w:r>
    <w:r w:rsidRPr="00576E9C">
      <w:rPr>
        <w:b/>
        <w:sz w:val="18"/>
      </w:rPr>
      <w:fldChar w:fldCharType="separate"/>
    </w:r>
    <w:r>
      <w:rPr>
        <w:b/>
        <w:noProof/>
        <w:sz w:val="18"/>
      </w:rPr>
      <w:t>5</w:t>
    </w:r>
    <w:r w:rsidRPr="00576E9C">
      <w:rPr>
        <w:b/>
        <w:sz w:val="18"/>
      </w:rPr>
      <w:fldChar w:fldCharType="end"/>
    </w:r>
    <w:r>
      <w:rPr>
        <w:b/>
        <w:sz w:val="18"/>
      </w:rPr>
      <w:tab/>
    </w:r>
    <w:r>
      <w:t>GE.10-16652</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6548" w:rsidRDefault="00EA6548" w:rsidP="00576E9C">
    <w:pPr>
      <w:pStyle w:val="Footer"/>
      <w:jc w:val="right"/>
    </w:pPr>
    <w:r>
      <w:rPr>
        <w:sz w:val="20"/>
      </w:rPr>
      <w:t>(A)   GE.10-16652</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1;mso-position-horizontal-relative:text;mso-position-vertical-relative:text" wrapcoords="-177 0 -177 20965 21600 20965 21600 0 -177 0" o:allowincell="f">
          <v:imagedata r:id="rId1" o:title="PleaseRecycleArabic"/>
          <w10:wrap type="tight"/>
          <w10:anchorlock/>
        </v:shape>
      </w:pict>
    </w:r>
    <w:r>
      <w:rPr>
        <w:sz w:val="20"/>
      </w:rPr>
      <w:t xml:space="preserve">    121010    131010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A6548" w:rsidRDefault="00EA6548" w:rsidP="009A0C39">
      <w:pPr>
        <w:spacing w:after="80" w:line="200" w:lineRule="atLeast"/>
        <w:ind w:left="680"/>
      </w:pPr>
      <w:r w:rsidRPr="00C10C26">
        <w:rPr>
          <w:sz w:val="16"/>
          <w:rtl/>
        </w:rPr>
        <w:t>__________</w:t>
      </w:r>
    </w:p>
  </w:footnote>
  <w:footnote w:type="continuationSeparator" w:id="0">
    <w:p w:rsidR="00EA6548" w:rsidRDefault="00EA6548" w:rsidP="00444AA6">
      <w:pPr>
        <w:pStyle w:val="Footer"/>
        <w:bidi/>
        <w:spacing w:after="80" w:line="200" w:lineRule="exact"/>
        <w:ind w:left="680"/>
      </w:pPr>
      <w:r>
        <w:rPr>
          <w:rFonts w:hint="cs"/>
          <w:rtl/>
        </w:rPr>
        <w:t>__________</w:t>
      </w:r>
    </w:p>
  </w:footnote>
  <w:footnote w:id="1">
    <w:p w:rsidR="00EA6548" w:rsidRPr="00576E9C" w:rsidRDefault="00EA6548" w:rsidP="00576E9C">
      <w:pPr>
        <w:pStyle w:val="footnoteText0"/>
        <w:rPr>
          <w:rFonts w:hint="cs"/>
          <w:rtl/>
        </w:rPr>
      </w:pPr>
      <w:r>
        <w:rPr>
          <w:rtl/>
        </w:rPr>
        <w:tab/>
      </w:r>
      <w:r w:rsidRPr="00576E9C">
        <w:rPr>
          <w:rStyle w:val="FootnoteReference"/>
          <w:sz w:val="20"/>
          <w:vertAlign w:val="baseline"/>
          <w:rtl/>
        </w:rPr>
        <w:t>*</w:t>
      </w:r>
      <w:r>
        <w:rPr>
          <w:rtl/>
        </w:rPr>
        <w:tab/>
      </w:r>
      <w:r>
        <w:rPr>
          <w:rFonts w:hint="cs"/>
          <w:rtl/>
        </w:rPr>
        <w:t xml:space="preserve">سترد القرارات والمقررات التي اعتمدها مجلس حقوق الإنسان في تقرير المجلس عن أعمال دورته الخامسة عشرة </w:t>
      </w:r>
      <w:r>
        <w:t>(A/HRC/15/60)</w:t>
      </w:r>
      <w:r>
        <w:rPr>
          <w:rFonts w:hint="cs"/>
          <w:rtl/>
        </w:rPr>
        <w:t>، الفصل الأول.</w:t>
      </w:r>
    </w:p>
  </w:footnote>
  <w:footnote w:id="2">
    <w:p w:rsidR="00EA6548" w:rsidRPr="00F30A6C" w:rsidRDefault="00EA6548" w:rsidP="00576E9C">
      <w:pPr>
        <w:pStyle w:val="FootnoteText"/>
        <w:numPr>
          <w:ilvl w:val="0"/>
          <w:numId w:val="40"/>
        </w:numPr>
        <w:tabs>
          <w:tab w:val="clear" w:pos="1307"/>
          <w:tab w:val="num" w:pos="1253"/>
        </w:tabs>
        <w:spacing w:after="60" w:line="300" w:lineRule="exact"/>
        <w:ind w:left="1248"/>
        <w:rPr>
          <w:sz w:val="18"/>
          <w:szCs w:val="26"/>
        </w:rPr>
      </w:pPr>
      <w:r>
        <w:rPr>
          <w:sz w:val="18"/>
          <w:szCs w:val="26"/>
        </w:rPr>
        <w:t>A/HRC/15/25</w:t>
      </w:r>
      <w:r>
        <w:rPr>
          <w:rFonts w:hint="cs"/>
          <w:sz w:val="18"/>
          <w:szCs w:val="26"/>
          <w:rtl/>
        </w:rPr>
        <w:t xml:space="preserve"> و</w:t>
      </w:r>
      <w:r>
        <w:rPr>
          <w:sz w:val="18"/>
          <w:szCs w:val="26"/>
          <w:lang w:val="fr-CH"/>
        </w:rPr>
        <w:t>Add.</w:t>
      </w:r>
      <w:r>
        <w:rPr>
          <w:sz w:val="18"/>
          <w:szCs w:val="26"/>
        </w:rPr>
        <w:t>1-</w:t>
      </w:r>
      <w:r>
        <w:rPr>
          <w:sz w:val="18"/>
          <w:szCs w:val="26"/>
          <w:lang w:val="fr-CH"/>
        </w:rPr>
        <w:t>6</w:t>
      </w:r>
      <w:r>
        <w:rPr>
          <w:rFonts w:hint="cs"/>
          <w:sz w:val="18"/>
          <w:szCs w:val="26"/>
          <w:rtl/>
          <w:lang w:val="fr-CH"/>
        </w:rPr>
        <w:t>.</w:t>
      </w:r>
    </w:p>
  </w:footnote>
  <w:footnote w:id="3">
    <w:p w:rsidR="00EA6548" w:rsidRPr="00F30A6C" w:rsidRDefault="00EA6548" w:rsidP="00576E9C">
      <w:pPr>
        <w:pStyle w:val="FootnoteText"/>
        <w:numPr>
          <w:ilvl w:val="0"/>
          <w:numId w:val="40"/>
        </w:numPr>
        <w:spacing w:after="60" w:line="300" w:lineRule="exact"/>
        <w:ind w:left="1248"/>
        <w:rPr>
          <w:sz w:val="18"/>
          <w:szCs w:val="26"/>
        </w:rPr>
      </w:pPr>
      <w:r>
        <w:rPr>
          <w:sz w:val="18"/>
          <w:szCs w:val="26"/>
        </w:rPr>
        <w:t>E/CN.4/2004/15</w:t>
      </w:r>
      <w:r w:rsidRPr="00F30A6C">
        <w:rPr>
          <w:rFonts w:hint="cs"/>
          <w:sz w:val="18"/>
          <w:szCs w:val="26"/>
          <w:rtl/>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6548" w:rsidRPr="00576E9C" w:rsidRDefault="00EA6548" w:rsidP="00576E9C">
    <w:pPr>
      <w:pStyle w:val="Header"/>
      <w:jc w:val="right"/>
    </w:pPr>
    <w:r w:rsidRPr="00576E9C">
      <w:t>A/HRC/RES/15/12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6548" w:rsidRPr="00576E9C" w:rsidRDefault="00EA6548" w:rsidP="00576E9C">
    <w:pPr>
      <w:pStyle w:val="Header"/>
      <w:jc w:val="left"/>
    </w:pPr>
    <w:r w:rsidRPr="00576E9C">
      <w:t>A/HRC/RES/15/12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0856402"/>
    <w:multiLevelType w:val="hybridMultilevel"/>
    <w:tmpl w:val="A62EAE08"/>
    <w:lvl w:ilvl="0" w:tplc="6F8A8A28">
      <w:start w:val="1"/>
      <w:numFmt w:val="decimal"/>
      <w:lvlRestart w:val="0"/>
      <w:lvlText w:val="(%1)"/>
      <w:lvlJc w:val="right"/>
      <w:pPr>
        <w:tabs>
          <w:tab w:val="num" w:pos="1307"/>
        </w:tabs>
        <w:ind w:left="1307" w:hanging="227"/>
      </w:pPr>
      <w:rPr>
        <w:rFonts w:ascii="Times New Roman" w:hAnsi="Times New Roman" w:cs="Traditional Arabic" w:hint="default"/>
        <w:caps w:val="0"/>
        <w:strike w:val="0"/>
        <w:dstrike w:val="0"/>
        <w:outline w:val="0"/>
        <w:shadow w:val="0"/>
        <w:emboss w:val="0"/>
        <w:imprint w:val="0"/>
        <w:vanish w:val="0"/>
        <w:color w:val="auto"/>
        <w:sz w:val="18"/>
        <w:szCs w:val="26"/>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5">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8">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20">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2">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4"/>
  </w:num>
  <w:num w:numId="4">
    <w:abstractNumId w:val="11"/>
  </w:num>
  <w:num w:numId="5">
    <w:abstractNumId w:val="8"/>
  </w:num>
  <w:num w:numId="6">
    <w:abstractNumId w:val="21"/>
  </w:num>
  <w:num w:numId="7">
    <w:abstractNumId w:val="10"/>
  </w:num>
  <w:num w:numId="8">
    <w:abstractNumId w:val="9"/>
  </w:num>
  <w:num w:numId="9">
    <w:abstractNumId w:val="12"/>
  </w:num>
  <w:num w:numId="10">
    <w:abstractNumId w:val="20"/>
  </w:num>
  <w:num w:numId="11">
    <w:abstractNumId w:val="1"/>
  </w:num>
  <w:num w:numId="12">
    <w:abstractNumId w:val="14"/>
  </w:num>
  <w:num w:numId="13">
    <w:abstractNumId w:val="11"/>
  </w:num>
  <w:num w:numId="14">
    <w:abstractNumId w:val="8"/>
  </w:num>
  <w:num w:numId="15">
    <w:abstractNumId w:val="21"/>
  </w:num>
  <w:num w:numId="16">
    <w:abstractNumId w:val="1"/>
  </w:num>
  <w:num w:numId="17">
    <w:abstractNumId w:val="14"/>
  </w:num>
  <w:num w:numId="18">
    <w:abstractNumId w:val="11"/>
  </w:num>
  <w:num w:numId="19">
    <w:abstractNumId w:val="8"/>
  </w:num>
  <w:num w:numId="20">
    <w:abstractNumId w:val="21"/>
  </w:num>
  <w:num w:numId="21">
    <w:abstractNumId w:val="1"/>
  </w:num>
  <w:num w:numId="22">
    <w:abstractNumId w:val="14"/>
  </w:num>
  <w:num w:numId="23">
    <w:abstractNumId w:val="8"/>
  </w:num>
  <w:num w:numId="24">
    <w:abstractNumId w:val="21"/>
  </w:num>
  <w:num w:numId="25">
    <w:abstractNumId w:val="14"/>
  </w:num>
  <w:num w:numId="26">
    <w:abstractNumId w:val="1"/>
  </w:num>
  <w:num w:numId="27">
    <w:abstractNumId w:val="3"/>
  </w:num>
  <w:num w:numId="28">
    <w:abstractNumId w:val="2"/>
  </w:num>
  <w:num w:numId="29">
    <w:abstractNumId w:val="16"/>
  </w:num>
  <w:num w:numId="30">
    <w:abstractNumId w:val="4"/>
  </w:num>
  <w:num w:numId="31">
    <w:abstractNumId w:val="7"/>
  </w:num>
  <w:num w:numId="32">
    <w:abstractNumId w:val="15"/>
  </w:num>
  <w:num w:numId="33">
    <w:abstractNumId w:val="18"/>
  </w:num>
  <w:num w:numId="34">
    <w:abstractNumId w:val="22"/>
  </w:num>
  <w:num w:numId="35">
    <w:abstractNumId w:val="5"/>
  </w:num>
  <w:num w:numId="36">
    <w:abstractNumId w:val="17"/>
  </w:num>
  <w:num w:numId="37">
    <w:abstractNumId w:val="19"/>
  </w:num>
  <w:num w:numId="38">
    <w:abstractNumId w:val="0"/>
  </w:num>
  <w:num w:numId="39">
    <w:abstractNumId w:val="6"/>
  </w:num>
  <w:num w:numId="4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ar-SA" w:vendorID="4" w:dllVersion="512" w:checkStyle="0"/>
  <w:proofState w:spelling="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drawingGridHorizontalSpacing w:val="100"/>
  <w:displayHorizont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069BB"/>
    <w:rsid w:val="00040E25"/>
    <w:rsid w:val="00042149"/>
    <w:rsid w:val="000648EA"/>
    <w:rsid w:val="000957C8"/>
    <w:rsid w:val="000B52F2"/>
    <w:rsid w:val="000D0EAE"/>
    <w:rsid w:val="000D5380"/>
    <w:rsid w:val="000D6654"/>
    <w:rsid w:val="000F0264"/>
    <w:rsid w:val="000F2EBF"/>
    <w:rsid w:val="000F5FF6"/>
    <w:rsid w:val="00113FA5"/>
    <w:rsid w:val="001455A0"/>
    <w:rsid w:val="001602A3"/>
    <w:rsid w:val="001A5161"/>
    <w:rsid w:val="001A60BD"/>
    <w:rsid w:val="0023736D"/>
    <w:rsid w:val="00257225"/>
    <w:rsid w:val="00275860"/>
    <w:rsid w:val="00310160"/>
    <w:rsid w:val="00341A8C"/>
    <w:rsid w:val="003519E6"/>
    <w:rsid w:val="003B4356"/>
    <w:rsid w:val="003D074D"/>
    <w:rsid w:val="003F08A8"/>
    <w:rsid w:val="004250E3"/>
    <w:rsid w:val="00444AA6"/>
    <w:rsid w:val="00472A81"/>
    <w:rsid w:val="004B2C92"/>
    <w:rsid w:val="004D6A3A"/>
    <w:rsid w:val="004F4AD7"/>
    <w:rsid w:val="005449D8"/>
    <w:rsid w:val="00557CD3"/>
    <w:rsid w:val="00571432"/>
    <w:rsid w:val="005732A2"/>
    <w:rsid w:val="005762A5"/>
    <w:rsid w:val="00576E9C"/>
    <w:rsid w:val="00590BA3"/>
    <w:rsid w:val="005A1A9A"/>
    <w:rsid w:val="005B29DC"/>
    <w:rsid w:val="005B7AE0"/>
    <w:rsid w:val="005F146F"/>
    <w:rsid w:val="005F71B6"/>
    <w:rsid w:val="00660FD4"/>
    <w:rsid w:val="006A4425"/>
    <w:rsid w:val="006B4669"/>
    <w:rsid w:val="006C768B"/>
    <w:rsid w:val="006E3473"/>
    <w:rsid w:val="006F6BF8"/>
    <w:rsid w:val="00707BDF"/>
    <w:rsid w:val="00710727"/>
    <w:rsid w:val="00715F45"/>
    <w:rsid w:val="00731B84"/>
    <w:rsid w:val="00734AE7"/>
    <w:rsid w:val="007513D0"/>
    <w:rsid w:val="007B599E"/>
    <w:rsid w:val="007E197F"/>
    <w:rsid w:val="007F68C4"/>
    <w:rsid w:val="008153DE"/>
    <w:rsid w:val="00852A10"/>
    <w:rsid w:val="00862634"/>
    <w:rsid w:val="00866C59"/>
    <w:rsid w:val="00877306"/>
    <w:rsid w:val="00887B5C"/>
    <w:rsid w:val="008A6242"/>
    <w:rsid w:val="008B4BC6"/>
    <w:rsid w:val="00901E57"/>
    <w:rsid w:val="00935F0E"/>
    <w:rsid w:val="0095208F"/>
    <w:rsid w:val="00977B3F"/>
    <w:rsid w:val="009814AE"/>
    <w:rsid w:val="00983870"/>
    <w:rsid w:val="00994B89"/>
    <w:rsid w:val="00996BBE"/>
    <w:rsid w:val="009A0C39"/>
    <w:rsid w:val="009D1DD5"/>
    <w:rsid w:val="00A11DDA"/>
    <w:rsid w:val="00A26157"/>
    <w:rsid w:val="00A265C3"/>
    <w:rsid w:val="00A43F9A"/>
    <w:rsid w:val="00A543D4"/>
    <w:rsid w:val="00AD0014"/>
    <w:rsid w:val="00AD4CF2"/>
    <w:rsid w:val="00AF0BBA"/>
    <w:rsid w:val="00B30468"/>
    <w:rsid w:val="00B639B9"/>
    <w:rsid w:val="00BB2C41"/>
    <w:rsid w:val="00BC55C8"/>
    <w:rsid w:val="00BC5C10"/>
    <w:rsid w:val="00BE2964"/>
    <w:rsid w:val="00C24FBD"/>
    <w:rsid w:val="00C473BA"/>
    <w:rsid w:val="00C611ED"/>
    <w:rsid w:val="00C6490A"/>
    <w:rsid w:val="00C64FE1"/>
    <w:rsid w:val="00C66164"/>
    <w:rsid w:val="00C8345E"/>
    <w:rsid w:val="00CA4C17"/>
    <w:rsid w:val="00CA5F7C"/>
    <w:rsid w:val="00D51067"/>
    <w:rsid w:val="00D75657"/>
    <w:rsid w:val="00D960AD"/>
    <w:rsid w:val="00DA0E0E"/>
    <w:rsid w:val="00DB0C39"/>
    <w:rsid w:val="00DB7679"/>
    <w:rsid w:val="00DF1702"/>
    <w:rsid w:val="00DF4DD8"/>
    <w:rsid w:val="00DF668E"/>
    <w:rsid w:val="00E05DE3"/>
    <w:rsid w:val="00E069BB"/>
    <w:rsid w:val="00E14D2B"/>
    <w:rsid w:val="00E20DBA"/>
    <w:rsid w:val="00E660D6"/>
    <w:rsid w:val="00E771AB"/>
    <w:rsid w:val="00EA6548"/>
    <w:rsid w:val="00EA796F"/>
    <w:rsid w:val="00EB077B"/>
    <w:rsid w:val="00EC50B9"/>
    <w:rsid w:val="00ED26A0"/>
    <w:rsid w:val="00F04473"/>
    <w:rsid w:val="00F1727A"/>
    <w:rsid w:val="00F34764"/>
    <w:rsid w:val="00F54E3C"/>
    <w:rsid w:val="00F874BD"/>
    <w:rsid w:val="00FA6DD0"/>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CA4C17"/>
    <w:pPr>
      <w:keepNext/>
      <w:keepLines/>
      <w:tabs>
        <w:tab w:val="right" w:pos="1021"/>
      </w:tabs>
      <w:suppressAutoHyphens/>
      <w:spacing w:before="240" w:after="240" w:line="480" w:lineRule="exact"/>
      <w:ind w:left="1247" w:right="1247" w:hanging="1247"/>
    </w:pPr>
    <w:rPr>
      <w:b/>
      <w:bCs/>
      <w:sz w:val="34"/>
      <w:szCs w:val="44"/>
    </w:rPr>
  </w:style>
  <w:style w:type="paragraph" w:customStyle="1" w:styleId="HChGA">
    <w:name w:val="_ H _Ch_GA"/>
    <w:basedOn w:val="Normal"/>
    <w:next w:val="Normal"/>
    <w:rsid w:val="00983870"/>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983870"/>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95505677">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A.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Template>
  <TotalTime>0</TotalTime>
  <Pages>5</Pages>
  <Words>1196</Words>
  <Characters>6818</Characters>
  <Application>Microsoft Office Word</Application>
  <DocSecurity>4</DocSecurity>
  <Lines>56</Lines>
  <Paragraphs>15</Paragraphs>
  <ScaleCrop>false</ScaleCrop>
  <HeadingPairs>
    <vt:vector size="2" baseType="variant">
      <vt:variant>
        <vt:lpstr>العنوان</vt:lpstr>
      </vt:variant>
      <vt:variant>
        <vt:i4>1</vt:i4>
      </vt:variant>
    </vt:vector>
  </HeadingPairs>
  <TitlesOfParts>
    <vt:vector size="1" baseType="lpstr">
      <vt:lpstr>A/HRC/RES/15/12</vt:lpstr>
    </vt:vector>
  </TitlesOfParts>
  <Company>CSD</Company>
  <LinksUpToDate>false</LinksUpToDate>
  <CharactersWithSpaces>7999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A/HRC/RES/15/12</dc:title>
  <dc:subject>TARIF</dc:subject>
  <dc:creator>BALAN</dc:creator>
  <cp:keywords/>
  <dc:description/>
  <cp:lastModifiedBy>BALAN</cp:lastModifiedBy>
  <cp:revision>2</cp:revision>
  <cp:lastPrinted>2010-10-12T15:27:00Z</cp:lastPrinted>
  <dcterms:created xsi:type="dcterms:W3CDTF">2010-10-13T08:44:00Z</dcterms:created>
  <dcterms:modified xsi:type="dcterms:W3CDTF">2010-10-13T08:44:00Z</dcterms:modified>
</cp:coreProperties>
</file>