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1993-м заседании,</w:t>
      </w:r>
    </w:p>
    <w:p w:rsidR="00000000" w:rsidRDefault="00000000">
      <w:r>
        <w:t>состоявшемся в Центральных учреждениях, Нью-Йорк, в пятницу, 22 марта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Четвертый периодический доклад Венгрии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периодический доклад Венгрии </w:t>
      </w:r>
      <w:r>
        <w:rPr>
          <w:i w:val="0"/>
        </w:rPr>
        <w:t>(CCPR/C/HUN/2000/4, CCPR/C/73/L/HUN)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Венгрии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Хёльцл </w:t>
      </w:r>
      <w:r>
        <w:t>(Венгрия) говорит, что ключевым элементом политики Венгрии в области прав чел</w:t>
      </w:r>
      <w:r>
        <w:t>о</w:t>
      </w:r>
      <w:r>
        <w:t>века является международная защита этих прав, п</w:t>
      </w:r>
      <w:r>
        <w:t>о</w:t>
      </w:r>
      <w:r>
        <w:t>этому Венгрия является участником почти всех м</w:t>
      </w:r>
      <w:r>
        <w:t>е</w:t>
      </w:r>
      <w:r>
        <w:t>ждународных договоров по правам человека. По мнению его делегации, международный контроль за соблюдением гражданских и политических прав представляет собой конкретную помощь, которую оказывают договорные органы государствам-участникам. Это обстоятельство лишь подчеркивает необходимость диалога с Комитетом и ознакомл</w:t>
      </w:r>
      <w:r>
        <w:t>е</w:t>
      </w:r>
      <w:r>
        <w:t>ния с замечаниями представителей организаций гражданского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3.</w:t>
      </w:r>
      <w:r>
        <w:tab/>
        <w:t>После представления четвертого периодич</w:t>
      </w:r>
      <w:r>
        <w:t>е</w:t>
      </w:r>
      <w:r>
        <w:t>ского доклада Венгрии в правовой системе страны произошли существенные изменения. В стране нормально функционируют демократические и</w:t>
      </w:r>
      <w:r>
        <w:t>н</w:t>
      </w:r>
      <w:r>
        <w:t>ституты, а Конституционный суд вносит свой вклад в обеспечение более надежной защиты прав челов</w:t>
      </w:r>
      <w:r>
        <w:t>е</w:t>
      </w:r>
      <w:r>
        <w:t>ка. В настоящее время ведется работа над новыми проектами Гражданского и Уголовного кодексов, а также над новой Конституцией страны. Одной из важнейших задач правоохранительной деятельности Венгрии является соблюдение прав меньшинств, и особенно улучшение положения цыган. В этом н</w:t>
      </w:r>
      <w:r>
        <w:t>а</w:t>
      </w:r>
      <w:r>
        <w:t>правлении предпринимаются огромные усилия, включая принятие в 1999 году специального сре</w:t>
      </w:r>
      <w:r>
        <w:t>д</w:t>
      </w:r>
      <w:r>
        <w:t>несрочного плана.</w:t>
      </w:r>
    </w:p>
    <w:p w:rsidR="00000000" w:rsidRDefault="00000000">
      <w:pPr>
        <w:pStyle w:val="DualTxt"/>
      </w:pPr>
      <w:r>
        <w:t>4.</w:t>
      </w:r>
      <w:r>
        <w:tab/>
        <w:t>В настоящее время Венгрия готовится к вст</w:t>
      </w:r>
      <w:r>
        <w:t>у</w:t>
      </w:r>
      <w:r>
        <w:t>плению в Европейский союз, в связи с чем ей нео</w:t>
      </w:r>
      <w:r>
        <w:t>б</w:t>
      </w:r>
      <w:r>
        <w:t>ходимо привести свою правовую систему в соотве</w:t>
      </w:r>
      <w:r>
        <w:t>т</w:t>
      </w:r>
      <w:r>
        <w:t>ствие с нормами Европейских общин. По существу, правительство готово ввести в стране эти нормы и обеспечить их соблюдение. Трагические события 11 сентября 2001 года поставили перед страной н</w:t>
      </w:r>
      <w:r>
        <w:t>о</w:t>
      </w:r>
      <w:r>
        <w:t>вые задачи, и Венгрии удалось принять необход</w:t>
      </w:r>
      <w:r>
        <w:t>и</w:t>
      </w:r>
      <w:r>
        <w:t>мые меры по борьбе с терроризмом, не снижая при этом уровень защиты прав человека. Новый закон, принятый Государственным собранием страны, н</w:t>
      </w:r>
      <w:r>
        <w:t>а</w:t>
      </w:r>
      <w:r>
        <w:t>деляет правительство полномочиями вводить торг</w:t>
      </w:r>
      <w:r>
        <w:t>о</w:t>
      </w:r>
      <w:r>
        <w:t>вые, финансовые и экономические ограничения по требованиям международных организаций. Такие ограничения могут вводиться на ограниченный п</w:t>
      </w:r>
      <w:r>
        <w:t>е</w:t>
      </w:r>
      <w:r>
        <w:t>риод времени, не превышающий 90 дней, и об этом должно информироваться Государственное собр</w:t>
      </w:r>
      <w:r>
        <w:t>а</w:t>
      </w:r>
      <w:r>
        <w:t>ние.</w:t>
      </w:r>
    </w:p>
    <w:p w:rsidR="00000000" w:rsidRDefault="00000000">
      <w:pPr>
        <w:pStyle w:val="DualTxt"/>
      </w:pPr>
      <w:r>
        <w:t>5.</w:t>
      </w:r>
      <w:r>
        <w:tab/>
        <w:t>Один из недостатков, упомянутых в четвертом докладе, в частности отсутствие средств правовой защиты в отношении постановлений администр</w:t>
      </w:r>
      <w:r>
        <w:t>а</w:t>
      </w:r>
      <w:r>
        <w:t>тивных органов в случаях административных пр</w:t>
      </w:r>
      <w:r>
        <w:t>а</w:t>
      </w:r>
      <w:r>
        <w:t>вонарушений, был устранен благодаря введению в действие с 1 марта 2000 года нового Закона об а</w:t>
      </w:r>
      <w:r>
        <w:t>д</w:t>
      </w:r>
      <w:r>
        <w:t>министративных правонарушениях, в соответствии с которым все решения административных органов могут пересматриваться в с</w:t>
      </w:r>
      <w:r>
        <w:t>у</w:t>
      </w:r>
      <w:r>
        <w:t>дебном порядке.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>Перечень вопросов</w:t>
      </w:r>
      <w:r>
        <w:rPr>
          <w:i w:val="0"/>
        </w:rPr>
        <w:t xml:space="preserve"> (CCPR/C/73/L/HUN)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Конституционная и правовая основа для осуществления Пакта (статья 2 Пакта); чрезвычайное положение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2 и 4: в каких случаях Конституцио</w:t>
      </w:r>
      <w:r>
        <w:t>н</w:t>
      </w:r>
      <w:r>
        <w:t>ный суд рассматривал вопрос о конституционности внутреннего законодательства в связи с его предп</w:t>
      </w:r>
      <w:r>
        <w:t>о</w:t>
      </w:r>
      <w:r>
        <w:t>лагаемым несоответствием положениям Пакта; процедуры или механизмы обеспечения учета мн</w:t>
      </w:r>
      <w:r>
        <w:t>е</w:t>
      </w:r>
      <w:r>
        <w:t>ний Комитета; права, которые могут ограничиваться при введении чрезвычайного положения, характер ограничений и их соответствие положениям ст</w:t>
      </w:r>
      <w:r>
        <w:t>а</w:t>
      </w:r>
      <w:r>
        <w:t>тьи 4.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Хёльцл</w:t>
      </w:r>
      <w:r>
        <w:t xml:space="preserve"> (Венгрия) говорит, что Констит</w:t>
      </w:r>
      <w:r>
        <w:t>у</w:t>
      </w:r>
      <w:r>
        <w:t>ционный суд не использует Пакт в качестве основ</w:t>
      </w:r>
      <w:r>
        <w:t>а</w:t>
      </w:r>
      <w:r>
        <w:t>ния для объявления какого-либо положения вну</w:t>
      </w:r>
      <w:r>
        <w:t>т</w:t>
      </w:r>
      <w:r>
        <w:t>реннего законодательства неконституционным. О</w:t>
      </w:r>
      <w:r>
        <w:t>д</w:t>
      </w:r>
      <w:r>
        <w:t>нако это ни в коей мере не умаляет значения Пакта, поскольку его положения заложены в основу текста Конституции. В случае, который имел место в 1992 году, Суд постановил, что положение Уголо</w:t>
      </w:r>
      <w:r>
        <w:t>в</w:t>
      </w:r>
      <w:r>
        <w:t>ного кодекса, запрещающее использование оско</w:t>
      </w:r>
      <w:r>
        <w:t>р</w:t>
      </w:r>
      <w:r>
        <w:t>бительных выражений в отношении определенных групп, включая религиозные, национальные или р</w:t>
      </w:r>
      <w:r>
        <w:t>а</w:t>
      </w:r>
      <w:r>
        <w:t>совые меньшинства, является антиконституцио</w:t>
      </w:r>
      <w:r>
        <w:t>н</w:t>
      </w:r>
      <w:r>
        <w:t>ным, поэтому оно было аннулировано. Суд устан</w:t>
      </w:r>
      <w:r>
        <w:t>о</w:t>
      </w:r>
      <w:r>
        <w:t>вил, что это положение налагало чрезмерные огр</w:t>
      </w:r>
      <w:r>
        <w:t>а</w:t>
      </w:r>
      <w:r>
        <w:t>ничения на свободу выражения мнения и свободу печати, что противоречило статьям 16 и 19 Пакта. Суд указал на другие средства правовой защиты, которые можно использовать в таких случаях, в ч</w:t>
      </w:r>
      <w:r>
        <w:t>а</w:t>
      </w:r>
      <w:r>
        <w:t>стности санкции, предусмотренные в гражданском или административном законодательс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8.</w:t>
      </w:r>
      <w:r>
        <w:tab/>
        <w:t>В деле, которое рассматривалось в 1991 году, Суд постановил, что положение Уг</w:t>
      </w:r>
      <w:r>
        <w:t>о</w:t>
      </w:r>
      <w:r>
        <w:t>ловно-процессуального кодекса, в соответствии с которым решение о выплате компенсации за незаконное з</w:t>
      </w:r>
      <w:r>
        <w:t>а</w:t>
      </w:r>
      <w:r>
        <w:t>держание должен принимать министр юстиции, причем без возможности его пересмотра в судебном порядке, является неконституционным. Решение Суда основывалось на пункте 5 статьи 9 Пакта. В другом решении, которое основывалось на пункте 1 статьи 9, Суд признал неконституционным отсутс</w:t>
      </w:r>
      <w:r>
        <w:t>т</w:t>
      </w:r>
      <w:r>
        <w:t>вие в упомянутом Кодексе определенных процеду</w:t>
      </w:r>
      <w:r>
        <w:t>р</w:t>
      </w:r>
      <w:r>
        <w:t>ных норм для помилования на основании амнистии. В связи с этим в Кодекс были внесены необходимые поправки, которые вступили в силу с 1 марта 2000 года.</w:t>
      </w:r>
    </w:p>
    <w:p w:rsidR="00000000" w:rsidRDefault="00000000">
      <w:pPr>
        <w:pStyle w:val="DualTxt"/>
      </w:pPr>
      <w:r>
        <w:t>9.</w:t>
      </w:r>
      <w:r>
        <w:tab/>
        <w:t>В деле, которое рассматривалось в 2001 году, Суд признал неконституционным закон, вносящий поправки в Постановление об исполнении наказ</w:t>
      </w:r>
      <w:r>
        <w:t>а</w:t>
      </w:r>
      <w:r>
        <w:t>ний, предусматривающие ограничения свободы в</w:t>
      </w:r>
      <w:r>
        <w:t>ы</w:t>
      </w:r>
      <w:r>
        <w:t>ражения мнений заключенных, поскольку в соо</w:t>
      </w:r>
      <w:r>
        <w:t>т</w:t>
      </w:r>
      <w:r>
        <w:t>ветствии с этим законом они могли давать интервью представителям средств массовой информации лишь под надзором начальника тюрьмы. В этом случае Суд вынес свое решение на основании пун</w:t>
      </w:r>
      <w:r>
        <w:t>к</w:t>
      </w:r>
      <w:r>
        <w:t>та 3 статьи 19 Пакта. И еще один законодательный акт, направленный на внесение изменений в Гра</w:t>
      </w:r>
      <w:r>
        <w:t>ж</w:t>
      </w:r>
      <w:r>
        <w:t>данский кодекс в целях распространения права на ответ на заявления, выражающие собственные мн</w:t>
      </w:r>
      <w:r>
        <w:t>е</w:t>
      </w:r>
      <w:r>
        <w:t>ния в средствах массовой информации, был признан неконституционным в 2001 году на основании пункта 2 ст</w:t>
      </w:r>
      <w:r>
        <w:t>а</w:t>
      </w:r>
      <w:r>
        <w:t xml:space="preserve">тьи 19 Пакта. </w:t>
      </w:r>
    </w:p>
    <w:p w:rsidR="00000000" w:rsidRDefault="00000000">
      <w:pPr>
        <w:pStyle w:val="DualTxt"/>
      </w:pPr>
      <w:r>
        <w:t>10.</w:t>
      </w:r>
      <w:r>
        <w:tab/>
        <w:t>Что касается сообщений, представляемых в соответствии с Факультативным протоколом, то л</w:t>
      </w:r>
      <w:r>
        <w:t>и</w:t>
      </w:r>
      <w:r>
        <w:t>ца, подпадающие под венгерскую юрисдикцию, представили лишь несколько таких сообщений. Это частично объясняется тем, что в 1992 году Венгрия присоединилась к Европейской конвенции о правах человека, которая имеет в Страсбурге свой собс</w:t>
      </w:r>
      <w:r>
        <w:t>т</w:t>
      </w:r>
      <w:r>
        <w:t>венный суд. В Венгрии уже сложилась определе</w:t>
      </w:r>
      <w:r>
        <w:t>н</w:t>
      </w:r>
      <w:r>
        <w:t>ная практика обеспечения учета мнений, высказа</w:t>
      </w:r>
      <w:r>
        <w:t>н</w:t>
      </w:r>
      <w:r>
        <w:t>ных Комитетом. Министерство иностранных дел препровождает полученные документы Комитета соответствующим государственным учреждениям, отвечающим за их осуществление, а подготовка официального мнения правительства координируе</w:t>
      </w:r>
      <w:r>
        <w:t>т</w:t>
      </w:r>
      <w:r>
        <w:t>ся посредством админ</w:t>
      </w:r>
      <w:r>
        <w:t>и</w:t>
      </w:r>
      <w:r>
        <w:t>стративных процедур.</w:t>
      </w:r>
    </w:p>
    <w:p w:rsidR="00000000" w:rsidRDefault="00000000">
      <w:pPr>
        <w:pStyle w:val="DualTxt"/>
      </w:pPr>
      <w:r>
        <w:t>11.</w:t>
      </w:r>
      <w:r>
        <w:tab/>
        <w:t>В пункте 4 статьи 8 Конституции указывается, что осуществление основных прав во время чре</w:t>
      </w:r>
      <w:r>
        <w:t>з</w:t>
      </w:r>
      <w:r>
        <w:t>вычайного положения, состояния бедствия или у</w:t>
      </w:r>
      <w:r>
        <w:t>г</w:t>
      </w:r>
      <w:r>
        <w:t>рожаемого положения может отменяться или огр</w:t>
      </w:r>
      <w:r>
        <w:t>а</w:t>
      </w:r>
      <w:r>
        <w:t>ничиваться за исключением основных прав, зафи</w:t>
      </w:r>
      <w:r>
        <w:t>к</w:t>
      </w:r>
      <w:r>
        <w:t>сированных в статьях 54–60 и 66–70. К числу прав, которые не подлежат никаким ограничениям, отн</w:t>
      </w:r>
      <w:r>
        <w:t>о</w:t>
      </w:r>
      <w:r>
        <w:t>сятся право на жизнь и человеческое достоинство; запрет на пытки, жестокое, бесчеловечное и ун</w:t>
      </w:r>
      <w:r>
        <w:t>и</w:t>
      </w:r>
      <w:r>
        <w:t>жающее человеческое достоинство обращение или наказание, запрет на медицинские или научные эк</w:t>
      </w:r>
      <w:r>
        <w:t>с</w:t>
      </w:r>
      <w:r>
        <w:t>перименты над человеком без его предварительного согласия; право на свободу и личную безопасность; правоспособность; презумпция невиновности, пр</w:t>
      </w:r>
      <w:r>
        <w:t>а</w:t>
      </w:r>
      <w:r>
        <w:t>во на услуги адвоката и неприменимость наказания без устанавливающего его закона; свобода мысли, совести и вероисповедания; равенство мужчин и женщин во всех гражданских, политических, эк</w:t>
      </w:r>
      <w:r>
        <w:t>о</w:t>
      </w:r>
      <w:r>
        <w:t>номических, социальных и культурных правах; з</w:t>
      </w:r>
      <w:r>
        <w:t>а</w:t>
      </w:r>
      <w:r>
        <w:t>щита семьи и молодежи; права национальных и э</w:t>
      </w:r>
      <w:r>
        <w:t>т</w:t>
      </w:r>
      <w:r>
        <w:t>нических меньшинств; право гражданства; и право на социальное обеспечение. Ограничения других прав регламентируются Законом CX о национал</w:t>
      </w:r>
      <w:r>
        <w:t>ь</w:t>
      </w:r>
      <w:r>
        <w:t>ной обороне 1993 года. Печать и средства массовой информации могут контролироваться и подвергат</w:t>
      </w:r>
      <w:r>
        <w:t>ь</w:t>
      </w:r>
      <w:r>
        <w:t>ся цензуре, при этом журналистам следует испол</w:t>
      </w:r>
      <w:r>
        <w:t>ь</w:t>
      </w:r>
      <w:r>
        <w:t>зовать информацию, распространяемую венгерской службой прессы и информации и венгерским радио и телевидением. Контролироваться могут также и системы коммуникаций. В стране может вводиться комендантский час, а также ограничения или запрет на выезд в другие страны или перемещение по те</w:t>
      </w:r>
      <w:r>
        <w:t>р</w:t>
      </w:r>
      <w:r>
        <w:t>ритории страны. Могут ограничиваться контакты с иностранцами и передвижение по дорогам, могут приниматься решения об эвакуации. В определе</w:t>
      </w:r>
      <w:r>
        <w:t>н</w:t>
      </w:r>
      <w:r>
        <w:t>ных случаях могут создаваться военные трибуналы и вводиться упрощенное судопроизводство с огр</w:t>
      </w:r>
      <w:r>
        <w:t>а</w:t>
      </w:r>
      <w:r>
        <w:t>ничением права на обжалование решений суда. В</w:t>
      </w:r>
      <w:r>
        <w:t>о</w:t>
      </w:r>
      <w:r>
        <w:t>енные власти могут расширять перечень действий, квалифицируемых в качестве мелких правонаруш</w:t>
      </w:r>
      <w:r>
        <w:t>е</w:t>
      </w:r>
      <w:r>
        <w:t>ний. Недвижимое имущество и материальные це</w:t>
      </w:r>
      <w:r>
        <w:t>н</w:t>
      </w:r>
      <w:r>
        <w:t>ности могут реквизироваться, а над производством и экономической деятельностью может быть уст</w:t>
      </w:r>
      <w:r>
        <w:t>а</w:t>
      </w:r>
      <w:r>
        <w:t>новлен контроль. Все эти ограничения и процедуры, предусмотренные для таких случаев, согласуются с положениями статьи 4 Па</w:t>
      </w:r>
      <w:r>
        <w:t>к</w:t>
      </w:r>
      <w:r>
        <w:t xml:space="preserve">та.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>Недопущение дискриминации и соблюдение прав лиц, принадлежащих к меньшинствам (статьи 2.1, 26 и 27 Пакта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пункта 1 статьи 2 и статей 26 и 27: какие м</w:t>
      </w:r>
      <w:r>
        <w:t>е</w:t>
      </w:r>
      <w:r>
        <w:t>ры принимаются в целях предотвращения и прес</w:t>
      </w:r>
      <w:r>
        <w:t>е</w:t>
      </w:r>
      <w:r>
        <w:t>чения дискриминации в отношении доступа к ж</w:t>
      </w:r>
      <w:r>
        <w:t>и</w:t>
      </w:r>
      <w:r>
        <w:t>лью и общественным местам, а также в сфере тр</w:t>
      </w:r>
      <w:r>
        <w:t>у</w:t>
      </w:r>
      <w:r>
        <w:t>доустройства, особенно в том, что касается цыган и утверждений об их дискриминации в полиции и в судебных органах; какие меры принимаются в ц</w:t>
      </w:r>
      <w:r>
        <w:t>е</w:t>
      </w:r>
      <w:r>
        <w:t>лях решения проблем, связанных с направлением цыганских детей в «специальные школы», а также в отношении утверждений о дискриминации в гос</w:t>
      </w:r>
      <w:r>
        <w:t>у</w:t>
      </w:r>
      <w:r>
        <w:t>дарственных учебных заведениях; каковы масшт</w:t>
      </w:r>
      <w:r>
        <w:t>а</w:t>
      </w:r>
      <w:r>
        <w:t>бы проявления насилия, предположительно об</w:t>
      </w:r>
      <w:r>
        <w:t>у</w:t>
      </w:r>
      <w:r>
        <w:t>словленного расовой принадлежностью, и масшт</w:t>
      </w:r>
      <w:r>
        <w:t>а</w:t>
      </w:r>
      <w:r>
        <w:t>бы проявления враждебности по отношению к ин</w:t>
      </w:r>
      <w:r>
        <w:t>о</w:t>
      </w:r>
      <w:r>
        <w:t>странцам и лицам, ищущим убежища, какие меры принимаются в отношении якобы имеющих место случаев нежелания полиции расследовать престу</w:t>
      </w:r>
      <w:r>
        <w:t>п</w:t>
      </w:r>
      <w:r>
        <w:t>ления, совершенные на почве ненависти; дела, к</w:t>
      </w:r>
      <w:r>
        <w:t>о</w:t>
      </w:r>
      <w:r>
        <w:t>торыми занимается Комиссар Государственного с</w:t>
      </w:r>
      <w:r>
        <w:t>о</w:t>
      </w:r>
      <w:r>
        <w:t>брания, и предложение о принятии антидискрим</w:t>
      </w:r>
      <w:r>
        <w:t>и</w:t>
      </w:r>
      <w:r>
        <w:t>национного законодательства; обновленная инфо</w:t>
      </w:r>
      <w:r>
        <w:t>р</w:t>
      </w:r>
      <w:r>
        <w:t>мация о численности и доле меньшинств, прин</w:t>
      </w:r>
      <w:r>
        <w:t>и</w:t>
      </w:r>
      <w:r>
        <w:t>мающих участие в политической, общественной и экономич</w:t>
      </w:r>
      <w:r>
        <w:t>е</w:t>
      </w:r>
      <w:r>
        <w:t>ской жизни.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Хёльцл</w:t>
      </w:r>
      <w:r>
        <w:t xml:space="preserve"> (Венгрия) говорит, что в соотве</w:t>
      </w:r>
      <w:r>
        <w:t>т</w:t>
      </w:r>
      <w:r>
        <w:t>ствии с Конституцией Венгерская Республика должна обеспечивать совместное участие наци</w:t>
      </w:r>
      <w:r>
        <w:t>о</w:t>
      </w:r>
      <w:r>
        <w:t>нальных и этнических меньшинств в общественной жизни и содействовать развитию их культур и и</w:t>
      </w:r>
      <w:r>
        <w:t>с</w:t>
      </w:r>
      <w:r>
        <w:t>пользованию их родных языков. Преподавание в школах должно осуществляться на их языках, и они должны иметь право использовать имена, име</w:t>
      </w:r>
      <w:r>
        <w:t>ю</w:t>
      </w:r>
      <w:r>
        <w:t>щиеся в этих языках. Закон № 77 1993 года пред</w:t>
      </w:r>
      <w:r>
        <w:t>у</w:t>
      </w:r>
      <w:r>
        <w:t>сматривает как индивидуальные, так и коллекти</w:t>
      </w:r>
      <w:r>
        <w:t>в</w:t>
      </w:r>
      <w:r>
        <w:t>ные права меньшинств, включая право на личную независимость и право создавать местные и наци</w:t>
      </w:r>
      <w:r>
        <w:t>о</w:t>
      </w:r>
      <w:r>
        <w:t>нальные органы самоуправления. Член какого-либо меньшинства, считающий, что его или ее права н</w:t>
      </w:r>
      <w:r>
        <w:t>а</w:t>
      </w:r>
      <w:r>
        <w:t>рушаются, может пользоваться всеми средствами правовой защиты, предусмотренными законом, и может добиваться реализации этих прав в админ</w:t>
      </w:r>
      <w:r>
        <w:t>и</w:t>
      </w:r>
      <w:r>
        <w:t>стративных и правоохранительных органах, судах, Комитете Государственного собрания по наци</w:t>
      </w:r>
      <w:r>
        <w:t>о</w:t>
      </w:r>
      <w:r>
        <w:t>нально-этническим меньшинствам, в Конституц</w:t>
      </w:r>
      <w:r>
        <w:t>и</w:t>
      </w:r>
      <w:r>
        <w:t>онном суде и в Управлении Уполномоченного по правам национальных и этнических меньшинств. Ряд неправительственных организаций, созданных в последние 10 лет в целях защиты прав меньшинств, получают финансовую поддержку от государства. Вместе с независимыми средствами массовой и</w:t>
      </w:r>
      <w:r>
        <w:t>н</w:t>
      </w:r>
      <w:r>
        <w:t>формации они являются надлежащими форумами для обслуживания вопросов, касающихся обеспеч</w:t>
      </w:r>
      <w:r>
        <w:t>е</w:t>
      </w:r>
      <w:r>
        <w:t>ния прав меньшинств, и одним из средств борьбы с предрассудками.</w:t>
      </w:r>
    </w:p>
    <w:p w:rsidR="00000000" w:rsidRDefault="00000000">
      <w:pPr>
        <w:pStyle w:val="DualTxt"/>
      </w:pPr>
      <w:r>
        <w:t>14.</w:t>
      </w:r>
      <w:r>
        <w:tab/>
        <w:t>Раздел 5 Кодекса о труде запрещает дискрим</w:t>
      </w:r>
      <w:r>
        <w:t>и</w:t>
      </w:r>
      <w:r>
        <w:t>нацию по какому бы то ни было признаку, в том числе по признаку пола, возраста, инвалидности, национальности, расы, социального происхожд</w:t>
      </w:r>
      <w:r>
        <w:t>е</w:t>
      </w:r>
      <w:r>
        <w:t>ния, вероисповедания, политических взглядов или участия в профсоюзных организациях. В случае о</w:t>
      </w:r>
      <w:r>
        <w:t>б</w:t>
      </w:r>
      <w:r>
        <w:t>ращения с жалобами на дискриминацию бремя о</w:t>
      </w:r>
      <w:r>
        <w:t>п</w:t>
      </w:r>
      <w:r>
        <w:t>ровержения утверждений заявителя возлагается на работодателя. В качестве наказания за отказ пр</w:t>
      </w:r>
      <w:r>
        <w:t>и</w:t>
      </w:r>
      <w:r>
        <w:t>нять кого-либо на работу либо за дискриминацию работника по перечисленным выше признакам н</w:t>
      </w:r>
      <w:r>
        <w:t>а</w:t>
      </w:r>
      <w:r>
        <w:t>лагается штраф в размере до 100 000 форинтов.</w:t>
      </w:r>
    </w:p>
    <w:p w:rsidR="00000000" w:rsidRDefault="00000000">
      <w:pPr>
        <w:pStyle w:val="DualTxt"/>
      </w:pPr>
      <w:r>
        <w:t>15.</w:t>
      </w:r>
      <w:r>
        <w:tab/>
        <w:t>В соответствии с Постановлени</w:t>
      </w:r>
      <w:r>
        <w:t>я</w:t>
      </w:r>
      <w:r>
        <w:t>ми №№ 1074/1996 и 2332/1996 правительство пр</w:t>
      </w:r>
      <w:r>
        <w:t>и</w:t>
      </w:r>
      <w:r>
        <w:t>ступило к осуществлению экспериментальной пр</w:t>
      </w:r>
      <w:r>
        <w:t>о</w:t>
      </w:r>
      <w:r>
        <w:t>граммы, направленной на улучшение жилищных условий молодежи из социально уязвимых групп населения, включая цыганские семьи. Двум орган</w:t>
      </w:r>
      <w:r>
        <w:t>и</w:t>
      </w:r>
      <w:r>
        <w:t>зациям было поручено обеспечить этих лиц жильем посредством предоставления долгосрочных субс</w:t>
      </w:r>
      <w:r>
        <w:t>и</w:t>
      </w:r>
      <w:r>
        <w:t>дий, и к 2000 году для них было построено соотве</w:t>
      </w:r>
      <w:r>
        <w:t>т</w:t>
      </w:r>
      <w:r>
        <w:t>ственно 121 и 117 квартир, а к концу года было з</w:t>
      </w:r>
      <w:r>
        <w:t>а</w:t>
      </w:r>
      <w:r>
        <w:t>вершено стро</w:t>
      </w:r>
      <w:r>
        <w:t>и</w:t>
      </w:r>
      <w:r>
        <w:t>тельство еще 205 квартир.</w:t>
      </w:r>
    </w:p>
    <w:p w:rsidR="00000000" w:rsidRDefault="00000000">
      <w:pPr>
        <w:pStyle w:val="DualTxt"/>
      </w:pPr>
      <w:r>
        <w:t>16.</w:t>
      </w:r>
      <w:r>
        <w:tab/>
        <w:t>Деятельность Комиссара Государственного с</w:t>
      </w:r>
      <w:r>
        <w:t>о</w:t>
      </w:r>
      <w:r>
        <w:t>брания по правам национальных и этнических меньшинств направлена на расследование случаев нарушения их прав и принятие мер в отношении поступающих жалоб. Частные лица могут обр</w:t>
      </w:r>
      <w:r>
        <w:t>а</w:t>
      </w:r>
      <w:r>
        <w:t>щаться к этому Комиссару с жалобами на действия властей и учреждений или организаций, занима</w:t>
      </w:r>
      <w:r>
        <w:t>ю</w:t>
      </w:r>
      <w:r>
        <w:t>щихся оказанием социальных услуг насел</w:t>
      </w:r>
      <w:r>
        <w:t>е</w:t>
      </w:r>
      <w:r>
        <w:t>нию.</w:t>
      </w:r>
    </w:p>
    <w:p w:rsidR="00000000" w:rsidRDefault="00000000">
      <w:pPr>
        <w:pStyle w:val="DualTxt"/>
      </w:pPr>
      <w:r>
        <w:t>17.</w:t>
      </w:r>
      <w:r>
        <w:tab/>
        <w:t>Государство приняло меры по осуществлению так называемой «позитивной дискриминации» в пользу меньшинств, особенно цыганских общин, находящихся в наиболее неблагоприятном полож</w:t>
      </w:r>
      <w:r>
        <w:t>е</w:t>
      </w:r>
      <w:r>
        <w:t>нии. В Постановлении 1047/1999 изложены задачи, которые должны быть выполнены в области образ</w:t>
      </w:r>
      <w:r>
        <w:t>о</w:t>
      </w:r>
      <w:r>
        <w:t>вания, культуры, профессиональной подготовки, трудоустройства, сельского хозяйства, социального и медицинского обслуживания, жилищного стро</w:t>
      </w:r>
      <w:r>
        <w:t>и</w:t>
      </w:r>
      <w:r>
        <w:t>тельства, борьбы с дискриминацией и деятельности средств массовой информации. В соответствии с планом жилищного строительства, осуществление которого началось в 2001 году, государство должно выделить национальному органу самоуправления цыган 300 млн. форинтов на финансирование строительства 200 квартир. Социально-земельная программа, осуществляемая в соответствии с П</w:t>
      </w:r>
      <w:r>
        <w:t>о</w:t>
      </w:r>
      <w:r>
        <w:t>становлением 1047/1999, направлена на обеспеч</w:t>
      </w:r>
      <w:r>
        <w:t>е</w:t>
      </w:r>
      <w:r>
        <w:t>ние средств существования для малоимущих семей, включая и цыганские семьи. Порядок землепольз</w:t>
      </w:r>
      <w:r>
        <w:t>о</w:t>
      </w:r>
      <w:r>
        <w:t>вания, введенный в соответствии с этой програ</w:t>
      </w:r>
      <w:r>
        <w:t>м</w:t>
      </w:r>
      <w:r>
        <w:t>мой, был разработан совместно с органами сам</w:t>
      </w:r>
      <w:r>
        <w:t>о</w:t>
      </w:r>
      <w:r>
        <w:t>управления этнических меньшинств и основывался на принципах, которые были определены министе</w:t>
      </w:r>
      <w:r>
        <w:t>р</w:t>
      </w:r>
      <w:r>
        <w:t>ством сельского хозяйства. Органы, занимающиеся трудоустройством, также приняли меры, напра</w:t>
      </w:r>
      <w:r>
        <w:t>в</w:t>
      </w:r>
      <w:r>
        <w:t>ленные на предоставление особых льгот лицам, п</w:t>
      </w:r>
      <w:r>
        <w:t>о</w:t>
      </w:r>
      <w:r>
        <w:t>страдавшим от дискриминации. Эти меры, в час</w:t>
      </w:r>
      <w:r>
        <w:t>т</w:t>
      </w:r>
      <w:r>
        <w:t>ности, предусматривали оказание помощи цыганам посредством предоставления государственных су</w:t>
      </w:r>
      <w:r>
        <w:t>б</w:t>
      </w:r>
      <w:r>
        <w:t>сидий в размере до 90 процентов стоимости общи</w:t>
      </w:r>
      <w:r>
        <w:t>н</w:t>
      </w:r>
      <w:r>
        <w:t>ных работ и 100 процентов стоимости вознагражд</w:t>
      </w:r>
      <w:r>
        <w:t>е</w:t>
      </w:r>
      <w:r>
        <w:t>ния, выплачиваемого за проделанную работу, а та</w:t>
      </w:r>
      <w:r>
        <w:t>к</w:t>
      </w:r>
      <w:r>
        <w:t>же предоставление продуктов питания, оплату п</w:t>
      </w:r>
      <w:r>
        <w:t>у</w:t>
      </w:r>
      <w:r>
        <w:t>тевых расходов и компенсацию потери дохода л</w:t>
      </w:r>
      <w:r>
        <w:t>и</w:t>
      </w:r>
      <w:r>
        <w:t>цам, занимающимся на курсах по профессионал</w:t>
      </w:r>
      <w:r>
        <w:t>ь</w:t>
      </w:r>
      <w:r>
        <w:t>ной пер</w:t>
      </w:r>
      <w:r>
        <w:t>е</w:t>
      </w:r>
      <w:r>
        <w:t>подготовке.</w:t>
      </w:r>
    </w:p>
    <w:p w:rsidR="00000000" w:rsidRDefault="00000000">
      <w:pPr>
        <w:pStyle w:val="DualTxt"/>
      </w:pPr>
      <w:r>
        <w:t>18.</w:t>
      </w:r>
      <w:r>
        <w:tab/>
        <w:t>Министерство юстиции создало специальную консультативную службу по вопросам борьбы с дискриминацией для оказания представителям меньшинств бесплатных юридических услуг и для представления интересов клиентов исключительно из числа цыган. К 31 декабря 2001 года сотрудн</w:t>
      </w:r>
      <w:r>
        <w:t>и</w:t>
      </w:r>
      <w:r>
        <w:t>ками этой службы было рассмотрено в общей сло</w:t>
      </w:r>
      <w:r>
        <w:t>ж</w:t>
      </w:r>
      <w:r>
        <w:t>ности 196 случаев. В 2001 году министерство юст</w:t>
      </w:r>
      <w:r>
        <w:t>и</w:t>
      </w:r>
      <w:r>
        <w:t>ции внесло в бюджет этой службы 3 150 000 форинтов, а в 2002 году министерство должно внести в ее бюджет еще 20 млн. форинтов. Помимо своей основной деятельности эта служба способствовала повышению информированности общественности о средствах правовой защиты, имеющихся в распоряжении населения.</w:t>
      </w:r>
    </w:p>
    <w:p w:rsidR="00000000" w:rsidRDefault="00000000">
      <w:pPr>
        <w:pStyle w:val="DualTxt"/>
      </w:pPr>
      <w:r>
        <w:t>19.</w:t>
      </w:r>
      <w:r>
        <w:tab/>
        <w:t>В 2002 году министерство юстиции сообщило о 92 случаях жестокого обращения со стороны с</w:t>
      </w:r>
      <w:r>
        <w:t>о</w:t>
      </w:r>
      <w:r>
        <w:t>трудников полиции, 29 случаях несанкционирова</w:t>
      </w:r>
      <w:r>
        <w:t>н</w:t>
      </w:r>
      <w:r>
        <w:t>ного допроса и 14 случаях незаконного задержания. В 19 случаях пострадавшими были представители цыганской общины. От 10 до 15 процентов случаев завершились осуждением виновных. Сообщений о каких-либо проявлениях дискриминации со стор</w:t>
      </w:r>
      <w:r>
        <w:t>о</w:t>
      </w:r>
      <w:r>
        <w:t>ны сотрудников судебных органов не поступало.</w:t>
      </w:r>
    </w:p>
    <w:p w:rsidR="00000000" w:rsidRDefault="00000000">
      <w:pPr>
        <w:pStyle w:val="DualTxt"/>
      </w:pPr>
      <w:r>
        <w:t>20.</w:t>
      </w:r>
      <w:r>
        <w:tab/>
        <w:t>Тем лицам из числа цыган, которые не в с</w:t>
      </w:r>
      <w:r>
        <w:t>о</w:t>
      </w:r>
      <w:r>
        <w:t>стоянии оплачивать коммунальные услуги, госуда</w:t>
      </w:r>
      <w:r>
        <w:t>р</w:t>
      </w:r>
      <w:r>
        <w:t>ство оказывает помощь. Им предоставляется вр</w:t>
      </w:r>
      <w:r>
        <w:t>е</w:t>
      </w:r>
      <w:r>
        <w:t>менное жилье, а тем, кто не в состоянии выплач</w:t>
      </w:r>
      <w:r>
        <w:t>и</w:t>
      </w:r>
      <w:r>
        <w:t>вать полученную ссуду, оказывается определенная финансовая помощь. Эти средства поступают из бюджета Программы социальной интеграции ц</w:t>
      </w:r>
      <w:r>
        <w:t>ы</w:t>
      </w:r>
      <w:r>
        <w:t>ган, в распоряжении которой имеется 3 350 000 евро. В рамках проекта, направленного на модернизацию системы социального обеспечения, цыганам оказывается помощь в получении ж</w:t>
      </w:r>
      <w:r>
        <w:t>и</w:t>
      </w:r>
      <w:r>
        <w:t>лья.</w:t>
      </w:r>
    </w:p>
    <w:p w:rsidR="00000000" w:rsidRDefault="00000000">
      <w:pPr>
        <w:pStyle w:val="DualTxt"/>
      </w:pPr>
      <w:r>
        <w:t>21.</w:t>
      </w:r>
      <w:r>
        <w:tab/>
        <w:t>Что касается образования, то в настоящее вр</w:t>
      </w:r>
      <w:r>
        <w:t>е</w:t>
      </w:r>
      <w:r>
        <w:t>мя правительство предпринимает усилия по разр</w:t>
      </w:r>
      <w:r>
        <w:t>а</w:t>
      </w:r>
      <w:r>
        <w:t>ботке программы начального образования, предн</w:t>
      </w:r>
      <w:r>
        <w:t>а</w:t>
      </w:r>
      <w:r>
        <w:t>значенной для цыган, с тем чтобы свести к мин</w:t>
      </w:r>
      <w:r>
        <w:t>и</w:t>
      </w:r>
      <w:r>
        <w:t>муму число тех, кто бросает учебу в средней школе и высших учебных заведениях, а также в целях расширения возможностей для трудоустройства в</w:t>
      </w:r>
      <w:r>
        <w:t>ы</w:t>
      </w:r>
      <w:r>
        <w:t>пускников. Правительство также предпринимает усилия по увеличению числа мест в средних шк</w:t>
      </w:r>
      <w:r>
        <w:t>о</w:t>
      </w:r>
      <w:r>
        <w:t>лах-интернатах посредством строительства двух новых школ, а также стремится создавать новые учебные центры. Наряду с этим правительство пр</w:t>
      </w:r>
      <w:r>
        <w:t>и</w:t>
      </w:r>
      <w:r>
        <w:t>нимает меры по увеличению числа цыганских д</w:t>
      </w:r>
      <w:r>
        <w:t>е</w:t>
      </w:r>
      <w:r>
        <w:t>тей, посещающих школы, включая и дошкольные учреждения. В целях расширения прав меньшинств в сфере образования Управление по национальным этническим меньшинствам организует учебные курсы для представителей их органов самоуправл</w:t>
      </w:r>
      <w:r>
        <w:t>е</w:t>
      </w:r>
      <w:r>
        <w:t>ния.</w:t>
      </w:r>
    </w:p>
    <w:p w:rsidR="00000000" w:rsidRDefault="00000000">
      <w:pPr>
        <w:pStyle w:val="DualTxt"/>
      </w:pPr>
      <w:r>
        <w:t>22.</w:t>
      </w:r>
      <w:r>
        <w:tab/>
        <w:t>Дети из цыганских семей могут направляться на учебу в «специальные школы» только с согласия родителей. В настоящее время в Закон об образов</w:t>
      </w:r>
      <w:r>
        <w:t>а</w:t>
      </w:r>
      <w:r>
        <w:t>нии вносятся поправки, с тем чтобы облегчить пр</w:t>
      </w:r>
      <w:r>
        <w:t>о</w:t>
      </w:r>
      <w:r>
        <w:t>цесс поступления в школу посредством введения подготовительного учебного года, позволяющего детям продвигаться вперед по мере освоения уче</w:t>
      </w:r>
      <w:r>
        <w:t>б</w:t>
      </w:r>
      <w:r>
        <w:t>ного материала. С учетом этих поправок Закон б</w:t>
      </w:r>
      <w:r>
        <w:t>у</w:t>
      </w:r>
      <w:r>
        <w:t>дет также предусматривать возможность выдачи а</w:t>
      </w:r>
      <w:r>
        <w:t>т</w:t>
      </w:r>
      <w:r>
        <w:t>тестата об окончании подготовительной профе</w:t>
      </w:r>
      <w:r>
        <w:t>с</w:t>
      </w:r>
      <w:r>
        <w:t>сионально-технической школы.</w:t>
      </w:r>
    </w:p>
    <w:p w:rsidR="00000000" w:rsidRDefault="00000000">
      <w:pPr>
        <w:pStyle w:val="DualTxt"/>
      </w:pPr>
      <w:r>
        <w:t>23.</w:t>
      </w:r>
      <w:r>
        <w:tab/>
        <w:t>В 1999 году в структуре министерства образ</w:t>
      </w:r>
      <w:r>
        <w:t>о</w:t>
      </w:r>
      <w:r>
        <w:t>вания было создано управление Комиссара по пр</w:t>
      </w:r>
      <w:r>
        <w:t>а</w:t>
      </w:r>
      <w:r>
        <w:t>вам в сфере образования в целях обеспечения во</w:t>
      </w:r>
      <w:r>
        <w:t>з</w:t>
      </w:r>
      <w:r>
        <w:t>можностей для осуществления прав всех лиц и о</w:t>
      </w:r>
      <w:r>
        <w:t>б</w:t>
      </w:r>
      <w:r>
        <w:t>щин, касающихся образования. Была разработана система контроля качества, призванная обеспечить эффективные и качественные антидискриминац</w:t>
      </w:r>
      <w:r>
        <w:t>и</w:t>
      </w:r>
      <w:r>
        <w:t>онные программы образования для представителей цыганской общины. Учащимся высших учебных з</w:t>
      </w:r>
      <w:r>
        <w:t>а</w:t>
      </w:r>
      <w:r>
        <w:t>ведений из числа цыган министерство образования предоставляет безвозмездные субсидии. Помимо этого, тем студентам-цыганам, которые оказывают содействие организациям, занимающимся оказан</w:t>
      </w:r>
      <w:r>
        <w:t>и</w:t>
      </w:r>
      <w:r>
        <w:t>ем помощи общинам цыган, предоставляется новый вид стипендии. Государственное собрание страны утвердило дополнительный фонд стипендий для студентов-цыган в размере 100 млн. форинтов. Если в 1998 году студентам-цыганам выплачивалось 805 стипендий, то в 2002 году такие стипендии п</w:t>
      </w:r>
      <w:r>
        <w:t>о</w:t>
      </w:r>
      <w:r>
        <w:t>лучают уже почти 12 000 человек, а в 2003 году число стипендиатов из числа цыган составит, как предполагается, 16 000.</w:t>
      </w:r>
    </w:p>
    <w:p w:rsidR="00000000" w:rsidRDefault="00000000">
      <w:pPr>
        <w:pStyle w:val="DualTxt"/>
      </w:pPr>
      <w:r>
        <w:t>24.</w:t>
      </w:r>
      <w:r>
        <w:tab/>
        <w:t>Уголовный кодекс страны строго запрещает проявление какого-либо насилия в отношении н</w:t>
      </w:r>
      <w:r>
        <w:t>а</w:t>
      </w:r>
      <w:r>
        <w:t>циональных, этнических, расовых и религиозных групп. В министерстве юстиции создана специал</w:t>
      </w:r>
      <w:r>
        <w:t>ь</w:t>
      </w:r>
      <w:r>
        <w:t>ная группа, которой поручено изучить вопрос о том, не нарушается ли принцип свободы выражения мнений тем, что выступления, разжигающие нен</w:t>
      </w:r>
      <w:r>
        <w:t>а</w:t>
      </w:r>
      <w:r>
        <w:t>висть, квалифицируются в качестве уголовных пр</w:t>
      </w:r>
      <w:r>
        <w:t>е</w:t>
      </w:r>
      <w:r>
        <w:t>ступлений. В соответствии с Уголовным кодексом расовая мотивация преступлений, как правило, сч</w:t>
      </w:r>
      <w:r>
        <w:t>и</w:t>
      </w:r>
      <w:r>
        <w:t>тается отягчающим вину обстоятельством. В Уг</w:t>
      </w:r>
      <w:r>
        <w:t>о</w:t>
      </w:r>
      <w:r>
        <w:t>ловно-процессуальном кодексе содержится полож</w:t>
      </w:r>
      <w:r>
        <w:t>е</w:t>
      </w:r>
      <w:r>
        <w:t>ние, запрещающее какую бы то ни было дискрим</w:t>
      </w:r>
      <w:r>
        <w:t>и</w:t>
      </w:r>
      <w:r>
        <w:t>нацию, а поправка, которая должна вступить в силу в 2003 году, позволит жертвам дискриминации п</w:t>
      </w:r>
      <w:r>
        <w:t>о</w:t>
      </w:r>
      <w:r>
        <w:t>давать на виновных в суд, если Государственный прокурор примет решение не возбуждать дела. В случае получения жалобы власти обязаны провести соответствующее расследование. Число правонар</w:t>
      </w:r>
      <w:r>
        <w:t>у</w:t>
      </w:r>
      <w:r>
        <w:t>шений, совершаемых сотрудниками полиции, п</w:t>
      </w:r>
      <w:r>
        <w:t>о</w:t>
      </w:r>
      <w:r>
        <w:t>стоянно уменьшается. Государственная прокуратура не зависит от исполнительной власти, а Главный государственный прокурор подотчетен лишь Гос</w:t>
      </w:r>
      <w:r>
        <w:t>у</w:t>
      </w:r>
      <w:r>
        <w:t>дарственному собранию. Сведений о происхожд</w:t>
      </w:r>
      <w:r>
        <w:t>е</w:t>
      </w:r>
      <w:r>
        <w:t>нии и национальности лиц, пострадавших от ра</w:t>
      </w:r>
      <w:r>
        <w:t>з</w:t>
      </w:r>
      <w:r>
        <w:t>личных форм насилия, не имеется.</w:t>
      </w:r>
    </w:p>
    <w:p w:rsidR="00000000" w:rsidRDefault="00000000">
      <w:pPr>
        <w:pStyle w:val="DualTxt"/>
      </w:pPr>
      <w:r>
        <w:t>25.</w:t>
      </w:r>
      <w:r>
        <w:tab/>
        <w:t>В 2000 году на имя Комиссара Государстве</w:t>
      </w:r>
      <w:r>
        <w:t>н</w:t>
      </w:r>
      <w:r>
        <w:t>ного собрания по правам национальных и этнич</w:t>
      </w:r>
      <w:r>
        <w:t>е</w:t>
      </w:r>
      <w:r>
        <w:t>ских меньшинств поступило в общей сложности 431 сообщение о нарушении таких прав. Министе</w:t>
      </w:r>
      <w:r>
        <w:t>р</w:t>
      </w:r>
      <w:r>
        <w:t>ство юстиции сформировало антидискриминацио</w:t>
      </w:r>
      <w:r>
        <w:t>н</w:t>
      </w:r>
      <w:r>
        <w:t>ный комитет, которому поручено рассмотреть в</w:t>
      </w:r>
      <w:r>
        <w:t>о</w:t>
      </w:r>
      <w:r>
        <w:t>прос о том, следует ли принять общий закон о борьбе с дискриминацией или более целесообразно внести соответствующие изменения в различные антидискриминационные положения уже дейс</w:t>
      </w:r>
      <w:r>
        <w:t>т</w:t>
      </w:r>
      <w:r>
        <w:t>вующих зак</w:t>
      </w:r>
      <w:r>
        <w:t>о</w:t>
      </w:r>
      <w:r>
        <w:t>нов.</w:t>
      </w:r>
    </w:p>
    <w:p w:rsidR="00000000" w:rsidRDefault="00000000">
      <w:pPr>
        <w:pStyle w:val="DualTxt"/>
      </w:pPr>
      <w:r>
        <w:t>26.</w:t>
      </w:r>
      <w:r>
        <w:tab/>
        <w:t>В соответствии с Законом о защите информ</w:t>
      </w:r>
      <w:r>
        <w:t>а</w:t>
      </w:r>
      <w:r>
        <w:t>ции данные, касающиеся национальности и этнич</w:t>
      </w:r>
      <w:r>
        <w:t>е</w:t>
      </w:r>
      <w:r>
        <w:t>ской принадлежности, считаются конфиденциал</w:t>
      </w:r>
      <w:r>
        <w:t>ь</w:t>
      </w:r>
      <w:r>
        <w:t>ными и власти могут осуществлять сбор таких да</w:t>
      </w:r>
      <w:r>
        <w:t>н</w:t>
      </w:r>
      <w:r>
        <w:t>ных лишь с согласия граждан. В связи с этим стат</w:t>
      </w:r>
      <w:r>
        <w:t>и</w:t>
      </w:r>
      <w:r>
        <w:t>стические данные участия меньшинств в различных областях деятельности являются лишь оценочными. В Венгрии на сегодняшний день имеется 12 национальных меньшинств и одно этническое меньшинство. Все меньшинства имеют право на создание своих политических партий, однако ни о</w:t>
      </w:r>
      <w:r>
        <w:t>д</w:t>
      </w:r>
      <w:r>
        <w:t>на из таких партий в настоящее время не предста</w:t>
      </w:r>
      <w:r>
        <w:t>в</w:t>
      </w:r>
      <w:r>
        <w:t>лена в Государственном собрании. В период 1990–1994 годов среди членов Государственного собрания насчитывалось три представителя цыган, в период 1994–1998 годов — один представитель этого меньшинства, а в составе нынешнего созыва нет ни одного. На предстоящих общих выборах 2002 года партии правительственные коалиции и крупнейшая оппозиционная партия выставят в числе своих ка</w:t>
      </w:r>
      <w:r>
        <w:t>н</w:t>
      </w:r>
      <w:r>
        <w:t>дидатов представ</w:t>
      </w:r>
      <w:r>
        <w:t>и</w:t>
      </w:r>
      <w:r>
        <w:t>телей цыган.</w:t>
      </w:r>
    </w:p>
    <w:p w:rsidR="00000000" w:rsidRDefault="00000000">
      <w:pPr>
        <w:pStyle w:val="DualTxt"/>
      </w:pPr>
      <w:r>
        <w:t>27.</w:t>
      </w:r>
      <w:r>
        <w:tab/>
        <w:t>Что касается органов местного самоуправл</w:t>
      </w:r>
      <w:r>
        <w:t>е</w:t>
      </w:r>
      <w:r>
        <w:t>ния, то в настоящее время среди мэров городов имеется два представителя цыган и еще десять представителей этого меньшинства являются заме</w:t>
      </w:r>
      <w:r>
        <w:t>с</w:t>
      </w:r>
      <w:r>
        <w:t>тителями мэров. Около 100 представителей цыган являются государственными служащими, семеро из которых работают в правительственных органах. Каждое из 13 национальных и этнических мен</w:t>
      </w:r>
      <w:r>
        <w:t>ь</w:t>
      </w:r>
      <w:r>
        <w:t>шинств избирает национальный орган самоупра</w:t>
      </w:r>
      <w:r>
        <w:t>в</w:t>
      </w:r>
      <w:r>
        <w:t>ления и значительное число местных органов сам</w:t>
      </w:r>
      <w:r>
        <w:t>о</w:t>
      </w:r>
      <w:r>
        <w:t>управления меньшинств. Национальный орган с</w:t>
      </w:r>
      <w:r>
        <w:t>а</w:t>
      </w:r>
      <w:r>
        <w:t>моуправления цыган представлен в Межведомс</w:t>
      </w:r>
      <w:r>
        <w:t>т</w:t>
      </w:r>
      <w:r>
        <w:t>венном комитете по вопросам, касающимся цыган. В стране также действует около 300 неправительс</w:t>
      </w:r>
      <w:r>
        <w:t>т</w:t>
      </w:r>
      <w:r>
        <w:t>венных организаций ц</w:t>
      </w:r>
      <w:r>
        <w:t>ы</w:t>
      </w:r>
      <w:r>
        <w:t>ган.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90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Равенство между мужчинами и женщинами и недопустимость дискриминации между мужчинами и женщинами (статьи 3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3 и 26: участие женщин в работе Г</w:t>
      </w:r>
      <w:r>
        <w:t>о</w:t>
      </w:r>
      <w:r>
        <w:t>сударственного собрания, государственных органов и в экономической деятельности; равное вознагр</w:t>
      </w:r>
      <w:r>
        <w:t>а</w:t>
      </w:r>
      <w:r>
        <w:t>ждение за труд равной ценности; средства правовой защиты, применяемые в случаях дискриминации в отношении женщин; насилие в отношении женщин и уровень информированности общественности об этой проблеме; масштабы торговли женщинами и девочками в целях пр</w:t>
      </w:r>
      <w:r>
        <w:t>о</w:t>
      </w:r>
      <w:r>
        <w:t>ституции.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Хёльцл</w:t>
      </w:r>
      <w:r>
        <w:t xml:space="preserve"> (Венгрия) говорит, что для уч</w:t>
      </w:r>
      <w:r>
        <w:t>а</w:t>
      </w:r>
      <w:r>
        <w:t>стия женщин в политической жизни нет никаких юридических препятствий, однако на практике они по</w:t>
      </w:r>
      <w:r>
        <w:noBreakHyphen/>
        <w:t>прежнему недопредставлены. Обследование, проведенное в 1998 году, показало, что среди нас</w:t>
      </w:r>
      <w:r>
        <w:t>е</w:t>
      </w:r>
      <w:r>
        <w:t>ления с более высоким уровнем образования му</w:t>
      </w:r>
      <w:r>
        <w:t>ж</w:t>
      </w:r>
      <w:r>
        <w:t>чины в большей степени интересуются политикой, чем женщины. Однако в выборах принимают уч</w:t>
      </w:r>
      <w:r>
        <w:t>а</w:t>
      </w:r>
      <w:r>
        <w:t>стие почти одинаковое число представителей обоих полов. С 1990 года число кандидатов-женщин на всеобщих выборах постоянно увеличивается, как и число избранных женщин. Возросло и число же</w:t>
      </w:r>
      <w:r>
        <w:t>н</w:t>
      </w:r>
      <w:r>
        <w:t>щин, избираемых непосредственно в избирательных округах, что демонстрирует рост доверия избират</w:t>
      </w:r>
      <w:r>
        <w:t>е</w:t>
      </w:r>
      <w:r>
        <w:t>лей к женщинам-членам Государственного собр</w:t>
      </w:r>
      <w:r>
        <w:t>а</w:t>
      </w:r>
      <w:r>
        <w:t>ния. Представленность женщин в комитетах Гос</w:t>
      </w:r>
      <w:r>
        <w:t>у</w:t>
      </w:r>
      <w:r>
        <w:t>дарственного собрания несколько ниже, чем общая представленность женщин в Государственном со</w:t>
      </w:r>
      <w:r>
        <w:t>б</w:t>
      </w:r>
      <w:r>
        <w:t>рании. В правительственных органах женщины также занимают меньше должностей. В настоящее время лишь одно министерство — министерство юстиции — возглавляет женщина. Однако женщины широко представлены в административных и суде</w:t>
      </w:r>
      <w:r>
        <w:t>б</w:t>
      </w:r>
      <w:r>
        <w:t>ных органах и в системе образования и здравоохр</w:t>
      </w:r>
      <w:r>
        <w:t>а</w:t>
      </w:r>
      <w:r>
        <w:t>нения. По сравнению с органами национального уровня женщины более широко представлены в о</w:t>
      </w:r>
      <w:r>
        <w:t>р</w:t>
      </w:r>
      <w:r>
        <w:t>ганах местного управления. С 1990 года число женщин-кандидатов и женщин, избираемых в орг</w:t>
      </w:r>
      <w:r>
        <w:t>а</w:t>
      </w:r>
      <w:r>
        <w:t>ны местного управления, последовательно возра</w:t>
      </w:r>
      <w:r>
        <w:t>с</w:t>
      </w:r>
      <w:r>
        <w:t>тало, как и число же</w:t>
      </w:r>
      <w:r>
        <w:t>н</w:t>
      </w:r>
      <w:r>
        <w:t>щин-мэров.</w:t>
      </w:r>
    </w:p>
    <w:p w:rsidR="00000000" w:rsidRDefault="00000000">
      <w:pPr>
        <w:pStyle w:val="DualTxt"/>
      </w:pPr>
      <w:r>
        <w:t>30.</w:t>
      </w:r>
      <w:r>
        <w:tab/>
        <w:t>В экономической сфере доля работающих женщин неизменно меньше доли работающих му</w:t>
      </w:r>
      <w:r>
        <w:t>ж</w:t>
      </w:r>
      <w:r>
        <w:t>чин, однако у женщин ниже уровень безработицы. Женщины занимают около 70 процентов должн</w:t>
      </w:r>
      <w:r>
        <w:t>о</w:t>
      </w:r>
      <w:r>
        <w:t>стей в государственном секторе, однако лишь около 40 процентов — в частном. Число женщин-предпринимателей и женщин, занимающих руков</w:t>
      </w:r>
      <w:r>
        <w:t>о</w:t>
      </w:r>
      <w:r>
        <w:t>дящие должн</w:t>
      </w:r>
      <w:r>
        <w:t>о</w:t>
      </w:r>
      <w:r>
        <w:t>сти, увеличилось незначительно.</w:t>
      </w:r>
    </w:p>
    <w:p w:rsidR="00000000" w:rsidRDefault="00000000">
      <w:pPr>
        <w:pStyle w:val="DualTxt"/>
      </w:pPr>
      <w:r>
        <w:t>31.</w:t>
      </w:r>
      <w:r>
        <w:tab/>
        <w:t>Помимо мер, направленных на устранение дискриминации по признаку пола, для расширения представленности женщин в вышеупомянутых о</w:t>
      </w:r>
      <w:r>
        <w:t>б</w:t>
      </w:r>
      <w:r>
        <w:t>ластях никаких законодательных мер не приним</w:t>
      </w:r>
      <w:r>
        <w:t>а</w:t>
      </w:r>
      <w:r>
        <w:t>лось, хотя правительство рассматривает вопрос о целесообразности принятия дополнительных мер. Политические партии имеют право вводить систему квот для кандидатов-женщин. Однако результаты соответствующего опроса свидетельствуют о том, что большинство населения, включая и большинс</w:t>
      </w:r>
      <w:r>
        <w:t>т</w:t>
      </w:r>
      <w:r>
        <w:t>во женщин, не одобряет идею «позитивной дискр</w:t>
      </w:r>
      <w:r>
        <w:t>и</w:t>
      </w:r>
      <w:r>
        <w:t>минации» в сфере трудоустройства. Таким образом, целесообразность введения такой меры следует тщательно пр</w:t>
      </w:r>
      <w:r>
        <w:t>о</w:t>
      </w:r>
      <w:r>
        <w:t>думать.</w:t>
      </w:r>
    </w:p>
    <w:p w:rsidR="00000000" w:rsidRDefault="00000000">
      <w:pPr>
        <w:pStyle w:val="DualTxt"/>
      </w:pPr>
      <w:r>
        <w:t>32.</w:t>
      </w:r>
      <w:r>
        <w:tab/>
        <w:t>Право на равную оплату равноценного труда закреплено в Конституции. За нарушение права на равную оплату и за проявление дискриминации в гражданском законодательстве предусматриваются наказания, в частности выплата компенсации, а также административные наказания и штрафы. О</w:t>
      </w:r>
      <w:r>
        <w:t>д</w:t>
      </w:r>
      <w:r>
        <w:t>нако на практике дискриминация в оплате труда по</w:t>
      </w:r>
      <w:r>
        <w:noBreakHyphen/>
        <w:t>прежнему сохраняется. И хотя разница между оплатой труда женщин и оплатой труда мужчин в какой</w:t>
      </w:r>
      <w:r>
        <w:noBreakHyphen/>
        <w:t>то степени сократилась, женщины в среднем получают лишь 85 процентов того, что получают мужчины. Такое положение дел, как представляе</w:t>
      </w:r>
      <w:r>
        <w:t>т</w:t>
      </w:r>
      <w:r>
        <w:t>ся, должно улучшиться с вступлением Венгрии в Евр</w:t>
      </w:r>
      <w:r>
        <w:t>о</w:t>
      </w:r>
      <w:r>
        <w:t>пейский союз.</w:t>
      </w:r>
    </w:p>
    <w:p w:rsidR="00000000" w:rsidRDefault="00000000">
      <w:pPr>
        <w:pStyle w:val="DualTxt"/>
      </w:pPr>
      <w:r>
        <w:t>33.</w:t>
      </w:r>
      <w:r>
        <w:tab/>
        <w:t>Средства правовой защиты, применяемые в случаях проявления дискриминации в отношении женщин, аналогичны тем, которые применяются в случаях дискриминации по заработной плате. П</w:t>
      </w:r>
      <w:r>
        <w:t>о</w:t>
      </w:r>
      <w:r>
        <w:t>мимо этого, министерство социальных дел и семьи имеет линию прямой телефонной связи, с помощью которой женщины, подвергающиеся дискримин</w:t>
      </w:r>
      <w:r>
        <w:t>а</w:t>
      </w:r>
      <w:r>
        <w:t>ции, могут получить бесплатную юридическую консультацию. К числу наиболее распространенных проблем относятся дискриминация женщин в опл</w:t>
      </w:r>
      <w:r>
        <w:t>а</w:t>
      </w:r>
      <w:r>
        <w:t>те труда и положение женщин, возвращающихся из декретного отпуска и отпуска по уходу за детьми. Правительство также осуществляет программу, н</w:t>
      </w:r>
      <w:r>
        <w:t>а</w:t>
      </w:r>
      <w:r>
        <w:t>правленную на оказание работающим помощи в том, чтобы работа не наносила ущерба их семейной жизни, посредством таких мер, как введение гибк</w:t>
      </w:r>
      <w:r>
        <w:t>о</w:t>
      </w:r>
      <w:r>
        <w:t>го графика работы и увеличение числа детских д</w:t>
      </w:r>
      <w:r>
        <w:t>о</w:t>
      </w:r>
      <w:r>
        <w:t>школьных учреждений.</w:t>
      </w:r>
    </w:p>
    <w:p w:rsidR="00000000" w:rsidRDefault="00000000">
      <w:pPr>
        <w:pStyle w:val="DualTxt"/>
      </w:pPr>
      <w:r>
        <w:t>34.</w:t>
      </w:r>
      <w:r>
        <w:tab/>
        <w:t>Ряд положений законодательства позволяют подвергать судебному преследованию лиц, вино</w:t>
      </w:r>
      <w:r>
        <w:t>в</w:t>
      </w:r>
      <w:r>
        <w:t>ных в проявлении насилия в семье. В 2000 году 26 процентов всех убийств и 16 процентов случаев, связанных с избиениями, были совершены супругом жертвы, т.е. мужьями или женами. В 6 процентах случаев изнасилования совершившим это престу</w:t>
      </w:r>
      <w:r>
        <w:t>п</w:t>
      </w:r>
      <w:r>
        <w:t>ление был супруг. Начиная с 1997 года случаи изн</w:t>
      </w:r>
      <w:r>
        <w:t>а</w:t>
      </w:r>
      <w:r>
        <w:t>силования супругом считаются уголовным престу</w:t>
      </w:r>
      <w:r>
        <w:t>п</w:t>
      </w:r>
      <w:r>
        <w:t>лением. Правительство приняло ряд мер по борьбе с насилием в отношении женщин и расширению помощи пострадавшим, например посредством в</w:t>
      </w:r>
      <w:r>
        <w:t>ы</w:t>
      </w:r>
      <w:r>
        <w:t>пуска различных публикаций, направленных на п</w:t>
      </w:r>
      <w:r>
        <w:t>о</w:t>
      </w:r>
      <w:r>
        <w:t>вышение информированности общественности об этой проблеме, и организации специальных уче</w:t>
      </w:r>
      <w:r>
        <w:t>б</w:t>
      </w:r>
      <w:r>
        <w:t>ных программ для сотрудников социальных учре</w:t>
      </w:r>
      <w:r>
        <w:t>ж</w:t>
      </w:r>
      <w:r>
        <w:t>дений, занимающихся оказанием помощи постр</w:t>
      </w:r>
      <w:r>
        <w:t>а</w:t>
      </w:r>
      <w:r>
        <w:t>давшим. Сеть служб оказания помощи семье, со</w:t>
      </w:r>
      <w:r>
        <w:t>з</w:t>
      </w:r>
      <w:r>
        <w:t>данная в соответствии с Законом о защите ребенка, занимается предотвращением случаев насилия в семье и оказанием поддержки пострадавшим, при этом неправительственные организации предлагают целый ряд других услуг. В 1999 году правительство приняло постановление о защите жертв преступл</w:t>
      </w:r>
      <w:r>
        <w:t>е</w:t>
      </w:r>
      <w:r>
        <w:t>ний, в том числе женщин, пострадавших от проя</w:t>
      </w:r>
      <w:r>
        <w:t>в</w:t>
      </w:r>
      <w:r>
        <w:t>ления насилия. Еще одно постановление, принятое в 2001 году, предусматривало создание компенсац</w:t>
      </w:r>
      <w:r>
        <w:t>и</w:t>
      </w:r>
      <w:r>
        <w:t>онного фонда для жертв преступлений, связанных с проявлен</w:t>
      </w:r>
      <w:r>
        <w:t>и</w:t>
      </w:r>
      <w:r>
        <w:t>ем насилия.</w:t>
      </w:r>
    </w:p>
    <w:p w:rsidR="00000000" w:rsidRDefault="00000000">
      <w:pPr>
        <w:pStyle w:val="DualTxt"/>
      </w:pPr>
      <w:r>
        <w:t>35.</w:t>
      </w:r>
      <w:r>
        <w:tab/>
        <w:t>Согласно Уголовному кодексу торговля люд</w:t>
      </w:r>
      <w:r>
        <w:t>ь</w:t>
      </w:r>
      <w:r>
        <w:t>ми теперь уже является уголовным преступлением, которое наказывается лишением свободы на срок до трех лет. Масштабы этого преступления в Венгрии весьма незначительны, и большинство известных случаев связано с проституцией. Вовлечение лиц моложе 18 лет и торговля людьми в целях прост</w:t>
      </w:r>
      <w:r>
        <w:t>и</w:t>
      </w:r>
      <w:r>
        <w:t>туции или принудительного труда считаются отя</w:t>
      </w:r>
      <w:r>
        <w:t>г</w:t>
      </w:r>
      <w:r>
        <w:t>чающими обстоятельствами. В период с марта 1999 года по декабрь 2001 года жертвами торговли людьми в целях проституции стали 35 женщин, причем 19 из них в возрасте от 14 до 18 лет, а одной из жертв не было и 14 лет. В апреле 2002 года в стране начинает действовать программа защиты жертв. В целях повышения информированности с</w:t>
      </w:r>
      <w:r>
        <w:t>о</w:t>
      </w:r>
      <w:r>
        <w:t>ответствующих должностных лиц и учреждений в этих вопросах, укрепления их потенциала для бор</w:t>
      </w:r>
      <w:r>
        <w:t>ь</w:t>
      </w:r>
      <w:r>
        <w:t>бы с этими преступлениями и обеспечения инфо</w:t>
      </w:r>
      <w:r>
        <w:t>р</w:t>
      </w:r>
      <w:r>
        <w:t>мацией потенциальных жертв в стране был пров</w:t>
      </w:r>
      <w:r>
        <w:t>е</w:t>
      </w:r>
      <w:r>
        <w:t>ден ряд информационных кампаний. В числе других мероприятий, направленных на борьбу с торговлей людьми, были приняты меры по улучшению погр</w:t>
      </w:r>
      <w:r>
        <w:t>а</w:t>
      </w:r>
      <w:r>
        <w:t>ничного контр</w:t>
      </w:r>
      <w:r>
        <w:t>о</w:t>
      </w:r>
      <w:r>
        <w:t>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br w:type="column"/>
        <w:t>Недопущение пыток; обращение с заключенными и задержанными; свобода или жилищная неприкосн</w:t>
      </w:r>
      <w:r>
        <w:rPr>
          <w:i/>
        </w:rPr>
        <w:t>о</w:t>
      </w:r>
      <w:r>
        <w:rPr>
          <w:i/>
        </w:rPr>
        <w:t>венность граждан и право на справедливое суде</w:t>
      </w:r>
      <w:r>
        <w:rPr>
          <w:i/>
        </w:rPr>
        <w:t>б</w:t>
      </w:r>
      <w:r>
        <w:rPr>
          <w:i/>
        </w:rPr>
        <w:t>ное разбирательство (статьи 7, 9, 10 и 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7, 9, 10 и 14: жалобы на жестокое о</w:t>
      </w:r>
      <w:r>
        <w:t>б</w:t>
      </w:r>
      <w:r>
        <w:t>ращение полиции и отказ подвергнуть виновных судебному преследованию и наказанию, данные о случаях осуждения за такие преступления; право задержанных на доступ к услугам адвоката и оказ</w:t>
      </w:r>
      <w:r>
        <w:t>а</w:t>
      </w:r>
      <w:r>
        <w:t>ние юридической помощи; новый закон об уголо</w:t>
      </w:r>
      <w:r>
        <w:t>в</w:t>
      </w:r>
      <w:r>
        <w:t>ных процедурах и новый Уголовный кодекс; утве</w:t>
      </w:r>
      <w:r>
        <w:t>р</w:t>
      </w:r>
      <w:r>
        <w:t>ждения о случаях продолжительного содержания задержанных в следственном изоляторе; проблема переполненности следственных изоляторов и тюрем и статистические данные, касающиеся заключе</w:t>
      </w:r>
      <w:r>
        <w:t>н</w:t>
      </w:r>
      <w:r>
        <w:t>ных; условия содержания некоторых иностранцев и лиц, ищущих убежища, не отвечающие требован</w:t>
      </w:r>
      <w:r>
        <w:t>и</w:t>
      </w:r>
      <w:r>
        <w:t>ям, с уделением особого внимания женщинам и д</w:t>
      </w:r>
      <w:r>
        <w:t>е</w:t>
      </w:r>
      <w:r>
        <w:t>тям.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Бард</w:t>
      </w:r>
      <w:r>
        <w:t xml:space="preserve"> (Венгрия) говорит, что в Уголовном кодексе страны содержится несколько положений, предусматривающих наказание за неправомерные действия сотрудников полиции, в частности жест</w:t>
      </w:r>
      <w:r>
        <w:t>о</w:t>
      </w:r>
      <w:r>
        <w:t>кое обращение с задержанными и незаконное з</w:t>
      </w:r>
      <w:r>
        <w:t>а</w:t>
      </w:r>
      <w:r>
        <w:t>держание. В Уголовно-процессуальном кодексе ук</w:t>
      </w:r>
      <w:r>
        <w:t>а</w:t>
      </w:r>
      <w:r>
        <w:t>зывается, что доказательства, полученные против</w:t>
      </w:r>
      <w:r>
        <w:t>о</w:t>
      </w:r>
      <w:r>
        <w:t>законными средствами, включая использование с</w:t>
      </w:r>
      <w:r>
        <w:t>и</w:t>
      </w:r>
      <w:r>
        <w:t>лы или угроз, являются неприемлемыми. В после</w:t>
      </w:r>
      <w:r>
        <w:t>д</w:t>
      </w:r>
      <w:r>
        <w:t>ние годы число жалоб на жестокое обращение п</w:t>
      </w:r>
      <w:r>
        <w:t>о</w:t>
      </w:r>
      <w:r>
        <w:t>лиции в среднем составляет 700–800 в год. Ежего</w:t>
      </w:r>
      <w:r>
        <w:t>д</w:t>
      </w:r>
      <w:r>
        <w:t>но поступает от 300 до 400 жалоб на принудител</w:t>
      </w:r>
      <w:r>
        <w:t>ь</w:t>
      </w:r>
      <w:r>
        <w:t>ный допрос и около 100 жалоб на незаконное з</w:t>
      </w:r>
      <w:r>
        <w:t>а</w:t>
      </w:r>
      <w:r>
        <w:t>держание. Около половины этих жалоб не рассл</w:t>
      </w:r>
      <w:r>
        <w:t>е</w:t>
      </w:r>
      <w:r>
        <w:t>дуется. Столько значительное число решений не расследовать поступившие жалобы заставило пр</w:t>
      </w:r>
      <w:r>
        <w:t>о</w:t>
      </w:r>
      <w:r>
        <w:t>куратуру разобраться с этим вопросом. В ходе ра</w:t>
      </w:r>
      <w:r>
        <w:t>з</w:t>
      </w:r>
      <w:r>
        <w:t>бирательства удалось выяснить, что в большинстве случаев расследование не проводилось в силу того, что жалобы не подтверждались никакими доказ</w:t>
      </w:r>
      <w:r>
        <w:t>а</w:t>
      </w:r>
      <w:r>
        <w:t>тельствами. Помимо этого, 70–80 процентов ра</w:t>
      </w:r>
      <w:r>
        <w:t>с</w:t>
      </w:r>
      <w:r>
        <w:t>следований были прекращены в силу того, что д</w:t>
      </w:r>
      <w:r>
        <w:t>о</w:t>
      </w:r>
      <w:r>
        <w:t>казать факт совершения предполагаемого престу</w:t>
      </w:r>
      <w:r>
        <w:t>п</w:t>
      </w:r>
      <w:r>
        <w:t>ления было довольно трудно, а подозреваемые и</w:t>
      </w:r>
      <w:r>
        <w:t>с</w:t>
      </w:r>
      <w:r>
        <w:t>пользовали принцип in dubio pro reo.</w:t>
      </w:r>
    </w:p>
    <w:p w:rsidR="00000000" w:rsidRDefault="00000000">
      <w:pPr>
        <w:pStyle w:val="DualTxt"/>
      </w:pPr>
      <w:r>
        <w:t>38.</w:t>
      </w:r>
      <w:r>
        <w:tab/>
        <w:t>Решения не расследовать жалобу или прекр</w:t>
      </w:r>
      <w:r>
        <w:t>а</w:t>
      </w:r>
      <w:r>
        <w:t>тить ее расследование могут быть обжалованы. В 20–30 процентах случаев такое решение пересма</w:t>
      </w:r>
      <w:r>
        <w:t>т</w:t>
      </w:r>
      <w:r>
        <w:t>ривается. Если появляется какая</w:t>
      </w:r>
      <w:r>
        <w:noBreakHyphen/>
        <w:t>то дополнительная информация или новые доказательства, расследов</w:t>
      </w:r>
      <w:r>
        <w:t>а</w:t>
      </w:r>
      <w:r>
        <w:t>ние жалобы возобновляется. Для борьбы с непр</w:t>
      </w:r>
      <w:r>
        <w:t>а</w:t>
      </w:r>
      <w:r>
        <w:t>вомерными действиями полиции необходимы более эффективные меры, поскольку есть основания пол</w:t>
      </w:r>
      <w:r>
        <w:t>а</w:t>
      </w:r>
      <w:r>
        <w:t>гать, что многие случаи таких неправомерных де</w:t>
      </w:r>
      <w:r>
        <w:t>й</w:t>
      </w:r>
      <w:r>
        <w:t>ствий не получают огласки. Помимо этого, число случаев признания сотрудников полиции виновн</w:t>
      </w:r>
      <w:r>
        <w:t>ы</w:t>
      </w:r>
      <w:r>
        <w:t>ми является незначительным, при этом им, как пр</w:t>
      </w:r>
      <w:r>
        <w:t>а</w:t>
      </w:r>
      <w:r>
        <w:t>вило, выносятся довольно мягкие приговоры. Нео</w:t>
      </w:r>
      <w:r>
        <w:t>б</w:t>
      </w:r>
      <w:r>
        <w:t>ходимо также улучшить подготовку сотрудников полиции и повысить профессиональный уровень сотрудников прокуратуры, при этом необходимо б</w:t>
      </w:r>
      <w:r>
        <w:t>о</w:t>
      </w:r>
      <w:r>
        <w:t>лее эффективно контролировать действия полиции. В новом Уголовно-процессуальном кодексе пред</w:t>
      </w:r>
      <w:r>
        <w:t>у</w:t>
      </w:r>
      <w:r>
        <w:t>сматривается меньшее число требований для ра</w:t>
      </w:r>
      <w:r>
        <w:t>с</w:t>
      </w:r>
      <w:r>
        <w:t>следования жалоб. И наконец, восстановление пр</w:t>
      </w:r>
      <w:r>
        <w:t>о</w:t>
      </w:r>
      <w:r>
        <w:t>цедуры «дополнительного разбирательства» позв</w:t>
      </w:r>
      <w:r>
        <w:t>о</w:t>
      </w:r>
      <w:r>
        <w:t>лит пострадавшим выступать в роли прокурора в случае отказа от проведения расследования или о</w:t>
      </w:r>
      <w:r>
        <w:t>т</w:t>
      </w:r>
      <w:r>
        <w:t>каза принять ж</w:t>
      </w:r>
      <w:r>
        <w:t>а</w:t>
      </w:r>
      <w:r>
        <w:t>лобу.</w:t>
      </w:r>
    </w:p>
    <w:p w:rsidR="00000000" w:rsidRDefault="00000000">
      <w:pPr>
        <w:pStyle w:val="DualTxt"/>
      </w:pPr>
      <w:r>
        <w:t>39.</w:t>
      </w:r>
      <w:r>
        <w:tab/>
        <w:t>В отношении права задержанных на доступ к услугам адвоката он указывает на то, что в Уголо</w:t>
      </w:r>
      <w:r>
        <w:t>в</w:t>
      </w:r>
      <w:r>
        <w:t>но-процессуальном кодексе предусматривается об</w:t>
      </w:r>
      <w:r>
        <w:t>я</w:t>
      </w:r>
      <w:r>
        <w:t>зательное предоставление задержанным правовой защиты независимо от обстоятельств, при которых то или иное лицо было лишено свободы, в том чи</w:t>
      </w:r>
      <w:r>
        <w:t>с</w:t>
      </w:r>
      <w:r>
        <w:t>ле и в связи с психическими расстройствами. Одн</w:t>
      </w:r>
      <w:r>
        <w:t>а</w:t>
      </w:r>
      <w:r>
        <w:t>ко обеспечение услуг адвоката не является обяз</w:t>
      </w:r>
      <w:r>
        <w:t>а</w:t>
      </w:r>
      <w:r>
        <w:t>тельным в тех случаях, когда лицо находится под арестом, где оно может находиться не более 72 часов.</w:t>
      </w:r>
    </w:p>
    <w:p w:rsidR="00000000" w:rsidRDefault="00000000">
      <w:pPr>
        <w:pStyle w:val="DualTxt"/>
      </w:pPr>
      <w:r>
        <w:t>40.</w:t>
      </w:r>
      <w:r>
        <w:tab/>
        <w:t>В Конституции и Уголовно-процессуальном кодексе предусматривается, что любое лицо имеет право на защиту с самого начала уголовного пр</w:t>
      </w:r>
      <w:r>
        <w:t>о</w:t>
      </w:r>
      <w:r>
        <w:t>цесса. Однако на практике задержанные сталкив</w:t>
      </w:r>
      <w:r>
        <w:t>а</w:t>
      </w:r>
      <w:r>
        <w:t>ются с серьезными трудностями, пытаясь получить доступ к услугам адвоката.</w:t>
      </w:r>
    </w:p>
    <w:p w:rsidR="00000000" w:rsidRDefault="00000000">
      <w:pPr>
        <w:pStyle w:val="DualTxt"/>
      </w:pPr>
      <w:r>
        <w:t>41.</w:t>
      </w:r>
      <w:r>
        <w:tab/>
        <w:t>Если обвиняемый сам не назначает адвоката, через три дня после предъявления обвинений вл</w:t>
      </w:r>
      <w:r>
        <w:t>а</w:t>
      </w:r>
      <w:r>
        <w:t>сти обязаны предоставить ему своего адвоката. П</w:t>
      </w:r>
      <w:r>
        <w:t>о</w:t>
      </w:r>
      <w:r>
        <w:t>скольку за предъявлением обвинений, как правило, следуют допросы, то назначенные судом адвокаты во многим случаях не присутствуют на первом д</w:t>
      </w:r>
      <w:r>
        <w:t>о</w:t>
      </w:r>
      <w:r>
        <w:t>просе. Однако обвиняемые могут настаивать на присутствии адвоката на их допр</w:t>
      </w:r>
      <w:r>
        <w:t>о</w:t>
      </w:r>
      <w:r>
        <w:t>сах.</w:t>
      </w:r>
    </w:p>
    <w:p w:rsidR="00000000" w:rsidRDefault="00000000">
      <w:pPr>
        <w:pStyle w:val="DualTxt"/>
      </w:pPr>
      <w:r>
        <w:t>42.</w:t>
      </w:r>
      <w:r>
        <w:tab/>
        <w:t>В законодательстве Венгрии содержится п</w:t>
      </w:r>
      <w:r>
        <w:t>о</w:t>
      </w:r>
      <w:r>
        <w:t>ложение, обеспечивающее защиту от самооговора. Подозреваемые имеют право отказываться от ответа на вопросы на любом этапе судебного разбирател</w:t>
      </w:r>
      <w:r>
        <w:t>ь</w:t>
      </w:r>
      <w:r>
        <w:t>ства. Помимо этого, власти должны специально проинформировать подозреваемого о его праве не отвечать на вопросы, а обвиняемый должен по</w:t>
      </w:r>
      <w:r>
        <w:t>д</w:t>
      </w:r>
      <w:r>
        <w:t>твердить это, поставив свою подпись на соответс</w:t>
      </w:r>
      <w:r>
        <w:t>т</w:t>
      </w:r>
      <w:r>
        <w:t>вующей странице его дела. Если власти не прои</w:t>
      </w:r>
      <w:r>
        <w:t>н</w:t>
      </w:r>
      <w:r>
        <w:t>формировали обвиняемого об этом праве и если в деле отсутствует упомянутая подпись обвиняемого, то его показания считаются полученными незако</w:t>
      </w:r>
      <w:r>
        <w:t>н</w:t>
      </w:r>
      <w:r>
        <w:t>но.</w:t>
      </w:r>
    </w:p>
    <w:p w:rsidR="00000000" w:rsidRDefault="00000000">
      <w:pPr>
        <w:pStyle w:val="DualTxt"/>
      </w:pPr>
      <w:r>
        <w:t>43.</w:t>
      </w:r>
      <w:r>
        <w:tab/>
        <w:t>Консультации обвиняемого с его адвокатом носят конфиденциальный характер. Обвиняемым не гарантируется право на замену официально назн</w:t>
      </w:r>
      <w:r>
        <w:t>а</w:t>
      </w:r>
      <w:r>
        <w:t>ченного адвоката, однако они имеют право подавать ходатайство о замене, а также, если они пожелают, указывать, кого бы они хотели видеть в качестве своего адвоката защиты, если с этим ходатайством согласятся полиция, прокуратура и суд. В новом Уголовно-процессуальном кодексе недвусмысленно гарантируется право обвиняемого на замену его з</w:t>
      </w:r>
      <w:r>
        <w:t>а</w:t>
      </w:r>
      <w:r>
        <w:t>щитника, при этом новый Кодекс требует от адвок</w:t>
      </w:r>
      <w:r>
        <w:t>а</w:t>
      </w:r>
      <w:r>
        <w:t>тов защиты незамедлительно связываться с их кл</w:t>
      </w:r>
      <w:r>
        <w:t>и</w:t>
      </w:r>
      <w:r>
        <w:t>ентами.</w:t>
      </w:r>
    </w:p>
    <w:p w:rsidR="00000000" w:rsidRDefault="00000000">
      <w:pPr>
        <w:pStyle w:val="DualTxt"/>
      </w:pPr>
      <w:r>
        <w:t>44.</w:t>
      </w:r>
      <w:r>
        <w:tab/>
        <w:t>Правительство Венгрии не отрицает, что пра</w:t>
      </w:r>
      <w:r>
        <w:t>к</w:t>
      </w:r>
      <w:r>
        <w:t>тическое осуществление этих положений оставляет желать много лучшего. Назначенные судом адвок</w:t>
      </w:r>
      <w:r>
        <w:t>а</w:t>
      </w:r>
      <w:r>
        <w:t>ты не обеспечивают должного качества услуг по ц</w:t>
      </w:r>
      <w:r>
        <w:t>е</w:t>
      </w:r>
      <w:r>
        <w:t>лому ряду причин. Во-первых, реформа этой сист</w:t>
      </w:r>
      <w:r>
        <w:t>е</w:t>
      </w:r>
      <w:r>
        <w:t>мы обсуждается уже в течение многих лет. Асс</w:t>
      </w:r>
      <w:r>
        <w:t>о</w:t>
      </w:r>
      <w:r>
        <w:t>циация адвокатов Венгрии выступает против идеи государственного финансирования системы прав</w:t>
      </w:r>
      <w:r>
        <w:t>о</w:t>
      </w:r>
      <w:r>
        <w:t>вой помощи, полагая, что венгерское общество не приемлет такую систему; лица, подозреваемые в совершении уголовного преступления, не смогут воспринимать назначенных государством защитн</w:t>
      </w:r>
      <w:r>
        <w:t>и</w:t>
      </w:r>
      <w:r>
        <w:t>ков в качестве своих доброжелателей, а будут сч</w:t>
      </w:r>
      <w:r>
        <w:t>и</w:t>
      </w:r>
      <w:r>
        <w:t>тать их агентами, действующими в интересах гос</w:t>
      </w:r>
      <w:r>
        <w:t>у</w:t>
      </w:r>
      <w:r>
        <w:t>дарства. Таким образом, относительно низкое кач</w:t>
      </w:r>
      <w:r>
        <w:t>е</w:t>
      </w:r>
      <w:r>
        <w:t>ство услуг, которые оказывают назначенные судом адвокаты, является не столько этнической пробл</w:t>
      </w:r>
      <w:r>
        <w:t>е</w:t>
      </w:r>
      <w:r>
        <w:t>мой или проблемой принадлежности к языковому меньшинству, как отметил Комитет, сколько пр</w:t>
      </w:r>
      <w:r>
        <w:t>о</w:t>
      </w:r>
      <w:r>
        <w:t>блемой нищеты и отсутствия профессиональной этики.</w:t>
      </w:r>
    </w:p>
    <w:p w:rsidR="00000000" w:rsidRDefault="00000000">
      <w:pPr>
        <w:pStyle w:val="DualTxt"/>
      </w:pPr>
      <w:r>
        <w:t>45.</w:t>
      </w:r>
      <w:r>
        <w:tab/>
        <w:t>Несколько лет назад министерство рассмотр</w:t>
      </w:r>
      <w:r>
        <w:t>е</w:t>
      </w:r>
      <w:r>
        <w:t>ло вариант создания по образцу немецкой и авс</w:t>
      </w:r>
      <w:r>
        <w:t>т</w:t>
      </w:r>
      <w:r>
        <w:t>рийской систем списка адвокатов, готовых обесп</w:t>
      </w:r>
      <w:r>
        <w:t>е</w:t>
      </w:r>
      <w:r>
        <w:t>чивать защиту в уголовных делах по назначению суда; поэтому лишь те адвокаты, которые фигур</w:t>
      </w:r>
      <w:r>
        <w:t>и</w:t>
      </w:r>
      <w:r>
        <w:t>руют в упомянутом списке, будут получать разр</w:t>
      </w:r>
      <w:r>
        <w:t>е</w:t>
      </w:r>
      <w:r>
        <w:t>шение на участие в судебных процессах на основ</w:t>
      </w:r>
      <w:r>
        <w:t>а</w:t>
      </w:r>
      <w:r>
        <w:t xml:space="preserve">нии соответствующей договоренности. </w:t>
      </w:r>
    </w:p>
    <w:p w:rsidR="00000000" w:rsidRDefault="00000000">
      <w:pPr>
        <w:pStyle w:val="DualTxt"/>
      </w:pPr>
      <w:r>
        <w:t>46.</w:t>
      </w:r>
      <w:r>
        <w:tab/>
        <w:t>Возвращаясь к вопросу о предварительном з</w:t>
      </w:r>
      <w:r>
        <w:t>а</w:t>
      </w:r>
      <w:r>
        <w:t>ключении, он говорит, что согласно венгерскому з</w:t>
      </w:r>
      <w:r>
        <w:t>а</w:t>
      </w:r>
      <w:r>
        <w:t>конодательству продолжительность такого закл</w:t>
      </w:r>
      <w:r>
        <w:t>ю</w:t>
      </w:r>
      <w:r>
        <w:t>чения ничем не ограничена. В последние годы н</w:t>
      </w:r>
      <w:r>
        <w:t>е</w:t>
      </w:r>
      <w:r>
        <w:t>сколько увеличилась доля тех обвиняемых, которые, находясь под следствием, содержались под стражей в течение месяца или меньшего периода времени, а также доля обвиняемых, содержавшихся под стр</w:t>
      </w:r>
      <w:r>
        <w:t>а</w:t>
      </w:r>
      <w:r>
        <w:t>жей в течение одного года или более. Увеличение сроков предварительного заключения отчасти об</w:t>
      </w:r>
      <w:r>
        <w:t>у</w:t>
      </w:r>
      <w:r>
        <w:t>словлено существенными изменениями в характере преступности в последние годы. Поскольку в Уг</w:t>
      </w:r>
      <w:r>
        <w:t>о</w:t>
      </w:r>
      <w:r>
        <w:t>ловном кодексе теперь фигурируют новые виды преступлений, процесс расследования становится более сложным, при этом существенно увеличилось число преступлений с несколькими соучастниками, а значит, и число судебных процессов с нескольк</w:t>
      </w:r>
      <w:r>
        <w:t>и</w:t>
      </w:r>
      <w:r>
        <w:t>ми обвиняемыми.</w:t>
      </w:r>
    </w:p>
    <w:p w:rsidR="00000000" w:rsidRDefault="00000000">
      <w:pPr>
        <w:pStyle w:val="DualTxt"/>
      </w:pPr>
      <w:r>
        <w:t>47.</w:t>
      </w:r>
      <w:r>
        <w:tab/>
        <w:t>В новом Уголовно-процессуальном кодексе предусмотрен ряд изменений, касающихся предв</w:t>
      </w:r>
      <w:r>
        <w:t>а</w:t>
      </w:r>
      <w:r>
        <w:t>рительного заключения. Во-первых, Кодекс огран</w:t>
      </w:r>
      <w:r>
        <w:t>и</w:t>
      </w:r>
      <w:r>
        <w:t>чит продолжительность такого заключения пери</w:t>
      </w:r>
      <w:r>
        <w:t>о</w:t>
      </w:r>
      <w:r>
        <w:t>дом, не превышающим трех лет, за исключением случаев, когда такой период продлевается решением суда первой инстанции. Во-вторых, любое продл</w:t>
      </w:r>
      <w:r>
        <w:t>е</w:t>
      </w:r>
      <w:r>
        <w:t>ние предварительного срока заключения может быть обжаловано, при этом будет увеличено число альтернатив содержания под стражей в ожидании суда. В новом Кодексе будет также предусмотрена процедура освобождения под поручительство до з</w:t>
      </w:r>
      <w:r>
        <w:t>а</w:t>
      </w:r>
      <w:r>
        <w:t>седания суда, причем сумма залога будет опред</w:t>
      </w:r>
      <w:r>
        <w:t>е</w:t>
      </w:r>
      <w:r>
        <w:t>ляться с учетом положения каждого конкретного обвиняемого. Новый Кодекс будет также пред</w:t>
      </w:r>
      <w:r>
        <w:t>у</w:t>
      </w:r>
      <w:r>
        <w:t>сматривать ряд мер, которые должны способств</w:t>
      </w:r>
      <w:r>
        <w:t>о</w:t>
      </w:r>
      <w:r>
        <w:t>вать ускорению процесса судебного разбирательс</w:t>
      </w:r>
      <w:r>
        <w:t>т</w:t>
      </w:r>
      <w:r>
        <w:t>ва в целом и таким образом сокращать период пр</w:t>
      </w:r>
      <w:r>
        <w:t>е</w:t>
      </w:r>
      <w:r>
        <w:t>бывания обвиняемых в следс</w:t>
      </w:r>
      <w:r>
        <w:t>т</w:t>
      </w:r>
      <w:r>
        <w:t>венных изоляторах.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Хёльцл</w:t>
      </w:r>
      <w:r>
        <w:t xml:space="preserve"> (Венгрия), касаясь вопроса о п</w:t>
      </w:r>
      <w:r>
        <w:t>е</w:t>
      </w:r>
      <w:r>
        <w:t>реполненности тюрем, признает, что венгерские тюрьмы действительно переполнены, однако указ</w:t>
      </w:r>
      <w:r>
        <w:t>ы</w:t>
      </w:r>
      <w:r>
        <w:t>вает на то, что согласно международным органам, осуществляющим контроль в этой области, эти тюрьмы в целом отвечают международным ста</w:t>
      </w:r>
      <w:r>
        <w:t>н</w:t>
      </w:r>
      <w:r>
        <w:t>дартам. По состоянию на 31 декабря 2001 года в тюрьмах страны содержалось 17 275 заключенных, т.е. тюрьмы были заполнены на 159 процентов.</w:t>
      </w:r>
    </w:p>
    <w:p w:rsidR="00000000" w:rsidRDefault="00000000">
      <w:pPr>
        <w:pStyle w:val="DualTxt"/>
      </w:pPr>
      <w:r>
        <w:t>49.</w:t>
      </w:r>
      <w:r>
        <w:tab/>
        <w:t>Правительство Венгрии приступило к осущ</w:t>
      </w:r>
      <w:r>
        <w:t>е</w:t>
      </w:r>
      <w:r>
        <w:t>ствлению плана постройки новых исправительных учреждений и модернизации существующих. Одной из целей этого плана является увеличение числа мест в исправительных учреждениях и обеспечение того, чтобы женщины и несовершеннолетние пр</w:t>
      </w:r>
      <w:r>
        <w:t>а</w:t>
      </w:r>
      <w:r>
        <w:t>вонарушители содержались вблизи мест их пост</w:t>
      </w:r>
      <w:r>
        <w:t>о</w:t>
      </w:r>
      <w:r>
        <w:t>янного проживания. В течение 2002–2003 годов в стране будут построены три новые тюрьмы, рассч</w:t>
      </w:r>
      <w:r>
        <w:t>и</w:t>
      </w:r>
      <w:r>
        <w:t>танные на 2000 заключенных, при этом доля закл</w:t>
      </w:r>
      <w:r>
        <w:t>ю</w:t>
      </w:r>
      <w:r>
        <w:t>ченных, содержащихся вблизи мест их постоянного проживания, возрастет до 40 процентов. Начиная с 1 января 2003 года максимальный срок предвар</w:t>
      </w:r>
      <w:r>
        <w:t>и</w:t>
      </w:r>
      <w:r>
        <w:t>тельного заключения для несовершеннолетних с</w:t>
      </w:r>
      <w:r>
        <w:t>о</w:t>
      </w:r>
      <w:r>
        <w:t>ставит два года, а для взрослых — три г</w:t>
      </w:r>
      <w:r>
        <w:t>о</w:t>
      </w:r>
      <w:r>
        <w:t>да.</w:t>
      </w:r>
    </w:p>
    <w:p w:rsidR="00000000" w:rsidRDefault="00000000">
      <w:pPr>
        <w:pStyle w:val="DualTxt"/>
      </w:pPr>
      <w:r>
        <w:t>50.</w:t>
      </w:r>
      <w:r>
        <w:tab/>
        <w:t>Касаясь вопроса о содержании иностранцев и лиц, ищущих убежища, в городских приютах, он г</w:t>
      </w:r>
      <w:r>
        <w:t>о</w:t>
      </w:r>
      <w:r>
        <w:t>ворит, что в соответствии с Законом о въезде в страну и пребывании в стране иностранцев, вст</w:t>
      </w:r>
      <w:r>
        <w:t>у</w:t>
      </w:r>
      <w:r>
        <w:t>пившим в силу 1 января 2002 года, иностранцы, з</w:t>
      </w:r>
      <w:r>
        <w:t>а</w:t>
      </w:r>
      <w:r>
        <w:t>держанные при попытке нелегального пересечения границы, могут обращаться с просьбой о предо</w:t>
      </w:r>
      <w:r>
        <w:t>с</w:t>
      </w:r>
      <w:r>
        <w:t>тавлении статуса беженца, если у них имеются де</w:t>
      </w:r>
      <w:r>
        <w:t>й</w:t>
      </w:r>
      <w:r>
        <w:t>ствительные проездные документы, в противном случае они будут содержаться в соответствующем изоляторе службы пограничной охраны, дожидаясь своей депортации. С учетом критических замеч</w:t>
      </w:r>
      <w:r>
        <w:t>а</w:t>
      </w:r>
      <w:r>
        <w:t>ний, касающихся бесчеловечных условий содерж</w:t>
      </w:r>
      <w:r>
        <w:t>а</w:t>
      </w:r>
      <w:r>
        <w:t>ния в таких изоляторах, некоторые из них были з</w:t>
      </w:r>
      <w:r>
        <w:t>а</w:t>
      </w:r>
      <w:r>
        <w:t>крыты и вместо них строятся н</w:t>
      </w:r>
      <w:r>
        <w:t>о</w:t>
      </w:r>
      <w:r>
        <w:t>вые.</w:t>
      </w:r>
    </w:p>
    <w:p w:rsidR="00000000" w:rsidRDefault="00000000">
      <w:pPr>
        <w:pStyle w:val="DualTxt"/>
      </w:pPr>
      <w:r>
        <w:t>51.</w:t>
      </w:r>
      <w:r>
        <w:tab/>
        <w:t>В настоящее время Государственное управл</w:t>
      </w:r>
      <w:r>
        <w:t>е</w:t>
      </w:r>
      <w:r>
        <w:t>ние иммиграции и натурализации имеет четыре приюта, в которых могут разместиться 352 челов</w:t>
      </w:r>
      <w:r>
        <w:t>е</w:t>
      </w:r>
      <w:r>
        <w:t>ка. Региональные иммиграционные органы разм</w:t>
      </w:r>
      <w:r>
        <w:t>е</w:t>
      </w:r>
      <w:r>
        <w:t>щают в таких приютах иностранцев, если выслать их или отказать им в убежище не позволяют ме</w:t>
      </w:r>
      <w:r>
        <w:t>ж</w:t>
      </w:r>
      <w:r>
        <w:t>дународные обязательства страны, если истекли строки, установленные для их ареста, или если по гуманитарным соображениям им был выдан вид на жительство. Эти приюты являются открытыми у</w:t>
      </w:r>
      <w:r>
        <w:t>ч</w:t>
      </w:r>
      <w:r>
        <w:t>реждениями, где на каждого проживающего прих</w:t>
      </w:r>
      <w:r>
        <w:t>о</w:t>
      </w:r>
      <w:r>
        <w:t>дится 15 кубических метров жилого пространства. Одинокие мужчины и женщины размещаются о</w:t>
      </w:r>
      <w:r>
        <w:t>т</w:t>
      </w:r>
      <w:r>
        <w:t>дельно, семьи живут в общих помещениях. Ин</w:t>
      </w:r>
      <w:r>
        <w:t>о</w:t>
      </w:r>
      <w:r>
        <w:t>странцы, проживающие в таких приютах, должны соблюдать установленные правила, платить за пр</w:t>
      </w:r>
      <w:r>
        <w:t>и</w:t>
      </w:r>
      <w:r>
        <w:t>чиненный ими ущерб и информировать власти о том, если они намерены отсутствовать в течение более 24 часов.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говорит, что Комитет интересуют не только положения законодательства, но и ко</w:t>
      </w:r>
      <w:r>
        <w:t>н</w:t>
      </w:r>
      <w:r>
        <w:t>кретные достижения. Представленный доклад св</w:t>
      </w:r>
      <w:r>
        <w:t>и</w:t>
      </w:r>
      <w:r>
        <w:t>детельствует о том, что правительство также заи</w:t>
      </w:r>
      <w:r>
        <w:t>н</w:t>
      </w:r>
      <w:r>
        <w:t>тересовано в конкретных результатах и достижен</w:t>
      </w:r>
      <w:r>
        <w:t>и</w:t>
      </w:r>
      <w:r>
        <w:t>ях, однако в докладе содержится больше информ</w:t>
      </w:r>
      <w:r>
        <w:t>а</w:t>
      </w:r>
      <w:r>
        <w:t>ции о новых учреждениях и положениях законод</w:t>
      </w:r>
      <w:r>
        <w:t>а</w:t>
      </w:r>
      <w:r>
        <w:t>тельства, а не о конкретных результатах. В ходе о</w:t>
      </w:r>
      <w:r>
        <w:t>б</w:t>
      </w:r>
      <w:r>
        <w:t>суждения был представлен большой объем стат</w:t>
      </w:r>
      <w:r>
        <w:t>и</w:t>
      </w:r>
      <w:r>
        <w:t>стических данных, и было бы полезно иметь эти данные в письменном виде.</w:t>
      </w:r>
    </w:p>
    <w:p w:rsidR="00000000" w:rsidRDefault="00000000">
      <w:pPr>
        <w:pStyle w:val="DualTxt"/>
      </w:pPr>
      <w:r>
        <w:t>53.</w:t>
      </w:r>
      <w:r>
        <w:tab/>
        <w:t>Неправительственные организации довели до сведения Комитета, что данное государство-участник не имеет общего антидискриминационн</w:t>
      </w:r>
      <w:r>
        <w:t>о</w:t>
      </w:r>
      <w:r>
        <w:t>го законодательства и что санкции, предусмотре</w:t>
      </w:r>
      <w:r>
        <w:t>н</w:t>
      </w:r>
      <w:r>
        <w:t>ные в отношении дискриминации, недостаточно жесткие. Государству-участнику, вероятно, следует рассмотреть вопрос о том, как оно могло бы д</w:t>
      </w:r>
      <w:r>
        <w:t>о</w:t>
      </w:r>
      <w:r>
        <w:t>биться дальнейшего прогресса в деле борьбы с ди</w:t>
      </w:r>
      <w:r>
        <w:t>с</w:t>
      </w:r>
      <w:r>
        <w:t>криминацией, помимо задействования института омбудсмена.</w:t>
      </w:r>
    </w:p>
    <w:p w:rsidR="00000000" w:rsidRDefault="00000000">
      <w:pPr>
        <w:pStyle w:val="DualTxt"/>
      </w:pPr>
      <w:r>
        <w:t>54.</w:t>
      </w:r>
      <w:r>
        <w:tab/>
        <w:t>Комитет глубоко обеспокоен положением ц</w:t>
      </w:r>
      <w:r>
        <w:t>ы</w:t>
      </w:r>
      <w:r>
        <w:t>ганского меньшинства, которое на протяжении дл</w:t>
      </w:r>
      <w:r>
        <w:t>и</w:t>
      </w:r>
      <w:r>
        <w:t>тельного периода времени подвергается дискрим</w:t>
      </w:r>
      <w:r>
        <w:t>и</w:t>
      </w:r>
      <w:r>
        <w:t>нации в области обеспечения жильем, трудоустро</w:t>
      </w:r>
      <w:r>
        <w:t>й</w:t>
      </w:r>
      <w:r>
        <w:t>ства и образования, при этом весьма значительная доля представителей этого меньшинства содержи</w:t>
      </w:r>
      <w:r>
        <w:t>т</w:t>
      </w:r>
      <w:r>
        <w:t>ся в исправительных учреждениях. Не случайно Г</w:t>
      </w:r>
      <w:r>
        <w:t>о</w:t>
      </w:r>
      <w:r>
        <w:t>сударственная комиссия по национальным мен</w:t>
      </w:r>
      <w:r>
        <w:t>ь</w:t>
      </w:r>
      <w:r>
        <w:t>шинствам сообщила о том, что 70 процентов жалоб поступили от членов национальных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55.</w:t>
      </w:r>
      <w:r>
        <w:tab/>
        <w:t>Сообщения о неправомерных действиях пол</w:t>
      </w:r>
      <w:r>
        <w:t>и</w:t>
      </w:r>
      <w:r>
        <w:t>ции в отношении цыган или иностранцев, вне</w:t>
      </w:r>
      <w:r>
        <w:t>ш</w:t>
      </w:r>
      <w:r>
        <w:t>ность которых отличалась от внешности венгров, являются слишком многочисленными для того, чт</w:t>
      </w:r>
      <w:r>
        <w:t>о</w:t>
      </w:r>
      <w:r>
        <w:t>бы поверить в утверждения о том, что эти лица не смогли предъявить достаточных доказательств для того, чтобы прокуроры могли приступить к разб</w:t>
      </w:r>
      <w:r>
        <w:t>и</w:t>
      </w:r>
      <w:r>
        <w:t>рательству. Лишь незначительная доля жалоб стала предметом судебного разбирательства, и даже в этих случаях приговоры судов были довольно мя</w:t>
      </w:r>
      <w:r>
        <w:t>г</w:t>
      </w:r>
      <w:r>
        <w:t>кими.</w:t>
      </w:r>
    </w:p>
    <w:p w:rsidR="00000000" w:rsidRDefault="00000000">
      <w:pPr>
        <w:pStyle w:val="DualTxt"/>
      </w:pPr>
      <w:r>
        <w:t>56.</w:t>
      </w:r>
      <w:r>
        <w:tab/>
        <w:t>Что касается переполненности тюрем, то глава делегации указал на то, что тюрьмы все же отвеч</w:t>
      </w:r>
      <w:r>
        <w:t>а</w:t>
      </w:r>
      <w:r>
        <w:t>ют международным нормам; в это, однако, трудно поверить, поскольку одной из таких норм является обеспечение определенной площади для каждого заключенного.</w:t>
      </w:r>
    </w:p>
    <w:p w:rsidR="00000000" w:rsidRDefault="00000000">
      <w:pPr>
        <w:pStyle w:val="DualTxt"/>
      </w:pPr>
      <w:r>
        <w:t>57.</w:t>
      </w:r>
      <w:r>
        <w:tab/>
        <w:t>Делегация отметила, что доля женщин в с</w:t>
      </w:r>
      <w:r>
        <w:t>о</w:t>
      </w:r>
      <w:r>
        <w:t>ставе рабочей силы является незначительной даже в государственном секторе. В Конституции прово</w:t>
      </w:r>
      <w:r>
        <w:t>з</w:t>
      </w:r>
      <w:r>
        <w:t>глашается равенство прав мужчин и женщин, п</w:t>
      </w:r>
      <w:r>
        <w:t>о</w:t>
      </w:r>
      <w:r>
        <w:t>этому он хотел бы получить информацию о том, что происходит на практике. Тот факт, что лишь одно министерство страны возглавляет женщина, вряд ли можно считать достижением; то же самое можно сказать и о представленности женщин в Государс</w:t>
      </w:r>
      <w:r>
        <w:t>т</w:t>
      </w:r>
      <w:r>
        <w:t>венном собрании. Помимо этого меры, принима</w:t>
      </w:r>
      <w:r>
        <w:t>е</w:t>
      </w:r>
      <w:r>
        <w:t>мые в целях борьбы с дискриминацией, являются недостаточными; в связи с этим следует рассмо</w:t>
      </w:r>
      <w:r>
        <w:t>т</w:t>
      </w:r>
      <w:r>
        <w:t>реть вопрос о позитивных мерах, которые необяз</w:t>
      </w:r>
      <w:r>
        <w:t>а</w:t>
      </w:r>
      <w:r>
        <w:t>тельно означают введение квот.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просит делегацию разъяснить смысл положения статьи 54 Конституции Венгрии, в которой говорится, что никто не может быть л</w:t>
      </w:r>
      <w:r>
        <w:t>и</w:t>
      </w:r>
      <w:r>
        <w:t>шен права на жизнь и человеческое достоинство вследствие «произвола»; он не представляет, как можно лишить кого-либо человеческого достоинс</w:t>
      </w:r>
      <w:r>
        <w:t>т</w:t>
      </w:r>
      <w:r>
        <w:t>ва каким-либо иным путем, помимо произвола. Что касается переполненности тюрем, то ему хотелось бы получить сведения о числе лиц, содержащихся под стражей в ожидании суда, в сравнении с числом лиц, отбыва</w:t>
      </w:r>
      <w:r>
        <w:t>ю</w:t>
      </w:r>
      <w:r>
        <w:t>щих наказание.</w:t>
      </w:r>
    </w:p>
    <w:p w:rsidR="00000000" w:rsidRDefault="00000000">
      <w:pPr>
        <w:pStyle w:val="DualTxt"/>
      </w:pPr>
      <w:r>
        <w:t>59.</w:t>
      </w:r>
      <w:r>
        <w:tab/>
        <w:t>Что касается чрезвычайного положения, то он хотел бы выяснить, является ли право на обжалов</w:t>
      </w:r>
      <w:r>
        <w:t>а</w:t>
      </w:r>
      <w:r>
        <w:t>ние судебных решений одним из тех прав, которые продолжают действовать, и сохраняются ли гара</w:t>
      </w:r>
      <w:r>
        <w:t>н</w:t>
      </w:r>
      <w:r>
        <w:t>тии соблюдения принципа пропорциональности. Он также хотел бы узнать, что именно предприняло правительство для обеспечения учета мнений К</w:t>
      </w:r>
      <w:r>
        <w:t>о</w:t>
      </w:r>
      <w:r>
        <w:t>митета, высказанных в связи с рассмотрением сл</w:t>
      </w:r>
      <w:r>
        <w:t>у</w:t>
      </w:r>
      <w:r>
        <w:t>чаев, представленных в соответствии с Факульт</w:t>
      </w:r>
      <w:r>
        <w:t>а</w:t>
      </w:r>
      <w:r>
        <w:t>тивным прот</w:t>
      </w:r>
      <w:r>
        <w:t>о</w:t>
      </w:r>
      <w:r>
        <w:t>колом.</w:t>
      </w:r>
    </w:p>
    <w:p w:rsidR="00000000" w:rsidRDefault="00000000">
      <w:pPr>
        <w:pStyle w:val="DualTxt"/>
      </w:pPr>
      <w:r>
        <w:t>60.</w:t>
      </w:r>
      <w:r>
        <w:tab/>
        <w:t>Положение, в котором находятся цыгане, ост</w:t>
      </w:r>
      <w:r>
        <w:t>а</w:t>
      </w:r>
      <w:r>
        <w:t>ется неприемлемым; они по</w:t>
      </w:r>
      <w:r>
        <w:noBreakHyphen/>
        <w:t>прежнему являются обездоленной группой населения во всех аспектах прав Па</w:t>
      </w:r>
      <w:r>
        <w:t>к</w:t>
      </w:r>
      <w:r>
        <w:t>та, даже несмотря на то, что государство-участник явно стремится улучшить их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н Халиль</w:t>
      </w:r>
      <w:r>
        <w:t xml:space="preserve"> говорит, что в борьбе с террори</w:t>
      </w:r>
      <w:r>
        <w:t>з</w:t>
      </w:r>
      <w:r>
        <w:t>мом важно не потерять из виду необходимость з</w:t>
      </w:r>
      <w:r>
        <w:t>а</w:t>
      </w:r>
      <w:r>
        <w:t>щиты прав человека. Он отмечает существенные изменения в правовой и институциональной основе защиты прав человека в Венгрии, однако просит пояснить, чем объясняется слишком большая доля цыган среди заключенных. Он также осведомляе</w:t>
      </w:r>
      <w:r>
        <w:t>т</w:t>
      </w:r>
      <w:r>
        <w:t>ся, разрешается ли связываться с адвокатом лицам, арестованным полицией и содержащимся под стр</w:t>
      </w:r>
      <w:r>
        <w:t>а</w:t>
      </w:r>
      <w:r>
        <w:t>жей в течение непродолжительного периода врем</w:t>
      </w:r>
      <w:r>
        <w:t>е</w:t>
      </w:r>
      <w:r>
        <w:t>ни.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Велла</w:t>
      </w:r>
      <w:r>
        <w:t xml:space="preserve"> говорит, что он хотел бы получить более подробную информацию о требованиях, предъявляемых к судьям, и процедуре снятия судьи с должности, а также подробную информацию о любых таких случаях. Он также просит пояснить, в чем заключается оценка работы судей, о которой идет речь в пункте 243 доклада, кто проводит такую оценку, каковы последствия этих оценок и пред</w:t>
      </w:r>
      <w:r>
        <w:t>у</w:t>
      </w:r>
      <w:r>
        <w:t>смотрены ли какие-либо меры в случае негативных результ</w:t>
      </w:r>
      <w:r>
        <w:t>а</w:t>
      </w:r>
      <w:r>
        <w:t>тов оценки.</w:t>
      </w:r>
    </w:p>
    <w:p w:rsidR="00000000" w:rsidRDefault="00000000">
      <w:pPr>
        <w:pStyle w:val="DualTxt"/>
      </w:pPr>
      <w:r>
        <w:t>63.</w:t>
      </w:r>
      <w:r>
        <w:tab/>
        <w:t>Касаясь прав обвиняемых, он хотел бы выя</w:t>
      </w:r>
      <w:r>
        <w:t>с</w:t>
      </w:r>
      <w:r>
        <w:t>нить, предусмотрена ли возможность судебного разбирательства в отсутствии обвиняемого и в к</w:t>
      </w:r>
      <w:r>
        <w:t>а</w:t>
      </w:r>
      <w:r>
        <w:t>ких обстоятельствах и гарантируется ли право на услуги переводчика в ходе судебного разбирател</w:t>
      </w:r>
      <w:r>
        <w:t>ь</w:t>
      </w:r>
      <w:r>
        <w:t>ства. Ссылаясь на пункты 265–267 доклада, он х</w:t>
      </w:r>
      <w:r>
        <w:t>о</w:t>
      </w:r>
      <w:r>
        <w:t>тел бы выяснить, предоставляет ли государство бесплатную правовую помощь по усмотрению суда и почему предоставление такой помощи является обязательным лишь в отношении несовершенноле</w:t>
      </w:r>
      <w:r>
        <w:t>т</w:t>
      </w:r>
      <w:r>
        <w:t>них прав</w:t>
      </w:r>
      <w:r>
        <w:t>о</w:t>
      </w:r>
      <w:r>
        <w:t>нарушителей.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 xml:space="preserve"> с удовлетворением отмечает, что Конституционный суд признал, что в Венгрии п</w:t>
      </w:r>
      <w:r>
        <w:t>о</w:t>
      </w:r>
      <w:r>
        <w:t>ложения Пакта имеют силу закона. Однако он обе</w:t>
      </w:r>
      <w:r>
        <w:t>с</w:t>
      </w:r>
      <w:r>
        <w:t>покоен тем, что действие пункта 1 статьи 57 Ко</w:t>
      </w:r>
      <w:r>
        <w:t>н</w:t>
      </w:r>
      <w:r>
        <w:t>ституции может быть приостановлено во время чрезвыча</w:t>
      </w:r>
      <w:r>
        <w:t>й</w:t>
      </w:r>
      <w:r>
        <w:t>ного положения.</w:t>
      </w:r>
    </w:p>
    <w:p w:rsidR="00000000" w:rsidRDefault="00000000">
      <w:pPr>
        <w:pStyle w:val="DualTxt"/>
      </w:pPr>
      <w:r>
        <w:t>65.</w:t>
      </w:r>
      <w:r>
        <w:tab/>
        <w:t>Дискриминация цыганского меньшинства, как и его повсеместная сегрегация в системе образов</w:t>
      </w:r>
      <w:r>
        <w:t>а</w:t>
      </w:r>
      <w:r>
        <w:t>ния, по-прежнему вызывает обеспокоенность. О</w:t>
      </w:r>
      <w:r>
        <w:t>б</w:t>
      </w:r>
      <w:r>
        <w:t>разование является обязательным в большинстве стран мира, и правительство обязано обеспечить образование всех своих граждан, однако в докладе говорится о том, что для посещения цыганскими детьми школ необходимо согласие их родителей; он хотел бы узнать, почему. Имеются сообщения о н</w:t>
      </w:r>
      <w:r>
        <w:t>е</w:t>
      </w:r>
      <w:r>
        <w:t>уважительных высказываниях в адрес этой группы населения со стороны государственных чиновников, которые, наоборот, должны показывать пример. Он спрашивает, согласились ли политические партии не использовать в предстоящей избирательной ка</w:t>
      </w:r>
      <w:r>
        <w:t>м</w:t>
      </w:r>
      <w:r>
        <w:t>пании негативные стереотипы и принимаются ли какие-либо меры для включения представителя ц</w:t>
      </w:r>
      <w:r>
        <w:t>ы</w:t>
      </w:r>
      <w:r>
        <w:t>ганской общины в состав правительства, которое будет сформировано. Касаясь самоуправления групп меньшинств, он задается вопросом  о том, рассматривался ли вопрос об использовании объе</w:t>
      </w:r>
      <w:r>
        <w:t>к</w:t>
      </w:r>
      <w:r>
        <w:t>тивных критериев для определения членства в т</w:t>
      </w:r>
      <w:r>
        <w:t>а</w:t>
      </w:r>
      <w:r>
        <w:t>ких группах.</w:t>
      </w:r>
    </w:p>
    <w:p w:rsidR="00000000" w:rsidRDefault="00000000">
      <w:pPr>
        <w:pStyle w:val="DualTxt"/>
      </w:pPr>
      <w:r>
        <w:t>66.</w:t>
      </w:r>
      <w:r>
        <w:tab/>
        <w:t>Касаясь прав женщин, он хотел бы выяснить, на каких именно работах запрещено работать же</w:t>
      </w:r>
      <w:r>
        <w:t>н</w:t>
      </w:r>
      <w:r>
        <w:t>щинам в силу защитных ограничений, введенных Кодексом о труде. Он также хотел бы узнать, им</w:t>
      </w:r>
      <w:r>
        <w:t>е</w:t>
      </w:r>
      <w:r>
        <w:t>ются ли какие-либо планы создания механизма и</w:t>
      </w:r>
      <w:r>
        <w:t>с</w:t>
      </w:r>
      <w:r>
        <w:t>пользования запретительных судебных приказов для защиты женщин от лиц, совершающих акты н</w:t>
      </w:r>
      <w:r>
        <w:t>а</w:t>
      </w:r>
      <w:r>
        <w:t>силия в с</w:t>
      </w:r>
      <w:r>
        <w:t>е</w:t>
      </w:r>
      <w:r>
        <w:t>мье.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н Крецмер</w:t>
      </w:r>
      <w:r>
        <w:t xml:space="preserve"> спрашивает, имеются ли какие-либо иные механизмы, помимо уголовного пресл</w:t>
      </w:r>
      <w:r>
        <w:t>е</w:t>
      </w:r>
      <w:r>
        <w:t>дования, для расследования заявлений о примен</w:t>
      </w:r>
      <w:r>
        <w:t>е</w:t>
      </w:r>
      <w:r>
        <w:t>нии пыток, жестокого обращения или неправоме</w:t>
      </w:r>
      <w:r>
        <w:t>р</w:t>
      </w:r>
      <w:r>
        <w:t>ных действий полиции. Делегация пояснила, что общественность не доверяет государственным з</w:t>
      </w:r>
      <w:r>
        <w:t>а</w:t>
      </w:r>
      <w:r>
        <w:t>щитникам с учетом прошлого опыта, однако он х</w:t>
      </w:r>
      <w:r>
        <w:t>о</w:t>
      </w:r>
      <w:r>
        <w:t>тел бы уяснить, будет ли в таком случае доверие к прокуратуре. Он просит представить более подро</w:t>
      </w:r>
      <w:r>
        <w:t>б</w:t>
      </w:r>
      <w:r>
        <w:t>ную информацию о том, какое значение придается показаниям пострадавших при расследовании таких заявлений и какие именно доказательства необх</w:t>
      </w:r>
      <w:r>
        <w:t>о</w:t>
      </w:r>
      <w:r>
        <w:t>димы для проведения расследований. Разрешенный законом период содержания в следственном изол</w:t>
      </w:r>
      <w:r>
        <w:t>я</w:t>
      </w:r>
      <w:r>
        <w:t>торе — до трех лет — представляется слишком продолжительным; просьба представить более по</w:t>
      </w:r>
      <w:r>
        <w:t>д</w:t>
      </w:r>
      <w:r>
        <w:t>робную информацию о видах правонарушений, в связи с которыми лица содержатся под стражей до суда, и о том, кто принимает решения в таких сл</w:t>
      </w:r>
      <w:r>
        <w:t>у</w:t>
      </w:r>
      <w:r>
        <w:t>чаях — полиция, прок</w:t>
      </w:r>
      <w:r>
        <w:t>у</w:t>
      </w:r>
      <w:r>
        <w:t>ратура или суд.</w:t>
      </w:r>
    </w:p>
    <w:p w:rsidR="00000000" w:rsidRDefault="00000000">
      <w:pPr>
        <w:pStyle w:val="DualTxt"/>
      </w:pPr>
      <w:r>
        <w:t>68.</w:t>
      </w:r>
      <w:r>
        <w:tab/>
        <w:t>Он хотел бы также выяснить, приняты ли к</w:t>
      </w:r>
      <w:r>
        <w:t>а</w:t>
      </w:r>
      <w:r>
        <w:t>кие-либо законы по защите женщин от сексуальных домогательств и проходят ли сотрудники полиции какую-либо специальную подготовку для того, чт</w:t>
      </w:r>
      <w:r>
        <w:t>о</w:t>
      </w:r>
      <w:r>
        <w:t>бы они могли разбираться с жалобами, касающим</w:t>
      </w:r>
      <w:r>
        <w:t>и</w:t>
      </w:r>
      <w:r>
        <w:t>ся изнасилований или посягательств на изнасилов</w:t>
      </w:r>
      <w:r>
        <w:t>а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NO&gt;&gt;N0229884R&lt;&lt;ODS JOB NO&gt;&gt;</w:t>
      </w:r>
    </w:p>
    <w:p w:rsidR="00000000" w:rsidRDefault="00000000">
      <w:pPr>
        <w:pStyle w:val="CommentText"/>
      </w:pPr>
      <w:r>
        <w:t>&lt;&lt;ODS DOC SYMBOL1&gt;&gt;CCPR/C/SR.1993&lt;&lt;ODS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02-29884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*0229884*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/C/SR.1993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November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11/2002 10:31 PM"/>
    <w:docVar w:name="DocCategory" w:val="SROthers"/>
    <w:docVar w:name="DocType" w:val="Final"/>
    <w:docVar w:name="JobNo" w:val="0229884R"/>
    <w:docVar w:name="OandT" w:val=" "/>
    <w:docVar w:name="Symbol1" w:val="CCPR/C/SR.199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5887</Words>
  <Characters>40626</Characters>
  <Application>Microsoft Office Word</Application>
  <DocSecurity>4</DocSecurity>
  <Lines>1069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48279</CharactersWithSpaces>
  <SharedDoc>false</SharedDoc>
  <HLinks>
    <vt:vector size="6" baseType="variant">
      <vt:variant>
        <vt:i4>4522087</vt:i4>
      </vt:variant>
      <vt:variant>
        <vt:i4>96282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2002-11-27T10:25:00Z</cp:lastPrinted>
  <dcterms:created xsi:type="dcterms:W3CDTF">2002-11-27T10:33:00Z</dcterms:created>
  <dcterms:modified xsi:type="dcterms:W3CDTF">2002-11-27T10:34:00Z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0229884</vt:lpwstr>
  </property>
  <property fmtid="{D5CDD505-2E9C-101B-9397-08002B2CF9AE}" pid="3" name="Symbol1">
    <vt:lpwstr>CCPR/C/SR.1993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Fedorova</vt:lpwstr>
  </property>
</Properties>
</file>