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39F9" w:rsidRDefault="00B939F9" w:rsidP="00B939F9">
      <w:pPr>
        <w:spacing w:line="60" w:lineRule="exact"/>
        <w:rPr>
          <w:sz w:val="6"/>
        </w:rPr>
        <w:sectPr w:rsidR="00B939F9" w:rsidSect="00B939F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B939F9" w:rsidRDefault="00B939F9" w:rsidP="00B939F9">
      <w:pPr>
        <w:spacing w:line="60" w:lineRule="exact"/>
        <w:rPr>
          <w:sz w:val="6"/>
        </w:rPr>
      </w:pPr>
    </w:p>
    <w:p w:rsidR="0063692B" w:rsidRDefault="0063692B" w:rsidP="006369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消除对妇女歧视委员会</w:t>
      </w:r>
    </w:p>
    <w:p w:rsidR="0063692B" w:rsidRDefault="0063692B" w:rsidP="006369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会前工作组</w:t>
      </w:r>
    </w:p>
    <w:p w:rsidR="0063692B" w:rsidRDefault="0063692B" w:rsidP="006369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第四十和第四十一届会议</w:t>
      </w:r>
    </w:p>
    <w:p w:rsidR="0063692B" w:rsidRDefault="0063692B" w:rsidP="0063692B">
      <w:pPr>
        <w:pStyle w:val="SingleTxt"/>
        <w:ind w:left="0"/>
        <w:rPr>
          <w:rFonts w:hint="eastAsia"/>
        </w:rPr>
      </w:pPr>
      <w:r>
        <w:rPr>
          <w:rFonts w:hint="eastAsia"/>
        </w:rPr>
        <w:t>2007年7月16日至20日</w:t>
      </w:r>
    </w:p>
    <w:p w:rsidR="0063692B" w:rsidRPr="0063692B" w:rsidRDefault="0063692B" w:rsidP="0063692B">
      <w:pPr>
        <w:pStyle w:val="SingleTxt"/>
        <w:spacing w:after="0" w:line="120" w:lineRule="exact"/>
        <w:rPr>
          <w:rFonts w:hint="eastAsia"/>
          <w:sz w:val="10"/>
        </w:rPr>
      </w:pPr>
    </w:p>
    <w:p w:rsidR="0063692B" w:rsidRPr="0063692B" w:rsidRDefault="0063692B" w:rsidP="0063692B">
      <w:pPr>
        <w:pStyle w:val="SingleTxt"/>
        <w:spacing w:after="0" w:line="120" w:lineRule="exact"/>
        <w:rPr>
          <w:rFonts w:hint="eastAsia"/>
          <w:sz w:val="10"/>
        </w:rPr>
      </w:pPr>
    </w:p>
    <w:p w:rsidR="0063692B" w:rsidRPr="0063692B" w:rsidRDefault="0063692B" w:rsidP="0063692B">
      <w:pPr>
        <w:pStyle w:val="SingleTxt"/>
        <w:spacing w:after="0" w:line="120" w:lineRule="exact"/>
        <w:rPr>
          <w:rFonts w:hint="eastAsia"/>
          <w:sz w:val="10"/>
        </w:rPr>
      </w:pPr>
    </w:p>
    <w:p w:rsidR="0063692B" w:rsidRDefault="0063692B" w:rsidP="0063692B">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审议定期报告的议题和问题清单</w:t>
      </w:r>
    </w:p>
    <w:p w:rsidR="0063692B" w:rsidRPr="0063692B" w:rsidRDefault="0063692B" w:rsidP="0063692B">
      <w:pPr>
        <w:pStyle w:val="SingleTxt"/>
        <w:spacing w:after="0" w:line="120" w:lineRule="exact"/>
        <w:rPr>
          <w:rFonts w:hint="eastAsia"/>
          <w:sz w:val="10"/>
        </w:rPr>
      </w:pPr>
    </w:p>
    <w:p w:rsidR="0063692B" w:rsidRPr="0063692B" w:rsidRDefault="0063692B" w:rsidP="0063692B">
      <w:pPr>
        <w:pStyle w:val="SingleTxt"/>
        <w:spacing w:after="0" w:line="120" w:lineRule="exact"/>
        <w:rPr>
          <w:rFonts w:hint="eastAsia"/>
          <w:sz w:val="10"/>
        </w:rPr>
      </w:pPr>
    </w:p>
    <w:p w:rsidR="0063692B" w:rsidRDefault="0063692B" w:rsidP="006369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玻利维亚</w:t>
      </w:r>
    </w:p>
    <w:p w:rsidR="0063692B" w:rsidRPr="0063692B" w:rsidRDefault="0063692B" w:rsidP="0063692B">
      <w:pPr>
        <w:pStyle w:val="SingleTxt"/>
        <w:spacing w:after="0" w:line="120" w:lineRule="exact"/>
        <w:rPr>
          <w:rFonts w:hint="eastAsia"/>
          <w:sz w:val="10"/>
        </w:rPr>
      </w:pPr>
    </w:p>
    <w:p w:rsidR="0063692B" w:rsidRPr="0063692B" w:rsidRDefault="0063692B" w:rsidP="0063692B">
      <w:pPr>
        <w:pStyle w:val="SingleTxt"/>
        <w:spacing w:after="0" w:line="120" w:lineRule="exact"/>
        <w:rPr>
          <w:rFonts w:hint="eastAsia"/>
          <w:sz w:val="10"/>
        </w:rPr>
      </w:pPr>
    </w:p>
    <w:p w:rsidR="0063692B" w:rsidRDefault="0063692B" w:rsidP="0063692B">
      <w:pPr>
        <w:pStyle w:val="SingleTxt"/>
        <w:rPr>
          <w:rFonts w:hint="eastAsia"/>
        </w:rPr>
      </w:pPr>
      <w:r>
        <w:rPr>
          <w:rFonts w:hint="eastAsia"/>
        </w:rPr>
        <w:tab/>
        <w:t>会前工作组审议了玻利维亚第二、第三和第四次合并定期报告（CEDAW/C/</w:t>
      </w:r>
      <w:r>
        <w:br/>
      </w:r>
      <w:r>
        <w:rPr>
          <w:rFonts w:hint="eastAsia"/>
        </w:rPr>
        <w:t>BOL/2-4）。</w:t>
      </w:r>
    </w:p>
    <w:p w:rsidR="0063692B" w:rsidRPr="0063692B" w:rsidRDefault="0063692B" w:rsidP="0063692B">
      <w:pPr>
        <w:pStyle w:val="SingleTxt"/>
        <w:rPr>
          <w:rFonts w:ascii="SimHei" w:eastAsia="SimHei" w:hint="eastAsia"/>
          <w:color w:val="FF0000"/>
        </w:rPr>
      </w:pPr>
      <w:r w:rsidRPr="0063692B">
        <w:rPr>
          <w:rFonts w:ascii="SimHei" w:eastAsia="SimHei" w:hint="eastAsia"/>
          <w:color w:val="FF0000"/>
        </w:rPr>
        <w:t>促进提高妇女地位的立法、机制和国家计划</w:t>
      </w:r>
    </w:p>
    <w:p w:rsidR="0063692B" w:rsidRDefault="0063692B" w:rsidP="0063692B">
      <w:pPr>
        <w:pStyle w:val="SingleTxt"/>
        <w:rPr>
          <w:rFonts w:hint="eastAsia"/>
        </w:rPr>
      </w:pPr>
      <w:r>
        <w:rPr>
          <w:rFonts w:hint="eastAsia"/>
        </w:rPr>
        <w:t>1.</w:t>
      </w:r>
      <w:r>
        <w:rPr>
          <w:rFonts w:hint="eastAsia"/>
        </w:rPr>
        <w:tab/>
        <w:t>请提供资料，说明玻利维亚议会通过的《2000-2010年逐步消除最有害形式童工的国家计划》的执行情况以及是否可能将各项人权条约的内容纳入其中。并请提供有关童工数量的资料。</w:t>
      </w:r>
    </w:p>
    <w:p w:rsidR="0063692B" w:rsidRDefault="0063692B" w:rsidP="0063692B">
      <w:pPr>
        <w:pStyle w:val="SingleTxt"/>
        <w:rPr>
          <w:rFonts w:hint="eastAsia"/>
        </w:rPr>
      </w:pPr>
      <w:r>
        <w:rPr>
          <w:rFonts w:hint="eastAsia"/>
        </w:rPr>
        <w:t>2.</w:t>
      </w:r>
      <w:r>
        <w:rPr>
          <w:rFonts w:hint="eastAsia"/>
        </w:rPr>
        <w:tab/>
        <w:t>报告第41段列出了歧视妇女的各项法律，并载有关于重新起草、修改和审查这些法律的建议。请就这些程序和法律的情况提供最新的资料。尤其是说明《禁止政治迫害法》（第139段）的内容以及在批准这项法律方面现所达到的阶段。</w:t>
      </w:r>
    </w:p>
    <w:p w:rsidR="0063692B" w:rsidRDefault="0063692B" w:rsidP="0063692B">
      <w:pPr>
        <w:pStyle w:val="SingleTxt"/>
        <w:rPr>
          <w:rFonts w:hint="eastAsia"/>
        </w:rPr>
      </w:pPr>
      <w:r>
        <w:rPr>
          <w:rFonts w:hint="eastAsia"/>
        </w:rPr>
        <w:t>3.</w:t>
      </w:r>
      <w:r>
        <w:rPr>
          <w:rFonts w:hint="eastAsia"/>
        </w:rPr>
        <w:tab/>
        <w:t>据报告（第288段）说，《性权利和生殖权利法》在议会受到阻挠。请提供资料说明该法的内容、阻碍该法通过的障碍以及目前为争取早日通过和执行该法而作出的努力。</w:t>
      </w:r>
    </w:p>
    <w:p w:rsidR="0063692B" w:rsidRDefault="0063692B" w:rsidP="0063692B">
      <w:pPr>
        <w:pStyle w:val="SingleTxt"/>
        <w:rPr>
          <w:rFonts w:hint="eastAsia"/>
        </w:rPr>
      </w:pPr>
      <w:r>
        <w:rPr>
          <w:rFonts w:hint="eastAsia"/>
        </w:rPr>
        <w:t>4.</w:t>
      </w:r>
      <w:r>
        <w:rPr>
          <w:rFonts w:hint="eastAsia"/>
        </w:rPr>
        <w:tab/>
      </w:r>
      <w:r w:rsidRPr="0063692B">
        <w:rPr>
          <w:rFonts w:hint="eastAsia"/>
          <w:spacing w:val="-2"/>
        </w:rPr>
        <w:t>暴力侵害妇女行为及其因果问题特别报告员的报告（E/CN.4/2003/75/Add.1，</w:t>
      </w:r>
      <w:r>
        <w:rPr>
          <w:rFonts w:hint="eastAsia"/>
        </w:rPr>
        <w:t>第1302段）指出，《刑法》第317条规定，实施强奸、性辱虐或绑架的人在受害人自愿与其结婚的情况下，其行为不受处罚。请说明为修正这一条款而作出的努力。</w:t>
      </w:r>
    </w:p>
    <w:p w:rsidR="0063692B" w:rsidRDefault="0063692B" w:rsidP="0063692B">
      <w:pPr>
        <w:pStyle w:val="SingleTxt"/>
        <w:rPr>
          <w:rFonts w:hint="eastAsia"/>
        </w:rPr>
      </w:pPr>
      <w:r>
        <w:rPr>
          <w:rFonts w:hint="eastAsia"/>
        </w:rPr>
        <w:t>5.</w:t>
      </w:r>
      <w:r>
        <w:rPr>
          <w:rFonts w:hint="eastAsia"/>
        </w:rPr>
        <w:tab/>
        <w:t>报告承认，《第1674号家庭与家庭暴力法》的主要缺陷之一就是，该法是预防性的，而不是惩罚性的。报告还指出，虽然该法已经修改，但仍是一项预防性的法律（第77</w:t>
      </w:r>
      <w:r w:rsidR="003C3512">
        <w:t>-</w:t>
      </w:r>
      <w:r>
        <w:rPr>
          <w:rFonts w:hint="eastAsia"/>
        </w:rPr>
        <w:t>78段）。请澄清《第1674号法》是如何修改的、是什么因素妨碍其成为一项惩罚性的法律以及在这方面采取了何种行动。此外，请说明已采取什么措施去推广和确保切实执行新法，以及该法迄今产生的影响。</w:t>
      </w:r>
    </w:p>
    <w:p w:rsidR="0063692B" w:rsidRDefault="0063692B" w:rsidP="0063692B">
      <w:pPr>
        <w:pStyle w:val="SingleTxt"/>
        <w:rPr>
          <w:rFonts w:hint="eastAsia"/>
        </w:rPr>
      </w:pPr>
      <w:r>
        <w:rPr>
          <w:rFonts w:hint="eastAsia"/>
        </w:rPr>
        <w:t>6.</w:t>
      </w:r>
      <w:r>
        <w:rPr>
          <w:rFonts w:hint="eastAsia"/>
        </w:rPr>
        <w:tab/>
        <w:t>报告指出，男性和女性的最低结婚年龄分别为16岁和14岁（第367段）。请说明是否有计划修正该法，以规定男女的最低结婚年龄相同，遵守《儿童权利公约》的规定。</w:t>
      </w:r>
    </w:p>
    <w:p w:rsidR="0063692B" w:rsidRDefault="0063692B" w:rsidP="0063692B">
      <w:pPr>
        <w:pStyle w:val="SingleTxt"/>
        <w:rPr>
          <w:rFonts w:hint="eastAsia"/>
        </w:rPr>
      </w:pPr>
      <w:r>
        <w:rPr>
          <w:rFonts w:hint="eastAsia"/>
        </w:rPr>
        <w:t>7.</w:t>
      </w:r>
      <w:r>
        <w:rPr>
          <w:rFonts w:hint="eastAsia"/>
        </w:rPr>
        <w:tab/>
        <w:t>报告指出，最近通过了《关于两性平等问题省级管理机构的第24864号法令》（第49段）。请说明该法令的执行情况以及该法令是否有助于将两性平等观念纳入各省市的主要工作。</w:t>
      </w:r>
    </w:p>
    <w:p w:rsidR="0063692B" w:rsidRPr="0063692B" w:rsidRDefault="0063692B" w:rsidP="0063692B">
      <w:pPr>
        <w:pStyle w:val="SingleTxt"/>
        <w:rPr>
          <w:rFonts w:ascii="SimHei" w:eastAsia="SimHei" w:hint="eastAsia"/>
          <w:color w:val="FF0000"/>
        </w:rPr>
      </w:pPr>
      <w:r w:rsidRPr="0063692B">
        <w:rPr>
          <w:rFonts w:ascii="SimHei" w:eastAsia="SimHei" w:hint="eastAsia"/>
          <w:color w:val="FF0000"/>
        </w:rPr>
        <w:t>对妇女的暴力行为</w:t>
      </w:r>
    </w:p>
    <w:p w:rsidR="0063692B" w:rsidRDefault="0063692B" w:rsidP="0063692B">
      <w:pPr>
        <w:pStyle w:val="SingleTxt"/>
        <w:rPr>
          <w:rFonts w:hint="eastAsia"/>
        </w:rPr>
      </w:pPr>
      <w:r>
        <w:rPr>
          <w:rFonts w:hint="eastAsia"/>
        </w:rPr>
        <w:t>8.</w:t>
      </w:r>
      <w:r>
        <w:rPr>
          <w:rFonts w:hint="eastAsia"/>
        </w:rPr>
        <w:tab/>
        <w:t>报告指出，最近发生了各种极为严重的性侵犯妇女和女孩的事件，许多案件最后是以杀害妇女告终（第50段）。此外，据特别报告员的报告（E/CN.4/2003/</w:t>
      </w:r>
      <w:r>
        <w:br/>
      </w:r>
      <w:r>
        <w:rPr>
          <w:rFonts w:hint="eastAsia"/>
        </w:rPr>
        <w:t>75/Add.1，第1307段）说，流落街头的女孩常常受到性虐待和粗暴对待，而保安部队却没有采取任何干预行动。同一份报告提到有人对在古柯种植园工作的妇女受到的暴力侵害提出投诉。请就这些案件提供更多的详细情况以及有关在这方面采取措施的资料。</w:t>
      </w:r>
    </w:p>
    <w:p w:rsidR="0063692B" w:rsidRDefault="0063692B" w:rsidP="0063692B">
      <w:pPr>
        <w:pStyle w:val="SingleTxt"/>
        <w:rPr>
          <w:rFonts w:hint="eastAsia"/>
        </w:rPr>
      </w:pPr>
      <w:r>
        <w:rPr>
          <w:rFonts w:hint="eastAsia"/>
        </w:rPr>
        <w:t>9.</w:t>
      </w:r>
      <w:r>
        <w:rPr>
          <w:rFonts w:hint="eastAsia"/>
        </w:rPr>
        <w:tab/>
        <w:t>在传播和执行《妨碍性自由罪受害者保护法》（第58段）方面具体做了哪些工作？请说明该法覆盖的程度以及这些工作是否包括农村地区的妇女和土著妇女。</w:t>
      </w:r>
    </w:p>
    <w:p w:rsidR="0063692B" w:rsidRDefault="0063692B" w:rsidP="0063692B">
      <w:pPr>
        <w:pStyle w:val="SingleTxt"/>
        <w:rPr>
          <w:rFonts w:hint="eastAsia"/>
        </w:rPr>
      </w:pPr>
      <w:r>
        <w:rPr>
          <w:rFonts w:hint="eastAsia"/>
        </w:rPr>
        <w:t>10.</w:t>
      </w:r>
      <w:r>
        <w:rPr>
          <w:rFonts w:hint="eastAsia"/>
        </w:rPr>
        <w:tab/>
        <w:t>特别报告员在报告中对家庭暴力案件处理的方式表示关切。例如，当局优先考虑家庭的完整性，以孩子福祉的名义迫使双方和解。妇女还面临这样的问题，即在身体没有留下痕迹的情况下，如何提供家庭暴力的证据。调解团行使的职责超过其职权范围内，处理本应由法官受理的案件（E/CN.4/2003/75/Add.1，第1309段）。为解决这些问题已采取什么行动？</w:t>
      </w:r>
    </w:p>
    <w:p w:rsidR="0063692B" w:rsidRDefault="0063692B" w:rsidP="0063692B">
      <w:pPr>
        <w:pStyle w:val="SingleTxt"/>
        <w:rPr>
          <w:rFonts w:hint="eastAsia"/>
        </w:rPr>
      </w:pPr>
      <w:r>
        <w:rPr>
          <w:rFonts w:hint="eastAsia"/>
        </w:rPr>
        <w:t>11.</w:t>
      </w:r>
      <w:r>
        <w:rPr>
          <w:rFonts w:hint="eastAsia"/>
        </w:rPr>
        <w:tab/>
        <w:t>说明为防止校内外发生各种形式的暴力和歧视行为而制定的《防止校园暴力方案》（E/CN.4/2003/75/Add.1，第1305段）产生了什么影响。</w:t>
      </w:r>
    </w:p>
    <w:p w:rsidR="0063692B" w:rsidRPr="0063692B" w:rsidRDefault="0063692B" w:rsidP="0063692B">
      <w:pPr>
        <w:pStyle w:val="SingleTxt"/>
        <w:rPr>
          <w:rFonts w:ascii="SimHei" w:eastAsia="SimHei" w:hint="eastAsia"/>
          <w:color w:val="FF0000"/>
        </w:rPr>
      </w:pPr>
      <w:r w:rsidRPr="0063692B">
        <w:rPr>
          <w:rFonts w:ascii="SimHei" w:eastAsia="SimHei" w:hint="eastAsia"/>
          <w:color w:val="FF0000"/>
        </w:rPr>
        <w:t>贩运和剥削妓女</w:t>
      </w:r>
    </w:p>
    <w:p w:rsidR="0063692B" w:rsidRDefault="0063692B" w:rsidP="0063692B">
      <w:pPr>
        <w:pStyle w:val="SingleTxt"/>
        <w:rPr>
          <w:rFonts w:hint="eastAsia"/>
        </w:rPr>
      </w:pPr>
      <w:r>
        <w:rPr>
          <w:rFonts w:hint="eastAsia"/>
        </w:rPr>
        <w:t>12.</w:t>
      </w:r>
      <w:r>
        <w:rPr>
          <w:rFonts w:hint="eastAsia"/>
        </w:rPr>
        <w:tab/>
        <w:t>关于为采取协调一致行动以取缔买卖和贩运妇女而与南美洲共同市场签署一项协定的举措（第127段），请说明现处于何阶段，并说明是否考虑与安第斯区域的其他国家也签署此种协定。</w:t>
      </w:r>
    </w:p>
    <w:p w:rsidR="0063692B" w:rsidRDefault="0063692B" w:rsidP="0063692B">
      <w:pPr>
        <w:pStyle w:val="SingleTxt"/>
        <w:spacing w:line="334" w:lineRule="exact"/>
        <w:rPr>
          <w:rFonts w:hint="eastAsia"/>
        </w:rPr>
      </w:pPr>
      <w:r>
        <w:rPr>
          <w:rFonts w:hint="eastAsia"/>
        </w:rPr>
        <w:t>13.</w:t>
      </w:r>
      <w:r>
        <w:rPr>
          <w:rFonts w:hint="eastAsia"/>
        </w:rPr>
        <w:tab/>
        <w:t>报告提及保护儿童国际1998年就儿童和青少年问题进行的一项研究（第114段）。请说明是否就这一题目进行了更多的研究以及是否有计划建立常设信息监测机制。此外，第113段提到已草拟了《拐卖儿童法》。请就该法的讨论情况和批准程序提供资料。</w:t>
      </w:r>
    </w:p>
    <w:p w:rsidR="0063692B" w:rsidRDefault="0063692B" w:rsidP="0063692B">
      <w:pPr>
        <w:pStyle w:val="SingleTxt"/>
        <w:spacing w:line="334" w:lineRule="exact"/>
        <w:rPr>
          <w:rFonts w:hint="eastAsia"/>
        </w:rPr>
      </w:pPr>
      <w:r>
        <w:rPr>
          <w:rFonts w:hint="eastAsia"/>
        </w:rPr>
        <w:t>14.</w:t>
      </w:r>
      <w:r>
        <w:rPr>
          <w:rFonts w:hint="eastAsia"/>
        </w:rPr>
        <w:tab/>
        <w:t>据报告说，正在制订一套政策措施，为从事卖淫工作的妇女提供保护（第37段）。请提供有关这一套政策措施的更多资料，并说明为查明造成这种现象的原因以及查明从事卖淫工作的妇女情况（年龄、种族等）所进行的工作。也请说明报告第126段提及的研究在何种程度上与这些工作的相关。</w:t>
      </w:r>
    </w:p>
    <w:p w:rsidR="0063692B" w:rsidRPr="0063692B" w:rsidRDefault="0063692B" w:rsidP="0063692B">
      <w:pPr>
        <w:pStyle w:val="SingleTxt"/>
        <w:spacing w:line="334" w:lineRule="exact"/>
        <w:rPr>
          <w:rFonts w:ascii="SimHei" w:eastAsia="SimHei" w:hint="eastAsia"/>
          <w:color w:val="FF0000"/>
        </w:rPr>
      </w:pPr>
      <w:r w:rsidRPr="0063692B">
        <w:rPr>
          <w:rFonts w:ascii="SimHei" w:eastAsia="SimHei" w:hint="eastAsia"/>
          <w:color w:val="FF0000"/>
        </w:rPr>
        <w:t>陈旧固有观念和教育</w:t>
      </w:r>
    </w:p>
    <w:p w:rsidR="0063692B" w:rsidRDefault="0063692B" w:rsidP="0063692B">
      <w:pPr>
        <w:pStyle w:val="SingleTxt"/>
        <w:spacing w:line="334" w:lineRule="exact"/>
        <w:rPr>
          <w:rFonts w:hint="eastAsia"/>
        </w:rPr>
      </w:pPr>
      <w:r>
        <w:rPr>
          <w:rFonts w:hint="eastAsia"/>
        </w:rPr>
        <w:t>15.</w:t>
      </w:r>
      <w:r>
        <w:rPr>
          <w:rFonts w:hint="eastAsia"/>
        </w:rPr>
        <w:tab/>
        <w:t>努力推动《教育改革方案》，用贯穿各领域的办法介绍两性平等的问题，这一点非常值得赞赏（报告第83段）。请提供表明这些工作所产生影响的指标，并说明已采取何种其他措施，以消除歧视妇女的陈旧固有观念和文化模式，包括是否有媒体参与的活动。</w:t>
      </w:r>
    </w:p>
    <w:p w:rsidR="0063692B" w:rsidRDefault="0063692B" w:rsidP="0063692B">
      <w:pPr>
        <w:pStyle w:val="SingleTxt"/>
        <w:spacing w:line="334" w:lineRule="exact"/>
        <w:rPr>
          <w:rFonts w:hint="eastAsia"/>
        </w:rPr>
      </w:pPr>
      <w:r>
        <w:rPr>
          <w:rFonts w:hint="eastAsia"/>
        </w:rPr>
        <w:t>16.</w:t>
      </w:r>
      <w:r>
        <w:rPr>
          <w:rFonts w:hint="eastAsia"/>
        </w:rPr>
        <w:tab/>
        <w:t>据报告说，在玻利维亚，在教育方面歧视妇女并不是表现在女孩上学的机会较少，而是女孩在校的时间较短（第88段）。请说明是否有研究去查明和调查女孩和青少年未能留在学校的原因。如有，请附上研究结果，提供按年龄、教育程度及城乡地区分类的按性别分列的在学和辍学率统计数据。并说明女孩和青少年辍学的主要原因。</w:t>
      </w:r>
    </w:p>
    <w:p w:rsidR="0063692B" w:rsidRDefault="0063692B" w:rsidP="0063692B">
      <w:pPr>
        <w:pStyle w:val="SingleTxt"/>
        <w:spacing w:line="334" w:lineRule="exact"/>
        <w:rPr>
          <w:rFonts w:hint="eastAsia"/>
        </w:rPr>
      </w:pPr>
      <w:r>
        <w:rPr>
          <w:rFonts w:hint="eastAsia"/>
        </w:rPr>
        <w:t>17.</w:t>
      </w:r>
      <w:r>
        <w:rPr>
          <w:rFonts w:hint="eastAsia"/>
        </w:rPr>
        <w:tab/>
        <w:t>请提供按性别和课程类型分类的大学入学、在校和结业的数据。并提供列入报告中的统计和指标的最新数字，这些是直至2001年的数字，有些情况下，是2002年的数据。</w:t>
      </w:r>
    </w:p>
    <w:p w:rsidR="0063692B" w:rsidRPr="0063692B" w:rsidRDefault="0063692B" w:rsidP="0063692B">
      <w:pPr>
        <w:pStyle w:val="SingleTxt"/>
        <w:spacing w:line="334" w:lineRule="exact"/>
        <w:rPr>
          <w:rFonts w:ascii="SimHei" w:eastAsia="SimHei" w:hint="eastAsia"/>
          <w:color w:val="FF0000"/>
        </w:rPr>
      </w:pPr>
      <w:r w:rsidRPr="0063692B">
        <w:rPr>
          <w:rFonts w:ascii="SimHei" w:eastAsia="SimHei" w:hint="eastAsia"/>
          <w:color w:val="FF0000"/>
        </w:rPr>
        <w:t>政治生活和公共生活</w:t>
      </w:r>
    </w:p>
    <w:p w:rsidR="0063692B" w:rsidRDefault="0063692B" w:rsidP="0063692B">
      <w:pPr>
        <w:pStyle w:val="SingleTxt"/>
        <w:spacing w:line="334" w:lineRule="exact"/>
        <w:rPr>
          <w:rFonts w:hint="eastAsia"/>
        </w:rPr>
      </w:pPr>
      <w:r>
        <w:rPr>
          <w:rFonts w:hint="eastAsia"/>
        </w:rPr>
        <w:t>18.</w:t>
      </w:r>
      <w:r>
        <w:rPr>
          <w:rFonts w:hint="eastAsia"/>
        </w:rPr>
        <w:tab/>
        <w:t>据报告说，尽管2004年通过了《政党法》（其中规定女性参加的人数至少占</w:t>
      </w:r>
      <w:r w:rsidRPr="0063692B">
        <w:rPr>
          <w:rFonts w:hint="eastAsia"/>
          <w:spacing w:val="-4"/>
        </w:rPr>
        <w:t>30％）和《公民社团及土著人民法》</w:t>
      </w:r>
      <w:r>
        <w:rPr>
          <w:rFonts w:hint="eastAsia"/>
          <w:spacing w:val="-4"/>
        </w:rPr>
        <w:t>（</w:t>
      </w:r>
      <w:r w:rsidRPr="0063692B">
        <w:rPr>
          <w:rFonts w:hint="eastAsia"/>
          <w:spacing w:val="-4"/>
        </w:rPr>
        <w:t>第33段</w:t>
      </w:r>
      <w:r>
        <w:rPr>
          <w:rFonts w:hint="eastAsia"/>
          <w:spacing w:val="-4"/>
        </w:rPr>
        <w:t>）</w:t>
      </w:r>
      <w:r w:rsidRPr="0063692B">
        <w:rPr>
          <w:rFonts w:hint="eastAsia"/>
          <w:spacing w:val="-4"/>
        </w:rPr>
        <w:t>，但“迄今尚无法达到30％和50％</w:t>
      </w:r>
      <w:r>
        <w:rPr>
          <w:rFonts w:hint="eastAsia"/>
        </w:rPr>
        <w:t>的目标”（第34段）。请说明为何尚未达到配额，并就促进妇女（包括土著妇女）参与所采取的措施提交报告。还请就该法的影响及其实施工作提供资料，并就妇女在国家和地方两级的权力机构的职位中所占的比例（包括土著妇女所占的比例）提供最新数字。</w:t>
      </w:r>
    </w:p>
    <w:p w:rsidR="0063692B" w:rsidRDefault="0063692B" w:rsidP="0063692B">
      <w:pPr>
        <w:pStyle w:val="SingleTxt"/>
        <w:spacing w:line="334" w:lineRule="exact"/>
        <w:rPr>
          <w:rFonts w:hint="eastAsia"/>
        </w:rPr>
      </w:pPr>
      <w:r>
        <w:rPr>
          <w:rFonts w:hint="eastAsia"/>
        </w:rPr>
        <w:t>19.</w:t>
      </w:r>
      <w:r>
        <w:rPr>
          <w:rFonts w:hint="eastAsia"/>
        </w:rPr>
        <w:tab/>
        <w:t>据报告说，“不利的工作条件”和“家庭琐事”是妇女无法担任政治职务的其中一些原因（第155段）。还提到有人“企图以暴力迫使妇女退出”的情况，这与所谓的“政治迫害”有关（第156段）。请说明在这方面设想或已采取的措施。</w:t>
      </w:r>
    </w:p>
    <w:p w:rsidR="0063692B" w:rsidRPr="0063692B" w:rsidRDefault="0063692B" w:rsidP="0063692B">
      <w:pPr>
        <w:pStyle w:val="SingleTxt"/>
        <w:rPr>
          <w:rFonts w:ascii="SimHei" w:eastAsia="SimHei" w:hint="eastAsia"/>
          <w:color w:val="FF0000"/>
        </w:rPr>
      </w:pPr>
      <w:r w:rsidRPr="0063692B">
        <w:rPr>
          <w:rFonts w:ascii="SimHei" w:eastAsia="SimHei" w:hint="eastAsia"/>
          <w:color w:val="FF0000"/>
        </w:rPr>
        <w:t>就业</w:t>
      </w:r>
    </w:p>
    <w:p w:rsidR="0063692B" w:rsidRDefault="0063692B" w:rsidP="0063692B">
      <w:pPr>
        <w:pStyle w:val="SingleTxt"/>
        <w:rPr>
          <w:rFonts w:hint="eastAsia"/>
        </w:rPr>
      </w:pPr>
      <w:r>
        <w:rPr>
          <w:rFonts w:hint="eastAsia"/>
        </w:rPr>
        <w:t>20.</w:t>
      </w:r>
      <w:r>
        <w:rPr>
          <w:rFonts w:hint="eastAsia"/>
        </w:rPr>
        <w:tab/>
        <w:t>第208至第218段叙述了就业方面的现有立法，还指出有些公司没有遵守关于执行《劳动总法》有关提供婴儿室的规定的法令第56和第57条（第213段）。请说明为确保遵守劳动法而采取的行动以及是否有任何监测机制。并说明出现不守法的情况时采取的制裁措施以及已起诉的案件。</w:t>
      </w:r>
    </w:p>
    <w:p w:rsidR="0063692B" w:rsidRDefault="0063692B" w:rsidP="0063692B">
      <w:pPr>
        <w:pStyle w:val="SingleTxt"/>
        <w:rPr>
          <w:rFonts w:hint="eastAsia"/>
        </w:rPr>
      </w:pPr>
      <w:r>
        <w:rPr>
          <w:rFonts w:hint="eastAsia"/>
        </w:rPr>
        <w:t>21.</w:t>
      </w:r>
      <w:r>
        <w:rPr>
          <w:rFonts w:hint="eastAsia"/>
        </w:rPr>
        <w:tab/>
        <w:t>请提供有关在公共部门和私营部门发生性骚扰的情况。并说明是否有计划通过立法和各项方案来惩治这种骚扰行为。</w:t>
      </w:r>
    </w:p>
    <w:p w:rsidR="0063692B" w:rsidRDefault="0063692B" w:rsidP="0063692B">
      <w:pPr>
        <w:pStyle w:val="SingleTxt"/>
        <w:rPr>
          <w:rFonts w:hint="eastAsia"/>
        </w:rPr>
      </w:pPr>
      <w:r>
        <w:rPr>
          <w:rFonts w:hint="eastAsia"/>
        </w:rPr>
        <w:t>22.</w:t>
      </w:r>
      <w:r>
        <w:rPr>
          <w:rFonts w:hint="eastAsia"/>
        </w:rPr>
        <w:tab/>
        <w:t>报告叙述了玻利维亚妇女在工作场所所受的各种形式的歧视：如收入水平（第236段）、就业机会（第238段）、按性别分工（第239段）和低薪部门以妇女占多数（第235段）。报告还提到政府经济计划和国家农业及农村发展战略，认为该计划和战略将能使妇女的处境和地位得到改善。请说明根据这些计划拟定或落实的措施，以消除在所有这些领域对妇女的歧视。请提供有关迄今取得的成果的资料。</w:t>
      </w:r>
    </w:p>
    <w:p w:rsidR="0063692B" w:rsidRDefault="0063692B" w:rsidP="0063692B">
      <w:pPr>
        <w:pStyle w:val="SingleTxt"/>
        <w:rPr>
          <w:rFonts w:hint="eastAsia"/>
        </w:rPr>
      </w:pPr>
      <w:r>
        <w:rPr>
          <w:rFonts w:hint="eastAsia"/>
        </w:rPr>
        <w:t>23.</w:t>
      </w:r>
      <w:r>
        <w:rPr>
          <w:rFonts w:hint="eastAsia"/>
        </w:rPr>
        <w:tab/>
        <w:t>请就年轻妇女和女孩受雇从事家政工作的条件提供更多的资料，并说明她们是否能获得社会保障。</w:t>
      </w:r>
    </w:p>
    <w:p w:rsidR="0063692B" w:rsidRPr="0063692B" w:rsidRDefault="0063692B" w:rsidP="0063692B">
      <w:pPr>
        <w:pStyle w:val="SingleTxt"/>
        <w:rPr>
          <w:rFonts w:ascii="SimHei" w:eastAsia="SimHei" w:hint="eastAsia"/>
          <w:color w:val="FF0000"/>
        </w:rPr>
      </w:pPr>
      <w:r w:rsidRPr="0063692B">
        <w:rPr>
          <w:rFonts w:ascii="SimHei" w:eastAsia="SimHei" w:hint="eastAsia"/>
          <w:color w:val="FF0000"/>
        </w:rPr>
        <w:t>保健</w:t>
      </w:r>
    </w:p>
    <w:p w:rsidR="0063692B" w:rsidRDefault="0063692B" w:rsidP="0063692B">
      <w:pPr>
        <w:pStyle w:val="SingleTxt"/>
        <w:rPr>
          <w:rFonts w:hint="eastAsia"/>
        </w:rPr>
      </w:pPr>
      <w:r>
        <w:rPr>
          <w:rFonts w:hint="eastAsia"/>
        </w:rPr>
        <w:t>24.</w:t>
      </w:r>
      <w:r>
        <w:rPr>
          <w:rFonts w:hint="eastAsia"/>
        </w:rPr>
        <w:tab/>
        <w:t>请说明是否实施了各项国家保健计划，其中包括国家性和生殖健康保健方案、国家宫颈癌控制计划（2004</w:t>
      </w:r>
      <w:r w:rsidR="003C3512">
        <w:t>-</w:t>
      </w:r>
      <w:r>
        <w:rPr>
          <w:rFonts w:hint="eastAsia"/>
        </w:rPr>
        <w:t>2008年）以及国家青少年全面健康与发育计划（第207段），如已实施，说明取得的成果。请提供更多资料，按农村和城市地区分类说明这些计划的覆盖范围，并说明使用这些计划的妇女的概况。</w:t>
      </w:r>
    </w:p>
    <w:p w:rsidR="0063692B" w:rsidRDefault="0063692B" w:rsidP="0063692B">
      <w:pPr>
        <w:pStyle w:val="SingleTxt"/>
        <w:rPr>
          <w:rFonts w:hint="eastAsia"/>
        </w:rPr>
      </w:pPr>
      <w:r>
        <w:rPr>
          <w:rFonts w:hint="eastAsia"/>
        </w:rPr>
        <w:t>25.</w:t>
      </w:r>
      <w:r>
        <w:rPr>
          <w:rFonts w:hint="eastAsia"/>
        </w:rPr>
        <w:tab/>
        <w:t>请说明是否进行了评估，以查明希望获得这些服务的妇女所面临的潜在障碍，特别是农村地区妇女和土著妇女。并说明她们是否必须有国民身份才能获得这些服务，以及在这方面采取的措施。</w:t>
      </w:r>
    </w:p>
    <w:p w:rsidR="0063692B" w:rsidRDefault="0063692B" w:rsidP="0063692B">
      <w:pPr>
        <w:pStyle w:val="SingleTxt"/>
        <w:rPr>
          <w:rFonts w:hint="eastAsia"/>
        </w:rPr>
      </w:pPr>
      <w:r>
        <w:rPr>
          <w:rFonts w:hint="eastAsia"/>
        </w:rPr>
        <w:t>26.</w:t>
      </w:r>
      <w:r>
        <w:rPr>
          <w:rFonts w:hint="eastAsia"/>
        </w:rPr>
        <w:tab/>
        <w:t>请提供资料说明为加强对青少年、尤其是在校青少年的性和生殖教育而采取或计划采取何种措施，以便降低居高不下的青少年怀孕率、疾病传染以及孕产妇和新生儿的死亡率（第292和第296段）。</w:t>
      </w:r>
    </w:p>
    <w:p w:rsidR="0063692B" w:rsidRDefault="0063692B" w:rsidP="0063692B">
      <w:pPr>
        <w:pStyle w:val="SingleTxt"/>
        <w:rPr>
          <w:rFonts w:hint="eastAsia"/>
        </w:rPr>
      </w:pPr>
      <w:r>
        <w:rPr>
          <w:rFonts w:hint="eastAsia"/>
        </w:rPr>
        <w:t>27.</w:t>
      </w:r>
      <w:r>
        <w:rPr>
          <w:rFonts w:hint="eastAsia"/>
        </w:rPr>
        <w:tab/>
        <w:t>请就设想采取法律措施以防止非法和不安全堕胎的情况提供资料，尤其是有关法律允许的终止妊娠条例。</w:t>
      </w:r>
    </w:p>
    <w:p w:rsidR="0063692B" w:rsidRPr="0063692B" w:rsidRDefault="0063692B" w:rsidP="0063692B">
      <w:pPr>
        <w:pStyle w:val="SingleTxt"/>
        <w:rPr>
          <w:rFonts w:ascii="SimHei" w:eastAsia="SimHei" w:hint="eastAsia"/>
          <w:color w:val="FF0000"/>
        </w:rPr>
      </w:pPr>
      <w:r w:rsidRPr="0063692B">
        <w:rPr>
          <w:rFonts w:ascii="SimHei" w:eastAsia="SimHei" w:hint="eastAsia"/>
          <w:color w:val="FF0000"/>
        </w:rPr>
        <w:t>土著和农村妇女</w:t>
      </w:r>
    </w:p>
    <w:p w:rsidR="0063692B" w:rsidRDefault="0063692B" w:rsidP="0063692B">
      <w:pPr>
        <w:pStyle w:val="SingleTxt"/>
        <w:rPr>
          <w:rFonts w:hint="eastAsia"/>
        </w:rPr>
      </w:pPr>
      <w:r>
        <w:rPr>
          <w:rFonts w:hint="eastAsia"/>
        </w:rPr>
        <w:t>28.</w:t>
      </w:r>
      <w:r>
        <w:rPr>
          <w:rFonts w:hint="eastAsia"/>
        </w:rPr>
        <w:tab/>
        <w:t>请说明有关增加农村女孩入学机会及确保她们在校的项目执行情况以及取得的成果。此外，说明该项目是否有监测和评价机制。请说明是否按照《公约》第4条第1款的规定和一般性建议25，考虑针对土著女孩和妇女或农村女孩和妇女在各级教育采取临时特别措施。</w:t>
      </w:r>
    </w:p>
    <w:p w:rsidR="0063692B" w:rsidRDefault="0063692B" w:rsidP="0063692B">
      <w:pPr>
        <w:pStyle w:val="SingleTxt"/>
        <w:rPr>
          <w:rFonts w:hint="eastAsia"/>
        </w:rPr>
      </w:pPr>
      <w:r>
        <w:rPr>
          <w:rFonts w:hint="eastAsia"/>
        </w:rPr>
        <w:t>29.</w:t>
      </w:r>
      <w:r>
        <w:rPr>
          <w:rFonts w:hint="eastAsia"/>
        </w:rPr>
        <w:tab/>
        <w:t>报告确认，家庭津贴政策并未惠及那些妇女个体经营者或没有月薪的妇女，即那些没有向养恤金缴款或没有领取社会保障金的妇女（第318段）。此外，报告指出，大多数妇女在非正式部门工作（第271段），而土著妇女是为家庭生计工作（第</w:t>
      </w:r>
      <w:r w:rsidR="003C3512">
        <w:rPr>
          <w:rFonts w:hint="eastAsia"/>
        </w:rPr>
        <w:t>31</w:t>
      </w:r>
      <w:r>
        <w:rPr>
          <w:rFonts w:hint="eastAsia"/>
        </w:rPr>
        <w:t>9段）。为这些占多数的妇女拟定了什么方案？</w:t>
      </w:r>
    </w:p>
    <w:p w:rsidR="0063692B" w:rsidRDefault="0063692B" w:rsidP="0063692B">
      <w:pPr>
        <w:pStyle w:val="SingleTxt"/>
        <w:rPr>
          <w:rFonts w:hint="eastAsia"/>
        </w:rPr>
      </w:pPr>
      <w:r>
        <w:rPr>
          <w:rFonts w:hint="eastAsia"/>
        </w:rPr>
        <w:t>30.</w:t>
      </w:r>
      <w:r>
        <w:rPr>
          <w:rFonts w:hint="eastAsia"/>
        </w:rPr>
        <w:tab/>
        <w:t>请提供资料说明非裔玻利维亚妇女的生活条件以及获得基本服务的情况。</w:t>
      </w:r>
    </w:p>
    <w:p w:rsidR="0063692B" w:rsidRDefault="0063692B" w:rsidP="0063692B">
      <w:pPr>
        <w:pStyle w:val="SingleTxt"/>
        <w:rPr>
          <w:rFonts w:hint="eastAsia"/>
        </w:rPr>
      </w:pPr>
      <w:r>
        <w:rPr>
          <w:rFonts w:hint="eastAsia"/>
        </w:rPr>
        <w:t>31.</w:t>
      </w:r>
      <w:r>
        <w:rPr>
          <w:rFonts w:hint="eastAsia"/>
        </w:rPr>
        <w:tab/>
        <w:t>儿童权利委员会就土著女孩、残疾女孩和农村地区女孩在出生登记方面长期受歧视和婴儿死亡率高的问题提出了建议（CRC/C/15/Add.256，第25和第26段）。请提供资料说明为执行这一建议所采取的具体行动。</w:t>
      </w:r>
    </w:p>
    <w:p w:rsidR="0063692B" w:rsidRDefault="0063692B" w:rsidP="0063692B">
      <w:pPr>
        <w:pStyle w:val="SingleTxt"/>
        <w:rPr>
          <w:rFonts w:hint="eastAsia"/>
        </w:rPr>
      </w:pPr>
      <w:r>
        <w:rPr>
          <w:rFonts w:hint="eastAsia"/>
        </w:rPr>
        <w:t>32.</w:t>
      </w:r>
      <w:r>
        <w:rPr>
          <w:rFonts w:hint="eastAsia"/>
        </w:rPr>
        <w:tab/>
        <w:t>请提供资料说明为确保农村地区妇女和土著妇女能够拥有和管理土地而采取的措施，以及这些措施是否包括培训课程。</w:t>
      </w:r>
    </w:p>
    <w:p w:rsidR="00EA31C3" w:rsidRPr="0063692B" w:rsidRDefault="0063692B" w:rsidP="0063692B">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10:anchorlock/>
          </v:line>
        </w:pict>
      </w:r>
    </w:p>
    <w:sectPr w:rsidR="00EA31C3" w:rsidRPr="0063692B" w:rsidSect="00B939F9">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6T09:49:00Z" w:initials="Start">
    <w:p w:rsidR="0075312B" w:rsidRDefault="0075312B">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NO&gt;&gt;N0748520C&lt;&lt;ODS JOB NO&gt;&gt;</w:t>
      </w:r>
    </w:p>
    <w:p w:rsidR="0075312B" w:rsidRDefault="0075312B">
      <w:pPr>
        <w:pStyle w:val="CommentText"/>
      </w:pPr>
      <w:r>
        <w:t>&lt;&lt;ODS DOC SYMBOL1&gt;&gt;CEDAW/C/BOL/Q/4&lt;&lt;ODS DOC SYMBOL1&gt;&gt;</w:t>
      </w:r>
    </w:p>
    <w:p w:rsidR="0075312B" w:rsidRDefault="0075312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2B0" w:rsidRDefault="00E432B0" w:rsidP="00B939F9">
      <w:pPr>
        <w:pStyle w:val="Footer"/>
      </w:pPr>
      <w:r>
        <w:separator/>
      </w:r>
    </w:p>
  </w:endnote>
  <w:endnote w:type="continuationSeparator" w:id="0">
    <w:p w:rsidR="00E432B0" w:rsidRDefault="00E432B0" w:rsidP="00B939F9">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5312B" w:rsidTr="00B939F9">
      <w:tblPrEx>
        <w:tblCellMar>
          <w:top w:w="0" w:type="dxa"/>
          <w:bottom w:w="0" w:type="dxa"/>
        </w:tblCellMar>
      </w:tblPrEx>
      <w:tc>
        <w:tcPr>
          <w:tcW w:w="5033" w:type="dxa"/>
          <w:shd w:val="clear" w:color="auto" w:fill="auto"/>
        </w:tcPr>
        <w:p w:rsidR="0075312B" w:rsidRPr="00B939F9" w:rsidRDefault="0075312B" w:rsidP="00B939F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B7D7F">
            <w:rPr>
              <w:b w:val="0"/>
              <w:w w:val="103"/>
              <w:sz w:val="14"/>
            </w:rPr>
            <w:t>07-48520</w:t>
          </w:r>
          <w:r>
            <w:rPr>
              <w:b w:val="0"/>
              <w:w w:val="103"/>
              <w:sz w:val="14"/>
            </w:rPr>
            <w:fldChar w:fldCharType="end"/>
          </w:r>
        </w:p>
      </w:tc>
      <w:tc>
        <w:tcPr>
          <w:tcW w:w="5033" w:type="dxa"/>
          <w:shd w:val="clear" w:color="auto" w:fill="auto"/>
        </w:tcPr>
        <w:p w:rsidR="0075312B" w:rsidRPr="00B939F9" w:rsidRDefault="0075312B" w:rsidP="00B939F9">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7B7D7F">
            <w:rPr>
              <w:w w:val="103"/>
              <w:sz w:val="17"/>
            </w:rPr>
            <w:t>4</w:t>
          </w:r>
          <w:r>
            <w:rPr>
              <w:w w:val="103"/>
              <w:sz w:val="17"/>
            </w:rPr>
            <w:fldChar w:fldCharType="end"/>
          </w:r>
        </w:p>
      </w:tc>
    </w:tr>
  </w:tbl>
  <w:p w:rsidR="0075312B" w:rsidRPr="00B939F9" w:rsidRDefault="0075312B" w:rsidP="00B939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5312B" w:rsidTr="00B939F9">
      <w:tblPrEx>
        <w:tblCellMar>
          <w:top w:w="0" w:type="dxa"/>
          <w:bottom w:w="0" w:type="dxa"/>
        </w:tblCellMar>
      </w:tblPrEx>
      <w:tc>
        <w:tcPr>
          <w:tcW w:w="5033" w:type="dxa"/>
          <w:shd w:val="clear" w:color="auto" w:fill="auto"/>
        </w:tcPr>
        <w:p w:rsidR="0075312B" w:rsidRPr="00B939F9" w:rsidRDefault="0075312B" w:rsidP="00B939F9">
          <w:pPr>
            <w:pStyle w:val="Footer"/>
            <w:jc w:val="right"/>
          </w:pPr>
          <w:r>
            <w:fldChar w:fldCharType="begin"/>
          </w:r>
          <w:r>
            <w:instrText xml:space="preserve"> PAGE  \* MERGEFORMAT </w:instrText>
          </w:r>
          <w:r>
            <w:fldChar w:fldCharType="separate"/>
          </w:r>
          <w:r w:rsidR="007B7D7F">
            <w:t>5</w:t>
          </w:r>
          <w:r>
            <w:fldChar w:fldCharType="end"/>
          </w:r>
        </w:p>
      </w:tc>
      <w:tc>
        <w:tcPr>
          <w:tcW w:w="5033" w:type="dxa"/>
          <w:shd w:val="clear" w:color="auto" w:fill="auto"/>
        </w:tcPr>
        <w:p w:rsidR="0075312B" w:rsidRPr="00B939F9" w:rsidRDefault="0075312B" w:rsidP="00B939F9">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B7D7F">
            <w:rPr>
              <w:b w:val="0"/>
              <w:w w:val="103"/>
              <w:sz w:val="14"/>
            </w:rPr>
            <w:t>07-48520</w:t>
          </w:r>
          <w:r>
            <w:rPr>
              <w:b w:val="0"/>
              <w:w w:val="103"/>
              <w:sz w:val="14"/>
            </w:rPr>
            <w:fldChar w:fldCharType="end"/>
          </w:r>
        </w:p>
      </w:tc>
    </w:tr>
  </w:tbl>
  <w:p w:rsidR="0075312B" w:rsidRPr="00B939F9" w:rsidRDefault="0075312B" w:rsidP="00B939F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12B" w:rsidRDefault="0075312B" w:rsidP="00B939F9">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7B7D7F">
      <w:rPr>
        <w:b w:val="0"/>
        <w:sz w:val="21"/>
      </w:rPr>
      <w:t>07-48520 (C)</w:t>
    </w:r>
    <w:r>
      <w:rPr>
        <w:b w:val="0"/>
        <w:sz w:val="21"/>
      </w:rPr>
      <w:fldChar w:fldCharType="end"/>
    </w:r>
    <w:r>
      <w:rPr>
        <w:b w:val="0"/>
        <w:sz w:val="21"/>
      </w:rPr>
      <w:t xml:space="preserve">    060907    060907</w:t>
    </w:r>
  </w:p>
  <w:p w:rsidR="0075312B" w:rsidRPr="00B939F9" w:rsidRDefault="0075312B" w:rsidP="00B939F9">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7B7D7F">
      <w:rPr>
        <w:rFonts w:ascii="Barcode 3 of 9 by request" w:hAnsi="Barcode 3 of 9 by request"/>
        <w:sz w:val="24"/>
      </w:rPr>
      <w:t>*0748520*</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2B0" w:rsidRDefault="00E432B0" w:rsidP="00B939F9">
      <w:pPr>
        <w:pStyle w:val="Footer"/>
      </w:pPr>
      <w:r>
        <w:separator/>
      </w:r>
    </w:p>
  </w:footnote>
  <w:footnote w:type="continuationSeparator" w:id="0">
    <w:p w:rsidR="00E432B0" w:rsidRDefault="00E432B0" w:rsidP="00B939F9">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5312B" w:rsidTr="00B939F9">
      <w:tblPrEx>
        <w:tblCellMar>
          <w:top w:w="0" w:type="dxa"/>
          <w:bottom w:w="0" w:type="dxa"/>
        </w:tblCellMar>
      </w:tblPrEx>
      <w:trPr>
        <w:trHeight w:hRule="exact" w:val="864"/>
      </w:trPr>
      <w:tc>
        <w:tcPr>
          <w:tcW w:w="4838" w:type="dxa"/>
          <w:shd w:val="clear" w:color="auto" w:fill="auto"/>
          <w:vAlign w:val="bottom"/>
        </w:tcPr>
        <w:p w:rsidR="0075312B" w:rsidRPr="00B939F9" w:rsidRDefault="0075312B" w:rsidP="00B939F9">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7B7D7F">
            <w:rPr>
              <w:b/>
              <w:sz w:val="17"/>
            </w:rPr>
            <w:t>CEDAW/C/BOL/Q/4</w:t>
          </w:r>
          <w:r>
            <w:rPr>
              <w:b/>
              <w:sz w:val="17"/>
            </w:rPr>
            <w:fldChar w:fldCharType="end"/>
          </w:r>
        </w:p>
      </w:tc>
      <w:tc>
        <w:tcPr>
          <w:tcW w:w="5033" w:type="dxa"/>
          <w:shd w:val="clear" w:color="auto" w:fill="auto"/>
          <w:vAlign w:val="bottom"/>
        </w:tcPr>
        <w:p w:rsidR="0075312B" w:rsidRDefault="0075312B" w:rsidP="00B939F9">
          <w:pPr>
            <w:pStyle w:val="Header"/>
          </w:pPr>
        </w:p>
      </w:tc>
    </w:tr>
  </w:tbl>
  <w:p w:rsidR="0075312B" w:rsidRPr="00B939F9" w:rsidRDefault="0075312B" w:rsidP="00B939F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5312B" w:rsidTr="00B939F9">
      <w:tblPrEx>
        <w:tblCellMar>
          <w:top w:w="0" w:type="dxa"/>
          <w:bottom w:w="0" w:type="dxa"/>
        </w:tblCellMar>
      </w:tblPrEx>
      <w:trPr>
        <w:trHeight w:hRule="exact" w:val="864"/>
      </w:trPr>
      <w:tc>
        <w:tcPr>
          <w:tcW w:w="4838" w:type="dxa"/>
          <w:shd w:val="clear" w:color="auto" w:fill="auto"/>
          <w:vAlign w:val="bottom"/>
        </w:tcPr>
        <w:p w:rsidR="0075312B" w:rsidRDefault="0075312B" w:rsidP="00B939F9">
          <w:pPr>
            <w:pStyle w:val="Header"/>
          </w:pPr>
        </w:p>
      </w:tc>
      <w:tc>
        <w:tcPr>
          <w:tcW w:w="5033" w:type="dxa"/>
          <w:shd w:val="clear" w:color="auto" w:fill="auto"/>
          <w:vAlign w:val="bottom"/>
        </w:tcPr>
        <w:p w:rsidR="0075312B" w:rsidRPr="00B939F9" w:rsidRDefault="0075312B" w:rsidP="00B939F9">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7B7D7F">
            <w:rPr>
              <w:b/>
              <w:sz w:val="17"/>
            </w:rPr>
            <w:t>CEDAW/C/BOL/Q/4</w:t>
          </w:r>
          <w:r>
            <w:rPr>
              <w:b/>
              <w:sz w:val="17"/>
            </w:rPr>
            <w:fldChar w:fldCharType="end"/>
          </w:r>
        </w:p>
      </w:tc>
    </w:tr>
  </w:tbl>
  <w:p w:rsidR="0075312B" w:rsidRPr="00B939F9" w:rsidRDefault="0075312B" w:rsidP="00B939F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5312B" w:rsidTr="00B939F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5312B" w:rsidRDefault="0075312B" w:rsidP="00B939F9">
          <w:pPr>
            <w:pStyle w:val="Header"/>
            <w:spacing w:after="120"/>
          </w:pPr>
        </w:p>
      </w:tc>
      <w:tc>
        <w:tcPr>
          <w:tcW w:w="1872" w:type="dxa"/>
          <w:tcBorders>
            <w:bottom w:val="single" w:sz="4" w:space="0" w:color="auto"/>
          </w:tcBorders>
          <w:shd w:val="clear" w:color="auto" w:fill="auto"/>
          <w:vAlign w:val="bottom"/>
        </w:tcPr>
        <w:p w:rsidR="0075312B" w:rsidRPr="00B939F9" w:rsidRDefault="0075312B" w:rsidP="00B939F9">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5312B" w:rsidRDefault="0075312B" w:rsidP="00B939F9">
          <w:pPr>
            <w:pStyle w:val="Header"/>
            <w:spacing w:after="120"/>
          </w:pPr>
        </w:p>
      </w:tc>
      <w:tc>
        <w:tcPr>
          <w:tcW w:w="6523" w:type="dxa"/>
          <w:gridSpan w:val="3"/>
          <w:tcBorders>
            <w:bottom w:val="single" w:sz="4" w:space="0" w:color="auto"/>
          </w:tcBorders>
          <w:shd w:val="clear" w:color="auto" w:fill="auto"/>
          <w:vAlign w:val="bottom"/>
        </w:tcPr>
        <w:p w:rsidR="0075312B" w:rsidRPr="00B939F9" w:rsidRDefault="0075312B" w:rsidP="00B939F9">
          <w:pPr>
            <w:spacing w:after="80" w:line="240" w:lineRule="auto"/>
            <w:jc w:val="right"/>
            <w:rPr>
              <w:rFonts w:ascii="Times New Roman"/>
              <w:position w:val="-4"/>
            </w:rPr>
          </w:pPr>
          <w:r>
            <w:rPr>
              <w:rFonts w:ascii="Times New Roman"/>
              <w:position w:val="-4"/>
              <w:sz w:val="40"/>
            </w:rPr>
            <w:t>CEDAW</w:t>
          </w:r>
          <w:r>
            <w:rPr>
              <w:rFonts w:ascii="Times New Roman"/>
              <w:position w:val="-4"/>
            </w:rPr>
            <w:t>/C/BOL/Q/4</w:t>
          </w:r>
        </w:p>
      </w:tc>
    </w:tr>
    <w:tr w:rsidR="0075312B" w:rsidRPr="00B939F9" w:rsidTr="00B939F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5312B" w:rsidRDefault="0075312B" w:rsidP="00B939F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5312B" w:rsidRPr="00B939F9" w:rsidRDefault="0075312B" w:rsidP="00B939F9">
          <w:pPr>
            <w:pStyle w:val="Header"/>
            <w:spacing w:before="109"/>
            <w:ind w:left="-72"/>
          </w:pPr>
        </w:p>
      </w:tc>
      <w:tc>
        <w:tcPr>
          <w:tcW w:w="5227" w:type="dxa"/>
          <w:gridSpan w:val="3"/>
          <w:tcBorders>
            <w:top w:val="single" w:sz="4" w:space="0" w:color="auto"/>
            <w:bottom w:val="single" w:sz="12" w:space="0" w:color="auto"/>
          </w:tcBorders>
          <w:shd w:val="clear" w:color="auto" w:fill="auto"/>
        </w:tcPr>
        <w:p w:rsidR="0075312B" w:rsidRPr="00B939F9" w:rsidRDefault="0075312B" w:rsidP="00B939F9">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5312B" w:rsidRPr="00B939F9" w:rsidRDefault="0075312B" w:rsidP="00B939F9">
          <w:pPr>
            <w:pStyle w:val="Header"/>
            <w:spacing w:before="109"/>
          </w:pPr>
        </w:p>
      </w:tc>
      <w:tc>
        <w:tcPr>
          <w:tcW w:w="3180" w:type="dxa"/>
          <w:gridSpan w:val="2"/>
          <w:tcBorders>
            <w:top w:val="single" w:sz="4" w:space="0" w:color="auto"/>
            <w:bottom w:val="single" w:sz="12" w:space="0" w:color="auto"/>
          </w:tcBorders>
          <w:shd w:val="clear" w:color="auto" w:fill="auto"/>
        </w:tcPr>
        <w:p w:rsidR="0075312B" w:rsidRDefault="0075312B" w:rsidP="00B939F9">
          <w:pPr>
            <w:spacing w:before="240" w:line="240" w:lineRule="exact"/>
            <w:rPr>
              <w:rFonts w:ascii="Times New Roman"/>
            </w:rPr>
          </w:pPr>
          <w:r>
            <w:rPr>
              <w:rFonts w:ascii="Times New Roman"/>
            </w:rPr>
            <w:t>Distr.: General</w:t>
          </w:r>
        </w:p>
        <w:p w:rsidR="0075312B" w:rsidRDefault="0075312B" w:rsidP="00B939F9">
          <w:pPr>
            <w:spacing w:line="240" w:lineRule="exact"/>
            <w:rPr>
              <w:rFonts w:ascii="Times New Roman"/>
            </w:rPr>
          </w:pPr>
          <w:r>
            <w:rPr>
              <w:rFonts w:ascii="Times New Roman"/>
            </w:rPr>
            <w:t>16 August 2007</w:t>
          </w:r>
        </w:p>
        <w:p w:rsidR="0075312B" w:rsidRDefault="0075312B" w:rsidP="00B939F9">
          <w:pPr>
            <w:spacing w:line="240" w:lineRule="exact"/>
            <w:rPr>
              <w:rFonts w:ascii="Times New Roman"/>
            </w:rPr>
          </w:pPr>
          <w:r>
            <w:rPr>
              <w:rFonts w:ascii="Times New Roman"/>
            </w:rPr>
            <w:t>Chinese</w:t>
          </w:r>
        </w:p>
        <w:p w:rsidR="0075312B" w:rsidRPr="00B939F9" w:rsidRDefault="0075312B" w:rsidP="00B939F9">
          <w:pPr>
            <w:spacing w:line="240" w:lineRule="exact"/>
            <w:rPr>
              <w:rFonts w:ascii="Times New Roman"/>
            </w:rPr>
          </w:pPr>
          <w:r>
            <w:rPr>
              <w:rFonts w:ascii="Times New Roman"/>
            </w:rPr>
            <w:t>Original: Spanish</w:t>
          </w:r>
        </w:p>
      </w:tc>
    </w:tr>
  </w:tbl>
  <w:p w:rsidR="0075312B" w:rsidRPr="00B939F9" w:rsidRDefault="0075312B" w:rsidP="00B939F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8520*"/>
    <w:docVar w:name="CreationDt" w:val="06/09/2007 09:22:01"/>
    <w:docVar w:name="DocCategory" w:val="Doc"/>
    <w:docVar w:name="DocType" w:val="Final"/>
    <w:docVar w:name="FooterJN" w:val="07-48520"/>
    <w:docVar w:name="jobn" w:val="07-48520 (C)"/>
    <w:docVar w:name="jobnDT" w:val="07-48520 (C)   060907"/>
    <w:docVar w:name="jobnDTDT" w:val="07-48520 (C)   060907   060907"/>
    <w:docVar w:name="JobNo" w:val="0748520C"/>
    <w:docVar w:name="OandT" w:val="DONG"/>
    <w:docVar w:name="sss1" w:val="CEDAW/C/BOL/Q/4"/>
    <w:docVar w:name="sss2" w:val="-"/>
    <w:docVar w:name="Symbol1" w:val="CEDAW/C/BOL/Q/4"/>
    <w:docVar w:name="Symbol2" w:val="-"/>
  </w:docVars>
  <w:rsids>
    <w:rsidRoot w:val="00E35CC2"/>
    <w:rsid w:val="000125BC"/>
    <w:rsid w:val="00021A2B"/>
    <w:rsid w:val="00037B39"/>
    <w:rsid w:val="00044CA4"/>
    <w:rsid w:val="00045EFE"/>
    <w:rsid w:val="0007337D"/>
    <w:rsid w:val="000758DF"/>
    <w:rsid w:val="00076EB8"/>
    <w:rsid w:val="00095C67"/>
    <w:rsid w:val="000A31F9"/>
    <w:rsid w:val="000B2520"/>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90D35"/>
    <w:rsid w:val="001B2814"/>
    <w:rsid w:val="001B4F95"/>
    <w:rsid w:val="001C3F7F"/>
    <w:rsid w:val="001C5166"/>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82340"/>
    <w:rsid w:val="00394A02"/>
    <w:rsid w:val="003C3512"/>
    <w:rsid w:val="003C7B20"/>
    <w:rsid w:val="003E4565"/>
    <w:rsid w:val="003E748F"/>
    <w:rsid w:val="003E7612"/>
    <w:rsid w:val="00414423"/>
    <w:rsid w:val="0043460D"/>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CF2"/>
    <w:rsid w:val="0063692B"/>
    <w:rsid w:val="006479F1"/>
    <w:rsid w:val="00650BEE"/>
    <w:rsid w:val="006520FA"/>
    <w:rsid w:val="0065377D"/>
    <w:rsid w:val="00666F57"/>
    <w:rsid w:val="006740A7"/>
    <w:rsid w:val="00691524"/>
    <w:rsid w:val="006A654B"/>
    <w:rsid w:val="006E2924"/>
    <w:rsid w:val="006E7A26"/>
    <w:rsid w:val="006F2B3D"/>
    <w:rsid w:val="007319E0"/>
    <w:rsid w:val="00737B00"/>
    <w:rsid w:val="0075155C"/>
    <w:rsid w:val="0075312B"/>
    <w:rsid w:val="00753A05"/>
    <w:rsid w:val="00761190"/>
    <w:rsid w:val="00776537"/>
    <w:rsid w:val="00783A25"/>
    <w:rsid w:val="007877F4"/>
    <w:rsid w:val="007B7D7F"/>
    <w:rsid w:val="007E1B5E"/>
    <w:rsid w:val="007F2278"/>
    <w:rsid w:val="00805783"/>
    <w:rsid w:val="00806F57"/>
    <w:rsid w:val="00806F90"/>
    <w:rsid w:val="00824C19"/>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B2786"/>
    <w:rsid w:val="00AD4308"/>
    <w:rsid w:val="00AF2A33"/>
    <w:rsid w:val="00B309DD"/>
    <w:rsid w:val="00B36621"/>
    <w:rsid w:val="00B36D64"/>
    <w:rsid w:val="00B41B48"/>
    <w:rsid w:val="00B477AA"/>
    <w:rsid w:val="00B56194"/>
    <w:rsid w:val="00B61A34"/>
    <w:rsid w:val="00B64E8E"/>
    <w:rsid w:val="00B65E8B"/>
    <w:rsid w:val="00B8025A"/>
    <w:rsid w:val="00B827B1"/>
    <w:rsid w:val="00B939F9"/>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5CC2"/>
    <w:rsid w:val="00E37EEB"/>
    <w:rsid w:val="00E432B0"/>
    <w:rsid w:val="00E710FB"/>
    <w:rsid w:val="00E806D9"/>
    <w:rsid w:val="00E82CA2"/>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1</Pages>
  <Words>557</Words>
  <Characters>3181</Characters>
  <Application>Microsoft Office Word</Application>
  <DocSecurity>4</DocSecurity>
  <Lines>26</Lines>
  <Paragraphs>7</Paragraphs>
  <ScaleCrop>false</ScaleCrop>
  <Company>United Nations</Company>
  <LinksUpToDate>false</LinksUpToDate>
  <CharactersWithSpaces>3731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Lihai.Dong</dc:creator>
  <cp:keywords/>
  <dc:description/>
  <cp:lastModifiedBy>Xinlu.Wu</cp:lastModifiedBy>
  <cp:revision>11</cp:revision>
  <cp:lastPrinted>2007-09-06T10:17:00Z</cp:lastPrinted>
  <dcterms:created xsi:type="dcterms:W3CDTF">2007-09-06T08:20:00Z</dcterms:created>
  <dcterms:modified xsi:type="dcterms:W3CDTF">2007-09-06T10:17:00Z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0748520</vt:lpwstr>
  </property>
  <property fmtid="{D5CDD505-2E9C-101B-9397-08002B2CF9AE}" pid="3" name="Symbol1">
    <vt:lpwstr>CEDAW/C/BOL/Q/4</vt:lpwstr>
  </property>
  <property fmtid="{D5CDD505-2E9C-101B-9397-08002B2CF9AE}" pid="4" name="Symbol2">
    <vt:lpwstr/>
  </property>
  <property fmtid="{D5CDD505-2E9C-101B-9397-08002B2CF9AE}" pid="5" name="Translator">
    <vt:lpwstr/>
  </property>
  <property fmtid="{D5CDD505-2E9C-101B-9397-08002B2CF9AE}" pid="6" name="Operator">
    <vt:lpwstr>DONG</vt:lpwstr>
  </property>
  <property fmtid="{D5CDD505-2E9C-101B-9397-08002B2CF9AE}" pid="7" name="DraftPages">
    <vt:lpwstr> </vt:lpwstr>
  </property>
  <property fmtid="{D5CDD505-2E9C-101B-9397-08002B2CF9AE}" pid="8" name="Comment">
    <vt:lpwstr/>
  </property>
</Properties>
</file>