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5A2A673" w14:textId="77777777" w:rsidTr="00CA1AEA">
        <w:trPr>
          <w:cantSplit/>
          <w:trHeight w:hRule="exact" w:val="851"/>
        </w:trPr>
        <w:tc>
          <w:tcPr>
            <w:tcW w:w="1276" w:type="dxa"/>
            <w:tcBorders>
              <w:bottom w:val="single" w:sz="4" w:space="0" w:color="auto"/>
            </w:tcBorders>
            <w:vAlign w:val="bottom"/>
          </w:tcPr>
          <w:p w14:paraId="0B87BD6A" w14:textId="77777777" w:rsidR="00165C15" w:rsidRDefault="00165C15" w:rsidP="00CA1AEA">
            <w:pPr>
              <w:spacing w:after="80"/>
            </w:pPr>
          </w:p>
        </w:tc>
        <w:tc>
          <w:tcPr>
            <w:tcW w:w="2268" w:type="dxa"/>
            <w:tcBorders>
              <w:bottom w:val="single" w:sz="4" w:space="0" w:color="auto"/>
            </w:tcBorders>
            <w:vAlign w:val="bottom"/>
          </w:tcPr>
          <w:p w14:paraId="717A48D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4A8A25" w14:textId="77777777" w:rsidR="00165C15" w:rsidRPr="00D47EEA" w:rsidRDefault="000C047D" w:rsidP="000C047D">
            <w:pPr>
              <w:suppressAutoHyphens w:val="0"/>
              <w:spacing w:after="20"/>
              <w:jc w:val="right"/>
            </w:pPr>
            <w:r w:rsidRPr="000C047D">
              <w:rPr>
                <w:sz w:val="40"/>
              </w:rPr>
              <w:t>CCPR</w:t>
            </w:r>
            <w:r>
              <w:t>/C/NAM/CO/3</w:t>
            </w:r>
          </w:p>
        </w:tc>
      </w:tr>
      <w:tr w:rsidR="00165C15" w14:paraId="179958C1" w14:textId="77777777" w:rsidTr="00CA1AEA">
        <w:trPr>
          <w:cantSplit/>
          <w:trHeight w:hRule="exact" w:val="2835"/>
        </w:trPr>
        <w:tc>
          <w:tcPr>
            <w:tcW w:w="1276" w:type="dxa"/>
            <w:tcBorders>
              <w:top w:val="single" w:sz="4" w:space="0" w:color="auto"/>
              <w:bottom w:val="single" w:sz="12" w:space="0" w:color="auto"/>
            </w:tcBorders>
          </w:tcPr>
          <w:p w14:paraId="7BD8711A" w14:textId="77777777" w:rsidR="00165C15" w:rsidRDefault="00165C15" w:rsidP="00CA1AEA">
            <w:pPr>
              <w:spacing w:before="120"/>
            </w:pPr>
            <w:r>
              <w:rPr>
                <w:noProof/>
                <w:lang w:val="fr-CH" w:eastAsia="fr-CH"/>
              </w:rPr>
              <w:drawing>
                <wp:inline distT="0" distB="0" distL="0" distR="0" wp14:anchorId="2BE7CFAB" wp14:editId="7716A4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77DED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6ADBE32" w14:textId="77777777" w:rsidR="00165C15" w:rsidRDefault="000C047D" w:rsidP="000C047D">
            <w:pPr>
              <w:suppressAutoHyphens w:val="0"/>
              <w:spacing w:before="240"/>
            </w:pPr>
            <w:r>
              <w:t>Distr.: General</w:t>
            </w:r>
          </w:p>
          <w:p w14:paraId="12664BF3" w14:textId="4C584F54" w:rsidR="000C047D" w:rsidRDefault="00DE127C" w:rsidP="000C047D">
            <w:pPr>
              <w:suppressAutoHyphens w:val="0"/>
            </w:pPr>
            <w:r>
              <w:t>3</w:t>
            </w:r>
            <w:r w:rsidR="000C047D">
              <w:t xml:space="preserve"> May 2024</w:t>
            </w:r>
          </w:p>
          <w:p w14:paraId="797C5D33" w14:textId="77777777" w:rsidR="000C047D" w:rsidRDefault="000C047D" w:rsidP="000C047D">
            <w:pPr>
              <w:suppressAutoHyphens w:val="0"/>
            </w:pPr>
          </w:p>
          <w:p w14:paraId="33106903" w14:textId="77777777" w:rsidR="000C047D" w:rsidRDefault="000C047D" w:rsidP="000C047D">
            <w:pPr>
              <w:suppressAutoHyphens w:val="0"/>
            </w:pPr>
            <w:r>
              <w:t>Original: English</w:t>
            </w:r>
          </w:p>
        </w:tc>
      </w:tr>
    </w:tbl>
    <w:p w14:paraId="1873733F" w14:textId="77777777" w:rsidR="000C047D" w:rsidRDefault="000C047D" w:rsidP="000C047D">
      <w:pPr>
        <w:spacing w:before="120"/>
        <w:rPr>
          <w:b/>
          <w:sz w:val="24"/>
        </w:rPr>
      </w:pPr>
      <w:bookmarkStart w:id="0" w:name="_Hlk165557306"/>
      <w:r>
        <w:rPr>
          <w:b/>
          <w:sz w:val="24"/>
        </w:rPr>
        <w:t>Human Rights Committee</w:t>
      </w:r>
    </w:p>
    <w:p w14:paraId="20190810" w14:textId="77777777" w:rsidR="000C047D" w:rsidRPr="007112F1" w:rsidRDefault="000C047D" w:rsidP="000C047D">
      <w:pPr>
        <w:pStyle w:val="HChG"/>
      </w:pPr>
      <w:r>
        <w:tab/>
      </w:r>
      <w:r>
        <w:tab/>
        <w:t>Concluding observations on the third periodic report of Namibia</w:t>
      </w:r>
      <w:r w:rsidRPr="008F689A">
        <w:rPr>
          <w:rStyle w:val="FootnoteReference"/>
          <w:b w:val="0"/>
          <w:bCs/>
          <w:sz w:val="20"/>
          <w:vertAlign w:val="baseline"/>
        </w:rPr>
        <w:footnoteReference w:customMarkFollows="1" w:id="1"/>
        <w:t>*</w:t>
      </w:r>
    </w:p>
    <w:p w14:paraId="7B570EEC" w14:textId="77777777" w:rsidR="000C047D" w:rsidRPr="007112F1" w:rsidRDefault="000C047D" w:rsidP="000C047D">
      <w:pPr>
        <w:pStyle w:val="SingleTxtG"/>
      </w:pPr>
      <w:r w:rsidRPr="007112F1">
        <w:t>1.</w:t>
      </w:r>
      <w:r w:rsidRPr="007112F1">
        <w:tab/>
        <w:t>The Committee considered the third periodic report of Namibia</w:t>
      </w:r>
      <w:r w:rsidRPr="003F264E">
        <w:rPr>
          <w:rStyle w:val="FootnoteReference"/>
        </w:rPr>
        <w:footnoteReference w:id="2"/>
      </w:r>
      <w:r w:rsidRPr="007112F1">
        <w:t xml:space="preserve"> at its 4</w:t>
      </w:r>
      <w:r w:rsidRPr="0088221F">
        <w:t>081st and</w:t>
      </w:r>
      <w:r w:rsidRPr="007112F1">
        <w:t xml:space="preserve"> 4082nd meetings,</w:t>
      </w:r>
      <w:r w:rsidRPr="003F264E">
        <w:rPr>
          <w:rStyle w:val="FootnoteReference"/>
        </w:rPr>
        <w:footnoteReference w:id="3"/>
      </w:r>
      <w:r w:rsidRPr="007112F1">
        <w:t xml:space="preserve"> held on 6 and 7 March </w:t>
      </w:r>
      <w:r w:rsidRPr="0088221F">
        <w:t>2024. At its 4104th meeting, held on 22 March 2024, it adopted the present concluding observations.</w:t>
      </w:r>
    </w:p>
    <w:p w14:paraId="55E46E04" w14:textId="77777777" w:rsidR="000C047D" w:rsidRDefault="000C047D" w:rsidP="00AB4846">
      <w:pPr>
        <w:pStyle w:val="H1G"/>
      </w:pPr>
      <w:r>
        <w:tab/>
        <w:t>A.</w:t>
      </w:r>
      <w:r>
        <w:tab/>
      </w:r>
      <w:r w:rsidRPr="005D264B">
        <w:t>Introduction</w:t>
      </w:r>
    </w:p>
    <w:p w14:paraId="375D7A14" w14:textId="1965777A" w:rsidR="000C047D" w:rsidRPr="001E4C43" w:rsidRDefault="000C047D" w:rsidP="000C047D">
      <w:pPr>
        <w:pStyle w:val="SingleTxtG"/>
      </w:pPr>
      <w:r w:rsidRPr="001E4C43">
        <w:t>2.</w:t>
      </w:r>
      <w:r w:rsidRPr="001E4C43">
        <w:tab/>
      </w:r>
      <w:r w:rsidRPr="00816A55">
        <w:t xml:space="preserve">The Committee welcomes the submission of the </w:t>
      </w:r>
      <w:r>
        <w:t xml:space="preserve">third periodic report of Namibia and the information presented therein. </w:t>
      </w:r>
      <w:r w:rsidRPr="00816A55">
        <w:t>It expresses appreciation for the opportunity to renew its constructive dialogue with the State party</w:t>
      </w:r>
      <w:r w:rsidR="003F264E">
        <w:t>’</w:t>
      </w:r>
      <w:r w:rsidRPr="00816A55">
        <w:t xml:space="preserve">s high-level delegation on the measures taken during the reporting period to implement the provisions of the Covenant. The Committee </w:t>
      </w:r>
      <w:r>
        <w:t xml:space="preserve">is grateful </w:t>
      </w:r>
      <w:r w:rsidRPr="00816A55">
        <w:t>to the State party for its written replies</w:t>
      </w:r>
      <w:r w:rsidRPr="003F264E">
        <w:rPr>
          <w:rStyle w:val="FootnoteReference"/>
        </w:rPr>
        <w:footnoteReference w:id="4"/>
      </w:r>
      <w:r w:rsidRPr="00816A55">
        <w:t xml:space="preserve"> to the list of issues,</w:t>
      </w:r>
      <w:r w:rsidRPr="003F264E">
        <w:rPr>
          <w:rStyle w:val="FootnoteReference"/>
        </w:rPr>
        <w:footnoteReference w:id="5"/>
      </w:r>
      <w:r w:rsidRPr="00816A55">
        <w:t xml:space="preserve"> </w:t>
      </w:r>
      <w:r>
        <w:t xml:space="preserve">which were </w:t>
      </w:r>
      <w:r w:rsidRPr="00816A55">
        <w:t>supplemented by the oral responses provided by the delegation</w:t>
      </w:r>
      <w:r>
        <w:t>,</w:t>
      </w:r>
      <w:r w:rsidRPr="00816A55">
        <w:t xml:space="preserve"> </w:t>
      </w:r>
      <w:r w:rsidRPr="001E4C43">
        <w:t xml:space="preserve">and for the supplementary information provided in writing. </w:t>
      </w:r>
    </w:p>
    <w:p w14:paraId="182116F4" w14:textId="77777777" w:rsidR="000C047D" w:rsidRDefault="000C047D" w:rsidP="00AB4846">
      <w:pPr>
        <w:pStyle w:val="H1G"/>
      </w:pPr>
      <w:r>
        <w:tab/>
        <w:t>B.</w:t>
      </w:r>
      <w:r>
        <w:tab/>
      </w:r>
      <w:r w:rsidRPr="00816A55">
        <w:t>Positive aspects</w:t>
      </w:r>
    </w:p>
    <w:p w14:paraId="487A3F45" w14:textId="77777777" w:rsidR="000C047D" w:rsidRPr="004027C9" w:rsidRDefault="000C047D" w:rsidP="000C047D">
      <w:pPr>
        <w:pStyle w:val="SingleTxtG"/>
      </w:pPr>
      <w:r>
        <w:t>3.</w:t>
      </w:r>
      <w:r>
        <w:tab/>
      </w:r>
      <w:r w:rsidRPr="00816A55">
        <w:t xml:space="preserve">The Committee welcomes </w:t>
      </w:r>
      <w:r>
        <w:t xml:space="preserve">the </w:t>
      </w:r>
      <w:r w:rsidRPr="00816A55">
        <w:t>following legislative</w:t>
      </w:r>
      <w:r>
        <w:t>, policy</w:t>
      </w:r>
      <w:r w:rsidRPr="00816A55">
        <w:t xml:space="preserve"> and </w:t>
      </w:r>
      <w:r w:rsidRPr="004027C9">
        <w:t>institutional measures taken by the State party:</w:t>
      </w:r>
    </w:p>
    <w:p w14:paraId="14DA0F7D" w14:textId="77777777" w:rsidR="000C047D"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pPr>
      <w:r w:rsidRPr="004027C9">
        <w:tab/>
        <w:t>(a)</w:t>
      </w:r>
      <w:r w:rsidRPr="004027C9">
        <w:tab/>
        <w:t xml:space="preserve">The </w:t>
      </w:r>
      <w:r>
        <w:t xml:space="preserve">adoption of the </w:t>
      </w:r>
      <w:r w:rsidRPr="004027C9">
        <w:t>Access to Information Act (Act No. 8 of 2022);</w:t>
      </w:r>
    </w:p>
    <w:p w14:paraId="0C90E496" w14:textId="77777777" w:rsidR="000C047D"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pPr>
      <w:r>
        <w:tab/>
        <w:t>(b)</w:t>
      </w:r>
      <w:r>
        <w:tab/>
        <w:t xml:space="preserve">The adoption of the </w:t>
      </w:r>
      <w:r w:rsidRPr="00F72488">
        <w:t>Whistle</w:t>
      </w:r>
      <w:r>
        <w:t>-</w:t>
      </w:r>
      <w:r w:rsidRPr="00F72488">
        <w:t>blower Protection Act</w:t>
      </w:r>
      <w:r>
        <w:t xml:space="preserve"> (Act </w:t>
      </w:r>
      <w:r w:rsidRPr="00F72488">
        <w:t>No.</w:t>
      </w:r>
      <w:r>
        <w:t xml:space="preserve"> </w:t>
      </w:r>
      <w:r w:rsidRPr="00F72488">
        <w:t>1</w:t>
      </w:r>
      <w:r>
        <w:t>0</w:t>
      </w:r>
      <w:r w:rsidRPr="00F72488">
        <w:t xml:space="preserve"> of 2017</w:t>
      </w:r>
      <w:r>
        <w:t>);</w:t>
      </w:r>
    </w:p>
    <w:p w14:paraId="2D9E0E7B" w14:textId="77777777"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pPr>
      <w:r>
        <w:tab/>
      </w:r>
      <w:r w:rsidRPr="002F75F9">
        <w:t>(c)</w:t>
      </w:r>
      <w:r w:rsidRPr="002F75F9">
        <w:tab/>
        <w:t xml:space="preserve">The </w:t>
      </w:r>
      <w:r>
        <w:t xml:space="preserve">adoption of the </w:t>
      </w:r>
      <w:r w:rsidRPr="002F75F9">
        <w:t>Witness Protection Act (Act No.</w:t>
      </w:r>
      <w:r>
        <w:t xml:space="preserve"> </w:t>
      </w:r>
      <w:r w:rsidRPr="002F75F9">
        <w:t>11 of 2017)</w:t>
      </w:r>
      <w:r>
        <w:t>;</w:t>
      </w:r>
    </w:p>
    <w:p w14:paraId="239E632C" w14:textId="05B8D7B0" w:rsidR="000C047D" w:rsidRPr="002F75F9" w:rsidRDefault="000C047D" w:rsidP="000C047D">
      <w:pPr>
        <w:pStyle w:val="SingleTxtG"/>
      </w:pPr>
      <w:r>
        <w:tab/>
      </w:r>
      <w:r w:rsidRPr="002F75F9">
        <w:t>(d)</w:t>
      </w:r>
      <w:r w:rsidRPr="002F75F9">
        <w:tab/>
        <w:t xml:space="preserve">The </w:t>
      </w:r>
      <w:r>
        <w:t xml:space="preserve">adoption of the </w:t>
      </w:r>
      <w:r w:rsidRPr="002F75F9">
        <w:t xml:space="preserve">Combating of Trafficking in Persons Act </w:t>
      </w:r>
      <w:r>
        <w:t>(</w:t>
      </w:r>
      <w:r w:rsidRPr="002F75F9">
        <w:t>Act No. 1 of 2018</w:t>
      </w:r>
      <w:r>
        <w:t>);</w:t>
      </w:r>
    </w:p>
    <w:p w14:paraId="0E4F4456" w14:textId="1D995715" w:rsidR="000C047D" w:rsidRPr="0002728F" w:rsidRDefault="0002728F" w:rsidP="0002728F">
      <w:pPr>
        <w:pStyle w:val="SingleTxt"/>
      </w:pPr>
      <w:r>
        <w:tab/>
      </w:r>
      <w:r w:rsidR="000C047D" w:rsidRPr="0002728F">
        <w:t>(e)</w:t>
      </w:r>
      <w:r w:rsidR="000C047D" w:rsidRPr="0002728F">
        <w:tab/>
        <w:t>The adoption of the National Climate Change Strategy and Action Plan 2013–2020;</w:t>
      </w:r>
    </w:p>
    <w:p w14:paraId="11FD574F" w14:textId="1EAE9021" w:rsidR="000C047D" w:rsidRPr="0002728F" w:rsidRDefault="0002728F" w:rsidP="0002728F">
      <w:pPr>
        <w:pStyle w:val="SingleTxt"/>
      </w:pPr>
      <w:r>
        <w:tab/>
      </w:r>
      <w:r w:rsidR="000C047D" w:rsidRPr="0002728F">
        <w:t>(f)</w:t>
      </w:r>
      <w:r w:rsidR="000C047D" w:rsidRPr="0002728F">
        <w:tab/>
        <w:t xml:space="preserve">The adoption of the Social Protection Policy (2021–2030); </w:t>
      </w:r>
    </w:p>
    <w:p w14:paraId="3F0B30CA" w14:textId="29DC111D" w:rsidR="000C047D" w:rsidRPr="0002728F" w:rsidRDefault="0002728F" w:rsidP="0002728F">
      <w:pPr>
        <w:pStyle w:val="SingleTxt"/>
      </w:pPr>
      <w:r>
        <w:tab/>
      </w:r>
      <w:r w:rsidR="000C047D" w:rsidRPr="0002728F">
        <w:t>(g)</w:t>
      </w:r>
      <w:r w:rsidR="000C047D" w:rsidRPr="0002728F">
        <w:tab/>
        <w:t xml:space="preserve">The adoption of the National Agenda for Children (2018–2022); </w:t>
      </w:r>
    </w:p>
    <w:p w14:paraId="2B5B8CFA" w14:textId="29F6B1B7" w:rsidR="000C047D" w:rsidRPr="0002728F" w:rsidRDefault="0002728F" w:rsidP="0002728F">
      <w:pPr>
        <w:pStyle w:val="SingleTxt"/>
      </w:pPr>
      <w:r>
        <w:tab/>
      </w:r>
      <w:r w:rsidR="000C047D" w:rsidRPr="0002728F">
        <w:t>(h)</w:t>
      </w:r>
      <w:r w:rsidR="000C047D" w:rsidRPr="0002728F">
        <w:tab/>
        <w:t>The adoption of the national plan of action to end violence against children;</w:t>
      </w:r>
    </w:p>
    <w:p w14:paraId="723C1342" w14:textId="0D0ACA2C" w:rsidR="000C047D" w:rsidRPr="002F75F9" w:rsidRDefault="0002728F" w:rsidP="0002728F">
      <w:pPr>
        <w:pStyle w:val="SingleTxt"/>
        <w:rPr>
          <w:rFonts w:eastAsia="Malgun Gothic"/>
        </w:rPr>
      </w:pPr>
      <w:r>
        <w:rPr>
          <w:rFonts w:eastAsia="Malgun Gothic"/>
        </w:rPr>
        <w:lastRenderedPageBreak/>
        <w:tab/>
      </w:r>
      <w:r w:rsidR="000C047D" w:rsidRPr="002F75F9">
        <w:rPr>
          <w:rFonts w:eastAsia="Malgun Gothic"/>
        </w:rPr>
        <w:t>(i)</w:t>
      </w:r>
      <w:r w:rsidR="000C047D" w:rsidRPr="002F75F9">
        <w:rPr>
          <w:rFonts w:eastAsia="Malgun Gothic"/>
        </w:rPr>
        <w:tab/>
      </w:r>
      <w:r w:rsidR="000C047D" w:rsidRPr="002F75F9">
        <w:t xml:space="preserve">The </w:t>
      </w:r>
      <w:r w:rsidR="000C047D">
        <w:t xml:space="preserve">adoption of the </w:t>
      </w:r>
      <w:r w:rsidR="000C047D" w:rsidRPr="002F75F9">
        <w:t>National Plan of Action on Gender-Based Violence 2019</w:t>
      </w:r>
      <w:r w:rsidR="000C047D">
        <w:t>–</w:t>
      </w:r>
      <w:r w:rsidR="000C047D" w:rsidRPr="002F75F9">
        <w:t>2023</w:t>
      </w:r>
      <w:r w:rsidR="000C047D" w:rsidRPr="002F75F9">
        <w:rPr>
          <w:lang w:val="en"/>
        </w:rPr>
        <w:t>;</w:t>
      </w:r>
    </w:p>
    <w:p w14:paraId="05BBACE9" w14:textId="023403D5" w:rsidR="000C047D" w:rsidRPr="002F75F9" w:rsidRDefault="000C047D" w:rsidP="000C047D">
      <w:pPr>
        <w:pStyle w:val="SingleTxt"/>
        <w:tabs>
          <w:tab w:val="clear" w:pos="1267"/>
        </w:tabs>
      </w:pPr>
      <w:r w:rsidRPr="002F75F9">
        <w:tab/>
      </w:r>
      <w:r w:rsidRPr="00403336">
        <w:t>(j)</w:t>
      </w:r>
      <w:r w:rsidRPr="00403336">
        <w:tab/>
      </w:r>
      <w:r w:rsidRPr="00403336">
        <w:rPr>
          <w:rFonts w:eastAsia="Malgun Gothic"/>
        </w:rPr>
        <w:t>The establishment</w:t>
      </w:r>
      <w:r w:rsidRPr="002F75F9">
        <w:rPr>
          <w:rFonts w:eastAsia="Malgun Gothic"/>
        </w:rPr>
        <w:t xml:space="preserve"> of </w:t>
      </w:r>
      <w:r>
        <w:rPr>
          <w:rFonts w:eastAsia="Malgun Gothic"/>
        </w:rPr>
        <w:t>the</w:t>
      </w:r>
      <w:r w:rsidRPr="002F75F9">
        <w:rPr>
          <w:rFonts w:eastAsia="Malgun Gothic"/>
        </w:rPr>
        <w:t xml:space="preserve"> Register </w:t>
      </w:r>
      <w:r>
        <w:rPr>
          <w:rFonts w:eastAsia="Malgun Gothic"/>
        </w:rPr>
        <w:t>of</w:t>
      </w:r>
      <w:r w:rsidRPr="002F75F9">
        <w:rPr>
          <w:rFonts w:eastAsia="Malgun Gothic"/>
        </w:rPr>
        <w:t xml:space="preserve"> Adoptable Children and Prospective Adoptive Parents</w:t>
      </w:r>
      <w:r>
        <w:rPr>
          <w:rFonts w:eastAsia="Malgun Gothic"/>
        </w:rPr>
        <w:t>.</w:t>
      </w:r>
    </w:p>
    <w:p w14:paraId="0BE529B5" w14:textId="77777777" w:rsidR="000C047D" w:rsidRPr="002F75F9" w:rsidRDefault="000C047D" w:rsidP="00C0027D">
      <w:pPr>
        <w:pStyle w:val="H1G"/>
      </w:pPr>
      <w:r w:rsidRPr="002F75F9">
        <w:tab/>
        <w:t>C.</w:t>
      </w:r>
      <w:r w:rsidRPr="002F75F9">
        <w:tab/>
        <w:t>Principal matters of concern and recommendations</w:t>
      </w:r>
    </w:p>
    <w:p w14:paraId="717DCE08" w14:textId="77777777" w:rsidR="000C047D" w:rsidRPr="002F75F9" w:rsidRDefault="000C047D" w:rsidP="000C047D">
      <w:pPr>
        <w:pStyle w:val="H23G"/>
      </w:pPr>
      <w:r w:rsidRPr="002F75F9">
        <w:tab/>
      </w:r>
      <w:r w:rsidRPr="002F75F9">
        <w:tab/>
        <w:t>National human rights institution</w:t>
      </w:r>
    </w:p>
    <w:p w14:paraId="0255FB7A" w14:textId="7CADB52A" w:rsidR="000C047D" w:rsidRPr="002F75F9" w:rsidRDefault="000C047D" w:rsidP="000C047D">
      <w:pPr>
        <w:pStyle w:val="SingleTxtG"/>
        <w:rPr>
          <w:lang w:eastAsia="en-GB"/>
        </w:rPr>
      </w:pPr>
      <w:r w:rsidRPr="002F75F9">
        <w:t>4.</w:t>
      </w:r>
      <w:r w:rsidRPr="002F75F9">
        <w:tab/>
        <w:t>While welcoming the delegation</w:t>
      </w:r>
      <w:r w:rsidR="003F264E">
        <w:t>’</w:t>
      </w:r>
      <w:r w:rsidRPr="002F75F9">
        <w:t xml:space="preserve">s indication that the Ombudsman </w:t>
      </w:r>
      <w:r>
        <w:t>b</w:t>
      </w:r>
      <w:r w:rsidRPr="002F75F9">
        <w:t xml:space="preserve">ill </w:t>
      </w:r>
      <w:r w:rsidRPr="002F75F9">
        <w:rPr>
          <w:lang w:eastAsia="en-GB"/>
        </w:rPr>
        <w:t xml:space="preserve">would make the Office of the Ombudsman a separate agency with its own accounting officer, the Committee is concerned at the long delay in </w:t>
      </w:r>
      <w:r>
        <w:rPr>
          <w:lang w:eastAsia="en-GB"/>
        </w:rPr>
        <w:t>the bill</w:t>
      </w:r>
      <w:r w:rsidR="003F264E">
        <w:rPr>
          <w:lang w:eastAsia="en-GB"/>
        </w:rPr>
        <w:t>’</w:t>
      </w:r>
      <w:r>
        <w:rPr>
          <w:lang w:eastAsia="en-GB"/>
        </w:rPr>
        <w:t>s</w:t>
      </w:r>
      <w:r w:rsidRPr="002F75F9">
        <w:rPr>
          <w:lang w:eastAsia="en-GB"/>
        </w:rPr>
        <w:t xml:space="preserve"> adoption. Recalling its previous recommendations,</w:t>
      </w:r>
      <w:r w:rsidRPr="003F264E">
        <w:rPr>
          <w:rStyle w:val="FootnoteReference"/>
        </w:rPr>
        <w:footnoteReference w:id="6"/>
      </w:r>
      <w:r w:rsidRPr="002F75F9">
        <w:rPr>
          <w:lang w:eastAsia="en-GB"/>
        </w:rPr>
        <w:t xml:space="preserve"> the Committee remains concerned that insufficient resources are provided to the Office of the </w:t>
      </w:r>
      <w:r w:rsidRPr="002F75F9">
        <w:t xml:space="preserve">Ombudsman and that its lacks </w:t>
      </w:r>
      <w:r w:rsidRPr="002F75F9">
        <w:rPr>
          <w:lang w:eastAsia="en-GB"/>
        </w:rPr>
        <w:t>financial and operational autonomy.</w:t>
      </w:r>
    </w:p>
    <w:p w14:paraId="379D2075" w14:textId="77777777" w:rsidR="000C047D" w:rsidRPr="002F75F9" w:rsidRDefault="000C047D" w:rsidP="000C047D">
      <w:pPr>
        <w:pStyle w:val="SingleTxtG"/>
        <w:rPr>
          <w:b/>
          <w:bCs/>
        </w:rPr>
      </w:pPr>
      <w:r w:rsidRPr="002F75F9">
        <w:t>5.</w:t>
      </w:r>
      <w:r w:rsidRPr="002F75F9">
        <w:tab/>
      </w:r>
      <w:r w:rsidRPr="002F75F9">
        <w:rPr>
          <w:b/>
        </w:rPr>
        <w:t xml:space="preserve">The State party should </w:t>
      </w:r>
      <w:r w:rsidRPr="002F75F9">
        <w:rPr>
          <w:b/>
          <w:bCs/>
        </w:rPr>
        <w:t>increase</w:t>
      </w:r>
      <w:r>
        <w:rPr>
          <w:b/>
          <w:bCs/>
        </w:rPr>
        <w:t xml:space="preserve"> the</w:t>
      </w:r>
      <w:r w:rsidRPr="002F75F9">
        <w:rPr>
          <w:b/>
          <w:bCs/>
        </w:rPr>
        <w:t xml:space="preserve"> resources allocated to the Office of the Ombudsman to ensure that it can adequately fulfil its broad mandate </w:t>
      </w:r>
      <w:r w:rsidRPr="002F75F9">
        <w:rPr>
          <w:b/>
        </w:rPr>
        <w:t xml:space="preserve">in compliance with </w:t>
      </w:r>
      <w:r w:rsidRPr="002F75F9">
        <w:rPr>
          <w:b/>
          <w:bCs/>
        </w:rPr>
        <w:t xml:space="preserve">the principles relating to the status of national institutions for the promotion and protection of human rights (the Paris Principles). It should also expedite </w:t>
      </w:r>
      <w:r>
        <w:rPr>
          <w:b/>
          <w:bCs/>
        </w:rPr>
        <w:t xml:space="preserve">the </w:t>
      </w:r>
      <w:r w:rsidRPr="002F75F9">
        <w:rPr>
          <w:b/>
          <w:bCs/>
        </w:rPr>
        <w:t xml:space="preserve">adoption of </w:t>
      </w:r>
      <w:r w:rsidRPr="002F75F9">
        <w:rPr>
          <w:b/>
        </w:rPr>
        <w:t>amendments to the Ombudsman Act (Act No. 7 of 1990)</w:t>
      </w:r>
      <w:r>
        <w:rPr>
          <w:b/>
        </w:rPr>
        <w:t>,</w:t>
      </w:r>
      <w:r w:rsidRPr="002F75F9">
        <w:rPr>
          <w:b/>
        </w:rPr>
        <w:t xml:space="preserve"> which</w:t>
      </w:r>
      <w:r w:rsidRPr="002F75F9">
        <w:rPr>
          <w:b/>
          <w:bCs/>
        </w:rPr>
        <w:t xml:space="preserve"> ensure</w:t>
      </w:r>
      <w:r>
        <w:rPr>
          <w:b/>
          <w:bCs/>
        </w:rPr>
        <w:t xml:space="preserve"> the</w:t>
      </w:r>
      <w:r w:rsidRPr="002F75F9">
        <w:rPr>
          <w:b/>
          <w:bCs/>
        </w:rPr>
        <w:t xml:space="preserve"> financial and operational autonomy </w:t>
      </w:r>
      <w:r>
        <w:rPr>
          <w:b/>
          <w:bCs/>
        </w:rPr>
        <w:t>of</w:t>
      </w:r>
      <w:r w:rsidRPr="002F75F9">
        <w:rPr>
          <w:b/>
          <w:bCs/>
        </w:rPr>
        <w:t xml:space="preserve"> the Office of the Ombudsman, including by enabling it to recruit its own staff and manage its own budget.</w:t>
      </w:r>
    </w:p>
    <w:p w14:paraId="21F2F7A2" w14:textId="77777777" w:rsidR="000C047D" w:rsidRPr="002F75F9" w:rsidRDefault="000C047D" w:rsidP="000C047D">
      <w:pPr>
        <w:pStyle w:val="H23G"/>
      </w:pPr>
      <w:r>
        <w:tab/>
      </w:r>
      <w:r>
        <w:tab/>
      </w:r>
      <w:r w:rsidRPr="002F75F9">
        <w:t>Anti-corruption measures</w:t>
      </w:r>
    </w:p>
    <w:p w14:paraId="0112C524" w14:textId="7D57F066" w:rsidR="000C047D" w:rsidRPr="002F75F9" w:rsidRDefault="000C047D" w:rsidP="000C047D">
      <w:pPr>
        <w:pStyle w:val="SingleTxtG"/>
        <w:rPr>
          <w:color w:val="0070C0"/>
        </w:rPr>
      </w:pPr>
      <w:r w:rsidRPr="002F75F9">
        <w:t>6.</w:t>
      </w:r>
      <w:r w:rsidRPr="002F75F9">
        <w:tab/>
        <w:t>The Committee welcomes the State party</w:t>
      </w:r>
      <w:r w:rsidR="003F264E">
        <w:t>’</w:t>
      </w:r>
      <w:r w:rsidRPr="002F75F9">
        <w:t xml:space="preserve">s efforts to combat corruption through the adoption of an appropriate regulatory framework, </w:t>
      </w:r>
      <w:r>
        <w:t>which includes</w:t>
      </w:r>
      <w:r w:rsidRPr="002F75F9">
        <w:t xml:space="preserve"> the Public Procurement Act (Act No. 15 of 2015), the Witness Protection Act and the Whistle</w:t>
      </w:r>
      <w:r>
        <w:t>-</w:t>
      </w:r>
      <w:r w:rsidRPr="002F75F9">
        <w:t xml:space="preserve">blower Protection Act, both adopted in 2017, </w:t>
      </w:r>
      <w:r>
        <w:t>and</w:t>
      </w:r>
      <w:r w:rsidRPr="002F75F9">
        <w:t xml:space="preserve"> the Access to Information Act</w:t>
      </w:r>
      <w:r>
        <w:t>,</w:t>
      </w:r>
      <w:r w:rsidRPr="002F75F9">
        <w:t xml:space="preserve"> adopted in 2022</w:t>
      </w:r>
      <w:r>
        <w:t>, and through</w:t>
      </w:r>
      <w:r w:rsidRPr="002F75F9">
        <w:t xml:space="preserve"> the establishment of </w:t>
      </w:r>
      <w:r>
        <w:t>the</w:t>
      </w:r>
      <w:r w:rsidRPr="002F75F9">
        <w:t xml:space="preserve"> Anti-Corruption Commission. The Committee is concerned by reports indicating that the </w:t>
      </w:r>
      <w:r>
        <w:t>existing</w:t>
      </w:r>
      <w:r w:rsidRPr="002F75F9">
        <w:t xml:space="preserve"> framework is inconsistently enforced, </w:t>
      </w:r>
      <w:r>
        <w:t xml:space="preserve">most </w:t>
      </w:r>
      <w:r w:rsidRPr="002F75F9">
        <w:t xml:space="preserve">notably </w:t>
      </w:r>
      <w:proofErr w:type="gramStart"/>
      <w:r>
        <w:t>with</w:t>
      </w:r>
      <w:r w:rsidRPr="002F75F9">
        <w:t xml:space="preserve"> regard to</w:t>
      </w:r>
      <w:proofErr w:type="gramEnd"/>
      <w:r w:rsidRPr="002F75F9">
        <w:t xml:space="preserve"> public procurement and </w:t>
      </w:r>
      <w:r>
        <w:t>to the</w:t>
      </w:r>
      <w:r w:rsidRPr="002F75F9">
        <w:t xml:space="preserve"> declaration of assets and </w:t>
      </w:r>
      <w:r>
        <w:t xml:space="preserve">conflicts of </w:t>
      </w:r>
      <w:r w:rsidRPr="002F75F9">
        <w:t>interest</w:t>
      </w:r>
      <w:r>
        <w:t>,</w:t>
      </w:r>
      <w:r w:rsidRPr="002F75F9">
        <w:t xml:space="preserve"> and that the Whistle</w:t>
      </w:r>
      <w:r>
        <w:t>-</w:t>
      </w:r>
      <w:r w:rsidRPr="002F75F9">
        <w:t xml:space="preserve">blower Protection Act has yet to be implemented </w:t>
      </w:r>
      <w:r w:rsidRPr="002F75F9">
        <w:rPr>
          <w:lang w:eastAsia="en-GB"/>
        </w:rPr>
        <w:t>(arts. 2 and 25).</w:t>
      </w:r>
    </w:p>
    <w:p w14:paraId="4821ADE6" w14:textId="77777777" w:rsidR="000C047D" w:rsidRPr="002F75F9" w:rsidRDefault="000C047D" w:rsidP="000C047D">
      <w:pPr>
        <w:pStyle w:val="SingleTxtG"/>
        <w:rPr>
          <w:b/>
          <w:bCs/>
        </w:rPr>
      </w:pPr>
      <w:r w:rsidRPr="00602B61">
        <w:t>7.</w:t>
      </w:r>
      <w:r w:rsidRPr="002F75F9">
        <w:rPr>
          <w:b/>
          <w:bCs/>
        </w:rPr>
        <w:tab/>
        <w:t>The State party should expedite the full operationali</w:t>
      </w:r>
      <w:r>
        <w:rPr>
          <w:b/>
          <w:bCs/>
        </w:rPr>
        <w:t>z</w:t>
      </w:r>
      <w:r w:rsidRPr="002F75F9">
        <w:rPr>
          <w:b/>
          <w:bCs/>
        </w:rPr>
        <w:t>ation of the Access to Information Act, the Witness Protection Act and the Whistle</w:t>
      </w:r>
      <w:r>
        <w:rPr>
          <w:b/>
          <w:bCs/>
        </w:rPr>
        <w:t>-</w:t>
      </w:r>
      <w:r w:rsidRPr="002F75F9">
        <w:rPr>
          <w:b/>
          <w:bCs/>
        </w:rPr>
        <w:t xml:space="preserve">blower Protection Act and consider adopting a comprehensive framework for the declaration of assets and conflicts of interest. It should also strengthen institutions such as the Anti-Corruption Commission, </w:t>
      </w:r>
      <w:proofErr w:type="gramStart"/>
      <w:r>
        <w:rPr>
          <w:b/>
          <w:bCs/>
        </w:rPr>
        <w:t xml:space="preserve">in particular </w:t>
      </w:r>
      <w:r w:rsidRPr="002F75F9">
        <w:rPr>
          <w:b/>
          <w:bCs/>
        </w:rPr>
        <w:t>with</w:t>
      </w:r>
      <w:proofErr w:type="gramEnd"/>
      <w:r w:rsidRPr="002F75F9">
        <w:rPr>
          <w:b/>
          <w:bCs/>
        </w:rPr>
        <w:t xml:space="preserve"> a view</w:t>
      </w:r>
      <w:r>
        <w:rPr>
          <w:b/>
          <w:bCs/>
        </w:rPr>
        <w:t xml:space="preserve"> </w:t>
      </w:r>
      <w:r w:rsidRPr="002F75F9">
        <w:rPr>
          <w:b/>
          <w:bCs/>
        </w:rPr>
        <w:t>to ensuring that public entities adhere to the transparency provisions contained in the Public Procurement Act.</w:t>
      </w:r>
    </w:p>
    <w:p w14:paraId="4F1936C2" w14:textId="77777777" w:rsidR="000C047D" w:rsidRPr="002F75F9" w:rsidRDefault="000C047D" w:rsidP="000C047D">
      <w:pPr>
        <w:pStyle w:val="H23G"/>
      </w:pPr>
      <w:r w:rsidRPr="002F75F9">
        <w:tab/>
      </w:r>
      <w:r w:rsidRPr="002F75F9">
        <w:tab/>
        <w:t xml:space="preserve">Non-discrimination </w:t>
      </w:r>
    </w:p>
    <w:p w14:paraId="15568C7E" w14:textId="358314B1" w:rsidR="000C047D" w:rsidRPr="002F75F9" w:rsidRDefault="000C047D" w:rsidP="000C047D">
      <w:pPr>
        <w:pStyle w:val="SingleTxtG"/>
      </w:pPr>
      <w:r w:rsidRPr="002F75F9">
        <w:t>8.</w:t>
      </w:r>
      <w:r w:rsidRPr="002F75F9">
        <w:tab/>
        <w:t>While noting the measures taken to combat discrimination, the Committee is concerned that protection against discrimination is insufficient. It is particularly concerned about</w:t>
      </w:r>
      <w:r>
        <w:t xml:space="preserve"> </w:t>
      </w:r>
      <w:r w:rsidRPr="002F75F9">
        <w:t>the continued prevalence of discrimination, marginali</w:t>
      </w:r>
      <w:r>
        <w:t>z</w:t>
      </w:r>
      <w:r w:rsidRPr="002F75F9">
        <w:t xml:space="preserve">ation and violence </w:t>
      </w:r>
      <w:r>
        <w:t xml:space="preserve">perpetrated </w:t>
      </w:r>
      <w:r w:rsidRPr="002F75F9">
        <w:t xml:space="preserve">against </w:t>
      </w:r>
      <w:r>
        <w:t>I</w:t>
      </w:r>
      <w:r w:rsidRPr="002F75F9">
        <w:t xml:space="preserve">ndigenous </w:t>
      </w:r>
      <w:r>
        <w:t>P</w:t>
      </w:r>
      <w:r w:rsidRPr="002F75F9">
        <w:t xml:space="preserve">eoples such as the San, </w:t>
      </w:r>
      <w:r>
        <w:t xml:space="preserve">against </w:t>
      </w:r>
      <w:r w:rsidRPr="002F75F9">
        <w:t>persons with disabilities</w:t>
      </w:r>
      <w:r>
        <w:t>,</w:t>
      </w:r>
      <w:r w:rsidRPr="002F75F9">
        <w:t xml:space="preserve"> including persons living with albinism, and </w:t>
      </w:r>
      <w:r>
        <w:t xml:space="preserve">against </w:t>
      </w:r>
      <w:r w:rsidRPr="002F75F9">
        <w:t xml:space="preserve">lesbian, gay, </w:t>
      </w:r>
      <w:proofErr w:type="gramStart"/>
      <w:r w:rsidRPr="002F75F9">
        <w:t>bisexual</w:t>
      </w:r>
      <w:proofErr w:type="gramEnd"/>
      <w:r w:rsidRPr="002F75F9">
        <w:t xml:space="preserve"> and transgender persons, including with regard to access to health</w:t>
      </w:r>
      <w:r>
        <w:t xml:space="preserve"> </w:t>
      </w:r>
      <w:r w:rsidRPr="002F75F9">
        <w:t>care, education and employment (arts. 2, 7, 26</w:t>
      </w:r>
      <w:r>
        <w:t xml:space="preserve"> and</w:t>
      </w:r>
      <w:r w:rsidR="00DE127C">
        <w:t> </w:t>
      </w:r>
      <w:r w:rsidRPr="002F75F9">
        <w:t>27).</w:t>
      </w:r>
    </w:p>
    <w:p w14:paraId="34587359" w14:textId="77777777" w:rsidR="000C047D" w:rsidRPr="002F75F9" w:rsidRDefault="000C047D" w:rsidP="000C047D">
      <w:pPr>
        <w:pStyle w:val="SingleTxtG"/>
        <w:rPr>
          <w:b/>
        </w:rPr>
      </w:pPr>
      <w:r w:rsidRPr="00602B61">
        <w:t>9.</w:t>
      </w:r>
      <w:r w:rsidRPr="002F75F9">
        <w:tab/>
      </w:r>
      <w:r w:rsidRPr="002F75F9">
        <w:rPr>
          <w:b/>
        </w:rPr>
        <w:t xml:space="preserve">The State party should take appropriate measures to eliminate all forms of discrimination, including by conducting extensive education and awareness-raising campaigns involving and targeting traditional leaders, public </w:t>
      </w:r>
      <w:proofErr w:type="gramStart"/>
      <w:r w:rsidRPr="002F75F9">
        <w:rPr>
          <w:b/>
        </w:rPr>
        <w:t>officials</w:t>
      </w:r>
      <w:proofErr w:type="gramEnd"/>
      <w:r w:rsidRPr="002F75F9">
        <w:rPr>
          <w:b/>
        </w:rPr>
        <w:t xml:space="preserve"> and the general public. It should:</w:t>
      </w:r>
    </w:p>
    <w:p w14:paraId="404DF24D" w14:textId="5E23F8E0" w:rsidR="000C047D" w:rsidRPr="002F75F9" w:rsidRDefault="000C047D" w:rsidP="000C047D">
      <w:pPr>
        <w:pStyle w:val="SingleTxtG"/>
        <w:rPr>
          <w:b/>
        </w:rPr>
      </w:pPr>
      <w:r w:rsidRPr="00602B61">
        <w:tab/>
        <w:t>(a)</w:t>
      </w:r>
      <w:r w:rsidRPr="00602B61">
        <w:tab/>
      </w:r>
      <w:r w:rsidRPr="002F75F9">
        <w:rPr>
          <w:b/>
        </w:rPr>
        <w:t>Take the measures</w:t>
      </w:r>
      <w:r w:rsidRPr="00AB37E1">
        <w:rPr>
          <w:b/>
        </w:rPr>
        <w:t xml:space="preserve"> </w:t>
      </w:r>
      <w:r w:rsidRPr="002F75F9">
        <w:rPr>
          <w:b/>
        </w:rPr>
        <w:t>necessary to address the marginali</w:t>
      </w:r>
      <w:r>
        <w:rPr>
          <w:b/>
        </w:rPr>
        <w:t>z</w:t>
      </w:r>
      <w:r w:rsidRPr="002F75F9">
        <w:rPr>
          <w:b/>
        </w:rPr>
        <w:t xml:space="preserve">ation and de facto discrimination faced by </w:t>
      </w:r>
      <w:r>
        <w:rPr>
          <w:b/>
        </w:rPr>
        <w:t>I</w:t>
      </w:r>
      <w:r w:rsidRPr="002F75F9">
        <w:rPr>
          <w:b/>
        </w:rPr>
        <w:t xml:space="preserve">ndigenous </w:t>
      </w:r>
      <w:r>
        <w:rPr>
          <w:b/>
        </w:rPr>
        <w:t>P</w:t>
      </w:r>
      <w:r w:rsidRPr="002F75F9">
        <w:rPr>
          <w:b/>
        </w:rPr>
        <w:t xml:space="preserve">eoples, </w:t>
      </w:r>
      <w:r>
        <w:rPr>
          <w:b/>
        </w:rPr>
        <w:t xml:space="preserve">most </w:t>
      </w:r>
      <w:r w:rsidRPr="002F75F9">
        <w:rPr>
          <w:b/>
        </w:rPr>
        <w:t xml:space="preserve">notably </w:t>
      </w:r>
      <w:proofErr w:type="gramStart"/>
      <w:r>
        <w:rPr>
          <w:b/>
        </w:rPr>
        <w:t>with</w:t>
      </w:r>
      <w:r w:rsidRPr="002F75F9">
        <w:rPr>
          <w:b/>
        </w:rPr>
        <w:t xml:space="preserve"> regard to</w:t>
      </w:r>
      <w:proofErr w:type="gramEnd"/>
      <w:r w:rsidRPr="002F75F9">
        <w:rPr>
          <w:b/>
        </w:rPr>
        <w:t xml:space="preserve"> access to </w:t>
      </w:r>
      <w:r w:rsidRPr="002F75F9">
        <w:rPr>
          <w:b/>
        </w:rPr>
        <w:lastRenderedPageBreak/>
        <w:t>health</w:t>
      </w:r>
      <w:r>
        <w:rPr>
          <w:b/>
        </w:rPr>
        <w:t xml:space="preserve"> </w:t>
      </w:r>
      <w:r w:rsidRPr="002F75F9">
        <w:rPr>
          <w:b/>
        </w:rPr>
        <w:t>care, education and employment. In this regard</w:t>
      </w:r>
      <w:r>
        <w:rPr>
          <w:b/>
        </w:rPr>
        <w:t>,</w:t>
      </w:r>
      <w:r w:rsidRPr="002F75F9">
        <w:rPr>
          <w:b/>
        </w:rPr>
        <w:t xml:space="preserve"> it should expedite the adoption of the </w:t>
      </w:r>
      <w:r>
        <w:rPr>
          <w:b/>
        </w:rPr>
        <w:t>w</w:t>
      </w:r>
      <w:r w:rsidRPr="002F75F9">
        <w:rPr>
          <w:b/>
        </w:rPr>
        <w:t xml:space="preserve">hite </w:t>
      </w:r>
      <w:r>
        <w:rPr>
          <w:b/>
        </w:rPr>
        <w:t>p</w:t>
      </w:r>
      <w:r w:rsidRPr="002F75F9">
        <w:rPr>
          <w:b/>
        </w:rPr>
        <w:t>aper on</w:t>
      </w:r>
      <w:r>
        <w:rPr>
          <w:b/>
        </w:rPr>
        <w:t xml:space="preserve"> the rights of</w:t>
      </w:r>
      <w:r w:rsidRPr="002F75F9">
        <w:rPr>
          <w:b/>
        </w:rPr>
        <w:t xml:space="preserve"> Indigenous Peoples </w:t>
      </w:r>
      <w:r>
        <w:rPr>
          <w:b/>
        </w:rPr>
        <w:t xml:space="preserve">in Namibia </w:t>
      </w:r>
      <w:r w:rsidRPr="002F75F9">
        <w:rPr>
          <w:b/>
        </w:rPr>
        <w:t xml:space="preserve">and take steps to increase the availability of medical practitioners and teachers who can speak </w:t>
      </w:r>
      <w:r>
        <w:rPr>
          <w:b/>
        </w:rPr>
        <w:t>I</w:t>
      </w:r>
      <w:r w:rsidRPr="002F75F9">
        <w:rPr>
          <w:b/>
        </w:rPr>
        <w:t>ndigenous languages;</w:t>
      </w:r>
    </w:p>
    <w:p w14:paraId="09554D11" w14:textId="40B9E349" w:rsidR="000C047D" w:rsidRPr="00602B61" w:rsidRDefault="00602B61" w:rsidP="00602B61">
      <w:pPr>
        <w:pStyle w:val="SingleTxtG"/>
        <w:rPr>
          <w:b/>
          <w:bCs/>
        </w:rPr>
      </w:pPr>
      <w:r>
        <w:tab/>
      </w:r>
      <w:r w:rsidR="000C047D" w:rsidRPr="00602B61">
        <w:t>(b)</w:t>
      </w:r>
      <w:r w:rsidR="000C047D" w:rsidRPr="00602B61">
        <w:tab/>
      </w:r>
      <w:r w:rsidR="000C047D" w:rsidRPr="00602B61">
        <w:rPr>
          <w:b/>
          <w:bCs/>
        </w:rPr>
        <w:t xml:space="preserve">Provide specific training for health-care providers and officials in the Ministry of Health and Social Services to address the discrimination in access to health care faced by disadvantaged populations, including Indigenous Peoples, persons with disabilities, including persons living with albinism, and lesbian, gay, </w:t>
      </w:r>
      <w:proofErr w:type="gramStart"/>
      <w:r w:rsidR="000C047D" w:rsidRPr="00602B61">
        <w:rPr>
          <w:b/>
          <w:bCs/>
        </w:rPr>
        <w:t>bisexual</w:t>
      </w:r>
      <w:proofErr w:type="gramEnd"/>
      <w:r w:rsidR="000C047D" w:rsidRPr="00602B61">
        <w:rPr>
          <w:b/>
          <w:bCs/>
        </w:rPr>
        <w:t xml:space="preserve"> and transgender persons, and ensure that they are provided with health-care services that meet their specific needs;</w:t>
      </w:r>
    </w:p>
    <w:p w14:paraId="287A3788" w14:textId="36512CE7" w:rsidR="000C047D" w:rsidRPr="002F75F9" w:rsidRDefault="000C047D" w:rsidP="000C047D">
      <w:pPr>
        <w:pStyle w:val="SingleTxtG"/>
        <w:rPr>
          <w:b/>
        </w:rPr>
      </w:pPr>
      <w:r w:rsidRPr="002F75F9">
        <w:rPr>
          <w:b/>
        </w:rPr>
        <w:tab/>
      </w:r>
      <w:r w:rsidRPr="00602B61">
        <w:rPr>
          <w:bCs/>
        </w:rPr>
        <w:t>(c)</w:t>
      </w:r>
      <w:r w:rsidRPr="002F75F9">
        <w:rPr>
          <w:b/>
        </w:rPr>
        <w:tab/>
        <w:t xml:space="preserve">Expedite the adoption of the </w:t>
      </w:r>
      <w:r>
        <w:rPr>
          <w:b/>
        </w:rPr>
        <w:t>b</w:t>
      </w:r>
      <w:r w:rsidRPr="002F75F9">
        <w:rPr>
          <w:b/>
        </w:rPr>
        <w:t xml:space="preserve">ill on </w:t>
      </w:r>
      <w:r>
        <w:rPr>
          <w:b/>
        </w:rPr>
        <w:t>c</w:t>
      </w:r>
      <w:r w:rsidRPr="002F75F9">
        <w:rPr>
          <w:b/>
        </w:rPr>
        <w:t xml:space="preserve">ombating </w:t>
      </w:r>
      <w:r>
        <w:rPr>
          <w:b/>
        </w:rPr>
        <w:t>d</w:t>
      </w:r>
      <w:r w:rsidRPr="002F75F9">
        <w:rPr>
          <w:b/>
        </w:rPr>
        <w:t xml:space="preserve">iscrimination, </w:t>
      </w:r>
      <w:r>
        <w:rPr>
          <w:b/>
        </w:rPr>
        <w:t>d</w:t>
      </w:r>
      <w:r w:rsidRPr="002F75F9">
        <w:rPr>
          <w:b/>
        </w:rPr>
        <w:t xml:space="preserve">iscriminatory </w:t>
      </w:r>
      <w:r>
        <w:rPr>
          <w:b/>
        </w:rPr>
        <w:t>h</w:t>
      </w:r>
      <w:r w:rsidRPr="002F75F9">
        <w:rPr>
          <w:b/>
        </w:rPr>
        <w:t xml:space="preserve">arassment and </w:t>
      </w:r>
      <w:r>
        <w:rPr>
          <w:b/>
        </w:rPr>
        <w:t>h</w:t>
      </w:r>
      <w:r w:rsidRPr="002F75F9">
        <w:rPr>
          <w:b/>
        </w:rPr>
        <w:t xml:space="preserve">ate </w:t>
      </w:r>
      <w:r>
        <w:rPr>
          <w:b/>
        </w:rPr>
        <w:t>s</w:t>
      </w:r>
      <w:r w:rsidRPr="002F75F9">
        <w:rPr>
          <w:b/>
        </w:rPr>
        <w:t xml:space="preserve">peech, ensuring that it explicitly prohibits discrimination based on sexual orientation and gender identity; </w:t>
      </w:r>
    </w:p>
    <w:p w14:paraId="73B11247" w14:textId="27DA0A66" w:rsidR="000C047D" w:rsidRPr="00602B61" w:rsidRDefault="00602B61" w:rsidP="00602B61">
      <w:pPr>
        <w:pStyle w:val="SingleTxtG"/>
        <w:rPr>
          <w:b/>
          <w:bCs/>
        </w:rPr>
      </w:pPr>
      <w:r>
        <w:tab/>
      </w:r>
      <w:r w:rsidR="000C047D" w:rsidRPr="002F75F9">
        <w:t>(d)</w:t>
      </w:r>
      <w:r w:rsidR="000C047D" w:rsidRPr="00602B61">
        <w:rPr>
          <w:b/>
          <w:bCs/>
        </w:rPr>
        <w:tab/>
        <w:t xml:space="preserve">Amend the Labour Act (Act No. 11 of 2007), the Combating of Domestic Violence Act (Act No. 4 of 2003) and the Combating of Rape Act (Act No. 8 of 2000) to extend the protection provided under these laws to lesbian, gay, </w:t>
      </w:r>
      <w:proofErr w:type="gramStart"/>
      <w:r w:rsidR="000C047D" w:rsidRPr="00602B61">
        <w:rPr>
          <w:b/>
          <w:bCs/>
        </w:rPr>
        <w:t>bisexual</w:t>
      </w:r>
      <w:proofErr w:type="gramEnd"/>
      <w:r w:rsidR="000C047D" w:rsidRPr="00602B61">
        <w:rPr>
          <w:b/>
          <w:bCs/>
        </w:rPr>
        <w:t xml:space="preserve"> and transgender persons, and abolish the common law crimes of sodomy and unnatural sexual offences.</w:t>
      </w:r>
    </w:p>
    <w:p w14:paraId="6B171EA2" w14:textId="5E3DFF36" w:rsidR="000C047D" w:rsidRPr="002F75F9" w:rsidRDefault="000C047D" w:rsidP="000C047D">
      <w:pPr>
        <w:pStyle w:val="H23G"/>
      </w:pPr>
      <w:r w:rsidRPr="002F75F9">
        <w:tab/>
      </w:r>
      <w:r w:rsidRPr="002F75F9">
        <w:tab/>
        <w:t>Discrimination against women</w:t>
      </w:r>
    </w:p>
    <w:p w14:paraId="70FF1BF8" w14:textId="0E46411A" w:rsidR="000C047D" w:rsidRPr="002F75F9" w:rsidRDefault="000C047D" w:rsidP="000C047D">
      <w:pPr>
        <w:pStyle w:val="SingleTxtG"/>
      </w:pPr>
      <w:r w:rsidRPr="002F75F9">
        <w:t>10.</w:t>
      </w:r>
      <w:r w:rsidRPr="002F75F9">
        <w:tab/>
        <w:t xml:space="preserve">The Committee is concerned about the long delays in adopting bills </w:t>
      </w:r>
      <w:r>
        <w:t xml:space="preserve">that </w:t>
      </w:r>
      <w:r w:rsidRPr="002F75F9">
        <w:t xml:space="preserve">seek to address discriminatory aspects of the legislative framework </w:t>
      </w:r>
      <w:proofErr w:type="gramStart"/>
      <w:r>
        <w:t>with</w:t>
      </w:r>
      <w:r w:rsidRPr="002F75F9">
        <w:t xml:space="preserve"> regard to</w:t>
      </w:r>
      <w:proofErr w:type="gramEnd"/>
      <w:r w:rsidRPr="002F75F9">
        <w:t xml:space="preserve"> gender, including the </w:t>
      </w:r>
      <w:r>
        <w:t>m</w:t>
      </w:r>
      <w:r w:rsidRPr="002F75F9">
        <w:t xml:space="preserve">arriage </w:t>
      </w:r>
      <w:r>
        <w:t>b</w:t>
      </w:r>
      <w:r w:rsidRPr="002F75F9">
        <w:t xml:space="preserve">ill, the </w:t>
      </w:r>
      <w:r>
        <w:t>bill on the r</w:t>
      </w:r>
      <w:r w:rsidRPr="002F75F9">
        <w:t xml:space="preserve">ecognition of </w:t>
      </w:r>
      <w:r>
        <w:t>c</w:t>
      </w:r>
      <w:r w:rsidRPr="002F75F9">
        <w:t xml:space="preserve">ustomary </w:t>
      </w:r>
      <w:r>
        <w:t>m</w:t>
      </w:r>
      <w:r w:rsidRPr="002F75F9">
        <w:t xml:space="preserve">arriages, the </w:t>
      </w:r>
      <w:r>
        <w:t>d</w:t>
      </w:r>
      <w:r w:rsidRPr="002F75F9">
        <w:t xml:space="preserve">ivorce </w:t>
      </w:r>
      <w:r>
        <w:t>b</w:t>
      </w:r>
      <w:r w:rsidRPr="002F75F9">
        <w:t xml:space="preserve">ill and the </w:t>
      </w:r>
      <w:r>
        <w:t>u</w:t>
      </w:r>
      <w:r w:rsidRPr="002F75F9">
        <w:t xml:space="preserve">niform </w:t>
      </w:r>
      <w:r>
        <w:t>m</w:t>
      </w:r>
      <w:r w:rsidRPr="002F75F9">
        <w:t xml:space="preserve">atrimonial </w:t>
      </w:r>
      <w:r>
        <w:t>p</w:t>
      </w:r>
      <w:r w:rsidRPr="002F75F9">
        <w:t xml:space="preserve">roperty </w:t>
      </w:r>
      <w:r>
        <w:t>b</w:t>
      </w:r>
      <w:r w:rsidRPr="002F75F9">
        <w:t>ill. While noting the delegation</w:t>
      </w:r>
      <w:r w:rsidR="003F264E">
        <w:t>’</w:t>
      </w:r>
      <w:r w:rsidRPr="002F75F9">
        <w:t xml:space="preserve">s statement that polygamy, which is regulated by customary laws, must be entered into voluntarily and be in conformity with </w:t>
      </w:r>
      <w:r>
        <w:t xml:space="preserve">the </w:t>
      </w:r>
      <w:r w:rsidRPr="002F75F9">
        <w:t xml:space="preserve">rights provided for under the </w:t>
      </w:r>
      <w:r>
        <w:t>C</w:t>
      </w:r>
      <w:r w:rsidRPr="002F75F9">
        <w:t>onstitution, the Committee is concerned that</w:t>
      </w:r>
      <w:r w:rsidR="003F264E">
        <w:t xml:space="preserve"> </w:t>
      </w:r>
      <w:r w:rsidRPr="002F75F9">
        <w:t>polygamy is incompatible with equality between women and men</w:t>
      </w:r>
      <w:r>
        <w:t>,</w:t>
      </w:r>
      <w:r w:rsidRPr="0016628B">
        <w:t xml:space="preserve"> </w:t>
      </w:r>
      <w:proofErr w:type="gramStart"/>
      <w:r w:rsidRPr="002F75F9">
        <w:t>with regard to</w:t>
      </w:r>
      <w:proofErr w:type="gramEnd"/>
      <w:r w:rsidRPr="002F75F9">
        <w:t xml:space="preserve"> the right to marry (arts. 2, 3 and 26).</w:t>
      </w:r>
    </w:p>
    <w:p w14:paraId="05E0E153" w14:textId="77777777" w:rsidR="000C047D" w:rsidRPr="002F75F9" w:rsidRDefault="000C047D" w:rsidP="000C047D">
      <w:pPr>
        <w:pStyle w:val="SingleTxtG"/>
        <w:rPr>
          <w:b/>
        </w:rPr>
      </w:pPr>
      <w:r w:rsidRPr="002F75F9">
        <w:t>11.</w:t>
      </w:r>
      <w:r w:rsidRPr="002F75F9">
        <w:tab/>
      </w:r>
      <w:r w:rsidRPr="002F75F9">
        <w:rPr>
          <w:b/>
          <w:bCs/>
        </w:rPr>
        <w:t>The</w:t>
      </w:r>
      <w:r w:rsidRPr="002F75F9">
        <w:rPr>
          <w:b/>
        </w:rPr>
        <w:t xml:space="preserve"> State party should</w:t>
      </w:r>
      <w:r>
        <w:rPr>
          <w:b/>
        </w:rPr>
        <w:t>:</w:t>
      </w:r>
      <w:r w:rsidRPr="002F75F9">
        <w:rPr>
          <w:b/>
        </w:rPr>
        <w:t xml:space="preserve"> </w:t>
      </w:r>
    </w:p>
    <w:p w14:paraId="1F30D3BE" w14:textId="30990FAA" w:rsidR="000C047D" w:rsidRPr="00C038F1" w:rsidRDefault="00C038F1" w:rsidP="00C038F1">
      <w:pPr>
        <w:pStyle w:val="SingleTxtG"/>
        <w:rPr>
          <w:b/>
          <w:bCs/>
        </w:rPr>
      </w:pPr>
      <w:r>
        <w:tab/>
      </w:r>
      <w:r w:rsidR="000C047D" w:rsidRPr="00C038F1">
        <w:t>(a)</w:t>
      </w:r>
      <w:r w:rsidR="000C047D" w:rsidRPr="00C038F1">
        <w:rPr>
          <w:b/>
          <w:bCs/>
        </w:rPr>
        <w:tab/>
        <w:t xml:space="preserve">Expedite the adoption of pending bills that seek to address discriminatory aspects of the legislative framework </w:t>
      </w:r>
      <w:proofErr w:type="gramStart"/>
      <w:r w:rsidR="000C047D" w:rsidRPr="00C038F1">
        <w:rPr>
          <w:b/>
          <w:bCs/>
        </w:rPr>
        <w:t>with regard to</w:t>
      </w:r>
      <w:proofErr w:type="gramEnd"/>
      <w:r w:rsidR="000C047D" w:rsidRPr="00C038F1">
        <w:rPr>
          <w:b/>
          <w:bCs/>
        </w:rPr>
        <w:t xml:space="preserve"> gender, including the marriage bill, the bill on the recognition of customary marriages, the divorce bill and the uniform matrimonial property bill;</w:t>
      </w:r>
    </w:p>
    <w:p w14:paraId="2F37E868" w14:textId="7AFACD1D" w:rsidR="000C047D" w:rsidRPr="00C038F1" w:rsidRDefault="000C047D" w:rsidP="00C038F1">
      <w:pPr>
        <w:pStyle w:val="SingleTxtG"/>
        <w:rPr>
          <w:b/>
          <w:bCs/>
        </w:rPr>
      </w:pPr>
      <w:r w:rsidRPr="00C038F1">
        <w:tab/>
        <w:t>(b)</w:t>
      </w:r>
      <w:r w:rsidRPr="00C038F1">
        <w:tab/>
      </w:r>
      <w:r w:rsidRPr="00C038F1">
        <w:rPr>
          <w:b/>
          <w:bCs/>
        </w:rPr>
        <w:t>In consultation with traditional leaders, review existing customary marital laws and enact legislation to increase protection for women in polygamous unions, with a view to abolishing polygamy, in line with the Committee</w:t>
      </w:r>
      <w:r w:rsidR="003F264E" w:rsidRPr="00C038F1">
        <w:rPr>
          <w:b/>
          <w:bCs/>
        </w:rPr>
        <w:t>’</w:t>
      </w:r>
      <w:r w:rsidRPr="00C038F1">
        <w:rPr>
          <w:b/>
          <w:bCs/>
        </w:rPr>
        <w:t>s general comment No. 28 (2000) on the equality of rights between men and women (para. 24).</w:t>
      </w:r>
    </w:p>
    <w:p w14:paraId="0EDBA318" w14:textId="77777777" w:rsidR="000C047D" w:rsidRPr="002F75F9" w:rsidRDefault="000C047D" w:rsidP="000C047D">
      <w:pPr>
        <w:pStyle w:val="H23G"/>
      </w:pPr>
      <w:r w:rsidRPr="002F75F9">
        <w:tab/>
      </w:r>
      <w:r w:rsidRPr="002F75F9">
        <w:tab/>
        <w:t>Violence against women</w:t>
      </w:r>
      <w:r>
        <w:t>,</w:t>
      </w:r>
      <w:r w:rsidRPr="002F75F9">
        <w:t xml:space="preserve"> including domestic violence</w:t>
      </w:r>
    </w:p>
    <w:p w14:paraId="1B0C83DF" w14:textId="79D48ACC" w:rsidR="000C047D" w:rsidRPr="002F75F9" w:rsidRDefault="000C047D" w:rsidP="000C047D">
      <w:pPr>
        <w:pStyle w:val="SingleTxtG"/>
      </w:pPr>
      <w:r w:rsidRPr="002F75F9">
        <w:t>12.</w:t>
      </w:r>
      <w:r w:rsidRPr="002F75F9">
        <w:tab/>
        <w:t>While noting the measures taken by the State party, the Committee is concerned about the prevalence of gender-based violence</w:t>
      </w:r>
      <w:r>
        <w:t xml:space="preserve"> </w:t>
      </w:r>
      <w:r w:rsidRPr="002F75F9">
        <w:t>against women, including</w:t>
      </w:r>
      <w:r>
        <w:t xml:space="preserve"> violence perpetrated through online means</w:t>
      </w:r>
      <w:r w:rsidRPr="002F75F9">
        <w:t xml:space="preserve">. It also notes with concern the continued prevalence of domestic violence, including marital rape and so-called </w:t>
      </w:r>
      <w:r w:rsidR="003F264E">
        <w:t>“</w:t>
      </w:r>
      <w:r w:rsidRPr="002F75F9">
        <w:t>passion killings</w:t>
      </w:r>
      <w:r w:rsidR="003F264E">
        <w:t>”</w:t>
      </w:r>
      <w:r w:rsidRPr="002F75F9">
        <w:t>. The Committee is also concerned about the low level of reporting of gender-based violence</w:t>
      </w:r>
      <w:r>
        <w:t>, including sexual violence,</w:t>
      </w:r>
      <w:r w:rsidRPr="002F75F9">
        <w:t xml:space="preserve"> due to factors such as fear of reprisals, </w:t>
      </w:r>
      <w:r>
        <w:t>about</w:t>
      </w:r>
      <w:r w:rsidRPr="002F75F9">
        <w:t xml:space="preserve"> the low number of prosecutions and convictions handed down to perpetrators, </w:t>
      </w:r>
      <w:r>
        <w:t xml:space="preserve">and </w:t>
      </w:r>
      <w:r w:rsidRPr="002F75F9">
        <w:t xml:space="preserve">about reports of significant underresourcing of gender-based violence protection units and shelters, </w:t>
      </w:r>
      <w:r>
        <w:t>resulting in, inter alia,</w:t>
      </w:r>
      <w:r w:rsidRPr="002F75F9">
        <w:t xml:space="preserve"> limited opening hours and a lack of appropriately trained staff </w:t>
      </w:r>
      <w:r w:rsidRPr="002F75F9" w:rsidDel="00881999">
        <w:t>(arts. 3, 6, 7 and 26)</w:t>
      </w:r>
      <w:r w:rsidRPr="002F75F9">
        <w:t>.</w:t>
      </w:r>
    </w:p>
    <w:p w14:paraId="4A2BC5AC" w14:textId="77777777" w:rsidR="000C047D" w:rsidRPr="002F75F9" w:rsidRDefault="000C047D" w:rsidP="000C047D">
      <w:pPr>
        <w:pStyle w:val="SingleTxtG"/>
        <w:rPr>
          <w:b/>
          <w:bCs/>
        </w:rPr>
      </w:pPr>
      <w:r w:rsidRPr="00471387">
        <w:t>13.</w:t>
      </w:r>
      <w:r w:rsidRPr="002F75F9">
        <w:rPr>
          <w:b/>
          <w:bCs/>
        </w:rPr>
        <w:tab/>
        <w:t>The State party should:</w:t>
      </w:r>
    </w:p>
    <w:p w14:paraId="0C4B3227" w14:textId="7A338BF1" w:rsidR="000C047D" w:rsidRPr="002F75F9" w:rsidRDefault="000C047D" w:rsidP="000C047D">
      <w:pPr>
        <w:pStyle w:val="SingleTxtG"/>
        <w:rPr>
          <w:b/>
          <w:bCs/>
        </w:rPr>
      </w:pPr>
      <w:r>
        <w:rPr>
          <w:b/>
          <w:bCs/>
        </w:rPr>
        <w:tab/>
      </w:r>
      <w:r w:rsidRPr="0089250C">
        <w:t>(a)</w:t>
      </w:r>
      <w:r w:rsidRPr="002F75F9">
        <w:rPr>
          <w:b/>
          <w:bCs/>
        </w:rPr>
        <w:tab/>
        <w:t>Remove all legal and de facto barriers to prosecuting and punishing perpetrators of domestic violence and implement the Combating of Domestic Violence Act</w:t>
      </w:r>
      <w:r>
        <w:rPr>
          <w:b/>
          <w:bCs/>
        </w:rPr>
        <w:t>,</w:t>
      </w:r>
      <w:r w:rsidRPr="002F75F9">
        <w:rPr>
          <w:b/>
          <w:bCs/>
        </w:rPr>
        <w:t xml:space="preserve"> including by increasing the availability of specialized courts and ensuring that the </w:t>
      </w:r>
      <w:r>
        <w:rPr>
          <w:b/>
          <w:bCs/>
        </w:rPr>
        <w:t>g</w:t>
      </w:r>
      <w:r w:rsidRPr="002F75F9">
        <w:rPr>
          <w:b/>
          <w:bCs/>
        </w:rPr>
        <w:t>ender-</w:t>
      </w:r>
      <w:r>
        <w:rPr>
          <w:b/>
          <w:bCs/>
        </w:rPr>
        <w:t>b</w:t>
      </w:r>
      <w:r w:rsidRPr="002F75F9">
        <w:rPr>
          <w:b/>
          <w:bCs/>
        </w:rPr>
        <w:t xml:space="preserve">ased </w:t>
      </w:r>
      <w:r>
        <w:rPr>
          <w:b/>
          <w:bCs/>
        </w:rPr>
        <w:t>v</w:t>
      </w:r>
      <w:r w:rsidRPr="002F75F9">
        <w:rPr>
          <w:b/>
          <w:bCs/>
        </w:rPr>
        <w:t xml:space="preserve">iolence </w:t>
      </w:r>
      <w:r>
        <w:rPr>
          <w:b/>
          <w:bCs/>
        </w:rPr>
        <w:t>p</w:t>
      </w:r>
      <w:r w:rsidRPr="002F75F9">
        <w:rPr>
          <w:b/>
          <w:bCs/>
        </w:rPr>
        <w:t xml:space="preserve">rotection units run by the Namibian Police Force are provided with appropriate financial and human resources; </w:t>
      </w:r>
    </w:p>
    <w:p w14:paraId="3BCFAD67" w14:textId="268C8F58" w:rsidR="000C047D" w:rsidRPr="002F75F9" w:rsidRDefault="000C047D" w:rsidP="000C047D">
      <w:pPr>
        <w:pStyle w:val="SingleTxtG"/>
        <w:rPr>
          <w:b/>
          <w:bCs/>
        </w:rPr>
      </w:pPr>
      <w:r w:rsidRPr="002F75F9">
        <w:rPr>
          <w:b/>
          <w:bCs/>
        </w:rPr>
        <w:lastRenderedPageBreak/>
        <w:tab/>
      </w:r>
      <w:r w:rsidRPr="0089250C">
        <w:t>(b)</w:t>
      </w:r>
      <w:r w:rsidRPr="002F75F9">
        <w:rPr>
          <w:b/>
          <w:bCs/>
        </w:rPr>
        <w:tab/>
        <w:t xml:space="preserve">Systematically undertake prompt, </w:t>
      </w:r>
      <w:proofErr w:type="gramStart"/>
      <w:r w:rsidRPr="002F75F9">
        <w:rPr>
          <w:b/>
          <w:bCs/>
        </w:rPr>
        <w:t>impartial</w:t>
      </w:r>
      <w:proofErr w:type="gramEnd"/>
      <w:r w:rsidRPr="002F75F9">
        <w:rPr>
          <w:b/>
          <w:bCs/>
        </w:rPr>
        <w:t xml:space="preserve"> and effective investigations to identify the perpetrators of violence against women, prosecute them and, if they are found guilty, punish them commensurately with the gravity of the crime, ensuring that police</w:t>
      </w:r>
      <w:r>
        <w:rPr>
          <w:b/>
          <w:bCs/>
        </w:rPr>
        <w:t xml:space="preserve"> officers</w:t>
      </w:r>
      <w:r w:rsidRPr="002F75F9">
        <w:rPr>
          <w:b/>
          <w:bCs/>
        </w:rPr>
        <w:t>, prosecutors and judges are adequately trained in addressing issues of gender-based violence</w:t>
      </w:r>
      <w:r>
        <w:rPr>
          <w:b/>
          <w:bCs/>
        </w:rPr>
        <w:t>,</w:t>
      </w:r>
      <w:r w:rsidRPr="002F75F9">
        <w:rPr>
          <w:b/>
          <w:bCs/>
        </w:rPr>
        <w:t xml:space="preserve"> including </w:t>
      </w:r>
      <w:r>
        <w:rPr>
          <w:b/>
          <w:bCs/>
        </w:rPr>
        <w:t xml:space="preserve">violence perpetrated through </w:t>
      </w:r>
      <w:r w:rsidRPr="002F75F9">
        <w:rPr>
          <w:b/>
          <w:bCs/>
        </w:rPr>
        <w:t>online</w:t>
      </w:r>
      <w:r>
        <w:rPr>
          <w:b/>
          <w:bCs/>
        </w:rPr>
        <w:t xml:space="preserve"> means</w:t>
      </w:r>
      <w:r w:rsidRPr="002F75F9">
        <w:rPr>
          <w:b/>
          <w:bCs/>
        </w:rPr>
        <w:t xml:space="preserve">; </w:t>
      </w:r>
    </w:p>
    <w:p w14:paraId="293C1AD7" w14:textId="149DCB64" w:rsidR="000C047D" w:rsidRPr="0089250C" w:rsidRDefault="0089250C" w:rsidP="0089250C">
      <w:pPr>
        <w:pStyle w:val="SingleTxtG"/>
        <w:rPr>
          <w:b/>
          <w:bCs/>
        </w:rPr>
      </w:pPr>
      <w:r>
        <w:tab/>
      </w:r>
      <w:r w:rsidR="000C047D" w:rsidRPr="002F75F9">
        <w:t>(c)</w:t>
      </w:r>
      <w:r w:rsidR="000C047D" w:rsidRPr="0089250C">
        <w:rPr>
          <w:b/>
          <w:bCs/>
        </w:rPr>
        <w:tab/>
        <w:t>Ensure that victims receive appropriate support, counselling and compensation and are protected from stigmatization and reprisals, including by ensuring effective access to adequately resourced shelters throughout the territory of the State party;</w:t>
      </w:r>
    </w:p>
    <w:p w14:paraId="01DE7C75" w14:textId="31FC592A" w:rsidR="000C047D" w:rsidRPr="0089250C" w:rsidRDefault="0089250C" w:rsidP="0089250C">
      <w:pPr>
        <w:pStyle w:val="SingleTxtG"/>
        <w:rPr>
          <w:b/>
          <w:bCs/>
        </w:rPr>
      </w:pPr>
      <w:r>
        <w:tab/>
      </w:r>
      <w:r w:rsidR="000C047D" w:rsidRPr="0089250C">
        <w:t>(d)</w:t>
      </w:r>
      <w:r w:rsidR="000C047D" w:rsidRPr="0089250C">
        <w:rPr>
          <w:b/>
          <w:bCs/>
        </w:rPr>
        <w:tab/>
        <w:t>Continue to implement awareness-raising policies and public education programmes involving and targeted at traditional leaders and the wider public, to make all forms of gender-based violence socially unacceptable;</w:t>
      </w:r>
    </w:p>
    <w:p w14:paraId="4F593985" w14:textId="39C4C080" w:rsidR="000C047D" w:rsidRPr="0089250C" w:rsidRDefault="0089250C" w:rsidP="0089250C">
      <w:pPr>
        <w:pStyle w:val="SingleTxtG"/>
        <w:rPr>
          <w:b/>
          <w:bCs/>
        </w:rPr>
      </w:pPr>
      <w:r>
        <w:tab/>
      </w:r>
      <w:r w:rsidR="000C047D" w:rsidRPr="0089250C">
        <w:t>(e)</w:t>
      </w:r>
      <w:r w:rsidR="000C047D" w:rsidRPr="0089250C">
        <w:tab/>
      </w:r>
      <w:r w:rsidR="000C047D" w:rsidRPr="0089250C">
        <w:rPr>
          <w:b/>
          <w:bCs/>
        </w:rPr>
        <w:t>Take appropriate steps to tackle the root causes of gender-based violence, such as inequality, poverty, social exclusion and drug and alcohol abuse, including through engagement programmes and training for men.</w:t>
      </w:r>
    </w:p>
    <w:p w14:paraId="2D0072D2" w14:textId="77777777" w:rsidR="000C047D" w:rsidRPr="002F75F9" w:rsidRDefault="000C047D" w:rsidP="000C047D">
      <w:pPr>
        <w:pStyle w:val="H23G"/>
      </w:pPr>
      <w:r w:rsidRPr="002F75F9">
        <w:rPr>
          <w:b w:val="0"/>
        </w:rPr>
        <w:tab/>
      </w:r>
      <w:r w:rsidRPr="002F75F9">
        <w:rPr>
          <w:b w:val="0"/>
        </w:rPr>
        <w:tab/>
      </w:r>
      <w:r w:rsidRPr="002F75F9">
        <w:t>Termination of pregnancy and access to sexual and reproductive services</w:t>
      </w:r>
    </w:p>
    <w:p w14:paraId="0541A20F" w14:textId="77777777" w:rsidR="000C047D" w:rsidRPr="002F75F9" w:rsidRDefault="000C047D" w:rsidP="000C047D">
      <w:pPr>
        <w:pStyle w:val="SingleTxtG"/>
      </w:pPr>
      <w:r w:rsidRPr="002F75F9">
        <w:t>14.</w:t>
      </w:r>
      <w:r w:rsidRPr="002F75F9">
        <w:tab/>
        <w:t xml:space="preserve">The Committee is concerned about the limited </w:t>
      </w:r>
      <w:r>
        <w:t>circumstances</w:t>
      </w:r>
      <w:r w:rsidRPr="002F75F9">
        <w:t xml:space="preserve"> in which women can seek legal abortion under the Abortion and Sterilization Act (Act No. 2 of 1975), the onerous administrative procedures required to obtain authori</w:t>
      </w:r>
      <w:r>
        <w:t>z</w:t>
      </w:r>
      <w:r w:rsidRPr="002F75F9">
        <w:t>ation under th</w:t>
      </w:r>
      <w:r>
        <w:t>e</w:t>
      </w:r>
      <w:r w:rsidRPr="002F75F9">
        <w:t xml:space="preserve"> Act, and the criminalization of abortion in all other cases, which lead women to seek unsafe, clandestine abortions that put their lives and health at risk, or to resort to child abandonment. Furthermore, while noting the information provided by the State party regarding campaigns that have been undertaken to raise awareness </w:t>
      </w:r>
      <w:r>
        <w:t>of</w:t>
      </w:r>
      <w:r w:rsidRPr="002F75F9">
        <w:t xml:space="preserve"> sexual and reproductive health</w:t>
      </w:r>
      <w:r>
        <w:t>,</w:t>
      </w:r>
      <w:r w:rsidRPr="002F75F9">
        <w:t xml:space="preserve"> including access to contraceptives, the Committee is concerned by the reportedly high rate of adolescent pregnancies (arts. 3, 6 and 24).</w:t>
      </w:r>
    </w:p>
    <w:p w14:paraId="41F2BCAA" w14:textId="6D01F7D3" w:rsidR="000C047D" w:rsidRPr="002F75F9" w:rsidRDefault="000C047D" w:rsidP="000C047D">
      <w:pPr>
        <w:pStyle w:val="SingleTxtG"/>
        <w:rPr>
          <w:b/>
          <w:bCs/>
        </w:rPr>
      </w:pPr>
      <w:r w:rsidRPr="00FB2865">
        <w:t>15.</w:t>
      </w:r>
      <w:r w:rsidRPr="002F75F9">
        <w:rPr>
          <w:b/>
          <w:bCs/>
        </w:rPr>
        <w:tab/>
        <w:t>Bearing in mind paragraph 8 of the Committee</w:t>
      </w:r>
      <w:r w:rsidR="003F264E">
        <w:rPr>
          <w:b/>
          <w:bCs/>
        </w:rPr>
        <w:t>’</w:t>
      </w:r>
      <w:r w:rsidRPr="002F75F9">
        <w:rPr>
          <w:b/>
          <w:bCs/>
        </w:rPr>
        <w:t xml:space="preserve">s general comment No. 36 (2018) on the right to life, the State party should take all steps necessary to ensure effective access to safe and voluntary termination of pregnancy. The State party should: </w:t>
      </w:r>
    </w:p>
    <w:p w14:paraId="183CADD6" w14:textId="1EBAEB44" w:rsidR="000C047D" w:rsidRPr="00FB2865" w:rsidRDefault="00FB2865" w:rsidP="00FB2865">
      <w:pPr>
        <w:pStyle w:val="SingleTxtG"/>
        <w:rPr>
          <w:b/>
          <w:bCs/>
        </w:rPr>
      </w:pPr>
      <w:r>
        <w:tab/>
      </w:r>
      <w:r w:rsidR="000C047D" w:rsidRPr="00FB2865">
        <w:t>(a)</w:t>
      </w:r>
      <w:r w:rsidR="000C047D" w:rsidRPr="00FB2865">
        <w:rPr>
          <w:b/>
          <w:bCs/>
        </w:rPr>
        <w:tab/>
        <w:t>Remove onerous administrative requirements to obtain access to legal abortion and ensure that such requirements and the restricted access to legal abortion do not lead women to resort to unsafe, clandestine abortions;</w:t>
      </w:r>
    </w:p>
    <w:p w14:paraId="6AE5A9AE" w14:textId="51CAFBDA" w:rsidR="000C047D" w:rsidRPr="00FB2865" w:rsidRDefault="00FB2865" w:rsidP="00FB2865">
      <w:pPr>
        <w:pStyle w:val="SingleTxtG"/>
        <w:rPr>
          <w:b/>
          <w:bCs/>
        </w:rPr>
      </w:pPr>
      <w:r>
        <w:tab/>
      </w:r>
      <w:r w:rsidR="000C047D" w:rsidRPr="00FB2865">
        <w:t>(b)</w:t>
      </w:r>
      <w:r w:rsidR="000C047D" w:rsidRPr="00FB2865">
        <w:rPr>
          <w:b/>
          <w:bCs/>
        </w:rPr>
        <w:tab/>
        <w:t>Ensure that criminal penalties are not applied to women and girls who have recourse to abortions or to professionals who provide them with medical care;</w:t>
      </w:r>
    </w:p>
    <w:p w14:paraId="07AB683C" w14:textId="732CAE1D" w:rsidR="000C047D" w:rsidRPr="00FB2865" w:rsidRDefault="000C047D" w:rsidP="00FB2865">
      <w:pPr>
        <w:pStyle w:val="SingleTxtG"/>
        <w:rPr>
          <w:b/>
          <w:bCs/>
        </w:rPr>
      </w:pPr>
      <w:r w:rsidRPr="00FB2865">
        <w:tab/>
        <w:t>(c)</w:t>
      </w:r>
      <w:r w:rsidRPr="00FB2865">
        <w:tab/>
      </w:r>
      <w:r w:rsidRPr="00FB2865">
        <w:rPr>
          <w:b/>
          <w:bCs/>
        </w:rPr>
        <w:t xml:space="preserve">Implement comprehensive education and awareness-raising programmes on sexual and reproductive health and related rights in all schools and communities and ensure effective access to appropriate and affordable contraception and sexual and reproductive health services, particularly in rural and remote areas; </w:t>
      </w:r>
    </w:p>
    <w:p w14:paraId="55CA6830" w14:textId="14207929" w:rsidR="000C047D" w:rsidRPr="00FB2865" w:rsidRDefault="00FB2865" w:rsidP="00FB2865">
      <w:pPr>
        <w:pStyle w:val="SingleTxtG"/>
        <w:rPr>
          <w:b/>
          <w:bCs/>
        </w:rPr>
      </w:pPr>
      <w:r>
        <w:tab/>
      </w:r>
      <w:r w:rsidR="000C047D" w:rsidRPr="00FB2865">
        <w:t>(d)</w:t>
      </w:r>
      <w:r w:rsidR="000C047D" w:rsidRPr="00FB2865">
        <w:tab/>
      </w:r>
      <w:r w:rsidR="000C047D" w:rsidRPr="00FB2865">
        <w:rPr>
          <w:b/>
          <w:bCs/>
        </w:rPr>
        <w:t>Combat the stigmatization of women and girls who seek abortions.</w:t>
      </w:r>
    </w:p>
    <w:p w14:paraId="510BE196" w14:textId="66B67951" w:rsidR="000C047D" w:rsidRPr="002F75F9" w:rsidRDefault="000C047D" w:rsidP="000C047D">
      <w:pPr>
        <w:pStyle w:val="H23G"/>
      </w:pPr>
      <w:r w:rsidRPr="002F75F9">
        <w:tab/>
      </w:r>
      <w:r w:rsidRPr="002F75F9">
        <w:tab/>
        <w:t>Excessive use of force</w:t>
      </w:r>
    </w:p>
    <w:p w14:paraId="4FDA23C3" w14:textId="0B9FD317" w:rsidR="000C047D" w:rsidRPr="002F75F9" w:rsidRDefault="000C047D" w:rsidP="000C047D">
      <w:pPr>
        <w:pStyle w:val="SingleTxtG"/>
        <w:rPr>
          <w:bCs/>
        </w:rPr>
      </w:pPr>
      <w:r w:rsidRPr="002F75F9">
        <w:rPr>
          <w:bCs/>
        </w:rPr>
        <w:t>16.</w:t>
      </w:r>
      <w:r w:rsidRPr="002F75F9">
        <w:rPr>
          <w:bCs/>
        </w:rPr>
        <w:tab/>
        <w:t>The Committee is concerned that provisions in the Criminal Procedure Act (</w:t>
      </w:r>
      <w:r>
        <w:rPr>
          <w:bCs/>
        </w:rPr>
        <w:t>Act No.</w:t>
      </w:r>
      <w:r w:rsidR="00DE127C">
        <w:rPr>
          <w:bCs/>
        </w:rPr>
        <w:t> </w:t>
      </w:r>
      <w:r>
        <w:rPr>
          <w:bCs/>
        </w:rPr>
        <w:t xml:space="preserve">51 of </w:t>
      </w:r>
      <w:r w:rsidRPr="002F75F9">
        <w:rPr>
          <w:bCs/>
        </w:rPr>
        <w:t>1977), the Public Gathering</w:t>
      </w:r>
      <w:r>
        <w:rPr>
          <w:bCs/>
        </w:rPr>
        <w:t>s</w:t>
      </w:r>
      <w:r w:rsidRPr="002F75F9">
        <w:rPr>
          <w:bCs/>
        </w:rPr>
        <w:t xml:space="preserve"> Proclamation (</w:t>
      </w:r>
      <w:r>
        <w:rPr>
          <w:bCs/>
        </w:rPr>
        <w:t xml:space="preserve">AG. No. 23 of </w:t>
      </w:r>
      <w:r w:rsidRPr="002F75F9">
        <w:rPr>
          <w:bCs/>
        </w:rPr>
        <w:t>1989) and the Correctional Service Act (</w:t>
      </w:r>
      <w:r>
        <w:rPr>
          <w:bCs/>
        </w:rPr>
        <w:t xml:space="preserve">Act No. 9 of </w:t>
      </w:r>
      <w:r w:rsidRPr="002F75F9">
        <w:rPr>
          <w:bCs/>
        </w:rPr>
        <w:t>2012) authori</w:t>
      </w:r>
      <w:r>
        <w:rPr>
          <w:bCs/>
        </w:rPr>
        <w:t>z</w:t>
      </w:r>
      <w:r w:rsidRPr="002F75F9">
        <w:rPr>
          <w:bCs/>
        </w:rPr>
        <w:t>e the use of potentially lethal force in situations not limited to protecting life or preventing serious injury from an imminent threat, and hence are not consistent with international human rights standards on the use of force. The Committee is also</w:t>
      </w:r>
      <w:r>
        <w:rPr>
          <w:bCs/>
        </w:rPr>
        <w:t xml:space="preserve"> </w:t>
      </w:r>
      <w:r w:rsidRPr="002F75F9">
        <w:rPr>
          <w:bCs/>
        </w:rPr>
        <w:t xml:space="preserve">concerned at the reported prevalence of excessive use of force by the Namibian Police Force, including violations of the right to life, and regrets the lack of information provided by the State party </w:t>
      </w:r>
      <w:proofErr w:type="gramStart"/>
      <w:r>
        <w:rPr>
          <w:bCs/>
        </w:rPr>
        <w:t>with</w:t>
      </w:r>
      <w:r w:rsidRPr="002F75F9">
        <w:rPr>
          <w:bCs/>
        </w:rPr>
        <w:t xml:space="preserve"> regard to</w:t>
      </w:r>
      <w:proofErr w:type="gramEnd"/>
      <w:r w:rsidRPr="002F75F9">
        <w:rPr>
          <w:bCs/>
        </w:rPr>
        <w:t xml:space="preserve"> complaints received, investigations undertaken, sanctions handed down to perpetrators and compensation provided to victims and their families (arts. 2 and 6).</w:t>
      </w:r>
    </w:p>
    <w:p w14:paraId="7E9ADBBC" w14:textId="77777777" w:rsidR="000C047D" w:rsidRPr="002F75F9" w:rsidRDefault="000C047D" w:rsidP="000C047D">
      <w:pPr>
        <w:pStyle w:val="SingleTxtG"/>
        <w:rPr>
          <w:b/>
        </w:rPr>
      </w:pPr>
      <w:r w:rsidRPr="00FB2865">
        <w:rPr>
          <w:bCs/>
        </w:rPr>
        <w:t>17.</w:t>
      </w:r>
      <w:r w:rsidRPr="002F75F9">
        <w:rPr>
          <w:b/>
        </w:rPr>
        <w:tab/>
        <w:t>The State party should take additional measures to effectively prevent and punish the excessive use of force by law enforcement officers, including by:</w:t>
      </w:r>
    </w:p>
    <w:p w14:paraId="15ECAAB8" w14:textId="72AB5430" w:rsidR="000C047D" w:rsidRPr="00FB2865" w:rsidRDefault="00FB2865" w:rsidP="00FB2865">
      <w:pPr>
        <w:pStyle w:val="SingleTxtG"/>
        <w:rPr>
          <w:b/>
          <w:bCs/>
        </w:rPr>
      </w:pPr>
      <w:r>
        <w:lastRenderedPageBreak/>
        <w:tab/>
      </w:r>
      <w:r w:rsidR="000C047D" w:rsidRPr="00FB2865">
        <w:t>(a)</w:t>
      </w:r>
      <w:r w:rsidR="000C047D" w:rsidRPr="00FB2865">
        <w:rPr>
          <w:b/>
          <w:bCs/>
        </w:rPr>
        <w:tab/>
        <w:t>Ensuring that all legislative and regulatory provisions governing the use of force are in line with the Basic Principles on the Use of Force and Firearms by Law Enforcement Officials, the United Nations Human Rights Guidance on Less-Lethal Weapons in Law Enforcement and the Committee</w:t>
      </w:r>
      <w:r w:rsidR="003F264E" w:rsidRPr="00FB2865">
        <w:rPr>
          <w:b/>
          <w:bCs/>
        </w:rPr>
        <w:t>’</w:t>
      </w:r>
      <w:r w:rsidR="000C047D" w:rsidRPr="00FB2865">
        <w:rPr>
          <w:b/>
          <w:bCs/>
        </w:rPr>
        <w:t>s general comment No. 36 (2018), which establish a requirement that law enforcement officers use potentially lethal force only when strictly necessary in order to protect life or prevent serious injury from an imminent threat;</w:t>
      </w:r>
    </w:p>
    <w:p w14:paraId="335E0C38" w14:textId="31C9A921" w:rsidR="000C047D" w:rsidRPr="00FB2865" w:rsidRDefault="00FB2865" w:rsidP="00FB2865">
      <w:pPr>
        <w:pStyle w:val="SingleTxtG"/>
        <w:rPr>
          <w:b/>
          <w:bCs/>
        </w:rPr>
      </w:pPr>
      <w:r>
        <w:tab/>
      </w:r>
      <w:r w:rsidR="000C047D" w:rsidRPr="00FB2865">
        <w:t>(b)</w:t>
      </w:r>
      <w:r w:rsidR="000C047D" w:rsidRPr="00FB2865">
        <w:tab/>
      </w:r>
      <w:r w:rsidR="000C047D" w:rsidRPr="00FB2865">
        <w:rPr>
          <w:b/>
          <w:bCs/>
        </w:rPr>
        <w:t xml:space="preserve">Introducing procedures to guarantee that law enforcement operations are properly planned and conducted, </w:t>
      </w:r>
      <w:proofErr w:type="gramStart"/>
      <w:r w:rsidR="000C047D" w:rsidRPr="00FB2865">
        <w:rPr>
          <w:b/>
          <w:bCs/>
        </w:rPr>
        <w:t>in order to</w:t>
      </w:r>
      <w:proofErr w:type="gramEnd"/>
      <w:r w:rsidR="000C047D" w:rsidRPr="00FB2865">
        <w:rPr>
          <w:b/>
          <w:bCs/>
        </w:rPr>
        <w:t xml:space="preserve"> minimize the risks to human life;</w:t>
      </w:r>
    </w:p>
    <w:p w14:paraId="3A077CBD" w14:textId="206A1BDA" w:rsidR="000C047D" w:rsidRPr="00FB2865" w:rsidRDefault="00FB2865" w:rsidP="00FB2865">
      <w:pPr>
        <w:pStyle w:val="SingleTxtG"/>
        <w:rPr>
          <w:b/>
          <w:bCs/>
        </w:rPr>
      </w:pPr>
      <w:r>
        <w:tab/>
      </w:r>
      <w:r w:rsidR="000C047D" w:rsidRPr="00FB2865">
        <w:t>(c)</w:t>
      </w:r>
      <w:r w:rsidR="000C047D" w:rsidRPr="00FB2865">
        <w:tab/>
      </w:r>
      <w:r w:rsidR="000C047D" w:rsidRPr="00FB2865">
        <w:rPr>
          <w:b/>
          <w:bCs/>
        </w:rPr>
        <w:t xml:space="preserve">Ensuring that all reports of excessive use of force by law enforcement officers are investigated promptly, </w:t>
      </w:r>
      <w:proofErr w:type="gramStart"/>
      <w:r w:rsidR="000C047D" w:rsidRPr="00FB2865">
        <w:rPr>
          <w:b/>
          <w:bCs/>
        </w:rPr>
        <w:t>effectively</w:t>
      </w:r>
      <w:proofErr w:type="gramEnd"/>
      <w:r w:rsidR="000C047D" w:rsidRPr="00FB2865">
        <w:rPr>
          <w:b/>
          <w:bCs/>
        </w:rPr>
        <w:t xml:space="preserve"> and impartially, perpetrators are prosecuted and, if convicted, appropriate penalties are imposed, and that adequate remedies are provided to victims of violations;</w:t>
      </w:r>
    </w:p>
    <w:p w14:paraId="4C492192" w14:textId="21BB2AE7" w:rsidR="000C047D" w:rsidRPr="00FB2865" w:rsidRDefault="00FB2865" w:rsidP="00FB2865">
      <w:pPr>
        <w:pStyle w:val="SingleTxtG"/>
        <w:rPr>
          <w:b/>
          <w:bCs/>
        </w:rPr>
      </w:pPr>
      <w:r>
        <w:tab/>
      </w:r>
      <w:r w:rsidR="000C047D" w:rsidRPr="00FB2865">
        <w:t>(d)</w:t>
      </w:r>
      <w:r w:rsidR="000C047D" w:rsidRPr="00FB2865">
        <w:tab/>
      </w:r>
      <w:r w:rsidR="000C047D" w:rsidRPr="00FB2865">
        <w:rPr>
          <w:b/>
          <w:bCs/>
        </w:rPr>
        <w:t>Establishing an independent mechanism to investigate claims of serious misconduct, including excessive use of force, by all agents of the State tasked with law enforcement responsibilities;</w:t>
      </w:r>
    </w:p>
    <w:p w14:paraId="2C99BFBF" w14:textId="246995F1" w:rsidR="000C047D" w:rsidRPr="00FB2865" w:rsidRDefault="00FB2865" w:rsidP="00FB2865">
      <w:pPr>
        <w:pStyle w:val="SingleTxtG"/>
        <w:rPr>
          <w:b/>
          <w:bCs/>
        </w:rPr>
      </w:pPr>
      <w:r>
        <w:tab/>
      </w:r>
      <w:r w:rsidR="000C047D" w:rsidRPr="00FB2865">
        <w:t>(e)</w:t>
      </w:r>
      <w:r w:rsidR="000C047D" w:rsidRPr="00FB2865">
        <w:tab/>
      </w:r>
      <w:r w:rsidR="000C047D" w:rsidRPr="00FB2865">
        <w:rPr>
          <w:b/>
          <w:bCs/>
        </w:rPr>
        <w:t>Ensuring that all law enforcement officers systematically receive training on the use of force based on international human rights standards and that the principles of legality, necessity and proportionality are strictly adhered to in practice.</w:t>
      </w:r>
    </w:p>
    <w:p w14:paraId="215DD6D5" w14:textId="77777777" w:rsidR="000C047D" w:rsidRPr="002F75F9" w:rsidRDefault="000C047D" w:rsidP="000C047D">
      <w:pPr>
        <w:pStyle w:val="H23G"/>
      </w:pPr>
      <w:r w:rsidRPr="002F75F9">
        <w:tab/>
      </w:r>
      <w:r w:rsidRPr="002F75F9">
        <w:tab/>
        <w:t xml:space="preserve">Prohibition of torture and ill-treatment </w:t>
      </w:r>
    </w:p>
    <w:p w14:paraId="2807780E" w14:textId="60FA027D" w:rsidR="000C047D" w:rsidRPr="002F75F9" w:rsidRDefault="000C047D" w:rsidP="000C047D">
      <w:pPr>
        <w:pStyle w:val="SingleTxtG"/>
      </w:pPr>
      <w:r w:rsidRPr="002F75F9">
        <w:t>18.</w:t>
      </w:r>
      <w:r w:rsidRPr="002F75F9">
        <w:tab/>
        <w:t>The Committee welcomes the delegation</w:t>
      </w:r>
      <w:r w:rsidR="003F264E">
        <w:t>’</w:t>
      </w:r>
      <w:r w:rsidRPr="002F75F9">
        <w:t>s indication that the State party is committed to ensuring that the</w:t>
      </w:r>
      <w:r>
        <w:t xml:space="preserve"> bill on the</w:t>
      </w:r>
      <w:r w:rsidRPr="002F75F9">
        <w:t xml:space="preserve"> </w:t>
      </w:r>
      <w:r>
        <w:t>p</w:t>
      </w:r>
      <w:r w:rsidRPr="002F75F9">
        <w:t xml:space="preserve">revention and </w:t>
      </w:r>
      <w:r>
        <w:t>c</w:t>
      </w:r>
      <w:r w:rsidRPr="002F75F9">
        <w:t xml:space="preserve">ombating of </w:t>
      </w:r>
      <w:r>
        <w:t>t</w:t>
      </w:r>
      <w:r w:rsidRPr="002F75F9">
        <w:t xml:space="preserve">orture will be consistent with international standards, including </w:t>
      </w:r>
      <w:proofErr w:type="gramStart"/>
      <w:r w:rsidRPr="002F75F9">
        <w:t>with regard to</w:t>
      </w:r>
      <w:proofErr w:type="gramEnd"/>
      <w:r w:rsidRPr="002F75F9">
        <w:t xml:space="preserve"> its definition of torture. However</w:t>
      </w:r>
      <w:r>
        <w:t>,</w:t>
      </w:r>
      <w:r w:rsidRPr="002F75F9">
        <w:t xml:space="preserve"> it is concerned about the very long delay in finali</w:t>
      </w:r>
      <w:r>
        <w:t>z</w:t>
      </w:r>
      <w:r w:rsidRPr="002F75F9">
        <w:t xml:space="preserve">ing and enacting the </w:t>
      </w:r>
      <w:r>
        <w:t>b</w:t>
      </w:r>
      <w:r w:rsidRPr="002F75F9">
        <w:t>ill. The Committee remains alarmed by continued reports that members of the police force regularly detain and rape sex workers and that victims do not report these crimes due to fear of prosecution for prostitution and fear of reprisals. The Committee regrets the lack of comprehensive, disaggregated information on complaints of torture and ill-treatment filed against the Namibian Police Force,</w:t>
      </w:r>
      <w:r>
        <w:t xml:space="preserve"> the</w:t>
      </w:r>
      <w:r w:rsidRPr="002F75F9">
        <w:t xml:space="preserve"> Namibian Defence </w:t>
      </w:r>
      <w:proofErr w:type="gramStart"/>
      <w:r w:rsidRPr="002F75F9">
        <w:t>Force</w:t>
      </w:r>
      <w:proofErr w:type="gramEnd"/>
      <w:r w:rsidRPr="002F75F9">
        <w:t xml:space="preserve"> and </w:t>
      </w:r>
      <w:r>
        <w:t xml:space="preserve">the </w:t>
      </w:r>
      <w:r w:rsidRPr="002F75F9">
        <w:t xml:space="preserve">Namibian Correctional Service, including details of investigations undertaken, sanctions handed down and redress provided to victims. The Committee is also concerned </w:t>
      </w:r>
      <w:r>
        <w:t>that</w:t>
      </w:r>
      <w:r w:rsidRPr="002F75F9">
        <w:t xml:space="preserve"> the Office of the Ombudsman </w:t>
      </w:r>
      <w:r>
        <w:t xml:space="preserve">lacks sufficient resources </w:t>
      </w:r>
      <w:r w:rsidRPr="002F75F9">
        <w:t>to visit places of detention</w:t>
      </w:r>
      <w:r>
        <w:t xml:space="preserve"> </w:t>
      </w:r>
      <w:proofErr w:type="gramStart"/>
      <w:r>
        <w:t>in order</w:t>
      </w:r>
      <w:r w:rsidRPr="002F75F9">
        <w:t xml:space="preserve"> to</w:t>
      </w:r>
      <w:proofErr w:type="gramEnd"/>
      <w:r w:rsidRPr="002F75F9">
        <w:t xml:space="preserve"> monitor detention conditions in the absence of an independent </w:t>
      </w:r>
      <w:r>
        <w:t>n</w:t>
      </w:r>
      <w:r w:rsidRPr="002F75F9">
        <w:t xml:space="preserve">ational </w:t>
      </w:r>
      <w:r>
        <w:t>p</w:t>
      </w:r>
      <w:r w:rsidRPr="002F75F9">
        <w:t xml:space="preserve">reventive </w:t>
      </w:r>
      <w:r>
        <w:t>m</w:t>
      </w:r>
      <w:r w:rsidRPr="002F75F9">
        <w:t xml:space="preserve">echanism in the </w:t>
      </w:r>
      <w:r>
        <w:t>country</w:t>
      </w:r>
      <w:r w:rsidRPr="002F75F9" w:rsidDel="00A42190">
        <w:t xml:space="preserve"> </w:t>
      </w:r>
      <w:r w:rsidRPr="002F75F9" w:rsidDel="006F0D3B">
        <w:t>(arts. 2, 7, 10 and</w:t>
      </w:r>
      <w:r w:rsidR="00DE127C">
        <w:t> </w:t>
      </w:r>
      <w:r w:rsidRPr="002F75F9" w:rsidDel="006F0D3B">
        <w:t>26)</w:t>
      </w:r>
      <w:r w:rsidRPr="002F75F9">
        <w:t>.</w:t>
      </w:r>
    </w:p>
    <w:p w14:paraId="41958049" w14:textId="77777777" w:rsidR="000C047D" w:rsidRPr="002F75F9" w:rsidRDefault="000C047D" w:rsidP="000C047D">
      <w:pPr>
        <w:pStyle w:val="SingleTxtG"/>
        <w:rPr>
          <w:b/>
        </w:rPr>
      </w:pPr>
      <w:r w:rsidRPr="002F75F9">
        <w:t>19.</w:t>
      </w:r>
      <w:r w:rsidRPr="002F75F9">
        <w:rPr>
          <w:b/>
        </w:rPr>
        <w:tab/>
        <w:t>The State party should:</w:t>
      </w:r>
    </w:p>
    <w:p w14:paraId="1F674A23" w14:textId="32DE14C9" w:rsidR="000C047D" w:rsidRPr="00C978DB" w:rsidRDefault="000C047D" w:rsidP="00C54D4F">
      <w:pPr>
        <w:pStyle w:val="SingleTxtG"/>
        <w:rPr>
          <w:b/>
          <w:bCs/>
        </w:rPr>
      </w:pPr>
      <w:r w:rsidRPr="00C54D4F">
        <w:tab/>
        <w:t>(a)</w:t>
      </w:r>
      <w:r w:rsidRPr="00C54D4F">
        <w:tab/>
      </w:r>
      <w:r w:rsidRPr="00C978DB">
        <w:rPr>
          <w:b/>
          <w:bCs/>
        </w:rPr>
        <w:t>Finalize the drafting of the bill on the prevention and combating of torture and pass it into law as a matter of priority;</w:t>
      </w:r>
    </w:p>
    <w:p w14:paraId="5893DD7B" w14:textId="0CD03C90" w:rsidR="000C047D" w:rsidRPr="00C978DB" w:rsidRDefault="00C978DB" w:rsidP="00C54D4F">
      <w:pPr>
        <w:pStyle w:val="SingleTxtG"/>
        <w:rPr>
          <w:b/>
          <w:bCs/>
        </w:rPr>
      </w:pPr>
      <w:r>
        <w:tab/>
      </w:r>
      <w:r w:rsidR="000C047D" w:rsidRPr="00C54D4F">
        <w:t>(b)</w:t>
      </w:r>
      <w:r w:rsidR="000C047D" w:rsidRPr="00C54D4F">
        <w:tab/>
      </w:r>
      <w:r w:rsidR="000C047D" w:rsidRPr="00C978DB">
        <w:rPr>
          <w:b/>
          <w:bCs/>
        </w:rPr>
        <w:t>Ensure that sex workers can report crimes committed against them by law enforcement officers without the risk of being prosecuted for prostitution and without fear of reprisals;</w:t>
      </w:r>
    </w:p>
    <w:p w14:paraId="3BA49D70" w14:textId="1D4D1A0C" w:rsidR="000C047D" w:rsidRPr="00C978DB" w:rsidRDefault="00C978DB" w:rsidP="00C54D4F">
      <w:pPr>
        <w:pStyle w:val="SingleTxtG"/>
        <w:rPr>
          <w:b/>
          <w:bCs/>
        </w:rPr>
      </w:pPr>
      <w:r>
        <w:tab/>
      </w:r>
      <w:r w:rsidR="000C047D" w:rsidRPr="00C54D4F">
        <w:t>(c)</w:t>
      </w:r>
      <w:r w:rsidR="000C047D" w:rsidRPr="00C978DB">
        <w:rPr>
          <w:b/>
          <w:bCs/>
        </w:rPr>
        <w:tab/>
        <w:t xml:space="preserve">Take all measures necessary to prevent torture and inhuman or degrading treatment or punishment, including by strengthening the human rights training provided to judges, </w:t>
      </w:r>
      <w:proofErr w:type="gramStart"/>
      <w:r w:rsidR="000C047D" w:rsidRPr="00C978DB">
        <w:rPr>
          <w:b/>
          <w:bCs/>
        </w:rPr>
        <w:t>prosecutors</w:t>
      </w:r>
      <w:proofErr w:type="gramEnd"/>
      <w:r w:rsidR="000C047D" w:rsidRPr="00C978DB">
        <w:rPr>
          <w:b/>
          <w:bCs/>
        </w:rPr>
        <w:t xml:space="preserve"> and law enforcement officials, including on the Principles on Effective Interviewing for Investigations and Information-Gathering (the Méndez Principles);</w:t>
      </w:r>
    </w:p>
    <w:p w14:paraId="35389ECA" w14:textId="31ED0B16" w:rsidR="000C047D" w:rsidRPr="00C978DB" w:rsidRDefault="00C978DB" w:rsidP="00C54D4F">
      <w:pPr>
        <w:pStyle w:val="SingleTxtG"/>
        <w:rPr>
          <w:b/>
          <w:bCs/>
        </w:rPr>
      </w:pPr>
      <w:r>
        <w:tab/>
      </w:r>
      <w:r w:rsidR="000C047D" w:rsidRPr="00C54D4F">
        <w:t>(d)</w:t>
      </w:r>
      <w:r w:rsidR="000C047D" w:rsidRPr="00C54D4F">
        <w:tab/>
      </w:r>
      <w:r w:rsidR="000C047D" w:rsidRPr="00C978DB">
        <w:rPr>
          <w:b/>
          <w:bCs/>
        </w:rPr>
        <w:t>Ensure that all cases of torture and ill-treatment are promptly, independently and thoroughly investigated by an independent mechanism in accordance with the Manual on the Effective Investigation and Documentation of Torture and Other Cruel, Inhuman or Degrading Treatment or Punishment (Istanbul Protocol) and the Minnesota Protocol on the Investigation of Potentially Unlawful Death, that perpetrators are prosecuted and, if found guilty, punished commensurately with the gravity of the crime, and that victims receive full reparations;</w:t>
      </w:r>
    </w:p>
    <w:p w14:paraId="583081B3" w14:textId="3EC4D10D" w:rsidR="000C047D" w:rsidRPr="00C978DB" w:rsidRDefault="000C047D" w:rsidP="00C54D4F">
      <w:pPr>
        <w:pStyle w:val="SingleTxtG"/>
        <w:rPr>
          <w:b/>
          <w:bCs/>
        </w:rPr>
      </w:pPr>
      <w:r w:rsidRPr="00C54D4F">
        <w:lastRenderedPageBreak/>
        <w:tab/>
        <w:t>(e)</w:t>
      </w:r>
      <w:r w:rsidRPr="00C978DB">
        <w:rPr>
          <w:b/>
          <w:bCs/>
        </w:rPr>
        <w:tab/>
        <w:t>Provide the Office of the Ombudsman with a clearly defined mandate to monitor detention conditions and treatment of detained persons in all places of deprivation of liberty, and ensure that it is provided with adequate resources for that purpose;</w:t>
      </w:r>
    </w:p>
    <w:p w14:paraId="57EC9375" w14:textId="1F94B944" w:rsidR="000C047D" w:rsidRPr="00C978DB" w:rsidRDefault="00C978DB" w:rsidP="00C54D4F">
      <w:pPr>
        <w:pStyle w:val="SingleTxtG"/>
        <w:rPr>
          <w:b/>
          <w:bCs/>
        </w:rPr>
      </w:pPr>
      <w:r>
        <w:tab/>
      </w:r>
      <w:r w:rsidR="000C047D" w:rsidRPr="00C54D4F">
        <w:t>(f)</w:t>
      </w:r>
      <w:r w:rsidR="000C047D" w:rsidRPr="00C54D4F">
        <w:tab/>
      </w:r>
      <w:r w:rsidR="000C047D" w:rsidRPr="00C978DB">
        <w:rPr>
          <w:b/>
          <w:bCs/>
        </w:rPr>
        <w:t>Consider ratifying the Optional Protocol to the Convention against Torture and Other Cruel, Inhuman and Degrading Treatment or Punishment, and establishing a national preventive mechanism.</w:t>
      </w:r>
    </w:p>
    <w:p w14:paraId="29E1CAC5" w14:textId="77777777" w:rsidR="000C047D" w:rsidRPr="002F75F9" w:rsidRDefault="000C047D" w:rsidP="000C047D">
      <w:pPr>
        <w:pStyle w:val="H23G"/>
      </w:pPr>
      <w:r w:rsidRPr="002F75F9">
        <w:tab/>
      </w:r>
      <w:r w:rsidRPr="002F75F9">
        <w:tab/>
        <w:t>Trafficking in persons and child labour</w:t>
      </w:r>
    </w:p>
    <w:p w14:paraId="562CA42F" w14:textId="77777777" w:rsidR="000C047D" w:rsidRPr="002F75F9" w:rsidRDefault="000C047D" w:rsidP="000C047D">
      <w:pPr>
        <w:pStyle w:val="SingleTxtG"/>
      </w:pPr>
      <w:r w:rsidRPr="002F75F9">
        <w:t>20.</w:t>
      </w:r>
      <w:r w:rsidRPr="002F75F9">
        <w:tab/>
        <w:t xml:space="preserve">The Committee acknowledges the significant steps taken by the State party to establish a comprehensive legislative, </w:t>
      </w:r>
      <w:proofErr w:type="gramStart"/>
      <w:r w:rsidRPr="002F75F9">
        <w:t>policy</w:t>
      </w:r>
      <w:proofErr w:type="gramEnd"/>
      <w:r w:rsidRPr="002F75F9">
        <w:t xml:space="preserve"> and institutional framework to combat trafficking in persons, including the adoption</w:t>
      </w:r>
      <w:r>
        <w:t>, in 2018,</w:t>
      </w:r>
      <w:r w:rsidRPr="002F75F9">
        <w:t xml:space="preserve"> of the Combating of Trafficking in Persons Act</w:t>
      </w:r>
      <w:r>
        <w:t xml:space="preserve"> </w:t>
      </w:r>
      <w:r w:rsidRPr="002F75F9">
        <w:t>and the launch</w:t>
      </w:r>
      <w:r>
        <w:t>,</w:t>
      </w:r>
      <w:r w:rsidRPr="002F75F9">
        <w:t xml:space="preserve"> in March 2019</w:t>
      </w:r>
      <w:r>
        <w:t>,</w:t>
      </w:r>
      <w:r w:rsidRPr="002F75F9">
        <w:t xml:space="preserve"> of </w:t>
      </w:r>
      <w:r>
        <w:t>the</w:t>
      </w:r>
      <w:r w:rsidRPr="002F75F9">
        <w:t xml:space="preserve"> </w:t>
      </w:r>
      <w:r>
        <w:t>n</w:t>
      </w:r>
      <w:r w:rsidRPr="002F75F9">
        <w:t xml:space="preserve">ational </w:t>
      </w:r>
      <w:r>
        <w:t>r</w:t>
      </w:r>
      <w:r w:rsidRPr="002F75F9">
        <w:t xml:space="preserve">eferral </w:t>
      </w:r>
      <w:r>
        <w:t>m</w:t>
      </w:r>
      <w:r w:rsidRPr="002F75F9">
        <w:t xml:space="preserve">echanism and </w:t>
      </w:r>
      <w:r>
        <w:t>s</w:t>
      </w:r>
      <w:r w:rsidRPr="002F75F9">
        <w:t xml:space="preserve">tandard </w:t>
      </w:r>
      <w:r>
        <w:t>o</w:t>
      </w:r>
      <w:r w:rsidRPr="002F75F9">
        <w:t xml:space="preserve">perating </w:t>
      </w:r>
      <w:r>
        <w:t>p</w:t>
      </w:r>
      <w:r w:rsidRPr="002F75F9">
        <w:t xml:space="preserve">rocedures </w:t>
      </w:r>
      <w:r>
        <w:t>for the identification, protection, referral and safe return of victims of trafficking</w:t>
      </w:r>
      <w:r w:rsidRPr="002F75F9">
        <w:t>. The Committee is nonetheless concerned that trafficking in persons for the purpose of forced labour and sexual exploitation remains prevalent, particularly from neighbouring countries</w:t>
      </w:r>
      <w:r>
        <w:t>,</w:t>
      </w:r>
      <w:r w:rsidRPr="002F75F9">
        <w:t xml:space="preserve"> and that the number of prosecutions and convictions against perpetrators is seemingly low. The Committee is also concerned by the low number of victims identified, despite rel</w:t>
      </w:r>
      <w:r>
        <w:t>ated</w:t>
      </w:r>
      <w:r w:rsidRPr="002F75F9">
        <w:t xml:space="preserve"> measures being implemented</w:t>
      </w:r>
      <w:r>
        <w:t>,</w:t>
      </w:r>
      <w:r w:rsidRPr="002F75F9">
        <w:t xml:space="preserve"> including training for relevant actors and awareness</w:t>
      </w:r>
      <w:r>
        <w:t>-raising</w:t>
      </w:r>
      <w:r w:rsidRPr="002F75F9">
        <w:t xml:space="preserve"> campaigns. It furthermore notes with concern the continued prevalence of </w:t>
      </w:r>
      <w:r w:rsidRPr="002F75F9">
        <w:rPr>
          <w:lang w:bidi="en-US"/>
        </w:rPr>
        <w:t xml:space="preserve">child labour and regrets the lack of information provided on measures taken to strengthen the labour inspection regime in rural and remote areas, </w:t>
      </w:r>
      <w:r>
        <w:rPr>
          <w:lang w:bidi="en-US"/>
        </w:rPr>
        <w:t xml:space="preserve">on </w:t>
      </w:r>
      <w:r w:rsidRPr="002F75F9">
        <w:rPr>
          <w:lang w:bidi="en-US"/>
        </w:rPr>
        <w:t xml:space="preserve">the number of victims of violations identified during inspections and </w:t>
      </w:r>
      <w:r>
        <w:rPr>
          <w:lang w:bidi="en-US"/>
        </w:rPr>
        <w:t xml:space="preserve">on </w:t>
      </w:r>
      <w:r w:rsidRPr="002F75F9">
        <w:rPr>
          <w:lang w:bidi="en-US"/>
        </w:rPr>
        <w:t>whether their cases have led to prosecutions and convictions under the Labour Act and the Child Care and Protection Act</w:t>
      </w:r>
      <w:r>
        <w:rPr>
          <w:lang w:bidi="en-US"/>
        </w:rPr>
        <w:t xml:space="preserve"> (Act No. 3 of 2015)</w:t>
      </w:r>
      <w:r w:rsidRPr="002F75F9">
        <w:rPr>
          <w:lang w:bidi="en-US"/>
        </w:rPr>
        <w:t xml:space="preserve"> (arts. 3, 7, 8 and 24).</w:t>
      </w:r>
    </w:p>
    <w:p w14:paraId="09A376E5" w14:textId="4A8C88DE" w:rsidR="000C047D" w:rsidRPr="002F75F9" w:rsidRDefault="000C047D" w:rsidP="000C047D">
      <w:pPr>
        <w:pStyle w:val="SingleTxtG"/>
      </w:pPr>
      <w:r w:rsidRPr="002F75F9">
        <w:t>21.</w:t>
      </w:r>
      <w:r w:rsidRPr="002F75F9">
        <w:tab/>
      </w:r>
      <w:r w:rsidRPr="002F75F9">
        <w:rPr>
          <w:b/>
        </w:rPr>
        <w:t>The State party should ensure that existing frameworks to combat trafficking in persons are implemented effectively, including through enhanced identification of victims, systematic prosecution of perpetrators and the provision of gender</w:t>
      </w:r>
      <w:r>
        <w:rPr>
          <w:b/>
        </w:rPr>
        <w:t>-</w:t>
      </w:r>
      <w:r w:rsidRPr="002F75F9">
        <w:rPr>
          <w:b/>
        </w:rPr>
        <w:t xml:space="preserve"> and age</w:t>
      </w:r>
      <w:r w:rsidR="009B318B">
        <w:rPr>
          <w:b/>
        </w:rPr>
        <w:noBreakHyphen/>
      </w:r>
      <w:r w:rsidRPr="002F75F9">
        <w:rPr>
          <w:b/>
        </w:rPr>
        <w:t xml:space="preserve">sensitive measures to protect, rehabilitate and compensate victims. Furthermore, the State party should strengthen the labour inspection regime, </w:t>
      </w:r>
      <w:proofErr w:type="gramStart"/>
      <w:r>
        <w:rPr>
          <w:b/>
        </w:rPr>
        <w:t>in particular</w:t>
      </w:r>
      <w:r w:rsidRPr="002F75F9">
        <w:rPr>
          <w:b/>
        </w:rPr>
        <w:t xml:space="preserve"> by</w:t>
      </w:r>
      <w:proofErr w:type="gramEnd"/>
      <w:r w:rsidRPr="002F75F9">
        <w:rPr>
          <w:b/>
        </w:rPr>
        <w:t xml:space="preserve"> increasing </w:t>
      </w:r>
      <w:r>
        <w:rPr>
          <w:b/>
        </w:rPr>
        <w:t xml:space="preserve">its </w:t>
      </w:r>
      <w:r w:rsidRPr="002F75F9">
        <w:rPr>
          <w:b/>
        </w:rPr>
        <w:t xml:space="preserve">capacity to carry out inspections in rural and remote areas, including </w:t>
      </w:r>
      <w:r>
        <w:rPr>
          <w:b/>
        </w:rPr>
        <w:t xml:space="preserve">on </w:t>
      </w:r>
      <w:r w:rsidRPr="002F75F9">
        <w:rPr>
          <w:b/>
        </w:rPr>
        <w:t xml:space="preserve">private farms, and ensure </w:t>
      </w:r>
      <w:r>
        <w:rPr>
          <w:b/>
        </w:rPr>
        <w:t xml:space="preserve">that </w:t>
      </w:r>
      <w:r w:rsidRPr="002F75F9">
        <w:rPr>
          <w:b/>
        </w:rPr>
        <w:t>perpetrators of prohibited forms of child labour are prosecuted and</w:t>
      </w:r>
      <w:r>
        <w:rPr>
          <w:b/>
        </w:rPr>
        <w:t>,</w:t>
      </w:r>
      <w:r w:rsidRPr="002F75F9">
        <w:rPr>
          <w:b/>
        </w:rPr>
        <w:t xml:space="preserve"> if found guilty, punished commensurately with the gravity of the crime, and </w:t>
      </w:r>
      <w:r>
        <w:rPr>
          <w:b/>
        </w:rPr>
        <w:t xml:space="preserve">that </w:t>
      </w:r>
      <w:r w:rsidRPr="002F75F9">
        <w:rPr>
          <w:b/>
        </w:rPr>
        <w:t>victims receive full and age-sensitive reparations.</w:t>
      </w:r>
    </w:p>
    <w:p w14:paraId="5F14DE2B" w14:textId="77777777" w:rsidR="000C047D" w:rsidRPr="002F75F9" w:rsidRDefault="000C047D" w:rsidP="000C047D">
      <w:pPr>
        <w:pStyle w:val="H23G"/>
      </w:pPr>
      <w:r>
        <w:tab/>
      </w:r>
      <w:r>
        <w:tab/>
      </w:r>
      <w:r w:rsidRPr="002F75F9">
        <w:t xml:space="preserve">Police custody and pretrial detention </w:t>
      </w:r>
    </w:p>
    <w:p w14:paraId="3E9C138E" w14:textId="22CEFBA2" w:rsidR="000C047D" w:rsidRPr="002F75F9" w:rsidRDefault="000C047D" w:rsidP="000C047D">
      <w:pPr>
        <w:pStyle w:val="SingleTxtG"/>
      </w:pPr>
      <w:r w:rsidRPr="002F75F9">
        <w:t>22.</w:t>
      </w:r>
      <w:r w:rsidRPr="002F75F9">
        <w:tab/>
        <w:t xml:space="preserve">The Committee notes with concern the excessive recourse to pretrial detention in the State party and its frequently excessive duration due, </w:t>
      </w:r>
      <w:r w:rsidRPr="0054799D">
        <w:rPr>
          <w:iCs/>
        </w:rPr>
        <w:t>inter alia,</w:t>
      </w:r>
      <w:r w:rsidRPr="002F75F9">
        <w:t xml:space="preserve"> to systemic shortcomings in the justice system. The Committee notes the information provided by the State party regarding legal provision for access to bail but is concerned at reports that bail is often unaffordable for those entitled to it (arts. 9 and 14).</w:t>
      </w:r>
      <w:r w:rsidR="003F264E">
        <w:t xml:space="preserve"> </w:t>
      </w:r>
    </w:p>
    <w:p w14:paraId="04A6F2B3" w14:textId="5726CDAD" w:rsidR="000C047D" w:rsidRPr="002F75F9" w:rsidRDefault="000C047D" w:rsidP="000C047D">
      <w:pPr>
        <w:pStyle w:val="SingleTxtG"/>
        <w:rPr>
          <w:b/>
          <w:bCs/>
        </w:rPr>
      </w:pPr>
      <w:r w:rsidRPr="002F75F9">
        <w:t>23.</w:t>
      </w:r>
      <w:r w:rsidRPr="002F75F9">
        <w:tab/>
      </w:r>
      <w:r w:rsidRPr="002F75F9">
        <w:rPr>
          <w:b/>
          <w:bCs/>
        </w:rPr>
        <w:t>In the light of the Committee</w:t>
      </w:r>
      <w:r w:rsidR="003F264E">
        <w:rPr>
          <w:b/>
          <w:bCs/>
        </w:rPr>
        <w:t>’</w:t>
      </w:r>
      <w:r w:rsidRPr="002F75F9">
        <w:rPr>
          <w:b/>
          <w:bCs/>
        </w:rPr>
        <w:t>s general comment No. 35 (2014) on liberty and security of person, the State party should:</w:t>
      </w:r>
    </w:p>
    <w:p w14:paraId="13B974C7" w14:textId="77E063A7" w:rsidR="000C047D" w:rsidRPr="0097539A" w:rsidRDefault="0097539A" w:rsidP="0097539A">
      <w:pPr>
        <w:pStyle w:val="SingleTxtG"/>
        <w:rPr>
          <w:b/>
          <w:bCs/>
        </w:rPr>
      </w:pPr>
      <w:r>
        <w:tab/>
      </w:r>
      <w:r w:rsidR="000C047D" w:rsidRPr="0097539A">
        <w:t>(a)</w:t>
      </w:r>
      <w:r w:rsidR="000C047D" w:rsidRPr="0097539A">
        <w:rPr>
          <w:b/>
          <w:bCs/>
        </w:rPr>
        <w:tab/>
        <w:t xml:space="preserve">Ensure that pretrial detention is used only as an exceptional measure and for as short a time as possible; </w:t>
      </w:r>
    </w:p>
    <w:p w14:paraId="4CC1AF2A" w14:textId="0AC2CDE6" w:rsidR="000C047D" w:rsidRPr="0097539A" w:rsidRDefault="0097539A" w:rsidP="0097539A">
      <w:pPr>
        <w:pStyle w:val="SingleTxtG"/>
        <w:rPr>
          <w:b/>
          <w:bCs/>
        </w:rPr>
      </w:pPr>
      <w:r>
        <w:tab/>
      </w:r>
      <w:r w:rsidR="000C047D" w:rsidRPr="0097539A">
        <w:t>(b)</w:t>
      </w:r>
      <w:r w:rsidR="000C047D" w:rsidRPr="0097539A">
        <w:rPr>
          <w:b/>
          <w:bCs/>
        </w:rPr>
        <w:tab/>
        <w:t>Increase the availability of and recourse to alternatives to pretrial detention in accordance with the United Nations Standard Minimum Rules for Non</w:t>
      </w:r>
      <w:r w:rsidR="00DE127C">
        <w:rPr>
          <w:b/>
          <w:bCs/>
        </w:rPr>
        <w:noBreakHyphen/>
      </w:r>
      <w:r w:rsidR="000C047D" w:rsidRPr="0097539A">
        <w:rPr>
          <w:b/>
          <w:bCs/>
        </w:rPr>
        <w:t xml:space="preserve">custodial Measures (the Tokyo Rules), including when delays occur in complex investigations or trials; </w:t>
      </w:r>
    </w:p>
    <w:p w14:paraId="3D69B2ED" w14:textId="047ADCEA" w:rsidR="000C047D" w:rsidRPr="0097539A" w:rsidRDefault="0097539A" w:rsidP="0097539A">
      <w:pPr>
        <w:pStyle w:val="SingleTxtG"/>
        <w:rPr>
          <w:b/>
          <w:bCs/>
        </w:rPr>
      </w:pPr>
      <w:r>
        <w:tab/>
      </w:r>
      <w:r w:rsidR="000C047D" w:rsidRPr="0097539A">
        <w:t>(c)</w:t>
      </w:r>
      <w:r w:rsidR="000C047D" w:rsidRPr="0097539A">
        <w:rPr>
          <w:b/>
          <w:bCs/>
        </w:rPr>
        <w:tab/>
        <w:t xml:space="preserve">Review current bail conditions, most notably with a view to ensuring that bail is affordable to those entitled to it; </w:t>
      </w:r>
    </w:p>
    <w:p w14:paraId="1B0211AE" w14:textId="71BBDC76" w:rsidR="000C047D" w:rsidRPr="0097539A" w:rsidRDefault="0097539A" w:rsidP="0097539A">
      <w:pPr>
        <w:pStyle w:val="SingleTxtG"/>
        <w:rPr>
          <w:b/>
          <w:bCs/>
        </w:rPr>
      </w:pPr>
      <w:r>
        <w:tab/>
      </w:r>
      <w:r w:rsidR="000C047D" w:rsidRPr="0097539A">
        <w:t>(d)</w:t>
      </w:r>
      <w:r w:rsidR="000C047D" w:rsidRPr="0097539A">
        <w:rPr>
          <w:b/>
          <w:bCs/>
        </w:rPr>
        <w:tab/>
        <w:t xml:space="preserve">Address systemic shortcomings in the justice system, including through the streamlining of case management practices and the allocation of adequate human and financial resources, with a view to reducing delays and addressing the backlog of cases; </w:t>
      </w:r>
    </w:p>
    <w:p w14:paraId="396D030C" w14:textId="26290722" w:rsidR="000C047D" w:rsidRPr="0097539A" w:rsidRDefault="0097539A" w:rsidP="0097539A">
      <w:pPr>
        <w:pStyle w:val="SingleTxtG"/>
        <w:rPr>
          <w:b/>
          <w:bCs/>
        </w:rPr>
      </w:pPr>
      <w:r>
        <w:lastRenderedPageBreak/>
        <w:tab/>
      </w:r>
      <w:r w:rsidR="000C047D" w:rsidRPr="0097539A">
        <w:t>(e)</w:t>
      </w:r>
      <w:r w:rsidR="000C047D" w:rsidRPr="0097539A">
        <w:rPr>
          <w:b/>
          <w:bCs/>
        </w:rPr>
        <w:tab/>
        <w:t>Establish systematic judicial monitoring of the duration of pretrial detention and provide effective access to judicial review of the legality of detention and to remedies for those unlawfully held in custody beyond statutory limits.</w:t>
      </w:r>
    </w:p>
    <w:p w14:paraId="261ABE19" w14:textId="45B398F6" w:rsidR="000C047D" w:rsidRPr="002F75F9" w:rsidRDefault="000C047D" w:rsidP="000C047D">
      <w:pPr>
        <w:pStyle w:val="H23G"/>
      </w:pPr>
      <w:r>
        <w:tab/>
      </w:r>
      <w:r w:rsidRPr="002F75F9">
        <w:tab/>
        <w:t>Detention conditions</w:t>
      </w:r>
    </w:p>
    <w:p w14:paraId="6AFB9DA5" w14:textId="77777777" w:rsidR="000C047D" w:rsidRPr="002F75F9" w:rsidRDefault="000C047D" w:rsidP="000C047D">
      <w:pPr>
        <w:pStyle w:val="SingleTxtG"/>
      </w:pPr>
      <w:r w:rsidRPr="002F75F9">
        <w:t>24.</w:t>
      </w:r>
      <w:r w:rsidRPr="002F75F9">
        <w:tab/>
        <w:t xml:space="preserve">While noting the information provided by the State party on progress in renovating and constructing detention facilities, the Committee remains concerned about conditions of detention in the </w:t>
      </w:r>
      <w:r>
        <w:t>country</w:t>
      </w:r>
      <w:r w:rsidRPr="002F75F9">
        <w:t>, in particular the reportedly dire conditions in many police holding cells used for pretrial detention, including overcrowding, inadequate sanitation, nutrition and access to health</w:t>
      </w:r>
      <w:r>
        <w:t xml:space="preserve"> </w:t>
      </w:r>
      <w:r w:rsidRPr="002F75F9">
        <w:t>care, and reports of ill-treatment (art. 10).</w:t>
      </w:r>
    </w:p>
    <w:p w14:paraId="51DBB79B" w14:textId="77777777" w:rsidR="000C047D" w:rsidRPr="002F75F9" w:rsidRDefault="000C047D" w:rsidP="000C047D">
      <w:pPr>
        <w:pStyle w:val="SingleTxtG"/>
        <w:rPr>
          <w:b/>
        </w:rPr>
      </w:pPr>
      <w:r w:rsidRPr="002F75F9">
        <w:rPr>
          <w:color w:val="000000"/>
        </w:rPr>
        <w:t>25.</w:t>
      </w:r>
      <w:r w:rsidRPr="002F75F9">
        <w:rPr>
          <w:color w:val="000000"/>
        </w:rPr>
        <w:tab/>
      </w:r>
      <w:r w:rsidRPr="002F75F9">
        <w:rPr>
          <w:b/>
          <w:bCs/>
          <w:color w:val="000000"/>
        </w:rPr>
        <w:t>The State party should continue its efforts to improve conditions in its detention facilities</w:t>
      </w:r>
      <w:r>
        <w:rPr>
          <w:b/>
          <w:bCs/>
          <w:color w:val="000000"/>
        </w:rPr>
        <w:t>,</w:t>
      </w:r>
      <w:r w:rsidRPr="002F75F9">
        <w:rPr>
          <w:b/>
          <w:bCs/>
          <w:color w:val="000000"/>
        </w:rPr>
        <w:t xml:space="preserve"> in line with the Covenant and the United Nations Standard Minimum Rules for the Treatment of Prisoners (the Nelson Mandela Rules), </w:t>
      </w:r>
      <w:r>
        <w:rPr>
          <w:b/>
          <w:bCs/>
          <w:color w:val="000000"/>
        </w:rPr>
        <w:t>especially</w:t>
      </w:r>
      <w:r w:rsidRPr="002F75F9">
        <w:rPr>
          <w:b/>
          <w:bCs/>
          <w:color w:val="000000"/>
        </w:rPr>
        <w:t xml:space="preserve"> in police holding cells. It should also address overcrowding, including </w:t>
      </w:r>
      <w:r w:rsidRPr="002F75F9">
        <w:rPr>
          <w:b/>
          <w:bCs/>
        </w:rPr>
        <w:t>through increased recourse to alternatives to detention by</w:t>
      </w:r>
      <w:proofErr w:type="gramStart"/>
      <w:r>
        <w:rPr>
          <w:b/>
          <w:bCs/>
        </w:rPr>
        <w:t>, in particular,</w:t>
      </w:r>
      <w:r w:rsidRPr="002F75F9">
        <w:rPr>
          <w:b/>
          <w:bCs/>
        </w:rPr>
        <w:t xml:space="preserve"> ensuring</w:t>
      </w:r>
      <w:proofErr w:type="gramEnd"/>
      <w:r w:rsidRPr="002F75F9">
        <w:rPr>
          <w:b/>
          <w:bCs/>
        </w:rPr>
        <w:t xml:space="preserve"> effective access to bail and expanding the roll-out of the </w:t>
      </w:r>
      <w:r>
        <w:rPr>
          <w:b/>
          <w:bCs/>
        </w:rPr>
        <w:t>c</w:t>
      </w:r>
      <w:r w:rsidRPr="002F75F9">
        <w:rPr>
          <w:b/>
          <w:bCs/>
        </w:rPr>
        <w:t xml:space="preserve">ommunity </w:t>
      </w:r>
      <w:r>
        <w:rPr>
          <w:b/>
          <w:bCs/>
        </w:rPr>
        <w:t>s</w:t>
      </w:r>
      <w:r w:rsidRPr="002F75F9">
        <w:rPr>
          <w:b/>
          <w:bCs/>
        </w:rPr>
        <w:t xml:space="preserve">ervice </w:t>
      </w:r>
      <w:r>
        <w:rPr>
          <w:b/>
          <w:bCs/>
        </w:rPr>
        <w:t>o</w:t>
      </w:r>
      <w:r w:rsidRPr="002F75F9">
        <w:rPr>
          <w:b/>
          <w:bCs/>
        </w:rPr>
        <w:t xml:space="preserve">rders programme to all courts </w:t>
      </w:r>
      <w:r>
        <w:rPr>
          <w:b/>
          <w:bCs/>
        </w:rPr>
        <w:t>in</w:t>
      </w:r>
      <w:r w:rsidRPr="002F75F9">
        <w:rPr>
          <w:b/>
          <w:bCs/>
        </w:rPr>
        <w:t xml:space="preserve"> the </w:t>
      </w:r>
      <w:r>
        <w:rPr>
          <w:b/>
          <w:bCs/>
        </w:rPr>
        <w:t>country</w:t>
      </w:r>
      <w:r w:rsidRPr="002F75F9">
        <w:rPr>
          <w:b/>
          <w:bCs/>
        </w:rPr>
        <w:t>.</w:t>
      </w:r>
    </w:p>
    <w:p w14:paraId="751F881A" w14:textId="77777777" w:rsidR="000C047D" w:rsidRPr="002F75F9" w:rsidRDefault="000C047D" w:rsidP="000C047D">
      <w:pPr>
        <w:pStyle w:val="H23G"/>
      </w:pPr>
      <w:r w:rsidRPr="002F75F9">
        <w:tab/>
      </w:r>
      <w:r w:rsidRPr="002F75F9">
        <w:tab/>
      </w:r>
      <w:r>
        <w:t>Treatment of refugees and</w:t>
      </w:r>
      <w:r w:rsidRPr="002F75F9">
        <w:t xml:space="preserve"> asylum</w:t>
      </w:r>
      <w:r>
        <w:t>-</w:t>
      </w:r>
      <w:r w:rsidRPr="002F75F9">
        <w:t>seekers</w:t>
      </w:r>
    </w:p>
    <w:p w14:paraId="55B542A2" w14:textId="592D7270" w:rsidR="000C047D" w:rsidRPr="002F75F9" w:rsidRDefault="000C047D" w:rsidP="000C047D">
      <w:pPr>
        <w:pStyle w:val="SingleTxtG"/>
      </w:pPr>
      <w:r w:rsidRPr="002F75F9">
        <w:t>26.</w:t>
      </w:r>
      <w:r w:rsidRPr="002F75F9">
        <w:tab/>
      </w:r>
      <w:r w:rsidRPr="002F75F9">
        <w:rPr>
          <w:lang w:eastAsia="en-GB"/>
        </w:rPr>
        <w:t>The Committee regrets the lack of data provided by the State party regarding the number of refugees and asylum</w:t>
      </w:r>
      <w:r>
        <w:rPr>
          <w:lang w:eastAsia="en-GB"/>
        </w:rPr>
        <w:t>-</w:t>
      </w:r>
      <w:r w:rsidRPr="002F75F9">
        <w:rPr>
          <w:lang w:eastAsia="en-GB"/>
        </w:rPr>
        <w:t xml:space="preserve">seekers who have successfully obtained employment permits or exit permits to leave settlement areas and is concerned that budget cuts, drought and other factors have led to </w:t>
      </w:r>
      <w:r>
        <w:rPr>
          <w:lang w:eastAsia="en-GB"/>
        </w:rPr>
        <w:t xml:space="preserve">a </w:t>
      </w:r>
      <w:r w:rsidRPr="002F75F9">
        <w:rPr>
          <w:lang w:eastAsia="en-GB"/>
        </w:rPr>
        <w:t>significant deteriorat</w:t>
      </w:r>
      <w:r>
        <w:rPr>
          <w:lang w:eastAsia="en-GB"/>
        </w:rPr>
        <w:t xml:space="preserve">ion in </w:t>
      </w:r>
      <w:r w:rsidRPr="002F75F9">
        <w:rPr>
          <w:lang w:eastAsia="en-GB"/>
        </w:rPr>
        <w:t>conditions in the Osire settlement, particularly regarding access to food, water, health</w:t>
      </w:r>
      <w:r>
        <w:rPr>
          <w:lang w:eastAsia="en-GB"/>
        </w:rPr>
        <w:t xml:space="preserve"> </w:t>
      </w:r>
      <w:r w:rsidRPr="002F75F9">
        <w:rPr>
          <w:lang w:eastAsia="en-GB"/>
        </w:rPr>
        <w:t xml:space="preserve">care and social support. The Committee also regrets the lack of information provided by the State party regarding </w:t>
      </w:r>
      <w:r>
        <w:rPr>
          <w:lang w:eastAsia="en-GB"/>
        </w:rPr>
        <w:t xml:space="preserve">the </w:t>
      </w:r>
      <w:r w:rsidRPr="002F75F9">
        <w:rPr>
          <w:lang w:eastAsia="en-GB"/>
        </w:rPr>
        <w:t>measures in place to ensure that all asylum</w:t>
      </w:r>
      <w:r>
        <w:rPr>
          <w:lang w:eastAsia="en-GB"/>
        </w:rPr>
        <w:t>-</w:t>
      </w:r>
      <w:r w:rsidRPr="002F75F9">
        <w:rPr>
          <w:lang w:eastAsia="en-GB"/>
        </w:rPr>
        <w:t>seekers</w:t>
      </w:r>
      <w:r w:rsidRPr="002F75F9">
        <w:t xml:space="preserve"> </w:t>
      </w:r>
      <w:r w:rsidRPr="002F75F9">
        <w:rPr>
          <w:lang w:eastAsia="en-GB"/>
        </w:rPr>
        <w:t xml:space="preserve">are provided with information on asylum procedures in a language they can understand and have access to legal assistance when necessary </w:t>
      </w:r>
      <w:r w:rsidRPr="002F75F9">
        <w:t>(arts.</w:t>
      </w:r>
      <w:r w:rsidR="00DE127C">
        <w:t> </w:t>
      </w:r>
      <w:r w:rsidRPr="002F75F9">
        <w:t>2, 9 and 13).</w:t>
      </w:r>
      <w:r w:rsidR="003F264E">
        <w:t xml:space="preserve"> </w:t>
      </w:r>
    </w:p>
    <w:p w14:paraId="25CA1DFD" w14:textId="7E755E6C" w:rsidR="000C047D" w:rsidRPr="002F75F9" w:rsidRDefault="000C047D" w:rsidP="000C047D">
      <w:pPr>
        <w:pStyle w:val="SingleTxtG"/>
      </w:pPr>
      <w:r w:rsidRPr="002F75F9">
        <w:t>27.</w:t>
      </w:r>
      <w:r w:rsidRPr="002F75F9">
        <w:tab/>
      </w:r>
      <w:r w:rsidRPr="002F75F9">
        <w:rPr>
          <w:b/>
        </w:rPr>
        <w:t>The State party should</w:t>
      </w:r>
      <w:r w:rsidRPr="002F75F9">
        <w:rPr>
          <w:rFonts w:cs="Verdana"/>
          <w:b/>
          <w:bCs/>
          <w:szCs w:val="24"/>
          <w:lang w:eastAsia="de-DE"/>
        </w:rPr>
        <w:t xml:space="preserve"> facilitate and support the access of refugees and asylum</w:t>
      </w:r>
      <w:r>
        <w:rPr>
          <w:rFonts w:cs="Verdana"/>
          <w:b/>
          <w:bCs/>
          <w:szCs w:val="24"/>
          <w:lang w:eastAsia="de-DE"/>
        </w:rPr>
        <w:t>-</w:t>
      </w:r>
      <w:r w:rsidRPr="002F75F9">
        <w:rPr>
          <w:rFonts w:cs="Verdana"/>
          <w:b/>
          <w:bCs/>
          <w:szCs w:val="24"/>
          <w:lang w:eastAsia="de-DE"/>
        </w:rPr>
        <w:t>seekers to the labo</w:t>
      </w:r>
      <w:r>
        <w:rPr>
          <w:rFonts w:cs="Verdana"/>
          <w:b/>
          <w:bCs/>
          <w:szCs w:val="24"/>
          <w:lang w:eastAsia="de-DE"/>
        </w:rPr>
        <w:t>u</w:t>
      </w:r>
      <w:r w:rsidRPr="002F75F9">
        <w:rPr>
          <w:rFonts w:cs="Verdana"/>
          <w:b/>
          <w:bCs/>
          <w:szCs w:val="24"/>
          <w:lang w:eastAsia="de-DE"/>
        </w:rPr>
        <w:t>r market</w:t>
      </w:r>
      <w:r>
        <w:rPr>
          <w:rFonts w:cs="Verdana"/>
          <w:b/>
          <w:bCs/>
          <w:szCs w:val="24"/>
          <w:lang w:eastAsia="de-DE"/>
        </w:rPr>
        <w:t>,</w:t>
      </w:r>
      <w:r w:rsidRPr="002F75F9">
        <w:rPr>
          <w:rFonts w:cs="Verdana"/>
          <w:b/>
          <w:bCs/>
          <w:szCs w:val="24"/>
          <w:lang w:eastAsia="de-DE"/>
        </w:rPr>
        <w:t xml:space="preserve"> including by removing restrictions on their ability to move freely within the </w:t>
      </w:r>
      <w:r>
        <w:rPr>
          <w:rFonts w:cs="Verdana"/>
          <w:b/>
          <w:bCs/>
          <w:szCs w:val="24"/>
          <w:lang w:eastAsia="de-DE"/>
        </w:rPr>
        <w:t>country</w:t>
      </w:r>
      <w:r w:rsidRPr="002F75F9">
        <w:rPr>
          <w:rFonts w:cs="Verdana"/>
          <w:b/>
          <w:bCs/>
          <w:szCs w:val="24"/>
          <w:lang w:eastAsia="de-DE"/>
        </w:rPr>
        <w:t xml:space="preserve"> and</w:t>
      </w:r>
      <w:r>
        <w:rPr>
          <w:rFonts w:cs="Verdana"/>
          <w:b/>
          <w:bCs/>
          <w:szCs w:val="24"/>
          <w:lang w:eastAsia="de-DE"/>
        </w:rPr>
        <w:t>,</w:t>
      </w:r>
      <w:r w:rsidRPr="002F75F9">
        <w:rPr>
          <w:rFonts w:cs="Verdana"/>
          <w:b/>
          <w:bCs/>
          <w:szCs w:val="24"/>
          <w:lang w:eastAsia="de-DE"/>
        </w:rPr>
        <w:t xml:space="preserve"> in the meantime</w:t>
      </w:r>
      <w:r>
        <w:rPr>
          <w:rFonts w:cs="Verdana"/>
          <w:b/>
          <w:bCs/>
          <w:szCs w:val="24"/>
          <w:lang w:eastAsia="de-DE"/>
        </w:rPr>
        <w:t>,</w:t>
      </w:r>
      <w:r w:rsidRPr="002F75F9">
        <w:rPr>
          <w:rFonts w:cs="Verdana"/>
          <w:b/>
          <w:bCs/>
          <w:szCs w:val="24"/>
          <w:lang w:eastAsia="de-DE"/>
        </w:rPr>
        <w:t xml:space="preserve"> ensure effective access to employment permits and exit permits for refugees and asylum</w:t>
      </w:r>
      <w:r>
        <w:rPr>
          <w:rFonts w:cs="Verdana"/>
          <w:b/>
          <w:bCs/>
          <w:szCs w:val="24"/>
          <w:lang w:eastAsia="de-DE"/>
        </w:rPr>
        <w:t>-</w:t>
      </w:r>
      <w:r w:rsidRPr="002F75F9">
        <w:rPr>
          <w:rFonts w:cs="Verdana"/>
          <w:b/>
          <w:bCs/>
          <w:szCs w:val="24"/>
          <w:lang w:eastAsia="de-DE"/>
        </w:rPr>
        <w:t>seekers required to live in settlements. T</w:t>
      </w:r>
      <w:r w:rsidRPr="002F75F9">
        <w:rPr>
          <w:b/>
        </w:rPr>
        <w:t>he State party should regularly review conditions in the Osire settlement and ensure an adequate standard of living for those settled there, including adequate food, water, health</w:t>
      </w:r>
      <w:r>
        <w:rPr>
          <w:b/>
        </w:rPr>
        <w:t xml:space="preserve"> </w:t>
      </w:r>
      <w:r w:rsidRPr="002F75F9">
        <w:rPr>
          <w:b/>
        </w:rPr>
        <w:t>care and social support. The State party should also ensure that all asylum</w:t>
      </w:r>
      <w:r w:rsidR="00DE127C">
        <w:rPr>
          <w:b/>
        </w:rPr>
        <w:noBreakHyphen/>
      </w:r>
      <w:r w:rsidRPr="002F75F9">
        <w:rPr>
          <w:b/>
        </w:rPr>
        <w:t>seekers are provided with information on asylum procedures in a language they understand and have access to legal assistance when necessary, including at border entry points.</w:t>
      </w:r>
      <w:r w:rsidR="003F264E">
        <w:rPr>
          <w:b/>
        </w:rPr>
        <w:t xml:space="preserve"> </w:t>
      </w:r>
    </w:p>
    <w:p w14:paraId="55ED4448" w14:textId="77777777" w:rsidR="000C047D" w:rsidRPr="002F75F9" w:rsidRDefault="000C047D" w:rsidP="000C047D">
      <w:pPr>
        <w:pStyle w:val="H23G"/>
      </w:pPr>
      <w:r w:rsidRPr="002F75F9">
        <w:rPr>
          <w:color w:val="0070C0"/>
        </w:rPr>
        <w:tab/>
      </w:r>
      <w:r w:rsidRPr="002F75F9">
        <w:tab/>
        <w:t>Access to justice and right to fair trial</w:t>
      </w:r>
    </w:p>
    <w:p w14:paraId="0A61620A" w14:textId="07D1B067" w:rsidR="000C047D" w:rsidRPr="002F75F9" w:rsidRDefault="000C047D" w:rsidP="000C047D">
      <w:pPr>
        <w:pStyle w:val="SingleTxtG"/>
        <w:rPr>
          <w:b/>
        </w:rPr>
      </w:pPr>
      <w:r w:rsidRPr="002F75F9">
        <w:t>28.</w:t>
      </w:r>
      <w:r w:rsidRPr="002F75F9">
        <w:tab/>
        <w:t>While welcoming the State party</w:t>
      </w:r>
      <w:r w:rsidR="003F264E">
        <w:t>’</w:t>
      </w:r>
      <w:r w:rsidRPr="002F75F9">
        <w:t xml:space="preserve">s indication that enhancing funding for and access to legal aid is a priority and that access has been enhanced through extension of the availability of legal aid to areas outside Windhoek, the Committee is concerned by reports that the </w:t>
      </w:r>
      <w:r>
        <w:t xml:space="preserve">Directorate of </w:t>
      </w:r>
      <w:r w:rsidRPr="002F75F9">
        <w:t xml:space="preserve">Legal Aid </w:t>
      </w:r>
      <w:r>
        <w:t>with</w:t>
      </w:r>
      <w:r w:rsidRPr="002F75F9">
        <w:t xml:space="preserve">in the Ministry of Justice is severely underfunded and that the costs of </w:t>
      </w:r>
      <w:r>
        <w:t xml:space="preserve">obtaining </w:t>
      </w:r>
      <w:r w:rsidRPr="002F75F9">
        <w:t>access</w:t>
      </w:r>
      <w:r>
        <w:t xml:space="preserve"> to</w:t>
      </w:r>
      <w:r w:rsidRPr="002F75F9">
        <w:t xml:space="preserve"> justice are relatively high. The Committee notes the information provided by the State party </w:t>
      </w:r>
      <w:r>
        <w:t>concerning</w:t>
      </w:r>
      <w:r w:rsidRPr="002F75F9">
        <w:t xml:space="preserve"> the functioning of</w:t>
      </w:r>
      <w:r>
        <w:t xml:space="preserve"> c</w:t>
      </w:r>
      <w:r w:rsidRPr="002F75F9">
        <w:t xml:space="preserve">ommunity </w:t>
      </w:r>
      <w:r>
        <w:t>c</w:t>
      </w:r>
      <w:r w:rsidRPr="002F75F9">
        <w:t xml:space="preserve">ourts but regrets the lack of information </w:t>
      </w:r>
      <w:r>
        <w:t>on the</w:t>
      </w:r>
      <w:r w:rsidRPr="002F75F9">
        <w:t xml:space="preserve"> legal aid </w:t>
      </w:r>
      <w:proofErr w:type="gramStart"/>
      <w:r w:rsidRPr="002F75F9">
        <w:t>actually provided</w:t>
      </w:r>
      <w:proofErr w:type="gramEnd"/>
      <w:r w:rsidRPr="002F75F9">
        <w:t xml:space="preserve"> for </w:t>
      </w:r>
      <w:r>
        <w:t>bringing appeals against c</w:t>
      </w:r>
      <w:r w:rsidRPr="002F75F9">
        <w:t xml:space="preserve">ommunity </w:t>
      </w:r>
      <w:r>
        <w:t>c</w:t>
      </w:r>
      <w:r w:rsidRPr="002F75F9">
        <w:t>ourt</w:t>
      </w:r>
      <w:r>
        <w:t xml:space="preserve"> rulings before the</w:t>
      </w:r>
      <w:r w:rsidRPr="002F75F9">
        <w:t xml:space="preserve"> </w:t>
      </w:r>
      <w:r>
        <w:t>m</w:t>
      </w:r>
      <w:r w:rsidRPr="002F75F9">
        <w:t>agistrates</w:t>
      </w:r>
      <w:r w:rsidR="003F264E">
        <w:t>’</w:t>
      </w:r>
      <w:r w:rsidRPr="002F75F9">
        <w:t xml:space="preserve"> </w:t>
      </w:r>
      <w:r>
        <w:t>c</w:t>
      </w:r>
      <w:r w:rsidRPr="002F75F9">
        <w:t>ourts, and the lack of more detailed information on the reviewing of case records and</w:t>
      </w:r>
      <w:r>
        <w:t xml:space="preserve"> the</w:t>
      </w:r>
      <w:r w:rsidRPr="002F75F9">
        <w:t xml:space="preserve"> training provided to justices and assessors in</w:t>
      </w:r>
      <w:r>
        <w:t xml:space="preserve"> the</w:t>
      </w:r>
      <w:r w:rsidRPr="002F75F9">
        <w:t xml:space="preserve"> </w:t>
      </w:r>
      <w:r>
        <w:t>c</w:t>
      </w:r>
      <w:r w:rsidRPr="002F75F9">
        <w:t xml:space="preserve">ommunity </w:t>
      </w:r>
      <w:r>
        <w:t>c</w:t>
      </w:r>
      <w:r w:rsidRPr="002F75F9">
        <w:t>ourts (art.</w:t>
      </w:r>
      <w:r>
        <w:t xml:space="preserve"> </w:t>
      </w:r>
      <w:r w:rsidRPr="002F75F9">
        <w:t>14).</w:t>
      </w:r>
    </w:p>
    <w:p w14:paraId="54FAD1FA" w14:textId="77777777" w:rsidR="000C047D" w:rsidRPr="002F75F9" w:rsidRDefault="000C047D" w:rsidP="000C047D">
      <w:pPr>
        <w:pStyle w:val="SingleTxtG"/>
        <w:rPr>
          <w:b/>
        </w:rPr>
      </w:pPr>
      <w:r w:rsidRPr="002F75F9">
        <w:t>29.</w:t>
      </w:r>
      <w:r w:rsidRPr="002F75F9">
        <w:tab/>
      </w:r>
      <w:r w:rsidRPr="002F75F9">
        <w:rPr>
          <w:b/>
        </w:rPr>
        <w:t xml:space="preserve">The State party should increase funding for its legal aid scheme as part of </w:t>
      </w:r>
      <w:r>
        <w:rPr>
          <w:b/>
        </w:rPr>
        <w:t xml:space="preserve">its </w:t>
      </w:r>
      <w:r w:rsidRPr="002F75F9">
        <w:rPr>
          <w:b/>
        </w:rPr>
        <w:t xml:space="preserve">broader efforts to promote access to justice, ensuring that legal aid is, at minimum, available where the interests of justice so require. The State party should also ensure, when applicable criteria are met, that legal aid is made available in practice for appeals </w:t>
      </w:r>
      <w:r>
        <w:rPr>
          <w:b/>
        </w:rPr>
        <w:t>against decisions of the c</w:t>
      </w:r>
      <w:r w:rsidRPr="002F75F9">
        <w:rPr>
          <w:b/>
        </w:rPr>
        <w:t xml:space="preserve">ommunity </w:t>
      </w:r>
      <w:r>
        <w:rPr>
          <w:b/>
        </w:rPr>
        <w:t>c</w:t>
      </w:r>
      <w:r w:rsidRPr="002F75F9">
        <w:rPr>
          <w:b/>
        </w:rPr>
        <w:t>ourt</w:t>
      </w:r>
      <w:r>
        <w:rPr>
          <w:b/>
        </w:rPr>
        <w:t xml:space="preserve">s </w:t>
      </w:r>
      <w:r w:rsidRPr="002F75F9">
        <w:rPr>
          <w:b/>
        </w:rPr>
        <w:t>and that all assessors and judicial officers are provided with appropriate training on relevant human rights standards.</w:t>
      </w:r>
    </w:p>
    <w:p w14:paraId="35565470" w14:textId="77777777" w:rsidR="000C047D" w:rsidRPr="002F75F9" w:rsidRDefault="000C047D" w:rsidP="000C047D">
      <w:pPr>
        <w:pStyle w:val="H23G"/>
      </w:pPr>
      <w:r w:rsidRPr="002F75F9">
        <w:lastRenderedPageBreak/>
        <w:tab/>
      </w:r>
      <w:r w:rsidRPr="002F75F9">
        <w:tab/>
        <w:t>Data protection and right to privacy</w:t>
      </w:r>
    </w:p>
    <w:p w14:paraId="4BF226C0" w14:textId="77777777" w:rsidR="000C047D" w:rsidRPr="002F75F9" w:rsidRDefault="000C047D" w:rsidP="000C047D">
      <w:pPr>
        <w:pStyle w:val="SingleTxtG"/>
      </w:pPr>
      <w:r w:rsidRPr="002F75F9">
        <w:t>30.</w:t>
      </w:r>
      <w:r w:rsidRPr="002F75F9">
        <w:tab/>
        <w:t xml:space="preserve">The Committee notes with concern the delay in adopting the </w:t>
      </w:r>
      <w:r>
        <w:t>d</w:t>
      </w:r>
      <w:r w:rsidRPr="002F75F9">
        <w:t xml:space="preserve">ata </w:t>
      </w:r>
      <w:r>
        <w:t>p</w:t>
      </w:r>
      <w:r w:rsidRPr="002F75F9">
        <w:t xml:space="preserve">rotection </w:t>
      </w:r>
      <w:r>
        <w:t>b</w:t>
      </w:r>
      <w:r w:rsidRPr="002F75F9">
        <w:t xml:space="preserve">ill and reports indicating that the absence of data protection and cybersecurity legislation has led to numerous incidents of data breaches and cybercrimes. The Committee is also concerned that the data retention regulations currently being implemented </w:t>
      </w:r>
      <w:r>
        <w:t>under</w:t>
      </w:r>
      <w:r w:rsidRPr="002F75F9">
        <w:t xml:space="preserve"> </w:t>
      </w:r>
      <w:r>
        <w:t>p</w:t>
      </w:r>
      <w:r w:rsidRPr="002F75F9">
        <w:t xml:space="preserve">art 6 of </w:t>
      </w:r>
      <w:r>
        <w:t>c</w:t>
      </w:r>
      <w:r w:rsidRPr="002F75F9">
        <w:t>hapter V of the Communications Act (</w:t>
      </w:r>
      <w:r>
        <w:t xml:space="preserve">Act </w:t>
      </w:r>
      <w:r w:rsidRPr="002F75F9">
        <w:t xml:space="preserve">No. 8 of 2009) may not provide adequate protections and safeguards for personal communications data. In addition, the implementation of the </w:t>
      </w:r>
      <w:proofErr w:type="gramStart"/>
      <w:r w:rsidRPr="002F75F9">
        <w:t>aforementioned regulations</w:t>
      </w:r>
      <w:proofErr w:type="gramEnd"/>
      <w:r w:rsidRPr="002F75F9">
        <w:t xml:space="preserve"> coincides with the implementation of mandatory SIM card registration, </w:t>
      </w:r>
      <w:r>
        <w:t>which raises</w:t>
      </w:r>
      <w:r w:rsidRPr="002F75F9">
        <w:t xml:space="preserve"> concerns</w:t>
      </w:r>
      <w:r>
        <w:t>,</w:t>
      </w:r>
      <w:r w:rsidRPr="002F75F9">
        <w:t xml:space="preserve"> </w:t>
      </w:r>
      <w:r>
        <w:t xml:space="preserve">especially </w:t>
      </w:r>
      <w:r w:rsidRPr="002F75F9">
        <w:t>for persons with a particular need for confidential or anonymous communications</w:t>
      </w:r>
      <w:r>
        <w:t>,</w:t>
      </w:r>
      <w:r w:rsidRPr="002F75F9">
        <w:t xml:space="preserve"> such as journalists, whistle</w:t>
      </w:r>
      <w:r>
        <w:t>-</w:t>
      </w:r>
      <w:r w:rsidRPr="002F75F9">
        <w:t>blowers</w:t>
      </w:r>
      <w:r>
        <w:t xml:space="preserve"> and</w:t>
      </w:r>
      <w:r w:rsidRPr="002F75F9">
        <w:t xml:space="preserve"> human rights defenders </w:t>
      </w:r>
      <w:r w:rsidRPr="002F75F9">
        <w:rPr>
          <w:rFonts w:eastAsia="Calibri"/>
          <w:szCs w:val="22"/>
          <w:lang w:eastAsia="de-DE"/>
        </w:rPr>
        <w:t>(arts.</w:t>
      </w:r>
      <w:r>
        <w:rPr>
          <w:rFonts w:eastAsia="Calibri"/>
          <w:szCs w:val="22"/>
          <w:lang w:eastAsia="de-DE"/>
        </w:rPr>
        <w:t xml:space="preserve"> </w:t>
      </w:r>
      <w:r w:rsidRPr="002F75F9">
        <w:rPr>
          <w:rFonts w:eastAsia="Calibri"/>
          <w:szCs w:val="22"/>
          <w:lang w:eastAsia="de-DE"/>
        </w:rPr>
        <w:t>17 and 21)</w:t>
      </w:r>
      <w:r w:rsidRPr="002F75F9">
        <w:t>.</w:t>
      </w:r>
    </w:p>
    <w:p w14:paraId="23C57A54" w14:textId="18A78F58" w:rsidR="000C047D" w:rsidRPr="002F75F9" w:rsidRDefault="000C047D" w:rsidP="000C047D">
      <w:pPr>
        <w:pStyle w:val="SingleTxtG"/>
        <w:rPr>
          <w:b/>
          <w:bCs/>
        </w:rPr>
      </w:pPr>
      <w:r w:rsidRPr="0033589C">
        <w:t>31.</w:t>
      </w:r>
      <w:r w:rsidRPr="002F75F9">
        <w:rPr>
          <w:b/>
          <w:bCs/>
        </w:rPr>
        <w:tab/>
        <w:t>The State party should prioriti</w:t>
      </w:r>
      <w:r>
        <w:rPr>
          <w:b/>
          <w:bCs/>
        </w:rPr>
        <w:t>z</w:t>
      </w:r>
      <w:r w:rsidRPr="002F75F9">
        <w:rPr>
          <w:b/>
          <w:bCs/>
        </w:rPr>
        <w:t>e the finali</w:t>
      </w:r>
      <w:r>
        <w:rPr>
          <w:b/>
          <w:bCs/>
        </w:rPr>
        <w:t>z</w:t>
      </w:r>
      <w:r w:rsidRPr="002F75F9">
        <w:rPr>
          <w:b/>
          <w:bCs/>
        </w:rPr>
        <w:t xml:space="preserve">ation and enactment of the </w:t>
      </w:r>
      <w:r>
        <w:rPr>
          <w:b/>
          <w:bCs/>
        </w:rPr>
        <w:t>d</w:t>
      </w:r>
      <w:r w:rsidRPr="002F75F9">
        <w:rPr>
          <w:b/>
          <w:bCs/>
        </w:rPr>
        <w:t xml:space="preserve">ata </w:t>
      </w:r>
      <w:r>
        <w:rPr>
          <w:b/>
          <w:bCs/>
        </w:rPr>
        <w:t>p</w:t>
      </w:r>
      <w:r w:rsidRPr="002F75F9">
        <w:rPr>
          <w:b/>
          <w:bCs/>
        </w:rPr>
        <w:t xml:space="preserve">rotection </w:t>
      </w:r>
      <w:r>
        <w:rPr>
          <w:b/>
          <w:bCs/>
        </w:rPr>
        <w:t>b</w:t>
      </w:r>
      <w:r w:rsidRPr="002F75F9">
        <w:rPr>
          <w:b/>
          <w:bCs/>
        </w:rPr>
        <w:t>ill in line with international standards</w:t>
      </w:r>
      <w:r>
        <w:rPr>
          <w:b/>
          <w:bCs/>
        </w:rPr>
        <w:t>, ensuring that individuals can be informed of the data held on them and have it corrected as applicable,</w:t>
      </w:r>
      <w:r w:rsidRPr="002F75F9">
        <w:t xml:space="preserve"> </w:t>
      </w:r>
      <w:r w:rsidRPr="002F75F9">
        <w:rPr>
          <w:b/>
          <w:bCs/>
        </w:rPr>
        <w:t xml:space="preserve">and adopt appropriate cybercrime legislation. It should also ensure that the management of the database for SIM card registration </w:t>
      </w:r>
      <w:r>
        <w:rPr>
          <w:b/>
          <w:bCs/>
        </w:rPr>
        <w:t>is</w:t>
      </w:r>
      <w:r w:rsidRPr="002F75F9">
        <w:rPr>
          <w:b/>
          <w:bCs/>
        </w:rPr>
        <w:t xml:space="preserve"> subject to appropriate safeguards </w:t>
      </w:r>
      <w:proofErr w:type="gramStart"/>
      <w:r w:rsidRPr="002F75F9">
        <w:rPr>
          <w:b/>
          <w:bCs/>
        </w:rPr>
        <w:t>in order to</w:t>
      </w:r>
      <w:proofErr w:type="gramEnd"/>
      <w:r w:rsidRPr="002F75F9">
        <w:rPr>
          <w:b/>
          <w:bCs/>
        </w:rPr>
        <w:t xml:space="preserve"> prevent hacking, data leaks and unauthorized access by private </w:t>
      </w:r>
      <w:r>
        <w:rPr>
          <w:b/>
          <w:bCs/>
        </w:rPr>
        <w:t xml:space="preserve">entities </w:t>
      </w:r>
      <w:r w:rsidRPr="002F75F9">
        <w:rPr>
          <w:b/>
          <w:bCs/>
        </w:rPr>
        <w:t xml:space="preserve">and </w:t>
      </w:r>
      <w:r>
        <w:rPr>
          <w:b/>
          <w:bCs/>
        </w:rPr>
        <w:t>S</w:t>
      </w:r>
      <w:r w:rsidRPr="002F75F9">
        <w:rPr>
          <w:b/>
          <w:bCs/>
        </w:rPr>
        <w:t xml:space="preserve">tate authorities, including </w:t>
      </w:r>
      <w:r>
        <w:rPr>
          <w:b/>
          <w:bCs/>
        </w:rPr>
        <w:t xml:space="preserve">by establishing </w:t>
      </w:r>
      <w:r w:rsidRPr="002F75F9">
        <w:rPr>
          <w:b/>
          <w:bCs/>
        </w:rPr>
        <w:t xml:space="preserve">appropriate judicial or legislative authorization requirements for </w:t>
      </w:r>
      <w:r>
        <w:rPr>
          <w:b/>
          <w:bCs/>
        </w:rPr>
        <w:t>S</w:t>
      </w:r>
      <w:r w:rsidRPr="002F75F9">
        <w:rPr>
          <w:b/>
          <w:bCs/>
        </w:rPr>
        <w:t xml:space="preserve">tate authorities wishing to </w:t>
      </w:r>
      <w:r>
        <w:rPr>
          <w:b/>
          <w:bCs/>
        </w:rPr>
        <w:t xml:space="preserve">obtain </w:t>
      </w:r>
      <w:r w:rsidRPr="002F75F9">
        <w:rPr>
          <w:b/>
          <w:bCs/>
        </w:rPr>
        <w:t>access</w:t>
      </w:r>
      <w:r>
        <w:rPr>
          <w:b/>
          <w:bCs/>
        </w:rPr>
        <w:t xml:space="preserve"> to</w:t>
      </w:r>
      <w:r w:rsidRPr="002F75F9">
        <w:rPr>
          <w:b/>
          <w:bCs/>
        </w:rPr>
        <w:t xml:space="preserve"> the database.</w:t>
      </w:r>
    </w:p>
    <w:p w14:paraId="69F2B58A" w14:textId="538B2C11" w:rsidR="000C047D" w:rsidRPr="007112F1" w:rsidRDefault="00635D38" w:rsidP="00635D38">
      <w:pPr>
        <w:pStyle w:val="H23G"/>
      </w:pPr>
      <w:r>
        <w:tab/>
      </w:r>
      <w:r>
        <w:tab/>
      </w:r>
      <w:r w:rsidR="000C047D" w:rsidRPr="000F3453">
        <w:t>Freedom of expression</w:t>
      </w:r>
    </w:p>
    <w:p w14:paraId="1F2B64D9" w14:textId="5B72648A" w:rsidR="000C047D" w:rsidRPr="007112F1"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b/>
          <w:color w:val="000000"/>
        </w:rPr>
      </w:pPr>
      <w:r w:rsidRPr="007112F1">
        <w:rPr>
          <w:color w:val="000000"/>
        </w:rPr>
        <w:t>32.</w:t>
      </w:r>
      <w:r w:rsidRPr="007112F1">
        <w:rPr>
          <w:color w:val="000000"/>
        </w:rPr>
        <w:tab/>
      </w:r>
      <w:r w:rsidRPr="007112F1">
        <w:t>The Committee welcomes the adoption</w:t>
      </w:r>
      <w:r>
        <w:t>, in 2022,</w:t>
      </w:r>
      <w:r w:rsidRPr="007112F1">
        <w:t xml:space="preserve"> of the Access to Information Act but remains concerned about allegations of self-censorship by journalists working for State</w:t>
      </w:r>
      <w:r w:rsidR="00DE127C">
        <w:noBreakHyphen/>
      </w:r>
      <w:r w:rsidRPr="007112F1">
        <w:t>owned media and a reported lack of transparency in the appointment of board members of the Namibia Broadcasting Corporation and the Communications Regulatory Authority (arts. 9 and 19).</w:t>
      </w:r>
    </w:p>
    <w:p w14:paraId="5EC89A05" w14:textId="77777777" w:rsidR="000C047D" w:rsidRPr="002F75F9" w:rsidRDefault="000C047D" w:rsidP="000C047D">
      <w:pPr>
        <w:pStyle w:val="SingleTxtG"/>
      </w:pPr>
      <w:r w:rsidRPr="007112F1">
        <w:rPr>
          <w:color w:val="000000"/>
        </w:rPr>
        <w:t>33.</w:t>
      </w:r>
      <w:r w:rsidRPr="007112F1">
        <w:rPr>
          <w:color w:val="000000"/>
        </w:rPr>
        <w:tab/>
      </w:r>
      <w:r w:rsidRPr="007112F1">
        <w:rPr>
          <w:b/>
          <w:bCs/>
          <w:color w:val="000000"/>
          <w:lang w:eastAsia="de-DE"/>
        </w:rPr>
        <w:t>The State party should ensure</w:t>
      </w:r>
      <w:r>
        <w:rPr>
          <w:b/>
          <w:bCs/>
          <w:color w:val="000000"/>
          <w:lang w:eastAsia="de-DE"/>
        </w:rPr>
        <w:t xml:space="preserve"> that</w:t>
      </w:r>
      <w:r w:rsidRPr="007112F1">
        <w:rPr>
          <w:b/>
          <w:bCs/>
          <w:color w:val="000000"/>
          <w:lang w:eastAsia="de-DE"/>
        </w:rPr>
        <w:t xml:space="preserve"> </w:t>
      </w:r>
      <w:r>
        <w:rPr>
          <w:b/>
          <w:bCs/>
          <w:color w:val="000000"/>
          <w:lang w:eastAsia="de-DE"/>
        </w:rPr>
        <w:t xml:space="preserve">the </w:t>
      </w:r>
      <w:r w:rsidRPr="007112F1">
        <w:rPr>
          <w:b/>
          <w:bCs/>
          <w:color w:val="000000"/>
          <w:lang w:eastAsia="de-DE"/>
        </w:rPr>
        <w:t xml:space="preserve">safeguards </w:t>
      </w:r>
      <w:r>
        <w:rPr>
          <w:b/>
          <w:bCs/>
          <w:color w:val="000000"/>
          <w:lang w:eastAsia="de-DE"/>
        </w:rPr>
        <w:t>necessary</w:t>
      </w:r>
      <w:r w:rsidRPr="007112F1">
        <w:rPr>
          <w:b/>
          <w:bCs/>
          <w:color w:val="000000"/>
          <w:lang w:eastAsia="de-DE"/>
        </w:rPr>
        <w:t xml:space="preserve"> to </w:t>
      </w:r>
      <w:r>
        <w:rPr>
          <w:b/>
          <w:bCs/>
          <w:color w:val="000000"/>
          <w:lang w:eastAsia="de-DE"/>
        </w:rPr>
        <w:t>guarantee</w:t>
      </w:r>
      <w:r w:rsidRPr="007112F1">
        <w:rPr>
          <w:b/>
          <w:bCs/>
          <w:color w:val="000000"/>
          <w:lang w:eastAsia="de-DE"/>
        </w:rPr>
        <w:t xml:space="preserve"> the independence of State-owned media</w:t>
      </w:r>
      <w:r>
        <w:rPr>
          <w:b/>
          <w:bCs/>
          <w:color w:val="000000"/>
          <w:lang w:eastAsia="de-DE"/>
        </w:rPr>
        <w:t xml:space="preserve"> are in place</w:t>
      </w:r>
      <w:r w:rsidRPr="007112F1">
        <w:rPr>
          <w:b/>
          <w:bCs/>
          <w:color w:val="000000"/>
          <w:lang w:eastAsia="de-DE"/>
        </w:rPr>
        <w:t xml:space="preserve">, including by ensuring transparency in the process for appointing board members </w:t>
      </w:r>
      <w:r>
        <w:rPr>
          <w:b/>
          <w:bCs/>
          <w:color w:val="000000"/>
          <w:lang w:eastAsia="de-DE"/>
        </w:rPr>
        <w:t>of</w:t>
      </w:r>
      <w:r w:rsidRPr="007112F1">
        <w:rPr>
          <w:b/>
          <w:bCs/>
          <w:color w:val="000000"/>
          <w:lang w:eastAsia="de-DE"/>
        </w:rPr>
        <w:t xml:space="preserve"> key bodies</w:t>
      </w:r>
      <w:r>
        <w:rPr>
          <w:b/>
          <w:bCs/>
          <w:color w:val="000000"/>
          <w:lang w:eastAsia="de-DE"/>
        </w:rPr>
        <w:t>,</w:t>
      </w:r>
      <w:r w:rsidRPr="007112F1">
        <w:rPr>
          <w:b/>
          <w:bCs/>
          <w:color w:val="000000"/>
          <w:lang w:eastAsia="de-DE"/>
        </w:rPr>
        <w:t xml:space="preserve"> such as the </w:t>
      </w:r>
      <w:r w:rsidRPr="007112F1">
        <w:rPr>
          <w:b/>
          <w:bCs/>
        </w:rPr>
        <w:t>Namibia Broadcasting Corporation</w:t>
      </w:r>
      <w:r w:rsidRPr="007112F1">
        <w:rPr>
          <w:b/>
          <w:bCs/>
          <w:color w:val="000000"/>
          <w:lang w:eastAsia="de-DE"/>
        </w:rPr>
        <w:t xml:space="preserve"> and the Communications </w:t>
      </w:r>
      <w:r w:rsidRPr="007112F1">
        <w:rPr>
          <w:b/>
          <w:bCs/>
        </w:rPr>
        <w:t xml:space="preserve">Regulatory Authority. </w:t>
      </w:r>
    </w:p>
    <w:p w14:paraId="50C98CB4" w14:textId="1D2663E4" w:rsidR="000C047D" w:rsidRPr="002F75F9" w:rsidRDefault="000C047D" w:rsidP="000C047D">
      <w:pPr>
        <w:pStyle w:val="H23G"/>
      </w:pPr>
      <w:r w:rsidRPr="002F75F9">
        <w:tab/>
      </w:r>
      <w:r w:rsidRPr="002F75F9">
        <w:tab/>
        <w:t>Right of peaceful assembly</w:t>
      </w:r>
    </w:p>
    <w:p w14:paraId="5F27BBE4" w14:textId="509B0843"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color w:val="000000"/>
        </w:rPr>
      </w:pPr>
      <w:r w:rsidRPr="002F75F9">
        <w:rPr>
          <w:color w:val="000000"/>
        </w:rPr>
        <w:t>34.</w:t>
      </w:r>
      <w:r w:rsidRPr="002F75F9">
        <w:rPr>
          <w:color w:val="000000"/>
        </w:rPr>
        <w:tab/>
        <w:t xml:space="preserve">The Committee is concerned that </w:t>
      </w:r>
      <w:r>
        <w:rPr>
          <w:color w:val="000000"/>
        </w:rPr>
        <w:t>s</w:t>
      </w:r>
      <w:r w:rsidRPr="002F75F9">
        <w:rPr>
          <w:color w:val="000000"/>
        </w:rPr>
        <w:t>ection 2 of the Public Gatherings Proclamation provides for criminal sanctions</w:t>
      </w:r>
      <w:r>
        <w:rPr>
          <w:color w:val="000000"/>
        </w:rPr>
        <w:t>,</w:t>
      </w:r>
      <w:r w:rsidRPr="002F75F9">
        <w:rPr>
          <w:color w:val="000000"/>
        </w:rPr>
        <w:t xml:space="preserve"> including up to two years</w:t>
      </w:r>
      <w:r w:rsidR="003F264E">
        <w:rPr>
          <w:color w:val="000000"/>
        </w:rPr>
        <w:t>’</w:t>
      </w:r>
      <w:r w:rsidRPr="002F75F9">
        <w:rPr>
          <w:color w:val="000000"/>
        </w:rPr>
        <w:t xml:space="preserve"> imprisonment for </w:t>
      </w:r>
      <w:r>
        <w:rPr>
          <w:color w:val="000000"/>
        </w:rPr>
        <w:t xml:space="preserve">the organizers if they fail </w:t>
      </w:r>
      <w:r w:rsidRPr="002F75F9">
        <w:rPr>
          <w:color w:val="000000"/>
        </w:rPr>
        <w:t xml:space="preserve">to follow the stipulated notification requirements or for </w:t>
      </w:r>
      <w:r>
        <w:rPr>
          <w:color w:val="000000"/>
        </w:rPr>
        <w:t xml:space="preserve">any person who </w:t>
      </w:r>
      <w:r w:rsidRPr="002F75F9">
        <w:rPr>
          <w:color w:val="000000"/>
        </w:rPr>
        <w:t>participat</w:t>
      </w:r>
      <w:r>
        <w:rPr>
          <w:color w:val="000000"/>
        </w:rPr>
        <w:t>es</w:t>
      </w:r>
      <w:r w:rsidRPr="002F75F9">
        <w:rPr>
          <w:color w:val="000000"/>
        </w:rPr>
        <w:t xml:space="preserve"> in a gathering </w:t>
      </w:r>
      <w:r>
        <w:rPr>
          <w:color w:val="000000"/>
        </w:rPr>
        <w:t xml:space="preserve">for which the requirements were </w:t>
      </w:r>
      <w:r w:rsidRPr="002F75F9">
        <w:rPr>
          <w:color w:val="000000"/>
        </w:rPr>
        <w:t>not followed, and that</w:t>
      </w:r>
      <w:r>
        <w:rPr>
          <w:color w:val="000000"/>
        </w:rPr>
        <w:t>,</w:t>
      </w:r>
      <w:r w:rsidRPr="002F75F9">
        <w:rPr>
          <w:color w:val="000000"/>
        </w:rPr>
        <w:t xml:space="preserve"> </w:t>
      </w:r>
      <w:r>
        <w:rPr>
          <w:color w:val="000000"/>
        </w:rPr>
        <w:t>under s</w:t>
      </w:r>
      <w:r w:rsidRPr="002F75F9">
        <w:rPr>
          <w:color w:val="000000"/>
        </w:rPr>
        <w:t>ection 3 of the Proclamation</w:t>
      </w:r>
      <w:r>
        <w:rPr>
          <w:color w:val="000000"/>
        </w:rPr>
        <w:t>,</w:t>
      </w:r>
      <w:r w:rsidRPr="002F75F9">
        <w:rPr>
          <w:color w:val="000000"/>
        </w:rPr>
        <w:t xml:space="preserve"> authorities</w:t>
      </w:r>
      <w:r>
        <w:rPr>
          <w:color w:val="000000"/>
        </w:rPr>
        <w:t xml:space="preserve"> are allowed</w:t>
      </w:r>
      <w:r w:rsidRPr="002F75F9">
        <w:rPr>
          <w:color w:val="000000"/>
        </w:rPr>
        <w:t xml:space="preserve"> to impose any conditions</w:t>
      </w:r>
      <w:r>
        <w:rPr>
          <w:color w:val="000000"/>
        </w:rPr>
        <w:t xml:space="preserve"> they</w:t>
      </w:r>
      <w:r w:rsidRPr="002F75F9">
        <w:rPr>
          <w:color w:val="000000"/>
        </w:rPr>
        <w:t xml:space="preserve"> see fit on the organi</w:t>
      </w:r>
      <w:r>
        <w:rPr>
          <w:color w:val="000000"/>
        </w:rPr>
        <w:t>z</w:t>
      </w:r>
      <w:r w:rsidRPr="002F75F9">
        <w:rPr>
          <w:color w:val="000000"/>
        </w:rPr>
        <w:t xml:space="preserve">ation of a gathering, including its dispersal, on the basis of broadly defined criteria </w:t>
      </w:r>
      <w:r>
        <w:rPr>
          <w:color w:val="000000"/>
        </w:rPr>
        <w:t>that</w:t>
      </w:r>
      <w:r w:rsidRPr="002F75F9">
        <w:rPr>
          <w:color w:val="000000"/>
        </w:rPr>
        <w:t xml:space="preserve"> do not meet the standard for the imposition of restrictions set out in article 21</w:t>
      </w:r>
      <w:r>
        <w:rPr>
          <w:color w:val="000000"/>
        </w:rPr>
        <w:t xml:space="preserve"> </w:t>
      </w:r>
      <w:r w:rsidRPr="002F75F9">
        <w:rPr>
          <w:color w:val="000000"/>
        </w:rPr>
        <w:t xml:space="preserve">of the Covenant. The Committee is also concerned that </w:t>
      </w:r>
      <w:r>
        <w:rPr>
          <w:color w:val="000000"/>
        </w:rPr>
        <w:t>s</w:t>
      </w:r>
      <w:r w:rsidRPr="002F75F9">
        <w:rPr>
          <w:color w:val="000000"/>
        </w:rPr>
        <w:t xml:space="preserve">ection 6 of the Proclamation allows for the use of firearms or other weapons likely to cause serious bodily injury or death for the dispersal of non-peaceful assemblies </w:t>
      </w:r>
      <w:r>
        <w:rPr>
          <w:color w:val="000000"/>
        </w:rPr>
        <w:t>that</w:t>
      </w:r>
      <w:r w:rsidRPr="002F75F9">
        <w:rPr>
          <w:color w:val="000000"/>
        </w:rPr>
        <w:t xml:space="preserve"> cause or risk causing damage to valuable property, which is not in line with international standards on the use of force by law enforcement officials, and that rubber bullets </w:t>
      </w:r>
      <w:r>
        <w:rPr>
          <w:color w:val="000000"/>
        </w:rPr>
        <w:t>were</w:t>
      </w:r>
      <w:r w:rsidRPr="002F75F9">
        <w:rPr>
          <w:color w:val="000000"/>
        </w:rPr>
        <w:t xml:space="preserve"> used by law enforcement officers to disperse assemblies in 2020 and 2022</w:t>
      </w:r>
      <w:r>
        <w:rPr>
          <w:color w:val="000000"/>
        </w:rPr>
        <w:t xml:space="preserve">, resulting </w:t>
      </w:r>
      <w:r w:rsidRPr="002F75F9">
        <w:rPr>
          <w:color w:val="000000"/>
        </w:rPr>
        <w:t>in injuries to protesters and journalists in circumstances that were reportedly not in conformity with the principles of necessity and proportionality (arts. 6 and</w:t>
      </w:r>
      <w:r w:rsidR="00DE127C">
        <w:rPr>
          <w:color w:val="000000"/>
        </w:rPr>
        <w:t> </w:t>
      </w:r>
      <w:r w:rsidRPr="002F75F9">
        <w:rPr>
          <w:color w:val="000000"/>
        </w:rPr>
        <w:t>21).</w:t>
      </w:r>
    </w:p>
    <w:p w14:paraId="12600641" w14:textId="230D1B2A"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b/>
          <w:bCs/>
          <w:color w:val="000000"/>
        </w:rPr>
      </w:pPr>
      <w:r w:rsidRPr="0033589C">
        <w:rPr>
          <w:color w:val="000000"/>
        </w:rPr>
        <w:t>35.</w:t>
      </w:r>
      <w:r w:rsidRPr="0033589C">
        <w:rPr>
          <w:color w:val="000000"/>
        </w:rPr>
        <w:tab/>
      </w:r>
      <w:r w:rsidRPr="002F75F9">
        <w:rPr>
          <w:b/>
          <w:bCs/>
          <w:color w:val="000000"/>
        </w:rPr>
        <w:t>In the light of the Committee</w:t>
      </w:r>
      <w:r w:rsidR="003F264E">
        <w:rPr>
          <w:b/>
          <w:bCs/>
          <w:color w:val="000000"/>
        </w:rPr>
        <w:t>’</w:t>
      </w:r>
      <w:r w:rsidRPr="002F75F9">
        <w:rPr>
          <w:b/>
          <w:bCs/>
          <w:color w:val="000000"/>
        </w:rPr>
        <w:t>s general comment No. 37 (2020)</w:t>
      </w:r>
      <w:r>
        <w:rPr>
          <w:b/>
          <w:bCs/>
          <w:color w:val="000000"/>
        </w:rPr>
        <w:t xml:space="preserve"> on the right of peaceful assembly</w:t>
      </w:r>
      <w:r w:rsidRPr="002F75F9">
        <w:rPr>
          <w:b/>
          <w:bCs/>
          <w:color w:val="000000"/>
        </w:rPr>
        <w:t>, the State party should review and consider amending its l</w:t>
      </w:r>
      <w:r>
        <w:rPr>
          <w:b/>
          <w:bCs/>
          <w:color w:val="000000"/>
        </w:rPr>
        <w:t>egislation</w:t>
      </w:r>
      <w:r w:rsidRPr="002F75F9">
        <w:rPr>
          <w:b/>
          <w:bCs/>
          <w:color w:val="000000"/>
        </w:rPr>
        <w:t xml:space="preserve"> and practices to ensure that individuals fully enjoy their right of peaceful assembly and </w:t>
      </w:r>
      <w:r>
        <w:rPr>
          <w:b/>
          <w:bCs/>
          <w:color w:val="000000"/>
        </w:rPr>
        <w:t xml:space="preserve">to </w:t>
      </w:r>
      <w:r w:rsidRPr="002F75F9">
        <w:rPr>
          <w:b/>
          <w:bCs/>
          <w:color w:val="000000"/>
        </w:rPr>
        <w:t xml:space="preserve">guarantee that any restrictions of that right comply with the strict requirements of article 21 of the Covenant. It should also ensure that its legislation allows the use of potentially lethal force by law enforcement officers in the context of assemblies </w:t>
      </w:r>
      <w:r>
        <w:rPr>
          <w:b/>
          <w:bCs/>
          <w:color w:val="000000"/>
        </w:rPr>
        <w:t xml:space="preserve">only </w:t>
      </w:r>
      <w:r w:rsidRPr="002F75F9">
        <w:rPr>
          <w:b/>
          <w:bCs/>
          <w:color w:val="000000"/>
        </w:rPr>
        <w:t xml:space="preserve">as a last resort and only when necessary to protect life or prevent serious injury from an imminent threat. The State party should ensure that </w:t>
      </w:r>
      <w:r>
        <w:rPr>
          <w:b/>
          <w:bCs/>
          <w:color w:val="000000"/>
        </w:rPr>
        <w:t xml:space="preserve">members of </w:t>
      </w:r>
      <w:r w:rsidRPr="002F75F9">
        <w:rPr>
          <w:b/>
          <w:bCs/>
          <w:color w:val="000000"/>
        </w:rPr>
        <w:t xml:space="preserve">law enforcement and security forces receive specific training on non-violent methods for policing assemblies, </w:t>
      </w:r>
      <w:r w:rsidRPr="002F75F9">
        <w:rPr>
          <w:b/>
          <w:bCs/>
          <w:color w:val="000000"/>
        </w:rPr>
        <w:lastRenderedPageBreak/>
        <w:t xml:space="preserve">in addition to training on international standards for the appropriate use of force, including the Basic Principles on the Use of Force and Firearms by Law Enforcement Officials and the United Nations Human Rights Guidance on Less-Lethal Weapons in Law Enforcement. </w:t>
      </w:r>
    </w:p>
    <w:p w14:paraId="08DC98B9" w14:textId="6698CDD3" w:rsidR="000C047D" w:rsidRPr="002F75F9" w:rsidRDefault="000C047D" w:rsidP="000C047D">
      <w:pPr>
        <w:pStyle w:val="H23G"/>
      </w:pPr>
      <w:r w:rsidRPr="002F75F9">
        <w:tab/>
      </w:r>
      <w:r w:rsidRPr="002F75F9">
        <w:tab/>
        <w:t>Rights of the child</w:t>
      </w:r>
    </w:p>
    <w:p w14:paraId="11DBB206" w14:textId="1A051695"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color w:val="000000"/>
        </w:rPr>
      </w:pPr>
      <w:r w:rsidRPr="002F75F9">
        <w:rPr>
          <w:color w:val="000000"/>
        </w:rPr>
        <w:t>36.</w:t>
      </w:r>
      <w:r w:rsidRPr="002F75F9">
        <w:rPr>
          <w:color w:val="000000"/>
        </w:rPr>
        <w:tab/>
        <w:t>While acknowledging the significant steps taken by the State party to increase the birth registration</w:t>
      </w:r>
      <w:r>
        <w:rPr>
          <w:color w:val="000000"/>
        </w:rPr>
        <w:t xml:space="preserve"> rate, including through the development of the civil registration and identification bill,</w:t>
      </w:r>
      <w:r w:rsidRPr="002F75F9">
        <w:rPr>
          <w:color w:val="000000"/>
        </w:rPr>
        <w:t xml:space="preserve"> the Committee is concerned by the </w:t>
      </w:r>
      <w:r>
        <w:rPr>
          <w:color w:val="000000"/>
        </w:rPr>
        <w:t>persistently</w:t>
      </w:r>
      <w:r w:rsidRPr="002F75F9">
        <w:rPr>
          <w:color w:val="000000"/>
        </w:rPr>
        <w:t xml:space="preserve"> low birth registration rates in some regions, particularly among marginali</w:t>
      </w:r>
      <w:r>
        <w:rPr>
          <w:color w:val="000000"/>
        </w:rPr>
        <w:t>z</w:t>
      </w:r>
      <w:r w:rsidRPr="002F75F9">
        <w:rPr>
          <w:color w:val="000000"/>
        </w:rPr>
        <w:t>ed communities such as the San</w:t>
      </w:r>
      <w:r>
        <w:rPr>
          <w:color w:val="000000"/>
        </w:rPr>
        <w:t xml:space="preserve">. The lack of birth registration </w:t>
      </w:r>
      <w:r w:rsidRPr="002F75F9">
        <w:rPr>
          <w:color w:val="000000"/>
        </w:rPr>
        <w:t>further exacerbat</w:t>
      </w:r>
      <w:r>
        <w:rPr>
          <w:color w:val="000000"/>
        </w:rPr>
        <w:t>es their</w:t>
      </w:r>
      <w:r w:rsidRPr="002F75F9">
        <w:rPr>
          <w:color w:val="000000"/>
        </w:rPr>
        <w:t xml:space="preserve"> marginalization</w:t>
      </w:r>
      <w:r>
        <w:rPr>
          <w:color w:val="000000"/>
        </w:rPr>
        <w:t xml:space="preserve">, as they are unable to obtain </w:t>
      </w:r>
      <w:r w:rsidRPr="002F75F9">
        <w:rPr>
          <w:color w:val="000000"/>
        </w:rPr>
        <w:t>national identification cards</w:t>
      </w:r>
      <w:r>
        <w:rPr>
          <w:color w:val="000000"/>
        </w:rPr>
        <w:t>,</w:t>
      </w:r>
      <w:r w:rsidRPr="002F75F9">
        <w:rPr>
          <w:color w:val="000000"/>
        </w:rPr>
        <w:t xml:space="preserve"> </w:t>
      </w:r>
      <w:r>
        <w:rPr>
          <w:color w:val="000000"/>
        </w:rPr>
        <w:t xml:space="preserve">which they need </w:t>
      </w:r>
      <w:proofErr w:type="gramStart"/>
      <w:r>
        <w:rPr>
          <w:color w:val="000000"/>
        </w:rPr>
        <w:t>in order to</w:t>
      </w:r>
      <w:proofErr w:type="gramEnd"/>
      <w:r>
        <w:rPr>
          <w:color w:val="000000"/>
        </w:rPr>
        <w:t xml:space="preserve"> gain access to</w:t>
      </w:r>
      <w:r w:rsidRPr="002F75F9">
        <w:rPr>
          <w:color w:val="000000"/>
        </w:rPr>
        <w:t xml:space="preserve"> social programmes and</w:t>
      </w:r>
      <w:r>
        <w:rPr>
          <w:color w:val="000000"/>
        </w:rPr>
        <w:t xml:space="preserve"> to</w:t>
      </w:r>
      <w:r w:rsidRPr="002F75F9">
        <w:rPr>
          <w:color w:val="000000"/>
        </w:rPr>
        <w:t xml:space="preserve"> register to vote. The Committee welcomes measures being implemented by the State party to address child abuse, including sexual abuse, but is concerned by the prevalence of violence against children and regrets the lack of </w:t>
      </w:r>
      <w:bookmarkStart w:id="1" w:name="_Hlk161058654"/>
      <w:r w:rsidRPr="002F75F9">
        <w:rPr>
          <w:color w:val="000000"/>
        </w:rPr>
        <w:t xml:space="preserve">information provided on action taken to combat growing concerns about online child sexual exploitation and abuse. </w:t>
      </w:r>
      <w:bookmarkEnd w:id="1"/>
      <w:r w:rsidRPr="002F75F9">
        <w:rPr>
          <w:color w:val="000000"/>
        </w:rPr>
        <w:t>The Committee is concerned by the continued prevalence of child marriage under customary laws</w:t>
      </w:r>
      <w:r>
        <w:rPr>
          <w:color w:val="000000"/>
        </w:rPr>
        <w:t>,</w:t>
      </w:r>
      <w:r w:rsidRPr="002F75F9">
        <w:rPr>
          <w:color w:val="000000"/>
        </w:rPr>
        <w:t xml:space="preserve"> despite its prohibition under the Child</w:t>
      </w:r>
      <w:r>
        <w:rPr>
          <w:color w:val="000000"/>
        </w:rPr>
        <w:t xml:space="preserve"> C</w:t>
      </w:r>
      <w:r w:rsidRPr="002F75F9">
        <w:rPr>
          <w:color w:val="000000"/>
        </w:rPr>
        <w:t xml:space="preserve">are </w:t>
      </w:r>
      <w:r>
        <w:rPr>
          <w:color w:val="000000"/>
        </w:rPr>
        <w:t xml:space="preserve">and </w:t>
      </w:r>
      <w:r w:rsidRPr="002F75F9">
        <w:rPr>
          <w:color w:val="000000"/>
        </w:rPr>
        <w:t>Protection Act</w:t>
      </w:r>
      <w:r>
        <w:rPr>
          <w:color w:val="000000"/>
        </w:rPr>
        <w:t>,</w:t>
      </w:r>
      <w:r w:rsidRPr="002F75F9">
        <w:rPr>
          <w:color w:val="000000"/>
        </w:rPr>
        <w:t xml:space="preserve"> and regrets the lack of information provided on</w:t>
      </w:r>
      <w:r>
        <w:rPr>
          <w:color w:val="000000"/>
        </w:rPr>
        <w:t xml:space="preserve"> the</w:t>
      </w:r>
      <w:r w:rsidRPr="002F75F9">
        <w:rPr>
          <w:color w:val="000000"/>
        </w:rPr>
        <w:t xml:space="preserve"> implementation of the recommendations made </w:t>
      </w:r>
      <w:r>
        <w:rPr>
          <w:color w:val="000000"/>
        </w:rPr>
        <w:t>as part of</w:t>
      </w:r>
      <w:r w:rsidRPr="002F75F9">
        <w:rPr>
          <w:color w:val="000000"/>
        </w:rPr>
        <w:t xml:space="preserve"> the Government</w:t>
      </w:r>
      <w:r w:rsidR="003F264E">
        <w:rPr>
          <w:color w:val="000000"/>
        </w:rPr>
        <w:t>’</w:t>
      </w:r>
      <w:r w:rsidRPr="002F75F9">
        <w:rPr>
          <w:color w:val="000000"/>
        </w:rPr>
        <w:t>s study on child marriage</w:t>
      </w:r>
      <w:r>
        <w:rPr>
          <w:color w:val="000000"/>
        </w:rPr>
        <w:t>,</w:t>
      </w:r>
      <w:r w:rsidRPr="002F75F9">
        <w:rPr>
          <w:color w:val="000000"/>
        </w:rPr>
        <w:t xml:space="preserve"> conducted in 2020 (arts. 2, 7 and 24).</w:t>
      </w:r>
    </w:p>
    <w:p w14:paraId="3449483A" w14:textId="77777777" w:rsidR="000C047D" w:rsidRPr="002F75F9" w:rsidRDefault="000C047D" w:rsidP="000C047D">
      <w:pPr>
        <w:pStyle w:val="SingleTxtG"/>
        <w:rPr>
          <w:b/>
          <w:bCs/>
        </w:rPr>
      </w:pPr>
      <w:r w:rsidRPr="0033589C">
        <w:t>37.</w:t>
      </w:r>
      <w:r w:rsidRPr="002F75F9">
        <w:rPr>
          <w:b/>
          <w:bCs/>
        </w:rPr>
        <w:tab/>
        <w:t>The State party should:</w:t>
      </w:r>
    </w:p>
    <w:p w14:paraId="7A64ADD0" w14:textId="77777777" w:rsidR="000C047D" w:rsidRPr="00DE127C" w:rsidRDefault="000C047D" w:rsidP="00DE127C">
      <w:pPr>
        <w:pStyle w:val="SingleTxtG"/>
        <w:rPr>
          <w:b/>
          <w:bCs/>
        </w:rPr>
      </w:pPr>
      <w:r>
        <w:tab/>
      </w:r>
      <w:r w:rsidRPr="002F75F9">
        <w:t>(a)</w:t>
      </w:r>
      <w:r w:rsidRPr="002F75F9">
        <w:tab/>
      </w:r>
      <w:r w:rsidRPr="00DE127C">
        <w:rPr>
          <w:b/>
          <w:bCs/>
        </w:rPr>
        <w:t xml:space="preserve">Continue and expand measures aimed at increasing access to birth registration, particularly among marginalized communities in rural and remote areas, and expedite the finalization and adoption of the civil registration and identification bill, in line with international standards; </w:t>
      </w:r>
    </w:p>
    <w:p w14:paraId="036CEF1D" w14:textId="77777777" w:rsidR="000C047D" w:rsidRPr="00DE127C" w:rsidRDefault="000C047D" w:rsidP="00DE127C">
      <w:pPr>
        <w:pStyle w:val="SingleTxtG"/>
        <w:rPr>
          <w:b/>
          <w:bCs/>
        </w:rPr>
      </w:pPr>
      <w:r>
        <w:tab/>
      </w:r>
      <w:r w:rsidRPr="002F75F9">
        <w:t>(b)</w:t>
      </w:r>
      <w:r w:rsidRPr="002F75F9">
        <w:tab/>
      </w:r>
      <w:r w:rsidRPr="00DE127C">
        <w:rPr>
          <w:b/>
          <w:bCs/>
        </w:rPr>
        <w:t>Ensure full implementation of the national plan of action to end violence against children and take the steps necessary to combat online child sexual exploitation and abuse, including through the finalization and adoption of the combating of sexual exploitation bill, in line with international standards;</w:t>
      </w:r>
    </w:p>
    <w:p w14:paraId="051DEA67" w14:textId="09A32792" w:rsidR="000C047D" w:rsidRPr="002F75F9" w:rsidRDefault="00DE127C" w:rsidP="00DE127C">
      <w:pPr>
        <w:pStyle w:val="SingleTxtG"/>
      </w:pPr>
      <w:r>
        <w:tab/>
      </w:r>
      <w:r w:rsidR="000C047D">
        <w:t>(c)</w:t>
      </w:r>
      <w:r w:rsidR="000C047D" w:rsidRPr="002F75F9">
        <w:tab/>
      </w:r>
      <w:r w:rsidR="000C047D" w:rsidRPr="00DE127C">
        <w:rPr>
          <w:b/>
          <w:bCs/>
        </w:rPr>
        <w:t>Bearing in mind the recommendation by the Committee on the Elimination of Discrimination Against Women,</w:t>
      </w:r>
      <w:r w:rsidR="000C047D" w:rsidRPr="00DE127C">
        <w:rPr>
          <w:rStyle w:val="FootnoteReference"/>
        </w:rPr>
        <w:footnoteReference w:id="7"/>
      </w:r>
      <w:r w:rsidR="000C047D" w:rsidRPr="00DE127C">
        <w:rPr>
          <w:b/>
          <w:bCs/>
        </w:rPr>
        <w:t xml:space="preserve"> address the root causes of child marriage.</w:t>
      </w:r>
      <w:r w:rsidR="003F264E">
        <w:t xml:space="preserve"> </w:t>
      </w:r>
    </w:p>
    <w:p w14:paraId="67B6341A" w14:textId="09192DB6" w:rsidR="000C047D" w:rsidRPr="002F75F9" w:rsidRDefault="000C047D" w:rsidP="000C047D">
      <w:pPr>
        <w:pStyle w:val="H23G"/>
      </w:pPr>
      <w:r w:rsidRPr="002F75F9">
        <w:tab/>
      </w:r>
      <w:r w:rsidRPr="002F75F9">
        <w:tab/>
        <w:t>Participation in public affairs</w:t>
      </w:r>
      <w:r w:rsidR="003F264E">
        <w:t xml:space="preserve"> </w:t>
      </w:r>
    </w:p>
    <w:p w14:paraId="53F9BC9C" w14:textId="77777777" w:rsidR="000C047D" w:rsidRPr="002F75F9" w:rsidRDefault="000C047D" w:rsidP="000C047D">
      <w:pPr>
        <w:pStyle w:val="SingleTxtG"/>
      </w:pPr>
      <w:r w:rsidRPr="002F75F9">
        <w:t>38.</w:t>
      </w:r>
      <w:r w:rsidRPr="002F75F9">
        <w:tab/>
        <w:t xml:space="preserve">The Committee is concerned by the very low level of participation by </w:t>
      </w:r>
      <w:r>
        <w:t>I</w:t>
      </w:r>
      <w:r w:rsidRPr="002F75F9">
        <w:t xml:space="preserve">ndigenous </w:t>
      </w:r>
      <w:r>
        <w:t>P</w:t>
      </w:r>
      <w:r w:rsidRPr="002F75F9">
        <w:t>eoples in political life and public administration, noting the near absence of members of these communities in governance structures at the national and local levels</w:t>
      </w:r>
      <w:r>
        <w:t>,</w:t>
      </w:r>
      <w:r w:rsidRPr="002F75F9">
        <w:t xml:space="preserve"> including the Parliament and regional councils. The Committee notes that the</w:t>
      </w:r>
      <w:r>
        <w:t xml:space="preserve"> Division of Disability Affairs and</w:t>
      </w:r>
      <w:r w:rsidRPr="002F75F9">
        <w:t xml:space="preserve"> Marginalized Communities </w:t>
      </w:r>
      <w:r>
        <w:t xml:space="preserve">within </w:t>
      </w:r>
      <w:r w:rsidRPr="002F75F9">
        <w:t xml:space="preserve">the Ministry of Gender Equality, Poverty Eradication and Social Welfare encourages self-representation at different levels </w:t>
      </w:r>
      <w:r>
        <w:t>but does not focus</w:t>
      </w:r>
      <w:r w:rsidRPr="002F75F9">
        <w:t xml:space="preserve"> on representation in governance structures</w:t>
      </w:r>
      <w:r>
        <w:t>,</w:t>
      </w:r>
      <w:r w:rsidRPr="002F75F9">
        <w:t xml:space="preserve"> and </w:t>
      </w:r>
      <w:r>
        <w:t xml:space="preserve">that it </w:t>
      </w:r>
      <w:r w:rsidRPr="002F75F9">
        <w:t xml:space="preserve">targets only certain </w:t>
      </w:r>
      <w:r>
        <w:t>I</w:t>
      </w:r>
      <w:r w:rsidRPr="002F75F9">
        <w:t xml:space="preserve">ndigenous </w:t>
      </w:r>
      <w:r>
        <w:t>P</w:t>
      </w:r>
      <w:r w:rsidRPr="002F75F9">
        <w:t xml:space="preserve">eoples, namely the San, Ovatue and Ovatjimba. The Committee is also concerned about the </w:t>
      </w:r>
      <w:r>
        <w:t xml:space="preserve">lack of </w:t>
      </w:r>
      <w:r w:rsidRPr="002F75F9">
        <w:t xml:space="preserve">recognition of the traditional chiefs of some </w:t>
      </w:r>
      <w:r>
        <w:t>I</w:t>
      </w:r>
      <w:r w:rsidRPr="002F75F9">
        <w:t xml:space="preserve">ndigenous </w:t>
      </w:r>
      <w:r>
        <w:t>P</w:t>
      </w:r>
      <w:r w:rsidRPr="002F75F9">
        <w:t>eoples under the Traditional Authorities Act (</w:t>
      </w:r>
      <w:r>
        <w:t xml:space="preserve">Act No. 25 of </w:t>
      </w:r>
      <w:r w:rsidRPr="002F75F9">
        <w:t xml:space="preserve">2000) even </w:t>
      </w:r>
      <w:r>
        <w:t>though</w:t>
      </w:r>
      <w:r w:rsidRPr="002F75F9">
        <w:t xml:space="preserve"> they are recognized by their own people, which prevents them from autonomously managing </w:t>
      </w:r>
      <w:r>
        <w:t xml:space="preserve">the </w:t>
      </w:r>
      <w:r w:rsidRPr="002F75F9">
        <w:t>communal land allocated to them (arts. 25 and 27).</w:t>
      </w:r>
    </w:p>
    <w:p w14:paraId="2EC58D7B" w14:textId="77777777" w:rsidR="000C047D" w:rsidRPr="002F75F9" w:rsidRDefault="000C047D" w:rsidP="000C047D">
      <w:pPr>
        <w:pStyle w:val="SingleTxtG"/>
        <w:rPr>
          <w:b/>
          <w:bCs/>
        </w:rPr>
      </w:pPr>
      <w:r w:rsidRPr="00C0027D">
        <w:t>39.</w:t>
      </w:r>
      <w:r w:rsidRPr="002F75F9">
        <w:rPr>
          <w:b/>
          <w:bCs/>
        </w:rPr>
        <w:tab/>
        <w:t xml:space="preserve">The State party should take </w:t>
      </w:r>
      <w:r>
        <w:rPr>
          <w:b/>
          <w:bCs/>
        </w:rPr>
        <w:t xml:space="preserve">the </w:t>
      </w:r>
      <w:r w:rsidRPr="002F75F9">
        <w:rPr>
          <w:b/>
          <w:bCs/>
        </w:rPr>
        <w:t>measures</w:t>
      </w:r>
      <w:r w:rsidRPr="00483F34">
        <w:rPr>
          <w:b/>
          <w:bCs/>
        </w:rPr>
        <w:t xml:space="preserve"> </w:t>
      </w:r>
      <w:r w:rsidRPr="002F75F9">
        <w:rPr>
          <w:b/>
          <w:bCs/>
        </w:rPr>
        <w:t xml:space="preserve">necessary to increase the representation of all </w:t>
      </w:r>
      <w:r>
        <w:rPr>
          <w:b/>
          <w:bCs/>
        </w:rPr>
        <w:t>I</w:t>
      </w:r>
      <w:r w:rsidRPr="002F75F9">
        <w:rPr>
          <w:b/>
          <w:bCs/>
        </w:rPr>
        <w:t xml:space="preserve">ndigenous </w:t>
      </w:r>
      <w:r>
        <w:rPr>
          <w:b/>
          <w:bCs/>
        </w:rPr>
        <w:t>P</w:t>
      </w:r>
      <w:r w:rsidRPr="002F75F9">
        <w:rPr>
          <w:b/>
          <w:bCs/>
        </w:rPr>
        <w:t xml:space="preserve">eoples in governance structures and public administration, ensuring their effective participation in decision-making structures and the development of </w:t>
      </w:r>
      <w:r>
        <w:rPr>
          <w:b/>
          <w:bCs/>
        </w:rPr>
        <w:t xml:space="preserve">related </w:t>
      </w:r>
      <w:r w:rsidRPr="002F75F9">
        <w:rPr>
          <w:b/>
          <w:bCs/>
        </w:rPr>
        <w:t>policies. It should also review the process and criteria relating to applications for</w:t>
      </w:r>
      <w:r>
        <w:rPr>
          <w:b/>
          <w:bCs/>
        </w:rPr>
        <w:t xml:space="preserve"> the</w:t>
      </w:r>
      <w:r w:rsidRPr="002F75F9">
        <w:rPr>
          <w:b/>
          <w:bCs/>
        </w:rPr>
        <w:t xml:space="preserve"> recognition of traditional chiefs under the Traditional Authorities Act, in consultation with unrepresented </w:t>
      </w:r>
      <w:r>
        <w:rPr>
          <w:b/>
          <w:bCs/>
        </w:rPr>
        <w:t>I</w:t>
      </w:r>
      <w:r w:rsidRPr="002F75F9">
        <w:rPr>
          <w:b/>
          <w:bCs/>
        </w:rPr>
        <w:t xml:space="preserve">ndigenous </w:t>
      </w:r>
      <w:r>
        <w:rPr>
          <w:b/>
          <w:bCs/>
        </w:rPr>
        <w:t>P</w:t>
      </w:r>
      <w:r w:rsidRPr="002F75F9">
        <w:rPr>
          <w:b/>
          <w:bCs/>
        </w:rPr>
        <w:t>eoples or peoples that contest their appointed representative.</w:t>
      </w:r>
    </w:p>
    <w:p w14:paraId="6BD1753B" w14:textId="77777777" w:rsidR="000C047D" w:rsidRPr="002F75F9" w:rsidRDefault="000C047D" w:rsidP="000C047D">
      <w:pPr>
        <w:pStyle w:val="H23G"/>
      </w:pPr>
      <w:r w:rsidRPr="002F75F9">
        <w:lastRenderedPageBreak/>
        <w:tab/>
      </w:r>
      <w:r w:rsidRPr="002F75F9">
        <w:tab/>
        <w:t>Rights of Indigenous Peoples</w:t>
      </w:r>
    </w:p>
    <w:p w14:paraId="5D8B588F" w14:textId="77777777"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color w:val="000000"/>
        </w:rPr>
      </w:pPr>
      <w:r w:rsidRPr="002F75F9">
        <w:rPr>
          <w:color w:val="000000"/>
        </w:rPr>
        <w:t>40.</w:t>
      </w:r>
      <w:r w:rsidRPr="002F75F9">
        <w:rPr>
          <w:color w:val="000000"/>
        </w:rPr>
        <w:tab/>
        <w:t xml:space="preserve">The Committee is concerned that the State party does not recognize communities such as the San, Himba, Ovatue, Ovatjimba, and Ovazemba as </w:t>
      </w:r>
      <w:r>
        <w:rPr>
          <w:color w:val="000000"/>
        </w:rPr>
        <w:t>I</w:t>
      </w:r>
      <w:r w:rsidRPr="002F75F9">
        <w:rPr>
          <w:color w:val="000000"/>
        </w:rPr>
        <w:t xml:space="preserve">ndigenous </w:t>
      </w:r>
      <w:r>
        <w:rPr>
          <w:color w:val="000000"/>
        </w:rPr>
        <w:t>P</w:t>
      </w:r>
      <w:r w:rsidRPr="002F75F9">
        <w:rPr>
          <w:color w:val="000000"/>
        </w:rPr>
        <w:t>eoples, referring to them as marginali</w:t>
      </w:r>
      <w:r>
        <w:rPr>
          <w:color w:val="000000"/>
        </w:rPr>
        <w:t>z</w:t>
      </w:r>
      <w:r w:rsidRPr="002F75F9">
        <w:rPr>
          <w:color w:val="000000"/>
        </w:rPr>
        <w:t xml:space="preserve">ed communities, notwithstanding the fact that </w:t>
      </w:r>
      <w:r>
        <w:rPr>
          <w:color w:val="000000"/>
        </w:rPr>
        <w:t>I</w:t>
      </w:r>
      <w:r w:rsidRPr="002F75F9">
        <w:rPr>
          <w:color w:val="000000"/>
        </w:rPr>
        <w:t xml:space="preserve">ndigenous </w:t>
      </w:r>
      <w:r>
        <w:rPr>
          <w:color w:val="000000"/>
        </w:rPr>
        <w:t>P</w:t>
      </w:r>
      <w:r w:rsidRPr="002F75F9">
        <w:rPr>
          <w:color w:val="000000"/>
        </w:rPr>
        <w:t>eoples are entitled</w:t>
      </w:r>
      <w:r>
        <w:rPr>
          <w:color w:val="000000"/>
        </w:rPr>
        <w:t>,</w:t>
      </w:r>
      <w:r w:rsidRPr="002F75F9">
        <w:rPr>
          <w:color w:val="000000"/>
        </w:rPr>
        <w:t xml:space="preserve"> under international standards</w:t>
      </w:r>
      <w:r>
        <w:rPr>
          <w:color w:val="000000"/>
        </w:rPr>
        <w:t>,</w:t>
      </w:r>
      <w:r w:rsidRPr="002F75F9">
        <w:rPr>
          <w:color w:val="000000"/>
        </w:rPr>
        <w:t xml:space="preserve"> to rights related to their cultural, </w:t>
      </w:r>
      <w:proofErr w:type="gramStart"/>
      <w:r w:rsidRPr="002F75F9">
        <w:rPr>
          <w:color w:val="000000"/>
        </w:rPr>
        <w:t>social</w:t>
      </w:r>
      <w:proofErr w:type="gramEnd"/>
      <w:r w:rsidRPr="002F75F9">
        <w:rPr>
          <w:color w:val="000000"/>
        </w:rPr>
        <w:t xml:space="preserve"> and economic development</w:t>
      </w:r>
      <w:r>
        <w:rPr>
          <w:color w:val="000000"/>
        </w:rPr>
        <w:t>,</w:t>
      </w:r>
      <w:r w:rsidRPr="002F75F9">
        <w:rPr>
          <w:color w:val="000000"/>
        </w:rPr>
        <w:t xml:space="preserve"> as well as to free, prior and informed consent on issues that affect them. The Committee remains concerned that </w:t>
      </w:r>
      <w:r>
        <w:rPr>
          <w:color w:val="000000"/>
        </w:rPr>
        <w:t>I</w:t>
      </w:r>
      <w:r w:rsidRPr="002F75F9">
        <w:rPr>
          <w:color w:val="000000"/>
        </w:rPr>
        <w:t xml:space="preserve">ndigenous </w:t>
      </w:r>
      <w:r>
        <w:rPr>
          <w:color w:val="000000"/>
        </w:rPr>
        <w:t>P</w:t>
      </w:r>
      <w:r w:rsidRPr="002F75F9">
        <w:rPr>
          <w:color w:val="000000"/>
        </w:rPr>
        <w:t>eoples are insufficiently consulted regarding the extraction of natural resources on their lands</w:t>
      </w:r>
      <w:r>
        <w:rPr>
          <w:color w:val="000000"/>
        </w:rPr>
        <w:t xml:space="preserve">, with a view to </w:t>
      </w:r>
      <w:r w:rsidRPr="002F75F9">
        <w:rPr>
          <w:color w:val="000000"/>
        </w:rPr>
        <w:t>obtain</w:t>
      </w:r>
      <w:r>
        <w:rPr>
          <w:color w:val="000000"/>
        </w:rPr>
        <w:t>ing</w:t>
      </w:r>
      <w:r w:rsidRPr="002F75F9">
        <w:rPr>
          <w:color w:val="000000"/>
        </w:rPr>
        <w:t xml:space="preserve"> their free, </w:t>
      </w:r>
      <w:proofErr w:type="gramStart"/>
      <w:r w:rsidRPr="002F75F9">
        <w:rPr>
          <w:color w:val="000000"/>
        </w:rPr>
        <w:t>prior</w:t>
      </w:r>
      <w:proofErr w:type="gramEnd"/>
      <w:r w:rsidRPr="002F75F9">
        <w:rPr>
          <w:color w:val="000000"/>
        </w:rPr>
        <w:t xml:space="preserve"> and informed consent. The Committee notes that</w:t>
      </w:r>
      <w:r>
        <w:rPr>
          <w:color w:val="000000"/>
        </w:rPr>
        <w:t>,</w:t>
      </w:r>
      <w:r w:rsidRPr="002F75F9">
        <w:rPr>
          <w:color w:val="000000"/>
        </w:rPr>
        <w:t xml:space="preserve"> under the Environmental Management Act (</w:t>
      </w:r>
      <w:r>
        <w:rPr>
          <w:color w:val="000000"/>
        </w:rPr>
        <w:t xml:space="preserve">Act No. 7 of </w:t>
      </w:r>
      <w:r w:rsidRPr="002F75F9">
        <w:rPr>
          <w:color w:val="000000"/>
        </w:rPr>
        <w:t>2007)</w:t>
      </w:r>
      <w:r>
        <w:rPr>
          <w:color w:val="000000"/>
        </w:rPr>
        <w:t>,</w:t>
      </w:r>
      <w:r w:rsidRPr="002F75F9">
        <w:rPr>
          <w:color w:val="000000"/>
        </w:rPr>
        <w:t xml:space="preserve"> an environmental impact assessment must be undertaken and an environmental clearance certificate obtained prior to commencing a mining or development project</w:t>
      </w:r>
      <w:r>
        <w:rPr>
          <w:color w:val="000000"/>
        </w:rPr>
        <w:t>,</w:t>
      </w:r>
      <w:r w:rsidRPr="002F75F9">
        <w:rPr>
          <w:color w:val="000000"/>
        </w:rPr>
        <w:t xml:space="preserve"> but is concerned at the lack of safeguards to ensure meaningful consultation with affected peoples and </w:t>
      </w:r>
      <w:r>
        <w:rPr>
          <w:color w:val="000000"/>
        </w:rPr>
        <w:t xml:space="preserve">to </w:t>
      </w:r>
      <w:r w:rsidRPr="002F75F9">
        <w:rPr>
          <w:color w:val="000000"/>
        </w:rPr>
        <w:t>promote their involvement in natural resource management and the sharing of benefits, as per the terms of the Act (arts. 1, 2 and 27).</w:t>
      </w:r>
    </w:p>
    <w:p w14:paraId="45D1572A" w14:textId="77777777"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color w:val="000000"/>
        </w:rPr>
      </w:pPr>
      <w:r w:rsidRPr="00C0027D">
        <w:rPr>
          <w:bCs/>
        </w:rPr>
        <w:t>41.</w:t>
      </w:r>
      <w:r w:rsidRPr="00C0027D">
        <w:rPr>
          <w:bCs/>
        </w:rPr>
        <w:tab/>
      </w:r>
      <w:r w:rsidRPr="002F75F9">
        <w:rPr>
          <w:b/>
        </w:rPr>
        <w:t>The State party should consider recogni</w:t>
      </w:r>
      <w:r>
        <w:rPr>
          <w:b/>
        </w:rPr>
        <w:t>z</w:t>
      </w:r>
      <w:r w:rsidRPr="002F75F9">
        <w:rPr>
          <w:b/>
        </w:rPr>
        <w:t xml:space="preserve">ing communities such as the San, Himba, Ovatue, Ovatjimba and Ovazemba as </w:t>
      </w:r>
      <w:r>
        <w:rPr>
          <w:b/>
        </w:rPr>
        <w:t>I</w:t>
      </w:r>
      <w:r w:rsidRPr="002F75F9">
        <w:rPr>
          <w:b/>
        </w:rPr>
        <w:t xml:space="preserve">ndigenous </w:t>
      </w:r>
      <w:r>
        <w:rPr>
          <w:b/>
        </w:rPr>
        <w:t>P</w:t>
      </w:r>
      <w:r w:rsidRPr="002F75F9">
        <w:rPr>
          <w:b/>
        </w:rPr>
        <w:t xml:space="preserve">eoples with </w:t>
      </w:r>
      <w:r>
        <w:rPr>
          <w:b/>
        </w:rPr>
        <w:t xml:space="preserve">the </w:t>
      </w:r>
      <w:r w:rsidRPr="002F75F9">
        <w:rPr>
          <w:b/>
        </w:rPr>
        <w:t>concomitant rights recognized in international standards</w:t>
      </w:r>
      <w:r>
        <w:rPr>
          <w:b/>
        </w:rPr>
        <w:t>,</w:t>
      </w:r>
      <w:r w:rsidRPr="002F75F9">
        <w:rPr>
          <w:b/>
        </w:rPr>
        <w:t xml:space="preserve"> such as the </w:t>
      </w:r>
      <w:r w:rsidRPr="002F75F9">
        <w:rPr>
          <w:b/>
          <w:color w:val="000000"/>
        </w:rPr>
        <w:t>United Nations Declaration on the Rights of Indigenous Peoples</w:t>
      </w:r>
      <w:r>
        <w:rPr>
          <w:b/>
          <w:color w:val="000000"/>
        </w:rPr>
        <w:t>,</w:t>
      </w:r>
      <w:r w:rsidRPr="002F75F9">
        <w:rPr>
          <w:b/>
          <w:color w:val="000000"/>
        </w:rPr>
        <w:t xml:space="preserve"> and</w:t>
      </w:r>
      <w:r w:rsidRPr="002F75F9">
        <w:rPr>
          <w:b/>
        </w:rPr>
        <w:t xml:space="preserve"> ensure meaningful consultation of </w:t>
      </w:r>
      <w:r>
        <w:rPr>
          <w:b/>
        </w:rPr>
        <w:t>I</w:t>
      </w:r>
      <w:r w:rsidRPr="002F75F9">
        <w:rPr>
          <w:b/>
        </w:rPr>
        <w:t>ndigenous groups</w:t>
      </w:r>
      <w:r w:rsidRPr="002F75F9">
        <w:rPr>
          <w:b/>
          <w:bCs/>
          <w:color w:val="000000"/>
          <w:lang w:eastAsia="de-DE"/>
        </w:rPr>
        <w:t xml:space="preserve"> prior to granting licences to </w:t>
      </w:r>
      <w:r>
        <w:rPr>
          <w:b/>
          <w:bCs/>
          <w:color w:val="000000"/>
          <w:lang w:eastAsia="de-DE"/>
        </w:rPr>
        <w:t>private enterprises seeking to exploit</w:t>
      </w:r>
      <w:r w:rsidRPr="002F75F9">
        <w:rPr>
          <w:b/>
          <w:bCs/>
          <w:color w:val="000000"/>
          <w:lang w:eastAsia="de-DE"/>
        </w:rPr>
        <w:t xml:space="preserve"> resources on the</w:t>
      </w:r>
      <w:r>
        <w:rPr>
          <w:b/>
          <w:bCs/>
          <w:color w:val="000000"/>
          <w:lang w:eastAsia="de-DE"/>
        </w:rPr>
        <w:t xml:space="preserve"> </w:t>
      </w:r>
      <w:r w:rsidRPr="002F75F9">
        <w:rPr>
          <w:b/>
          <w:bCs/>
          <w:color w:val="000000"/>
          <w:lang w:eastAsia="de-DE"/>
        </w:rPr>
        <w:t>lands</w:t>
      </w:r>
      <w:r>
        <w:rPr>
          <w:b/>
          <w:bCs/>
          <w:color w:val="000000"/>
          <w:lang w:eastAsia="de-DE"/>
        </w:rPr>
        <w:t xml:space="preserve"> of Indigenous Peoples</w:t>
      </w:r>
      <w:r w:rsidRPr="002F75F9">
        <w:rPr>
          <w:b/>
          <w:bCs/>
          <w:color w:val="000000"/>
          <w:lang w:eastAsia="de-DE"/>
        </w:rPr>
        <w:t xml:space="preserve">, with a view to obtaining their free, prior and informed consent. </w:t>
      </w:r>
    </w:p>
    <w:p w14:paraId="0B09D1B5" w14:textId="46F810E1" w:rsidR="000C047D" w:rsidRPr="002F75F9" w:rsidRDefault="000C047D" w:rsidP="000C047D">
      <w:pPr>
        <w:pStyle w:val="SingleTxtG"/>
        <w:tabs>
          <w:tab w:val="left" w:pos="567"/>
          <w:tab w:val="left" w:pos="1134"/>
          <w:tab w:val="left" w:pos="2835"/>
          <w:tab w:val="left" w:pos="3402"/>
          <w:tab w:val="left" w:pos="3969"/>
          <w:tab w:val="left" w:pos="4536"/>
          <w:tab w:val="left" w:pos="5103"/>
          <w:tab w:val="left" w:pos="5670"/>
          <w:tab w:val="right" w:pos="8505"/>
        </w:tabs>
        <w:rPr>
          <w:color w:val="000000"/>
        </w:rPr>
      </w:pPr>
      <w:r w:rsidRPr="002F75F9">
        <w:rPr>
          <w:color w:val="000000"/>
        </w:rPr>
        <w:t>42.</w:t>
      </w:r>
      <w:r w:rsidRPr="002F75F9">
        <w:rPr>
          <w:color w:val="000000"/>
        </w:rPr>
        <w:tab/>
        <w:t xml:space="preserve">The Committee notes the information provided regarding the inclusion of the San as a target group of the National Resettlement Policy but is concerned that other </w:t>
      </w:r>
      <w:r>
        <w:rPr>
          <w:color w:val="000000"/>
        </w:rPr>
        <w:t>I</w:t>
      </w:r>
      <w:r w:rsidRPr="002F75F9">
        <w:rPr>
          <w:color w:val="000000"/>
        </w:rPr>
        <w:t xml:space="preserve">ndigenous </w:t>
      </w:r>
      <w:r>
        <w:rPr>
          <w:color w:val="000000"/>
        </w:rPr>
        <w:t>P</w:t>
      </w:r>
      <w:r w:rsidRPr="002F75F9">
        <w:rPr>
          <w:color w:val="000000"/>
        </w:rPr>
        <w:t xml:space="preserve">eoples are not </w:t>
      </w:r>
      <w:r>
        <w:rPr>
          <w:color w:val="000000"/>
        </w:rPr>
        <w:t>included</w:t>
      </w:r>
      <w:r w:rsidRPr="002F75F9">
        <w:rPr>
          <w:color w:val="000000"/>
        </w:rPr>
        <w:t xml:space="preserve"> and that land allocated under the Policy is not always </w:t>
      </w:r>
      <w:r>
        <w:rPr>
          <w:color w:val="000000"/>
        </w:rPr>
        <w:t>in line with</w:t>
      </w:r>
      <w:r w:rsidRPr="002F75F9">
        <w:rPr>
          <w:color w:val="000000"/>
        </w:rPr>
        <w:t xml:space="preserve"> the needs of resettled communities and remains vested in the State. The Committee remains concerned that </w:t>
      </w:r>
      <w:r>
        <w:rPr>
          <w:color w:val="000000"/>
        </w:rPr>
        <w:t xml:space="preserve">the </w:t>
      </w:r>
      <w:r w:rsidRPr="002F75F9">
        <w:rPr>
          <w:color w:val="000000"/>
        </w:rPr>
        <w:t xml:space="preserve">ancestral lands </w:t>
      </w:r>
      <w:r>
        <w:rPr>
          <w:color w:val="000000"/>
        </w:rPr>
        <w:t>that</w:t>
      </w:r>
      <w:r w:rsidRPr="002F75F9">
        <w:rPr>
          <w:color w:val="000000"/>
        </w:rPr>
        <w:t xml:space="preserve"> previously belonged to </w:t>
      </w:r>
      <w:r>
        <w:rPr>
          <w:color w:val="000000"/>
        </w:rPr>
        <w:t>I</w:t>
      </w:r>
      <w:r w:rsidRPr="002F75F9">
        <w:rPr>
          <w:color w:val="000000"/>
        </w:rPr>
        <w:t xml:space="preserve">ndigenous </w:t>
      </w:r>
      <w:r>
        <w:rPr>
          <w:color w:val="000000"/>
        </w:rPr>
        <w:t>P</w:t>
      </w:r>
      <w:r w:rsidRPr="002F75F9">
        <w:rPr>
          <w:color w:val="000000"/>
        </w:rPr>
        <w:t xml:space="preserve">eoples remain under State ownership, and while noting the information provided by the State party </w:t>
      </w:r>
      <w:proofErr w:type="gramStart"/>
      <w:r>
        <w:rPr>
          <w:color w:val="000000"/>
        </w:rPr>
        <w:t>with</w:t>
      </w:r>
      <w:r w:rsidRPr="002F75F9">
        <w:rPr>
          <w:color w:val="000000"/>
        </w:rPr>
        <w:t xml:space="preserve"> regard to</w:t>
      </w:r>
      <w:proofErr w:type="gramEnd"/>
      <w:r w:rsidRPr="002F75F9">
        <w:rPr>
          <w:color w:val="000000"/>
        </w:rPr>
        <w:t xml:space="preserve"> the report by the </w:t>
      </w:r>
      <w:r w:rsidRPr="00C6215A">
        <w:rPr>
          <w:color w:val="000000"/>
        </w:rPr>
        <w:t>Commission of Inquiry into Claims of Ancestral Land Rights and Restitution</w:t>
      </w:r>
      <w:r w:rsidRPr="002F75F9">
        <w:rPr>
          <w:color w:val="000000"/>
        </w:rPr>
        <w:t xml:space="preserve">, it regrets </w:t>
      </w:r>
      <w:r>
        <w:rPr>
          <w:color w:val="000000"/>
        </w:rPr>
        <w:t>that</w:t>
      </w:r>
      <w:r w:rsidRPr="002F75F9">
        <w:rPr>
          <w:color w:val="000000"/>
        </w:rPr>
        <w:t xml:space="preserve"> more specific information </w:t>
      </w:r>
      <w:r>
        <w:rPr>
          <w:color w:val="000000"/>
        </w:rPr>
        <w:t xml:space="preserve">was not provided </w:t>
      </w:r>
      <w:r w:rsidRPr="002F75F9">
        <w:rPr>
          <w:color w:val="000000"/>
        </w:rPr>
        <w:t>on the commission</w:t>
      </w:r>
      <w:r w:rsidR="003F264E">
        <w:rPr>
          <w:color w:val="000000"/>
        </w:rPr>
        <w:t>’</w:t>
      </w:r>
      <w:r w:rsidRPr="002F75F9">
        <w:rPr>
          <w:color w:val="000000"/>
        </w:rPr>
        <w:t xml:space="preserve">s recommendations and how the State party intends to implement them (arts. 1, 2 and 27). </w:t>
      </w:r>
    </w:p>
    <w:p w14:paraId="12BED25E" w14:textId="77777777" w:rsidR="000C047D" w:rsidRDefault="000C047D" w:rsidP="000C047D">
      <w:pPr>
        <w:pStyle w:val="SingleTxtG"/>
        <w:rPr>
          <w:b/>
        </w:rPr>
      </w:pPr>
      <w:r w:rsidRPr="00A34699">
        <w:t>43.</w:t>
      </w:r>
      <w:r w:rsidRPr="002F75F9">
        <w:tab/>
      </w:r>
      <w:r w:rsidRPr="002F75F9">
        <w:rPr>
          <w:b/>
        </w:rPr>
        <w:t xml:space="preserve">The State party should ensure that </w:t>
      </w:r>
      <w:r>
        <w:rPr>
          <w:b/>
        </w:rPr>
        <w:t>I</w:t>
      </w:r>
      <w:r w:rsidRPr="002F75F9">
        <w:rPr>
          <w:b/>
        </w:rPr>
        <w:t xml:space="preserve">ndigenous </w:t>
      </w:r>
      <w:r>
        <w:rPr>
          <w:b/>
        </w:rPr>
        <w:t>P</w:t>
      </w:r>
      <w:r w:rsidRPr="002F75F9">
        <w:rPr>
          <w:b/>
        </w:rPr>
        <w:t>eoples benefit fully from the National Resettlement Policy and that land allocation criteria take account of ancestral land ties. It should also take appropriate measures with a view to promoting</w:t>
      </w:r>
      <w:r>
        <w:rPr>
          <w:b/>
        </w:rPr>
        <w:t xml:space="preserve"> the</w:t>
      </w:r>
      <w:r w:rsidRPr="002F75F9">
        <w:rPr>
          <w:b/>
        </w:rPr>
        <w:t xml:space="preserve"> restitution of ancestral lands to affected communities, including </w:t>
      </w:r>
      <w:r>
        <w:rPr>
          <w:b/>
        </w:rPr>
        <w:t>I</w:t>
      </w:r>
      <w:r w:rsidRPr="002F75F9">
        <w:rPr>
          <w:b/>
        </w:rPr>
        <w:t xml:space="preserve">ndigenous </w:t>
      </w:r>
      <w:r>
        <w:rPr>
          <w:b/>
        </w:rPr>
        <w:t>P</w:t>
      </w:r>
      <w:r w:rsidRPr="002F75F9">
        <w:rPr>
          <w:b/>
        </w:rPr>
        <w:t>eoples.</w:t>
      </w:r>
    </w:p>
    <w:p w14:paraId="3D9909CF" w14:textId="08C31CAA" w:rsidR="000C047D" w:rsidRPr="00302E46" w:rsidRDefault="00C0027D" w:rsidP="00AB4846">
      <w:pPr>
        <w:pStyle w:val="H1G"/>
      </w:pPr>
      <w:r>
        <w:tab/>
      </w:r>
      <w:r w:rsidR="000C047D">
        <w:t>D.</w:t>
      </w:r>
      <w:r w:rsidR="000C047D">
        <w:tab/>
      </w:r>
      <w:r w:rsidR="000C047D" w:rsidRPr="00302E46">
        <w:t xml:space="preserve">Dissemination </w:t>
      </w:r>
      <w:r w:rsidR="000C047D">
        <w:t>and follow-up</w:t>
      </w:r>
    </w:p>
    <w:p w14:paraId="331A23BD" w14:textId="77777777" w:rsidR="000C047D" w:rsidRPr="00F501BD" w:rsidRDefault="000C047D" w:rsidP="000C047D">
      <w:pPr>
        <w:pStyle w:val="SingleTxtG"/>
        <w:rPr>
          <w:b/>
          <w:bCs/>
        </w:rPr>
      </w:pPr>
      <w:r w:rsidRPr="00C0027D">
        <w:t>44.</w:t>
      </w:r>
      <w:r w:rsidRPr="00F501BD">
        <w:tab/>
      </w:r>
      <w:r w:rsidRPr="00F501BD">
        <w:rPr>
          <w:b/>
          <w:bCs/>
        </w:rPr>
        <w:t xml:space="preserve">The State party should widely disseminate the Covenant, </w:t>
      </w:r>
      <w:r w:rsidRPr="0088221F">
        <w:rPr>
          <w:b/>
          <w:bCs/>
        </w:rPr>
        <w:t>the two Optional Protocols thereto</w:t>
      </w:r>
      <w:r w:rsidRPr="00EF2483">
        <w:rPr>
          <w:b/>
          <w:bCs/>
          <w:i/>
          <w:iCs/>
        </w:rPr>
        <w:t>,</w:t>
      </w:r>
      <w:r w:rsidRPr="00F501BD">
        <w:rPr>
          <w:b/>
          <w:bCs/>
        </w:rPr>
        <w:t xml:space="preserve"> </w:t>
      </w:r>
      <w:r w:rsidRPr="00B75E63">
        <w:rPr>
          <w:b/>
          <w:bCs/>
        </w:rPr>
        <w:t xml:space="preserve">its third periodic </w:t>
      </w:r>
      <w:r w:rsidRPr="00F501BD">
        <w:rPr>
          <w:b/>
          <w:bCs/>
        </w:rPr>
        <w:t xml:space="preserve">report and the present concluding observations, with a view to raising awareness of the rights enshrined in the Covenant among the judicial, </w:t>
      </w:r>
      <w:proofErr w:type="gramStart"/>
      <w:r w:rsidRPr="00F501BD">
        <w:rPr>
          <w:b/>
          <w:bCs/>
        </w:rPr>
        <w:t>legislative</w:t>
      </w:r>
      <w:proofErr w:type="gramEnd"/>
      <w:r w:rsidRPr="00F501BD">
        <w:rPr>
          <w:b/>
          <w:bCs/>
        </w:rPr>
        <w:t xml:space="preserve"> and administrative authorities, civil society and non-governmental organizations operating in the country, and the general public. </w:t>
      </w:r>
      <w:r>
        <w:rPr>
          <w:b/>
          <w:bCs/>
        </w:rPr>
        <w:t>The State party should ensure that the periodic report and the present concluding observations are translated into the official languages of the State party.</w:t>
      </w:r>
      <w:r w:rsidRPr="00036E55">
        <w:rPr>
          <w:b/>
          <w:bCs/>
        </w:rPr>
        <w:t xml:space="preserve"> </w:t>
      </w:r>
    </w:p>
    <w:p w14:paraId="0CD9E5D3" w14:textId="333644C6" w:rsidR="000C047D" w:rsidRPr="009B79DA" w:rsidRDefault="000C047D" w:rsidP="000C047D">
      <w:pPr>
        <w:pStyle w:val="SingleTxtG"/>
        <w:rPr>
          <w:b/>
          <w:bCs/>
        </w:rPr>
      </w:pPr>
      <w:r w:rsidRPr="00C0027D">
        <w:t>45.</w:t>
      </w:r>
      <w:r w:rsidRPr="00F501BD">
        <w:tab/>
      </w:r>
      <w:r w:rsidRPr="00F501BD">
        <w:rPr>
          <w:b/>
          <w:bCs/>
        </w:rPr>
        <w:t>In accordance with rule 75 (1) of the Committee</w:t>
      </w:r>
      <w:r w:rsidR="003F264E">
        <w:rPr>
          <w:b/>
          <w:bCs/>
        </w:rPr>
        <w:t>’</w:t>
      </w:r>
      <w:r w:rsidRPr="00F501BD">
        <w:rPr>
          <w:b/>
          <w:bCs/>
        </w:rPr>
        <w:t xml:space="preserve">s rules of procedure, the State party is requested to provide, </w:t>
      </w:r>
      <w:r w:rsidRPr="007112F1">
        <w:rPr>
          <w:b/>
          <w:bCs/>
        </w:rPr>
        <w:t xml:space="preserve">by 29 March 2027, information </w:t>
      </w:r>
      <w:r w:rsidRPr="00F501BD">
        <w:rPr>
          <w:b/>
          <w:bCs/>
        </w:rPr>
        <w:t xml:space="preserve">on the implementation of the recommendations made by the Committee </w:t>
      </w:r>
      <w:r w:rsidRPr="007112F1">
        <w:rPr>
          <w:b/>
          <w:bCs/>
        </w:rPr>
        <w:t>in paragraphs 5 (</w:t>
      </w:r>
      <w:r>
        <w:rPr>
          <w:b/>
          <w:bCs/>
        </w:rPr>
        <w:t>n</w:t>
      </w:r>
      <w:r w:rsidRPr="007112F1">
        <w:rPr>
          <w:b/>
          <w:bCs/>
        </w:rPr>
        <w:t xml:space="preserve">ational human rights institution), 23 </w:t>
      </w:r>
      <w:r>
        <w:rPr>
          <w:b/>
          <w:bCs/>
        </w:rPr>
        <w:t>(p</w:t>
      </w:r>
      <w:r w:rsidRPr="007112F1">
        <w:rPr>
          <w:b/>
          <w:bCs/>
        </w:rPr>
        <w:t>olice custody and pretrial detention) and 41 (</w:t>
      </w:r>
      <w:r>
        <w:rPr>
          <w:b/>
          <w:bCs/>
        </w:rPr>
        <w:t>r</w:t>
      </w:r>
      <w:r w:rsidRPr="007112F1">
        <w:rPr>
          <w:b/>
          <w:bCs/>
        </w:rPr>
        <w:t>ights of Indigenous Peoples) above.</w:t>
      </w:r>
    </w:p>
    <w:p w14:paraId="1E52932A" w14:textId="4D4CCEE6" w:rsidR="000C047D" w:rsidRPr="00F501BD" w:rsidRDefault="000C047D" w:rsidP="00DE127C">
      <w:pPr>
        <w:pStyle w:val="SingleTxtG"/>
        <w:keepLines/>
        <w:rPr>
          <w:b/>
          <w:bCs/>
        </w:rPr>
      </w:pPr>
      <w:r w:rsidRPr="00C0027D">
        <w:lastRenderedPageBreak/>
        <w:t>46.</w:t>
      </w:r>
      <w:r w:rsidRPr="00F501BD">
        <w:tab/>
      </w:r>
      <w:r w:rsidRPr="00F501BD">
        <w:rPr>
          <w:b/>
          <w:bCs/>
        </w:rPr>
        <w:t>In line with the Committee</w:t>
      </w:r>
      <w:r w:rsidR="003F264E">
        <w:rPr>
          <w:b/>
          <w:bCs/>
        </w:rPr>
        <w:t>’</w:t>
      </w:r>
      <w:r w:rsidRPr="00F501BD">
        <w:rPr>
          <w:b/>
          <w:bCs/>
        </w:rPr>
        <w:t xml:space="preserve">s predictable review cycle, the State party will receive in </w:t>
      </w:r>
      <w:r w:rsidRPr="00F957DF">
        <w:rPr>
          <w:b/>
          <w:bCs/>
        </w:rPr>
        <w:t>2030 the Committee</w:t>
      </w:r>
      <w:r w:rsidR="003F264E">
        <w:rPr>
          <w:b/>
          <w:bCs/>
        </w:rPr>
        <w:t>’</w:t>
      </w:r>
      <w:r w:rsidRPr="00F957DF">
        <w:rPr>
          <w:b/>
          <w:bCs/>
        </w:rPr>
        <w:t>s</w:t>
      </w:r>
      <w:r w:rsidRPr="00F501BD">
        <w:rPr>
          <w:b/>
          <w:bCs/>
        </w:rPr>
        <w:t xml:space="preserve"> list of issues prior to the submission of the report and will be expected to submit within one year its replies, which will constitute its </w:t>
      </w:r>
      <w:r>
        <w:rPr>
          <w:b/>
          <w:bCs/>
        </w:rPr>
        <w:t xml:space="preserve">fourth </w:t>
      </w:r>
      <w:r w:rsidRPr="00F501BD">
        <w:rPr>
          <w:b/>
          <w:bCs/>
        </w:rPr>
        <w:t xml:space="preserve">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w:t>
      </w:r>
      <w:r>
        <w:rPr>
          <w:b/>
          <w:bCs/>
        </w:rPr>
        <w:t>2032</w:t>
      </w:r>
      <w:r w:rsidRPr="00F501BD">
        <w:rPr>
          <w:b/>
          <w:bCs/>
        </w:rPr>
        <w:t>.</w:t>
      </w:r>
    </w:p>
    <w:bookmarkEnd w:id="0"/>
    <w:p w14:paraId="7D0A722D" w14:textId="2C843E1C" w:rsidR="00C0027D" w:rsidRPr="00DE127C" w:rsidRDefault="00C0027D" w:rsidP="00F9741F">
      <w:pPr>
        <w:jc w:val="center"/>
        <w:rPr>
          <w:u w:val="single"/>
          <w:lang w:val="en-US"/>
        </w:rPr>
      </w:pPr>
      <w:r w:rsidRPr="00DE127C">
        <w:rPr>
          <w:u w:val="single"/>
          <w:lang w:val="en-US"/>
        </w:rPr>
        <w:tab/>
      </w:r>
      <w:r w:rsidRPr="00DE127C">
        <w:rPr>
          <w:u w:val="single"/>
          <w:lang w:val="en-US"/>
        </w:rPr>
        <w:tab/>
      </w:r>
      <w:r w:rsidRPr="00DE127C">
        <w:rPr>
          <w:u w:val="single"/>
          <w:lang w:val="en-US"/>
        </w:rPr>
        <w:tab/>
      </w:r>
    </w:p>
    <w:sectPr w:rsidR="00C0027D" w:rsidRPr="00DE127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21233" w14:textId="77777777" w:rsidR="00EF0D52" w:rsidRPr="00B903E5" w:rsidRDefault="00EF0D52" w:rsidP="00B903E5">
      <w:pPr>
        <w:pStyle w:val="Footer"/>
      </w:pPr>
    </w:p>
  </w:endnote>
  <w:endnote w:type="continuationSeparator" w:id="0">
    <w:p w14:paraId="6A2AF52D" w14:textId="77777777" w:rsidR="00EF0D52" w:rsidRPr="00B903E5" w:rsidRDefault="00EF0D5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80546" w14:textId="77777777" w:rsidR="000C047D" w:rsidRDefault="000C047D" w:rsidP="000C047D">
    <w:pPr>
      <w:pStyle w:val="Footer"/>
      <w:tabs>
        <w:tab w:val="right" w:pos="9638"/>
      </w:tabs>
    </w:pPr>
    <w:r w:rsidRPr="000C047D">
      <w:rPr>
        <w:b/>
        <w:bCs/>
        <w:sz w:val="18"/>
      </w:rPr>
      <w:fldChar w:fldCharType="begin"/>
    </w:r>
    <w:r w:rsidRPr="000C047D">
      <w:rPr>
        <w:b/>
        <w:bCs/>
        <w:sz w:val="18"/>
      </w:rPr>
      <w:instrText xml:space="preserve"> PAGE  \* MERGEFORMAT </w:instrText>
    </w:r>
    <w:r w:rsidRPr="000C047D">
      <w:rPr>
        <w:b/>
        <w:bCs/>
        <w:sz w:val="18"/>
      </w:rPr>
      <w:fldChar w:fldCharType="separate"/>
    </w:r>
    <w:r w:rsidRPr="000C047D">
      <w:rPr>
        <w:b/>
        <w:bCs/>
        <w:noProof/>
        <w:sz w:val="18"/>
      </w:rPr>
      <w:t>2</w:t>
    </w:r>
    <w:r w:rsidRPr="000C047D">
      <w:rPr>
        <w:b/>
        <w:bCs/>
        <w:sz w:val="18"/>
      </w:rPr>
      <w:fldChar w:fldCharType="end"/>
    </w:r>
    <w:r>
      <w:tab/>
      <w:t>GE.24-06038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8454" w14:textId="77777777" w:rsidR="000C047D" w:rsidRDefault="000C047D" w:rsidP="000C047D">
    <w:pPr>
      <w:pStyle w:val="Footer"/>
      <w:tabs>
        <w:tab w:val="right" w:pos="9638"/>
      </w:tabs>
    </w:pPr>
    <w:r>
      <w:t>GE.24-06038</w:t>
    </w:r>
    <w:r>
      <w:tab/>
    </w:r>
    <w:r w:rsidRPr="000C047D">
      <w:rPr>
        <w:b/>
        <w:bCs/>
        <w:sz w:val="18"/>
      </w:rPr>
      <w:fldChar w:fldCharType="begin"/>
    </w:r>
    <w:r w:rsidRPr="000C047D">
      <w:rPr>
        <w:b/>
        <w:bCs/>
        <w:sz w:val="18"/>
      </w:rPr>
      <w:instrText xml:space="preserve"> PAGE  \* MERGEFORMAT </w:instrText>
    </w:r>
    <w:r w:rsidRPr="000C047D">
      <w:rPr>
        <w:b/>
        <w:bCs/>
        <w:sz w:val="18"/>
      </w:rPr>
      <w:fldChar w:fldCharType="separate"/>
    </w:r>
    <w:r w:rsidRPr="000C047D">
      <w:rPr>
        <w:b/>
        <w:bCs/>
        <w:noProof/>
        <w:sz w:val="18"/>
      </w:rPr>
      <w:t>3</w:t>
    </w:r>
    <w:r w:rsidRPr="000C04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01C97" w14:textId="77777777" w:rsidR="000C047D" w:rsidRDefault="000C047D">
    <w:pPr>
      <w:pStyle w:val="Footer"/>
      <w:rPr>
        <w:sz w:val="20"/>
      </w:rPr>
    </w:pPr>
    <w:r w:rsidRPr="0027112F">
      <w:rPr>
        <w:noProof/>
        <w:lang w:val="en-US"/>
      </w:rPr>
      <w:drawing>
        <wp:anchor distT="0" distB="0" distL="114300" distR="114300" simplePos="0" relativeHeight="251659264" behindDoc="0" locked="1" layoutInCell="1" allowOverlap="1" wp14:anchorId="5190E3C4" wp14:editId="3E7EC7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85A92A" w14:textId="5D5EA431" w:rsidR="000C047D" w:rsidRPr="000C047D" w:rsidRDefault="000C047D" w:rsidP="000C047D">
    <w:pPr>
      <w:pStyle w:val="Footer"/>
      <w:tabs>
        <w:tab w:val="right" w:pos="7370"/>
      </w:tabs>
      <w:rPr>
        <w:sz w:val="20"/>
      </w:rPr>
    </w:pPr>
    <w:r>
      <w:rPr>
        <w:sz w:val="20"/>
      </w:rPr>
      <w:t>GE.24-06038  (E)</w:t>
    </w:r>
    <w:r>
      <w:rPr>
        <w:noProof/>
        <w:sz w:val="20"/>
      </w:rPr>
      <w:drawing>
        <wp:anchor distT="0" distB="0" distL="114300" distR="114300" simplePos="0" relativeHeight="251660288" behindDoc="0" locked="0" layoutInCell="1" allowOverlap="1" wp14:anchorId="20AC9FB5" wp14:editId="1977B4B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1F3">
      <w:rPr>
        <w:sz w:val="20"/>
      </w:rPr>
      <w:t xml:space="preserve">    </w:t>
    </w:r>
    <w:r w:rsidR="0002728F">
      <w:rPr>
        <w:sz w:val="20"/>
      </w:rPr>
      <w:t xml:space="preserve">020524    </w:t>
    </w:r>
    <w:r w:rsidR="007A4003">
      <w:rPr>
        <w:sz w:val="20"/>
      </w:rPr>
      <w:t>03</w:t>
    </w:r>
    <w:r w:rsidR="0002728F">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37258" w14:textId="77777777" w:rsidR="00EF0D52" w:rsidRPr="00B903E5" w:rsidRDefault="00EF0D52" w:rsidP="00B903E5">
      <w:pPr>
        <w:tabs>
          <w:tab w:val="right" w:pos="2155"/>
        </w:tabs>
        <w:spacing w:after="80" w:line="240" w:lineRule="auto"/>
        <w:ind w:left="680"/>
      </w:pPr>
      <w:r>
        <w:rPr>
          <w:u w:val="single"/>
        </w:rPr>
        <w:tab/>
      </w:r>
    </w:p>
  </w:footnote>
  <w:footnote w:type="continuationSeparator" w:id="0">
    <w:p w14:paraId="47897680" w14:textId="77777777" w:rsidR="00EF0D52" w:rsidRPr="00B903E5" w:rsidRDefault="00EF0D52" w:rsidP="00B903E5">
      <w:pPr>
        <w:tabs>
          <w:tab w:val="right" w:pos="2155"/>
        </w:tabs>
        <w:spacing w:after="80" w:line="240" w:lineRule="auto"/>
        <w:ind w:left="680"/>
      </w:pPr>
      <w:r>
        <w:rPr>
          <w:u w:val="single"/>
        </w:rPr>
        <w:tab/>
      </w:r>
    </w:p>
  </w:footnote>
  <w:footnote w:id="1">
    <w:p w14:paraId="46399EA3" w14:textId="77777777" w:rsidR="000C047D" w:rsidRDefault="000C047D" w:rsidP="000C047D">
      <w:pPr>
        <w:pStyle w:val="FootnoteText"/>
      </w:pPr>
      <w:r>
        <w:tab/>
      </w:r>
      <w:r w:rsidRPr="00E2224A">
        <w:rPr>
          <w:sz w:val="20"/>
        </w:rPr>
        <w:t>*</w:t>
      </w:r>
      <w:r>
        <w:t xml:space="preserve"> </w:t>
      </w:r>
      <w:r>
        <w:tab/>
        <w:t xml:space="preserve">Adopted by the Committee at its </w:t>
      </w:r>
      <w:r w:rsidRPr="0088221F">
        <w:rPr>
          <w:szCs w:val="18"/>
          <w:lang w:val="en-CA"/>
        </w:rPr>
        <w:t>140th session</w:t>
      </w:r>
      <w:r>
        <w:rPr>
          <w:szCs w:val="18"/>
          <w:lang w:val="en-CA"/>
        </w:rPr>
        <w:t xml:space="preserve"> (</w:t>
      </w:r>
      <w:r w:rsidRPr="0088221F">
        <w:rPr>
          <w:szCs w:val="18"/>
          <w:lang w:val="en-CA"/>
        </w:rPr>
        <w:t>4</w:t>
      </w:r>
      <w:r>
        <w:t>–</w:t>
      </w:r>
      <w:r w:rsidRPr="0088221F">
        <w:rPr>
          <w:szCs w:val="18"/>
          <w:lang w:val="en-CA"/>
        </w:rPr>
        <w:t>28 March 2024</w:t>
      </w:r>
      <w:r>
        <w:rPr>
          <w:szCs w:val="18"/>
          <w:lang w:val="en-CA"/>
        </w:rPr>
        <w:t xml:space="preserve">). </w:t>
      </w:r>
    </w:p>
  </w:footnote>
  <w:footnote w:id="2">
    <w:p w14:paraId="2B87AC9B" w14:textId="087905DD" w:rsidR="000C047D" w:rsidRPr="00AD6284" w:rsidRDefault="000C047D" w:rsidP="000C047D">
      <w:pPr>
        <w:pStyle w:val="FootnoteText"/>
        <w:widowControl w:val="0"/>
        <w:tabs>
          <w:tab w:val="clear" w:pos="1021"/>
          <w:tab w:val="right" w:pos="1020"/>
        </w:tabs>
      </w:pPr>
      <w:r>
        <w:tab/>
      </w:r>
      <w:r w:rsidRPr="003F264E">
        <w:rPr>
          <w:rStyle w:val="FootnoteReference"/>
        </w:rPr>
        <w:footnoteRef/>
      </w:r>
      <w:r w:rsidRPr="00935592">
        <w:tab/>
      </w:r>
      <w:hyperlink r:id="rId1" w:history="1">
        <w:r w:rsidRPr="00127312">
          <w:rPr>
            <w:rStyle w:val="Hyperlink"/>
          </w:rPr>
          <w:t>CCPR/C/NAM/3</w:t>
        </w:r>
      </w:hyperlink>
      <w:r>
        <w:t xml:space="preserve">. </w:t>
      </w:r>
    </w:p>
  </w:footnote>
  <w:footnote w:id="3">
    <w:p w14:paraId="0EF58489" w14:textId="4E6EFDD3" w:rsidR="000C047D" w:rsidRPr="00AD6284" w:rsidRDefault="000C047D" w:rsidP="000C047D">
      <w:pPr>
        <w:pStyle w:val="FootnoteText"/>
        <w:widowControl w:val="0"/>
        <w:tabs>
          <w:tab w:val="clear" w:pos="1021"/>
          <w:tab w:val="right" w:pos="1020"/>
        </w:tabs>
        <w:rPr>
          <w:lang w:val="en-US"/>
        </w:rPr>
      </w:pPr>
      <w:r w:rsidRPr="00AD6284">
        <w:tab/>
      </w:r>
      <w:r w:rsidRPr="003F264E">
        <w:rPr>
          <w:rStyle w:val="FootnoteReference"/>
        </w:rPr>
        <w:footnoteRef/>
      </w:r>
      <w:r w:rsidRPr="00AD6284">
        <w:tab/>
        <w:t xml:space="preserve">See </w:t>
      </w:r>
      <w:hyperlink r:id="rId2" w:history="1">
        <w:r w:rsidRPr="00127312">
          <w:rPr>
            <w:rStyle w:val="Hyperlink"/>
          </w:rPr>
          <w:t>CCPR/C/SR.4081</w:t>
        </w:r>
      </w:hyperlink>
      <w:r w:rsidRPr="00AD6284">
        <w:t xml:space="preserve"> and </w:t>
      </w:r>
      <w:hyperlink r:id="rId3" w:history="1">
        <w:r w:rsidRPr="00127312">
          <w:rPr>
            <w:rStyle w:val="Hyperlink"/>
          </w:rPr>
          <w:t>CCPR/C/SR.4082</w:t>
        </w:r>
      </w:hyperlink>
      <w:r w:rsidRPr="00AD6284">
        <w:t>.</w:t>
      </w:r>
    </w:p>
  </w:footnote>
  <w:footnote w:id="4">
    <w:p w14:paraId="7BEA4785" w14:textId="6C3B4A29" w:rsidR="000C047D" w:rsidRPr="00AD6284" w:rsidRDefault="000C047D" w:rsidP="000C047D">
      <w:pPr>
        <w:pStyle w:val="FootnoteText"/>
        <w:widowControl w:val="0"/>
        <w:tabs>
          <w:tab w:val="clear" w:pos="1021"/>
          <w:tab w:val="right" w:pos="1020"/>
        </w:tabs>
        <w:rPr>
          <w:lang w:val="en-US"/>
        </w:rPr>
      </w:pPr>
      <w:r w:rsidRPr="00AD6284">
        <w:tab/>
      </w:r>
      <w:r w:rsidRPr="003F264E">
        <w:rPr>
          <w:rStyle w:val="FootnoteReference"/>
        </w:rPr>
        <w:footnoteRef/>
      </w:r>
      <w:r w:rsidRPr="00AD6284">
        <w:tab/>
      </w:r>
      <w:hyperlink r:id="rId4" w:history="1">
        <w:r w:rsidRPr="00127312">
          <w:rPr>
            <w:rStyle w:val="Hyperlink"/>
          </w:rPr>
          <w:t>CCPR/C/NAM/RQ/3</w:t>
        </w:r>
      </w:hyperlink>
      <w:r>
        <w:t>.</w:t>
      </w:r>
    </w:p>
  </w:footnote>
  <w:footnote w:id="5">
    <w:p w14:paraId="65C6ABA8" w14:textId="53317B29" w:rsidR="000C047D" w:rsidRPr="00AD6284" w:rsidRDefault="000C047D" w:rsidP="000C047D">
      <w:pPr>
        <w:pStyle w:val="FootnoteText"/>
        <w:widowControl w:val="0"/>
        <w:tabs>
          <w:tab w:val="clear" w:pos="1021"/>
          <w:tab w:val="right" w:pos="1020"/>
        </w:tabs>
        <w:rPr>
          <w:lang w:val="en-US"/>
        </w:rPr>
      </w:pPr>
      <w:r w:rsidRPr="00AD6284">
        <w:tab/>
      </w:r>
      <w:r w:rsidRPr="003F264E">
        <w:rPr>
          <w:rStyle w:val="FootnoteReference"/>
        </w:rPr>
        <w:footnoteRef/>
      </w:r>
      <w:r w:rsidRPr="00AD6284">
        <w:tab/>
      </w:r>
      <w:hyperlink r:id="rId5" w:history="1">
        <w:r w:rsidRPr="00127312">
          <w:rPr>
            <w:rStyle w:val="Hyperlink"/>
          </w:rPr>
          <w:t>CCPR/C/NAM/Q/3</w:t>
        </w:r>
      </w:hyperlink>
      <w:r w:rsidRPr="00AD6284">
        <w:t>.</w:t>
      </w:r>
    </w:p>
  </w:footnote>
  <w:footnote w:id="6">
    <w:p w14:paraId="11B42D11" w14:textId="60D01F31" w:rsidR="000C047D" w:rsidRDefault="000C047D" w:rsidP="000C047D">
      <w:pPr>
        <w:pStyle w:val="FootnoteText"/>
      </w:pPr>
      <w:r>
        <w:tab/>
      </w:r>
      <w:r w:rsidRPr="003F264E">
        <w:rPr>
          <w:rStyle w:val="FootnoteReference"/>
        </w:rPr>
        <w:footnoteRef/>
      </w:r>
      <w:r>
        <w:t xml:space="preserve"> </w:t>
      </w:r>
      <w:r>
        <w:tab/>
      </w:r>
      <w:hyperlink r:id="rId6" w:history="1">
        <w:r w:rsidRPr="00127312">
          <w:rPr>
            <w:rStyle w:val="Hyperlink"/>
          </w:rPr>
          <w:t>CCPR/C/NAM/CO/2</w:t>
        </w:r>
      </w:hyperlink>
      <w:r>
        <w:t>, para. 8.</w:t>
      </w:r>
    </w:p>
  </w:footnote>
  <w:footnote w:id="7">
    <w:p w14:paraId="4831A145" w14:textId="784EC111" w:rsidR="000C047D" w:rsidRPr="00AD6284" w:rsidRDefault="000C047D" w:rsidP="000C047D">
      <w:pPr>
        <w:pStyle w:val="FootnoteText"/>
        <w:widowControl w:val="0"/>
        <w:tabs>
          <w:tab w:val="clear" w:pos="1021"/>
          <w:tab w:val="right" w:pos="1020"/>
        </w:tabs>
        <w:rPr>
          <w:lang w:val="en-US"/>
        </w:rPr>
      </w:pPr>
      <w:r w:rsidRPr="00AD6284">
        <w:tab/>
      </w:r>
      <w:r w:rsidRPr="003F264E">
        <w:rPr>
          <w:rStyle w:val="FootnoteReference"/>
        </w:rPr>
        <w:footnoteRef/>
      </w:r>
      <w:r w:rsidRPr="00AD6284">
        <w:tab/>
      </w:r>
      <w:hyperlink r:id="rId7" w:history="1">
        <w:r w:rsidRPr="00127312">
          <w:rPr>
            <w:rStyle w:val="Hyperlink"/>
          </w:rPr>
          <w:t>CEDAW/C/NAM/CO/6</w:t>
        </w:r>
      </w:hyperlink>
      <w:r w:rsidRPr="004A2A10">
        <w:t>, para</w:t>
      </w:r>
      <w:r>
        <w:t>.</w:t>
      </w:r>
      <w:r w:rsidRPr="004A2A10">
        <w:t xml:space="preserve"> 26</w:t>
      </w:r>
      <w:r>
        <w:t xml:space="preserve"> </w:t>
      </w:r>
      <w:r w:rsidRPr="004A2A10">
        <w:t>(a)</w:t>
      </w:r>
      <w:r w:rsidRPr="00AD62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E5F35" w14:textId="77777777" w:rsidR="000C047D" w:rsidRDefault="000C047D" w:rsidP="000C047D">
    <w:pPr>
      <w:pStyle w:val="Header"/>
    </w:pPr>
    <w:r>
      <w:t>CCPR/C/NAM/CO/3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392C2" w14:textId="77777777" w:rsidR="000C047D" w:rsidRDefault="000C047D" w:rsidP="000C047D">
    <w:pPr>
      <w:pStyle w:val="Header"/>
      <w:jc w:val="right"/>
    </w:pPr>
    <w:r>
      <w:t>CCPR/C/NAM/CO/3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170742"/>
    <w:multiLevelType w:val="hybridMultilevel"/>
    <w:tmpl w:val="C9BE2B40"/>
    <w:lvl w:ilvl="0" w:tplc="A4C4922E">
      <w:start w:val="1"/>
      <w:numFmt w:val="decimal"/>
      <w:lvlText w:val="%1."/>
      <w:lvlJc w:val="left"/>
      <w:pPr>
        <w:ind w:left="2214" w:hanging="360"/>
      </w:pPr>
      <w:rPr>
        <w:b w:val="0"/>
        <w:i w:val="0"/>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 w15:restartNumberingAfterBreak="0">
    <w:nsid w:val="04975497"/>
    <w:multiLevelType w:val="multilevel"/>
    <w:tmpl w:val="4BBAA1D8"/>
    <w:numStyleLink w:val="Style2"/>
  </w:abstractNum>
  <w:abstractNum w:abstractNumId="4" w15:restartNumberingAfterBreak="0">
    <w:nsid w:val="051058BE"/>
    <w:multiLevelType w:val="hybridMultilevel"/>
    <w:tmpl w:val="63EA692E"/>
    <w:lvl w:ilvl="0" w:tplc="C884FF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0DFC1E1A"/>
    <w:multiLevelType w:val="hybridMultilevel"/>
    <w:tmpl w:val="E63ACC76"/>
    <w:lvl w:ilvl="0" w:tplc="5072BFE4">
      <w:start w:val="1"/>
      <w:numFmt w:val="upperLetter"/>
      <w:lvlText w:val="%1."/>
      <w:lvlJc w:val="left"/>
      <w:pPr>
        <w:tabs>
          <w:tab w:val="num" w:pos="930"/>
        </w:tabs>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174BC8"/>
    <w:multiLevelType w:val="hybridMultilevel"/>
    <w:tmpl w:val="0EF63CEE"/>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7D0C21"/>
    <w:multiLevelType w:val="hybridMultilevel"/>
    <w:tmpl w:val="F18874B2"/>
    <w:lvl w:ilvl="0" w:tplc="E2A0AA76">
      <w:start w:val="8"/>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30684B02"/>
    <w:multiLevelType w:val="hybridMultilevel"/>
    <w:tmpl w:val="9488CB0E"/>
    <w:lvl w:ilvl="0" w:tplc="3FC84E92">
      <w:start w:val="1"/>
      <w:numFmt w:val="upp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367AA6"/>
    <w:multiLevelType w:val="hybridMultilevel"/>
    <w:tmpl w:val="4BBAA1D8"/>
    <w:lvl w:ilvl="0" w:tplc="E68E88F8">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E45200"/>
    <w:multiLevelType w:val="hybridMultilevel"/>
    <w:tmpl w:val="03706282"/>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3C059D1"/>
    <w:multiLevelType w:val="hybridMultilevel"/>
    <w:tmpl w:val="D8B68082"/>
    <w:lvl w:ilvl="0" w:tplc="FFFFFFFF">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B5BDF"/>
    <w:multiLevelType w:val="hybridMultilevel"/>
    <w:tmpl w:val="23860F08"/>
    <w:lvl w:ilvl="0" w:tplc="E7DA386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4A544FBB"/>
    <w:multiLevelType w:val="hybridMultilevel"/>
    <w:tmpl w:val="0AA4ADE6"/>
    <w:lvl w:ilvl="0" w:tplc="08090015">
      <w:start w:val="1"/>
      <w:numFmt w:val="upp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06E4978"/>
    <w:multiLevelType w:val="hybridMultilevel"/>
    <w:tmpl w:val="FB022A12"/>
    <w:lvl w:ilvl="0" w:tplc="73EED162">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555"/>
        </w:tabs>
        <w:ind w:left="2555"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15:restartNumberingAfterBreak="0">
    <w:nsid w:val="555A143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59A3F20"/>
    <w:multiLevelType w:val="hybridMultilevel"/>
    <w:tmpl w:val="BC2EC1C8"/>
    <w:lvl w:ilvl="0" w:tplc="BC9E9BC0">
      <w:start w:val="1"/>
      <w:numFmt w:val="lowerLetter"/>
      <w:lvlText w:val="(%1)"/>
      <w:lvlJc w:val="left"/>
      <w:pPr>
        <w:tabs>
          <w:tab w:val="num" w:pos="2424"/>
        </w:tabs>
        <w:ind w:left="2424"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89096A"/>
    <w:multiLevelType w:val="hybridMultilevel"/>
    <w:tmpl w:val="DC9869AA"/>
    <w:lvl w:ilvl="0" w:tplc="AC165C1A">
      <w:start w:val="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FE340A2"/>
    <w:multiLevelType w:val="multilevel"/>
    <w:tmpl w:val="4BBAA1D8"/>
    <w:styleLink w:val="Style2"/>
    <w:lvl w:ilvl="0">
      <w:start w:val="20"/>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0590DB8"/>
    <w:multiLevelType w:val="hybridMultilevel"/>
    <w:tmpl w:val="18E6B5BC"/>
    <w:lvl w:ilvl="0" w:tplc="6996343E">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973CE8"/>
    <w:multiLevelType w:val="hybridMultilevel"/>
    <w:tmpl w:val="B8482CF2"/>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DFC317A"/>
    <w:multiLevelType w:val="hybridMultilevel"/>
    <w:tmpl w:val="A17C9B50"/>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2BE392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0F6224"/>
    <w:multiLevelType w:val="hybridMultilevel"/>
    <w:tmpl w:val="393E89D8"/>
    <w:lvl w:ilvl="0" w:tplc="60F899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5B612CC"/>
    <w:multiLevelType w:val="hybridMultilevel"/>
    <w:tmpl w:val="A26447F6"/>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7694766"/>
    <w:multiLevelType w:val="hybridMultilevel"/>
    <w:tmpl w:val="0FDCED66"/>
    <w:lvl w:ilvl="0" w:tplc="41FCCC16">
      <w:start w:val="1"/>
      <w:numFmt w:val="decimal"/>
      <w:lvlText w:val="1%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301732202">
    <w:abstractNumId w:val="11"/>
  </w:num>
  <w:num w:numId="2" w16cid:durableId="1823160556">
    <w:abstractNumId w:val="8"/>
  </w:num>
  <w:num w:numId="3" w16cid:durableId="1384786935">
    <w:abstractNumId w:val="0"/>
  </w:num>
  <w:num w:numId="4" w16cid:durableId="614213617">
    <w:abstractNumId w:val="20"/>
  </w:num>
  <w:num w:numId="5" w16cid:durableId="181168131">
    <w:abstractNumId w:val="18"/>
  </w:num>
  <w:num w:numId="6" w16cid:durableId="747774896">
    <w:abstractNumId w:val="27"/>
  </w:num>
  <w:num w:numId="7" w16cid:durableId="1854224319">
    <w:abstractNumId w:val="7"/>
  </w:num>
  <w:num w:numId="8" w16cid:durableId="1372849805">
    <w:abstractNumId w:val="1"/>
  </w:num>
  <w:num w:numId="9" w16cid:durableId="1825468286">
    <w:abstractNumId w:val="24"/>
  </w:num>
  <w:num w:numId="10" w16cid:durableId="1951276580">
    <w:abstractNumId w:val="12"/>
  </w:num>
  <w:num w:numId="11" w16cid:durableId="1996110184">
    <w:abstractNumId w:val="17"/>
  </w:num>
  <w:num w:numId="12" w16cid:durableId="260260575">
    <w:abstractNumId w:val="5"/>
  </w:num>
  <w:num w:numId="13" w16cid:durableId="565804367">
    <w:abstractNumId w:val="13"/>
  </w:num>
  <w:num w:numId="14" w16cid:durableId="5256404">
    <w:abstractNumId w:val="19"/>
  </w:num>
  <w:num w:numId="15" w16cid:durableId="1882130787">
    <w:abstractNumId w:val="14"/>
  </w:num>
  <w:num w:numId="16" w16cid:durableId="968432357">
    <w:abstractNumId w:val="3"/>
  </w:num>
  <w:num w:numId="17" w16cid:durableId="1967076996">
    <w:abstractNumId w:val="22"/>
  </w:num>
  <w:num w:numId="18" w16cid:durableId="567573120">
    <w:abstractNumId w:val="16"/>
  </w:num>
  <w:num w:numId="19" w16cid:durableId="1588340705">
    <w:abstractNumId w:val="23"/>
  </w:num>
  <w:num w:numId="20" w16cid:durableId="690375574">
    <w:abstractNumId w:val="30"/>
  </w:num>
  <w:num w:numId="21" w16cid:durableId="1921713399">
    <w:abstractNumId w:val="2"/>
  </w:num>
  <w:num w:numId="22" w16cid:durableId="727189882">
    <w:abstractNumId w:val="29"/>
  </w:num>
  <w:num w:numId="23" w16cid:durableId="927621561">
    <w:abstractNumId w:val="25"/>
  </w:num>
  <w:num w:numId="24" w16cid:durableId="1358851077">
    <w:abstractNumId w:val="6"/>
  </w:num>
  <w:num w:numId="25" w16cid:durableId="1562792449">
    <w:abstractNumId w:val="26"/>
  </w:num>
  <w:num w:numId="26" w16cid:durableId="1027632711">
    <w:abstractNumId w:val="28"/>
  </w:num>
  <w:num w:numId="27" w16cid:durableId="1617447691">
    <w:abstractNumId w:val="10"/>
  </w:num>
  <w:num w:numId="28" w16cid:durableId="688794564">
    <w:abstractNumId w:val="9"/>
  </w:num>
  <w:num w:numId="29" w16cid:durableId="681666057">
    <w:abstractNumId w:val="15"/>
  </w:num>
  <w:num w:numId="30" w16cid:durableId="951593074">
    <w:abstractNumId w:val="4"/>
  </w:num>
  <w:num w:numId="31" w16cid:durableId="12514285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D52"/>
    <w:rsid w:val="0002728F"/>
    <w:rsid w:val="00046E92"/>
    <w:rsid w:val="0006523D"/>
    <w:rsid w:val="000820E8"/>
    <w:rsid w:val="000C047D"/>
    <w:rsid w:val="00127312"/>
    <w:rsid w:val="00131D7A"/>
    <w:rsid w:val="0015217F"/>
    <w:rsid w:val="00165C15"/>
    <w:rsid w:val="001C31F3"/>
    <w:rsid w:val="00247E2C"/>
    <w:rsid w:val="002D6C53"/>
    <w:rsid w:val="002F5595"/>
    <w:rsid w:val="00310A8C"/>
    <w:rsid w:val="00334F6A"/>
    <w:rsid w:val="0033589C"/>
    <w:rsid w:val="00342AC8"/>
    <w:rsid w:val="003B4550"/>
    <w:rsid w:val="003F264E"/>
    <w:rsid w:val="00461253"/>
    <w:rsid w:val="00471387"/>
    <w:rsid w:val="00472FED"/>
    <w:rsid w:val="005042C2"/>
    <w:rsid w:val="00553CEA"/>
    <w:rsid w:val="005D65FD"/>
    <w:rsid w:val="00602B61"/>
    <w:rsid w:val="00635D38"/>
    <w:rsid w:val="00671529"/>
    <w:rsid w:val="007268F9"/>
    <w:rsid w:val="007327A0"/>
    <w:rsid w:val="007A4003"/>
    <w:rsid w:val="007C52B0"/>
    <w:rsid w:val="00817E57"/>
    <w:rsid w:val="00892361"/>
    <w:rsid w:val="0089250C"/>
    <w:rsid w:val="008D3450"/>
    <w:rsid w:val="008F689A"/>
    <w:rsid w:val="009411B4"/>
    <w:rsid w:val="0097539A"/>
    <w:rsid w:val="00996406"/>
    <w:rsid w:val="009B318B"/>
    <w:rsid w:val="009D0139"/>
    <w:rsid w:val="009F5CDC"/>
    <w:rsid w:val="00A23459"/>
    <w:rsid w:val="00A34699"/>
    <w:rsid w:val="00A775CF"/>
    <w:rsid w:val="00AB4846"/>
    <w:rsid w:val="00B06045"/>
    <w:rsid w:val="00B53AA5"/>
    <w:rsid w:val="00B903E5"/>
    <w:rsid w:val="00C0027D"/>
    <w:rsid w:val="00C038F1"/>
    <w:rsid w:val="00C35A27"/>
    <w:rsid w:val="00C54D4F"/>
    <w:rsid w:val="00C978DB"/>
    <w:rsid w:val="00CA1AEA"/>
    <w:rsid w:val="00D327D6"/>
    <w:rsid w:val="00DB065A"/>
    <w:rsid w:val="00DE127C"/>
    <w:rsid w:val="00E02C2B"/>
    <w:rsid w:val="00E05879"/>
    <w:rsid w:val="00E2224A"/>
    <w:rsid w:val="00E429F9"/>
    <w:rsid w:val="00E637D6"/>
    <w:rsid w:val="00ED6C48"/>
    <w:rsid w:val="00EF0D52"/>
    <w:rsid w:val="00F41F0F"/>
    <w:rsid w:val="00F65F5D"/>
    <w:rsid w:val="00F86A3A"/>
    <w:rsid w:val="00FB28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A69B3"/>
  <w15:docId w15:val="{9097A745-8879-4F30-853D-8BEF320D5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UnresolvedMention">
    <w:name w:val="Unresolved Mention"/>
    <w:basedOn w:val="DefaultParagraphFont"/>
    <w:uiPriority w:val="99"/>
    <w:semiHidden/>
    <w:unhideWhenUsed/>
    <w:rsid w:val="00E637D6"/>
    <w:rPr>
      <w:color w:val="605E5C"/>
      <w:shd w:val="clear" w:color="auto" w:fill="E1DFDD"/>
    </w:r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semiHidden/>
    <w:rsid w:val="000C047D"/>
    <w:rPr>
      <w:color w:val="0000FF"/>
      <w:u w:val="none"/>
    </w:rPr>
  </w:style>
  <w:style w:type="character" w:styleId="FollowedHyperlink">
    <w:name w:val="FollowedHyperlink"/>
    <w:semiHidden/>
    <w:rsid w:val="000C047D"/>
    <w:rPr>
      <w:color w:val="0000FF"/>
      <w:u w:val="none"/>
    </w:rPr>
  </w:style>
  <w:style w:type="character" w:customStyle="1" w:styleId="H23GChar">
    <w:name w:val="_ H_2/3_G Char"/>
    <w:link w:val="H23G"/>
    <w:rsid w:val="000C047D"/>
    <w:rPr>
      <w:rFonts w:ascii="Times New Roman" w:eastAsia="Times New Roman" w:hAnsi="Times New Roman" w:cs="Times New Roman"/>
      <w:b/>
      <w:sz w:val="20"/>
      <w:szCs w:val="20"/>
      <w:lang w:eastAsia="en-US"/>
    </w:rPr>
  </w:style>
  <w:style w:type="numbering" w:customStyle="1" w:styleId="Style2">
    <w:name w:val="Style2"/>
    <w:uiPriority w:val="99"/>
    <w:rsid w:val="000C047D"/>
    <w:pPr>
      <w:numPr>
        <w:numId w:val="17"/>
      </w:numPr>
    </w:pPr>
  </w:style>
  <w:style w:type="character" w:customStyle="1" w:styleId="SingleTxtGChar">
    <w:name w:val="_ Single Txt_G Char"/>
    <w:link w:val="SingleTxtG"/>
    <w:rsid w:val="000C047D"/>
    <w:rPr>
      <w:rFonts w:ascii="Times New Roman" w:hAnsi="Times New Roman" w:cs="Times New Roman"/>
      <w:sz w:val="20"/>
      <w:szCs w:val="20"/>
    </w:rPr>
  </w:style>
  <w:style w:type="paragraph" w:styleId="ListParagraph">
    <w:name w:val="List Paragraph"/>
    <w:basedOn w:val="Normal"/>
    <w:uiPriority w:val="34"/>
    <w:qFormat/>
    <w:rsid w:val="000C047D"/>
    <w:pPr>
      <w:suppressAutoHyphens w:val="0"/>
      <w:spacing w:line="240" w:lineRule="auto"/>
      <w:ind w:left="720"/>
    </w:pPr>
    <w:rPr>
      <w:rFonts w:eastAsia="SimSun"/>
      <w:kern w:val="2"/>
      <w:lang w:eastAsia="zh-CN"/>
      <w14:ligatures w14:val="standardContextual"/>
    </w:rPr>
  </w:style>
  <w:style w:type="paragraph" w:customStyle="1" w:styleId="SingleTxt">
    <w:name w:val="__Single Txt"/>
    <w:basedOn w:val="Normal"/>
    <w:rsid w:val="000C047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Theme="minorHAnsi"/>
      <w:spacing w:val="4"/>
      <w:w w:val="103"/>
      <w:kern w:val="14"/>
      <w:lang w:eastAsia="zh-CN"/>
      <w14:ligatures w14:val="standardContextual"/>
    </w:rPr>
  </w:style>
  <w:style w:type="paragraph" w:styleId="Revision">
    <w:name w:val="Revision"/>
    <w:hidden/>
    <w:uiPriority w:val="99"/>
    <w:semiHidden/>
    <w:rsid w:val="000C047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2" TargetMode="External"/><Relationship Id="rId7" Type="http://schemas.openxmlformats.org/officeDocument/2006/relationships/hyperlink" Target="http://undocs.org/en/CEDAW/C/NAM/CO/6" TargetMode="External"/><Relationship Id="rId2" Type="http://schemas.openxmlformats.org/officeDocument/2006/relationships/hyperlink" Target="http://undocs.org/en/CCPR/C/SR.4081" TargetMode="External"/><Relationship Id="rId1" Type="http://schemas.openxmlformats.org/officeDocument/2006/relationships/hyperlink" Target="http://undocs.org/en/CCPR/C/NAM/3" TargetMode="External"/><Relationship Id="rId6" Type="http://schemas.openxmlformats.org/officeDocument/2006/relationships/hyperlink" Target="http://undocs.org/en/CCPR/C/NAM/CO/2" TargetMode="External"/><Relationship Id="rId5" Type="http://schemas.openxmlformats.org/officeDocument/2006/relationships/hyperlink" Target="http://undocs.org/en/CCPR/C/NAM/Q/3" TargetMode="External"/><Relationship Id="rId4" Type="http://schemas.openxmlformats.org/officeDocument/2006/relationships/hyperlink" Target="http://undocs.org/en/CCPR/C/NA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5743</Words>
  <Characters>31879</Characters>
  <Application>Microsoft Office Word</Application>
  <DocSecurity>0</DocSecurity>
  <Lines>483</Lines>
  <Paragraphs>97</Paragraphs>
  <ScaleCrop>false</ScaleCrop>
  <HeadingPairs>
    <vt:vector size="2" baseType="variant">
      <vt:variant>
        <vt:lpstr>Title</vt:lpstr>
      </vt:variant>
      <vt:variant>
        <vt:i4>1</vt:i4>
      </vt:variant>
    </vt:vector>
  </HeadingPairs>
  <TitlesOfParts>
    <vt:vector size="1" baseType="lpstr">
      <vt:lpstr>CCPR/C/NAM/CO/3</vt:lpstr>
    </vt:vector>
  </TitlesOfParts>
  <Company>DCM</Company>
  <LinksUpToDate>false</LinksUpToDate>
  <CharactersWithSpaces>37525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CCPR/C/NAM/CO/3</dc:title>
  <dc:subject>2406038</dc:subject>
  <dc:creator>pae</dc:creator>
  <cp:keywords/>
  <dc:description>final</dc:description>
  <cp:lastModifiedBy>Don Canete Martin</cp:lastModifiedBy>
  <cp:revision>2</cp:revision>
  <dcterms:created xsi:type="dcterms:W3CDTF">2024-05-03T09:52:00Z</dcterms:created>
  <dcterms:modified xsi:type="dcterms:W3CDTF">2024-05-03T09:52:00Z</dcterms:modified>
</cp:coreProperties>
</file>