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7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40326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 280207     010307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7"/>
            </w:pPr>
            <w:r>
              <w:t>CAT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859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CAT/C/ZAF/CO/1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</w:rPr>
              <w:instrText xml:space="preserve"> FILLIN "Дата документа"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</w:rPr>
              <w:t xml:space="preserve">7 </w:t>
            </w:r>
            <w:proofErr w:type="spellStart"/>
            <w:r>
              <w:rPr>
                <w:sz w:val="22"/>
              </w:rPr>
              <w:t>December</w:t>
            </w:r>
            <w:proofErr w:type="spellEnd"/>
            <w:r>
              <w:rPr>
                <w:sz w:val="22"/>
              </w:rPr>
              <w:t xml:space="preserve"> 2006</w:t>
            </w:r>
            <w:r>
              <w:rPr>
                <w:sz w:val="22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proofErr w:type="spellStart"/>
            <w:r>
              <w:rPr>
                <w:sz w:val="22"/>
              </w:rPr>
              <w:t>Original</w:t>
            </w:r>
            <w:proofErr w:type="spellEnd"/>
            <w:r>
              <w:rPr>
                <w:sz w:val="22"/>
              </w:rPr>
              <w:t xml:space="preserve">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ПРОТИВ ПЫТОК</w:t>
      </w:r>
    </w:p>
    <w:p w:rsidR="00000000" w:rsidRDefault="00000000">
      <w:r>
        <w:t>Тридцать седьмая сессия</w:t>
      </w:r>
    </w:p>
    <w:p w:rsidR="00000000" w:rsidRDefault="00000000">
      <w:r>
        <w:t>6</w:t>
      </w:r>
      <w:r>
        <w:noBreakHyphen/>
        <w:t>24 ноября 2006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СТАТЬЕЙ 19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и рекомендации Комитета против пыток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ЮЖНАЯ АФРИКА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szCs w:val="24"/>
        </w:rPr>
      </w:pPr>
      <w:r>
        <w:t>1.</w:t>
      </w:r>
      <w:r>
        <w:tab/>
        <w:t xml:space="preserve">Комитет против пыток ("Комитет") рассмотрел первоначальный доклад Южной Африки </w:t>
      </w:r>
      <w:r>
        <w:rPr>
          <w:szCs w:val="24"/>
        </w:rPr>
        <w:t>(</w:t>
      </w:r>
      <w:r>
        <w:rPr>
          <w:szCs w:val="24"/>
          <w:lang w:val="en-US"/>
        </w:rPr>
        <w:t>CAT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/52/</w:t>
      </w:r>
      <w:r>
        <w:rPr>
          <w:szCs w:val="24"/>
          <w:lang w:val="en-US"/>
        </w:rPr>
        <w:t>Add</w:t>
      </w:r>
      <w:r>
        <w:rPr>
          <w:szCs w:val="24"/>
        </w:rPr>
        <w:t>.3) на своих 736</w:t>
      </w:r>
      <w:r>
        <w:rPr>
          <w:szCs w:val="24"/>
        </w:rPr>
        <w:noBreakHyphen/>
        <w:t>м и 739</w:t>
      </w:r>
      <w:r>
        <w:rPr>
          <w:szCs w:val="24"/>
        </w:rPr>
        <w:noBreakHyphen/>
        <w:t>м заседаниях (</w:t>
      </w:r>
      <w:r>
        <w:rPr>
          <w:szCs w:val="24"/>
          <w:lang w:val="en-US"/>
        </w:rPr>
        <w:t>CAT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r>
        <w:rPr>
          <w:szCs w:val="24"/>
          <w:lang w:val="en-US"/>
        </w:rPr>
        <w:t>SR</w:t>
      </w:r>
      <w:r>
        <w:rPr>
          <w:szCs w:val="24"/>
        </w:rPr>
        <w:t>.736 и 739), состоявшихся 14 и 15 ноября 2006 года, и на своем 750</w:t>
      </w:r>
      <w:r>
        <w:rPr>
          <w:szCs w:val="24"/>
        </w:rPr>
        <w:noBreakHyphen/>
        <w:t>м заседании, состоявшемся 23 ноября 2006 года (</w:t>
      </w:r>
      <w:r>
        <w:rPr>
          <w:szCs w:val="24"/>
          <w:lang w:val="en-US"/>
        </w:rPr>
        <w:t>CAT</w:t>
      </w:r>
      <w:r>
        <w:rPr>
          <w:szCs w:val="24"/>
        </w:rPr>
        <w:t>/</w:t>
      </w:r>
      <w:r>
        <w:rPr>
          <w:szCs w:val="24"/>
          <w:lang w:val="en-US"/>
        </w:rPr>
        <w:t>C</w:t>
      </w:r>
      <w:r>
        <w:rPr>
          <w:szCs w:val="24"/>
        </w:rPr>
        <w:t>/</w:t>
      </w:r>
      <w:r>
        <w:rPr>
          <w:szCs w:val="24"/>
          <w:lang w:val="en-US"/>
        </w:rPr>
        <w:t>SR</w:t>
      </w:r>
      <w:r>
        <w:rPr>
          <w:szCs w:val="24"/>
        </w:rPr>
        <w:t>.750), принял следующие заключительные замечания и рекомендации.</w:t>
      </w:r>
    </w:p>
    <w:p w:rsidR="00000000" w:rsidRDefault="00000000">
      <w:pPr>
        <w:rPr>
          <w:szCs w:val="24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  <w:szCs w:val="24"/>
        </w:rPr>
        <w:t>А.</w:t>
      </w:r>
      <w:r>
        <w:rPr>
          <w:b/>
          <w:bCs/>
          <w:szCs w:val="24"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Пользуясь предоставленной возможностью, Комитет выражает глубокое удовлетворение по поводу прекращения существования режима апартеида, который принес столько страданий южноафриканскому народу, а также по поводу мер, направленных на то, чтобы такой режим, основанный на систематическом грубом нарушении прав человека, в частности использовании пыток и других жестоких, бесчеловечных или унижающих достоинство видов обращения и наказания, никогда больше не возродился.</w:t>
      </w:r>
    </w:p>
    <w:p w:rsidR="00000000" w:rsidRDefault="00000000"/>
    <w:p w:rsidR="00000000" w:rsidRDefault="00000000">
      <w:r>
        <w:t>3.</w:t>
      </w:r>
      <w:r>
        <w:tab/>
        <w:t>Комитет приветствует первоначальный доклад Южной Африки, а также возможность начать конструктивный диалог с представителями государства-участника.  Вместе с тем он выражает сожаление в отношении того, что доклад, который должен был быть представлен в январе 2000 года, был представлен лишь в июне 2005 года.  Он также отмечает, что доклад не полностью соответствует руководящим принципам Комитета по подготовке первоначальных докладов и не содержит анализа процесса осуществления положений Конвенции, а ограничивается лишь ссылкой на положения законодательства.  Однако в процессе диалога с делегацией государства-участника Комитет смог получить информацию о практическом применении Конвенции в государстве-участнике.</w:t>
      </w:r>
    </w:p>
    <w:p w:rsidR="00000000" w:rsidRDefault="00000000"/>
    <w:p w:rsidR="00000000" w:rsidRDefault="00000000">
      <w:r>
        <w:t>4.</w:t>
      </w:r>
      <w:r>
        <w:tab/>
        <w:t>Комитет выражает признательность делегации государства-участника за подробные письменные и устные ответы на вопросы, заданные членами Комитета в ходе рассмотрения доклада.  Комитет выражает удовлетворение по поводу численности и высокого уровня делегации, в состав которой вошли представители нескольких министерств государства-участника, что способствовало конструктивному обмену устными мнениями в ходе рассмотрения доклада.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5.</w:t>
      </w:r>
      <w:r>
        <w:tab/>
        <w:t>Комитет выражает удовлетворение по поводу мирного перехода государства-участника от режима апартеида к созданию в Южной Африке демократического общества, а также в отношении принятия Конституции 1996 года, которая включает Билль о правах, закрепляющий, в частности, право "быть свободным от всех форм насилия, исходящего из государственных или частных источников" и "не подвергаться жестокому, бесчеловечному или унижающему достоинство обращению и наказанию", а также устанавливающий правовые гарантии для задержанных лиц.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факт ратификации государством-участником следующих международных договоров по правам человека за период с ликвидации режима апартеида, в частности:  Международного пакта о гражданских и политических правах и Протоколов к нему;  Международной конвенции о ликвидации всех форм расовой дискриминации;  Конвенции о правах ребенка;  Конвенции о ликвидации всех форм дискриминации в отношении женщин;  Римского статута Международного уголовного суда;  Конвенции о предупреждении преступления геноцида и наказании за него;  Конвенции о статусе беженцев и Протокола к ней;  и Конвенции против транснациональной организованной преступности.</w:t>
      </w:r>
    </w:p>
    <w:p w:rsidR="00000000" w:rsidRDefault="00000000"/>
    <w:p w:rsidR="00000000" w:rsidRDefault="00000000">
      <w:r>
        <w:t>7.</w:t>
      </w:r>
      <w:r>
        <w:tab/>
        <w:t xml:space="preserve">Комитет приветствует принятие государством-участником многочисленных законодательных мер, призванных способствовать укреплению, поощрению и осуществлению прав человека, включая отмену смертной казни и одиночного заключения, принятие Минимальных стандартных правил обращения с заключенными, и в частности принятие следующих законодательных актов:  а)  Закона об исправительных учреждениях 1998 года, содержащего Кодекс этики и поведения сотрудников исправительных учреждений;  </w:t>
      </w:r>
      <w:r>
        <w:rPr>
          <w:lang w:val="en-US"/>
        </w:rPr>
        <w:t>b</w:t>
      </w:r>
      <w:r>
        <w:t xml:space="preserve">)  Закона о беженцах 1998 года;  с)  Закона о бытовом насилии 1998 года;  </w:t>
      </w:r>
      <w:r>
        <w:rPr>
          <w:lang w:val="en-US"/>
        </w:rPr>
        <w:t>d</w:t>
      </w:r>
      <w:r>
        <w:t xml:space="preserve">)  Закон об иммиграции 2002 года;  и  </w:t>
      </w:r>
      <w:proofErr w:type="spellStart"/>
      <w:r>
        <w:t>е</w:t>
      </w:r>
      <w:proofErr w:type="spellEnd"/>
      <w:r>
        <w:t>)  Закон о тюрьмах 2004 года.</w:t>
      </w:r>
    </w:p>
    <w:p w:rsidR="00000000" w:rsidRDefault="00000000"/>
    <w:p w:rsidR="00000000" w:rsidRDefault="00000000">
      <w:r>
        <w:t>8.</w:t>
      </w:r>
      <w:r>
        <w:tab/>
        <w:t>Комитет также приветствует факт учреждения Комиссии по правовой реформе, Южноафриканской комиссии по правам человека, Независимого директората по рассмотрению жалоб, наделенного особыми полномочиями по расследованию утверждений о применении пыток, и назначение в соответствии с Законом об исправительных учреждениях независимых тюремных инспекторов, подотчетных Судебному инспекторату тюрем.</w:t>
      </w:r>
    </w:p>
    <w:p w:rsidR="00000000" w:rsidRDefault="00000000"/>
    <w:p w:rsidR="00000000" w:rsidRDefault="00000000">
      <w:r>
        <w:t>9.</w:t>
      </w:r>
      <w:r>
        <w:tab/>
        <w:t xml:space="preserve">Комитет с удовлетворением отмечает заверения государства-участника в отношении выделения дополнительных финансовых и кадровых ресурсов в распоряжение Независимого директората по рассмотрению жалоб, гарантирующих независимость этого органа, а также изменения в его структуре в целях укрепления и расширения его полномочий.  </w:t>
      </w:r>
    </w:p>
    <w:p w:rsidR="00000000" w:rsidRDefault="00000000"/>
    <w:p w:rsidR="00000000" w:rsidRDefault="00000000">
      <w:r>
        <w:t>10.</w:t>
      </w:r>
      <w:r>
        <w:tab/>
        <w:t>Комитет также с удовлетворением отмечает разработку политики по предупреждению пыток и противоправного обращения с лицами, находящимися под стражей в отделениях южноафриканской полиции, а также подготовку дисциплинарного устава полиции.</w:t>
      </w:r>
    </w:p>
    <w:p w:rsidR="00000000" w:rsidRDefault="00000000">
      <w:pPr>
        <w:tabs>
          <w:tab w:val="left" w:pos="0"/>
        </w:tabs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11.</w:t>
      </w:r>
      <w:r>
        <w:tab/>
        <w:t>Комитет отмечает, что наследие режима апартеида, при котором практика применения пыток и жестокого, бесчеловечного или унижающего достоинство обращения, включая произвольные задержания, насильственные исчезновения и иные грубые нарушения прав человека, получили широкое распространение и носили системный характер, продолжает оказывать определенное воздействие на систему уголовного правосудия государства-участника и препятствует полному осуществлению Конвенции.</w:t>
      </w:r>
    </w:p>
    <w:p w:rsidR="00000000" w:rsidRDefault="00000000"/>
    <w:p w:rsidR="00000000" w:rsidRDefault="00000000">
      <w:r>
        <w:t>12.</w:t>
      </w:r>
      <w:r>
        <w:tab/>
        <w:t>Наряду с ликвидацией бывших структур апартеида создание системы правосудия, обеспечивающей уважение прав человека в целом и положений Конвенции в частности, ставит перед Южной Африкой сложную проблему, и Комитет призывает государство-участник активизировать эту работу.  Вместе с тем Комитет подчеркивает, что, как указано в пункте 2 статьи 2 Конвенции, никакие исключительные обстоятельства, какими бы они ни были, не могут служить оправданием пыток.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озабоченность,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13.</w:t>
      </w:r>
      <w:r>
        <w:tab/>
        <w:t>Несмотря на положения Конституции и тот факт, что суды могут рассматривать применение пыток как отягчающее обстоятельство, Комитет выражает озабоченность по поводу того, что, хотя с момента вступления в силу Конвенции прошло уже более семи лет, в уголовном законодательстве государства-участника отсутствует конкретная квалификация правонарушения, связанного с применением пытки, а также определение пытки (статьи 1 и 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закон, конкретно квалифицирующий акт пытки в уголовном законодательстве и содержащий определение, полностью соответствующее статье 1 Конвенции, и предусматривать соответствующее наказание, учитывающее тяжесть совершенного преступления, для полного осуществления своих обязательств по Конвенции в целях предупреждения и ликвидации пыток и противодействия безнаказанности.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14.</w:t>
      </w:r>
      <w:r>
        <w:tab/>
        <w:t>Несмотря на положения Конституции, Комитет выражает сожаление по поводу отсутствия во внутреннем законодательстве государства-участника четких правовых положений, обеспечивающих невозможность при каких бы то ни было обстоятельствах нарушать полный запрет на применение пыток (статьи 2 и 15).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следует принять соответствующее законодательство для реализации принципа полного запрещения пыток, не допускающего использование любых показаний, полученных под пыткой и устанавливающего, что приказ вышестоящего начальника не может служить оправданием пыток.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15.</w:t>
      </w:r>
      <w:r>
        <w:tab/>
        <w:t>Признавая решение Конституционного суда по этому вопросу (</w:t>
      </w:r>
      <w:proofErr w:type="spellStart"/>
      <w:r>
        <w:rPr>
          <w:i/>
          <w:iCs/>
        </w:rPr>
        <w:t>Мохамед</w:t>
      </w:r>
      <w:proofErr w:type="spellEnd"/>
      <w:r>
        <w:rPr>
          <w:i/>
          <w:iCs/>
        </w:rPr>
        <w:t xml:space="preserve"> и др. против президента Южно-Африканской Республики и др</w:t>
      </w:r>
      <w:r>
        <w:t xml:space="preserve">., 2001 год, и дело </w:t>
      </w:r>
      <w:r>
        <w:rPr>
          <w:i/>
          <w:iCs/>
        </w:rPr>
        <w:t xml:space="preserve">Государство против </w:t>
      </w:r>
      <w:proofErr w:type="spellStart"/>
      <w:r>
        <w:rPr>
          <w:i/>
          <w:iCs/>
        </w:rPr>
        <w:t>Макваньяне</w:t>
      </w:r>
      <w:proofErr w:type="spellEnd"/>
      <w:r>
        <w:t>, 1995 год), Комитет выражает озабоченность по поводу высылки государством-участником лиц в другие государства, если существуют серьезные основания полагать, что им может угрожать там применение пыток или смертная казнь (статья 3).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Ни при каких обстоятельствах государство-участник не должно высылать, возвращать или выдавать какое-либо лицо другому государству, если существуют серьезные основания полагать, что ему может угрожать там применение пыток.  При определении применимости своих обязательств по недопущению принудительного возвращения в соответствии со статьей 3 Конвенции государству-участнику необходимо тщательно изучить обстоятельства каждого конкретного дела, обеспечить наличие адекватных судебных механизмов пересмотра принятых решений, а также обеспечить эффективные механизмы мониторинга после выдачи.  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представить Комитету подробную информацию обо всех случаях выдачи, возвращения или высылки, на которые распространяется требование о получении заверений или гарантий и которые имели место после вступления Конвенции в силу;  информацию о минимальном содержании таких заверений или гарантий;  а также о мерах по последующему мониторингу, проводимому в таких случаях.  Государству-участнику следует также представить Комитету обновленную информацию о делах г-на </w:t>
      </w:r>
      <w:proofErr w:type="spellStart"/>
      <w:r>
        <w:rPr>
          <w:b/>
          <w:bCs/>
        </w:rPr>
        <w:t>Рашида</w:t>
      </w:r>
      <w:proofErr w:type="spellEnd"/>
      <w:r>
        <w:rPr>
          <w:b/>
          <w:bCs/>
        </w:rPr>
        <w:t xml:space="preserve"> и г-на </w:t>
      </w:r>
      <w:proofErr w:type="spellStart"/>
      <w:r>
        <w:rPr>
          <w:b/>
          <w:bCs/>
        </w:rPr>
        <w:t>Мохамеда</w:t>
      </w:r>
      <w:proofErr w:type="spellEnd"/>
      <w:r>
        <w:rPr>
          <w:b/>
          <w:bCs/>
        </w:rPr>
        <w:t>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16.</w:t>
      </w:r>
      <w:r>
        <w:tab/>
        <w:t xml:space="preserve">Комитет выражает озабоченность по поводу трудностей, с которыми сталкиваются имеющие и не имеющие документов </w:t>
      </w:r>
      <w:proofErr w:type="spellStart"/>
      <w:r>
        <w:t>неграждане</w:t>
      </w:r>
      <w:proofErr w:type="spellEnd"/>
      <w:r>
        <w:t xml:space="preserve">, которые находятся под стражей в соответствии с Законом об иммиграции и ожидают депортации в репатриационных центрах и которые не имеют возможности оспорить законность их содержания под стражей или ходатайствовать о предоставлении убежища или статуса беженца, а также лишены доступа к услугам адвоката.  Комитет также озабочен сообщениями о жестоком обращении, запугивании и вымогательствах в отношении </w:t>
      </w:r>
      <w:proofErr w:type="spellStart"/>
      <w:r>
        <w:t>неграждан</w:t>
      </w:r>
      <w:proofErr w:type="spellEnd"/>
      <w:r>
        <w:t xml:space="preserve"> со стороны сотрудников правоохранительных органов, а также отсутствием механизма надзора за деятельностью таких центров и </w:t>
      </w:r>
      <w:proofErr w:type="spellStart"/>
      <w:r>
        <w:t>непроведением</w:t>
      </w:r>
      <w:proofErr w:type="spellEnd"/>
      <w:r>
        <w:t xml:space="preserve"> расследований по этим утверждениями (статьи 2, 13 и 16).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следует принять все необходимые меры для предупреждения и искоренения жестокого обращения с негражданами, содержащимися под стражей в репатриационных центрах, в частности в репатриационном центре Линдела, предоставлять </w:t>
      </w:r>
      <w:proofErr w:type="spellStart"/>
      <w:r>
        <w:rPr>
          <w:b/>
          <w:bCs/>
        </w:rPr>
        <w:t>негражданам</w:t>
      </w:r>
      <w:proofErr w:type="spellEnd"/>
      <w:r>
        <w:rPr>
          <w:b/>
          <w:bCs/>
        </w:rPr>
        <w:t xml:space="preserve"> адекватную информацию об их правах и имеющихся средствах правовой защиты в случае нарушений этих прав и активизировать меры по сокращению количества нерассмотренных ходатайств о предоставлении убежища.  Следует также провести безотлагательное, тщательное и независимое расследование всех утверждений в отношении жестокого обращения с </w:t>
      </w:r>
      <w:proofErr w:type="spellStart"/>
      <w:r>
        <w:rPr>
          <w:b/>
          <w:bCs/>
        </w:rPr>
        <w:t>негражданами</w:t>
      </w:r>
      <w:proofErr w:type="spellEnd"/>
      <w:r>
        <w:rPr>
          <w:b/>
          <w:bCs/>
        </w:rPr>
        <w:t xml:space="preserve"> и создать эффективный механизм мониторинга этих центров.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17.</w:t>
      </w:r>
      <w:r>
        <w:tab/>
        <w:t>Для Комитета по</w:t>
      </w:r>
      <w:r>
        <w:noBreakHyphen/>
        <w:t>прежнему остается неясным, приняло ли государство-участник необходимые законодательные меры, устанавливающие его юрисдикцию в отношении актов пыток в соответствии с положениями Конвенции (статьи 5, 6, 7 и 8).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надлежит принять необходимые меры для установления его юрисдикции в отношении актов пыток в тех случаях, когда предполагаемый преступник находится на любой территории под его юрисдикцией, в целях его выдачи или возбуждения уголовного преследования в соответствии с положениями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18.</w:t>
      </w:r>
      <w:r>
        <w:tab/>
        <w:t>С удовлетворением отмечая эффективную работу Комиссии по установлению истины и примирению, а также ее роль в процессе мирного перехода в государстве-участнике, Комитет обращает внимание на то, что лица, виновные в совершении актов пыток в период апартеида, фактически остались безнаказанными и что не все жертвы получили соответствующую компенсацию (статьи 12, 2 и 14).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 xml:space="preserve">Государству-участнику надлежит рассмотреть возможность привлечения к суду лиц, виновных в </w:t>
      </w:r>
      <w:proofErr w:type="spellStart"/>
      <w:r>
        <w:rPr>
          <w:b/>
          <w:bCs/>
        </w:rPr>
        <w:t>институционализации</w:t>
      </w:r>
      <w:proofErr w:type="spellEnd"/>
      <w:r>
        <w:rPr>
          <w:b/>
          <w:bCs/>
        </w:rPr>
        <w:t xml:space="preserve"> практики пыток в качестве репрессивного инструмента, использовавшегося для увековечения режима апартеида, а также предоставления компенсации всем жертвам.  Государству-участнику следует также рассмотреть другие методы привлечения к ответственности за акты пыток, совершенные в период существования режима апартеида, и тем самым бороться с безнаказанностью.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19.</w:t>
      </w:r>
      <w:r>
        <w:tab/>
        <w:t>Комитет выражает обеспокоенность в отношении широких дискреционных полномочий в сфере уголовного судопроизводства, которыми наделено Национальное управление судебных преследований (статья 12).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надлежит принять все необходимые меры для обеспечения того, чтобы его система уголовного правосудия эффективно гарантировала право каждого на справедливое судебное разбирательство.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20.</w:t>
      </w:r>
      <w:r>
        <w:tab/>
        <w:t>Комитет выражает озабоченность по поводу высокого показателя смертности лиц, находящихся под стражей, а также по поводу его увеличения.  Комитет также выражает обеспокоенность в отношении непроведения расследования случаев предполагаемого жестокого обращения с лицами, находящимися под стражей, а также в отношении явной безнаказанности сотрудников правоприменительных органов (статья 12).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Государству-участнику надлежит провести быстрое, тщательное и беспристрастное расследование всех случаев смерти лиц, содержащихся под стражей, а также всех утверждений в отношении актов пыток или жестокого, бесчеловечного или унижающего достоинство обращения, совершенных сотрудниками правоохранительных органов, и привлечь преступников к суду в рамках выполнения им своих обязательств по статье 12 Конвенции.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21.</w:t>
      </w:r>
      <w:r>
        <w:tab/>
        <w:t>Отмечая существование механизмов правовой помощи, Комитет, вместе с тем, выражает обеспокоенность по поводу трудностей, включая лингвистические, с которыми сталкиваются уязвимые лица или группы лиц, в попытке осуществить свое право на подачу жалобы, в получение возмещения, а также справедливой и адекватной компенсации в качестве жертв пыток.  Комитет также высказывает обеспокоенность по поводу неосведомленности уязвимых групп о положениях Конвенции (статьи 13 и 10).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tab/>
      </w:r>
      <w:r>
        <w:rPr>
          <w:b/>
          <w:bCs/>
        </w:rPr>
        <w:t>Государству-участнику надлежит принять все необходимые меры для укрепления механизмов оказания правовой помощи уязвимым лицам или группам лиц, а также обеспечить, чтобы все жертвы пыток могли воспользоваться своими правами, закрепленными в Конвенции, а также для распространения текста Конвенции на всех соответствующих языках, в частности среди уязвимых групп.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r>
        <w:t>22.</w:t>
      </w:r>
      <w:r>
        <w:tab/>
        <w:t>Признавая некоторые улучшения в пенитенциарной системе государства-участника, Комитет по</w:t>
      </w:r>
      <w:r>
        <w:noBreakHyphen/>
        <w:t xml:space="preserve">прежнему выражает обеспокоенность по поводу </w:t>
      </w:r>
      <w:proofErr w:type="spellStart"/>
      <w:r>
        <w:t>переполненности</w:t>
      </w:r>
      <w:proofErr w:type="spellEnd"/>
      <w:r>
        <w:t xml:space="preserve"> тюрем и других мест содержания под стражей, а также по поводу широкого распространения ВИЧ/СПИДа и туберкулеза среди заключенных.  Переполненность, в частности, затрагивает лиц, отбывающих предварительное заключение, и детей, и Комитет выражает особенную обеспокоенность по поводу условий содержания лиц в следственных изоляторах в полиции, которые не приспособлены для длительного содержания под стражей и способствуют возникновению условий, при которых повышается их уязвимость.  Комитет также обеспокоен отсутствием эффективного механизма надзора за условиями содержания под стражей в полиции, а также тем, что период предварительного заключения не засчитывается в срок окончательного приговора (статьи 16 и 11).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надлежит принять эффективные меры для улучшения условий содержания в местах лишения свободы, уменьшения переполненности тюрем и удовлетворения основополагающих потребностей всех лиц, лишенных свободы, в частности в области медицинского обслуживания;  необходимо проводить периодические обследования заключенных.  Государству-участнику надлежит также обеспечить, чтобы задержанные дети содержались отдельно от взрослых в соответствии с международными нормами, пересмотреть систематическую практику предварительного заключения применительно к некоторым видам преступлений, особенно в отношении детей, и создать эффективный механизм контроля для лиц, содержащихся под стражей в полиции.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23.</w:t>
      </w:r>
      <w:r>
        <w:tab/>
        <w:t>Комитет обеспокоен широким распространением актов насилия в отношении женщин и детей, в особенности изнасилований и бытового насилия, а также отсутствием эффективной государственной политики по предупреждению такого насилия и борьбе с ним (статьи 16 и 1).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надлежит принять все необходимые меры для предупреждения, противодействия и наказания актов насилия в отношении женщин и детей, а также активизировать сотрудничество с организациями гражданского общества в деле борьбы с таким насилием.  Государству-участнику следует также провести анализ основополагающих причин такого широкого распространения случаев изнасилований и сексуального насилия в целях разработки эффективных профилактических мер;  проводить информационно-разъяснительные кампании;  тщательно расследовать случаи грубых нарушений прав человека;  и продвигаться к выработке политики "нулевой толерантности".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24.</w:t>
      </w:r>
      <w:r>
        <w:tab/>
        <w:t>Комитет выражает озабоченность по поводу торговли людьми в государстве-участнике и отмечает отсутствие эффективных и конкретных мер по борьбе с таким явлением, включая отсутствие национального законодательства, квалифицирующего торговлю людьми в качестве уголовно наказуемого деяния (статья 16).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принять законодательные и другие эффективные меры для надлежащего предупреждения, противодействия и наказания за торговлю людьми, в частности детьми и женщинами.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25.</w:t>
      </w:r>
      <w:r>
        <w:tab/>
        <w:t>Отмечая, что законодательство государства-участника, а также правовая практика Конституционного суда (</w:t>
      </w:r>
      <w:r>
        <w:rPr>
          <w:i/>
          <w:iCs/>
        </w:rPr>
        <w:t xml:space="preserve">Государство против Уильямса и др., </w:t>
      </w:r>
      <w:r>
        <w:t>1995) запрещает использование телесных наказаний, Комитет, тем не менее, обеспокоен нередким использованием телесных наказаний в ряде школ и других государственных учреждений, а также отсутствием надзорного механизма для контроля за ситуацией в этих учреждениях (статья 16).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обеспечить неукоснительное соблюдение законов, запрещающих применение телесных наказаний, в частности в школах и других социальных детских учреждениях, и создать механизм надзора за такими учреждениями.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26.</w:t>
      </w:r>
      <w:r>
        <w:tab/>
        <w:t>Хотя Комитет выражает свое удовлетворение в отношении признания государством-участником компетенции Комитета рассматривать сообщения лиц, утверждающих, что они являются жертвами нарушения государством-участником положений Конвенции, или сообщений от их имени, он отмечает, что таких сообщений получено не было (статьи 22 и 10).</w:t>
      </w:r>
    </w:p>
    <w:p w:rsidR="00000000" w:rsidRDefault="00000000"/>
    <w:p w:rsidR="00000000" w:rsidRDefault="00000000">
      <w:pPr>
        <w:ind w:left="567"/>
        <w:rPr>
          <w:b/>
          <w:bCs/>
        </w:rPr>
      </w:pPr>
      <w:r>
        <w:rPr>
          <w:b/>
          <w:bCs/>
        </w:rPr>
        <w:t>Государству-участнику следует на всех соответствующих языках широко распространять текст Конвенции и информацию о ней, в том числе о механизме, созданном в соответствии со статьей 22 Конвенции.</w:t>
      </w:r>
    </w:p>
    <w:p w:rsidR="00000000" w:rsidRDefault="00000000">
      <w:pPr>
        <w:ind w:left="567"/>
        <w:rPr>
          <w:b/>
          <w:bCs/>
        </w:rPr>
      </w:pPr>
    </w:p>
    <w:p w:rsidR="00000000" w:rsidRDefault="00000000">
      <w:r>
        <w:t>27.</w:t>
      </w:r>
      <w:r>
        <w:tab/>
        <w:t>Комитет просит государство-участник представить в своем следующем периодическом докладе подробные дезагрегированные статистические данные о жалобах, касающихся актов пыток или жестокого, бесчеловечного или унижающего достоинство обращения, совершенных сотрудниками правоприменительных органов, а также о расследованиях, судебных процессах и приговорах, касающихся таких актов, в том числе в отношении злоупотреблений, предположительно совершенных силами по поддержанию мира в Южной Африке.  Комитет далее просит государство-участник представить подробную информацию о предоставлении компенсации жертвам и их реабилитации.</w:t>
      </w:r>
    </w:p>
    <w:p w:rsidR="00000000" w:rsidRDefault="00000000"/>
    <w:p w:rsidR="00000000" w:rsidRDefault="00000000">
      <w:r>
        <w:t>28.</w:t>
      </w:r>
      <w:r>
        <w:tab/>
        <w:t>Комитет также просит представить подробную информацию о проекте закона, предусматривающего уголовное наказание за применение пыток, и закона о правосудии по делам детей, а также о любых иных законопроектах и законах, касающихся осуществления Конвенции.  Он далее просит представить информацию о существующих программах подготовки сотрудников правоприменительных органов, а также о механизмах надзора за психиатрическими больницами и другими учреждениями социального обеспечения и мерах по предупреждению и запрещению производства, торговли и использования оборудования, специально разработанного для применения пыток или иного жестокого, бесчеловечного или унижающего достоинство обращения.</w:t>
      </w:r>
    </w:p>
    <w:p w:rsidR="00000000" w:rsidRDefault="00000000"/>
    <w:p w:rsidR="00000000" w:rsidRDefault="00000000">
      <w:r>
        <w:t>29.</w:t>
      </w:r>
      <w:r>
        <w:tab/>
        <w:t xml:space="preserve">Комитет просит государство-участник направить ему в течение одного года информацию о мерах по реализации рекомендаций Комитета, содержащихся в пунктах 15, 16, 21, 23, 27 и 28 выше.  </w:t>
      </w:r>
    </w:p>
    <w:p w:rsidR="00000000" w:rsidRDefault="00000000"/>
    <w:p w:rsidR="00000000" w:rsidRDefault="00000000">
      <w:r>
        <w:t>30.</w:t>
      </w:r>
      <w:r>
        <w:tab/>
        <w:t xml:space="preserve">Комитет предлагает государству-участнику обеспечить широкое распространение его доклада вместе с письменными ответами на устные вопросы Комитета, а также заключительные замечания и рекомендации Комитета на всех соответствующих языках с помощью официальных вебсайтов, средств массовой информации и неправительственных организаций.  </w:t>
      </w:r>
    </w:p>
    <w:p w:rsidR="00000000" w:rsidRDefault="00000000"/>
    <w:p w:rsidR="00000000" w:rsidRDefault="00000000">
      <w:r>
        <w:t>31.</w:t>
      </w:r>
      <w:r>
        <w:tab/>
        <w:t>Комитет, придя к выводу о том, что в ходе рассмотрения доклада Южной Африки была представлена достаточная информация, охватывающая семилетний период задержки в представлении первоначального доклада, постановил предложить представить второй периодический доклад к 31 декабря 2009 года.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CAT/C/ZAF/CO/1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CAT/C/ZAF/CO/1</w:t>
    </w:r>
  </w:p>
  <w:p w:rsidR="00000000" w:rsidRDefault="00000000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9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521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ru-RU" w:vendorID="1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2971</Words>
  <Characters>16935</Characters>
  <Application>Microsoft Office Word</Application>
  <DocSecurity>4</DocSecurity>
  <Lines>141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0740326</vt:lpstr>
    </vt:vector>
  </TitlesOfParts>
  <Company> </Company>
  <LinksUpToDate>false</LinksUpToDate>
  <CharactersWithSpaces>20797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0740326</dc:title>
  <dc:subject/>
  <dc:creator>Любовь Катаева</dc:creator>
  <cp:keywords/>
  <dc:description/>
  <cp:lastModifiedBy>Любовь Катаева</cp:lastModifiedBy>
  <cp:revision>3</cp:revision>
  <cp:lastPrinted>2007-03-01T08:36:00Z</cp:lastPrinted>
  <dcterms:created xsi:type="dcterms:W3CDTF">2007-03-01T08:36:00Z</dcterms:created>
  <dcterms:modified xsi:type="dcterms:W3CDTF">2007-03-01T08:37:00Z</dcterms:modified>
</cp:coreProperties>
</file>