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60" w:lineRule="exact"/>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noEndnote/>
          <w:titlePg/>
        </w:sectPr>
      </w:pPr>
      <w:r>
        <w:rPr>
          <w:rStyle w:val="CommentReference"/>
          <w:vanish/>
        </w:rPr>
        <w:commentReference w:id="0"/>
      </w:r>
    </w:p>
    <w:p w:rsidR="00000000" w:rsidRDefault="00000000">
      <w:pPr>
        <w:pStyle w:val="H1"/>
      </w:pPr>
      <w:r>
        <w:t>Комитет по ликвидации дискриминации в</w:t>
      </w:r>
      <w:r>
        <w:br/>
        <w:t>отношении женщин</w:t>
      </w:r>
    </w:p>
    <w:p w:rsidR="00000000" w:rsidRDefault="00000000">
      <w:pPr>
        <w:pStyle w:val="H23"/>
      </w:pPr>
      <w:r>
        <w:t>Тридцать первая сессия</w:t>
      </w:r>
    </w:p>
    <w:p w:rsidR="00000000" w:rsidRDefault="00000000">
      <w:pPr>
        <w:spacing w:line="240" w:lineRule="auto"/>
        <w:rPr>
          <w:sz w:val="12"/>
        </w:rPr>
      </w:pPr>
    </w:p>
    <w:p w:rsidR="00000000" w:rsidRDefault="00000000">
      <w:pPr>
        <w:pStyle w:val="H23"/>
      </w:pPr>
      <w:r>
        <w:t>Краткий отчет о 651-м заседании,</w:t>
      </w:r>
    </w:p>
    <w:p w:rsidR="00000000" w:rsidRDefault="00000000">
      <w:r>
        <w:t>состоявшемся в Центральных учреждениях, Нью-Йорк, в четверг, 8 июля 2004 года, в 10 ч. 00 м.</w:t>
      </w:r>
    </w:p>
    <w:p w:rsidR="00000000" w:rsidRDefault="00000000">
      <w:pPr>
        <w:spacing w:line="120" w:lineRule="exact"/>
        <w:rPr>
          <w:sz w:val="10"/>
        </w:rPr>
      </w:pPr>
    </w:p>
    <w:p w:rsidR="00000000" w:rsidRDefault="00000000">
      <w:pPr>
        <w:tabs>
          <w:tab w:val="left" w:pos="1368"/>
          <w:tab w:val="right" w:leader="dot" w:pos="8568"/>
        </w:tabs>
        <w:ind w:right="1267"/>
      </w:pPr>
      <w:r>
        <w:rPr>
          <w:i/>
        </w:rPr>
        <w:t>Председатель:</w:t>
      </w:r>
      <w:r>
        <w:tab/>
        <w:t>г</w:t>
      </w:r>
      <w:r>
        <w:noBreakHyphen/>
        <w:t>жа Аджар</w:t>
      </w:r>
    </w:p>
    <w:p w:rsidR="00000000" w:rsidRDefault="00000000">
      <w:pPr>
        <w:tabs>
          <w:tab w:val="left" w:pos="1368"/>
          <w:tab w:val="right" w:leader="dot" w:pos="8568"/>
        </w:tabs>
        <w:spacing w:line="120" w:lineRule="exact"/>
        <w:ind w:right="1267"/>
        <w:rPr>
          <w:sz w:val="10"/>
        </w:rPr>
      </w:pPr>
    </w:p>
    <w:p w:rsidR="00000000" w:rsidRDefault="00000000">
      <w:pPr>
        <w:tabs>
          <w:tab w:val="left" w:pos="1368"/>
          <w:tab w:val="right" w:leader="dot" w:pos="8568"/>
        </w:tabs>
        <w:spacing w:line="120" w:lineRule="exact"/>
        <w:ind w:right="1267"/>
        <w:rPr>
          <w:sz w:val="10"/>
        </w:rPr>
      </w:pPr>
    </w:p>
    <w:p w:rsidR="00000000" w:rsidRDefault="00000000">
      <w:pPr>
        <w:tabs>
          <w:tab w:val="left" w:pos="1368"/>
          <w:tab w:val="right" w:leader="dot" w:pos="8568"/>
        </w:tabs>
        <w:spacing w:line="120" w:lineRule="exact"/>
        <w:ind w:right="1267"/>
        <w:rPr>
          <w:sz w:val="10"/>
        </w:rPr>
      </w:pPr>
    </w:p>
    <w:p w:rsidR="00000000" w:rsidRDefault="00000000">
      <w:pPr>
        <w:pStyle w:val="HCh"/>
        <w:rPr>
          <w:b w:val="0"/>
        </w:rPr>
      </w:pPr>
      <w:r>
        <w:rPr>
          <w:b w:val="0"/>
        </w:rPr>
        <w:t>Содержание</w:t>
      </w:r>
    </w:p>
    <w:p w:rsidR="00000000" w:rsidRDefault="00000000">
      <w:pPr>
        <w:pStyle w:val="HCh"/>
        <w:spacing w:line="240" w:lineRule="auto"/>
        <w:rPr>
          <w:b w:val="0"/>
          <w:sz w:val="12"/>
        </w:rPr>
      </w:pPr>
    </w:p>
    <w:p w:rsidR="00000000" w:rsidRDefault="00000000">
      <w:pPr>
        <w:pStyle w:val="SingleTxt"/>
      </w:pPr>
      <w:r>
        <w:t>Рассмотрение докладов, представляемых государствами-участниками в соо</w:t>
      </w:r>
      <w:r>
        <w:t>т</w:t>
      </w:r>
      <w:r>
        <w:t>ветствии со статьей 18 Конвенции (</w:t>
      </w:r>
      <w:r>
        <w:rPr>
          <w:i/>
        </w:rPr>
        <w:t>продолжение</w:t>
      </w:r>
      <w:r>
        <w:t>)</w:t>
      </w:r>
    </w:p>
    <w:p w:rsidR="00000000" w:rsidRDefault="00000000">
      <w:pPr>
        <w:pStyle w:val="SingleTxt"/>
        <w:ind w:left="1742"/>
        <w:rPr>
          <w:i/>
        </w:rPr>
      </w:pPr>
      <w:r>
        <w:rPr>
          <w:i/>
        </w:rPr>
        <w:t>Объединенные второй и третий периодические доклады и объединенные четвертый и пятый периодические доклады Экваториальной Гвинеи</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1267"/>
        <w:rPr>
          <w:sz w:val="2"/>
        </w:rPr>
        <w:sectPr w:rsidR="00000000">
          <w:endnotePr>
            <w:numFmt w:val="decimal"/>
          </w:endnotePr>
          <w:type w:val="continuous"/>
          <w:pgSz w:w="12240" w:h="15840" w:code="1"/>
          <w:pgMar w:top="1742" w:right="1195" w:bottom="1898" w:left="1195" w:header="576" w:footer="1030" w:gutter="0"/>
          <w:cols w:space="720"/>
          <w:noEndnote/>
        </w:sectPr>
      </w:pPr>
      <w:r>
        <w:br w:type="page"/>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t>Заседание открывается в 10 ч. 05 м.</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rPr>
          <w:b w:val="0"/>
        </w:rPr>
      </w:pPr>
      <w:r>
        <w:tab/>
        <w:t xml:space="preserve">Рассмотрение докладов, представляемых государствами-участниками в соответствии со статьей 18 Конвенции </w:t>
      </w:r>
      <w:r>
        <w:rPr>
          <w:b w:val="0"/>
        </w:rPr>
        <w:t>(</w:t>
      </w:r>
      <w:r>
        <w:rPr>
          <w:b w:val="0"/>
          <w:i/>
        </w:rPr>
        <w:t>продолжение</w:t>
      </w:r>
      <w:r>
        <w:rPr>
          <w:b w:val="0"/>
        </w:rPr>
        <w:t>)</w:t>
      </w:r>
    </w:p>
    <w:p w:rsidR="00000000" w:rsidRDefault="00000000">
      <w:pPr>
        <w:pStyle w:val="H4"/>
        <w:tabs>
          <w:tab w:val="right" w:pos="360"/>
          <w:tab w:val="left" w:pos="475"/>
          <w:tab w:val="left" w:pos="965"/>
          <w:tab w:val="left" w:pos="1440"/>
          <w:tab w:val="left" w:pos="1915"/>
          <w:tab w:val="left" w:pos="2405"/>
          <w:tab w:val="left" w:pos="2880"/>
          <w:tab w:val="left" w:pos="3355"/>
        </w:tabs>
        <w:spacing w:line="120" w:lineRule="exact"/>
        <w:ind w:left="475" w:hanging="475"/>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 xml:space="preserve">Объединенные второй и третий периодические доклады и объединенные четвертый и пятый периодические доклады Экваториальной Гвинеи </w:t>
      </w:r>
      <w:r>
        <w:rPr>
          <w:i w:val="0"/>
        </w:rPr>
        <w:t>(CEDAW/C/GNQ/2–3, CEDAW/C/GNQ/4–5)</w:t>
      </w:r>
    </w:p>
    <w:p w:rsidR="00000000" w:rsidRDefault="00000000">
      <w:pPr>
        <w:pStyle w:val="DualTxt"/>
        <w:spacing w:after="0" w:line="120" w:lineRule="exact"/>
        <w:rPr>
          <w:sz w:val="10"/>
        </w:rPr>
      </w:pPr>
    </w:p>
    <w:p w:rsidR="00000000" w:rsidRDefault="00000000">
      <w:pPr>
        <w:pStyle w:val="DualTxt"/>
      </w:pPr>
      <w:r>
        <w:t>1.</w:t>
      </w:r>
      <w:r>
        <w:tab/>
        <w:t>По приглашению Председателя делегация Э</w:t>
      </w:r>
      <w:r>
        <w:t>к</w:t>
      </w:r>
      <w:r>
        <w:t>ваториальной Гвинеи занимает место за столом К</w:t>
      </w:r>
      <w:r>
        <w:t>о</w:t>
      </w:r>
      <w:r>
        <w:t>митета.</w:t>
      </w:r>
    </w:p>
    <w:p w:rsidR="00000000" w:rsidRDefault="00000000">
      <w:pPr>
        <w:pStyle w:val="DualTxt"/>
      </w:pPr>
      <w:r>
        <w:t>2.</w:t>
      </w:r>
      <w:r>
        <w:tab/>
      </w:r>
      <w:r>
        <w:rPr>
          <w:b/>
        </w:rPr>
        <w:t>Г</w:t>
      </w:r>
      <w:r>
        <w:rPr>
          <w:b/>
        </w:rPr>
        <w:noBreakHyphen/>
        <w:t>жа Обоно Энгоно</w:t>
      </w:r>
      <w:r>
        <w:t xml:space="preserve"> (Экваториальная Гвинея), представляя объединенные второй и третий пери</w:t>
      </w:r>
      <w:r>
        <w:t>о</w:t>
      </w:r>
      <w:r>
        <w:t>дические доклады (CEDAW/C/GNQ/2–3) и объед</w:t>
      </w:r>
      <w:r>
        <w:t>и</w:t>
      </w:r>
      <w:r>
        <w:t>ненные четвертый и пятый периодические доклады (CEDAW/C/GNQ/4–5) своей страны, отмечает, что первым шагом в улучшении положения женщин было создание в 1980 году Департамента по пов</w:t>
      </w:r>
      <w:r>
        <w:t>ы</w:t>
      </w:r>
      <w:r>
        <w:t>шению роли женщин, который в настоящее время преобразован в независимое министерство, во</w:t>
      </w:r>
      <w:r>
        <w:t>з</w:t>
      </w:r>
      <w:r>
        <w:t>главляемое женщиной, а именно: министерство по социальным вопросам и положению женщин. Пр</w:t>
      </w:r>
      <w:r>
        <w:t>а</w:t>
      </w:r>
      <w:r>
        <w:t>вительство все больше старается обеспечить ра</w:t>
      </w:r>
      <w:r>
        <w:t>в</w:t>
      </w:r>
      <w:r>
        <w:t>ные возможности для женщин в соответствии с Конвенцией и Конституцией страны и проводить антиди</w:t>
      </w:r>
      <w:r>
        <w:t>с</w:t>
      </w:r>
      <w:r>
        <w:t>криминационную политику.</w:t>
      </w:r>
    </w:p>
    <w:p w:rsidR="00000000" w:rsidRDefault="00000000">
      <w:pPr>
        <w:pStyle w:val="DualTxt"/>
      </w:pPr>
      <w:r>
        <w:t>3.</w:t>
      </w:r>
      <w:r>
        <w:tab/>
        <w:t>Национальная политика по улучшению пол</w:t>
      </w:r>
      <w:r>
        <w:t>о</w:t>
      </w:r>
      <w:r>
        <w:t>жения женщин, принятая в 2002 году, четко опред</w:t>
      </w:r>
      <w:r>
        <w:t>е</w:t>
      </w:r>
      <w:r>
        <w:t>ляет все стратегии в рамках равенства мужчин и женщин и развития с целью достижения равных возможностей для обоих полов. Основные напра</w:t>
      </w:r>
      <w:r>
        <w:t>в</w:t>
      </w:r>
      <w:r>
        <w:t>ления стратегии развития страны были определены на Национальной экономической конференции, проведенной в 1997 году, и в рамках последующих обзоров ее осуществления. Она основана на ко</w:t>
      </w:r>
      <w:r>
        <w:t>н</w:t>
      </w:r>
      <w:r>
        <w:t>цепции человека, находящегося в центре процесса социально-экономического прогресса, и предусма</w:t>
      </w:r>
      <w:r>
        <w:t>т</w:t>
      </w:r>
      <w:r>
        <w:t>ривает широкий подход с участием всех слоев о</w:t>
      </w:r>
      <w:r>
        <w:t>б</w:t>
      </w:r>
      <w:r>
        <w:t xml:space="preserve">щества. </w:t>
      </w:r>
    </w:p>
    <w:p w:rsidR="00000000" w:rsidRDefault="00000000">
      <w:pPr>
        <w:pStyle w:val="DualTxt"/>
      </w:pPr>
      <w:r>
        <w:t>4.</w:t>
      </w:r>
      <w:r>
        <w:tab/>
        <w:t>Национальная политика по улучшению пол</w:t>
      </w:r>
      <w:r>
        <w:t>о</w:t>
      </w:r>
      <w:r>
        <w:t>жения женщин направлена прежде всего на сове</w:t>
      </w:r>
      <w:r>
        <w:t>р</w:t>
      </w:r>
      <w:r>
        <w:t>шенствование юридических рамок, расширение доступа женщин к руководящим органам и усто</w:t>
      </w:r>
      <w:r>
        <w:t>й</w:t>
      </w:r>
      <w:r>
        <w:t>чивое улучшение экономического положения</w:t>
      </w:r>
      <w:r>
        <w:br/>
        <w:t>женщин; обеспечение равного доступа мужчин и женщин к основным услугам и создание здор</w:t>
      </w:r>
      <w:r>
        <w:t>о</w:t>
      </w:r>
      <w:r>
        <w:t>вых условий; укрепление организационного мех</w:t>
      </w:r>
      <w:r>
        <w:t>а</w:t>
      </w:r>
      <w:r>
        <w:t>низма улучшения положения женщин; и обеспеч</w:t>
      </w:r>
      <w:r>
        <w:t>е</w:t>
      </w:r>
      <w:r>
        <w:t>ние образования, профессиональной подготовки и грамотности среди женщин. Одной из особенно перспективных мер явилось принятие президен</w:t>
      </w:r>
      <w:r>
        <w:t>т</w:t>
      </w:r>
      <w:r>
        <w:t>ского указа, запрещающего заключение женщин под стражу по причинам, связанным с приданым, при расторжении обычного брака, хотя в удаленных сельских районах это запрещение соблюдается не вс</w:t>
      </w:r>
      <w:r>
        <w:t>е</w:t>
      </w:r>
      <w:r>
        <w:t xml:space="preserve">гда. </w:t>
      </w:r>
    </w:p>
    <w:p w:rsidR="00000000" w:rsidRDefault="00000000">
      <w:pPr>
        <w:pStyle w:val="DualTxt"/>
      </w:pPr>
      <w:r>
        <w:t>5.</w:t>
      </w:r>
      <w:r>
        <w:tab/>
        <w:t>Как указывается в четвертом и пятом докладах (стр. 9), ни один из законов страны не противоречит гарантиям равных прав и основных свобод. Однако реальность не всегда успевала за законодательс</w:t>
      </w:r>
      <w:r>
        <w:t>т</w:t>
      </w:r>
      <w:r>
        <w:t>вом, поэтому предпринимаются усилия по повыш</w:t>
      </w:r>
      <w:r>
        <w:t>е</w:t>
      </w:r>
      <w:r>
        <w:t>нию уровня осведомленности как женщин, так и мужчин по всей стране. Национальная комиссия по правам человека, созданная в 1990 году, контрол</w:t>
      </w:r>
      <w:r>
        <w:t>и</w:t>
      </w:r>
      <w:r>
        <w:t>рует соблюдение всех прав, определенных во Вс</w:t>
      </w:r>
      <w:r>
        <w:t>е</w:t>
      </w:r>
      <w:r>
        <w:t>общей декларации прав человека и международных договорах, стороной которых является Экватор</w:t>
      </w:r>
      <w:r>
        <w:t>и</w:t>
      </w:r>
      <w:r>
        <w:t>альная Гвинея. Комиссия уполномочена расслед</w:t>
      </w:r>
      <w:r>
        <w:t>о</w:t>
      </w:r>
      <w:r>
        <w:t>вать заявления о нарушениях прав человека, кот</w:t>
      </w:r>
      <w:r>
        <w:t>о</w:t>
      </w:r>
      <w:r>
        <w:t>рые дов</w:t>
      </w:r>
      <w:r>
        <w:t>о</w:t>
      </w:r>
      <w:r>
        <w:t>дятся до ее сведения.</w:t>
      </w:r>
    </w:p>
    <w:p w:rsidR="00000000" w:rsidRDefault="00000000">
      <w:pPr>
        <w:pStyle w:val="DualTxt"/>
      </w:pPr>
      <w:r>
        <w:t>6.</w:t>
      </w:r>
      <w:r>
        <w:tab/>
        <w:t>Разрабатываемый в настоящее время проект Семейного кодекса будет и далее способствовать улучшению юридического и обычного положения женщин, поскольку он согласует обычаи и тра</w:t>
      </w:r>
      <w:r>
        <w:softHyphen/>
        <w:t>диции с Конституцией и применимыми договорами. В четвертом и пятом докладах (стр. 13) определены положения, касающиеся прав женщин в связи с гражданством. Как указывается в этих докладах (стр. 10–11), трудно преодолеть стереотипы, к</w:t>
      </w:r>
      <w:r>
        <w:t>а</w:t>
      </w:r>
      <w:r>
        <w:t>сающиеся роли мужчин и женщин, а отсутствие формального регулирования обычных браков, я</w:t>
      </w:r>
      <w:r>
        <w:t>в</w:t>
      </w:r>
      <w:r>
        <w:t>ляющихся одной из самых сильных традиций, с</w:t>
      </w:r>
      <w:r>
        <w:t>о</w:t>
      </w:r>
      <w:r>
        <w:t>ставляет источник многих злоупотреблений. К с</w:t>
      </w:r>
      <w:r>
        <w:t>о</w:t>
      </w:r>
      <w:r>
        <w:t>жалению, рассмотрение законопроекта о регулир</w:t>
      </w:r>
      <w:r>
        <w:t>о</w:t>
      </w:r>
      <w:r>
        <w:t>вании обычных браков уже давно блокируется о</w:t>
      </w:r>
      <w:r>
        <w:t>п</w:t>
      </w:r>
      <w:r>
        <w:t>поз</w:t>
      </w:r>
      <w:r>
        <w:t>и</w:t>
      </w:r>
      <w:r>
        <w:t xml:space="preserve">цией. </w:t>
      </w:r>
    </w:p>
    <w:p w:rsidR="00000000" w:rsidRDefault="00000000">
      <w:pPr>
        <w:pStyle w:val="DualTxt"/>
      </w:pPr>
      <w:r>
        <w:t>7.</w:t>
      </w:r>
      <w:r>
        <w:tab/>
        <w:t>Женщины в Экваториальной Гвинее по Ко</w:t>
      </w:r>
      <w:r>
        <w:t>н</w:t>
      </w:r>
      <w:r>
        <w:t>ституции имеют право голосовать и занимать гос</w:t>
      </w:r>
      <w:r>
        <w:t>у</w:t>
      </w:r>
      <w:r>
        <w:t>дарственные и политические должности; поэтому во всех трех ветвях власти работают женщины, хотя в значительно меньшем числе, чем мужчины (че</w:t>
      </w:r>
      <w:r>
        <w:t>т</w:t>
      </w:r>
      <w:r>
        <w:t>вертый и пятый доклады, стр. 12). В исполнител</w:t>
      </w:r>
      <w:r>
        <w:t>ь</w:t>
      </w:r>
      <w:r>
        <w:t>ной ветви власти работают одна женщина-министр, одна женщина-заместитель министра, три женщ</w:t>
      </w:r>
      <w:r>
        <w:t>и</w:t>
      </w:r>
      <w:r>
        <w:t>ны-государственных секретаря и одна же</w:t>
      </w:r>
      <w:r>
        <w:t>н</w:t>
      </w:r>
      <w:r>
        <w:t>щина-президентский советник. В судебной системе в рамках Верховного и Апелляционного судов раб</w:t>
      </w:r>
      <w:r>
        <w:t>о</w:t>
      </w:r>
      <w:r>
        <w:t>тают по одной женщине-судье, а также одна же</w:t>
      </w:r>
      <w:r>
        <w:t>н</w:t>
      </w:r>
      <w:r>
        <w:t>щина-секретарь Верховного суда и четыре женщ</w:t>
      </w:r>
      <w:r>
        <w:t>и</w:t>
      </w:r>
      <w:r>
        <w:t>ны-районных судьи. Свыше 150 женщин выдвиг</w:t>
      </w:r>
      <w:r>
        <w:t>а</w:t>
      </w:r>
      <w:r>
        <w:t>лись кандидатами на парламентских выборах 2004 года, и 14 процентов из всех избранных в па</w:t>
      </w:r>
      <w:r>
        <w:t>р</w:t>
      </w:r>
      <w:r>
        <w:t>ламент составили женщины, по сравнению с 7,5 процента, которые работали в предыдущем з</w:t>
      </w:r>
      <w:r>
        <w:t>а</w:t>
      </w:r>
      <w:r>
        <w:t>конодательном органе. Женщины служат на всех уровнях дипломатических миссий страны и зан</w:t>
      </w:r>
      <w:r>
        <w:t>и</w:t>
      </w:r>
      <w:r>
        <w:t>мают высокие должности в субрегиональных орг</w:t>
      </w:r>
      <w:r>
        <w:t>а</w:t>
      </w:r>
      <w:r>
        <w:t>низац</w:t>
      </w:r>
      <w:r>
        <w:t>и</w:t>
      </w:r>
      <w:r>
        <w:t>ях.</w:t>
      </w:r>
    </w:p>
    <w:p w:rsidR="00000000" w:rsidRDefault="00000000">
      <w:pPr>
        <w:pStyle w:val="DualTxt"/>
      </w:pPr>
      <w:r>
        <w:t>8.</w:t>
      </w:r>
      <w:r>
        <w:tab/>
        <w:t>Женщины в принципе свободны обучаться на любом уровне системы образования, однако, как указывается в четвертом и пятом докладах (стр. 6 и 13), процентная доля девочек существенно сократ</w:t>
      </w:r>
      <w:r>
        <w:t>и</w:t>
      </w:r>
      <w:r>
        <w:t>лась в средней школе и резко уменьшилась на более высоких уровнях. Девочки, как правило, бросают школу из</w:t>
      </w:r>
      <w:r>
        <w:noBreakHyphen/>
        <w:t>за беременности, раннего брака, плохой успеваемости или выполнения неквалифицирова</w:t>
      </w:r>
      <w:r>
        <w:t>н</w:t>
      </w:r>
      <w:r>
        <w:t>ной работы из</w:t>
      </w:r>
      <w:r>
        <w:noBreakHyphen/>
        <w:t>за отсутствия средств. Местная кул</w:t>
      </w:r>
      <w:r>
        <w:t>ь</w:t>
      </w:r>
      <w:r>
        <w:t>тура фактически подталкивает семьи давать образ</w:t>
      </w:r>
      <w:r>
        <w:t>о</w:t>
      </w:r>
      <w:r>
        <w:t>вание мальчикам, а не девочкам, особенно в подр</w:t>
      </w:r>
      <w:r>
        <w:t>о</w:t>
      </w:r>
      <w:r>
        <w:t>стковом возрасте. Помимо полового просвещения и мер по повышению уровня осведомленности, ос</w:t>
      </w:r>
      <w:r>
        <w:t>у</w:t>
      </w:r>
      <w:r>
        <w:t>ществляемых правительством в интересах девочек во избежание преждевременной беременности и з</w:t>
      </w:r>
      <w:r>
        <w:t>а</w:t>
      </w:r>
      <w:r>
        <w:t>ражения передаваемыми половым путем болезнями, и в дополнение к Национальной программе образ</w:t>
      </w:r>
      <w:r>
        <w:t>о</w:t>
      </w:r>
      <w:r>
        <w:t>вания для всех и различным программам грамотн</w:t>
      </w:r>
      <w:r>
        <w:t>о</w:t>
      </w:r>
      <w:r>
        <w:t>сти (четвертый и пятый доклады, стр. 10 и 13), к</w:t>
      </w:r>
      <w:r>
        <w:t>о</w:t>
      </w:r>
      <w:r>
        <w:t>торые направлены на обеспечение большего раве</w:t>
      </w:r>
      <w:r>
        <w:t>н</w:t>
      </w:r>
      <w:r>
        <w:t>ства между лицами мужского и женского пола на всех уровнях образования, правительство постро</w:t>
      </w:r>
      <w:r>
        <w:t>и</w:t>
      </w:r>
      <w:r>
        <w:t>ло много новых начальных и средних школ, создало вечерние школы начального и среднего уровня для взрослых и предложило программы, позволяющие лицам, бросившим школу, возобновить свое обуч</w:t>
      </w:r>
      <w:r>
        <w:t>е</w:t>
      </w:r>
      <w:r>
        <w:t>ние. Кроме того, проводится тщательный анализ учебных планов средней и начальной школы на уровне старших классов с целью приведения их в соответствие с субрегиональными и глобальными нормами, при этом основная задача заключается во введении обязательного четырехлетнего обучения в средней школе.</w:t>
      </w:r>
    </w:p>
    <w:p w:rsidR="00000000" w:rsidRDefault="00000000">
      <w:pPr>
        <w:pStyle w:val="DualTxt"/>
      </w:pPr>
      <w:r>
        <w:t>9.</w:t>
      </w:r>
      <w:r>
        <w:tab/>
        <w:t>В отношении занятости и экономического п</w:t>
      </w:r>
      <w:r>
        <w:t>о</w:t>
      </w:r>
      <w:r>
        <w:t>ложения женщин в четвертом и пятом докладах указывается (стр. 5), что они не получают должного вознаграждения за свой труд, будучи не в состоянии получить равную оплату за равную работу; и что они в основном заняты в сельском хозяйстве, кустарном пресноводном рыболовстве и в нефо</w:t>
      </w:r>
      <w:r>
        <w:t>р</w:t>
      </w:r>
      <w:r>
        <w:t>мальном секторе. С тем чтобы помочь женщ</w:t>
      </w:r>
      <w:r>
        <w:t>и</w:t>
      </w:r>
      <w:r>
        <w:t>нам экономически конкурировать с мужчинами, правительство отдает им предпочтение в рамках системы бесплатного профессионально-технического образования, стимулируя те фирмы, которые нанимают их на работу, при этом оно</w:t>
      </w:r>
      <w:r>
        <w:br/>
        <w:t>приняло законодательство, предоставляющее же</w:t>
      </w:r>
      <w:r>
        <w:t>н</w:t>
      </w:r>
      <w:r>
        <w:t>щинам специальную защиту во время беременн</w:t>
      </w:r>
      <w:r>
        <w:t>о</w:t>
      </w:r>
      <w:r>
        <w:t>сти. В четвертом и пятом докладах (стр. 15) гов</w:t>
      </w:r>
      <w:r>
        <w:t>о</w:t>
      </w:r>
      <w:r>
        <w:t>рится о специальных программах для сельских женщин, касающихся сельскохозяйственных ко</w:t>
      </w:r>
      <w:r>
        <w:t>м</w:t>
      </w:r>
      <w:r>
        <w:t>мун, микрокредитования, подготовки по вопросам растениеводства, сбыта и переработки продукции, которые были разработаны в целях повышения прибыльности фермерских хозяйств, возглавляемых женщинами. Заметно большее число женщин нач</w:t>
      </w:r>
      <w:r>
        <w:t>и</w:t>
      </w:r>
      <w:r>
        <w:t>нают участвовать в разработке планов развития, особенно в связи с гендерными вопросами, при этом они активно участвовали в работе Национал</w:t>
      </w:r>
      <w:r>
        <w:t>ь</w:t>
      </w:r>
      <w:r>
        <w:t>ной экономической конференции и в проведении среднесрочного и окончательного обзоров ее р</w:t>
      </w:r>
      <w:r>
        <w:t>е</w:t>
      </w:r>
      <w:r>
        <w:t>зультатов.</w:t>
      </w:r>
    </w:p>
    <w:p w:rsidR="00000000" w:rsidRDefault="00000000">
      <w:pPr>
        <w:pStyle w:val="DualTxt"/>
      </w:pPr>
      <w:r>
        <w:t>10.</w:t>
      </w:r>
      <w:r>
        <w:tab/>
        <w:t>Хотя по Уголовному кодексу проституция я</w:t>
      </w:r>
      <w:r>
        <w:t>в</w:t>
      </w:r>
      <w:r>
        <w:t>ляется незаконной, в последнее годы она получила распространение, особенно в крупных городах (четвертый и пятый доклады, стр. 11). Расширение ее масштабов может объясняться ростом эконом</w:t>
      </w:r>
      <w:r>
        <w:t>и</w:t>
      </w:r>
      <w:r>
        <w:t>ки, требующим наличия профессиональных нав</w:t>
      </w:r>
      <w:r>
        <w:t>ы</w:t>
      </w:r>
      <w:r>
        <w:t>ков и подготовки для получения работы, которыми женщины не обладают; массовой миграцией в гор</w:t>
      </w:r>
      <w:r>
        <w:t>о</w:t>
      </w:r>
      <w:r>
        <w:t>да женщин, не имеющих средств к сосуществов</w:t>
      </w:r>
      <w:r>
        <w:t>а</w:t>
      </w:r>
      <w:r>
        <w:t>нию; нефтяным бумом, который привлек многих состоятельных одиноких специалистов с Запада, создающим спрос на работников секс-индустрии; и традиционным социальным давлением на женщин, требующим от них экономической активности в очень раннем возрасте. Торговля женщинами (че</w:t>
      </w:r>
      <w:r>
        <w:t>т</w:t>
      </w:r>
      <w:r>
        <w:t>вертый и пятый доклады, стр. 12), которая является незаконной и не имеет глубоких корней в обществе, стала распространяться в последние годы в рамках иностранных общин, особенно среди женщин и д</w:t>
      </w:r>
      <w:r>
        <w:t>е</w:t>
      </w:r>
      <w:r>
        <w:t>вушек из Бенина.</w:t>
      </w:r>
    </w:p>
    <w:p w:rsidR="00000000" w:rsidRDefault="00000000">
      <w:pPr>
        <w:pStyle w:val="DualTxt"/>
      </w:pPr>
      <w:r>
        <w:t>11.</w:t>
      </w:r>
      <w:r>
        <w:tab/>
        <w:t>Женщины пользуются лучшими, недорог</w:t>
      </w:r>
      <w:r>
        <w:t>о</w:t>
      </w:r>
      <w:r>
        <w:t>стоящими услугами здравоохранения, особенно в случае беременности и материнства (четвертый и пятый доклады, стр. 14). Закон о планировании с</w:t>
      </w:r>
      <w:r>
        <w:t>е</w:t>
      </w:r>
      <w:r>
        <w:t>мьи вместе с законопроектом об охране репроду</w:t>
      </w:r>
      <w:r>
        <w:t>к</w:t>
      </w:r>
      <w:r>
        <w:t>тивного здоровья, в настоящее время находящимся на рассмотрении парламента, будут гарантировать значительно лучшие медицинские услуги для же</w:t>
      </w:r>
      <w:r>
        <w:t>н</w:t>
      </w:r>
      <w:r>
        <w:t>щин и особенно для детей. Законопроект, который криминализирует аборты, за исключением особых случаев, также предусматривает, в частности, леч</w:t>
      </w:r>
      <w:r>
        <w:t>е</w:t>
      </w:r>
      <w:r>
        <w:t>ние от ВИЧ/ СПИДа. В Экваториальной Гвинее н</w:t>
      </w:r>
      <w:r>
        <w:t>а</w:t>
      </w:r>
      <w:r>
        <w:t>много больше женщин, чем мужчин инфицированы СПИДом, который передается гетеросексуальным путем. Министерство здравоохранения и социал</w:t>
      </w:r>
      <w:r>
        <w:t>ь</w:t>
      </w:r>
      <w:r>
        <w:t>ного обеспечения собирает статистические данные о коэффициентах рождаемости и смертности, пр</w:t>
      </w:r>
      <w:r>
        <w:t>о</w:t>
      </w:r>
      <w:r>
        <w:t>должительности жизни, распространении СПИДа и медицинском обслуживании. Контрацептивные м</w:t>
      </w:r>
      <w:r>
        <w:t>е</w:t>
      </w:r>
      <w:r>
        <w:t>тоды свободно доступны в городских районах, о</w:t>
      </w:r>
      <w:r>
        <w:t>д</w:t>
      </w:r>
      <w:r>
        <w:t>нако в сельских районах проявляется недостаточная осведомленность о них, отсутствие информации или их наличия. В четвертом и пятом докладах (стр. 14) обсуждаются семейные льготы, предоста</w:t>
      </w:r>
      <w:r>
        <w:t>в</w:t>
      </w:r>
      <w:r>
        <w:t>ляемые по национальной системе социального обеспеч</w:t>
      </w:r>
      <w:r>
        <w:t>е</w:t>
      </w:r>
      <w:r>
        <w:t>ния.</w:t>
      </w:r>
    </w:p>
    <w:p w:rsidR="00000000" w:rsidRDefault="00000000">
      <w:pPr>
        <w:pStyle w:val="DualTxt"/>
      </w:pPr>
      <w:r>
        <w:t>12.</w:t>
      </w:r>
      <w:r>
        <w:tab/>
        <w:t>Справедливо сделан вывод о том (четвертый и пятые доклады, стр. 17), что правительство пре</w:t>
      </w:r>
      <w:r>
        <w:t>д</w:t>
      </w:r>
      <w:r>
        <w:t>приняло беспрецедентные усилия по содействию улучшению положения женщин и общества в ц</w:t>
      </w:r>
      <w:r>
        <w:t>е</w:t>
      </w:r>
      <w:r>
        <w:t>лом; и что их положение будет улучшаться в резул</w:t>
      </w:r>
      <w:r>
        <w:t>ь</w:t>
      </w:r>
      <w:r>
        <w:t>тате повышения их покупательной способности и предоставления им лучших услуг в сфере образов</w:t>
      </w:r>
      <w:r>
        <w:t>а</w:t>
      </w:r>
      <w:r>
        <w:t>ния и здравоохранения, что окажет влияние на все сферы и приведет к гендерному равенству, име</w:t>
      </w:r>
      <w:r>
        <w:t>ю</w:t>
      </w:r>
      <w:r>
        <w:t>щему важное значение для процесса развития. Н</w:t>
      </w:r>
      <w:r>
        <w:t>а</w:t>
      </w:r>
      <w:r>
        <w:t>чиная с 2001 года, был организован ряд семинаров по вопросам гендерной перспективы, были дости</w:t>
      </w:r>
      <w:r>
        <w:t>г</w:t>
      </w:r>
      <w:r>
        <w:t>нуты положительные результаты в сфере законод</w:t>
      </w:r>
      <w:r>
        <w:t>а</w:t>
      </w:r>
      <w:r>
        <w:t>тельства и политики и выработаны рекомендации в отношении более широкой поддержки со стороны правительства и других партнеров в целях обесп</w:t>
      </w:r>
      <w:r>
        <w:t>е</w:t>
      </w:r>
      <w:r>
        <w:t>чения гендерного равенства и расширения сотру</w:t>
      </w:r>
      <w:r>
        <w:t>д</w:t>
      </w:r>
      <w:r>
        <w:t>ничества и координации между государственными и частными организациями в поддержку женщин (четвертый и пятый доклады, стр. 17–19). Необх</w:t>
      </w:r>
      <w:r>
        <w:t>о</w:t>
      </w:r>
      <w:r>
        <w:t>димо также содействовать принятию различных упомянутых выше законопроектов, которые кас</w:t>
      </w:r>
      <w:r>
        <w:t>а</w:t>
      </w:r>
      <w:r>
        <w:t>ются же</w:t>
      </w:r>
      <w:r>
        <w:t>н</w:t>
      </w:r>
      <w:r>
        <w:t>щин.</w:t>
      </w:r>
    </w:p>
    <w:p w:rsidR="00000000" w:rsidRDefault="00000000">
      <w:pPr>
        <w:pStyle w:val="DualTxt"/>
      </w:pPr>
      <w:r>
        <w:t>13.</w:t>
      </w:r>
      <w:r>
        <w:tab/>
      </w:r>
      <w:r>
        <w:rPr>
          <w:b/>
        </w:rPr>
        <w:t>Председатель</w:t>
      </w:r>
      <w:r>
        <w:t xml:space="preserve"> предлагает членам Комитета задать д</w:t>
      </w:r>
      <w:r>
        <w:t>е</w:t>
      </w:r>
      <w:r>
        <w:t>легации вопросы.</w:t>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Статьи 1–6</w:t>
      </w:r>
    </w:p>
    <w:p w:rsidR="00000000" w:rsidRDefault="00000000">
      <w:pPr>
        <w:pStyle w:val="DualTxt"/>
        <w:spacing w:after="0" w:line="120" w:lineRule="exact"/>
        <w:rPr>
          <w:sz w:val="10"/>
        </w:rPr>
      </w:pPr>
    </w:p>
    <w:p w:rsidR="00000000" w:rsidRDefault="00000000">
      <w:pPr>
        <w:pStyle w:val="DualTxt"/>
      </w:pPr>
      <w:r>
        <w:t>14.</w:t>
      </w:r>
      <w:r>
        <w:tab/>
      </w:r>
      <w:r>
        <w:rPr>
          <w:b/>
        </w:rPr>
        <w:t>Г</w:t>
      </w:r>
      <w:r>
        <w:rPr>
          <w:b/>
        </w:rPr>
        <w:noBreakHyphen/>
        <w:t>н Флинтерман</w:t>
      </w:r>
      <w:r>
        <w:t xml:space="preserve"> просит представить допо</w:t>
      </w:r>
      <w:r>
        <w:t>л</w:t>
      </w:r>
      <w:r>
        <w:t>нительную информацию о структурной реорганиз</w:t>
      </w:r>
      <w:r>
        <w:t>а</w:t>
      </w:r>
      <w:r>
        <w:t>ции неудачно работавшего Национального комитета по интеграции женщин в процесс развития. Ком</w:t>
      </w:r>
      <w:r>
        <w:t>и</w:t>
      </w:r>
      <w:r>
        <w:t>тет будет также признателен за сведения о составе Комиссии по правам человека Экваториальной Гв</w:t>
      </w:r>
      <w:r>
        <w:t>и</w:t>
      </w:r>
      <w:r>
        <w:t>неи, учрежденной в 1990 году, в том числе о кол</w:t>
      </w:r>
      <w:r>
        <w:t>и</w:t>
      </w:r>
      <w:r>
        <w:t>честве женщин-членов, его мандате и способности реализовывать программы в области повышения осведомленности и расширения возможностей, к</w:t>
      </w:r>
      <w:r>
        <w:t>о</w:t>
      </w:r>
      <w:r>
        <w:t>личестве случаев, представленных на его рассмо</w:t>
      </w:r>
      <w:r>
        <w:t>т</w:t>
      </w:r>
      <w:r>
        <w:t>рение, его бюджете и взаимоотношениях с обы</w:t>
      </w:r>
      <w:r>
        <w:t>ч</w:t>
      </w:r>
      <w:r>
        <w:t>ными судами. Отмечая, что в Экваториальной Гв</w:t>
      </w:r>
      <w:r>
        <w:t>и</w:t>
      </w:r>
      <w:r>
        <w:t>нее судебные решения, в том числе решения Ве</w:t>
      </w:r>
      <w:r>
        <w:t>р</w:t>
      </w:r>
      <w:r>
        <w:t>ховного суда, не публикуются, он спрашивает, пр</w:t>
      </w:r>
      <w:r>
        <w:t>о</w:t>
      </w:r>
      <w:r>
        <w:t>ходят ли судьи подготовку по международному пр</w:t>
      </w:r>
      <w:r>
        <w:t>а</w:t>
      </w:r>
      <w:r>
        <w:t>ву в области прав человека, прежде всего докуме</w:t>
      </w:r>
      <w:r>
        <w:t>н</w:t>
      </w:r>
      <w:r>
        <w:t>там, касающимся прав женщин. Наконец, будет и</w:t>
      </w:r>
      <w:r>
        <w:t>н</w:t>
      </w:r>
      <w:r>
        <w:t>тересно узнать некоторые данные о роли неправ</w:t>
      </w:r>
      <w:r>
        <w:t>и</w:t>
      </w:r>
      <w:r>
        <w:t>тельственных организаций (НПО) в Экваториал</w:t>
      </w:r>
      <w:r>
        <w:t>ь</w:t>
      </w:r>
      <w:r>
        <w:t>ной Гвинее, в том числе об их юридическом стат</w:t>
      </w:r>
      <w:r>
        <w:t>у</w:t>
      </w:r>
      <w:r>
        <w:t>се, свободе проводить мероприятия и степени их участия как в осуществлении государственной п</w:t>
      </w:r>
      <w:r>
        <w:t>о</w:t>
      </w:r>
      <w:r>
        <w:t>литики, так и в подготовке сводных докладов гос</w:t>
      </w:r>
      <w:r>
        <w:t>у</w:t>
      </w:r>
      <w:r>
        <w:t>дарства-участника для Ком</w:t>
      </w:r>
      <w:r>
        <w:t>и</w:t>
      </w:r>
      <w:r>
        <w:t>тета.</w:t>
      </w:r>
    </w:p>
    <w:p w:rsidR="00000000" w:rsidRDefault="00000000">
      <w:pPr>
        <w:pStyle w:val="DualTxt"/>
      </w:pPr>
      <w:r>
        <w:t>15.</w:t>
      </w:r>
      <w:r>
        <w:tab/>
      </w:r>
      <w:r>
        <w:rPr>
          <w:b/>
        </w:rPr>
        <w:t>Г</w:t>
      </w:r>
      <w:r>
        <w:rPr>
          <w:b/>
        </w:rPr>
        <w:noBreakHyphen/>
        <w:t>жа Шёпп-Шиллинг</w:t>
      </w:r>
      <w:r>
        <w:t xml:space="preserve"> интересуется различ</w:t>
      </w:r>
      <w:r>
        <w:t>и</w:t>
      </w:r>
      <w:r>
        <w:t>ем между проектом Семейного кодекса и закон</w:t>
      </w:r>
      <w:r>
        <w:t>о</w:t>
      </w:r>
      <w:r>
        <w:t>проектом, регулирующим обычные браки. Какие усилия предпринимает министерство по социал</w:t>
      </w:r>
      <w:r>
        <w:t>ь</w:t>
      </w:r>
      <w:r>
        <w:t>ным вопросам и положению женщин в целях моб</w:t>
      </w:r>
      <w:r>
        <w:t>и</w:t>
      </w:r>
      <w:r>
        <w:t>лизации поддержки среди сельских старейшин на низовом уровне для кодификации и, в некоторых случаях, пересмотра законов об обычных браках? Делегация должна указать Комитету на сроки з</w:t>
      </w:r>
      <w:r>
        <w:t>а</w:t>
      </w:r>
      <w:r>
        <w:t>вершения работы над двумя законодательными д</w:t>
      </w:r>
      <w:r>
        <w:t>о</w:t>
      </w:r>
      <w:r>
        <w:t>кументами и вероятности их успешного осущест</w:t>
      </w:r>
      <w:r>
        <w:t>в</w:t>
      </w:r>
      <w:r>
        <w:t>ления. На своей предыдущей сессии Комитет узнал о нигерийском проекте, направленном на соглас</w:t>
      </w:r>
      <w:r>
        <w:t>о</w:t>
      </w:r>
      <w:r>
        <w:t>вание международного, статутного и обычного пр</w:t>
      </w:r>
      <w:r>
        <w:t>а</w:t>
      </w:r>
      <w:r>
        <w:t>ва, который может оказаться полезным для госуда</w:t>
      </w:r>
      <w:r>
        <w:t>р</w:t>
      </w:r>
      <w:r>
        <w:t>ства-участника. Осуществляется ли какой-либо о</w:t>
      </w:r>
      <w:r>
        <w:t>б</w:t>
      </w:r>
      <w:r>
        <w:t>мен опытом между женщинами-министрами афр</w:t>
      </w:r>
      <w:r>
        <w:t>и</w:t>
      </w:r>
      <w:r>
        <w:t>канских стран по этим в</w:t>
      </w:r>
      <w:r>
        <w:t>о</w:t>
      </w:r>
      <w:r>
        <w:t>просам?</w:t>
      </w:r>
    </w:p>
    <w:p w:rsidR="00000000" w:rsidRDefault="00000000">
      <w:pPr>
        <w:pStyle w:val="DualTxt"/>
      </w:pPr>
      <w:r>
        <w:t>16.</w:t>
      </w:r>
      <w:r>
        <w:tab/>
        <w:t>Вероятно, делегация может изложить некот</w:t>
      </w:r>
      <w:r>
        <w:t>о</w:t>
      </w:r>
      <w:r>
        <w:t>рые идеи о сроках завершения работы над Планом действий на основе Национальной политики по улучшению положения женщин. Было бы полезно узнать, участвуют ли женщины на низовом уровне в процессе разработки документов и способны ли они довести информацию о своих потребностях до св</w:t>
      </w:r>
      <w:r>
        <w:t>е</w:t>
      </w:r>
      <w:r>
        <w:t>дения местных советников министерства по соц</w:t>
      </w:r>
      <w:r>
        <w:t>и</w:t>
      </w:r>
      <w:r>
        <w:t>альным вопросам и положению женщин. Она была бы признательна за информацию о бюджете, выд</w:t>
      </w:r>
      <w:r>
        <w:t>е</w:t>
      </w:r>
      <w:r>
        <w:t>ленном на осуществление Плана действий, особе</w:t>
      </w:r>
      <w:r>
        <w:t>н</w:t>
      </w:r>
      <w:r>
        <w:t>но о том, финансируется ли он государством или международными и двусторонними донорами. Н</w:t>
      </w:r>
      <w:r>
        <w:t>а</w:t>
      </w:r>
      <w:r>
        <w:t>конец, Комитет хотел бы узнать о процентной доле общего национального бюджета, выделяемой на р</w:t>
      </w:r>
      <w:r>
        <w:t>а</w:t>
      </w:r>
      <w:r>
        <w:t>боту министерства по социальным вопросам и п</w:t>
      </w:r>
      <w:r>
        <w:t>о</w:t>
      </w:r>
      <w:r>
        <w:t>ложению женщин в связи с деятельностью других министерств и той степени, в которой оно зависит от взносов д</w:t>
      </w:r>
      <w:r>
        <w:t>о</w:t>
      </w:r>
      <w:r>
        <w:t>норов.</w:t>
      </w:r>
    </w:p>
    <w:p w:rsidR="00000000" w:rsidRDefault="00000000">
      <w:pPr>
        <w:pStyle w:val="DualTxt"/>
      </w:pPr>
      <w:r>
        <w:t>17.</w:t>
      </w:r>
      <w:r>
        <w:tab/>
      </w:r>
      <w:r>
        <w:rPr>
          <w:b/>
        </w:rPr>
        <w:t>Г</w:t>
      </w:r>
      <w:r>
        <w:rPr>
          <w:b/>
        </w:rPr>
        <w:noBreakHyphen/>
        <w:t>жа Паттен</w:t>
      </w:r>
      <w:r>
        <w:t xml:space="preserve"> отмечает, что ответы на перечень вопросов не содержат информации о ходе осущес</w:t>
      </w:r>
      <w:r>
        <w:t>т</w:t>
      </w:r>
      <w:r>
        <w:t>вления Конвенции в рамках юридической системы государства-участника. Может ли делегация пр</w:t>
      </w:r>
      <w:r>
        <w:t>и</w:t>
      </w:r>
      <w:r>
        <w:t>вести конкретные примеры случаев применения в Верховном суде статей Конвенции? Она интерес</w:t>
      </w:r>
      <w:r>
        <w:t>у</w:t>
      </w:r>
      <w:r>
        <w:t>ется, предлагаются ли судьям постоянные учебные программы по вопросам Конвенции и другим дог</w:t>
      </w:r>
      <w:r>
        <w:t>о</w:t>
      </w:r>
      <w:r>
        <w:t>ворам о правах человека, а также хотела бы пол</w:t>
      </w:r>
      <w:r>
        <w:t>у</w:t>
      </w:r>
      <w:r>
        <w:t>чить более подробные сведения о составе обычных судов, усилиях правительства по устранению ра</w:t>
      </w:r>
      <w:r>
        <w:t>з</w:t>
      </w:r>
      <w:r>
        <w:t>рыва между гражданскими и обычными судами и его инициативах по расширению доступа женщин к гражданским судам. Было бы интересно получить разбивку о количестве гражданских и обычных с</w:t>
      </w:r>
      <w:r>
        <w:t>у</w:t>
      </w:r>
      <w:r>
        <w:t>дов и статистические данные о числе судов в сел</w:t>
      </w:r>
      <w:r>
        <w:t>ь</w:t>
      </w:r>
      <w:r>
        <w:t>ских районах, в которых проживает значительная доля населения. Она интересуется, располагает ли Экваториальная Гвинея системой правовой помощи и в какой степени женщины осведомлены о защите, предоставляемой им по национальному законод</w:t>
      </w:r>
      <w:r>
        <w:t>а</w:t>
      </w:r>
      <w:r>
        <w:t>тельству.</w:t>
      </w:r>
    </w:p>
    <w:p w:rsidR="00000000" w:rsidRDefault="00000000">
      <w:pPr>
        <w:pStyle w:val="DualTxt"/>
      </w:pPr>
      <w:r>
        <w:t>18.</w:t>
      </w:r>
      <w:r>
        <w:tab/>
        <w:t>Касаясь вопроса о насилии в отношении же</w:t>
      </w:r>
      <w:r>
        <w:t>н</w:t>
      </w:r>
      <w:r>
        <w:t>щин, она отмечает, что в ответах на перечень в</w:t>
      </w:r>
      <w:r>
        <w:t>о</w:t>
      </w:r>
      <w:r>
        <w:t>просов государство-участник указывает, что му</w:t>
      </w:r>
      <w:r>
        <w:t>ж</w:t>
      </w:r>
      <w:r>
        <w:t>чины имеют право применять дисциплинарные м</w:t>
      </w:r>
      <w:r>
        <w:t>е</w:t>
      </w:r>
      <w:r>
        <w:t>ры в отношении членов семьи и бить своих жен. Имеются ли какие-либо юридические положения, касающиеся рассмотрения случаев бытового нас</w:t>
      </w:r>
      <w:r>
        <w:t>и</w:t>
      </w:r>
      <w:r>
        <w:t>лия в отношении женщин, или какие-либо данные в этой связи? С учетом высокой степени неграмотн</w:t>
      </w:r>
      <w:r>
        <w:t>о</w:t>
      </w:r>
      <w:r>
        <w:t>сти среди женщин проводилась ли оценка учебных программ и кампаний по повышению осведомле</w:t>
      </w:r>
      <w:r>
        <w:t>н</w:t>
      </w:r>
      <w:r>
        <w:t>ности среди женщин?</w:t>
      </w:r>
    </w:p>
    <w:p w:rsidR="00000000" w:rsidRDefault="00000000">
      <w:pPr>
        <w:pStyle w:val="DualTxt"/>
      </w:pPr>
      <w:r>
        <w:t>19.</w:t>
      </w:r>
      <w:r>
        <w:tab/>
      </w:r>
      <w:r>
        <w:rPr>
          <w:b/>
        </w:rPr>
        <w:t>Г</w:t>
      </w:r>
      <w:r>
        <w:rPr>
          <w:b/>
        </w:rPr>
        <w:noBreakHyphen/>
        <w:t>жа Ахмад</w:t>
      </w:r>
      <w:r>
        <w:t xml:space="preserve"> просит дать дополнительную и</w:t>
      </w:r>
      <w:r>
        <w:t>н</w:t>
      </w:r>
      <w:r>
        <w:t>формацию о законопроекте, регулирующем обы</w:t>
      </w:r>
      <w:r>
        <w:t>ч</w:t>
      </w:r>
      <w:r>
        <w:t>ные браки. Касается ли он таких вопросов, как пр</w:t>
      </w:r>
      <w:r>
        <w:t>и</w:t>
      </w:r>
      <w:r>
        <w:t>даное, домашние обязанности и процедуры развода в традиционных судах, которые имеют ключевое значение для ликвидации насилия в отношении женщин? Было бы интересно узнать о стратегиях, используемых для переубеждения оппонентов этого законопроекта (в основном мужчин, включая зак</w:t>
      </w:r>
      <w:r>
        <w:t>о</w:t>
      </w:r>
      <w:r>
        <w:t>нодателей). Она надеется, что парламент использ</w:t>
      </w:r>
      <w:r>
        <w:t>у</w:t>
      </w:r>
      <w:r>
        <w:t>ет руководящие принципы в отношении примен</w:t>
      </w:r>
      <w:r>
        <w:t>е</w:t>
      </w:r>
      <w:r>
        <w:t>ния Конвенции, которые были подготовлены Фо</w:t>
      </w:r>
      <w:r>
        <w:t>н</w:t>
      </w:r>
      <w:r>
        <w:t>дом Организации Объединенных Наций для разв</w:t>
      </w:r>
      <w:r>
        <w:t>и</w:t>
      </w:r>
      <w:r>
        <w:t>тия в интересах женщин (ЮНИФЕМ) и Отделом по улучшению полож</w:t>
      </w:r>
      <w:r>
        <w:t>е</w:t>
      </w:r>
      <w:r>
        <w:t>ния женщин.</w:t>
      </w:r>
    </w:p>
    <w:p w:rsidR="00000000" w:rsidRDefault="00000000">
      <w:pPr>
        <w:pStyle w:val="DualTxt"/>
      </w:pPr>
      <w:r>
        <w:t>20.</w:t>
      </w:r>
      <w:r>
        <w:tab/>
        <w:t>Она хочет получить заверения в том, что, стремясь к обеспечению посредничества и прим</w:t>
      </w:r>
      <w:r>
        <w:t>и</w:t>
      </w:r>
      <w:r>
        <w:t>рения, отдел по урегулированию споров министе</w:t>
      </w:r>
      <w:r>
        <w:t>р</w:t>
      </w:r>
      <w:r>
        <w:t>ства по социальным вопросам и положению же</w:t>
      </w:r>
      <w:r>
        <w:t>н</w:t>
      </w:r>
      <w:r>
        <w:t>щин фактически не поощряет их к возвращению к традиционному восприятию грубого обращения. Наконец, она интересуется, принимает ли прав</w:t>
      </w:r>
      <w:r>
        <w:t>и</w:t>
      </w:r>
      <w:r>
        <w:t>тельство, в составе которого в основном работают мужчины, активные меры по мобилизации по</w:t>
      </w:r>
      <w:r>
        <w:t>д</w:t>
      </w:r>
      <w:r>
        <w:t>держки на низовом уровне, требуемой для принятия проекта законодательства в и</w:t>
      </w:r>
      <w:r>
        <w:t>н</w:t>
      </w:r>
      <w:r>
        <w:t>тересах женщин.</w:t>
      </w:r>
    </w:p>
    <w:p w:rsidR="00000000" w:rsidRDefault="00000000">
      <w:pPr>
        <w:pStyle w:val="DualTxt"/>
      </w:pPr>
      <w:r>
        <w:t>21.</w:t>
      </w:r>
      <w:r>
        <w:tab/>
      </w:r>
      <w:r>
        <w:rPr>
          <w:b/>
        </w:rPr>
        <w:t>Г</w:t>
      </w:r>
      <w:r>
        <w:rPr>
          <w:b/>
        </w:rPr>
        <w:noBreakHyphen/>
        <w:t>жа Сайга</w:t>
      </w:r>
      <w:r>
        <w:t xml:space="preserve"> просит пояснить взаимосвязь м</w:t>
      </w:r>
      <w:r>
        <w:t>е</w:t>
      </w:r>
      <w:r>
        <w:t>жду Национальной гендерной политикой, в рамках которой осуществляются большинство меропри</w:t>
      </w:r>
      <w:r>
        <w:t>я</w:t>
      </w:r>
      <w:r>
        <w:t>тий, и Национальной политикой по улучшению п</w:t>
      </w:r>
      <w:r>
        <w:t>о</w:t>
      </w:r>
      <w:r>
        <w:t>ложения женщин, которая должна осуществляться на основе Плана действий, находящегося на стадии разработки. Делегации следует указать, имеется ли какая-либо взаимосвязь между Национальной ге</w:t>
      </w:r>
      <w:r>
        <w:t>н</w:t>
      </w:r>
      <w:r>
        <w:t>дерной политикой и проектом Плана действий и что является фактически основным директивным док</w:t>
      </w:r>
      <w:r>
        <w:t>у</w:t>
      </w:r>
      <w:r>
        <w:t>ментом правительства по женской пр</w:t>
      </w:r>
      <w:r>
        <w:t>о</w:t>
      </w:r>
      <w:r>
        <w:t>блематике.</w:t>
      </w:r>
    </w:p>
    <w:p w:rsidR="00000000" w:rsidRDefault="00000000">
      <w:pPr>
        <w:pStyle w:val="DualTxt"/>
      </w:pPr>
      <w:r>
        <w:t>22.</w:t>
      </w:r>
      <w:r>
        <w:tab/>
      </w:r>
      <w:r>
        <w:rPr>
          <w:b/>
        </w:rPr>
        <w:t>Г</w:t>
      </w:r>
      <w:r>
        <w:rPr>
          <w:b/>
        </w:rPr>
        <w:noBreakHyphen/>
        <w:t xml:space="preserve">жа Феррер Гомес </w:t>
      </w:r>
      <w:r>
        <w:t>подчеркивает</w:t>
      </w:r>
      <w:r>
        <w:rPr>
          <w:b/>
        </w:rPr>
        <w:t xml:space="preserve">, </w:t>
      </w:r>
      <w:r>
        <w:t>что в пе</w:t>
      </w:r>
      <w:r>
        <w:t>р</w:t>
      </w:r>
      <w:r>
        <w:t>вую очередь государство-участник сталкивается с проблемой осуществления своего нового законод</w:t>
      </w:r>
      <w:r>
        <w:t>а</w:t>
      </w:r>
      <w:r>
        <w:t>тельства о ликвидации стереотипов, которое засл</w:t>
      </w:r>
      <w:r>
        <w:t>у</w:t>
      </w:r>
      <w:r>
        <w:t>живает одобрения. Необходимо расширить мер</w:t>
      </w:r>
      <w:r>
        <w:t>о</w:t>
      </w:r>
      <w:r>
        <w:t>приятия прошлых лет в области повышения осв</w:t>
      </w:r>
      <w:r>
        <w:t>е</w:t>
      </w:r>
      <w:r>
        <w:t>домленности и в срочном порядке нацелить их на все население, особенно общины. Не ясно, имеется ли постоянная взаимосвязь между Национальной сетью неправительственных организаций и мин</w:t>
      </w:r>
      <w:r>
        <w:t>и</w:t>
      </w:r>
      <w:r>
        <w:t>стерством по социальным делам и положению женщин, и располагают ли они потенциалом и р</w:t>
      </w:r>
      <w:r>
        <w:t>е</w:t>
      </w:r>
      <w:r>
        <w:t>сурсами для объединения своих усилий и привл</w:t>
      </w:r>
      <w:r>
        <w:t>е</w:t>
      </w:r>
      <w:r>
        <w:t>чения к работе влиятельных общинных лидеров — судей, обвинителей, адвокатов, депутатов, докт</w:t>
      </w:r>
      <w:r>
        <w:t>о</w:t>
      </w:r>
      <w:r>
        <w:t>ров, журналистов — короче говоря, лиц, способных изменить мы</w:t>
      </w:r>
      <w:r>
        <w:t>ш</w:t>
      </w:r>
      <w:r>
        <w:t>ление.</w:t>
      </w:r>
    </w:p>
    <w:p w:rsidR="00000000" w:rsidRDefault="00000000">
      <w:pPr>
        <w:pStyle w:val="DualTxt"/>
      </w:pPr>
      <w:r>
        <w:t>23.</w:t>
      </w:r>
      <w:r>
        <w:tab/>
        <w:t>Многие элементы брака являются пагубными для женщин, в том числе приданое, условия разв</w:t>
      </w:r>
      <w:r>
        <w:t>о</w:t>
      </w:r>
      <w:r>
        <w:t>да, положение вдов, право мужчин на полигамию и причинение физического и психологического уще</w:t>
      </w:r>
      <w:r>
        <w:t>р</w:t>
      </w:r>
      <w:r>
        <w:t>ба. Необходимо пересмотреть восприятие женщин в качестве лиц второго сорта. Предпринимались серьезные попытки по распространению Конвенции и принятию законодательства по вопросу о правах женщин. В связи с этим было бы интересно узнать, кто участвовал в разработке Семейного кодекса и каковы примерные сроки его пр</w:t>
      </w:r>
      <w:r>
        <w:t>и</w:t>
      </w:r>
      <w:r>
        <w:t>нятия.</w:t>
      </w:r>
    </w:p>
    <w:p w:rsidR="00000000" w:rsidRDefault="00000000">
      <w:pPr>
        <w:pStyle w:val="DualTxt"/>
      </w:pPr>
      <w:r>
        <w:t>24.</w:t>
      </w:r>
      <w:r>
        <w:tab/>
      </w:r>
      <w:r>
        <w:rPr>
          <w:b/>
        </w:rPr>
        <w:t>Г</w:t>
      </w:r>
      <w:r>
        <w:rPr>
          <w:b/>
        </w:rPr>
        <w:noBreakHyphen/>
        <w:t xml:space="preserve">жа Накаджа </w:t>
      </w:r>
      <w:r>
        <w:t>спрашивает, задерживается ли завершение работы над Планом действий по осущ</w:t>
      </w:r>
      <w:r>
        <w:t>е</w:t>
      </w:r>
      <w:r>
        <w:t>ствлению Национальной политики по улучшению положения женщин финансовыми, техническими или другими трудностями, с которыми сталкивается государство-участник. Полезность семинаров и кампаний по повышению осведомленности без Плана действий вызывает сомнение. Было бы п</w:t>
      </w:r>
      <w:r>
        <w:t>о</w:t>
      </w:r>
      <w:r>
        <w:t>лезно, если бы делегация смогла пояснить различие между законопроектом, регулирующим обычные браки, и проектом Семейного кодекса. Будет ли первый применим к традиционным бракам, а вт</w:t>
      </w:r>
      <w:r>
        <w:t>о</w:t>
      </w:r>
      <w:r>
        <w:t xml:space="preserve">рой к бракам в современном смысле? </w:t>
      </w:r>
    </w:p>
    <w:p w:rsidR="00000000" w:rsidRDefault="00000000">
      <w:pPr>
        <w:pStyle w:val="DualTxt"/>
      </w:pPr>
      <w:r>
        <w:t>25.</w:t>
      </w:r>
      <w:r>
        <w:tab/>
        <w:t>Государство-участник указало, что при подг</w:t>
      </w:r>
      <w:r>
        <w:t>о</w:t>
      </w:r>
      <w:r>
        <w:t>товке доклада были проведены консультации с ра</w:t>
      </w:r>
      <w:r>
        <w:t>з</w:t>
      </w:r>
      <w:r>
        <w:t>личными секторами, однако они должны предст</w:t>
      </w:r>
      <w:r>
        <w:t>а</w:t>
      </w:r>
      <w:r>
        <w:t>вить больше конкретной информации о вкладе НПО. Хотя в ответах на перечень вопросов соде</w:t>
      </w:r>
      <w:r>
        <w:t>р</w:t>
      </w:r>
      <w:r>
        <w:t>жится ссылка на ряд проектов, находящихся на ст</w:t>
      </w:r>
      <w:r>
        <w:t>а</w:t>
      </w:r>
      <w:r>
        <w:t>дии планирования, в том числе проект в сфере м</w:t>
      </w:r>
      <w:r>
        <w:t>е</w:t>
      </w:r>
      <w:r>
        <w:t>стного развития, важно знать, какие проекты были начаты государством. Она обеспокоена тем, что правительство слишком сильно полагается на гра</w:t>
      </w:r>
      <w:r>
        <w:t>ж</w:t>
      </w:r>
      <w:r>
        <w:t>данское общество при осуществлении своей роли в этой связи. Наконец, делегация не ответила на в</w:t>
      </w:r>
      <w:r>
        <w:t>о</w:t>
      </w:r>
      <w:r>
        <w:t>прос Комитета о временных специальных мерах, предусматривающих предоставление стипендий д</w:t>
      </w:r>
      <w:r>
        <w:t>е</w:t>
      </w:r>
      <w:r>
        <w:t>вушкам, поэтому она должна сообщить данные об этом очень важном мер</w:t>
      </w:r>
      <w:r>
        <w:t>о</w:t>
      </w:r>
      <w:r>
        <w:t xml:space="preserve">приятии. </w:t>
      </w:r>
    </w:p>
    <w:p w:rsidR="00000000" w:rsidRDefault="00000000">
      <w:pPr>
        <w:pStyle w:val="DualTxt"/>
      </w:pPr>
      <w:r>
        <w:t>26.</w:t>
      </w:r>
      <w:r>
        <w:tab/>
      </w:r>
      <w:r>
        <w:rPr>
          <w:b/>
        </w:rPr>
        <w:t>Г</w:t>
      </w:r>
      <w:r>
        <w:rPr>
          <w:b/>
        </w:rPr>
        <w:noBreakHyphen/>
        <w:t>жа Тавариш да Силва</w:t>
      </w:r>
      <w:r>
        <w:t xml:space="preserve"> выражает надежду, что в процессе структурной реорганизации Наци</w:t>
      </w:r>
      <w:r>
        <w:t>о</w:t>
      </w:r>
      <w:r>
        <w:t>нальный комитет по интеграции женщин в процесс развития сохранит очень широкий и перспективный мандат, о котором говорилось в первоначальном докладе государства-участника. Какова взаимосвязь между Национальным комитетом и министерством по социальным вопросам и положению женщин? Как указали предыдущие ораторы, стереотипы и культурные традиции в основном определяют н</w:t>
      </w:r>
      <w:r>
        <w:t>е</w:t>
      </w:r>
      <w:r>
        <w:t>благоприятное положение женщин Экваториальной Гвинеи в том, что касается брака, маргинализации девушек в системе образования и насилия в отн</w:t>
      </w:r>
      <w:r>
        <w:t>о</w:t>
      </w:r>
      <w:r>
        <w:t>шении женщин. Делегации следует указать, как женщинам разъясняются их права и каким образом они могут осуществлять их, поскольку представл</w:t>
      </w:r>
      <w:r>
        <w:t>я</w:t>
      </w:r>
      <w:r>
        <w:t>ется, что большинство женщин в Экваториальной Гвинее следует традиционной практике подчинения мужчине как главе семьи. Могут ли они обращаться с жалобами в суды при нарушении своих прав? С</w:t>
      </w:r>
      <w:r>
        <w:t>а</w:t>
      </w:r>
      <w:r>
        <w:t>мого по себе принятия законодательства недост</w:t>
      </w:r>
      <w:r>
        <w:t>а</w:t>
      </w:r>
      <w:r>
        <w:t>точно. Она интересуется, какие действия планирует предпринять правительство в целях повышения степени осведомленности женщин о своих правах, поскольку, если они не знают о них, то фактически эти права отсу</w:t>
      </w:r>
      <w:r>
        <w:t>т</w:t>
      </w:r>
      <w:r>
        <w:t>ствуют.</w:t>
      </w:r>
    </w:p>
    <w:p w:rsidR="00000000" w:rsidRDefault="00000000">
      <w:pPr>
        <w:pStyle w:val="DualTxt"/>
      </w:pPr>
      <w:r>
        <w:t>27.</w:t>
      </w:r>
      <w:r>
        <w:tab/>
      </w:r>
      <w:r>
        <w:rPr>
          <w:b/>
        </w:rPr>
        <w:t>Г</w:t>
      </w:r>
      <w:r>
        <w:rPr>
          <w:b/>
        </w:rPr>
        <w:noBreakHyphen/>
        <w:t>жа Морваи</w:t>
      </w:r>
      <w:r>
        <w:t xml:space="preserve"> спрашивает о количестве же</w:t>
      </w:r>
      <w:r>
        <w:t>н</w:t>
      </w:r>
      <w:r>
        <w:t>ских НПО в Экваториальной Гвинее и просит пре</w:t>
      </w:r>
      <w:r>
        <w:t>д</w:t>
      </w:r>
      <w:r>
        <w:t>ставить информацию об основных из них, включая их названия, информацию о деятельности, источн</w:t>
      </w:r>
      <w:r>
        <w:t>и</w:t>
      </w:r>
      <w:r>
        <w:t>ках финансирования и взаимодействии с правител</w:t>
      </w:r>
      <w:r>
        <w:t>ь</w:t>
      </w:r>
      <w:r>
        <w:t>ством. Она надеется, что в будущем Экваториальная Гвинея, как и многие другие страны, будет вкл</w:t>
      </w:r>
      <w:r>
        <w:t>ю</w:t>
      </w:r>
      <w:r>
        <w:t>чать представителей НПО в состав своей делегации в Комитете.</w:t>
      </w:r>
    </w:p>
    <w:p w:rsidR="00000000" w:rsidRDefault="00000000">
      <w:pPr>
        <w:pStyle w:val="DualTxt"/>
      </w:pPr>
      <w:r>
        <w:t>28.</w:t>
      </w:r>
      <w:r>
        <w:tab/>
        <w:t>Отдел по урегулированию споров, описанный в ответах на перечень вопросов (CEDAW/PSWG/ 2004/II/CRP.2/Add.2, стр.13), представляется подо</w:t>
      </w:r>
      <w:r>
        <w:t>б</w:t>
      </w:r>
      <w:r>
        <w:t>ным арбитражному механизму по вопросам занят</w:t>
      </w:r>
      <w:r>
        <w:t>о</w:t>
      </w:r>
      <w:r>
        <w:t>сти. Было бы полезно получить некоторое поясн</w:t>
      </w:r>
      <w:r>
        <w:t>е</w:t>
      </w:r>
      <w:r>
        <w:t>ние. Делегация должна объяснить позицию прав</w:t>
      </w:r>
      <w:r>
        <w:t>и</w:t>
      </w:r>
      <w:r>
        <w:t>тельства в отношении бытового насилия. Рассма</w:t>
      </w:r>
      <w:r>
        <w:t>т</w:t>
      </w:r>
      <w:r>
        <w:t>ривается ли оно в качестве частного семейного в</w:t>
      </w:r>
      <w:r>
        <w:t>о</w:t>
      </w:r>
      <w:r>
        <w:t>проса или нарушения прав человека, требующего вмешательства со стороны правительства? Комитет был бы также признателен за информацию о роли полиции в таких вопросах, особенно о том, разр</w:t>
      </w:r>
      <w:r>
        <w:t>е</w:t>
      </w:r>
      <w:r>
        <w:t>шается ли ей выдавать запретительные или охра</w:t>
      </w:r>
      <w:r>
        <w:t>н</w:t>
      </w:r>
      <w:r>
        <w:t xml:space="preserve">ные судебные приказы. </w:t>
      </w:r>
    </w:p>
    <w:p w:rsidR="00000000" w:rsidRDefault="00000000">
      <w:pPr>
        <w:pStyle w:val="DualTxt"/>
      </w:pPr>
      <w:r>
        <w:t>29.</w:t>
      </w:r>
      <w:r>
        <w:tab/>
        <w:t>Наконец, она усматривает факт того, что в своих ответах на перечень вопросов и во вступ</w:t>
      </w:r>
      <w:r>
        <w:t>и</w:t>
      </w:r>
      <w:r>
        <w:t>тельном заявлении делегации государство-участник мирится с поведением западных бизнесменов, н</w:t>
      </w:r>
      <w:r>
        <w:t>а</w:t>
      </w:r>
      <w:r>
        <w:t>ходящихся в Экваториальной Гвинее без своих с</w:t>
      </w:r>
      <w:r>
        <w:t>е</w:t>
      </w:r>
      <w:r>
        <w:t>мей и использующих местных женщин и девушек в качестве проституток. Правительство должно пр</w:t>
      </w:r>
      <w:r>
        <w:t>и</w:t>
      </w:r>
      <w:r>
        <w:t>нимать конкретные меры в отношении этих клие</w:t>
      </w:r>
      <w:r>
        <w:t>н</w:t>
      </w:r>
      <w:r>
        <w:t>тов и использовать все возможные средства для т</w:t>
      </w:r>
      <w:r>
        <w:t>о</w:t>
      </w:r>
      <w:r>
        <w:t>го, чтобы дать им понять, что такие услуги не пр</w:t>
      </w:r>
      <w:r>
        <w:t>е</w:t>
      </w:r>
      <w:r>
        <w:t xml:space="preserve">дусмотрены в рамках гостеприимства страны. </w:t>
      </w:r>
    </w:p>
    <w:p w:rsidR="00000000" w:rsidRDefault="00000000">
      <w:pPr>
        <w:pStyle w:val="DualTxt"/>
      </w:pPr>
      <w:r>
        <w:t>30.</w:t>
      </w:r>
      <w:r>
        <w:tab/>
      </w:r>
      <w:r>
        <w:rPr>
          <w:b/>
        </w:rPr>
        <w:t>Г</w:t>
      </w:r>
      <w:r>
        <w:rPr>
          <w:b/>
        </w:rPr>
        <w:noBreakHyphen/>
        <w:t>жа Шимонович</w:t>
      </w:r>
      <w:r>
        <w:t xml:space="preserve"> спрашивает, каким образом министерство по социальным делам и положению женщин использует Конвенцию в своей работе, с</w:t>
      </w:r>
      <w:r>
        <w:t>о</w:t>
      </w:r>
      <w:r>
        <w:t>поставимы ли национальное законодательство и обычная практика в Экваториальной Гвинее с п</w:t>
      </w:r>
      <w:r>
        <w:t>о</w:t>
      </w:r>
      <w:r>
        <w:t>ложениями Конвенции и руководствуется ли гос</w:t>
      </w:r>
      <w:r>
        <w:t>у</w:t>
      </w:r>
      <w:r>
        <w:t>дарство-участник определением дискриминации на основе статьи 1 Конвенции. Отмечая многочисле</w:t>
      </w:r>
      <w:r>
        <w:t>н</w:t>
      </w:r>
      <w:r>
        <w:t>ные утверждения государства-участника в своем докладе о том, что его юридические положения не являются дискриминационными, она подчеркивает, что тем не менее оно обязано по статье 2 Конве</w:t>
      </w:r>
      <w:r>
        <w:t>н</w:t>
      </w:r>
      <w:r>
        <w:t>ции ликвидировать дискриминацию со стороны л</w:t>
      </w:r>
      <w:r>
        <w:t>ю</w:t>
      </w:r>
      <w:r>
        <w:t>бого лица или ввиду обычаев и практ</w:t>
      </w:r>
      <w:r>
        <w:t>и</w:t>
      </w:r>
      <w:r>
        <w:t xml:space="preserve">ки. </w:t>
      </w:r>
    </w:p>
    <w:p w:rsidR="00000000" w:rsidRDefault="00000000">
      <w:pPr>
        <w:pStyle w:val="DualTxt"/>
      </w:pPr>
      <w:r>
        <w:t>31.</w:t>
      </w:r>
      <w:r>
        <w:tab/>
      </w:r>
      <w:r>
        <w:rPr>
          <w:b/>
        </w:rPr>
        <w:t>Г</w:t>
      </w:r>
      <w:r>
        <w:rPr>
          <w:b/>
        </w:rPr>
        <w:noBreakHyphen/>
        <w:t>жа Кваку</w:t>
      </w:r>
      <w:r>
        <w:t xml:space="preserve"> интересуется причинами поздн</w:t>
      </w:r>
      <w:r>
        <w:t>е</w:t>
      </w:r>
      <w:r>
        <w:t>го представления государством-участником своих докладов, отмечая при этом, что его предыдущий доклад должен был быть рассмотрен в 1989 году. Она спрашивает, были бы устранены причины з</w:t>
      </w:r>
      <w:r>
        <w:t>а</w:t>
      </w:r>
      <w:r>
        <w:t>держки и будет ли вовремя представлен следующий п</w:t>
      </w:r>
      <w:r>
        <w:t>е</w:t>
      </w:r>
      <w:r>
        <w:t>риодический доклад.</w:t>
      </w:r>
    </w:p>
    <w:p w:rsidR="00000000" w:rsidRDefault="00000000">
      <w:pPr>
        <w:pStyle w:val="DualTxt"/>
      </w:pPr>
      <w:r>
        <w:t>32.</w:t>
      </w:r>
      <w:r>
        <w:tab/>
      </w:r>
      <w:r>
        <w:rPr>
          <w:b/>
        </w:rPr>
        <w:t>Г</w:t>
      </w:r>
      <w:r>
        <w:rPr>
          <w:b/>
        </w:rPr>
        <w:noBreakHyphen/>
        <w:t>жа Обоно Энгоно</w:t>
      </w:r>
      <w:r>
        <w:t xml:space="preserve"> (Экваториальная Гвинея), отвечая на вопросы членов Комитета, говорит, что, как и другие африканские страны, Экваториальная Гвинея унаследовала традицию подчинения же</w:t>
      </w:r>
      <w:r>
        <w:t>н</w:t>
      </w:r>
      <w:r>
        <w:t>щин мужчинам. Будучи полным решимости улу</w:t>
      </w:r>
      <w:r>
        <w:t>ч</w:t>
      </w:r>
      <w:r>
        <w:t>шить положение женщин, нынешнее правительство выделяет субсидии для решения женских вопросов на всех уровнях — национальном, региональном, провинциальном и муниципальном — и во всех слоях общества. Министерство также координирует свою деятельность со всеми соответствующими правительственными министерствами, которые р</w:t>
      </w:r>
      <w:r>
        <w:t>е</w:t>
      </w:r>
      <w:r>
        <w:t>шают социальные вопросы, и выделяет им ежего</w:t>
      </w:r>
      <w:r>
        <w:t>д</w:t>
      </w:r>
      <w:r>
        <w:t>но субсидии для осуществления их р</w:t>
      </w:r>
      <w:r>
        <w:t>а</w:t>
      </w:r>
      <w:r>
        <w:t xml:space="preserve">боты. </w:t>
      </w:r>
    </w:p>
    <w:p w:rsidR="00000000" w:rsidRDefault="00000000">
      <w:pPr>
        <w:pStyle w:val="DualTxt"/>
      </w:pPr>
      <w:r>
        <w:t>33.</w:t>
      </w:r>
      <w:r>
        <w:tab/>
      </w:r>
      <w:r>
        <w:rPr>
          <w:b/>
        </w:rPr>
        <w:t>Г</w:t>
      </w:r>
      <w:r>
        <w:rPr>
          <w:b/>
        </w:rPr>
        <w:noBreakHyphen/>
        <w:t>жа Либрада</w:t>
      </w:r>
      <w:r>
        <w:t xml:space="preserve"> (Экваториальная Гвинея) гов</w:t>
      </w:r>
      <w:r>
        <w:t>о</w:t>
      </w:r>
      <w:r>
        <w:t>рит, что задержка в представлении второго и третьего периодических докладов обусловлена серьезным экономическим кризисом и социальн</w:t>
      </w:r>
      <w:r>
        <w:t>ы</w:t>
      </w:r>
      <w:r>
        <w:t>ми проблемами 80</w:t>
      </w:r>
      <w:r>
        <w:noBreakHyphen/>
        <w:t>х  годов после жестокой дикт</w:t>
      </w:r>
      <w:r>
        <w:t>а</w:t>
      </w:r>
      <w:r>
        <w:t>туры. Что касается четвертого и пятого периодич</w:t>
      </w:r>
      <w:r>
        <w:t>е</w:t>
      </w:r>
      <w:r>
        <w:t>ских докладов, то присутствие делегации и ответы, данные ею на вопросы Комитета, свидетельствуют о ее решимости соблюдать свои обязательства в о</w:t>
      </w:r>
      <w:r>
        <w:t>т</w:t>
      </w:r>
      <w:r>
        <w:t>ношении представления докладов. Будучи утве</w:t>
      </w:r>
      <w:r>
        <w:t>р</w:t>
      </w:r>
      <w:r>
        <w:t>жденной президентом и парламентом, Конвенция юридически применима в Экват</w:t>
      </w:r>
      <w:r>
        <w:t>о</w:t>
      </w:r>
      <w:r>
        <w:t xml:space="preserve">риальной Гвинее. </w:t>
      </w:r>
    </w:p>
    <w:p w:rsidR="00000000" w:rsidRDefault="00000000">
      <w:pPr>
        <w:pStyle w:val="DualTxt"/>
      </w:pPr>
      <w:r>
        <w:t>34.</w:t>
      </w:r>
      <w:r>
        <w:tab/>
      </w:r>
      <w:r>
        <w:rPr>
          <w:b/>
        </w:rPr>
        <w:t>Г</w:t>
      </w:r>
      <w:r>
        <w:rPr>
          <w:b/>
        </w:rPr>
        <w:noBreakHyphen/>
        <w:t xml:space="preserve">жа Обоно Энгоно </w:t>
      </w:r>
      <w:r>
        <w:t>(Экваториальная Гвинея) говорит, что Национальная политика по улучшению положения женщин является основой для всех м</w:t>
      </w:r>
      <w:r>
        <w:t>е</w:t>
      </w:r>
      <w:r>
        <w:t>роприятий, проводимых правительством и его партнерами, в том числе двусторонними и мног</w:t>
      </w:r>
      <w:r>
        <w:t>о</w:t>
      </w:r>
      <w:r>
        <w:t>сторонними организациями, для обеспечения р</w:t>
      </w:r>
      <w:r>
        <w:t>а</w:t>
      </w:r>
      <w:r>
        <w:t>венства мужчин и женщин в Экваториальной Гв</w:t>
      </w:r>
      <w:r>
        <w:t>и</w:t>
      </w:r>
      <w:r>
        <w:t>нее. Восьмидесятистраничный документ разраб</w:t>
      </w:r>
      <w:r>
        <w:t>а</w:t>
      </w:r>
      <w:r>
        <w:t>тывался всеми сотрудниками министерства по с</w:t>
      </w:r>
      <w:r>
        <w:t>о</w:t>
      </w:r>
      <w:r>
        <w:t>циальным вопросам и положению женщин и анал</w:t>
      </w:r>
      <w:r>
        <w:t>и</w:t>
      </w:r>
      <w:r>
        <w:t>зировался внутри него на самом высоком уровне до его представления Межминистерскому совету, С</w:t>
      </w:r>
      <w:r>
        <w:t>о</w:t>
      </w:r>
      <w:r>
        <w:t>вету министров и, наконец, президенту Республики и парламенту на утверждение. Документ включает посекторальный гендерный анализ, касаясь доступа к процессам выработки решений, участия в экон</w:t>
      </w:r>
      <w:r>
        <w:t>о</w:t>
      </w:r>
      <w:r>
        <w:t>мической жизни и охвата мероприятиями в области обеспечения доходов, грамотности, просвещения и профессиональной подготовки и здравоохранения, а также доступа к источникам питьевой воды, при этом в нем также анализируются организационные механизмы, обеспечивающие работу министе</w:t>
      </w:r>
      <w:r>
        <w:t>р</w:t>
      </w:r>
      <w:r>
        <w:t xml:space="preserve">ства. </w:t>
      </w:r>
    </w:p>
    <w:p w:rsidR="00000000" w:rsidRDefault="00000000">
      <w:pPr>
        <w:pStyle w:val="DualTxt"/>
      </w:pPr>
      <w:r>
        <w:t>35.</w:t>
      </w:r>
      <w:r>
        <w:tab/>
      </w:r>
      <w:r>
        <w:rPr>
          <w:b/>
        </w:rPr>
        <w:t>Г</w:t>
      </w:r>
      <w:r>
        <w:rPr>
          <w:b/>
        </w:rPr>
        <w:noBreakHyphen/>
        <w:t xml:space="preserve">жа Либрада </w:t>
      </w:r>
      <w:r>
        <w:t>(Экваториальная Гвинея) гов</w:t>
      </w:r>
      <w:r>
        <w:t>о</w:t>
      </w:r>
      <w:r>
        <w:t>рит, что Национальная политика по улучшению п</w:t>
      </w:r>
      <w:r>
        <w:t>о</w:t>
      </w:r>
      <w:r>
        <w:t>ложения женщин является основным документом для всех мероприятий, нацеленных на поощрение равенства. Национальный комитет по интеграции женщин в процесс развития, действительно, явля</w:t>
      </w:r>
      <w:r>
        <w:t>л</w:t>
      </w:r>
      <w:r>
        <w:t>ся неэффективным и требовал структурной реорг</w:t>
      </w:r>
      <w:r>
        <w:t>а</w:t>
      </w:r>
      <w:r>
        <w:t>низации, поскольку он был создан до представл</w:t>
      </w:r>
      <w:r>
        <w:t>е</w:t>
      </w:r>
      <w:r>
        <w:t>ния Национальной политики и не учитывал в своей работе нынешней культуры, связанной с гендерным сознанием. Национальная политика будет осущес</w:t>
      </w:r>
      <w:r>
        <w:t>т</w:t>
      </w:r>
      <w:r>
        <w:t>вляться на основе Плана действий и при большем объеме ресурсов министерс</w:t>
      </w:r>
      <w:r>
        <w:t>т</w:t>
      </w:r>
      <w:r>
        <w:t>ва.</w:t>
      </w:r>
    </w:p>
    <w:p w:rsidR="00000000" w:rsidRDefault="00000000">
      <w:pPr>
        <w:pStyle w:val="DualTxt"/>
      </w:pPr>
      <w:r>
        <w:t>36.</w:t>
      </w:r>
      <w:r>
        <w:tab/>
      </w:r>
      <w:r>
        <w:rPr>
          <w:b/>
        </w:rPr>
        <w:t>Г</w:t>
      </w:r>
      <w:r>
        <w:rPr>
          <w:b/>
        </w:rPr>
        <w:noBreakHyphen/>
        <w:t xml:space="preserve">жа Обоно Энгоно </w:t>
      </w:r>
      <w:r>
        <w:t>(Экваториальная Гвинея) говорит, что Конституция гарантирует равные во</w:t>
      </w:r>
      <w:r>
        <w:t>з</w:t>
      </w:r>
      <w:r>
        <w:t>можности для мужчин и женщин, хотя Комиссия по правам человека ее страны несет ответственность за обеспечение уважения прав человека — не тол</w:t>
      </w:r>
      <w:r>
        <w:t>ь</w:t>
      </w:r>
      <w:r>
        <w:t>ко тех из них, которые определены во Всеобщей декларации прав человека, но и других, изложе</w:t>
      </w:r>
      <w:r>
        <w:t>н</w:t>
      </w:r>
      <w:r>
        <w:t>ных во всех международных документах, ратиф</w:t>
      </w:r>
      <w:r>
        <w:t>и</w:t>
      </w:r>
      <w:r>
        <w:t>цированных правительством. На Комиссию возл</w:t>
      </w:r>
      <w:r>
        <w:t>о</w:t>
      </w:r>
      <w:r>
        <w:t>жена задача получения, расследования и устранения фактов о нарушениях прав человека. В этом отн</w:t>
      </w:r>
      <w:r>
        <w:t>о</w:t>
      </w:r>
      <w:r>
        <w:t>шении нет никакой дискриминации, и все граждане, таким образом, являются равными перед законом. В соответствии с положениями Конвенции Экватор</w:t>
      </w:r>
      <w:r>
        <w:t>и</w:t>
      </w:r>
      <w:r>
        <w:t>альная Гвинея находится в процессе разработки конкретного закона о насилии в отношении же</w:t>
      </w:r>
      <w:r>
        <w:t>н</w:t>
      </w:r>
      <w:r>
        <w:t>щин.</w:t>
      </w:r>
    </w:p>
    <w:p w:rsidR="00000000" w:rsidRDefault="00000000">
      <w:pPr>
        <w:pStyle w:val="DualTxt"/>
      </w:pPr>
      <w:r>
        <w:t>37.</w:t>
      </w:r>
      <w:r>
        <w:tab/>
      </w:r>
      <w:r>
        <w:rPr>
          <w:b/>
        </w:rPr>
        <w:t>Г</w:t>
      </w:r>
      <w:r>
        <w:rPr>
          <w:b/>
        </w:rPr>
        <w:noBreakHyphen/>
        <w:t xml:space="preserve">жа Либрада </w:t>
      </w:r>
      <w:r>
        <w:t>(Экваториальная Гвинея) гов</w:t>
      </w:r>
      <w:r>
        <w:t>о</w:t>
      </w:r>
      <w:r>
        <w:t>рит, что Комиссия по правам человека ее страны является независимой от министерства юстиции и функционирует согласно своим собственным пол</w:t>
      </w:r>
      <w:r>
        <w:t>о</w:t>
      </w:r>
      <w:r>
        <w:t>жениям. Она ежегодно представляет доклады К</w:t>
      </w:r>
      <w:r>
        <w:t>о</w:t>
      </w:r>
      <w:r>
        <w:t>миссии по правам человека Организации Объед</w:t>
      </w:r>
      <w:r>
        <w:t>и</w:t>
      </w:r>
      <w:r>
        <w:t>ненных Наций о положении женщин в Экватор</w:t>
      </w:r>
      <w:r>
        <w:t>и</w:t>
      </w:r>
      <w:r>
        <w:t>альной Гвинее. Абсолютного разделения между различными государственными органами не сущ</w:t>
      </w:r>
      <w:r>
        <w:t>е</w:t>
      </w:r>
      <w:r>
        <w:t>ствует, поскольку все они стараются координир</w:t>
      </w:r>
      <w:r>
        <w:t>о</w:t>
      </w:r>
      <w:r>
        <w:t>вать свою деятельность. Что касается посреднич</w:t>
      </w:r>
      <w:r>
        <w:t>е</w:t>
      </w:r>
      <w:r>
        <w:t>ства со стороны министерства по социальным д</w:t>
      </w:r>
      <w:r>
        <w:t>е</w:t>
      </w:r>
      <w:r>
        <w:t>лам и положению женщин, то она говорит, что з</w:t>
      </w:r>
      <w:r>
        <w:t>а</w:t>
      </w:r>
      <w:r>
        <w:t>частую жалобы касаются вопросов супружеских разногласий, и иногда примирение невозможно. Женщины могут обращаться с прошениями о пр</w:t>
      </w:r>
      <w:r>
        <w:t>о</w:t>
      </w:r>
      <w:r>
        <w:t>живании отдельно от своих мужей и, конечно же, не принуждаются к отказу от своих заявлений. Они перенаправляются в компетентные органы, и им оказывается соответс</w:t>
      </w:r>
      <w:r>
        <w:t>т</w:t>
      </w:r>
      <w:r>
        <w:t>вующая поддержка.</w:t>
      </w:r>
    </w:p>
    <w:p w:rsidR="00000000" w:rsidRDefault="00000000">
      <w:pPr>
        <w:pStyle w:val="DualTxt"/>
      </w:pPr>
      <w:r>
        <w:t>38.</w:t>
      </w:r>
      <w:r>
        <w:tab/>
        <w:t>Существует немного неправительственных о</w:t>
      </w:r>
      <w:r>
        <w:t>р</w:t>
      </w:r>
      <w:r>
        <w:t>ганизаций в общепринятом понимании, однако функционирует много женских ассоциаций, кот</w:t>
      </w:r>
      <w:r>
        <w:t>о</w:t>
      </w:r>
      <w:r>
        <w:t>рые, поскольку большинство женщин работают в сельском хозяйстве, обычно занимаются в основном вопросами производства. Женские ассоциации функционируют независимо, но в соответствии с Национальной политикой. Министерство активно поддерживает деятельность женщин на основе с</w:t>
      </w:r>
      <w:r>
        <w:t>е</w:t>
      </w:r>
      <w:r>
        <w:t>минаров, конференций и мероприятий по повыш</w:t>
      </w:r>
      <w:r>
        <w:t>е</w:t>
      </w:r>
      <w:r>
        <w:t>нию осведомленности, направленных на просвещ</w:t>
      </w:r>
      <w:r>
        <w:t>е</w:t>
      </w:r>
      <w:r>
        <w:t>ние девушек по вопросам равенства и гендерной проблематики. Эти разъяснительные мероприятия осуществляются в самых отдаленных деревнях страны на местных языках. Поскольку традицио</w:t>
      </w:r>
      <w:r>
        <w:t>н</w:t>
      </w:r>
      <w:r>
        <w:t>ные взгляды являются очень сильными, важно пр</w:t>
      </w:r>
      <w:r>
        <w:t>и</w:t>
      </w:r>
      <w:r>
        <w:t>менять взвешенный подход и давать общинам время для усвоения информации.</w:t>
      </w:r>
    </w:p>
    <w:p w:rsidR="00000000" w:rsidRDefault="00000000">
      <w:pPr>
        <w:pStyle w:val="DualTxt"/>
      </w:pPr>
      <w:r>
        <w:t>39.</w:t>
      </w:r>
      <w:r>
        <w:tab/>
      </w:r>
      <w:r>
        <w:rPr>
          <w:b/>
        </w:rPr>
        <w:t>Г</w:t>
      </w:r>
      <w:r>
        <w:rPr>
          <w:b/>
        </w:rPr>
        <w:noBreakHyphen/>
        <w:t xml:space="preserve">жа Обоно Энгоно </w:t>
      </w:r>
      <w:r>
        <w:t>(Экваториальная Гвинея) говорит, что вопрос обычных браков является очень сложным и связан с вопросом о стереотипных о</w:t>
      </w:r>
      <w:r>
        <w:t>т</w:t>
      </w:r>
      <w:r>
        <w:t>ношениях. Браки традиционно устраиваются род</w:t>
      </w:r>
      <w:r>
        <w:t>и</w:t>
      </w:r>
      <w:r>
        <w:t>телями без согласия двух будущих супругов. Одн</w:t>
      </w:r>
      <w:r>
        <w:t>а</w:t>
      </w:r>
      <w:r>
        <w:t>ко если в прошлом новая жена могла действительно попасть в тюрьму, если ее отец не мог уплатить с</w:t>
      </w:r>
      <w:r>
        <w:t>о</w:t>
      </w:r>
      <w:r>
        <w:t>гласованного приданого, то сегодня правительство предприняло шаги к обеспечению того, чтобы же</w:t>
      </w:r>
      <w:r>
        <w:t>н</w:t>
      </w:r>
      <w:r>
        <w:t>щина могла легально развестись со своим мужем и тем самым избежать тюремного заключения. Ан</w:t>
      </w:r>
      <w:r>
        <w:t>а</w:t>
      </w:r>
      <w:r>
        <w:t>логичным образом, хотя жены пока еще не польз</w:t>
      </w:r>
      <w:r>
        <w:t>у</w:t>
      </w:r>
      <w:r>
        <w:t>ются правом наследования имущества своих мужей, правительство разрабатывает законопроект по обеспечению того, чтобы женщины могли отста</w:t>
      </w:r>
      <w:r>
        <w:t>и</w:t>
      </w:r>
      <w:r>
        <w:t>вать свои права наследования. Существует много проблем, связанных с традиционными браками, о</w:t>
      </w:r>
      <w:r>
        <w:t>д</w:t>
      </w:r>
      <w:r>
        <w:t>нако шовинистические отношения изменить трудно, поскольку очень мало женщин занимают влиятел</w:t>
      </w:r>
      <w:r>
        <w:t>ь</w:t>
      </w:r>
      <w:r>
        <w:t>ные должности. В контексте Плана действий 2004 года предпринимаются усилия по разработке закона, регулирующего обычные бр</w:t>
      </w:r>
      <w:r>
        <w:t>а</w:t>
      </w:r>
      <w:r>
        <w:t>ки.</w:t>
      </w:r>
    </w:p>
    <w:p w:rsidR="00000000" w:rsidRDefault="00000000">
      <w:pPr>
        <w:pStyle w:val="DualTxt"/>
      </w:pPr>
      <w:r>
        <w:t>40.</w:t>
      </w:r>
      <w:r>
        <w:tab/>
        <w:t>Касаясь вопроса Комитета о пожилых людях, она отмечает наличие неправительственной орган</w:t>
      </w:r>
      <w:r>
        <w:t>и</w:t>
      </w:r>
      <w:r>
        <w:t>зации, которая защищает пожилых людей и получ</w:t>
      </w:r>
      <w:r>
        <w:t>а</w:t>
      </w:r>
      <w:r>
        <w:t>ет средства от министерства по социальным делам и положению женщин. Что касается доступа же</w:t>
      </w:r>
      <w:r>
        <w:t>н</w:t>
      </w:r>
      <w:r>
        <w:t>щин к правовой системе, то по всей стране и во всех городах и общинах имеются суды, в которые могут обращаться женщины. Министерство борется за создание настоящей юридической основы для рассмотрения жалоб женщин и обеспечения и</w:t>
      </w:r>
      <w:r>
        <w:t>с</w:t>
      </w:r>
      <w:r>
        <w:t>пользования ими своих прав согласно Конституции. Наконец, она отмечает, что министерство, как и все другие министерства, финансируется посредством независимого распределения бюджетных ассигн</w:t>
      </w:r>
      <w:r>
        <w:t>о</w:t>
      </w:r>
      <w:r>
        <w:t>ваний и что государство не проводит в этой связи никакой дискримин</w:t>
      </w:r>
      <w:r>
        <w:t>а</w:t>
      </w:r>
      <w:r>
        <w:t>ции.</w:t>
      </w:r>
    </w:p>
    <w:p w:rsidR="00000000" w:rsidRDefault="00000000">
      <w:pPr>
        <w:pStyle w:val="DualTxt"/>
      </w:pPr>
      <w:r>
        <w:t>41.</w:t>
      </w:r>
      <w:r>
        <w:tab/>
      </w:r>
      <w:r>
        <w:rPr>
          <w:b/>
        </w:rPr>
        <w:t>Г</w:t>
      </w:r>
      <w:r>
        <w:rPr>
          <w:b/>
        </w:rPr>
        <w:noBreakHyphen/>
        <w:t xml:space="preserve">жа Либрада </w:t>
      </w:r>
      <w:r>
        <w:t>(Экваториальная Гвинея) гов</w:t>
      </w:r>
      <w:r>
        <w:t>о</w:t>
      </w:r>
      <w:r>
        <w:t>рит, что Конвенция имеет тот же статус, что и вну</w:t>
      </w:r>
      <w:r>
        <w:t>т</w:t>
      </w:r>
      <w:r>
        <w:t>ренние законы. Предпринимаются значительные усилия по более широкому ознакомлению всего н</w:t>
      </w:r>
      <w:r>
        <w:t>а</w:t>
      </w:r>
      <w:r>
        <w:t>селения и судей о содержании Конвенции, при этом отмечаются случаи, когда Конвенция использов</w:t>
      </w:r>
      <w:r>
        <w:t>а</w:t>
      </w:r>
      <w:r>
        <w:t>лась в судах и превалировала над внутренним зак</w:t>
      </w:r>
      <w:r>
        <w:t>о</w:t>
      </w:r>
      <w:r>
        <w:t>нодательством. Семейный кодекс все еще находится в стадии разработки, однако он не будет противор</w:t>
      </w:r>
      <w:r>
        <w:t>е</w:t>
      </w:r>
      <w:r>
        <w:t>чить законопроекту, регулирующему обычные бр</w:t>
      </w:r>
      <w:r>
        <w:t>а</w:t>
      </w:r>
      <w:r>
        <w:t>ки, который в настоящее время рассматривается в законодательном органе. Более того, эти два эл</w:t>
      </w:r>
      <w:r>
        <w:t>е</w:t>
      </w:r>
      <w:r>
        <w:t>мента законодательной власти вместе взятые будут укреплять систему защиты женщин. Неправител</w:t>
      </w:r>
      <w:r>
        <w:t>ь</w:t>
      </w:r>
      <w:r>
        <w:t>ственные организации не участвовали в подготовке периодических докладов страны, поскольку Экв</w:t>
      </w:r>
      <w:r>
        <w:t>а</w:t>
      </w:r>
      <w:r>
        <w:t>ториальная Гвинея не знала об этом требовании. Большинство этих докладов были подготовлены и финансировались государством, и настоящая тр</w:t>
      </w:r>
      <w:r>
        <w:t>а</w:t>
      </w:r>
      <w:r>
        <w:t>диция двусторонней или многосторонней коорд</w:t>
      </w:r>
      <w:r>
        <w:t>и</w:t>
      </w:r>
      <w:r>
        <w:t>нации отсутствует. Государство иногда принимает участие в деятельности некоторых учреждений, но это участие почти всегда финансировалось госуда</w:t>
      </w:r>
      <w:r>
        <w:t>р</w:t>
      </w:r>
      <w:r>
        <w:t>с</w:t>
      </w:r>
      <w:r>
        <w:t>т</w:t>
      </w:r>
      <w:r>
        <w:t>вом.</w:t>
      </w:r>
    </w:p>
    <w:p w:rsidR="00000000" w:rsidRDefault="00000000">
      <w:pPr>
        <w:pStyle w:val="DualTxt"/>
      </w:pPr>
      <w:r>
        <w:t>42.</w:t>
      </w:r>
      <w:r>
        <w:tab/>
      </w:r>
      <w:r>
        <w:rPr>
          <w:b/>
        </w:rPr>
        <w:t>Г</w:t>
      </w:r>
      <w:r>
        <w:rPr>
          <w:b/>
        </w:rPr>
        <w:noBreakHyphen/>
        <w:t xml:space="preserve">жа Обоно Энгоно </w:t>
      </w:r>
      <w:r>
        <w:t>(Экваториальная Гвинея) говорит, что некоторые строительные проекты ос</w:t>
      </w:r>
      <w:r>
        <w:t>у</w:t>
      </w:r>
      <w:r>
        <w:t>ществляются в местных общинах в интересах же</w:t>
      </w:r>
      <w:r>
        <w:t>н</w:t>
      </w:r>
      <w:r>
        <w:t>щин и финансируются за счет государственного</w:t>
      </w:r>
      <w:r>
        <w:br/>
        <w:t>инвестиционного бюджета страны. Какая-либо ди</w:t>
      </w:r>
      <w:r>
        <w:t>с</w:t>
      </w:r>
      <w:r>
        <w:t>криминация при распределении этих средств отсу</w:t>
      </w:r>
      <w:r>
        <w:t>т</w:t>
      </w:r>
      <w:r>
        <w:t>ствует. Проекты предусматривают строительство приютов, которые будут предлагать женщинам,</w:t>
      </w:r>
      <w:r>
        <w:br/>
        <w:t>находящимся в сложном положении, возмо</w:t>
      </w:r>
      <w:r>
        <w:t>ж</w:t>
      </w:r>
      <w:r>
        <w:t>ность овладеть грамотой и влиться в состав рабочей силы.</w:t>
      </w:r>
    </w:p>
    <w:p w:rsidR="00000000" w:rsidRDefault="00000000">
      <w:pPr>
        <w:pStyle w:val="DualTxt"/>
      </w:pPr>
      <w:r>
        <w:t>43.</w:t>
      </w:r>
      <w:r>
        <w:tab/>
      </w:r>
      <w:r>
        <w:rPr>
          <w:b/>
        </w:rPr>
        <w:t>Г</w:t>
      </w:r>
      <w:r>
        <w:rPr>
          <w:b/>
        </w:rPr>
        <w:noBreakHyphen/>
        <w:t xml:space="preserve">н Мбенгоно </w:t>
      </w:r>
      <w:r>
        <w:t>(Экваториальная Гвинея), кас</w:t>
      </w:r>
      <w:r>
        <w:t>а</w:t>
      </w:r>
      <w:r>
        <w:t>ясь части III совокупных четвертого и пятого п</w:t>
      </w:r>
      <w:r>
        <w:t>е</w:t>
      </w:r>
      <w:r>
        <w:t>риодических докладов Экваториальной Гвинеи (CEDAW/C/GNQ/4–5), говорит, что предприним</w:t>
      </w:r>
      <w:r>
        <w:t>а</w:t>
      </w:r>
      <w:r>
        <w:t>ются усилия по проведению разъяснительной раб</w:t>
      </w:r>
      <w:r>
        <w:t>о</w:t>
      </w:r>
      <w:r>
        <w:t>ты среди девочек в отношении важности образов</w:t>
      </w:r>
      <w:r>
        <w:t>а</w:t>
      </w:r>
      <w:r>
        <w:t>ния и по обеспечению того, чтобы забеременевшие в школе девочки не прекращали своего обучения в средней школе.</w:t>
      </w:r>
    </w:p>
    <w:p w:rsidR="00000000" w:rsidRDefault="00000000">
      <w:pPr>
        <w:pStyle w:val="DualTxt"/>
      </w:pPr>
      <w:r>
        <w:t>44.</w:t>
      </w:r>
      <w:r>
        <w:tab/>
      </w:r>
      <w:r>
        <w:rPr>
          <w:b/>
        </w:rPr>
        <w:t>Г</w:t>
      </w:r>
      <w:r>
        <w:rPr>
          <w:b/>
        </w:rPr>
        <w:noBreakHyphen/>
        <w:t xml:space="preserve">жа Обоно Энгоно </w:t>
      </w:r>
      <w:r>
        <w:t>(Экваториальная Гвинея) говорит, что проституция в Экваториальной Гвинее строго запрещена и предусматривает наказание в виде тюремного заключения. Однако нефтяной бум привлек в страну многих иностранных граждан, и некоторые из них пользуются своей большей пок</w:t>
      </w:r>
      <w:r>
        <w:t>у</w:t>
      </w:r>
      <w:r>
        <w:t>пательной способностью для совращения неви</w:t>
      </w:r>
      <w:r>
        <w:t>н</w:t>
      </w:r>
      <w:r>
        <w:t>ных, находящихся в экономически невыгодном п</w:t>
      </w:r>
      <w:r>
        <w:t>о</w:t>
      </w:r>
      <w:r>
        <w:t>ложении молодых девушек. Правительство пре</w:t>
      </w:r>
      <w:r>
        <w:t>д</w:t>
      </w:r>
      <w:r>
        <w:t>принимало огромные усилия по пресечению пр</w:t>
      </w:r>
      <w:r>
        <w:t>о</w:t>
      </w:r>
      <w:r>
        <w:t>ституции, принимая законы и усиливая патрулир</w:t>
      </w:r>
      <w:r>
        <w:t>о</w:t>
      </w:r>
      <w:r>
        <w:t>вание полицией соответствующих районов, однако пока что безуспе</w:t>
      </w:r>
      <w:r>
        <w:t>ш</w:t>
      </w:r>
      <w:r>
        <w:t>но.</w:t>
      </w:r>
    </w:p>
    <w:p w:rsidR="00000000" w:rsidRDefault="00000000">
      <w:pPr>
        <w:pStyle w:val="DualTxt"/>
      </w:pPr>
      <w:r>
        <w:t>45.</w:t>
      </w:r>
      <w:r>
        <w:tab/>
      </w:r>
      <w:r>
        <w:rPr>
          <w:b/>
        </w:rPr>
        <w:t>Г</w:t>
      </w:r>
      <w:r>
        <w:rPr>
          <w:b/>
        </w:rPr>
        <w:noBreakHyphen/>
        <w:t>жа Либрада</w:t>
      </w:r>
      <w:r>
        <w:t xml:space="preserve"> (Экваториальная Гвинея) по</w:t>
      </w:r>
      <w:r>
        <w:t>д</w:t>
      </w:r>
      <w:r>
        <w:t>черкивает, что делегация не пытается оправдать причины проституции, которая относится к вопр</w:t>
      </w:r>
      <w:r>
        <w:t>о</w:t>
      </w:r>
      <w:r>
        <w:t>су спроса и предложения. Предпринимаемые ус</w:t>
      </w:r>
      <w:r>
        <w:t>и</w:t>
      </w:r>
      <w:r>
        <w:t>лия по убеждению молодых проституток отказаться от их профессии в пользу завершения своего школьн</w:t>
      </w:r>
      <w:r>
        <w:t>о</w:t>
      </w:r>
      <w:r>
        <w:t>го образования или профессионально-технической подготовки уже дают положительные результаты.</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t>Статьи 7–9</w:t>
      </w:r>
    </w:p>
    <w:p w:rsidR="00000000" w:rsidRDefault="00000000">
      <w:pPr>
        <w:pStyle w:val="DualTxt"/>
        <w:spacing w:after="0" w:line="120" w:lineRule="exact"/>
        <w:rPr>
          <w:sz w:val="10"/>
        </w:rPr>
      </w:pPr>
    </w:p>
    <w:p w:rsidR="00000000" w:rsidRDefault="00000000">
      <w:pPr>
        <w:pStyle w:val="DualTxt"/>
      </w:pPr>
      <w:r>
        <w:t>46.</w:t>
      </w:r>
      <w:r>
        <w:tab/>
      </w:r>
      <w:r>
        <w:rPr>
          <w:b/>
        </w:rPr>
        <w:t>Г</w:t>
      </w:r>
      <w:r>
        <w:rPr>
          <w:b/>
        </w:rPr>
        <w:noBreakHyphen/>
        <w:t>жа Бельмихуб-Зердани</w:t>
      </w:r>
      <w:r>
        <w:t xml:space="preserve"> говорит, что пр</w:t>
      </w:r>
      <w:r>
        <w:t>о</w:t>
      </w:r>
      <w:r>
        <w:t>шло 20 лет с тех пор, как Экваториальная Гвинея безоговорочно ратифицировала Конвенцию, ста</w:t>
      </w:r>
      <w:r>
        <w:t>в</w:t>
      </w:r>
      <w:r>
        <w:t>шую неотъемлемой частью ее внутреннего закон</w:t>
      </w:r>
      <w:r>
        <w:t>о</w:t>
      </w:r>
      <w:r>
        <w:t>дательства. Наряду с политическими реформами, закрепленными в Конституции, которая была пр</w:t>
      </w:r>
      <w:r>
        <w:t>и</w:t>
      </w:r>
      <w:r>
        <w:t>нята в 1992 году, она обеспечивает юридические рамки, необходимые для более широкого участия женщин в политической и общественной жизни, что уже давно назрело. Если законы о выборах в Экваториальной Гвинее не предусматривают сист</w:t>
      </w:r>
      <w:r>
        <w:t>е</w:t>
      </w:r>
      <w:r>
        <w:t>мы, которая сп</w:t>
      </w:r>
      <w:r>
        <w:t>о</w:t>
      </w:r>
      <w:r>
        <w:t>собствовала бы успеху женщин-кандидатов, а именно пропорционального предст</w:t>
      </w:r>
      <w:r>
        <w:t>а</w:t>
      </w:r>
      <w:r>
        <w:t>вительства, было бы, вероятно, целесообразно у</w:t>
      </w:r>
      <w:r>
        <w:t>с</w:t>
      </w:r>
      <w:r>
        <w:t>тановить систему квот или зарезервировать за же</w:t>
      </w:r>
      <w:r>
        <w:t>н</w:t>
      </w:r>
      <w:r>
        <w:t>щинами ряд мест, заполняемых на основе выборов, как в Руанде. Следует также поощрять политич</w:t>
      </w:r>
      <w:r>
        <w:t>е</w:t>
      </w:r>
      <w:r>
        <w:t>ские партии к продвижению женщин-кандидатов и, возможно, налагать штрафы за неспособность сд</w:t>
      </w:r>
      <w:r>
        <w:t>е</w:t>
      </w:r>
      <w:r>
        <w:t>лать это. Кроме того, нет никаких причин для того, чтобы президент Экваториальной Гвинеи не мог н</w:t>
      </w:r>
      <w:r>
        <w:t>а</w:t>
      </w:r>
      <w:r>
        <w:t>значить больше женщин-министров. Проявление воли, которая явно существует, при проведении т</w:t>
      </w:r>
      <w:r>
        <w:t>а</w:t>
      </w:r>
      <w:r>
        <w:t>ких изменений является ключевым элементом обе</w:t>
      </w:r>
      <w:r>
        <w:t>с</w:t>
      </w:r>
      <w:r>
        <w:t>печения равенства женщин Экваториальной Гвинеи с ее мужч</w:t>
      </w:r>
      <w:r>
        <w:t>и</w:t>
      </w:r>
      <w:r>
        <w:t>нами.</w:t>
      </w:r>
    </w:p>
    <w:p w:rsidR="00000000" w:rsidRDefault="00000000">
      <w:pPr>
        <w:pStyle w:val="DualTxt"/>
      </w:pPr>
      <w:r>
        <w:t>47.</w:t>
      </w:r>
      <w:r>
        <w:tab/>
      </w:r>
      <w:r>
        <w:rPr>
          <w:b/>
        </w:rPr>
        <w:t>Г</w:t>
      </w:r>
      <w:r>
        <w:rPr>
          <w:b/>
        </w:rPr>
        <w:noBreakHyphen/>
        <w:t>жа Кокер-Аппия</w:t>
      </w:r>
      <w:r>
        <w:t xml:space="preserve"> спрашивает, имеют ли иностранные супруги граждан Экваториальной Гвинеи право на сохранение гражданства своей страны происхождения и влияет ли развод или смерть их супруга на их гражданство в Экватор</w:t>
      </w:r>
      <w:r>
        <w:t>и</w:t>
      </w:r>
      <w:r>
        <w:t>альной Гвинее. Она также интересуется, имеют ли женщины право получать паспорт и отправляться в поездки без с</w:t>
      </w:r>
      <w:r>
        <w:t>о</w:t>
      </w:r>
      <w:r>
        <w:t>гласия своего мужа или мужчины-родственника в случае одиноких же</w:t>
      </w:r>
      <w:r>
        <w:t>н</w:t>
      </w:r>
      <w:r>
        <w:t>щин.</w:t>
      </w:r>
    </w:p>
    <w:p w:rsidR="00000000" w:rsidRDefault="00000000">
      <w:pPr>
        <w:pStyle w:val="DualTxt"/>
      </w:pPr>
      <w:r>
        <w:t>48.</w:t>
      </w:r>
      <w:r>
        <w:tab/>
      </w:r>
      <w:r>
        <w:rPr>
          <w:b/>
        </w:rPr>
        <w:t>Г</w:t>
      </w:r>
      <w:r>
        <w:rPr>
          <w:b/>
        </w:rPr>
        <w:noBreakHyphen/>
        <w:t>жа Гаспар</w:t>
      </w:r>
      <w:r>
        <w:t xml:space="preserve"> отмечает, что в докладе отсутс</w:t>
      </w:r>
      <w:r>
        <w:t>т</w:t>
      </w:r>
      <w:r>
        <w:t>вуют статистические данные, упомянутые в связи с количеством женщин в избранном национальном парламенте, а именно: 14 процентов, равно как и сведения о числе женщин, избранных в местные а</w:t>
      </w:r>
      <w:r>
        <w:t>с</w:t>
      </w:r>
      <w:r>
        <w:t>самблеи. Она просит представить информацию о роли женщин в последних и спрашивает, имеется ли в Экваториальной Гвинее комитет, занимающи</w:t>
      </w:r>
      <w:r>
        <w:t>й</w:t>
      </w:r>
      <w:r>
        <w:t>ся исключительно вопросами женщин. Она также спрашивает, делаются ли ссылки на Конвенцию при обсуждении таких вопросов, как проведение р</w:t>
      </w:r>
      <w:r>
        <w:t>е</w:t>
      </w:r>
      <w:r>
        <w:t>формы или разработка законов, касающихся же</w:t>
      </w:r>
      <w:r>
        <w:t>н</w:t>
      </w:r>
      <w:r>
        <w:t>щин, и хотела бы также знать, имеют ли иностра</w:t>
      </w:r>
      <w:r>
        <w:t>н</w:t>
      </w:r>
      <w:r>
        <w:t>ные граждане, вступившие в брак с гражданами Э</w:t>
      </w:r>
      <w:r>
        <w:t>к</w:t>
      </w:r>
      <w:r>
        <w:t>ваториальной Гвинеи, право передавать свое гра</w:t>
      </w:r>
      <w:r>
        <w:t>ж</w:t>
      </w:r>
      <w:r>
        <w:t>данство д</w:t>
      </w:r>
      <w:r>
        <w:t>е</w:t>
      </w:r>
      <w:r>
        <w:t>тям.</w:t>
      </w:r>
    </w:p>
    <w:p w:rsidR="00000000" w:rsidRDefault="00000000">
      <w:pPr>
        <w:pStyle w:val="DualTxt"/>
      </w:pPr>
      <w:r>
        <w:t>49.</w:t>
      </w:r>
      <w:r>
        <w:tab/>
      </w:r>
      <w:r>
        <w:rPr>
          <w:b/>
        </w:rPr>
        <w:t>Г</w:t>
      </w:r>
      <w:r>
        <w:rPr>
          <w:b/>
        </w:rPr>
        <w:noBreakHyphen/>
        <w:t xml:space="preserve">жа Обоно Энгоно </w:t>
      </w:r>
      <w:r>
        <w:t>(Экваториальная Гвинея) говорит, что она приняла к сведению замечател</w:t>
      </w:r>
      <w:r>
        <w:t>ь</w:t>
      </w:r>
      <w:r>
        <w:t>ные рекомендации г</w:t>
      </w:r>
      <w:r>
        <w:noBreakHyphen/>
        <w:t>жи Бельмихуб-Зердани и по</w:t>
      </w:r>
      <w:r>
        <w:t>д</w:t>
      </w:r>
      <w:r>
        <w:t>тверждает, что иностранные граждане, состоящие в браке с гражданами Экваториальной Гвинеи, имеют право сохранять свое собственное гражда</w:t>
      </w:r>
      <w:r>
        <w:t>н</w:t>
      </w:r>
      <w:r>
        <w:t>ство. Она также вновь подтверждает, что любой р</w:t>
      </w:r>
      <w:r>
        <w:t>е</w:t>
      </w:r>
      <w:r>
        <w:t>бенок, родившийся в браке или вне его от матери или отца, являющихся гражданами Экваториальной Гвинеи, имеет право на то же самое гражданство. Развод, раздельное проживание или смерть не влияют на гражданство иностранного супруга, хотя с учетом преобладающих традиций сельские же</w:t>
      </w:r>
      <w:r>
        <w:t>н</w:t>
      </w:r>
      <w:r>
        <w:t>щины с меньшей вероятностью, чем городские, м</w:t>
      </w:r>
      <w:r>
        <w:t>о</w:t>
      </w:r>
      <w:r>
        <w:t>гут отправляться в поездки без согласия своего су</w:t>
      </w:r>
      <w:r>
        <w:t>п</w:t>
      </w:r>
      <w:r>
        <w:t>руга.</w:t>
      </w:r>
    </w:p>
    <w:p w:rsidR="00000000" w:rsidRDefault="00000000">
      <w:pPr>
        <w:pStyle w:val="DualTxt"/>
      </w:pPr>
      <w:r>
        <w:t>50.</w:t>
      </w:r>
      <w:r>
        <w:tab/>
        <w:t>Касаясь незначительной процентной доли женщин-членов парламента, она подтверждает о</w:t>
      </w:r>
      <w:r>
        <w:t>т</w:t>
      </w:r>
      <w:r>
        <w:t>сутствие дискриминации в отношении участия в выборах женщин-кандидатов; в этом отношении женщины пользуются равными правами и возмо</w:t>
      </w:r>
      <w:r>
        <w:t>ж</w:t>
      </w:r>
      <w:r>
        <w:t>ностями с мужчинами, однако либо не знают об этом факте, либо слишком сдержанны, чтобы уч</w:t>
      </w:r>
      <w:r>
        <w:t>а</w:t>
      </w:r>
      <w:r>
        <w:t>ствовать в выборах. Необходимы информационные кампании для более широкого участия женщин в политике, особенно поскольку те из них, которые участвуют в выборах на государственные должн</w:t>
      </w:r>
      <w:r>
        <w:t>о</w:t>
      </w:r>
      <w:r>
        <w:t>сти, имеют хорошие шансы быть избранными. Ст</w:t>
      </w:r>
      <w:r>
        <w:t>а</w:t>
      </w:r>
      <w:r>
        <w:t>тистические данные, тем не менее, улучшились; в предыдущем парламенте лишь 6 процентов депут</w:t>
      </w:r>
      <w:r>
        <w:t>а</w:t>
      </w:r>
      <w:r>
        <w:t>тов составляли женщины. Женщины, избранные в местные ассамблеи, будут служить в качестве дел</w:t>
      </w:r>
      <w:r>
        <w:t>е</w:t>
      </w:r>
      <w:r>
        <w:t>гатов от своих районов. Однако единственная же</w:t>
      </w:r>
      <w:r>
        <w:t>н</w:t>
      </w:r>
      <w:r>
        <w:t>щина, занимавшая в последнее время эту дол</w:t>
      </w:r>
      <w:r>
        <w:t>ж</w:t>
      </w:r>
      <w:r>
        <w:t>ность, умерла, и в настоящее время имеется лишь одна женщина — депутат провинции.</w:t>
      </w:r>
    </w:p>
    <w:p w:rsidR="00000000" w:rsidRDefault="00000000">
      <w:pPr>
        <w:pStyle w:val="DualTxt"/>
      </w:pP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t>Статьи 10–14</w:t>
      </w:r>
    </w:p>
    <w:p w:rsidR="00000000" w:rsidRDefault="00000000">
      <w:pPr>
        <w:pStyle w:val="DualTxt"/>
        <w:spacing w:after="0" w:line="120" w:lineRule="exact"/>
        <w:rPr>
          <w:sz w:val="10"/>
        </w:rPr>
      </w:pPr>
    </w:p>
    <w:p w:rsidR="00000000" w:rsidRDefault="00000000">
      <w:pPr>
        <w:pStyle w:val="DualTxt"/>
      </w:pPr>
      <w:r>
        <w:t>51.</w:t>
      </w:r>
      <w:r>
        <w:tab/>
      </w:r>
      <w:r>
        <w:rPr>
          <w:b/>
        </w:rPr>
        <w:t>Г</w:t>
      </w:r>
      <w:r>
        <w:rPr>
          <w:b/>
        </w:rPr>
        <w:noBreakHyphen/>
        <w:t>жа Паттен</w:t>
      </w:r>
      <w:r>
        <w:t xml:space="preserve"> говорит, что в своих докладах и в устном выступлении Экваториальная Гвинея подчеркнула влияние социальных и культурных структур, в том числе стереотипных ролей и обы</w:t>
      </w:r>
      <w:r>
        <w:t>ч</w:t>
      </w:r>
      <w:r>
        <w:t>ных браков. Однако в то же время она подчеркнула отсутствие дискриминации и не указала на то, что указанные обычаи и традиции являются пр</w:t>
      </w:r>
      <w:r>
        <w:t>е</w:t>
      </w:r>
      <w:r>
        <w:t>пятствием на пути осуществления Конвенции. П</w:t>
      </w:r>
      <w:r>
        <w:t>о</w:t>
      </w:r>
      <w:r>
        <w:t>этому она хотела бы знать, принимаются ли эффе</w:t>
      </w:r>
      <w:r>
        <w:t>к</w:t>
      </w:r>
      <w:r>
        <w:t>тивные меры по гарантированию того, чтобы д</w:t>
      </w:r>
      <w:r>
        <w:t>е</w:t>
      </w:r>
      <w:r>
        <w:t>вочки имели одинаковые с мальчиками возможн</w:t>
      </w:r>
      <w:r>
        <w:t>о</w:t>
      </w:r>
      <w:r>
        <w:t>сти с точки зрения образования, профессионально-технической подготовки и карьеры. Кроме того, существует ли какая</w:t>
      </w:r>
      <w:r>
        <w:noBreakHyphen/>
        <w:t>либо система сбора данных о девушках в рамках системы образования, например, о количестве сельских и городских девушек в ун</w:t>
      </w:r>
      <w:r>
        <w:t>и</w:t>
      </w:r>
      <w:r>
        <w:t>верситете, изучаемых предметах, предоставляемых стипендиях и т.д.? Наконец, она интересуется, б</w:t>
      </w:r>
      <w:r>
        <w:t>у</w:t>
      </w:r>
      <w:r>
        <w:t>дут ли программы повторного образования, реал</w:t>
      </w:r>
      <w:r>
        <w:t>и</w:t>
      </w:r>
      <w:r>
        <w:t>зуемые религиозными приходами, закреплять ст</w:t>
      </w:r>
      <w:r>
        <w:t>е</w:t>
      </w:r>
      <w:r>
        <w:t>реотипные роли, и спрашивает, вносит ли прав</w:t>
      </w:r>
      <w:r>
        <w:t>и</w:t>
      </w:r>
      <w:r>
        <w:t>тельство какой</w:t>
      </w:r>
      <w:r>
        <w:noBreakHyphen/>
        <w:t>либо вклад в подготовку учебных планов для тех учащихся, которые прекратили об</w:t>
      </w:r>
      <w:r>
        <w:t>у</w:t>
      </w:r>
      <w:r>
        <w:t>чение.</w:t>
      </w:r>
    </w:p>
    <w:p w:rsidR="00000000" w:rsidRDefault="00000000">
      <w:pPr>
        <w:pStyle w:val="DualTxt"/>
      </w:pPr>
      <w:r>
        <w:t>52.</w:t>
      </w:r>
      <w:r>
        <w:tab/>
      </w:r>
      <w:r>
        <w:rPr>
          <w:b/>
        </w:rPr>
        <w:t>Г</w:t>
      </w:r>
      <w:r>
        <w:rPr>
          <w:b/>
        </w:rPr>
        <w:noBreakHyphen/>
        <w:t>жа Хан</w:t>
      </w:r>
      <w:r>
        <w:t xml:space="preserve"> говорит, что содержащиеся в докл</w:t>
      </w:r>
      <w:r>
        <w:t>а</w:t>
      </w:r>
      <w:r>
        <w:t>де утверждения об отсутствии дискриминации в т</w:t>
      </w:r>
      <w:r>
        <w:t>а</w:t>
      </w:r>
      <w:r>
        <w:t>ких сферах, как здравоохранение, свидетельствует об отсутствии понимания Конвенции, статьи 1 и 2 которой определяют сферу действия всех посл</w:t>
      </w:r>
      <w:r>
        <w:t>е</w:t>
      </w:r>
      <w:r>
        <w:t>дующих статей. С учетом статьи 12 и плохого с</w:t>
      </w:r>
      <w:r>
        <w:t>о</w:t>
      </w:r>
      <w:r>
        <w:t>стояния здоровья женщин в Экваториальной Гвинее государство-участник должно обратиться к общей рекомендации 24. Она спрашивает, практикуется ли какой</w:t>
      </w:r>
      <w:r>
        <w:noBreakHyphen/>
        <w:t>либо этнической группой в стране практика калечения женских половых органов и, если она л</w:t>
      </w:r>
      <w:r>
        <w:t>е</w:t>
      </w:r>
      <w:r>
        <w:t>гально не запрещена, какие принимались другие меры по ее ликвидации. Кроме того, осуществляе</w:t>
      </w:r>
      <w:r>
        <w:t>т</w:t>
      </w:r>
      <w:r>
        <w:t>ся ли какая</w:t>
      </w:r>
      <w:r>
        <w:noBreakHyphen/>
        <w:t>либо национальная политика в области СПИДа, является ли проверка на СПИД добровол</w:t>
      </w:r>
      <w:r>
        <w:t>ь</w:t>
      </w:r>
      <w:r>
        <w:t>ной или обязательной и какие виды лечения пр</w:t>
      </w:r>
      <w:r>
        <w:t>е</w:t>
      </w:r>
      <w:r>
        <w:t>доставляются женщинам и детям, зараженным СПИДом? Она хотела бы также знать, насколько применимы Закон № 2 от 1990 года и Закон о труде в отношении сельской рабочей силы, которую в о</w:t>
      </w:r>
      <w:r>
        <w:t>с</w:t>
      </w:r>
      <w:r>
        <w:t>новном составляют женщины, а также, насколько применим к женщинам Закон о социальном обесп</w:t>
      </w:r>
      <w:r>
        <w:t>е</w:t>
      </w:r>
      <w:r>
        <w:t>чении и какую пользу они извлекают из него. Нак</w:t>
      </w:r>
      <w:r>
        <w:t>о</w:t>
      </w:r>
      <w:r>
        <w:t>нец, с учетом мероприятий министерства по соц</w:t>
      </w:r>
      <w:r>
        <w:t>и</w:t>
      </w:r>
      <w:r>
        <w:t>альным делам и положению женщин в области п</w:t>
      </w:r>
      <w:r>
        <w:t>о</w:t>
      </w:r>
      <w:r>
        <w:t>вышения осведомленности среди сельских женщин была ли Конвенция переведена на местные языки и каким образом женщины участвуют в реализации национальной политики, направленной на улучш</w:t>
      </w:r>
      <w:r>
        <w:t>е</w:t>
      </w:r>
      <w:r>
        <w:t>ние их полож</w:t>
      </w:r>
      <w:r>
        <w:t>е</w:t>
      </w:r>
      <w:r>
        <w:t>ния?</w:t>
      </w:r>
    </w:p>
    <w:p w:rsidR="00000000" w:rsidRDefault="00000000">
      <w:pPr>
        <w:pStyle w:val="DualTxt"/>
      </w:pPr>
      <w:r>
        <w:t>53.</w:t>
      </w:r>
      <w:r>
        <w:tab/>
      </w:r>
      <w:r>
        <w:rPr>
          <w:b/>
        </w:rPr>
        <w:t>Г</w:t>
      </w:r>
      <w:r>
        <w:rPr>
          <w:b/>
        </w:rPr>
        <w:noBreakHyphen/>
        <w:t>жа Син</w:t>
      </w:r>
      <w:r>
        <w:t xml:space="preserve"> говорит, что, хотя в докладе нео</w:t>
      </w:r>
      <w:r>
        <w:t>д</w:t>
      </w:r>
      <w:r>
        <w:t>нократно утверждается об отсутствии дискримин</w:t>
      </w:r>
      <w:r>
        <w:t>а</w:t>
      </w:r>
      <w:r>
        <w:t>ции, любая неспособность рассмотреть вопрос о доле девушек, прекращающих среднее обучение, и явление беременности среди подростков в возрасте 13–19 лет будут равнозначны дискриминации в о</w:t>
      </w:r>
      <w:r>
        <w:t>т</w:t>
      </w:r>
      <w:r>
        <w:t>ношении женщин в сфере образования и, следов</w:t>
      </w:r>
      <w:r>
        <w:t>а</w:t>
      </w:r>
      <w:r>
        <w:t>тельно, занятости. Временные специальные меры по улучшению коэффициентов грамотности и ув</w:t>
      </w:r>
      <w:r>
        <w:t>е</w:t>
      </w:r>
      <w:r>
        <w:t>личению числа девушек в системе высшего образ</w:t>
      </w:r>
      <w:r>
        <w:t>о</w:t>
      </w:r>
      <w:r>
        <w:t>вания имеют исключительно важное значение. Н</w:t>
      </w:r>
      <w:r>
        <w:t>а</w:t>
      </w:r>
      <w:r>
        <w:t>пример, большинство стипендий должно предо</w:t>
      </w:r>
      <w:r>
        <w:t>с</w:t>
      </w:r>
      <w:r>
        <w:t>тавляться девушкам. Наконец, сохраняют ли сел</w:t>
      </w:r>
      <w:r>
        <w:t>ь</w:t>
      </w:r>
      <w:r>
        <w:t>ские женщины контроль за денежными средствами, зарабатываемыми ими в результате производстве</w:t>
      </w:r>
      <w:r>
        <w:t>н</w:t>
      </w:r>
      <w:r>
        <w:t>ной деятельности?</w:t>
      </w:r>
    </w:p>
    <w:p w:rsidR="00000000" w:rsidRDefault="00000000">
      <w:pPr>
        <w:pStyle w:val="DualTxt"/>
      </w:pPr>
      <w:r>
        <w:t>54.</w:t>
      </w:r>
      <w:r>
        <w:tab/>
      </w:r>
      <w:r>
        <w:rPr>
          <w:b/>
        </w:rPr>
        <w:t>Г</w:t>
      </w:r>
      <w:r>
        <w:rPr>
          <w:b/>
        </w:rPr>
        <w:noBreakHyphen/>
        <w:t>жа Сайга</w:t>
      </w:r>
      <w:r>
        <w:t xml:space="preserve"> спрашивает, сколько лет обучения являются обязательными и просит представить д</w:t>
      </w:r>
      <w:r>
        <w:t>е</w:t>
      </w:r>
      <w:r>
        <w:t>загрегированные по гендерному признаку статист</w:t>
      </w:r>
      <w:r>
        <w:t>и</w:t>
      </w:r>
      <w:r>
        <w:t>ческие данные о показателях приема и отсева. Р</w:t>
      </w:r>
      <w:r>
        <w:t>е</w:t>
      </w:r>
      <w:r>
        <w:t>форма школьных учебных планов и учебников к</w:t>
      </w:r>
      <w:r>
        <w:t>а</w:t>
      </w:r>
      <w:r>
        <w:t>сается, например, тех из них, которые используются на четвертом году обучения в средней школе, но я</w:t>
      </w:r>
      <w:r>
        <w:t>в</w:t>
      </w:r>
      <w:r>
        <w:t>ляется ли этот год обязательным в системе школ</w:t>
      </w:r>
      <w:r>
        <w:t>ь</w:t>
      </w:r>
      <w:r>
        <w:t>ного образования? Однако она сомневается, что расширение обязательного образования является наиболее эффективным путем сокращения числа детей, бросающих начальную школу. Поэтому какие другие меры принимаются для решения этой пр</w:t>
      </w:r>
      <w:r>
        <w:t>о</w:t>
      </w:r>
      <w:r>
        <w:t>блемы?</w:t>
      </w:r>
    </w:p>
    <w:p w:rsidR="00000000" w:rsidRDefault="00000000">
      <w:pPr>
        <w:pStyle w:val="DualTxt"/>
      </w:pPr>
      <w:r>
        <w:t>55.</w:t>
      </w:r>
      <w:r>
        <w:tab/>
      </w:r>
      <w:r>
        <w:rPr>
          <w:b/>
        </w:rPr>
        <w:t>Г</w:t>
      </w:r>
      <w:r>
        <w:rPr>
          <w:b/>
        </w:rPr>
        <w:noBreakHyphen/>
        <w:t>жа Ахмад</w:t>
      </w:r>
      <w:r>
        <w:t xml:space="preserve"> выражает обеспокоенность по поводу явного конфликта между более низким п</w:t>
      </w:r>
      <w:r>
        <w:t>о</w:t>
      </w:r>
      <w:r>
        <w:t>ложением женщин Экваториальной Гвинеи в обла</w:t>
      </w:r>
      <w:r>
        <w:t>с</w:t>
      </w:r>
      <w:r>
        <w:t>ти образования, здравоохранения и занятости и с</w:t>
      </w:r>
      <w:r>
        <w:t>о</w:t>
      </w:r>
      <w:r>
        <w:t>держащимися в докладе утверждениями о том, что женщины не страдают в этой связи от дискримин</w:t>
      </w:r>
      <w:r>
        <w:t>а</w:t>
      </w:r>
      <w:r>
        <w:t>ции. В статье 1 Конвенции определение термина «дискриминация в отношении женщин» означает, что женщины должны пользоваться не только ра</w:t>
      </w:r>
      <w:r>
        <w:t>в</w:t>
      </w:r>
      <w:r>
        <w:t>ными возможностями, но и равными результатами. В отношении ликвидации стереотипных ролей она спрашивает, будут ли включены в пересмотренные учебные планы и учебники сведения о домашних жизненных навыках, одинаковых для девочек и мальчиков. Кроме того, осуществляется ли озн</w:t>
      </w:r>
      <w:r>
        <w:t>а</w:t>
      </w:r>
      <w:r>
        <w:t>комление преподавателей с гендерной проблемат</w:t>
      </w:r>
      <w:r>
        <w:t>и</w:t>
      </w:r>
      <w:r>
        <w:t>кой?</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t>Заседание закрывается в 13 ч. 00 м.</w:t>
      </w:r>
    </w:p>
    <w:p w:rsidR="00000000" w:rsidRDefault="00000000">
      <w:pPr>
        <w:pStyle w:val="DualTxt"/>
      </w:pPr>
    </w:p>
    <w:sectPr w:rsidR="00000000">
      <w:endnotePr>
        <w:numFmt w:val="decimal"/>
      </w:endnotePr>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NO&gt;&gt;N0443948R&lt;&lt;ODS JOB NO&gt;&gt;</w:t>
      </w:r>
    </w:p>
    <w:p w:rsidR="00000000" w:rsidRDefault="00000000">
      <w:pPr>
        <w:pStyle w:val="CommentText"/>
      </w:pPr>
      <w:r>
        <w:t>&lt;&lt;ODS DOC SYMBOL1&gt;&gt;CEDAW/C/SR.651&lt;&lt;ODS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4</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pPr>
    <w:r>
      <w:t>В настоящий отчет могут вноситься поправки.</w:t>
    </w:r>
  </w:p>
  <w:p w:rsidR="00000000" w:rsidRDefault="00000000">
    <w:pPr>
      <w:pStyle w:val="FootnoteText"/>
      <w:spacing w:after="120"/>
      <w:ind w:left="1267" w:right="1267" w:firstLine="0"/>
    </w:pPr>
    <w:r>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должны направляться </w:t>
    </w:r>
    <w:r>
      <w:rPr>
        <w:i/>
      </w:rPr>
      <w:t>в течение одной недели с момента выпуска этого документа</w:t>
    </w:r>
    <w:r>
      <w:t xml:space="preserve"> на имя начальника Секции редактирования официальных отчетов, комната DC2-750 (Chief, Official Records Editing Section, room DC2-750, 2 United Nations Plaza).</w:t>
    </w:r>
  </w:p>
  <w:p w:rsidR="00000000" w:rsidRDefault="00000000">
    <w:pPr>
      <w:pStyle w:val="FootnoteText"/>
      <w:spacing w:after="120"/>
      <w:ind w:left="1267" w:right="1267" w:firstLine="0"/>
    </w:pPr>
    <w:r>
      <w:t>Любые поправки к отчетам о заседаниях этой сессии будут сведены в один документ, содержащий только исправления, который будет издан вскоре после окончания сессии.</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04-43948 (R)</w:t>
    </w:r>
  </w:p>
  <w:p w:rsidR="00000000" w:rsidRDefault="00000000">
    <w:pPr>
      <w:pStyle w:val="Footer"/>
      <w:spacing w:before="120" w:line="240" w:lineRule="exact"/>
      <w:rPr>
        <w:rFonts w:ascii="Barcode 3 of 9 by request" w:hAnsi="Barcode 3 of 9 by request"/>
        <w:b w:val="0"/>
        <w:spacing w:val="4"/>
        <w:w w:val="103"/>
        <w:sz w:val="24"/>
      </w:rPr>
    </w:pPr>
    <w:r>
      <w:rPr>
        <w:rFonts w:ascii="Barcode 3 of 9 by request" w:hAnsi="Barcode 3 of 9 by request"/>
        <w:b w:val="0"/>
        <w:spacing w:val="4"/>
        <w:w w:val="103"/>
        <w:sz w:val="24"/>
      </w:rPr>
      <w:t>*0443948*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CEDAW/C/SR.651</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CEDAW/C/SR.651</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3154"/>
      <w:gridCol w:w="245"/>
      <w:gridCol w:w="1828"/>
      <w:gridCol w:w="245"/>
      <w:gridCol w:w="3140"/>
    </w:tblGrid>
    <w:tr w:rsidR="00000000">
      <w:tblPrEx>
        <w:tblCellMar>
          <w:top w:w="0" w:type="dxa"/>
          <w:left w:w="0" w:type="dxa"/>
          <w:bottom w:w="0" w:type="dxa"/>
          <w:right w:w="0" w:type="dxa"/>
        </w:tblCellMar>
      </w:tblPrEx>
      <w:trPr>
        <w:cantSplit/>
        <w:trHeight w:hRule="exact" w:val="864"/>
      </w:trPr>
      <w:tc>
        <w:tcPr>
          <w:tcW w:w="4421" w:type="dxa"/>
          <w:gridSpan w:val="2"/>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Организация Объединенных Наций</w:t>
          </w:r>
        </w:p>
      </w:tc>
      <w:tc>
        <w:tcPr>
          <w:tcW w:w="245" w:type="dxa"/>
          <w:tcBorders>
            <w:top w:val="nil"/>
            <w:left w:val="nil"/>
            <w:bottom w:val="nil"/>
            <w:right w:val="nil"/>
          </w:tcBorders>
          <w:vAlign w:val="bottom"/>
        </w:tcPr>
        <w:p w:rsidR="00000000" w:rsidRDefault="00000000">
          <w:pPr>
            <w:pStyle w:val="Header"/>
            <w:spacing w:after="120"/>
          </w:pPr>
        </w:p>
      </w:tc>
      <w:tc>
        <w:tcPr>
          <w:tcW w:w="5213" w:type="dxa"/>
          <w:gridSpan w:val="3"/>
          <w:tcBorders>
            <w:top w:val="nil"/>
            <w:left w:val="nil"/>
            <w:bottom w:val="nil"/>
            <w:right w:val="nil"/>
          </w:tcBorders>
          <w:vAlign w:val="bottom"/>
        </w:tcPr>
        <w:p w:rsidR="00000000" w:rsidRDefault="00000000">
          <w:pPr>
            <w:pStyle w:val="Header"/>
            <w:spacing w:after="20"/>
            <w:jc w:val="right"/>
            <w:rPr>
              <w:sz w:val="20"/>
            </w:rPr>
          </w:pPr>
          <w:r>
            <w:rPr>
              <w:sz w:val="40"/>
            </w:rPr>
            <w:t>CEDAW</w:t>
          </w:r>
          <w:r>
            <w:rPr>
              <w:sz w:val="20"/>
            </w:rPr>
            <w:t>/C/SR.651</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Конвенция о ликвидации всех форм дискриминации в отношении женщин</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3 August 2005</w:t>
          </w:r>
        </w:p>
        <w:p w:rsidR="00000000" w:rsidRDefault="00000000">
          <w:r>
            <w:t>Russian</w:t>
          </w:r>
        </w:p>
        <w:p w:rsidR="00000000" w:rsidRDefault="00000000">
          <w:r>
            <w:t>Original: English</w:t>
          </w:r>
        </w:p>
      </w:tc>
    </w:tr>
  </w:tbl>
  <w:p w:rsidR="00000000" w:rsidRDefault="00000000">
    <w:pPr>
      <w:pStyle w:val="Header"/>
      <w:spacing w:line="20" w:lineRule="exact"/>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59CADF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5372B834"/>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A3CEA354"/>
    <w:lvl w:ilvl="0">
      <w:start w:val="1"/>
      <w:numFmt w:val="decimal"/>
      <w:pStyle w:val="ListNumber3"/>
      <w:lvlText w:val="%1."/>
      <w:lvlJc w:val="left"/>
      <w:pPr>
        <w:tabs>
          <w:tab w:val="num" w:pos="926"/>
        </w:tabs>
        <w:ind w:left="926" w:hanging="360"/>
      </w:pPr>
    </w:lvl>
  </w:abstractNum>
  <w:abstractNum w:abstractNumId="3">
    <w:nsid w:val="FFFFFF7F"/>
    <w:multiLevelType w:val="singleLevel"/>
    <w:tmpl w:val="93C2E390"/>
    <w:lvl w:ilvl="0">
      <w:start w:val="1"/>
      <w:numFmt w:val="decimal"/>
      <w:pStyle w:val="ListNumber2"/>
      <w:lvlText w:val="%1."/>
      <w:lvlJc w:val="left"/>
      <w:pPr>
        <w:tabs>
          <w:tab w:val="num" w:pos="643"/>
        </w:tabs>
        <w:ind w:left="643" w:hanging="360"/>
      </w:pPr>
    </w:lvl>
  </w:abstractNum>
  <w:abstractNum w:abstractNumId="4">
    <w:nsid w:val="FFFFFF88"/>
    <w:multiLevelType w:val="singleLevel"/>
    <w:tmpl w:val="A450318C"/>
    <w:lvl w:ilvl="0">
      <w:start w:val="1"/>
      <w:numFmt w:val="decimal"/>
      <w:pStyle w:val="ListNumber"/>
      <w:lvlText w:val="%1."/>
      <w:lvlJc w:val="left"/>
      <w:pPr>
        <w:tabs>
          <w:tab w:val="num" w:pos="360"/>
        </w:tabs>
        <w:ind w:left="360" w:hanging="360"/>
      </w:pPr>
    </w:lvl>
  </w:abstractNum>
  <w:abstractNum w:abstractNumId="5">
    <w:nsid w:val="2BB16AA8"/>
    <w:multiLevelType w:val="multilevel"/>
    <w:tmpl w:val="19820D8E"/>
    <w:name w:val="TOC2"/>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312"/>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4176"/>
        </w:tabs>
        <w:ind w:left="3888" w:hanging="432"/>
      </w:pPr>
    </w:lvl>
    <w:lvl w:ilvl="7">
      <w:start w:val="1"/>
      <w:numFmt w:val="none"/>
      <w:lvlText w:val=""/>
      <w:lvlJc w:val="left"/>
      <w:pPr>
        <w:tabs>
          <w:tab w:val="num" w:pos="4248"/>
        </w:tabs>
        <w:ind w:left="3888" w:firstLine="0"/>
      </w:pPr>
    </w:lvl>
    <w:lvl w:ilvl="8">
      <w:start w:val="1"/>
      <w:numFmt w:val="none"/>
      <w:suff w:val="nothing"/>
      <w:lvlText w:val=""/>
      <w:lvlJc w:val="left"/>
      <w:pPr>
        <w:ind w:left="3888" w:firstLine="0"/>
      </w:pPr>
    </w:lvl>
  </w:abstractNum>
  <w:abstractNum w:abstractNumId="6">
    <w:nsid w:val="34DC129E"/>
    <w:multiLevelType w:val="singleLevel"/>
    <w:tmpl w:val="03EE3166"/>
    <w:lvl w:ilvl="0">
      <w:start w:val="1"/>
      <w:numFmt w:val="decimal"/>
      <w:pStyle w:val="ListContinue2"/>
      <w:lvlText w:val="%1."/>
      <w:lvlJc w:val="right"/>
      <w:pPr>
        <w:tabs>
          <w:tab w:val="num" w:pos="792"/>
        </w:tabs>
        <w:ind w:left="792" w:hanging="317"/>
      </w:pPr>
      <w:rPr>
        <w:rFonts w:hint="default"/>
      </w:rPr>
    </w:lvl>
  </w:abstractNum>
  <w:abstractNum w:abstractNumId="7">
    <w:nsid w:val="5FF27F2B"/>
    <w:multiLevelType w:val="multilevel"/>
    <w:tmpl w:val="68AAAA24"/>
    <w:name w:val="TOC"/>
    <w:lvl w:ilvl="0">
      <w:start w:val="1"/>
      <w:numFmt w:val="upperRoman"/>
      <w:lvlText w:val="%1."/>
      <w:lvlJc w:val="right"/>
      <w:pPr>
        <w:tabs>
          <w:tab w:val="num" w:pos="1296"/>
        </w:tabs>
        <w:ind w:left="1296" w:hanging="216"/>
      </w:pPr>
    </w:lvl>
    <w:lvl w:ilvl="1">
      <w:start w:val="1"/>
      <w:numFmt w:val="upperLetter"/>
      <w:lvlText w:val="%2."/>
      <w:lvlJc w:val="left"/>
      <w:pPr>
        <w:tabs>
          <w:tab w:val="num" w:pos="-32406"/>
        </w:tabs>
        <w:ind w:left="-32766" w:firstLine="0"/>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312"/>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4176"/>
        </w:tabs>
        <w:ind w:left="3888" w:hanging="432"/>
      </w:pPr>
    </w:lvl>
    <w:lvl w:ilvl="7">
      <w:start w:val="1"/>
      <w:numFmt w:val="none"/>
      <w:lvlText w:val=""/>
      <w:lvlJc w:val="left"/>
      <w:pPr>
        <w:tabs>
          <w:tab w:val="num" w:pos="4248"/>
        </w:tabs>
        <w:ind w:left="3888" w:firstLine="0"/>
      </w:pPr>
    </w:lvl>
    <w:lvl w:ilvl="8">
      <w:start w:val="1"/>
      <w:numFmt w:val="none"/>
      <w:suff w:val="nothing"/>
      <w:lvlText w:val=""/>
      <w:lvlJc w:val="left"/>
      <w:pPr>
        <w:ind w:left="3888" w:firstLine="0"/>
      </w:pPr>
    </w:lvl>
  </w:abstractNum>
  <w:num w:numId="1">
    <w:abstractNumId w:val="6"/>
  </w:num>
  <w:num w:numId="2">
    <w:abstractNumId w:val="4"/>
  </w:num>
  <w:num w:numId="3">
    <w:abstractNumId w:val="4"/>
  </w:num>
  <w:num w:numId="4">
    <w:abstractNumId w:val="3"/>
  </w:num>
  <w:num w:numId="5">
    <w:abstractNumId w:val="3"/>
  </w:num>
  <w:num w:numId="6">
    <w:abstractNumId w:val="2"/>
  </w:num>
  <w:num w:numId="7">
    <w:abstractNumId w:val="2"/>
  </w:num>
  <w:num w:numId="8">
    <w:abstractNumId w:val="1"/>
  </w:num>
  <w:num w:numId="9">
    <w:abstractNumId w:val="1"/>
  </w:num>
  <w:num w:numId="10">
    <w:abstractNumId w:val="0"/>
  </w:num>
  <w:num w:numId="11">
    <w:abstractNumId w:val="0"/>
  </w:num>
  <w:num w:numId="12">
    <w:abstractNumId w:val="7"/>
  </w:num>
  <w:num w:numId="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hideGrammaticalErrors/>
  <w:activeWritingStyle w:appName="MSWord" w:lang="ru-RU" w:vendorID="1" w:dllVersion="512" w:checkStyle="1"/>
  <w:doNotTrackMoves/>
  <w:defaultTabStop w:val="475"/>
  <w:autoHyphenation/>
  <w:hyphenationZone w:val="220"/>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numFmt w:val="decimal"/>
    <w:endnote w:id="-1"/>
    <w:endnote w:id="0"/>
  </w:endnotePr>
  <w:compat>
    <w:noColumnBalance/>
    <w:printColBlack/>
    <w:showBreaksInFrames/>
    <w:suppressBottomSpacing/>
    <w:suppressTopSpacing/>
    <w:suppressTopSpacingWP/>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02/08/2005 18:20:53"/>
    <w:docVar w:name="DocCategory" w:val="SROthers"/>
    <w:docVar w:name="DocType" w:val="Final"/>
    <w:docVar w:name="JobNo" w:val="0443948R"/>
    <w:docVar w:name="OandT" w:val=" "/>
    <w:docVar w:name="Symbol1" w:val="CEDAW/C/SR.651"/>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240" w:lineRule="exact"/>
    </w:pPr>
    <w:rPr>
      <w:spacing w:val="4"/>
      <w:w w:val="103"/>
      <w:kern w:val="14"/>
      <w:lang w:val="ru-RU"/>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M">
    <w:name w:val="_ H __M"/>
    <w:basedOn w:val="Normal"/>
    <w:next w:val="Normal"/>
    <w:pPr>
      <w:keepNext/>
      <w:keepLines/>
      <w:suppressAutoHyphens/>
      <w:spacing w:line="360" w:lineRule="exact"/>
      <w:outlineLvl w:val="0"/>
    </w:pPr>
    <w:rPr>
      <w:b/>
      <w:spacing w:val="-3"/>
      <w:w w:val="99"/>
      <w:sz w:val="34"/>
    </w:rPr>
  </w:style>
  <w:style w:type="paragraph" w:customStyle="1" w:styleId="H1">
    <w:name w:val="_ H_1"/>
    <w:basedOn w:val="Normal"/>
    <w:next w:val="Normal"/>
    <w:pPr>
      <w:suppressAutoHyphens/>
      <w:spacing w:line="270" w:lineRule="exact"/>
      <w:outlineLvl w:val="0"/>
    </w:pPr>
    <w:rPr>
      <w:b/>
      <w:sz w:val="24"/>
    </w:rPr>
  </w:style>
  <w:style w:type="paragraph" w:customStyle="1" w:styleId="HCh">
    <w:name w:val="_ H _Ch"/>
    <w:basedOn w:val="H1"/>
    <w:next w:val="Normal"/>
    <w:pPr>
      <w:keepNext/>
      <w:keepLines/>
      <w:spacing w:line="300" w:lineRule="exact"/>
    </w:pPr>
    <w:rPr>
      <w:spacing w:val="-2"/>
      <w:sz w:val="28"/>
    </w:rPr>
  </w:style>
  <w:style w:type="paragraph" w:customStyle="1" w:styleId="H23">
    <w:name w:val="_ H_2/3"/>
    <w:basedOn w:val="H1"/>
    <w:next w:val="DualTxt"/>
    <w:pPr>
      <w:keepNext/>
      <w:keepLines/>
      <w:spacing w:line="240" w:lineRule="exact"/>
      <w:outlineLvl w:val="1"/>
    </w:pPr>
    <w:rPr>
      <w:spacing w:val="2"/>
      <w:sz w:val="20"/>
    </w:rPr>
  </w:style>
  <w:style w:type="paragraph" w:customStyle="1" w:styleId="H4">
    <w:name w:val="_ H_4"/>
    <w:basedOn w:val="Normal"/>
    <w:next w:val="DualTxt"/>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styleId="ListContinue2">
    <w:name w:val="List Continue 2"/>
    <w:basedOn w:val="Normal"/>
    <w:next w:val="Normal"/>
    <w:semiHidden/>
    <w:pPr>
      <w:numPr>
        <w:numId w:val="1"/>
      </w:numPr>
      <w:spacing w:after="120"/>
    </w:pPr>
  </w:style>
  <w:style w:type="paragraph" w:styleId="ListNumber">
    <w:name w:val="List Number"/>
    <w:basedOn w:val="H1"/>
    <w:next w:val="Normal"/>
    <w:semiHidden/>
    <w:pPr>
      <w:numPr>
        <w:numId w:val="3"/>
      </w:numPr>
      <w:tabs>
        <w:tab w:val="clear" w:pos="360"/>
        <w:tab w:val="num" w:pos="792"/>
      </w:tabs>
      <w:ind w:left="792" w:hanging="317"/>
    </w:pPr>
  </w:style>
  <w:style w:type="paragraph" w:styleId="ListNumber2">
    <w:name w:val="List Number 2"/>
    <w:basedOn w:val="H23"/>
    <w:next w:val="Normal"/>
    <w:semiHidden/>
    <w:pPr>
      <w:numPr>
        <w:numId w:val="5"/>
      </w:numPr>
      <w:tabs>
        <w:tab w:val="clear" w:pos="643"/>
        <w:tab w:val="num" w:pos="792"/>
      </w:tabs>
      <w:ind w:left="792" w:hanging="317"/>
    </w:pPr>
  </w:style>
  <w:style w:type="paragraph" w:styleId="ListNumber3">
    <w:name w:val="List Number 3"/>
    <w:basedOn w:val="H23"/>
    <w:next w:val="Normal"/>
    <w:semiHidden/>
    <w:pPr>
      <w:numPr>
        <w:numId w:val="7"/>
      </w:numPr>
      <w:tabs>
        <w:tab w:val="clear" w:pos="926"/>
        <w:tab w:val="num" w:pos="792"/>
      </w:tabs>
      <w:ind w:left="792" w:hanging="317"/>
    </w:pPr>
  </w:style>
  <w:style w:type="paragraph" w:styleId="ListNumber4">
    <w:name w:val="List Number 4"/>
    <w:basedOn w:val="H4"/>
    <w:next w:val="Normal"/>
    <w:semiHidden/>
    <w:pPr>
      <w:numPr>
        <w:numId w:val="9"/>
      </w:numPr>
      <w:tabs>
        <w:tab w:val="clear" w:pos="1209"/>
        <w:tab w:val="num" w:pos="792"/>
      </w:tabs>
      <w:ind w:left="792" w:hanging="317"/>
    </w:pPr>
  </w:style>
  <w:style w:type="paragraph" w:styleId="ListNumber5">
    <w:name w:val="List Number 5"/>
    <w:basedOn w:val="Normal"/>
    <w:next w:val="Normal"/>
    <w:semiHidden/>
    <w:pPr>
      <w:numPr>
        <w:numId w:val="11"/>
      </w:numPr>
      <w:tabs>
        <w:tab w:val="clear" w:pos="1492"/>
        <w:tab w:val="num" w:pos="792"/>
      </w:tabs>
      <w:ind w:left="792" w:hanging="317"/>
    </w:p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TotalTime>
  <Pages>3</Pages>
  <Words>6016</Words>
  <Characters>34292</Characters>
  <Application>Microsoft Office Word</Application>
  <DocSecurity>4</DocSecurity>
  <Lines>285</Lines>
  <Paragraphs>68</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42112</CharactersWithSpaces>
  <SharedDoc>false</SharedDoc>
  <HLinks>
    <vt:vector size="6" baseType="variant">
      <vt:variant>
        <vt:i4>4522087</vt:i4>
      </vt:variant>
      <vt:variant>
        <vt:i4>84434</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 User</dc:creator>
  <cp:keywords/>
  <dc:description/>
  <cp:lastModifiedBy>DGAACS User</cp:lastModifiedBy>
  <cp:revision>4</cp:revision>
  <cp:lastPrinted>2005-08-02T21:05:00Z</cp:lastPrinted>
  <dcterms:created xsi:type="dcterms:W3CDTF">2005-08-02T21:02:00Z</dcterms:created>
  <dcterms:modified xsi:type="dcterms:W3CDTF">2005-08-02T21:12:00Z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0443948</vt:lpwstr>
  </property>
  <property fmtid="{D5CDD505-2E9C-101B-9397-08002B2CF9AE}" pid="3" name="Symbol1">
    <vt:lpwstr>CEDAW/C/SR.651</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11</vt:lpwstr>
  </property>
  <property fmtid="{D5CDD505-2E9C-101B-9397-08002B2CF9AE}" pid="8" name="Operator">
    <vt:lpwstr>S.N.</vt:lpwstr>
  </property>
</Properties>
</file>