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lang w:val="en-US"/>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45096</w:t>
                  </w:r>
                  <w:r>
                    <w:rPr>
                      <w:lang w:val="en-US"/>
                    </w:rPr>
                    <w:fldChar w:fldCharType="end"/>
                  </w:r>
                  <w:r>
                    <w:rPr>
                      <w:lang w:val="en-US"/>
                    </w:rPr>
                    <w:t xml:space="preserve">   (R)    260204    270204</w:t>
                  </w:r>
                </w:p>
              </w:txbxContent>
            </v:textbox>
            <w10:wrap anchorx="margin"/>
            <w10:anchorlock/>
          </v:shape>
        </w:pict>
      </w:r>
      <w:r>
        <w:rPr>
          <w:sz w:val="2"/>
          <w:lang w:val="en-US"/>
        </w:rPr>
        <w:t>222222</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03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SR.575</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27 </w:t>
            </w:r>
            <w:r>
              <w:rPr>
                <w:sz w:val="22"/>
                <w:lang w:val="en-US"/>
              </w:rPr>
              <w:t>February</w:t>
            </w:r>
            <w:r>
              <w:rPr>
                <w:sz w:val="22"/>
              </w:rPr>
              <w:t xml:space="preserve"> 200</w:t>
            </w:r>
            <w:r>
              <w:rPr>
                <w:sz w:val="22"/>
                <w:lang w:val="en-US"/>
              </w:rPr>
              <w:t>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первая сессия</w:t>
      </w:r>
    </w:p>
    <w:p w:rsidR="00000000" w:rsidRDefault="00000000">
      <w:pPr>
        <w:jc w:val="center"/>
      </w:pPr>
    </w:p>
    <w:p w:rsidR="00000000" w:rsidRDefault="00000000">
      <w:pPr>
        <w:jc w:val="center"/>
      </w:pPr>
      <w:r>
        <w:t>КРАТКИЙ ОТЧЕТ О 5</w:t>
      </w:r>
      <w:r>
        <w:rPr>
          <w:lang w:val="en-US"/>
        </w:rPr>
        <w:t>7</w:t>
      </w:r>
      <w:r>
        <w:t>5-м ЗАСЕДАНИИ,</w:t>
      </w:r>
    </w:p>
    <w:p w:rsidR="00000000" w:rsidRDefault="00000000">
      <w:pPr>
        <w:jc w:val="center"/>
      </w:pPr>
    </w:p>
    <w:p w:rsidR="00000000" w:rsidRDefault="00000000">
      <w:pPr>
        <w:jc w:val="center"/>
      </w:pPr>
      <w:r>
        <w:t>состоявшемся во Дворце Вильсона в Женеве во вторник,</w:t>
      </w:r>
    </w:p>
    <w:p w:rsidR="00000000" w:rsidRDefault="00000000">
      <w:pPr>
        <w:jc w:val="center"/>
      </w:pPr>
      <w:r>
        <w:t>11 ноября 2003 года, в 10 час. 00 мин.</w:t>
      </w:r>
    </w:p>
    <w:p w:rsidR="00000000" w:rsidRDefault="00000000">
      <w:pPr>
        <w:jc w:val="center"/>
      </w:pPr>
    </w:p>
    <w:p w:rsidR="00000000" w:rsidRDefault="00000000">
      <w:pPr>
        <w:jc w:val="center"/>
      </w:pPr>
      <w:r>
        <w:rPr>
          <w:u w:val="single"/>
        </w:rPr>
        <w:t>Председатель</w:t>
      </w:r>
      <w:r>
        <w:t>:  г-н БЕРНС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Третий периодический доклад Колумбии</w:t>
      </w:r>
      <w:r>
        <w:t xml:space="preserve"> </w:t>
      </w:r>
    </w:p>
    <w:p w:rsidR="00000000" w:rsidRDefault="00000000"/>
    <w:p w:rsidR="00000000" w:rsidRDefault="00000000"/>
    <w:p w:rsidR="00000000" w:rsidRDefault="00000000">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05 мин</w:t>
      </w:r>
      <w:r>
        <w:t>.</w:t>
      </w:r>
    </w:p>
    <w:p w:rsidR="00000000" w:rsidRDefault="00000000">
      <w:pPr>
        <w:pStyle w:val="16"/>
      </w:pPr>
    </w:p>
    <w:p w:rsidR="00000000" w:rsidRDefault="00000000">
      <w:pPr>
        <w:pStyle w:val="FootnoteText"/>
        <w:spacing w:line="288"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pStyle w:val="FootnoteText"/>
        <w:spacing w:line="288" w:lineRule="auto"/>
      </w:pPr>
    </w:p>
    <w:p w:rsidR="00000000" w:rsidRDefault="00000000">
      <w:pPr>
        <w:pStyle w:val="FootnoteText"/>
        <w:spacing w:line="288" w:lineRule="auto"/>
      </w:pPr>
      <w:r>
        <w:tab/>
      </w:r>
      <w:r>
        <w:rPr>
          <w:u w:val="single"/>
        </w:rPr>
        <w:t>Третий периодический доклад Колумбии</w:t>
      </w:r>
      <w:r>
        <w:t xml:space="preserve"> (</w:t>
      </w:r>
      <w:r>
        <w:rPr>
          <w:lang w:val="en-US"/>
        </w:rPr>
        <w:t>CAT</w:t>
      </w:r>
      <w:r>
        <w:t>/</w:t>
      </w:r>
      <w:r>
        <w:rPr>
          <w:lang w:val="en-US"/>
        </w:rPr>
        <w:t>C</w:t>
      </w:r>
      <w:r>
        <w:t>/39/</w:t>
      </w:r>
      <w:r>
        <w:rPr>
          <w:lang w:val="en-US"/>
        </w:rPr>
        <w:t>Add</w:t>
      </w:r>
      <w:r>
        <w:t xml:space="preserve">.4;  </w:t>
      </w:r>
      <w:r>
        <w:rPr>
          <w:lang w:val="en-US"/>
        </w:rPr>
        <w:t>HRI</w:t>
      </w:r>
      <w:r>
        <w:t>/</w:t>
      </w:r>
      <w:r>
        <w:rPr>
          <w:lang w:val="en-US"/>
        </w:rPr>
        <w:t>CORE</w:t>
      </w:r>
      <w:r>
        <w:t>/1/</w:t>
      </w:r>
      <w:r>
        <w:rPr>
          <w:lang w:val="en-US"/>
        </w:rPr>
        <w:t>Add</w:t>
      </w:r>
      <w:r>
        <w:t>.56/</w:t>
      </w:r>
      <w:r>
        <w:rPr>
          <w:lang w:val="en-US"/>
        </w:rPr>
        <w:t>Rev</w:t>
      </w:r>
      <w:r>
        <w:t>.1)</w:t>
      </w:r>
    </w:p>
    <w:p w:rsidR="00000000" w:rsidRDefault="00000000">
      <w:pPr>
        <w:pStyle w:val="FootnoteText"/>
        <w:spacing w:line="288" w:lineRule="auto"/>
      </w:pPr>
    </w:p>
    <w:p w:rsidR="00000000" w:rsidRDefault="00000000">
      <w:pPr>
        <w:pStyle w:val="FootnoteText"/>
        <w:spacing w:line="288" w:lineRule="auto"/>
      </w:pPr>
      <w:r>
        <w:t>1.</w:t>
      </w:r>
      <w:r>
        <w:tab/>
      </w:r>
      <w:r>
        <w:rPr>
          <w:u w:val="single"/>
        </w:rPr>
        <w:t>По приглашению Председателя г-жа Фореро Укрос, г-жа Плата Гомес, г-жа Прието Абад, г-н Кинтеро Кубидес, г-жа Саласар Бланко и г-н Варон Мехия (Колумбия) занимают места за столом Комитета</w:t>
      </w:r>
      <w:r>
        <w:t>.</w:t>
      </w:r>
    </w:p>
    <w:p w:rsidR="00000000" w:rsidRDefault="00000000">
      <w:pPr>
        <w:pStyle w:val="FootnoteText"/>
        <w:spacing w:line="288" w:lineRule="auto"/>
      </w:pPr>
    </w:p>
    <w:p w:rsidR="00000000" w:rsidRDefault="00000000">
      <w:pPr>
        <w:pStyle w:val="FootnoteText"/>
        <w:spacing w:line="288" w:lineRule="auto"/>
      </w:pPr>
      <w:r>
        <w:t>2.</w:t>
      </w:r>
      <w:r>
        <w:tab/>
      </w:r>
      <w:r>
        <w:rPr>
          <w:u w:val="single"/>
        </w:rPr>
        <w:t xml:space="preserve">Г-жа </w:t>
      </w:r>
      <w:proofErr w:type="spellStart"/>
      <w:r>
        <w:rPr>
          <w:u w:val="single"/>
        </w:rPr>
        <w:t>ФОРЕРО</w:t>
      </w:r>
      <w:proofErr w:type="spellEnd"/>
      <w:r>
        <w:rPr>
          <w:u w:val="single"/>
        </w:rPr>
        <w:t xml:space="preserve"> </w:t>
      </w:r>
      <w:proofErr w:type="spellStart"/>
      <w:r>
        <w:rPr>
          <w:u w:val="single"/>
        </w:rPr>
        <w:t>УКРОС</w:t>
      </w:r>
      <w:proofErr w:type="spellEnd"/>
      <w:r>
        <w:t xml:space="preserve"> (Колумбия), представляя третий периодический доклад Колумбии (</w:t>
      </w:r>
      <w:r>
        <w:rPr>
          <w:lang w:val="en-US"/>
        </w:rPr>
        <w:t>CAT</w:t>
      </w:r>
      <w:r>
        <w:t>/</w:t>
      </w:r>
      <w:r>
        <w:rPr>
          <w:lang w:val="en-US"/>
        </w:rPr>
        <w:t>C</w:t>
      </w:r>
      <w:r>
        <w:t>/39/</w:t>
      </w:r>
      <w:r>
        <w:rPr>
          <w:lang w:val="en-US"/>
        </w:rPr>
        <w:t>Add</w:t>
      </w:r>
      <w:r>
        <w:t>.4), говорит, что доклад охватывает период с 1999 по 2001 год.  Сложную ситуацию в области прав человека и международного гуманитарного права в Колумбии нельзя рассматривать в отрыве от превалирующей атмосферы насилия.  Кроме того, следует подчеркнуть, что нормы международного гуманитарного права применяются не только к колумбийским властям, но и к незаконным вооруженным организациям, действующим в стране.  Несмотря на все усилия, предпринимаемые правительством в целях установления мира, повстанцы и вооруженные группы продолжают совершать акты терроризма.  Как отмечено в докладе, большинство актов применения пыток, зарегистрированных в Колумбии в 2000 году, были совершены группами самообороны и повстанцами.  Группы самообороны ни в коем случае не следует рассматривать как инструмент государства.</w:t>
      </w:r>
    </w:p>
    <w:p w:rsidR="00000000" w:rsidRDefault="00000000">
      <w:pPr>
        <w:pStyle w:val="FootnoteText"/>
        <w:spacing w:line="288" w:lineRule="auto"/>
      </w:pPr>
    </w:p>
    <w:p w:rsidR="00000000" w:rsidRDefault="00000000">
      <w:pPr>
        <w:pStyle w:val="FootnoteText"/>
        <w:spacing w:line="288" w:lineRule="auto"/>
      </w:pPr>
      <w:r>
        <w:t>3.</w:t>
      </w:r>
      <w:r>
        <w:tab/>
        <w:t>За отчетный период принят ряд важных законодательных актов, призванных привести внутреннее законодательство и национальные институты в соответствие с международными соглашениями.  В докладе приводится подробное описание новых законов и их влияния.  Кроме того, Комитету следует принять к сведению принятие Закона № 742 о ратификации Римского статута Международного уголовного суда, Закона № 707 о присоединении Колумбии к Межамериканской конвенции о насильственном исчезновении лиц, Закона № 733, предусматривающего меры по искоренению практики похищения людей, терроризма и вымогательства, Закона № 734, содержащего Единый дисциплинарный кодекс, и Закона № 837 о ратификации Международной конвенции о борьбе с захватом заложников.  Предпринимаются также значительные усилия для развития культуры уважения прав человека и норм международного гуманитарного права в рядах полиции и вооруженных сил;  с этой целью 292 326 государственных служащих прошли учебную подготовку по вопросам прав человека.</w:t>
      </w:r>
    </w:p>
    <w:p w:rsidR="00000000" w:rsidRDefault="00000000">
      <w:pPr>
        <w:pStyle w:val="FootnoteText"/>
        <w:spacing w:line="288" w:lineRule="auto"/>
      </w:pPr>
    </w:p>
    <w:p w:rsidR="00000000" w:rsidRDefault="00000000">
      <w:pPr>
        <w:pStyle w:val="FootnoteText"/>
        <w:spacing w:line="288" w:lineRule="auto"/>
      </w:pPr>
      <w:r>
        <w:t>4.</w:t>
      </w:r>
      <w:r>
        <w:tab/>
        <w:t>Положение в колумбийских тюрьмах остается проблематичным, о чем свидетельствуют оценки международных экспертов, посещавших тюрьмы под эгидой Управления Верховного комиссара Организации Объединенных Наций по правам человека, и важнейшее решение, вынесенное колумбийским Конституционным судом.  В связи с этим правительство предпринимает активные усилия в целях организации учебной подготовки по правам человека для сотрудников пенитенциарной системы, создания сети, контролирующей условия содержания в тюрьмах, привлечения внешних подрядчиков для медицинского обслуживания и организации питания заключенных, строительства новых тюрем, разработки специальных стратегий, касающихся таких уязвимых категорий заключенных, как представители коренных народов, престарелые и инвалиды, иностранцы, беременные женщины, кормящие матери и дети в возрасте до трех лет, находящиеся в тюрьмах со своими матерями, а также в целях разработки программ по оказанию помощи заключенным в деле их реинтеграции в общество после освобождения.</w:t>
      </w:r>
    </w:p>
    <w:p w:rsidR="00000000" w:rsidRDefault="00000000">
      <w:pPr>
        <w:pStyle w:val="FootnoteText"/>
        <w:spacing w:line="288" w:lineRule="auto"/>
      </w:pPr>
    </w:p>
    <w:p w:rsidR="00000000" w:rsidRDefault="00000000">
      <w:pPr>
        <w:pStyle w:val="FootnoteText"/>
        <w:spacing w:line="288" w:lineRule="auto"/>
      </w:pPr>
      <w:r>
        <w:t>5.</w:t>
      </w:r>
      <w:r>
        <w:tab/>
      </w:r>
      <w:r>
        <w:rPr>
          <w:u w:val="single"/>
        </w:rPr>
        <w:t>Г-н МАРИНЬО МЕНЕНДЕС</w:t>
      </w:r>
      <w:r>
        <w:t xml:space="preserve">, Докладчик по стране, говорит, что ни в коем случае нельзя допустить, чтобы обстановка вооруженного конфликта в Колумбии позволила забыть о недопустимости любых отступлений от установленных норм международного гуманитарного права.  Совершенно очевидно, что обеспечение законности имеет исключительно важное значение в контексте усилий по искоренению пыток и других злоупотреблений, и в связи с этим он с удовлетворением отмечает, что Конституционный суд вынес целый ряд решений, аннулирующих законодательные положения, которые он признал неконституционными.  Третий периодический доклад Колумбии, который был представлен с пятилетним запозданием, фактически касается периода 1999-2002 годов, хотя в нем содержится мало информации о последней части этого периода.  Поэтому в своих замечаниях он намерен коснуться определенных событий, относящихся к периоду с 2002 года по текущий момент, особенно в связи с тем, что новый президент, избранный в августе 2002 года, приступил к осуществлению политики "демократической безопасности", в связи с которой возникает ряд вопросов, касающихся осуществления Конвенции.  </w:t>
      </w:r>
    </w:p>
    <w:p w:rsidR="00000000" w:rsidRDefault="00000000"/>
    <w:p w:rsidR="00000000" w:rsidRDefault="00000000">
      <w:r>
        <w:t>6.</w:t>
      </w:r>
      <w:r>
        <w:tab/>
        <w:t xml:space="preserve">В отношении статьи 1 Конвенции он с удовлетворением отмечает, что определение пыток в колумбийском законодательстве по крайней мере теоретически соответствует определению, содержащемуся в Конвенции.  Вместе с тем, хотя в пунктах 30 и 64 доклада и отмечаются некоторые позитивные тенденции, имеющие отношение к статье 2, Комитет располагает информацией, полученной от ряда органов системы Организации Объединенных Наций и неправительственных организаций (НПО), которая, как представляется, опровергает утверждение правительства о том, что волна серьезных нарушений прав человека, совершаемых государственными служащими, идет на убыль.  </w:t>
      </w:r>
    </w:p>
    <w:p w:rsidR="00000000" w:rsidRDefault="00000000"/>
    <w:p w:rsidR="00000000" w:rsidRDefault="00000000">
      <w:r>
        <w:t>7.</w:t>
      </w:r>
      <w:r>
        <w:tab/>
        <w:t xml:space="preserve">Например, сообщалось, что в мае 2003 года солдаты 18-й бригады вторглись на территорию коренных общин хульерос, веласкерос, рокерос, </w:t>
      </w:r>
      <w:proofErr w:type="spellStart"/>
      <w:r>
        <w:t>хенарерос</w:t>
      </w:r>
      <w:proofErr w:type="spellEnd"/>
      <w:r>
        <w:t xml:space="preserve"> и </w:t>
      </w:r>
      <w:proofErr w:type="spellStart"/>
      <w:r>
        <w:t>паррерос</w:t>
      </w:r>
      <w:proofErr w:type="spellEnd"/>
      <w:r>
        <w:t xml:space="preserve"> в департаменте Араука, изнасиловали молодую женщину и затем вспороли ей живот, заставили местных жителей бежать из своих домов и изнасиловали трех девушек из числа местных жителей.  Некоторые местные жители были заключены под стражу, обвинены в принадлежности к повстанческим группам и подвергнуты пыткам в целях устрашения местного населения.  Другой инцидент имел место в декабре 2002 года, когда сотрудники полиции ворвались в дом правозащитника Хуана Карлоса </w:t>
      </w:r>
      <w:proofErr w:type="spellStart"/>
      <w:r>
        <w:t>Селиса</w:t>
      </w:r>
      <w:proofErr w:type="spellEnd"/>
      <w:r>
        <w:t xml:space="preserve"> и пытались заставить его признаться в том, что он является террористом.  Когда же он отказался сделать это, его заключили под стражу по обвинениям в участии в повстанческой и террористической деятельности.  В 2003 году до сведения Комитета также доводились сообщения о ряде случаев пыток и исчезновений, ответственность за которые лежит на полувоенных формированиях, однако власти, по всей видимости, не предприняли никаких шагов для расследования обстоятельств этих инцидентов.  Наконец, в добавлении к своему докладу, представленному во исполнение резолюции 2002/38 Комиссии по правам человека (</w:t>
      </w:r>
      <w:r>
        <w:rPr>
          <w:lang w:val="en-US"/>
        </w:rPr>
        <w:t>E</w:t>
      </w:r>
      <w:r>
        <w:t>/</w:t>
      </w:r>
      <w:proofErr w:type="spellStart"/>
      <w:r>
        <w:rPr>
          <w:lang w:val="en-US"/>
        </w:rPr>
        <w:t>CN</w:t>
      </w:r>
      <w:proofErr w:type="spellEnd"/>
      <w:r>
        <w:t>.4/2003/68/</w:t>
      </w:r>
      <w:r>
        <w:rPr>
          <w:lang w:val="en-US"/>
        </w:rPr>
        <w:t>Add</w:t>
      </w:r>
      <w:r>
        <w:t xml:space="preserve">.1), Специальный докладчик по вопросу о пытках отметил, что в феврале 2000 года члены смешанного контингента военнослужащих и полиции принудительно выселили беззащитных представителей коренной общины </w:t>
      </w:r>
      <w:proofErr w:type="spellStart"/>
      <w:r>
        <w:t>Ува</w:t>
      </w:r>
      <w:proofErr w:type="spellEnd"/>
      <w:r>
        <w:t xml:space="preserve"> из </w:t>
      </w:r>
      <w:proofErr w:type="spellStart"/>
      <w:r>
        <w:t>Каноаса</w:t>
      </w:r>
      <w:proofErr w:type="spellEnd"/>
      <w:r>
        <w:t>.  Согласно сообщениям, в ходе этой операции погибли три ребенка и исчезли несколько других лиц.</w:t>
      </w:r>
    </w:p>
    <w:p w:rsidR="00000000" w:rsidRDefault="00000000"/>
    <w:p w:rsidR="00000000" w:rsidRDefault="00000000">
      <w:r>
        <w:t>8.</w:t>
      </w:r>
      <w:r>
        <w:tab/>
      </w:r>
      <w:r>
        <w:rPr>
          <w:u w:val="single"/>
        </w:rPr>
        <w:t>Г-жа ФОРЕРО УКРОС</w:t>
      </w:r>
      <w:r>
        <w:t xml:space="preserve"> (Колумбия) отмечает, что, поскольку доклад, находящийся на рассмотрении Комитета, касается исключительно периода 1999-2001 годов, ее правительство совершенно не готово обсуждать более поздние сообщения.  Кроме того, она желает напомнить Комитету о том, что Колумбия не сделала заявления, предусмотренного в статье 22 Конвенции, и поэтому ее делегация не может вдаваться в подробности отдельных дел.  Вместе с тем она в порядке исключения препроводит вопросы Комитета по только что упомянутым инцидентам властям своей страны и постарается получить ответ.  Она заверяет Комитет в том, что политика демократической безопасности, проводимая правительством Колумбии, предусматривает, в частности, проведение расследований по любым нарушениям, допускаемым государственными служащими.  </w:t>
      </w:r>
    </w:p>
    <w:p w:rsidR="00000000" w:rsidRDefault="00000000"/>
    <w:p w:rsidR="00000000" w:rsidRDefault="00000000">
      <w:pPr>
        <w:rPr>
          <w:lang w:val="en-US"/>
        </w:rPr>
      </w:pPr>
      <w:r>
        <w:t>9.</w:t>
      </w:r>
      <w:r>
        <w:tab/>
      </w:r>
      <w:r>
        <w:rPr>
          <w:u w:val="single"/>
        </w:rPr>
        <w:t>ПРЕДСЕДАТЕЛЬ</w:t>
      </w:r>
      <w:r>
        <w:t xml:space="preserve"> отмечает, что рассмотрение любого вопроса, относящегося к кругу ведения Комитета, вне зависимости от того, когда имело место то или иное конкретное событие, является обычной практикой Комитета.  Кроме того, ни одно государство-участник никогда не возражало против вопросов по отдельным инцидентам, которые призваны внести ясность в том или ином конкретном аспекте.</w:t>
      </w:r>
    </w:p>
    <w:p w:rsidR="00000000" w:rsidRDefault="00000000"/>
    <w:p w:rsidR="00000000" w:rsidRDefault="00000000">
      <w:r>
        <w:t>10.</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w:t>
      </w:r>
      <w:proofErr w:type="spellEnd"/>
      <w:r>
        <w:rPr>
          <w:u w:val="single"/>
          <w:lang w:val="en-US"/>
        </w:rPr>
        <w:t>C</w:t>
      </w:r>
      <w:r>
        <w:t xml:space="preserve">, указывая на обязательство государства-участника предпринимать эффективные законодательные, административные и судебные меры для предупреждения актов пыток, спрашивает, считает ли колумбийская делегация, что меры, предпринимаемые в последнее время, действительно являются эффективными для достижения этой цели.  На самом деле можно утверждать, что некоторые из этих мер фактически повышают риск применения пыток в отношении гражданских лиц.  Так, формирование военизированных подразделений путем набора в них крестьян и создание сетей гражданских осведомителей представляется весьма сомнительной практикой.  Устанавливая столь тесную связь между определенными представителями гражданского населения и государством, правительство невольно превращает этих лиц в объекты для нападений со стороны групп самообороны и повстанцев.  В какой мере власти контролируют деятельность военизированных подразделений, сформированных из крестьян, и каким образом используется информация, поступающая от сетей осведомителей?  </w:t>
      </w:r>
    </w:p>
    <w:p w:rsidR="00000000" w:rsidRDefault="00000000"/>
    <w:p w:rsidR="00000000" w:rsidRDefault="00000000">
      <w:r>
        <w:t>11.</w:t>
      </w:r>
      <w:r>
        <w:tab/>
        <w:t>В статье 32 нового Уголовного кодекса, а также в новом Военно-уголовном кодексе затрагивается вопрос о должном повиновении приказам как оправдании актов, которые могут характеризоваться как пытки или бесчеловечное обращение.  В них говорится, что лицо, совершившее наказуемое деяние, может быть освобождено от уголовной ответственности, если это деяние было совершено в порядке выполнения законного приказа, отданного компетентным органом с соблюдением законных формальностей.  Он желает знать, выносили ли органы военной юстиции какие-либо судебные решения в отношении должного подчинения приказам после принятия нового Кодекса.</w:t>
      </w:r>
    </w:p>
    <w:p w:rsidR="00000000" w:rsidRDefault="00000000"/>
    <w:p w:rsidR="00000000" w:rsidRDefault="00000000">
      <w:r>
        <w:t>12.</w:t>
      </w:r>
      <w:r>
        <w:tab/>
        <w:t>По имеющимся сообщениям, проект закона № 223/2003 предусматривает наделение вооруженных сил полномочиями судебной полиции, включая право задерживать лиц на срок до шести суток без препровождения их в суд.  Он просит сообщить, в какой стадии находится этот законопроект, и спрашивает, содержит ли он по</w:t>
      </w:r>
      <w:r>
        <w:noBreakHyphen/>
        <w:t xml:space="preserve">прежнему такие ограничения в отношении принципа </w:t>
      </w:r>
      <w:proofErr w:type="spellStart"/>
      <w:r>
        <w:t>хабеас</w:t>
      </w:r>
      <w:proofErr w:type="spellEnd"/>
      <w:r>
        <w:t xml:space="preserve"> корпус, который является основным и не допускающим отступлений правом, в том числе в рамках межамериканской системы прав человека.  Если эти сообщения верны, то это значит, что государство-участник вводит меры, которые поощряют применение пыток третьими сторонами.</w:t>
      </w:r>
    </w:p>
    <w:p w:rsidR="00000000" w:rsidRDefault="00000000"/>
    <w:p w:rsidR="00000000" w:rsidRDefault="00000000">
      <w:r>
        <w:t>13.</w:t>
      </w:r>
      <w:r>
        <w:tab/>
        <w:t>Имеются сообщения, что в октябре 2002 года правительство представило законопроект о проведении судебной реформы, который вводит ограничения в отношении обращения с ходатайствами о судебной защите в Конституционный суд ("ампаро") и правомочий Суда рассматривать вопрос о законности введения чрезвычайного положения.  Он желает знать, в какой стадии находится этот законопроект, и просит представить подробные сведения о предусматриваемых в нем ограничениях в отношении процедуры "ампаро", предусматриваемых в нем.</w:t>
      </w:r>
    </w:p>
    <w:p w:rsidR="00000000" w:rsidRDefault="00000000"/>
    <w:p w:rsidR="00000000" w:rsidRDefault="00000000">
      <w:r>
        <w:t>14.</w:t>
      </w:r>
      <w:r>
        <w:tab/>
        <w:t xml:space="preserve">Переходя к статье 3 Конвенции, он указывает на закон № 250/2002, вводящий в действие положения Конвенции о статусе беженцев 1951 года и Протокола 1967 года к ней.  Согласно сообщениям, этот закон ограничивает сферу применения принципа невысылки случаями наличия угрозы жизни соответствующего лица и не содержит положения о пытках.  Любое такое упущение нужно было бы ликвидировать.  Кроме того, в докладе государства-участника приводится мало информации по вопросу по невысылке.  Он просит представить информацию о каких-либо случаях обращения иностранцев в колумбийские суды с опротестованием постановлений о выдворении или высылке, вынесенных в нарушение статьи 3 Конвенции. </w:t>
      </w:r>
    </w:p>
    <w:p w:rsidR="00000000" w:rsidRDefault="00000000"/>
    <w:p w:rsidR="00000000" w:rsidRDefault="00000000">
      <w:r>
        <w:t>15.</w:t>
      </w:r>
      <w:r>
        <w:tab/>
        <w:t xml:space="preserve">Статьи 2 и 4 Конвенции связаны между собой, особенно в том, что касается безнаказанности.  Согласно Закону № 522 1999 года, новый Военно-уголовный кодекс исключает из сферы компетенции органов военной юстиции такие преступления, как пытки, насильственные исчезновения, которые квалифицировались на многих международных форумах как одна из форм пыток и геноцид.  Кроме того, в одном из своих решений Конституционный суд указал, что военные суды неправомочны рассматривать дела, касающиеся нарушений прав человека.  Какие критерии применяет Высший судебный совет в случае </w:t>
      </w:r>
      <w:proofErr w:type="spellStart"/>
      <w:r>
        <w:t>юрисдикционной</w:t>
      </w:r>
      <w:proofErr w:type="spellEnd"/>
      <w:r>
        <w:t xml:space="preserve"> коллизии при принятии решения о том, следует ли рассматривать определенное дело в военном или обычном суде?  Достаточно ли постановления прокуратуры об отказе от уголовной юрисдикции обычных судов в пользу юрисдикции военных судов, чтобы последние рассматривали соответствующие дела, например в случаях пыток и последующих внесудебных казней?</w:t>
      </w:r>
    </w:p>
    <w:p w:rsidR="00000000" w:rsidRDefault="00000000"/>
    <w:p w:rsidR="00000000" w:rsidRDefault="00000000">
      <w:r>
        <w:t>16.</w:t>
      </w:r>
      <w:r>
        <w:tab/>
        <w:t>Согласно сообщениям, 21 августа 2003 года в  конгресс представлен законопроект, согласно которому лица, осужденные за совершение серьезных нарушений прав человека, будут освобождаться от отбытия наказаний.  Кроме того, сообщается, что статья 13 Закона № 128 от 22 января 2003 года предусматривает право на помилование, условную отсрочку исполнения приговора и другие юридические льготы для демобилизованных лиц, которые были членами незаконных вооруженных формирований и пожелали сложить оружие.  Он спрашивает, в какой стадии находится рассмотрение этого законопроекта в конгрессе и могут ли быть помилованы или амнистированы лица, совершившие тяжкие преступления, включая пытки.</w:t>
      </w:r>
    </w:p>
    <w:p w:rsidR="00000000" w:rsidRDefault="00000000"/>
    <w:p w:rsidR="00000000" w:rsidRDefault="00000000">
      <w:r>
        <w:t>17.</w:t>
      </w:r>
      <w:r>
        <w:tab/>
        <w:t xml:space="preserve">Со стороны организации "Международная амнистия" поступили тревожные сообщения о том, что старшие офицеры вооруженных сил, которые, как утверждаются, являются ответственными за совершение серьезных нарушений норм гуманитарного права, до сих пор не привлечены к ответственности.  В этой связи он, в частности, желает знать, были ли приняты какие-либо судебные или дисциплинарные меры в отношении </w:t>
      </w:r>
      <w:proofErr w:type="spellStart"/>
      <w:r>
        <w:t>Родриго</w:t>
      </w:r>
      <w:proofErr w:type="spellEnd"/>
      <w:r>
        <w:t xml:space="preserve"> Киньонеса </w:t>
      </w:r>
      <w:proofErr w:type="spellStart"/>
      <w:r>
        <w:t>Карденаса</w:t>
      </w:r>
      <w:proofErr w:type="spellEnd"/>
      <w:r>
        <w:t>.</w:t>
      </w:r>
    </w:p>
    <w:p w:rsidR="00000000" w:rsidRDefault="00000000"/>
    <w:p w:rsidR="00000000" w:rsidRDefault="00000000">
      <w:r>
        <w:t>18.</w:t>
      </w:r>
      <w:r>
        <w:tab/>
        <w:t xml:space="preserve">Переходя к статье 5 Конвенции, он говорит, что власти, по всей видимости, терпимо относятся к полувоенным группам, поскольку они не привлекают к ответственности лидеров таких групп, подозреваемых в совершении массовых убийств.  Например, Карлос Кастаньо фактически был амнистирован, хотя его имя связано со случаями совершения массовых убийств, один из которых имел место в </w:t>
      </w:r>
      <w:proofErr w:type="spellStart"/>
      <w:r>
        <w:t>Ель-Саладо</w:t>
      </w:r>
      <w:proofErr w:type="spellEnd"/>
      <w:r>
        <w:t xml:space="preserve"> в 2000 году.  Он спрашивает, не обусловлена ли безнаказанность таких лиц какими-либо особыми обстоятельствами.</w:t>
      </w:r>
    </w:p>
    <w:p w:rsidR="00000000" w:rsidRDefault="00000000"/>
    <w:p w:rsidR="00000000" w:rsidRDefault="00000000">
      <w:r>
        <w:t>19.</w:t>
      </w:r>
      <w:r>
        <w:tab/>
        <w:t>Предметом озабоченности является также положение правозащитников в Колумбии.  Хотя в докладе государства-участника и описывается ряд мер, направленных на обеспечение защиты борцов за права человека, свидетелей и жертв, продолжают поступать сообщения об угрозах в адрес таких лиц и покушениях на их жизнь.  Он просит представить подробную информацию о судебных преследованиях против авторов подобных актов.</w:t>
      </w:r>
    </w:p>
    <w:p w:rsidR="00000000" w:rsidRDefault="00000000"/>
    <w:p w:rsidR="00000000" w:rsidRDefault="00000000">
      <w:r>
        <w:t>20.</w:t>
      </w:r>
      <w:r>
        <w:tab/>
        <w:t>Что касается статьи 6 Конвенции, то он просит представить статистические данные о количестве лиц, содержащихся под стражей в ожидании суда.</w:t>
      </w:r>
    </w:p>
    <w:p w:rsidR="00000000" w:rsidRDefault="00000000"/>
    <w:p w:rsidR="00000000" w:rsidRDefault="00000000">
      <w:r>
        <w:t>21.</w:t>
      </w:r>
      <w:r>
        <w:tab/>
        <w:t>В отношении вопроса об экстрадиции он отмечает, что в результате принятия поправки к статье 35 Конституции в 1997 году колумбийцев могут выдавать третьим странам.  Какова обычная практики в этой области и сколько случаев экстрадиции имело место по сей день?</w:t>
      </w:r>
    </w:p>
    <w:p w:rsidR="00000000" w:rsidRDefault="00000000"/>
    <w:p w:rsidR="00000000" w:rsidRDefault="00000000">
      <w:r>
        <w:t>22.</w:t>
      </w:r>
      <w:r>
        <w:tab/>
        <w:t>Гарантии, обеспечиваемые государством-участником согласно Конвенции, можно будет усилить, если Колумбия сделает заявления по статьям 21 и 22 и ратифицирует Факультативный протокол к Конвенции.</w:t>
      </w:r>
    </w:p>
    <w:p w:rsidR="00000000" w:rsidRDefault="00000000"/>
    <w:p w:rsidR="00000000" w:rsidRDefault="00000000">
      <w:r>
        <w:t>23.</w:t>
      </w:r>
      <w:r>
        <w:tab/>
      </w:r>
      <w:r>
        <w:rPr>
          <w:u w:val="single"/>
        </w:rPr>
        <w:t>Г-н РАСМУССЕН</w:t>
      </w:r>
      <w:r>
        <w:t>, заместитель Докладчика по стране, выражает сожаление по поводу того, что доклад государства-участника был получен с пятилетним опозданием и не в полной мере соответствует руководящим принципам составления докладов, сформулированным Комитетом, поскольку в нем не приведено достаточного числа практических примеров осуществления Конвенции.</w:t>
      </w:r>
    </w:p>
    <w:p w:rsidR="00000000" w:rsidRDefault="00000000"/>
    <w:p w:rsidR="00000000" w:rsidRDefault="00000000">
      <w:r>
        <w:t>24.</w:t>
      </w:r>
      <w:r>
        <w:tab/>
        <w:t>При рассмотрении предыдущего периодического доклада Колумбии (</w:t>
      </w:r>
      <w:r>
        <w:rPr>
          <w:lang w:val="en-US"/>
        </w:rPr>
        <w:t>CAT</w:t>
      </w:r>
      <w:r>
        <w:t>/</w:t>
      </w:r>
      <w:r>
        <w:rPr>
          <w:lang w:val="en-US"/>
        </w:rPr>
        <w:t>C</w:t>
      </w:r>
      <w:r>
        <w:t>/20/</w:t>
      </w:r>
      <w:r>
        <w:rPr>
          <w:lang w:val="en-US"/>
        </w:rPr>
        <w:t>Add</w:t>
      </w:r>
      <w:r>
        <w:t>.4) Комитет подчеркнул важность организации учебных курсов по вопросу о запрещении пыток для медицинского персонала, который должен обучаться не только распознаванию жертв пыток, но и оказанию содействия в искоренении практики пыток.</w:t>
      </w:r>
    </w:p>
    <w:p w:rsidR="00000000" w:rsidRDefault="00000000">
      <w:r>
        <w:t>В последнем докладе он не нашел ответа на этот вопрос.  Исключительно важно, чтобы медицинское освидетельствование проводилось сразу после поступления задержанного в пенитенциарное учреждение.  Следует обеспечить проведение расследований по заявлениям о жестоком обращении, а также регистрацию медицинских заключений.  Подробные руководящие положения содержатся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которое было одобрено Генеральной Ассамблеей Организации Объединенных Наций в 2000 году.</w:t>
      </w:r>
    </w:p>
    <w:p w:rsidR="00000000" w:rsidRDefault="00000000"/>
    <w:p w:rsidR="00000000" w:rsidRDefault="00000000">
      <w:r>
        <w:t>25.</w:t>
      </w:r>
      <w:r>
        <w:tab/>
        <w:t>В докладе приводится впечатляющий перечень учебных курсов по правам человека, однако слово "пытки" не упоминается в этом контексте.  Какое количество курсов посвящено запрещению пыток, как того требует статья 10 Конвенции?  Используется ли в ходе их проведения опыт, накопленный национальным центром по реабилитации жертв пыток?</w:t>
      </w:r>
    </w:p>
    <w:p w:rsidR="00000000" w:rsidRDefault="00000000"/>
    <w:p w:rsidR="00000000" w:rsidRDefault="00000000">
      <w:r>
        <w:t>26.</w:t>
      </w:r>
      <w:r>
        <w:tab/>
        <w:t>В своих заключительных замечаниях и рекомендациях по предыдущему докладу Колумбии Комитет рекомендовал государству-участнику систематически рассматривать правила, методы и практику, указанные в статье 11 Конвенции.  Однако в пункте 261 рассматриваемого доклада лишь говорится, что условия содержание под стражей лиц, подвергнутых аресту, задержанию или заключению, и порядок обращения с ними, являются одной из основных забот правительства страны и государства в целом.  Он просит представить подробную информацию о том, каким образом контролируются условия, особенно содержания под стражей в ожидании суда, а также статистические данные о численности заключенных в разбивке по полу и возрасту и информацию о случаях насилия между заключенными и сексуальных надругательств в тюрьмах.</w:t>
      </w:r>
    </w:p>
    <w:p w:rsidR="00000000" w:rsidRDefault="00000000"/>
    <w:p w:rsidR="00000000" w:rsidRDefault="00000000">
      <w:r>
        <w:t>27.</w:t>
      </w:r>
      <w:r>
        <w:tab/>
        <w:t>Он отмечает, что государство-участник планирует строительство новых тюрем для решения проблемы переполненности пенитенциарных учреждений, и предлагает, чтобы государство-участник рассмотрело также возможность введения альтернатив тюремному заключению.</w:t>
      </w:r>
    </w:p>
    <w:p w:rsidR="00000000" w:rsidRDefault="00000000"/>
    <w:p w:rsidR="00000000" w:rsidRDefault="00000000">
      <w:r>
        <w:t>28.</w:t>
      </w:r>
      <w:r>
        <w:tab/>
        <w:t>В пункте 94 доклада говорится, что подразделения разведки и контрразведки Национального института по делам пенитенциарных учреждений (ИНПЕК) оказывают поддержку канцелярии омбудсмена в осуществлении надзора за условиями содержания под стражей и правовым статусом задержанных.  Занимаются ли соответствующие органы посещением тюрем и публикацией отчетов?</w:t>
      </w:r>
    </w:p>
    <w:p w:rsidR="00000000" w:rsidRDefault="00000000"/>
    <w:p w:rsidR="00000000" w:rsidRDefault="00000000">
      <w:r>
        <w:t>29.</w:t>
      </w:r>
      <w:r>
        <w:tab/>
        <w:t>Он просит представить информацию о процедурах подачи жалоб лицами, содержащимися под стражей.  Имеется ли возможность беспрепятственной подачи конфиденциальной жалобы омбудсмену, или же жалобы передаются через органы тюремной администрации, в результате чего авторы подвергаются риску репрессий?</w:t>
      </w:r>
    </w:p>
    <w:p w:rsidR="00000000" w:rsidRDefault="00000000"/>
    <w:p w:rsidR="00000000" w:rsidRDefault="00000000">
      <w:r>
        <w:t>30.</w:t>
      </w:r>
      <w:r>
        <w:tab/>
        <w:t xml:space="preserve">Согласно информации Специального докладчика по вопросу о пытках, уровень медицинского обслуживания в колумбийских тюрьмах ниже общего уровня медицинского обслуживания населения страны.  Он спрашивает, связано ли это с нехваткой финансовых ресурсов или с трудностями набора квалифицированного медицинского персонала.  </w:t>
      </w:r>
    </w:p>
    <w:p w:rsidR="00000000" w:rsidRDefault="00000000"/>
    <w:p w:rsidR="00000000" w:rsidRDefault="00000000">
      <w:r>
        <w:t>31.</w:t>
      </w:r>
      <w:r>
        <w:tab/>
        <w:t xml:space="preserve">После рассмотрения предыдущего доклада Колумбии Комитет рекомендовал государству-участнику обеспечить проведение оперативных и беспристрастных расследований в связи с сообщениями о пытках.  По-прежнему неясно, какое количество случаев, упомянутых в рассматриваемом докладе, связано с применением пыток и каков результат проведенных расследований. </w:t>
      </w:r>
    </w:p>
    <w:p w:rsidR="00000000" w:rsidRDefault="00000000"/>
    <w:p w:rsidR="00000000" w:rsidRDefault="00000000">
      <w:r>
        <w:t>32.</w:t>
      </w:r>
      <w:r>
        <w:tab/>
        <w:t>В заключительных замечаниях, составленных Комитетом по правам человека в отношении четвертого периодического доклада Колумбии (</w:t>
      </w:r>
      <w:r>
        <w:rPr>
          <w:lang w:val="en-US"/>
        </w:rPr>
        <w:t>CCPR</w:t>
      </w:r>
      <w:r>
        <w:t>/</w:t>
      </w:r>
      <w:r>
        <w:rPr>
          <w:lang w:val="en-US"/>
        </w:rPr>
        <w:t>C</w:t>
      </w:r>
      <w:r>
        <w:t>/79/</w:t>
      </w:r>
      <w:r>
        <w:rPr>
          <w:lang w:val="en-US"/>
        </w:rPr>
        <w:t>Add</w:t>
      </w:r>
      <w:r>
        <w:t>.76) в апреле 1997 года, Комитет с большой обеспокоенностью отметил, что безнаказанность по</w:t>
      </w:r>
      <w:r>
        <w:noBreakHyphen/>
        <w:t>прежнему остается широко распространенным явлением, особенно среди военнослужащих.  Он рекомендовал расследовать случаи оказания поддержки полувоенным группировкам со стороны военнослужащих и привлечь к ответственности виновных, а также принять решительные меры для борьбы с безнаказанностью.  В своих заключительных замечаниях в отношении второго периодического доклада Колумбии (</w:t>
      </w:r>
      <w:proofErr w:type="spellStart"/>
      <w:r>
        <w:rPr>
          <w:lang w:val="en-US"/>
        </w:rPr>
        <w:t>CRC</w:t>
      </w:r>
      <w:proofErr w:type="spellEnd"/>
      <w:r>
        <w:t>/</w:t>
      </w:r>
      <w:r>
        <w:rPr>
          <w:lang w:val="en-US"/>
        </w:rPr>
        <w:t>C</w:t>
      </w:r>
      <w:r>
        <w:t>/15/</w:t>
      </w:r>
      <w:r>
        <w:rPr>
          <w:lang w:val="en-US"/>
        </w:rPr>
        <w:t>Add</w:t>
      </w:r>
      <w:r>
        <w:t>.137), принятых в октябре 2000 года, Комитет по правам ребенка вновь высказал озабоченность в связи с грубыми нарушениями прав человека в отношении детей и сообщениями об актах пыток и жестокого обращения, совершаемых сотрудниками полиции и/или членами полувоенных групп в отношении беспризорных детей.  Комитет настоятельно призвал государство-участник принять эффективные меры, обеспечивающие должное реагирование на такие деяния, и разработать программы ухода и реабилитации детей - жертв пыток и жестокого обращения.  Выступающий просит сообщить, какие меры были приняты Колумбией в ответ на рекомендации этих двух договорных органов.</w:t>
      </w:r>
    </w:p>
    <w:p w:rsidR="00000000" w:rsidRDefault="00000000"/>
    <w:p w:rsidR="00000000" w:rsidRDefault="00000000">
      <w:r>
        <w:t>33.</w:t>
      </w:r>
      <w:r>
        <w:tab/>
        <w:t>Согласно пункту 265 доклада, прокурор и генеральный директор прокуратуры отбирают дела, связанные с применением пыток, для рассмотрения на основе ряда критериев, к числу которых относятся следующие:  является ли предполагаемый правонарушитель представителем государственного органа, частным лицом, которому попустительствовали представители государства, членом подрывной группировки или группы самообороны или, что не менее серьезно, частным лицом, занимающим высокое социальное положение.  Делегации следует представить дополнительные сведения о действующем законодательстве, регламентирующем порядок обращения с правонарушителями, и, в частности, указать, меняется ли режим обращения с лицами, обвиняемыми в совершении пыток, в зависимости от их социального положения.</w:t>
      </w:r>
    </w:p>
    <w:p w:rsidR="00000000" w:rsidRDefault="00000000"/>
    <w:p w:rsidR="00000000" w:rsidRDefault="00000000">
      <w:r>
        <w:t>34.</w:t>
      </w:r>
      <w:r>
        <w:tab/>
        <w:t>В своих заключительных замечаниях в отношении предыдущего доклада Колумбии Комитет предложил государству-участнику восстановить монополию государства на применение силы, распустить все вооруженные гражданские или полувоенные группы и обеспечить незамедлительное проведение объективных расследований в связи с сообщениями о применении пыток.  Однако последние сообщения от НПО показывают, что действия армии не контролируются и что случаи применения пыток, произвольные убийства, исчезновения и безнаказанность по</w:t>
      </w:r>
      <w:r>
        <w:noBreakHyphen/>
        <w:t>прежнему остаются широко распространенным явлением.  Он спрашивает, предпринимает ли правительство какие-либо меры для того, чтобы поставить гражданское общество под контроль хорошо подготовленных и организованных полицейских сил, но не армии.  Вооруженные силы - это худшее, что может использоваться для поддержания контроля над гражданским обществом.</w:t>
      </w:r>
    </w:p>
    <w:p w:rsidR="00000000" w:rsidRDefault="00000000"/>
    <w:p w:rsidR="00000000" w:rsidRDefault="00000000">
      <w:r>
        <w:t>35.</w:t>
      </w:r>
      <w:r>
        <w:tab/>
        <w:t>Насколько ему известно, колумбийское правительство никогда не вносило взносов в Фонд добровольных взносов Организации Объединенных Наций для жертв пыток.  Этот Фонд, со своей стороны, неоднократно выделял субсидии для НПО, работающих в интересах жертв пыток в Колумбии.  Он хотел бы узнать, намерено ли правительство внести какие-либо взносы либо в бюджет организаций, работающих с жертвами пыток в Колумбии, либо в Фонд.</w:t>
      </w:r>
    </w:p>
    <w:p w:rsidR="00000000" w:rsidRDefault="00000000"/>
    <w:p w:rsidR="00000000" w:rsidRDefault="00000000">
      <w:r>
        <w:t>36.</w:t>
      </w:r>
      <w:r>
        <w:tab/>
        <w:t xml:space="preserve">В пункте 256 </w:t>
      </w:r>
      <w:r>
        <w:rPr>
          <w:lang w:val="en-US"/>
        </w:rPr>
        <w:t>d</w:t>
      </w:r>
      <w:r>
        <w:t>) доклада указано, что доказательства, не способствующие установлению истины в отношении фактической стороны дела, или те, которые были добыты незаконным путем, не принимаются.  Означает ли это, что новый Уголовно-процессуальный кодекс содержит положение, которое предусматривает, что заявления, сделанные в результате применения пыток, не могут использоваться в качестве доказательства в суде?</w:t>
      </w:r>
    </w:p>
    <w:p w:rsidR="00000000" w:rsidRDefault="00000000"/>
    <w:p w:rsidR="00000000" w:rsidRDefault="00000000">
      <w:r>
        <w:t>37.</w:t>
      </w:r>
      <w:r>
        <w:tab/>
        <w:t>Он отмечает, что в докладе отсутствует информация о конкретных мерах, предпринимаемых для предотвращения актов жестокого, бесчеловечного или унижающего достоинство обращения или наказания.  Вместе с тем, согласно сообщениям НПО, применение пыток в Колумбии является систематической практикой.  Он выражает сожаление по поводу того, что Колумбия не сделала заявления по статье 22 Конвенции, и настоятельно призывает правительство страны сделать это, а также рассмотреть вопрос о ратификации Факультативного протокола к Конвенции.</w:t>
      </w:r>
    </w:p>
    <w:p w:rsidR="00000000" w:rsidRDefault="00000000"/>
    <w:p w:rsidR="00000000" w:rsidRDefault="00000000">
      <w:r>
        <w:t>38.</w:t>
      </w:r>
      <w:r>
        <w:tab/>
      </w:r>
      <w:r>
        <w:rPr>
          <w:u w:val="single"/>
        </w:rPr>
        <w:t>Г-н ЯКОВЛЕВ</w:t>
      </w:r>
      <w:r>
        <w:t xml:space="preserve"> говорит, что доклад отражает наличие у правительства большой политической воли к выполнению положений Конвенции.  Он приветствует тот факт, что в пункт 27 доклада включены таблицы, показывающие количество жертв пыток за период с 1997 по 2000 годы.</w:t>
      </w:r>
      <w:r>
        <w:rPr>
          <w:lang w:val="en-US"/>
        </w:rPr>
        <w:t xml:space="preserve">  </w:t>
      </w:r>
      <w:r>
        <w:t>Вместе с тем он хотел бы знать, почему имело место столь тревожное увеличение числа жертв в 1999 году.  Он хотел бы также знать, сколько случаев было зарегистрировано с 2000 года.  Наконец, было бы полезно знать, какие критерии использовались для определения категорий жертв.</w:t>
      </w:r>
    </w:p>
    <w:p w:rsidR="00000000" w:rsidRDefault="00000000"/>
    <w:p w:rsidR="00000000" w:rsidRDefault="00000000">
      <w:r>
        <w:t>39.</w:t>
      </w:r>
      <w:r>
        <w:tab/>
      </w:r>
      <w:r>
        <w:rPr>
          <w:u w:val="single"/>
        </w:rPr>
        <w:t>Г-жа ГАЕР</w:t>
      </w:r>
      <w:r>
        <w:t xml:space="preserve"> повторяет просьбу г-на Яковлева относительно представления дополнительной статистической информации о жертвах пыток и предлагает дезагрегировать ее по признаку пола, регионам и типам ответственных государственных органов.  Следует также представить дополнительную информацию о случаях сексуального насилия в тюрьмах и других государственных учреждениях, а также о том, созданы ли какие-либо механизмы контроля для обеспечения защиты потенциальных жертв.</w:t>
      </w:r>
    </w:p>
    <w:p w:rsidR="00000000" w:rsidRDefault="00000000"/>
    <w:p w:rsidR="00000000" w:rsidRDefault="00000000">
      <w:r>
        <w:t>40.</w:t>
      </w:r>
      <w:r>
        <w:tab/>
        <w:t>В своем недавнем докладе организация "Международная амнистия" отметила, что сохранение юрисдикции военных судов над делами об изнасиловании может способствовать продолжению практики совершения половых преступлений как части стратегии борьбы против повстанцев.  Выступающая спрашивает, считает ли делегация такую оценку ситуации правильной, и если да, то какие меры предпринимаются для привлечения преступников к ответственности и искоренения практики изнасилований и половых преступлений как элементов этой стратегии.  Было бы также полезно знать, как правительство отреагировало на рекомендации, содержащиеся в докладе Специального докладчика Комиссии по правам человека по вопросу о насилии в отношении женщин, который был составлен по итогам ее визита в Колумбию в 2001 году (E/CN.4/2002/83/Add.3), и выполняет их.  Согласно информации, полученной Комитетом, правительство пока вообще не приняло никаких мер.</w:t>
      </w:r>
    </w:p>
    <w:p w:rsidR="00000000" w:rsidRDefault="00000000"/>
    <w:p w:rsidR="00000000" w:rsidRDefault="00000000">
      <w:r>
        <w:t>41.</w:t>
      </w:r>
      <w:r>
        <w:tab/>
        <w:t>В пункте 77 доклада указано, что в связи с неоднократными просьбами правозащитных НПО о том, чтобы их членов исключили из донесений военной разведки, правительство страны изучает возможности приведения практики и методов военной разведки в отношении граждан в соответствие с постановлениями Конституционного суда по этому вопросу.  Она хотела бы знать, завершено ли это изучение после представления доклада и подготовило ли или осуществляет ли правительство какие-либо рекомендации в этой области.</w:t>
      </w:r>
    </w:p>
    <w:p w:rsidR="00000000" w:rsidRDefault="00000000"/>
    <w:p w:rsidR="00000000" w:rsidRDefault="00000000">
      <w:r>
        <w:t>42.</w:t>
      </w:r>
      <w:r>
        <w:tab/>
        <w:t>Она приветствует принятие ряда инициатив в рамках программы обеспечения защиты борцов за права человека.  Для нее было особенно интересно узнать, что были приняты меры для расширения сети связи в целях повышения уровня безопасности лиц, охватываемых этой программой.  Она хотела бы знать количество просьб о помощи по линии этой программы, характер жалоб, ответ властей и конечный результат.</w:t>
      </w:r>
    </w:p>
    <w:p w:rsidR="00000000" w:rsidRDefault="00000000"/>
    <w:p w:rsidR="00000000" w:rsidRDefault="00000000">
      <w:r>
        <w:t>43.</w:t>
      </w:r>
      <w:r>
        <w:tab/>
        <w:t>Согласно сообщениям организации "Международная амнистия", события, имевшие место в Колумбии после занятия Луисом Камило Осорио должности Генерального прокурора, свидетельствуют о явно негативном отношении к расследованиям, связанным с нарушениями прав человека, и о предпринимаемых попытках очистить Генеральную прокуратуру от лиц, желающих проводить такие расследования.  Сообщается, что ряд сотрудников Отдела прав человека прокуратуры подверглись угрозам и были вынуждены оставить свои посты, а Генеральный прокурор не принял никаких мер для их защиты.  Если эти сообщения верны, то она хотела бы знать, какие меры предпринимаются для защиты поборников прав человека на уровне правительства.  Было бы особенно интересно знать, разработаны ли для государственных служащих какие-либо новаторские методы, аналогичные тем, которые описаны в пунктах 70 и 71 доклада.</w:t>
      </w:r>
    </w:p>
    <w:p w:rsidR="00000000" w:rsidRDefault="00000000"/>
    <w:p w:rsidR="00000000" w:rsidRDefault="00000000">
      <w:r>
        <w:t>44.</w:t>
      </w:r>
      <w:r>
        <w:tab/>
        <w:t>Правительство, по всей видимости, предпринимает немалые усилия для обеспечения подготовки по вопросам прав человека для сотрудников полиции и служащих вооруженных сил.  На нее произвел особое впечатление тот факт, что за время прохождения подготовки офицера, унтер-офицера и оперативного сотрудника каждый колумбийский полицейский и военнослужащий ежегодно имеет в среднем 90 часов занятий по вопросам прав человека и международного гуманитарного права.  Она хотела бы получить информацию об объеме времени, посвященном вопросам запрещения пыток и жестокого обращения.  Она хотела бы также получить сведения о географическом распределении лиц, проходящих такую подготовку.  В пункте 64 доклада указано, что в результате осуществления программы подготовки сократилось количество жалоб на нарушения прав человека и норм международного права, совершаемые служащими вооруженных сил.  Было бы полезно знать, каким образом государство пришло к этому заключению.  В докладе далее указано, что количество обвинений военнослужащих в связи с предполагаемыми нарушениями прав человека невелико:  за период с 1995 по 2001 год было обвинено, по всей видимости, всего 188 военнослужащих.  Она спрашивает, связаны ли эти обвинения с применением пыток и были ли приговорены кто-либо из этих обвиняемых к тюремному заключению.</w:t>
      </w:r>
    </w:p>
    <w:p w:rsidR="00000000" w:rsidRDefault="00000000"/>
    <w:p w:rsidR="00000000" w:rsidRDefault="00000000">
      <w:r>
        <w:t>45.</w:t>
      </w:r>
      <w:r>
        <w:tab/>
        <w:t>Она отмечает, что ее ужасает огромное число полученных сообщений о нарушениях прав человека, которым подвергаются дети-солдаты, но вместе с тем ее обнадежило сообщение о том, что правительство издало постановление о демобилизации из рядов вооруженных сил всех лиц в возрасте до 18 лет, которые вступили в вооруженные силы на добровольной основе.  Государству-участнику предлагается представить статистическую информацию о детях, остающихся в вооруженных силах, с разбивкой по полу и регионам.  Она выражает озабоченность по поводу того огромного бремени, которое ложится в связи с их демобилизацией на систему социальной реабилитации и правосудия по делам несовершеннолетних, и спрашивает, осуществляется ли контроль за деятельностью учреждений, обеспечивающих уход за такими детьми, с тем чтобы все дети, получали надлежащий уход и защиту.  Она хотела бы также знать, проводились ли какие-либо уголовные расследования для установления ответственных за принудительную мобилизацию, применение пыток и жестокое обращение в отношении детей-солдат и привлечены ли к ответственности такие лица.</w:t>
      </w:r>
    </w:p>
    <w:p w:rsidR="00000000" w:rsidRDefault="00000000"/>
    <w:p w:rsidR="00000000" w:rsidRDefault="00000000">
      <w:r>
        <w:t>46.</w:t>
      </w:r>
      <w:r>
        <w:tab/>
      </w:r>
      <w:r>
        <w:rPr>
          <w:u w:val="single"/>
        </w:rPr>
        <w:t>Г-н ГРОССМАН</w:t>
      </w:r>
      <w:r>
        <w:t xml:space="preserve"> просит представить дополнительную информацию о ходе реализации совместного проекта, осуществляемого Генеральной прокуратурой в сотрудничестве с Управлением Верховного комиссара Организации Объединенных Наций по правам человека и направленного на определение масштабов и содержания концепции превентивных мер для контрольных органов.  Он хотел бы также узнать о результативности мер, предпринимаемых министерством юстиции и Национальным институтом по делам пенитенциарных учреждений (ИНПЕК) для осуществления эффективного контроля за поведением персонала администрации и охраны, а также для расследования всех случаев коррупции и вынесения соответствующего наказания.</w:t>
      </w:r>
    </w:p>
    <w:p w:rsidR="00000000" w:rsidRDefault="00000000"/>
    <w:p w:rsidR="00000000" w:rsidRDefault="00000000">
      <w:r>
        <w:t>47.</w:t>
      </w:r>
      <w:r>
        <w:tab/>
      </w:r>
      <w:r>
        <w:rPr>
          <w:u w:val="single"/>
        </w:rPr>
        <w:t>ПРЕДСЕДАТЕЛЬ</w:t>
      </w:r>
      <w:r>
        <w:t xml:space="preserve"> спрашивает, имели ли место какие-либо случаи амнистирования членов военизированных формирований, служащих вооруженных сил или сотрудников полиции, в отношении которых были возбуждены расследования и которые были осуждены по обвинениям в применении пыток.  Если да, то он хочет знать, являются ли такие случаи амнистии совместимыми с духом Конвенции и с нормами обычного международного права.</w:t>
      </w:r>
    </w:p>
    <w:p w:rsidR="00000000" w:rsidRDefault="00000000"/>
    <w:p w:rsidR="00000000" w:rsidRDefault="00000000">
      <w:r>
        <w:t>48.</w:t>
      </w:r>
      <w:r>
        <w:tab/>
      </w:r>
      <w:r>
        <w:rPr>
          <w:u w:val="single"/>
        </w:rPr>
        <w:t>Г-жа ФОРЕРО УКРОС</w:t>
      </w:r>
      <w:r>
        <w:t xml:space="preserve"> (Колумбия) говорит, что ее правительство разделяет многие озабоченности, выраженные Комитетом.  Ее делегация постарается дать устные ответы на большинство вопросов, заданных Комитетом, а на все оставшиеся вопросы ответы будут представлены в письменном виде.</w:t>
      </w:r>
    </w:p>
    <w:p w:rsidR="00000000" w:rsidRDefault="00000000"/>
    <w:p w:rsidR="00000000" w:rsidRDefault="00000000">
      <w:pPr>
        <w:jc w:val="center"/>
      </w:pPr>
      <w:r>
        <w:rPr>
          <w:u w:val="single"/>
        </w:rPr>
        <w:t>Заседание закрывается в 12 час. 00 мин</w:t>
      </w:r>
      <w:r>
        <w:t>.</w:t>
      </w:r>
    </w:p>
    <w:p w:rsidR="00000000" w:rsidRDefault="00000000"/>
    <w:p w:rsidR="00000000" w:rsidRDefault="00000000"/>
    <w:p w:rsidR="00000000" w:rsidRDefault="00000000">
      <w:pPr>
        <w:jc w:val="center"/>
        <w:rPr>
          <w:lang w:val="en-US"/>
        </w:rP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CAT/C/SR.575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CAT/C/SR.575</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4654</Words>
  <Characters>26528</Characters>
  <Application>Microsoft Office Word</Application>
  <DocSecurity>4</DocSecurity>
  <Lines>221</Lines>
  <Paragraphs>53</Paragraphs>
  <ScaleCrop>false</ScaleCrop>
  <HeadingPairs>
    <vt:vector size="2" baseType="variant">
      <vt:variant>
        <vt:lpstr>Название</vt:lpstr>
      </vt:variant>
      <vt:variant>
        <vt:i4>1</vt:i4>
      </vt:variant>
    </vt:vector>
  </HeadingPairs>
  <TitlesOfParts>
    <vt:vector size="1" baseType="lpstr">
      <vt:lpstr>222222</vt:lpstr>
    </vt:vector>
  </TitlesOfParts>
  <Company> </Company>
  <LinksUpToDate>false</LinksUpToDate>
  <CharactersWithSpaces>32578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222222</dc:title>
  <dc:subject/>
  <dc:creator>Marina Imeninnikova</dc:creator>
  <cp:keywords/>
  <dc:description/>
  <cp:lastModifiedBy>Marina Imeninnikova</cp:lastModifiedBy>
  <cp:revision>3</cp:revision>
  <cp:lastPrinted>2004-02-27T06:39:00Z</cp:lastPrinted>
  <dcterms:created xsi:type="dcterms:W3CDTF">2004-02-27T06:39:00Z</dcterms:created>
  <dcterms:modified xsi:type="dcterms:W3CDTF">2004-02-27T06:39:00Z</dcterms:modified>
</cp:coreProperties>
</file>