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64B" w:rsidRDefault="0041464B" w:rsidP="0041464B">
      <w:pPr>
        <w:spacing w:line="240" w:lineRule="auto"/>
        <w:jc w:val="left"/>
        <w:rPr>
          <w:szCs w:val="6"/>
          <w:rtl/>
        </w:rPr>
        <w:sectPr w:rsidR="0041464B" w:rsidSect="0041464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E335C2" w:rsidRDefault="00E335C2" w:rsidP="00E335C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E335C2" w:rsidRPr="002710A9" w:rsidRDefault="00E335C2" w:rsidP="00E335C2">
      <w:pPr>
        <w:tabs>
          <w:tab w:val="left" w:pos="662"/>
          <w:tab w:val="left" w:pos="1267"/>
          <w:tab w:val="left" w:pos="1987"/>
          <w:tab w:val="left" w:pos="2650"/>
        </w:tabs>
        <w:rPr>
          <w:b/>
          <w:bCs/>
          <w:rtl/>
        </w:rPr>
      </w:pPr>
      <w:r w:rsidRPr="002710A9">
        <w:rPr>
          <w:rFonts w:hint="cs"/>
          <w:b/>
          <w:bCs/>
          <w:rtl/>
        </w:rPr>
        <w:t>ا</w:t>
      </w:r>
      <w:r>
        <w:rPr>
          <w:b/>
          <w:bCs/>
          <w:rtl/>
        </w:rPr>
        <w:t>لدورة</w:t>
      </w:r>
      <w:r>
        <w:rPr>
          <w:rFonts w:hint="cs"/>
          <w:b/>
          <w:bCs/>
          <w:rtl/>
        </w:rPr>
        <w:t xml:space="preserve"> السابعة</w:t>
      </w:r>
      <w:r w:rsidRPr="002710A9">
        <w:rPr>
          <w:b/>
          <w:bCs/>
          <w:rtl/>
        </w:rPr>
        <w:t xml:space="preserve"> والخمسون</w:t>
      </w:r>
    </w:p>
    <w:p w:rsidR="00E335C2" w:rsidRDefault="00E335C2" w:rsidP="00E335C2">
      <w:pPr>
        <w:tabs>
          <w:tab w:val="left" w:pos="662"/>
          <w:tab w:val="left" w:pos="1267"/>
          <w:tab w:val="left" w:pos="1987"/>
          <w:tab w:val="left" w:pos="2650"/>
        </w:tabs>
        <w:rPr>
          <w:rFonts w:hint="cs"/>
          <w:rtl/>
        </w:rPr>
      </w:pPr>
      <w:r>
        <w:rPr>
          <w:rFonts w:hint="cs"/>
          <w:rtl/>
        </w:rPr>
        <w:t xml:space="preserve">10-28 </w:t>
      </w:r>
      <w:r>
        <w:rPr>
          <w:rFonts w:hint="eastAsia"/>
          <w:rtl/>
        </w:rPr>
        <w:t>شباط</w:t>
      </w:r>
      <w:r>
        <w:rPr>
          <w:rtl/>
        </w:rPr>
        <w:t xml:space="preserve">/فبراير </w:t>
      </w:r>
      <w:r>
        <w:rPr>
          <w:rFonts w:hint="cs"/>
          <w:rtl/>
        </w:rPr>
        <w:t>2014</w:t>
      </w:r>
      <w:r w:rsidR="00CA74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9.75pt;margin-top:684pt;width:57.5pt;height:57.5pt;z-index:2;mso-position-horizontal-relative:page;mso-position-vertical-relative:page" o:preferrelative="f" filled="t">
            <v:imagedata r:id="rId13" o:title="1&amp;Size =1&amp;Lang = A"/>
            <w10:wrap type="square" anchorx="page" anchory="page"/>
          </v:shape>
        </w:pict>
      </w:r>
    </w:p>
    <w:p w:rsidR="00E335C2" w:rsidRDefault="00E335C2" w:rsidP="00E335C2">
      <w:pPr>
        <w:tabs>
          <w:tab w:val="left" w:pos="662"/>
          <w:tab w:val="left" w:pos="1267"/>
          <w:tab w:val="left" w:pos="1987"/>
          <w:tab w:val="left" w:pos="2650"/>
        </w:tabs>
        <w:rPr>
          <w:rtl/>
        </w:rPr>
      </w:pPr>
      <w:r>
        <w:rPr>
          <w:rtl/>
        </w:rPr>
        <w:t>البند 2 من جدول الأعمال المؤقت</w:t>
      </w:r>
    </w:p>
    <w:p w:rsidR="00E335C2" w:rsidRPr="002710A9" w:rsidRDefault="00E335C2" w:rsidP="00E335C2">
      <w:pPr>
        <w:tabs>
          <w:tab w:val="left" w:pos="662"/>
          <w:tab w:val="left" w:pos="1267"/>
          <w:tab w:val="left" w:pos="1987"/>
          <w:tab w:val="left" w:pos="2650"/>
        </w:tabs>
        <w:rPr>
          <w:b/>
          <w:bCs/>
          <w:rtl/>
        </w:rPr>
      </w:pPr>
      <w:r w:rsidRPr="002710A9">
        <w:rPr>
          <w:b/>
          <w:bCs/>
          <w:rtl/>
        </w:rPr>
        <w:t>إقرار جدول الأعمال وتنظيم الأعمال</w:t>
      </w:r>
    </w:p>
    <w:p w:rsidR="00E335C2" w:rsidRPr="002710A9" w:rsidRDefault="00E335C2" w:rsidP="00E335C2">
      <w:pPr>
        <w:tabs>
          <w:tab w:val="left" w:pos="662"/>
          <w:tab w:val="left" w:pos="1267"/>
          <w:tab w:val="left" w:pos="1987"/>
          <w:tab w:val="left" w:pos="2650"/>
        </w:tabs>
        <w:spacing w:line="120" w:lineRule="exact"/>
        <w:rPr>
          <w:sz w:val="10"/>
          <w:rtl/>
        </w:rPr>
      </w:pPr>
    </w:p>
    <w:p w:rsidR="00E335C2" w:rsidRPr="002710A9" w:rsidRDefault="00E335C2" w:rsidP="00E335C2">
      <w:pPr>
        <w:tabs>
          <w:tab w:val="left" w:pos="662"/>
          <w:tab w:val="left" w:pos="1267"/>
          <w:tab w:val="left" w:pos="1987"/>
          <w:tab w:val="left" w:pos="2650"/>
        </w:tabs>
        <w:spacing w:line="120" w:lineRule="exact"/>
        <w:rPr>
          <w:sz w:val="10"/>
          <w:rtl/>
        </w:rPr>
      </w:pPr>
    </w:p>
    <w:p w:rsidR="00E335C2" w:rsidRDefault="00E335C2" w:rsidP="00E335C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جدول الأعمال المؤقت</w:t>
      </w:r>
    </w:p>
    <w:p w:rsidR="00E335C2" w:rsidRDefault="00E335C2" w:rsidP="00E335C2">
      <w:pPr>
        <w:pStyle w:val="SingleTxt"/>
        <w:rPr>
          <w:rtl/>
        </w:rPr>
      </w:pPr>
      <w:r>
        <w:rPr>
          <w:rtl/>
        </w:rPr>
        <w:t>1 -</w:t>
      </w:r>
      <w:r>
        <w:rPr>
          <w:rtl/>
        </w:rPr>
        <w:tab/>
        <w:t>افتتاح الدورة.</w:t>
      </w:r>
    </w:p>
    <w:p w:rsidR="00E335C2" w:rsidRDefault="00E335C2" w:rsidP="00E335C2">
      <w:pPr>
        <w:pStyle w:val="SingleTxt"/>
        <w:rPr>
          <w:rtl/>
        </w:rPr>
      </w:pPr>
      <w:r>
        <w:rPr>
          <w:rtl/>
        </w:rPr>
        <w:t>2 -</w:t>
      </w:r>
      <w:r>
        <w:rPr>
          <w:rtl/>
        </w:rPr>
        <w:tab/>
        <w:t>إقرار جدول الأعمال وتنظيم الأعمال.</w:t>
      </w:r>
    </w:p>
    <w:p w:rsidR="00E335C2" w:rsidRDefault="00E335C2" w:rsidP="00CA74E7">
      <w:pPr>
        <w:pStyle w:val="SingleTxt"/>
        <w:spacing w:line="380" w:lineRule="exact"/>
        <w:ind w:left="1929" w:hanging="662"/>
        <w:rPr>
          <w:rFonts w:hint="cs"/>
          <w:rtl/>
        </w:rPr>
      </w:pPr>
      <w:r>
        <w:rPr>
          <w:rtl/>
        </w:rPr>
        <w:t>3 -</w:t>
      </w:r>
      <w:r>
        <w:rPr>
          <w:rtl/>
        </w:rPr>
        <w:tab/>
        <w:t xml:space="preserve">تقرير الرئيسة عن الأنشطة المضطلع بها بين دورتي اللجنة </w:t>
      </w:r>
      <w:r>
        <w:rPr>
          <w:rFonts w:hint="cs"/>
          <w:rtl/>
        </w:rPr>
        <w:t>السادسة</w:t>
      </w:r>
      <w:r>
        <w:rPr>
          <w:rtl/>
        </w:rPr>
        <w:t xml:space="preserve"> والخمسين و</w:t>
      </w:r>
      <w:r>
        <w:rPr>
          <w:rFonts w:hint="cs"/>
          <w:rtl/>
        </w:rPr>
        <w:t>السابعة </w:t>
      </w:r>
      <w:r>
        <w:rPr>
          <w:rtl/>
        </w:rPr>
        <w:t>والخمسين.</w:t>
      </w:r>
    </w:p>
    <w:p w:rsidR="00E335C2" w:rsidRDefault="00E335C2" w:rsidP="00CA74E7">
      <w:pPr>
        <w:pStyle w:val="SingleTxt"/>
        <w:spacing w:line="380" w:lineRule="exact"/>
        <w:ind w:left="1929" w:hanging="662"/>
        <w:rPr>
          <w:rtl/>
        </w:rPr>
      </w:pPr>
      <w:r>
        <w:rPr>
          <w:rtl/>
        </w:rPr>
        <w:t>4 -</w:t>
      </w:r>
      <w:r>
        <w:rPr>
          <w:rtl/>
        </w:rPr>
        <w:tab/>
        <w:t>النظر في التقارير المقدمة من الدول الأطراف بموجب المادة 18 من اتفاقية القضاء على جميع أشكال التمييز ضد المرأة.</w:t>
      </w:r>
    </w:p>
    <w:p w:rsidR="00E335C2" w:rsidRDefault="00E335C2" w:rsidP="00CA74E7">
      <w:pPr>
        <w:pStyle w:val="SingleTxt"/>
        <w:spacing w:line="380" w:lineRule="exact"/>
        <w:ind w:left="1929" w:hanging="662"/>
        <w:rPr>
          <w:rtl/>
        </w:rPr>
      </w:pPr>
      <w:r>
        <w:rPr>
          <w:rtl/>
        </w:rPr>
        <w:t>5 -</w:t>
      </w:r>
      <w:r>
        <w:rPr>
          <w:rtl/>
        </w:rPr>
        <w:tab/>
        <w:t>متابعة النظر في التقارير المقدمة من الدول الأطراف بموجب المادة 18 من اتفاقية القضاء على جميع أشكال التمييز ضد المرأة.</w:t>
      </w:r>
    </w:p>
    <w:p w:rsidR="00E335C2" w:rsidRDefault="00E335C2" w:rsidP="00E335C2">
      <w:pPr>
        <w:pStyle w:val="SingleTxt"/>
        <w:rPr>
          <w:rtl/>
        </w:rPr>
      </w:pPr>
      <w:r>
        <w:rPr>
          <w:rtl/>
        </w:rPr>
        <w:t>6 -</w:t>
      </w:r>
      <w:r>
        <w:rPr>
          <w:rtl/>
        </w:rPr>
        <w:tab/>
        <w:t>تنفيذ المادتين 21 و 22 من اتفاقية القضاء على جميع أشكال التمييز ضد المرأة.</w:t>
      </w:r>
    </w:p>
    <w:p w:rsidR="00E335C2" w:rsidRDefault="00E335C2" w:rsidP="00E335C2">
      <w:pPr>
        <w:pStyle w:val="SingleTxt"/>
        <w:rPr>
          <w:rtl/>
        </w:rPr>
      </w:pPr>
      <w:r>
        <w:rPr>
          <w:rtl/>
        </w:rPr>
        <w:t>7 -</w:t>
      </w:r>
      <w:r>
        <w:rPr>
          <w:rtl/>
        </w:rPr>
        <w:tab/>
        <w:t>سبل ووسائل التعجيل بأعمال اللجنة.</w:t>
      </w:r>
    </w:p>
    <w:p w:rsidR="00E335C2" w:rsidRDefault="00E335C2" w:rsidP="00E335C2">
      <w:pPr>
        <w:pStyle w:val="SingleTxt"/>
        <w:ind w:left="1930" w:hanging="663"/>
        <w:rPr>
          <w:rtl/>
        </w:rPr>
      </w:pPr>
      <w:r>
        <w:rPr>
          <w:rtl/>
        </w:rPr>
        <w:t>8 -</w:t>
      </w:r>
      <w:r>
        <w:rPr>
          <w:rtl/>
        </w:rPr>
        <w:tab/>
        <w:t xml:space="preserve">أنشطة اللجنة </w:t>
      </w:r>
      <w:r>
        <w:rPr>
          <w:rFonts w:hint="cs"/>
          <w:rtl/>
        </w:rPr>
        <w:t xml:space="preserve">المضطلع بها بموجب </w:t>
      </w:r>
      <w:r>
        <w:rPr>
          <w:rtl/>
        </w:rPr>
        <w:t>البروتوكول الاختياري لاتفاقية القضاء على جميع أشكال التمييز ضد المرأة.</w:t>
      </w:r>
    </w:p>
    <w:p w:rsidR="00E335C2" w:rsidRDefault="00E335C2" w:rsidP="00CA74E7">
      <w:pPr>
        <w:pStyle w:val="SingleTxt"/>
        <w:spacing w:line="380" w:lineRule="exact"/>
        <w:ind w:left="1929" w:hanging="662"/>
        <w:rPr>
          <w:rtl/>
        </w:rPr>
      </w:pPr>
      <w:r>
        <w:rPr>
          <w:rtl/>
        </w:rPr>
        <w:t>9 -</w:t>
      </w:r>
      <w:r>
        <w:rPr>
          <w:rtl/>
        </w:rPr>
        <w:tab/>
        <w:t xml:space="preserve">جدول الأعمال المؤقت لدورة اللجنة </w:t>
      </w:r>
      <w:r>
        <w:rPr>
          <w:rFonts w:hint="cs"/>
          <w:rtl/>
        </w:rPr>
        <w:t>الثامنة</w:t>
      </w:r>
      <w:r>
        <w:rPr>
          <w:rtl/>
        </w:rPr>
        <w:t xml:space="preserve"> والخمسين.</w:t>
      </w:r>
    </w:p>
    <w:p w:rsidR="00E335C2" w:rsidRDefault="00E335C2" w:rsidP="00CA74E7">
      <w:pPr>
        <w:pStyle w:val="SingleTxt"/>
        <w:spacing w:line="380" w:lineRule="exact"/>
        <w:ind w:left="1929" w:hanging="662"/>
        <w:rPr>
          <w:rtl/>
        </w:rPr>
      </w:pPr>
      <w:r>
        <w:rPr>
          <w:rtl/>
        </w:rPr>
        <w:t>10 -</w:t>
      </w:r>
      <w:r>
        <w:rPr>
          <w:rtl/>
        </w:rPr>
        <w:tab/>
        <w:t xml:space="preserve">اعتماد تقرير اللجنة عن أعمال دورتها </w:t>
      </w:r>
      <w:r>
        <w:rPr>
          <w:rFonts w:hint="cs"/>
          <w:rtl/>
        </w:rPr>
        <w:t>السابعة</w:t>
      </w:r>
      <w:r>
        <w:rPr>
          <w:rtl/>
        </w:rPr>
        <w:t xml:space="preserve"> والخمسين.</w:t>
      </w:r>
    </w:p>
    <w:p w:rsidR="00E335C2" w:rsidRDefault="00E335C2" w:rsidP="00E335C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r>
        <w:rPr>
          <w:rtl/>
        </w:rPr>
        <w:t>الشروح</w:t>
      </w:r>
    </w:p>
    <w:p w:rsidR="00E335C2" w:rsidRPr="00D7510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1 -</w:t>
      </w:r>
      <w:r>
        <w:rPr>
          <w:rtl/>
        </w:rPr>
        <w:tab/>
        <w:t>افتتاح الدورة</w:t>
      </w:r>
    </w:p>
    <w:p w:rsidR="00E335C2" w:rsidRDefault="00E335C2" w:rsidP="00E335C2">
      <w:pPr>
        <w:pStyle w:val="SingleTxt"/>
        <w:rPr>
          <w:rtl/>
        </w:rPr>
      </w:pPr>
      <w:r>
        <w:rPr>
          <w:rFonts w:hint="cs"/>
          <w:rtl/>
        </w:rPr>
        <w:tab/>
      </w:r>
      <w:r>
        <w:rPr>
          <w:rtl/>
        </w:rPr>
        <w:t xml:space="preserve">ستفتتح رئيسة اللجنة المعنية بالقضاء على التمييز ضد المرأة دورة اللجنة </w:t>
      </w:r>
      <w:r>
        <w:rPr>
          <w:rFonts w:hint="cs"/>
          <w:rtl/>
        </w:rPr>
        <w:t>السابعة</w:t>
      </w:r>
      <w:r>
        <w:rPr>
          <w:rtl/>
        </w:rPr>
        <w:t xml:space="preserve"> والخمسين.</w:t>
      </w:r>
    </w:p>
    <w:p w:rsidR="00E335C2" w:rsidRPr="00D75102" w:rsidRDefault="00E335C2" w:rsidP="00E335C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2 -</w:t>
      </w:r>
      <w:r>
        <w:rPr>
          <w:rtl/>
        </w:rPr>
        <w:tab/>
        <w:t>إقرار جدول الأعمال وتنظيم الأعمال</w:t>
      </w:r>
    </w:p>
    <w:p w:rsidR="00E335C2" w:rsidRDefault="00E335C2" w:rsidP="00CA74E7">
      <w:pPr>
        <w:pStyle w:val="SingleTxt"/>
        <w:rPr>
          <w:rtl/>
        </w:rPr>
      </w:pPr>
      <w:r>
        <w:rPr>
          <w:rFonts w:hint="cs"/>
          <w:rtl/>
        </w:rPr>
        <w:tab/>
      </w:r>
      <w:r>
        <w:rPr>
          <w:rtl/>
        </w:rPr>
        <w:t>تنص المادة 9 من النظام الداخلي على أن يكون البند الموضوعي الأول في جدول الأعمال المؤقت لأي دورة هو إقرار جدول الأعمال. وتنص المادة 7 على أن يعد الأمين العام جدول الأعمال المؤقت لكل دورة، بالتشاور مع رئيسة اللجنة، وفقا للأحكام ذات</w:t>
      </w:r>
      <w:r w:rsidR="00CA74E7">
        <w:rPr>
          <w:rFonts w:hint="cs"/>
          <w:rtl/>
        </w:rPr>
        <w:t> </w:t>
      </w:r>
      <w:r>
        <w:rPr>
          <w:rtl/>
        </w:rPr>
        <w:t>الصلة في المواد من 17 إلى 22 من الاتفاقية.</w:t>
      </w:r>
    </w:p>
    <w:p w:rsidR="00E335C2" w:rsidRDefault="00E335C2" w:rsidP="00E335C2">
      <w:pPr>
        <w:pStyle w:val="SingleTxt"/>
        <w:rPr>
          <w:rtl/>
        </w:rPr>
      </w:pPr>
      <w:r>
        <w:rPr>
          <w:rFonts w:hint="cs"/>
          <w:rtl/>
        </w:rPr>
        <w:tab/>
      </w:r>
      <w:r>
        <w:rPr>
          <w:rtl/>
        </w:rPr>
        <w:t xml:space="preserve">وقد أقرت اللجنة في دورتها </w:t>
      </w:r>
      <w:r>
        <w:rPr>
          <w:rFonts w:hint="cs"/>
          <w:rtl/>
        </w:rPr>
        <w:t>السادسة</w:t>
      </w:r>
      <w:r>
        <w:rPr>
          <w:rtl/>
        </w:rPr>
        <w:t xml:space="preserve"> والخمسين، جدول الأعمال المؤقت لدورتها </w:t>
      </w:r>
      <w:r>
        <w:rPr>
          <w:rFonts w:hint="cs"/>
          <w:rtl/>
        </w:rPr>
        <w:t>السابعة</w:t>
      </w:r>
      <w:r>
        <w:rPr>
          <w:rtl/>
        </w:rPr>
        <w:t xml:space="preserve"> والخمسين.</w:t>
      </w:r>
    </w:p>
    <w:p w:rsidR="00E335C2" w:rsidRPr="00D7510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3 -</w:t>
      </w:r>
      <w:r>
        <w:rPr>
          <w:rtl/>
        </w:rPr>
        <w:tab/>
        <w:t xml:space="preserve">تقرير الرئيسة عن الأنشطة المضطلع بها بين دورتي اللجنة </w:t>
      </w:r>
      <w:r>
        <w:rPr>
          <w:rFonts w:hint="cs"/>
          <w:rtl/>
        </w:rPr>
        <w:t>السادسة</w:t>
      </w:r>
      <w:r>
        <w:rPr>
          <w:rtl/>
        </w:rPr>
        <w:t xml:space="preserve"> والخمسين و</w:t>
      </w:r>
      <w:r>
        <w:rPr>
          <w:rFonts w:hint="cs"/>
          <w:rtl/>
        </w:rPr>
        <w:t>السابعة </w:t>
      </w:r>
      <w:r>
        <w:rPr>
          <w:rtl/>
        </w:rPr>
        <w:t>والخمسين</w:t>
      </w:r>
    </w:p>
    <w:p w:rsidR="00E335C2" w:rsidRDefault="00E335C2" w:rsidP="00E335C2">
      <w:pPr>
        <w:pStyle w:val="SingleTxt"/>
        <w:rPr>
          <w:rtl/>
        </w:rPr>
      </w:pPr>
      <w:r>
        <w:rPr>
          <w:rFonts w:hint="cs"/>
          <w:rtl/>
        </w:rPr>
        <w:tab/>
      </w:r>
      <w:r>
        <w:rPr>
          <w:rtl/>
        </w:rPr>
        <w:t xml:space="preserve">ستقوم الرئيسة في إطار البند 3، بإطلاع اللجنة على الأنشطة </w:t>
      </w:r>
      <w:r>
        <w:rPr>
          <w:rFonts w:hint="cs"/>
          <w:rtl/>
        </w:rPr>
        <w:t xml:space="preserve">والمناسبات </w:t>
      </w:r>
      <w:r>
        <w:rPr>
          <w:rtl/>
        </w:rPr>
        <w:t>التي اضطُلع بها منذ انعقاد الدورة السابقة وكان لها تأثير على أعمال اللجنة.</w:t>
      </w:r>
    </w:p>
    <w:p w:rsidR="00E335C2" w:rsidRPr="00D7510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الوثائق</w:t>
      </w:r>
    </w:p>
    <w:p w:rsidR="00E335C2" w:rsidRDefault="00E335C2" w:rsidP="00E335C2">
      <w:pPr>
        <w:pStyle w:val="SingleTxt"/>
        <w:rPr>
          <w:rFonts w:hint="cs"/>
          <w:rtl/>
        </w:rPr>
      </w:pPr>
      <w:r>
        <w:rPr>
          <w:rtl/>
        </w:rPr>
        <w:t>جدول الأعمال المؤقت والشروح (</w:t>
      </w:r>
      <w:hyperlink r:id="rId14" w:history="1">
        <w:r w:rsidRPr="00CA74E7">
          <w:rPr>
            <w:rStyle w:val="Hyperlink"/>
          </w:rPr>
          <w:t>CEDAW/C/57/1</w:t>
        </w:r>
      </w:hyperlink>
      <w:r>
        <w:rPr>
          <w:rtl/>
        </w:rPr>
        <w:t>)</w:t>
      </w:r>
    </w:p>
    <w:p w:rsidR="00E335C2" w:rsidRPr="00B445D8" w:rsidRDefault="00E335C2" w:rsidP="00E335C2">
      <w:pPr>
        <w:pStyle w:val="SingleTxt"/>
        <w:spacing w:after="0" w:line="120" w:lineRule="exact"/>
        <w:rPr>
          <w:rFonts w:hint="cs"/>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4 -</w:t>
      </w:r>
      <w:r>
        <w:rPr>
          <w:rtl/>
        </w:rPr>
        <w:tab/>
        <w:t>النظر في التقارير المقدمة من الدول الأطراف بموجب المادة 18 من اتفاقية القضاء على</w:t>
      </w:r>
      <w:r>
        <w:rPr>
          <w:rFonts w:hint="cs"/>
          <w:rtl/>
        </w:rPr>
        <w:t> </w:t>
      </w:r>
      <w:r>
        <w:rPr>
          <w:rtl/>
        </w:rPr>
        <w:t>جميع أشكال التمييز ضد المرأة</w:t>
      </w:r>
    </w:p>
    <w:p w:rsidR="00E335C2" w:rsidRDefault="00E335C2" w:rsidP="00E335C2">
      <w:pPr>
        <w:pStyle w:val="SingleTxt"/>
        <w:rPr>
          <w:rtl/>
        </w:rPr>
      </w:pPr>
      <w:r>
        <w:rPr>
          <w:rFonts w:hint="cs"/>
          <w:rtl/>
        </w:rPr>
        <w:tab/>
      </w:r>
      <w:r>
        <w:rPr>
          <w:rtl/>
        </w:rPr>
        <w:t>تنص المادة 18 من الاتفاقية على أن تقدم الدول الأطراف في الاتفاقية إلى الأمين العام تقريرا عما اتخذته من تدابير تشريعية أو قضائية أو إدارية أو غيرها من التدابير من أجل إنفاذ أحكام الاتفاقية وعن أي تقدم يحرز في هذا الصدد، لكي تنظر فيه اللجنة. ويتعين تقديم هذه التقارير في غضون سنة واحدة من بدء نفاذ الاتفاقية بالنسبة للدولة المعنية، وبعد ذلك كل أربع سنوات على الأقل، وكلما طلبت اللجنة ذلك.</w:t>
      </w:r>
    </w:p>
    <w:p w:rsidR="00E335C2" w:rsidRDefault="00E335C2" w:rsidP="00E335C2">
      <w:pPr>
        <w:pStyle w:val="SingleTxt"/>
        <w:rPr>
          <w:rtl/>
        </w:rPr>
      </w:pPr>
      <w:r>
        <w:rPr>
          <w:rFonts w:hint="cs"/>
          <w:rtl/>
        </w:rPr>
        <w:tab/>
      </w:r>
      <w:r>
        <w:rPr>
          <w:rtl/>
        </w:rPr>
        <w:t xml:space="preserve">ومن المقرر أن تنظر اللجنة في دورتها </w:t>
      </w:r>
      <w:r>
        <w:rPr>
          <w:rFonts w:hint="cs"/>
          <w:rtl/>
        </w:rPr>
        <w:t>السابعة</w:t>
      </w:r>
      <w:r>
        <w:rPr>
          <w:rtl/>
        </w:rPr>
        <w:t xml:space="preserve"> والخمسين في تقارير الدول التالية: </w:t>
      </w:r>
      <w:r>
        <w:rPr>
          <w:rFonts w:hint="cs"/>
          <w:rtl/>
        </w:rPr>
        <w:t>البحرين، سيراليون، العراق، فنلندا، قطر، كازاخستان، الكاميرون.</w:t>
      </w:r>
    </w:p>
    <w:p w:rsidR="00E335C2" w:rsidRDefault="00E335C2" w:rsidP="00E335C2">
      <w:pPr>
        <w:pStyle w:val="SingleTxt"/>
        <w:rPr>
          <w:rtl/>
        </w:rPr>
      </w:pPr>
      <w:r>
        <w:rPr>
          <w:rFonts w:hint="cs"/>
          <w:rtl/>
        </w:rPr>
        <w:tab/>
      </w:r>
      <w:r>
        <w:rPr>
          <w:rtl/>
        </w:rPr>
        <w:t>وتنص المادة 51 من النظام الداخلي على أن يحضر ممثلو الدولة الطرف جلسات اللجنة عند دراسة تقرير تلك الدولة، وأن يشاركوا في المناقشات ويجيبوا على الأسئلة المتعلقة بالتقرير.</w:t>
      </w:r>
    </w:p>
    <w:p w:rsidR="00E335C2" w:rsidRDefault="00E335C2" w:rsidP="00E335C2">
      <w:pPr>
        <w:pStyle w:val="SingleTxt"/>
        <w:rPr>
          <w:rtl/>
        </w:rPr>
      </w:pPr>
      <w:r>
        <w:rPr>
          <w:rFonts w:hint="cs"/>
          <w:rtl/>
        </w:rPr>
        <w:tab/>
      </w:r>
      <w:r>
        <w:rPr>
          <w:rtl/>
        </w:rPr>
        <w:t>وتنص المادة 49 من النظام الداخلي على أن يُخطِر الأمين العام اللجنة في كل دورة بعدم استلام أي تقرير مطلوب من دولة طرف بموجب المادة 18 من الاتفاقية. ويقدم الأمين العام أيضا إلى اللجنة قائمة بالتقارير التي قدمتها الدول الأطراف في الاتفاقية وقائمة بالتقارير التي</w:t>
      </w:r>
      <w:r>
        <w:rPr>
          <w:rFonts w:hint="cs"/>
          <w:rtl/>
        </w:rPr>
        <w:t> </w:t>
      </w:r>
      <w:r>
        <w:rPr>
          <w:rtl/>
        </w:rPr>
        <w:t xml:space="preserve">قدمتها الدول الأطراف في الاتفاقية ولم تنظر اللجنة فيها بعد. </w:t>
      </w:r>
    </w:p>
    <w:p w:rsidR="00E335C2" w:rsidRDefault="00E335C2" w:rsidP="00E335C2">
      <w:pPr>
        <w:pStyle w:val="SingleTxt"/>
        <w:rPr>
          <w:rtl/>
        </w:rPr>
      </w:pPr>
      <w:r>
        <w:rPr>
          <w:rFonts w:hint="cs"/>
          <w:rtl/>
        </w:rPr>
        <w:tab/>
      </w:r>
      <w:r>
        <w:rPr>
          <w:rtl/>
        </w:rPr>
        <w:t xml:space="preserve">وسيجري إطلاع اللجنة في دورتها </w:t>
      </w:r>
      <w:r>
        <w:rPr>
          <w:rFonts w:hint="cs"/>
          <w:rtl/>
        </w:rPr>
        <w:t>السابعة</w:t>
      </w:r>
      <w:r>
        <w:rPr>
          <w:rtl/>
        </w:rPr>
        <w:t xml:space="preserve"> والخمسين على حالة تقديم الدول الأطراف التقارير المتأخرة بموجب المادة 18 من الاتفاقية.</w:t>
      </w:r>
    </w:p>
    <w:p w:rsidR="00E335C2" w:rsidRDefault="00E335C2" w:rsidP="00E335C2">
      <w:pPr>
        <w:pStyle w:val="SingleTxt"/>
        <w:rPr>
          <w:rtl/>
        </w:rPr>
      </w:pPr>
      <w:r>
        <w:rPr>
          <w:rFonts w:hint="cs"/>
          <w:rtl/>
        </w:rPr>
        <w:tab/>
      </w:r>
      <w:r>
        <w:rPr>
          <w:rtl/>
        </w:rPr>
        <w:t xml:space="preserve">وقبل انعقاد كل دورة، يجتمع فريق عامل لما قبل الدورة تابع للجنة لإعداد قائمة بالمسائل والأسئلة المتصلة بالتقارير لإحالتها إلى الدول الأطراف قبل الجلسات المقرر مناقشة تقاريرها فيها. وقد اجتمع الفريق العامل لما قبل الدورة </w:t>
      </w:r>
      <w:r>
        <w:rPr>
          <w:rFonts w:hint="cs"/>
          <w:rtl/>
        </w:rPr>
        <w:t>السابعة</w:t>
      </w:r>
      <w:r>
        <w:rPr>
          <w:rtl/>
        </w:rPr>
        <w:t xml:space="preserve"> والخمسين في جنيف في الفترة من</w:t>
      </w:r>
      <w:r>
        <w:rPr>
          <w:rFonts w:hint="cs"/>
          <w:rtl/>
        </w:rPr>
        <w:t xml:space="preserve"> 29 </w:t>
      </w:r>
      <w:r>
        <w:rPr>
          <w:rFonts w:hint="eastAsia"/>
          <w:rtl/>
        </w:rPr>
        <w:t>تموز</w:t>
      </w:r>
      <w:r>
        <w:rPr>
          <w:rtl/>
        </w:rPr>
        <w:t xml:space="preserve">/يوليه </w:t>
      </w:r>
      <w:r>
        <w:rPr>
          <w:rFonts w:hint="cs"/>
          <w:rtl/>
        </w:rPr>
        <w:t xml:space="preserve">إلى 2 </w:t>
      </w:r>
      <w:r>
        <w:rPr>
          <w:rFonts w:hint="eastAsia"/>
          <w:rtl/>
        </w:rPr>
        <w:t>آب</w:t>
      </w:r>
      <w:r>
        <w:rPr>
          <w:rtl/>
        </w:rPr>
        <w:t xml:space="preserve">/أغسطس </w:t>
      </w:r>
      <w:r>
        <w:rPr>
          <w:rFonts w:hint="cs"/>
          <w:rtl/>
        </w:rPr>
        <w:t>2013</w:t>
      </w:r>
      <w:r>
        <w:rPr>
          <w:rtl/>
        </w:rPr>
        <w:t>. و</w:t>
      </w:r>
      <w:r>
        <w:rPr>
          <w:rFonts w:hint="cs"/>
          <w:rtl/>
        </w:rPr>
        <w:t>ي</w:t>
      </w:r>
      <w:r>
        <w:rPr>
          <w:rtl/>
        </w:rPr>
        <w:t xml:space="preserve">جدر </w:t>
      </w:r>
      <w:r>
        <w:rPr>
          <w:rFonts w:hint="cs"/>
          <w:rtl/>
        </w:rPr>
        <w:t>ب</w:t>
      </w:r>
      <w:r>
        <w:rPr>
          <w:rtl/>
        </w:rPr>
        <w:t>الإشارة أن الفريق العامل لما</w:t>
      </w:r>
      <w:r>
        <w:rPr>
          <w:rFonts w:hint="cs"/>
          <w:rtl/>
        </w:rPr>
        <w:t> </w:t>
      </w:r>
      <w:r>
        <w:rPr>
          <w:rtl/>
        </w:rPr>
        <w:t>قبل</w:t>
      </w:r>
      <w:r>
        <w:rPr>
          <w:rFonts w:hint="cs"/>
          <w:rtl/>
        </w:rPr>
        <w:t> </w:t>
      </w:r>
      <w:r>
        <w:rPr>
          <w:rtl/>
        </w:rPr>
        <w:t xml:space="preserve">الدورة انعقد </w:t>
      </w:r>
      <w:r>
        <w:rPr>
          <w:rFonts w:hint="cs"/>
          <w:rtl/>
        </w:rPr>
        <w:t xml:space="preserve">لمدة </w:t>
      </w:r>
      <w:r>
        <w:rPr>
          <w:rtl/>
        </w:rPr>
        <w:t>أربعة أيام، حيث كان يوم 26 تشرين الأول/أكتوبر عطلة رسمية للأمم المتحدة. وسيعرض على اللجنة تقرير الفريق العامل لما قبل الدورة (</w:t>
      </w:r>
      <w:hyperlink r:id="rId15" w:history="1">
        <w:r w:rsidRPr="00CA74E7">
          <w:rPr>
            <w:rStyle w:val="Hyperlink"/>
          </w:rPr>
          <w:t>CEDAW/C/PSWG/57/1</w:t>
        </w:r>
      </w:hyperlink>
      <w:r>
        <w:rPr>
          <w:rtl/>
        </w:rPr>
        <w:t>) وردود الدول الأطراف على قوائم المسائل والأسئلة.</w:t>
      </w:r>
    </w:p>
    <w:p w:rsidR="00E335C2" w:rsidRPr="004857F1" w:rsidRDefault="00E335C2" w:rsidP="00E335C2">
      <w:pPr>
        <w:pStyle w:val="SingleTxt"/>
        <w:spacing w:after="0" w:line="120" w:lineRule="exact"/>
        <w:rPr>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E335C2" w:rsidRPr="004857F1" w:rsidRDefault="00E335C2" w:rsidP="00E335C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857F1">
        <w:rPr>
          <w:rtl/>
        </w:rPr>
        <w:t>التقارير</w:t>
      </w:r>
    </w:p>
    <w:p w:rsidR="00E335C2" w:rsidRPr="004857F1" w:rsidRDefault="00E335C2" w:rsidP="00441C97">
      <w:pPr>
        <w:pStyle w:val="SingleTxt"/>
        <w:rPr>
          <w:w w:val="100"/>
          <w:rtl/>
        </w:rPr>
      </w:pPr>
      <w:r>
        <w:rPr>
          <w:w w:val="100"/>
          <w:rtl/>
        </w:rPr>
        <w:t>التقرير</w:t>
      </w:r>
      <w:r w:rsidRPr="004857F1">
        <w:rPr>
          <w:w w:val="100"/>
          <w:rtl/>
        </w:rPr>
        <w:t xml:space="preserve"> </w:t>
      </w:r>
      <w:r w:rsidR="00441C97">
        <w:rPr>
          <w:rFonts w:hint="cs"/>
          <w:w w:val="100"/>
          <w:rtl/>
        </w:rPr>
        <w:t xml:space="preserve">الدوري الثالث للبحرين </w:t>
      </w:r>
      <w:r w:rsidRPr="004857F1">
        <w:rPr>
          <w:w w:val="100"/>
          <w:rtl/>
        </w:rPr>
        <w:t>(</w:t>
      </w:r>
      <w:hyperlink r:id="rId16" w:history="1">
        <w:r w:rsidRPr="00CA74E7">
          <w:rPr>
            <w:rStyle w:val="Hyperlink"/>
            <w:w w:val="100"/>
          </w:rPr>
          <w:t>CEDAW/C/</w:t>
        </w:r>
        <w:r w:rsidR="00441C97" w:rsidRPr="00CA74E7">
          <w:rPr>
            <w:rStyle w:val="Hyperlink"/>
            <w:w w:val="100"/>
          </w:rPr>
          <w:t>BHR</w:t>
        </w:r>
        <w:r w:rsidRPr="00CA74E7">
          <w:rPr>
            <w:rStyle w:val="Hyperlink"/>
            <w:w w:val="100"/>
          </w:rPr>
          <w:t>/</w:t>
        </w:r>
        <w:r w:rsidR="00441C97" w:rsidRPr="00CA74E7">
          <w:rPr>
            <w:rStyle w:val="Hyperlink"/>
            <w:w w:val="100"/>
          </w:rPr>
          <w:t>3</w:t>
        </w:r>
      </w:hyperlink>
      <w:r w:rsidRPr="004857F1">
        <w:rPr>
          <w:w w:val="100"/>
          <w:rtl/>
        </w:rPr>
        <w:t>)</w:t>
      </w:r>
    </w:p>
    <w:p w:rsidR="00E335C2" w:rsidRDefault="00E335C2" w:rsidP="00441C97">
      <w:pPr>
        <w:pStyle w:val="SingleTxt"/>
        <w:rPr>
          <w:rtl/>
        </w:rPr>
      </w:pPr>
      <w:r>
        <w:rPr>
          <w:rFonts w:hint="cs"/>
          <w:rtl/>
        </w:rPr>
        <w:t xml:space="preserve">التقرير </w:t>
      </w:r>
      <w:r w:rsidR="00441C97">
        <w:rPr>
          <w:rFonts w:hint="cs"/>
          <w:rtl/>
        </w:rPr>
        <w:t>الدوري السادس لسيراليون</w:t>
      </w:r>
      <w:r>
        <w:rPr>
          <w:rtl/>
        </w:rPr>
        <w:t xml:space="preserve"> (</w:t>
      </w:r>
      <w:hyperlink r:id="rId17" w:history="1">
        <w:r w:rsidRPr="00CA74E7">
          <w:rPr>
            <w:rStyle w:val="Hyperlink"/>
          </w:rPr>
          <w:t>CEDAW/C/</w:t>
        </w:r>
        <w:r w:rsidR="00441C97" w:rsidRPr="00CA74E7">
          <w:rPr>
            <w:rStyle w:val="Hyperlink"/>
          </w:rPr>
          <w:t>SLE</w:t>
        </w:r>
        <w:r w:rsidRPr="00CA74E7">
          <w:rPr>
            <w:rStyle w:val="Hyperlink"/>
          </w:rPr>
          <w:t>/</w:t>
        </w:r>
        <w:r w:rsidR="00441C97" w:rsidRPr="00CA74E7">
          <w:rPr>
            <w:rStyle w:val="Hyperlink"/>
          </w:rPr>
          <w:t>6</w:t>
        </w:r>
      </w:hyperlink>
      <w:r>
        <w:rPr>
          <w:rtl/>
        </w:rPr>
        <w:t>)</w:t>
      </w:r>
    </w:p>
    <w:p w:rsidR="00E335C2" w:rsidRDefault="00E335C2" w:rsidP="00441C97">
      <w:pPr>
        <w:pStyle w:val="SingleTxt"/>
        <w:rPr>
          <w:rtl/>
        </w:rPr>
      </w:pPr>
      <w:r>
        <w:rPr>
          <w:rtl/>
        </w:rPr>
        <w:t xml:space="preserve">التقرير </w:t>
      </w:r>
      <w:r w:rsidR="00441C97">
        <w:rPr>
          <w:rFonts w:hint="cs"/>
          <w:rtl/>
        </w:rPr>
        <w:t xml:space="preserve">الجامع للتقارير الدورية الرابع والخامس والسادس للعراق </w:t>
      </w:r>
      <w:r>
        <w:rPr>
          <w:rtl/>
        </w:rPr>
        <w:t>(</w:t>
      </w:r>
      <w:hyperlink r:id="rId18" w:history="1">
        <w:r w:rsidRPr="00CA74E7">
          <w:rPr>
            <w:rStyle w:val="Hyperlink"/>
          </w:rPr>
          <w:t>CEDAW/C/</w:t>
        </w:r>
        <w:r w:rsidR="00441C97" w:rsidRPr="00CA74E7">
          <w:rPr>
            <w:rStyle w:val="Hyperlink"/>
          </w:rPr>
          <w:t>IRQ</w:t>
        </w:r>
        <w:r w:rsidRPr="00CA74E7">
          <w:rPr>
            <w:rStyle w:val="Hyperlink"/>
          </w:rPr>
          <w:t>/</w:t>
        </w:r>
        <w:r w:rsidR="00441C97" w:rsidRPr="00CA74E7">
          <w:rPr>
            <w:rStyle w:val="Hyperlink"/>
          </w:rPr>
          <w:t>4-6</w:t>
        </w:r>
      </w:hyperlink>
      <w:r>
        <w:rPr>
          <w:rtl/>
        </w:rPr>
        <w:t>)</w:t>
      </w:r>
    </w:p>
    <w:p w:rsidR="00E335C2" w:rsidRDefault="00E335C2" w:rsidP="00441C97">
      <w:pPr>
        <w:pStyle w:val="SingleTxt"/>
        <w:rPr>
          <w:rtl/>
        </w:rPr>
      </w:pPr>
      <w:r>
        <w:rPr>
          <w:rtl/>
        </w:rPr>
        <w:t xml:space="preserve">التقرير </w:t>
      </w:r>
      <w:r w:rsidR="00441C97">
        <w:rPr>
          <w:rFonts w:hint="cs"/>
          <w:rtl/>
        </w:rPr>
        <w:t xml:space="preserve">الدوري السابع لفنلندا </w:t>
      </w:r>
      <w:r>
        <w:rPr>
          <w:rtl/>
        </w:rPr>
        <w:t>(</w:t>
      </w:r>
      <w:hyperlink r:id="rId19" w:history="1">
        <w:r w:rsidRPr="00CA74E7">
          <w:rPr>
            <w:rStyle w:val="Hyperlink"/>
          </w:rPr>
          <w:t>CEDAW/C/</w:t>
        </w:r>
        <w:r w:rsidR="00441C97" w:rsidRPr="00CA74E7">
          <w:rPr>
            <w:rStyle w:val="Hyperlink"/>
          </w:rPr>
          <w:t>FIN</w:t>
        </w:r>
        <w:r w:rsidRPr="00CA74E7">
          <w:rPr>
            <w:rStyle w:val="Hyperlink"/>
          </w:rPr>
          <w:t>/7</w:t>
        </w:r>
      </w:hyperlink>
      <w:r>
        <w:rPr>
          <w:rtl/>
        </w:rPr>
        <w:t>)</w:t>
      </w:r>
    </w:p>
    <w:p w:rsidR="00E335C2" w:rsidRDefault="00E335C2" w:rsidP="00441C97">
      <w:pPr>
        <w:pStyle w:val="SingleTxt"/>
        <w:rPr>
          <w:rtl/>
        </w:rPr>
      </w:pPr>
      <w:r>
        <w:rPr>
          <w:rtl/>
        </w:rPr>
        <w:t xml:space="preserve">التقرير </w:t>
      </w:r>
      <w:r w:rsidR="00441C97">
        <w:rPr>
          <w:rFonts w:hint="cs"/>
          <w:rtl/>
        </w:rPr>
        <w:t>الأوّلي لقطر</w:t>
      </w:r>
      <w:r>
        <w:rPr>
          <w:rtl/>
        </w:rPr>
        <w:t xml:space="preserve"> (</w:t>
      </w:r>
      <w:hyperlink r:id="rId20" w:history="1">
        <w:r w:rsidRPr="00CA74E7">
          <w:rPr>
            <w:rStyle w:val="Hyperlink"/>
          </w:rPr>
          <w:t>CEDAW/C/</w:t>
        </w:r>
        <w:r w:rsidR="00441C97" w:rsidRPr="00CA74E7">
          <w:rPr>
            <w:rStyle w:val="Hyperlink"/>
          </w:rPr>
          <w:t>QAT</w:t>
        </w:r>
        <w:r w:rsidRPr="00CA74E7">
          <w:rPr>
            <w:rStyle w:val="Hyperlink"/>
          </w:rPr>
          <w:t>/</w:t>
        </w:r>
        <w:r w:rsidR="00441C97" w:rsidRPr="00CA74E7">
          <w:rPr>
            <w:rStyle w:val="Hyperlink"/>
          </w:rPr>
          <w:t>1</w:t>
        </w:r>
      </w:hyperlink>
      <w:r>
        <w:rPr>
          <w:rtl/>
        </w:rPr>
        <w:t>)</w:t>
      </w:r>
    </w:p>
    <w:p w:rsidR="00E335C2" w:rsidRDefault="00E335C2" w:rsidP="00441C97">
      <w:pPr>
        <w:pStyle w:val="SingleTxt"/>
        <w:rPr>
          <w:rtl/>
        </w:rPr>
      </w:pPr>
      <w:r>
        <w:rPr>
          <w:rtl/>
        </w:rPr>
        <w:t>ال</w:t>
      </w:r>
      <w:r w:rsidR="00441C97">
        <w:rPr>
          <w:rtl/>
        </w:rPr>
        <w:t>تقرير الجامع للتقريرين الدوري</w:t>
      </w:r>
      <w:r w:rsidR="00441C97">
        <w:rPr>
          <w:rFonts w:hint="cs"/>
          <w:rtl/>
        </w:rPr>
        <w:t xml:space="preserve">ين الثالث والرابع لكازاخستان </w:t>
      </w:r>
      <w:r>
        <w:rPr>
          <w:rtl/>
        </w:rPr>
        <w:t>(</w:t>
      </w:r>
      <w:hyperlink r:id="rId21" w:history="1">
        <w:r w:rsidRPr="00CA74E7">
          <w:rPr>
            <w:rStyle w:val="Hyperlink"/>
          </w:rPr>
          <w:t>CEDAW/C/</w:t>
        </w:r>
        <w:r w:rsidR="00441C97" w:rsidRPr="00CA74E7">
          <w:rPr>
            <w:rStyle w:val="Hyperlink"/>
          </w:rPr>
          <w:t>KAZ</w:t>
        </w:r>
        <w:r w:rsidRPr="00CA74E7">
          <w:rPr>
            <w:rStyle w:val="Hyperlink"/>
          </w:rPr>
          <w:t>/</w:t>
        </w:r>
        <w:r w:rsidR="00441C97" w:rsidRPr="00CA74E7">
          <w:rPr>
            <w:rStyle w:val="Hyperlink"/>
          </w:rPr>
          <w:t>3-4</w:t>
        </w:r>
      </w:hyperlink>
      <w:r>
        <w:rPr>
          <w:rtl/>
        </w:rPr>
        <w:t>)</w:t>
      </w:r>
    </w:p>
    <w:p w:rsidR="00E335C2" w:rsidRDefault="00E335C2" w:rsidP="00441C97">
      <w:pPr>
        <w:pStyle w:val="SingleTxt"/>
        <w:rPr>
          <w:rFonts w:hint="cs"/>
          <w:rtl/>
        </w:rPr>
      </w:pPr>
      <w:r>
        <w:rPr>
          <w:rtl/>
        </w:rPr>
        <w:t xml:space="preserve">التقرير الجامع للتقريرين الدوريين </w:t>
      </w:r>
      <w:r w:rsidR="00441C97">
        <w:rPr>
          <w:rFonts w:hint="cs"/>
          <w:rtl/>
        </w:rPr>
        <w:t>الرابع والخامس للكاميرون</w:t>
      </w:r>
      <w:r>
        <w:rPr>
          <w:rtl/>
        </w:rPr>
        <w:t xml:space="preserve"> (</w:t>
      </w:r>
      <w:hyperlink r:id="rId22" w:history="1">
        <w:r w:rsidRPr="00CA74E7">
          <w:rPr>
            <w:rStyle w:val="Hyperlink"/>
          </w:rPr>
          <w:t>CEDAW/C/</w:t>
        </w:r>
        <w:r w:rsidR="00441C97" w:rsidRPr="00CA74E7">
          <w:rPr>
            <w:rStyle w:val="Hyperlink"/>
          </w:rPr>
          <w:t>CMR</w:t>
        </w:r>
        <w:r w:rsidRPr="00CA74E7">
          <w:rPr>
            <w:rStyle w:val="Hyperlink"/>
          </w:rPr>
          <w:t>/</w:t>
        </w:r>
        <w:r w:rsidR="00441C97" w:rsidRPr="00CA74E7">
          <w:rPr>
            <w:rStyle w:val="Hyperlink"/>
          </w:rPr>
          <w:t>4-5</w:t>
        </w:r>
      </w:hyperlink>
      <w:r>
        <w:rPr>
          <w:rtl/>
        </w:rPr>
        <w:t>)</w:t>
      </w:r>
    </w:p>
    <w:p w:rsidR="00E335C2" w:rsidRPr="004857F1" w:rsidRDefault="00E335C2" w:rsidP="00E335C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857F1">
        <w:rPr>
          <w:rtl/>
        </w:rPr>
        <w:t>قوائم المسائل والأسئلة</w:t>
      </w:r>
    </w:p>
    <w:p w:rsidR="00E335C2" w:rsidRDefault="00441C97" w:rsidP="00441C97">
      <w:pPr>
        <w:pStyle w:val="SingleTxt"/>
        <w:rPr>
          <w:rtl/>
        </w:rPr>
      </w:pPr>
      <w:r>
        <w:rPr>
          <w:rFonts w:hint="cs"/>
          <w:rtl/>
        </w:rPr>
        <w:t>البحرين</w:t>
      </w:r>
      <w:r w:rsidR="00E335C2">
        <w:rPr>
          <w:rtl/>
        </w:rPr>
        <w:t xml:space="preserve"> (</w:t>
      </w:r>
      <w:hyperlink r:id="rId23" w:history="1">
        <w:r w:rsidR="00E335C2" w:rsidRPr="00CA74E7">
          <w:rPr>
            <w:rStyle w:val="Hyperlink"/>
          </w:rPr>
          <w:t>CEDAW/C/</w:t>
        </w:r>
        <w:r w:rsidRPr="00CA74E7">
          <w:rPr>
            <w:rStyle w:val="Hyperlink"/>
          </w:rPr>
          <w:t>BHR</w:t>
        </w:r>
        <w:r w:rsidR="00E335C2" w:rsidRPr="00CA74E7">
          <w:rPr>
            <w:rStyle w:val="Hyperlink"/>
          </w:rPr>
          <w:t>/Q/</w:t>
        </w:r>
        <w:r w:rsidRPr="00CA74E7">
          <w:rPr>
            <w:rStyle w:val="Hyperlink"/>
          </w:rPr>
          <w:t>3</w:t>
        </w:r>
      </w:hyperlink>
      <w:r w:rsidR="00E335C2">
        <w:rPr>
          <w:rtl/>
        </w:rPr>
        <w:t>)</w:t>
      </w:r>
    </w:p>
    <w:p w:rsidR="00E335C2" w:rsidRDefault="00441C97" w:rsidP="00441C97">
      <w:pPr>
        <w:pStyle w:val="SingleTxt"/>
        <w:rPr>
          <w:rFonts w:hint="cs"/>
          <w:rtl/>
        </w:rPr>
      </w:pPr>
      <w:r>
        <w:rPr>
          <w:rFonts w:hint="cs"/>
          <w:rtl/>
        </w:rPr>
        <w:t>سيراليون</w:t>
      </w:r>
      <w:r w:rsidR="00E335C2">
        <w:rPr>
          <w:rtl/>
        </w:rPr>
        <w:t xml:space="preserve"> (</w:t>
      </w:r>
      <w:hyperlink r:id="rId24" w:history="1">
        <w:r w:rsidR="00E335C2" w:rsidRPr="00CA74E7">
          <w:rPr>
            <w:rStyle w:val="Hyperlink"/>
          </w:rPr>
          <w:t>CEDAW/C/</w:t>
        </w:r>
        <w:r w:rsidRPr="00CA74E7">
          <w:rPr>
            <w:rStyle w:val="Hyperlink"/>
          </w:rPr>
          <w:t>SLE</w:t>
        </w:r>
        <w:r w:rsidR="00E335C2" w:rsidRPr="00CA74E7">
          <w:rPr>
            <w:rStyle w:val="Hyperlink"/>
          </w:rPr>
          <w:t>/Q/</w:t>
        </w:r>
        <w:r w:rsidRPr="00CA74E7">
          <w:rPr>
            <w:rStyle w:val="Hyperlink"/>
          </w:rPr>
          <w:t>6</w:t>
        </w:r>
      </w:hyperlink>
      <w:r w:rsidR="00E335C2">
        <w:rPr>
          <w:rtl/>
        </w:rPr>
        <w:t>)</w:t>
      </w:r>
    </w:p>
    <w:p w:rsidR="00E335C2" w:rsidRDefault="00441C97" w:rsidP="00441C97">
      <w:pPr>
        <w:pStyle w:val="SingleTxt"/>
        <w:rPr>
          <w:rtl/>
        </w:rPr>
      </w:pPr>
      <w:r>
        <w:rPr>
          <w:rFonts w:hint="cs"/>
          <w:rtl/>
        </w:rPr>
        <w:t>العراق</w:t>
      </w:r>
      <w:r w:rsidR="00E335C2">
        <w:rPr>
          <w:rtl/>
        </w:rPr>
        <w:t xml:space="preserve"> (</w:t>
      </w:r>
      <w:hyperlink r:id="rId25" w:history="1">
        <w:r w:rsidR="00E335C2" w:rsidRPr="00CA74E7">
          <w:rPr>
            <w:rStyle w:val="Hyperlink"/>
          </w:rPr>
          <w:t>CEDAW/C/</w:t>
        </w:r>
        <w:r w:rsidRPr="00CA74E7">
          <w:rPr>
            <w:rStyle w:val="Hyperlink"/>
          </w:rPr>
          <w:t>IRQ</w:t>
        </w:r>
        <w:r w:rsidR="00E335C2" w:rsidRPr="00CA74E7">
          <w:rPr>
            <w:rStyle w:val="Hyperlink"/>
          </w:rPr>
          <w:t>/Q/</w:t>
        </w:r>
        <w:r w:rsidRPr="00CA74E7">
          <w:rPr>
            <w:rStyle w:val="Hyperlink"/>
          </w:rPr>
          <w:t>4-6</w:t>
        </w:r>
      </w:hyperlink>
      <w:r w:rsidR="00E335C2">
        <w:rPr>
          <w:rtl/>
        </w:rPr>
        <w:t>)</w:t>
      </w:r>
    </w:p>
    <w:p w:rsidR="00E335C2" w:rsidRDefault="00441C97" w:rsidP="00441C97">
      <w:pPr>
        <w:pStyle w:val="SingleTxt"/>
        <w:rPr>
          <w:rtl/>
        </w:rPr>
      </w:pPr>
      <w:r>
        <w:rPr>
          <w:rFonts w:hint="cs"/>
          <w:rtl/>
        </w:rPr>
        <w:t>فنلندا</w:t>
      </w:r>
      <w:r w:rsidR="00E335C2">
        <w:rPr>
          <w:rtl/>
        </w:rPr>
        <w:t xml:space="preserve"> (</w:t>
      </w:r>
      <w:hyperlink r:id="rId26" w:history="1">
        <w:r w:rsidR="00E335C2" w:rsidRPr="00CA74E7">
          <w:rPr>
            <w:rStyle w:val="Hyperlink"/>
          </w:rPr>
          <w:t>CEDAW/C/</w:t>
        </w:r>
        <w:r w:rsidRPr="00CA74E7">
          <w:rPr>
            <w:rStyle w:val="Hyperlink"/>
          </w:rPr>
          <w:t>FIN</w:t>
        </w:r>
        <w:r w:rsidR="00E335C2" w:rsidRPr="00CA74E7">
          <w:rPr>
            <w:rStyle w:val="Hyperlink"/>
          </w:rPr>
          <w:t>/Q/7</w:t>
        </w:r>
      </w:hyperlink>
      <w:r w:rsidR="00E335C2">
        <w:rPr>
          <w:rtl/>
        </w:rPr>
        <w:t>)</w:t>
      </w:r>
    </w:p>
    <w:p w:rsidR="00E335C2" w:rsidRDefault="00441C97" w:rsidP="00441C97">
      <w:pPr>
        <w:pStyle w:val="SingleTxt"/>
        <w:rPr>
          <w:rtl/>
        </w:rPr>
      </w:pPr>
      <w:r>
        <w:rPr>
          <w:rFonts w:hint="cs"/>
          <w:rtl/>
        </w:rPr>
        <w:t>قطر</w:t>
      </w:r>
      <w:r w:rsidR="00E335C2">
        <w:rPr>
          <w:rtl/>
        </w:rPr>
        <w:t xml:space="preserve"> (</w:t>
      </w:r>
      <w:hyperlink r:id="rId27" w:history="1">
        <w:r w:rsidR="00E335C2" w:rsidRPr="00CA74E7">
          <w:rPr>
            <w:rStyle w:val="Hyperlink"/>
          </w:rPr>
          <w:t>CEDAW/C/</w:t>
        </w:r>
        <w:r w:rsidRPr="00CA74E7">
          <w:rPr>
            <w:rStyle w:val="Hyperlink"/>
          </w:rPr>
          <w:t>QAT</w:t>
        </w:r>
        <w:r w:rsidR="00E335C2" w:rsidRPr="00CA74E7">
          <w:rPr>
            <w:rStyle w:val="Hyperlink"/>
          </w:rPr>
          <w:t>/Q/</w:t>
        </w:r>
        <w:r w:rsidRPr="00CA74E7">
          <w:rPr>
            <w:rStyle w:val="Hyperlink"/>
          </w:rPr>
          <w:t>1</w:t>
        </w:r>
      </w:hyperlink>
      <w:r w:rsidR="00E335C2">
        <w:rPr>
          <w:rtl/>
        </w:rPr>
        <w:t>)</w:t>
      </w:r>
    </w:p>
    <w:p w:rsidR="00E335C2" w:rsidRDefault="00441C97" w:rsidP="00441C97">
      <w:pPr>
        <w:pStyle w:val="SingleTxt"/>
        <w:rPr>
          <w:rFonts w:hint="cs"/>
          <w:rtl/>
        </w:rPr>
      </w:pPr>
      <w:r>
        <w:rPr>
          <w:rFonts w:hint="cs"/>
          <w:rtl/>
        </w:rPr>
        <w:t>كازاخستان</w:t>
      </w:r>
      <w:r w:rsidR="00E335C2">
        <w:rPr>
          <w:rtl/>
        </w:rPr>
        <w:t xml:space="preserve"> (</w:t>
      </w:r>
      <w:hyperlink r:id="rId28" w:history="1">
        <w:r w:rsidR="00E335C2" w:rsidRPr="00CA74E7">
          <w:rPr>
            <w:rStyle w:val="Hyperlink"/>
          </w:rPr>
          <w:t>CEDAW/C/</w:t>
        </w:r>
        <w:r w:rsidRPr="00CA74E7">
          <w:rPr>
            <w:rStyle w:val="Hyperlink"/>
          </w:rPr>
          <w:t>KAZ</w:t>
        </w:r>
        <w:r w:rsidR="00E335C2" w:rsidRPr="00CA74E7">
          <w:rPr>
            <w:rStyle w:val="Hyperlink"/>
          </w:rPr>
          <w:t>/Q/</w:t>
        </w:r>
        <w:r w:rsidRPr="00CA74E7">
          <w:rPr>
            <w:rStyle w:val="Hyperlink"/>
          </w:rPr>
          <w:t>3-4</w:t>
        </w:r>
      </w:hyperlink>
      <w:r w:rsidR="00E335C2">
        <w:rPr>
          <w:rtl/>
        </w:rPr>
        <w:t>)</w:t>
      </w:r>
    </w:p>
    <w:p w:rsidR="00E335C2" w:rsidRDefault="00441C97" w:rsidP="00CD34F2">
      <w:pPr>
        <w:pStyle w:val="SingleTxt"/>
        <w:rPr>
          <w:rFonts w:hint="cs"/>
          <w:rtl/>
        </w:rPr>
      </w:pPr>
      <w:r>
        <w:rPr>
          <w:rFonts w:hint="cs"/>
          <w:rtl/>
        </w:rPr>
        <w:t>الكاميرون</w:t>
      </w:r>
      <w:r w:rsidR="00E335C2">
        <w:rPr>
          <w:rtl/>
        </w:rPr>
        <w:t xml:space="preserve"> (</w:t>
      </w:r>
      <w:hyperlink r:id="rId29" w:history="1">
        <w:r w:rsidR="00E335C2" w:rsidRPr="00CA74E7">
          <w:rPr>
            <w:rStyle w:val="Hyperlink"/>
          </w:rPr>
          <w:t>CEDAW/C/</w:t>
        </w:r>
        <w:r w:rsidRPr="00CA74E7">
          <w:rPr>
            <w:rStyle w:val="Hyperlink"/>
          </w:rPr>
          <w:t>C</w:t>
        </w:r>
        <w:r w:rsidR="00CD34F2" w:rsidRPr="00CA74E7">
          <w:rPr>
            <w:rStyle w:val="Hyperlink"/>
          </w:rPr>
          <w:t>MR</w:t>
        </w:r>
        <w:r w:rsidR="00E335C2" w:rsidRPr="00CA74E7">
          <w:rPr>
            <w:rStyle w:val="Hyperlink"/>
          </w:rPr>
          <w:t>/Q/</w:t>
        </w:r>
        <w:r w:rsidR="00CD34F2" w:rsidRPr="00CA74E7">
          <w:rPr>
            <w:rStyle w:val="Hyperlink"/>
          </w:rPr>
          <w:t>4-5</w:t>
        </w:r>
      </w:hyperlink>
      <w:r w:rsidR="00E335C2">
        <w:rPr>
          <w:rtl/>
        </w:rPr>
        <w:t>)</w:t>
      </w:r>
    </w:p>
    <w:p w:rsidR="00E335C2" w:rsidRPr="00995366" w:rsidRDefault="00E335C2" w:rsidP="00E335C2">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E335C2" w:rsidRDefault="00E335C2" w:rsidP="00E335C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الردود على قوائم المسائل والأسئلة</w:t>
      </w:r>
    </w:p>
    <w:p w:rsidR="00E335C2" w:rsidRDefault="00CD34F2" w:rsidP="00CD34F2">
      <w:pPr>
        <w:pStyle w:val="SingleTxt"/>
        <w:rPr>
          <w:rtl/>
        </w:rPr>
      </w:pPr>
      <w:r>
        <w:rPr>
          <w:rFonts w:hint="cs"/>
          <w:rtl/>
        </w:rPr>
        <w:t>البحرين</w:t>
      </w:r>
      <w:r w:rsidR="00E335C2">
        <w:rPr>
          <w:rtl/>
        </w:rPr>
        <w:t xml:space="preserve"> (</w:t>
      </w:r>
      <w:hyperlink r:id="rId30" w:history="1">
        <w:r w:rsidR="00E335C2" w:rsidRPr="00CA74E7">
          <w:rPr>
            <w:rStyle w:val="Hyperlink"/>
          </w:rPr>
          <w:t>CEDAW/C/</w:t>
        </w:r>
        <w:r w:rsidRPr="00CA74E7">
          <w:rPr>
            <w:rStyle w:val="Hyperlink"/>
          </w:rPr>
          <w:t>BHR</w:t>
        </w:r>
        <w:r w:rsidR="00E335C2" w:rsidRPr="00CA74E7">
          <w:rPr>
            <w:rStyle w:val="Hyperlink"/>
          </w:rPr>
          <w:t>/Q/</w:t>
        </w:r>
        <w:r w:rsidRPr="00CA74E7">
          <w:rPr>
            <w:rStyle w:val="Hyperlink"/>
          </w:rPr>
          <w:t>3</w:t>
        </w:r>
        <w:r w:rsidR="00E335C2" w:rsidRPr="00CA74E7">
          <w:rPr>
            <w:rStyle w:val="Hyperlink"/>
          </w:rPr>
          <w:t>/Add.1</w:t>
        </w:r>
      </w:hyperlink>
      <w:r w:rsidR="00E335C2">
        <w:rPr>
          <w:rtl/>
        </w:rPr>
        <w:t>)</w:t>
      </w:r>
    </w:p>
    <w:p w:rsidR="00E335C2" w:rsidRDefault="00CD34F2" w:rsidP="00CD34F2">
      <w:pPr>
        <w:pStyle w:val="SingleTxt"/>
        <w:rPr>
          <w:rFonts w:hint="cs"/>
          <w:rtl/>
        </w:rPr>
      </w:pPr>
      <w:r>
        <w:rPr>
          <w:rFonts w:hint="cs"/>
          <w:rtl/>
        </w:rPr>
        <w:t>سيراليون</w:t>
      </w:r>
      <w:r w:rsidR="00E335C2">
        <w:rPr>
          <w:rtl/>
        </w:rPr>
        <w:t xml:space="preserve"> (</w:t>
      </w:r>
      <w:hyperlink r:id="rId31" w:history="1">
        <w:r w:rsidR="00E335C2" w:rsidRPr="00CA74E7">
          <w:rPr>
            <w:rStyle w:val="Hyperlink"/>
          </w:rPr>
          <w:t>CEDAW/C/</w:t>
        </w:r>
        <w:r w:rsidRPr="00CA74E7">
          <w:rPr>
            <w:rStyle w:val="Hyperlink"/>
          </w:rPr>
          <w:t>SLE</w:t>
        </w:r>
        <w:r w:rsidR="00E335C2" w:rsidRPr="00CA74E7">
          <w:rPr>
            <w:rStyle w:val="Hyperlink"/>
          </w:rPr>
          <w:t>/Q/</w:t>
        </w:r>
        <w:r w:rsidRPr="00CA74E7">
          <w:rPr>
            <w:rStyle w:val="Hyperlink"/>
          </w:rPr>
          <w:t>6</w:t>
        </w:r>
        <w:r w:rsidR="00E335C2" w:rsidRPr="00CA74E7">
          <w:rPr>
            <w:rStyle w:val="Hyperlink"/>
          </w:rPr>
          <w:t>/Add.1</w:t>
        </w:r>
      </w:hyperlink>
      <w:r w:rsidR="00E335C2">
        <w:rPr>
          <w:rtl/>
        </w:rPr>
        <w:t>)</w:t>
      </w:r>
    </w:p>
    <w:p w:rsidR="00E335C2" w:rsidRDefault="00CD34F2" w:rsidP="00CD34F2">
      <w:pPr>
        <w:pStyle w:val="SingleTxt"/>
        <w:rPr>
          <w:rtl/>
        </w:rPr>
      </w:pPr>
      <w:r>
        <w:rPr>
          <w:rFonts w:hint="cs"/>
          <w:rtl/>
        </w:rPr>
        <w:t>العراق</w:t>
      </w:r>
      <w:r w:rsidR="00E335C2">
        <w:rPr>
          <w:rtl/>
        </w:rPr>
        <w:t xml:space="preserve"> (</w:t>
      </w:r>
      <w:hyperlink r:id="rId32" w:history="1">
        <w:r w:rsidR="00E335C2" w:rsidRPr="00CA74E7">
          <w:rPr>
            <w:rStyle w:val="Hyperlink"/>
          </w:rPr>
          <w:t>CEDAW/C/</w:t>
        </w:r>
        <w:r w:rsidRPr="00CA74E7">
          <w:rPr>
            <w:rStyle w:val="Hyperlink"/>
          </w:rPr>
          <w:t>IRQ</w:t>
        </w:r>
        <w:r w:rsidR="00E335C2" w:rsidRPr="00CA74E7">
          <w:rPr>
            <w:rStyle w:val="Hyperlink"/>
          </w:rPr>
          <w:t>/Q/</w:t>
        </w:r>
        <w:r w:rsidRPr="00CA74E7">
          <w:rPr>
            <w:rStyle w:val="Hyperlink"/>
          </w:rPr>
          <w:t>4-6</w:t>
        </w:r>
        <w:r w:rsidR="00E335C2" w:rsidRPr="00CA74E7">
          <w:rPr>
            <w:rStyle w:val="Hyperlink"/>
          </w:rPr>
          <w:t>/Add.1</w:t>
        </w:r>
      </w:hyperlink>
      <w:r w:rsidR="00E335C2">
        <w:rPr>
          <w:rtl/>
        </w:rPr>
        <w:t>)</w:t>
      </w:r>
    </w:p>
    <w:p w:rsidR="00E335C2" w:rsidRDefault="00CD34F2" w:rsidP="00CD34F2">
      <w:pPr>
        <w:pStyle w:val="SingleTxt"/>
        <w:rPr>
          <w:rFonts w:hint="cs"/>
          <w:rtl/>
        </w:rPr>
      </w:pPr>
      <w:r>
        <w:rPr>
          <w:rFonts w:hint="cs"/>
          <w:rtl/>
        </w:rPr>
        <w:t>فنلندا</w:t>
      </w:r>
      <w:r w:rsidR="00E335C2">
        <w:rPr>
          <w:rtl/>
        </w:rPr>
        <w:t xml:space="preserve"> (</w:t>
      </w:r>
      <w:hyperlink r:id="rId33" w:history="1">
        <w:r w:rsidR="00E335C2" w:rsidRPr="00CA74E7">
          <w:rPr>
            <w:rStyle w:val="Hyperlink"/>
          </w:rPr>
          <w:t>CEDAW/C/</w:t>
        </w:r>
        <w:r w:rsidRPr="00CA74E7">
          <w:rPr>
            <w:rStyle w:val="Hyperlink"/>
          </w:rPr>
          <w:t>FIN</w:t>
        </w:r>
        <w:r w:rsidR="00E335C2" w:rsidRPr="00CA74E7">
          <w:rPr>
            <w:rStyle w:val="Hyperlink"/>
          </w:rPr>
          <w:t>/Q/</w:t>
        </w:r>
        <w:r w:rsidRPr="00CA74E7">
          <w:rPr>
            <w:rStyle w:val="Hyperlink"/>
          </w:rPr>
          <w:t>7</w:t>
        </w:r>
        <w:r w:rsidR="00E335C2" w:rsidRPr="00CA74E7">
          <w:rPr>
            <w:rStyle w:val="Hyperlink"/>
          </w:rPr>
          <w:t>/Add.1</w:t>
        </w:r>
      </w:hyperlink>
      <w:r w:rsidR="00E335C2">
        <w:rPr>
          <w:rtl/>
        </w:rPr>
        <w:t>)</w:t>
      </w:r>
    </w:p>
    <w:p w:rsidR="00E335C2" w:rsidRDefault="00CD34F2" w:rsidP="00CD34F2">
      <w:pPr>
        <w:pStyle w:val="SingleTxt"/>
        <w:rPr>
          <w:rtl/>
        </w:rPr>
      </w:pPr>
      <w:r>
        <w:rPr>
          <w:rFonts w:hint="cs"/>
          <w:rtl/>
        </w:rPr>
        <w:t>قطر</w:t>
      </w:r>
      <w:r w:rsidR="00E335C2">
        <w:rPr>
          <w:rtl/>
        </w:rPr>
        <w:t xml:space="preserve"> (</w:t>
      </w:r>
      <w:hyperlink r:id="rId34" w:history="1">
        <w:r w:rsidR="00E335C2" w:rsidRPr="00CA74E7">
          <w:rPr>
            <w:rStyle w:val="Hyperlink"/>
          </w:rPr>
          <w:t>CEDAW/C/</w:t>
        </w:r>
        <w:r w:rsidRPr="00CA74E7">
          <w:rPr>
            <w:rStyle w:val="Hyperlink"/>
          </w:rPr>
          <w:t>QAT</w:t>
        </w:r>
        <w:r w:rsidR="00E335C2" w:rsidRPr="00CA74E7">
          <w:rPr>
            <w:rStyle w:val="Hyperlink"/>
          </w:rPr>
          <w:t>/Q/</w:t>
        </w:r>
        <w:r w:rsidRPr="00CA74E7">
          <w:rPr>
            <w:rStyle w:val="Hyperlink"/>
          </w:rPr>
          <w:t>1</w:t>
        </w:r>
        <w:r w:rsidR="00E335C2" w:rsidRPr="00CA74E7">
          <w:rPr>
            <w:rStyle w:val="Hyperlink"/>
          </w:rPr>
          <w:t>/Add.1</w:t>
        </w:r>
      </w:hyperlink>
      <w:r w:rsidR="00E335C2">
        <w:rPr>
          <w:rtl/>
        </w:rPr>
        <w:t>)</w:t>
      </w:r>
    </w:p>
    <w:p w:rsidR="00E335C2" w:rsidRDefault="00CD34F2" w:rsidP="00CD34F2">
      <w:pPr>
        <w:pStyle w:val="SingleTxt"/>
        <w:rPr>
          <w:rtl/>
        </w:rPr>
      </w:pPr>
      <w:r>
        <w:rPr>
          <w:rFonts w:hint="cs"/>
          <w:rtl/>
        </w:rPr>
        <w:t>كازاخستان</w:t>
      </w:r>
      <w:r w:rsidR="00E335C2">
        <w:rPr>
          <w:rtl/>
        </w:rPr>
        <w:t xml:space="preserve"> (</w:t>
      </w:r>
      <w:hyperlink r:id="rId35" w:history="1">
        <w:r w:rsidR="00E335C2" w:rsidRPr="00CA74E7">
          <w:rPr>
            <w:rStyle w:val="Hyperlink"/>
          </w:rPr>
          <w:t>CEDAW/C/</w:t>
        </w:r>
        <w:r w:rsidRPr="00CA74E7">
          <w:rPr>
            <w:rStyle w:val="Hyperlink"/>
          </w:rPr>
          <w:t>KAZ</w:t>
        </w:r>
        <w:r w:rsidR="00E335C2" w:rsidRPr="00CA74E7">
          <w:rPr>
            <w:rStyle w:val="Hyperlink"/>
          </w:rPr>
          <w:t>/Q/</w:t>
        </w:r>
        <w:r w:rsidRPr="00CA74E7">
          <w:rPr>
            <w:rStyle w:val="Hyperlink"/>
          </w:rPr>
          <w:t>3-4</w:t>
        </w:r>
        <w:r w:rsidR="00E335C2" w:rsidRPr="00CA74E7">
          <w:rPr>
            <w:rStyle w:val="Hyperlink"/>
          </w:rPr>
          <w:t>/Add.1</w:t>
        </w:r>
      </w:hyperlink>
      <w:r w:rsidR="00E335C2">
        <w:rPr>
          <w:rtl/>
        </w:rPr>
        <w:t>)</w:t>
      </w:r>
    </w:p>
    <w:p w:rsidR="00E335C2" w:rsidRDefault="00CD34F2" w:rsidP="00CD34F2">
      <w:pPr>
        <w:pStyle w:val="SingleTxt"/>
        <w:rPr>
          <w:rFonts w:hint="cs"/>
          <w:rtl/>
        </w:rPr>
      </w:pPr>
      <w:r>
        <w:rPr>
          <w:rFonts w:hint="cs"/>
          <w:rtl/>
        </w:rPr>
        <w:t>الكاميرون</w:t>
      </w:r>
      <w:r w:rsidR="00E335C2">
        <w:rPr>
          <w:rtl/>
        </w:rPr>
        <w:t xml:space="preserve"> (</w:t>
      </w:r>
      <w:hyperlink r:id="rId36" w:history="1">
        <w:r w:rsidR="00E335C2" w:rsidRPr="00CA74E7">
          <w:rPr>
            <w:rStyle w:val="Hyperlink"/>
          </w:rPr>
          <w:t>CEDAW/C/</w:t>
        </w:r>
        <w:r w:rsidRPr="00CA74E7">
          <w:rPr>
            <w:rStyle w:val="Hyperlink"/>
          </w:rPr>
          <w:t>CMR</w:t>
        </w:r>
        <w:r w:rsidR="00E335C2" w:rsidRPr="00CA74E7">
          <w:rPr>
            <w:rStyle w:val="Hyperlink"/>
          </w:rPr>
          <w:t>/Q/</w:t>
        </w:r>
        <w:r w:rsidRPr="00CA74E7">
          <w:rPr>
            <w:rStyle w:val="Hyperlink"/>
          </w:rPr>
          <w:t>4-5</w:t>
        </w:r>
        <w:r w:rsidR="00E335C2" w:rsidRPr="00CA74E7">
          <w:rPr>
            <w:rStyle w:val="Hyperlink"/>
          </w:rPr>
          <w:t>/Add.1</w:t>
        </w:r>
      </w:hyperlink>
      <w:r w:rsidR="00E335C2">
        <w:rPr>
          <w:rtl/>
        </w:rPr>
        <w:t>)</w:t>
      </w:r>
    </w:p>
    <w:p w:rsidR="00CA74E7" w:rsidRPr="00CA74E7" w:rsidRDefault="00CA74E7" w:rsidP="00CA74E7">
      <w:pPr>
        <w:pStyle w:val="SingleTxt"/>
        <w:spacing w:after="0" w:line="120" w:lineRule="exact"/>
        <w:rPr>
          <w:rFonts w:hint="cs"/>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5 -</w:t>
      </w:r>
      <w:r>
        <w:rPr>
          <w:rtl/>
        </w:rPr>
        <w:tab/>
        <w:t>متابعة النظر في التقارير المقدمة من الدول الأطراف بموجب المادة 18 من اتفاقية القضاء على جميع أشكال التمييز ضد المرأة</w:t>
      </w:r>
    </w:p>
    <w:p w:rsidR="00E335C2" w:rsidRDefault="00E335C2" w:rsidP="00CD34F2">
      <w:pPr>
        <w:pStyle w:val="SingleTxt"/>
        <w:rPr>
          <w:rtl/>
        </w:rPr>
      </w:pPr>
      <w:r>
        <w:rPr>
          <w:rFonts w:hint="cs"/>
          <w:rtl/>
        </w:rPr>
        <w:tab/>
      </w:r>
      <w:r>
        <w:rPr>
          <w:rtl/>
        </w:rPr>
        <w:t>ستناقش اللجنة المسائل المت</w:t>
      </w:r>
      <w:r>
        <w:rPr>
          <w:rFonts w:hint="cs"/>
          <w:rtl/>
        </w:rPr>
        <w:t>ص</w:t>
      </w:r>
      <w:r>
        <w:rPr>
          <w:rtl/>
        </w:rPr>
        <w:t>لة بمتابعة الملاحظات الختامية.</w:t>
      </w:r>
    </w:p>
    <w:p w:rsidR="00E335C2" w:rsidRPr="001C2DD5"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6 -</w:t>
      </w:r>
      <w:r>
        <w:rPr>
          <w:rtl/>
        </w:rPr>
        <w:tab/>
        <w:t>تنفيذ المادتين 21 و 22 من اتفاقية القضاء على جميع أشكال التمييز ضد المرأة</w:t>
      </w:r>
    </w:p>
    <w:p w:rsidR="00E335C2" w:rsidRDefault="00E335C2" w:rsidP="00E335C2">
      <w:pPr>
        <w:pStyle w:val="SingleTxt"/>
        <w:rPr>
          <w:rtl/>
        </w:rPr>
      </w:pPr>
      <w:r>
        <w:rPr>
          <w:rFonts w:hint="cs"/>
          <w:rtl/>
        </w:rPr>
        <w:tab/>
      </w:r>
      <w:r>
        <w:rPr>
          <w:rtl/>
        </w:rPr>
        <w:t xml:space="preserve">تنص المادة 21 من الاتفاقية على أنه يجوز للجنة أن تقدم اقتراحات وتوصيات عامة مبنية على دراسة التقارير والمعلومات الواردة من الدول الأطراف. وتنص أيضا على أن تدرج تلك الاقتراحات والتوصيات العامة في التقرير الذي تقدمه اللجنة إلى الجمعية العامة، مشفوعة بتعليقات الدول الأطراف، إن وجدت. </w:t>
      </w:r>
    </w:p>
    <w:p w:rsidR="00E335C2" w:rsidRDefault="00E335C2" w:rsidP="00E335C2">
      <w:pPr>
        <w:pStyle w:val="SingleTxt"/>
        <w:rPr>
          <w:rtl/>
        </w:rPr>
      </w:pPr>
      <w:r>
        <w:rPr>
          <w:rFonts w:hint="cs"/>
          <w:rtl/>
        </w:rPr>
        <w:tab/>
      </w:r>
      <w:r>
        <w:rPr>
          <w:rtl/>
        </w:rPr>
        <w:t xml:space="preserve">وتنص المادة 22 من الاتفاقية على أنه يحق للوكالات المتخصصة أن توفد من يمثلها أثناء النظر في تنفيذ ما يقع في نطاق أنشطتها من أحكام الاتفاقية، وعلى أنه يجوز للجنة أن تدعو الوكالات المتخصصة إلى تقديم تقارير عن تنفيذ الاتفاقية في تلك المجالات. </w:t>
      </w:r>
    </w:p>
    <w:p w:rsidR="00E335C2" w:rsidRPr="00E33487"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E335C2" w:rsidRDefault="00E335C2" w:rsidP="00E335C2">
      <w:pPr>
        <w:pStyle w:val="SingleTxt"/>
        <w:rPr>
          <w:rtl/>
        </w:rPr>
      </w:pPr>
      <w:r>
        <w:rPr>
          <w:rtl/>
        </w:rPr>
        <w:t>التقارير المقدمة من وكالات الأمم المتحدة المتخصصة بشأن تنفيذ الاتفاقية في المجالات التي تدخل في نطاق أنشطتها.</w:t>
      </w:r>
    </w:p>
    <w:p w:rsidR="00E335C2" w:rsidRPr="00E33487"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7 -</w:t>
      </w:r>
      <w:r>
        <w:rPr>
          <w:rtl/>
        </w:rPr>
        <w:tab/>
        <w:t>سبل ووسائل التعجيل بأعمال اللجنة</w:t>
      </w:r>
    </w:p>
    <w:p w:rsidR="00E335C2" w:rsidRDefault="00E335C2" w:rsidP="00E335C2">
      <w:pPr>
        <w:pStyle w:val="SingleTxt"/>
        <w:rPr>
          <w:rtl/>
        </w:rPr>
      </w:pPr>
      <w:r>
        <w:rPr>
          <w:rFonts w:hint="cs"/>
          <w:rtl/>
        </w:rPr>
        <w:tab/>
      </w:r>
      <w:r>
        <w:rPr>
          <w:rtl/>
        </w:rPr>
        <w:t>ستناقش اللجنة المسائل المتصلة بأساليب عملها.</w:t>
      </w:r>
    </w:p>
    <w:p w:rsidR="00E335C2" w:rsidRPr="00E33487"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8 -</w:t>
      </w:r>
      <w:r>
        <w:rPr>
          <w:rtl/>
        </w:rPr>
        <w:tab/>
        <w:t xml:space="preserve">أنشطة اللجنة </w:t>
      </w:r>
      <w:r>
        <w:rPr>
          <w:rFonts w:hint="cs"/>
          <w:rtl/>
        </w:rPr>
        <w:t xml:space="preserve">المضطلع بها بموجب </w:t>
      </w:r>
      <w:r>
        <w:rPr>
          <w:rtl/>
        </w:rPr>
        <w:t>البروتوكول الاختياري لاتفاقية القضاء على جميع أشكال التمييز ضد المرأة</w:t>
      </w:r>
    </w:p>
    <w:p w:rsidR="00E335C2" w:rsidRDefault="00E335C2" w:rsidP="00CD34F2">
      <w:pPr>
        <w:pStyle w:val="SingleTxt"/>
        <w:rPr>
          <w:rtl/>
        </w:rPr>
      </w:pPr>
      <w:r>
        <w:rPr>
          <w:rFonts w:hint="cs"/>
          <w:rtl/>
        </w:rPr>
        <w:tab/>
      </w:r>
      <w:r>
        <w:rPr>
          <w:rtl/>
        </w:rPr>
        <w:t xml:space="preserve">ستعقد الدورة </w:t>
      </w:r>
      <w:r w:rsidR="00CD34F2">
        <w:rPr>
          <w:rFonts w:hint="cs"/>
          <w:rtl/>
        </w:rPr>
        <w:t>الثامنة</w:t>
      </w:r>
      <w:r>
        <w:rPr>
          <w:rtl/>
        </w:rPr>
        <w:t xml:space="preserve"> والعشرون للفريق العامل المعني بالبلاغات المقدمة بموجب البروتوكول الاختياري </w:t>
      </w:r>
      <w:r w:rsidR="00CD34F2">
        <w:rPr>
          <w:rFonts w:hint="cs"/>
          <w:rtl/>
        </w:rPr>
        <w:t xml:space="preserve">في الفترة من 4 إلى 7 </w:t>
      </w:r>
      <w:r w:rsidR="00CD34F2">
        <w:rPr>
          <w:rFonts w:hint="eastAsia"/>
          <w:rtl/>
        </w:rPr>
        <w:t>شباط</w:t>
      </w:r>
      <w:r w:rsidR="00CD34F2">
        <w:rPr>
          <w:rtl/>
        </w:rPr>
        <w:t xml:space="preserve">/فبراير </w:t>
      </w:r>
      <w:r w:rsidR="00CD34F2">
        <w:rPr>
          <w:rFonts w:hint="cs"/>
          <w:rtl/>
        </w:rPr>
        <w:t xml:space="preserve">2014 </w:t>
      </w:r>
      <w:r>
        <w:rPr>
          <w:rtl/>
        </w:rPr>
        <w:t>في جنيف.</w:t>
      </w:r>
    </w:p>
    <w:p w:rsidR="00E335C2" w:rsidRDefault="00E335C2" w:rsidP="00CD34F2">
      <w:pPr>
        <w:pStyle w:val="SingleTxt"/>
        <w:rPr>
          <w:rtl/>
        </w:rPr>
      </w:pPr>
      <w:r>
        <w:rPr>
          <w:rFonts w:hint="cs"/>
          <w:rtl/>
        </w:rPr>
        <w:tab/>
      </w:r>
      <w:r>
        <w:rPr>
          <w:rtl/>
        </w:rPr>
        <w:t xml:space="preserve">وستواصل اللجنة في دورتها </w:t>
      </w:r>
      <w:r w:rsidR="00CD34F2">
        <w:rPr>
          <w:rFonts w:hint="cs"/>
          <w:rtl/>
        </w:rPr>
        <w:t>السابعة</w:t>
      </w:r>
      <w:r>
        <w:rPr>
          <w:rtl/>
        </w:rPr>
        <w:t xml:space="preserve"> والخمسين تنفيذ ولايتها بموجب المادتين 2 و 8 من</w:t>
      </w:r>
      <w:r>
        <w:rPr>
          <w:rFonts w:hint="cs"/>
          <w:rtl/>
        </w:rPr>
        <w:t> </w:t>
      </w:r>
      <w:r>
        <w:rPr>
          <w:rtl/>
        </w:rPr>
        <w:t>البروتوكول الاختياري للاتفاقية.</w:t>
      </w:r>
    </w:p>
    <w:p w:rsidR="00E335C2" w:rsidRPr="008434D4"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E335C2" w:rsidRDefault="00E335C2" w:rsidP="00CD34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9 -</w:t>
      </w:r>
      <w:r>
        <w:rPr>
          <w:rtl/>
        </w:rPr>
        <w:tab/>
        <w:t xml:space="preserve">جدول الأعمال المؤقت لدورة اللجنة </w:t>
      </w:r>
      <w:r w:rsidR="00CD34F2">
        <w:rPr>
          <w:rFonts w:hint="cs"/>
          <w:rtl/>
        </w:rPr>
        <w:t>الثامنة</w:t>
      </w:r>
      <w:r>
        <w:rPr>
          <w:rtl/>
        </w:rPr>
        <w:t xml:space="preserve"> والخمسين</w:t>
      </w:r>
    </w:p>
    <w:p w:rsidR="00E335C2" w:rsidRPr="00C94CDC"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335C2" w:rsidRDefault="00E335C2" w:rsidP="00E33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الوثائق</w:t>
      </w:r>
    </w:p>
    <w:p w:rsidR="00E335C2" w:rsidRDefault="00E335C2" w:rsidP="00CD34F2">
      <w:pPr>
        <w:pStyle w:val="SingleTxt"/>
        <w:rPr>
          <w:rFonts w:hint="cs"/>
          <w:rtl/>
        </w:rPr>
      </w:pPr>
      <w:r>
        <w:rPr>
          <w:rtl/>
        </w:rPr>
        <w:t xml:space="preserve">جدول الأعمال المؤقت للدورة </w:t>
      </w:r>
      <w:r w:rsidR="00CD34F2">
        <w:rPr>
          <w:rFonts w:hint="cs"/>
          <w:rtl/>
        </w:rPr>
        <w:t>الثامنة</w:t>
      </w:r>
      <w:r>
        <w:rPr>
          <w:rtl/>
        </w:rPr>
        <w:t xml:space="preserve"> والخمسين (</w:t>
      </w:r>
      <w:hyperlink r:id="rId37" w:history="1">
        <w:r w:rsidRPr="00CA74E7">
          <w:rPr>
            <w:rStyle w:val="Hyperlink"/>
          </w:rPr>
          <w:t>CEDAW/C/5</w:t>
        </w:r>
        <w:r w:rsidR="00CD34F2" w:rsidRPr="00CA74E7">
          <w:rPr>
            <w:rStyle w:val="Hyperlink"/>
          </w:rPr>
          <w:t>8</w:t>
        </w:r>
        <w:r w:rsidRPr="00CA74E7">
          <w:rPr>
            <w:rStyle w:val="Hyperlink"/>
          </w:rPr>
          <w:t>/1</w:t>
        </w:r>
      </w:hyperlink>
      <w:r>
        <w:rPr>
          <w:rtl/>
        </w:rPr>
        <w:t>).</w:t>
      </w:r>
    </w:p>
    <w:p w:rsidR="00E335C2" w:rsidRPr="00B445D8" w:rsidRDefault="00E335C2" w:rsidP="00E335C2">
      <w:pPr>
        <w:pStyle w:val="SingleTxt"/>
        <w:spacing w:after="0" w:line="120" w:lineRule="exact"/>
        <w:rPr>
          <w:rFonts w:hint="cs"/>
          <w:sz w:val="10"/>
          <w:rtl/>
        </w:rPr>
      </w:pPr>
    </w:p>
    <w:p w:rsidR="00CD3849" w:rsidRDefault="00E335C2" w:rsidP="00CD34F2">
      <w:pPr>
        <w:tabs>
          <w:tab w:val="left" w:pos="662"/>
          <w:tab w:val="left" w:pos="1267"/>
          <w:tab w:val="left" w:pos="1987"/>
          <w:tab w:val="left" w:pos="2650"/>
        </w:tabs>
        <w:rPr>
          <w:rFonts w:hint="cs"/>
          <w:b/>
          <w:bCs/>
          <w:rtl/>
        </w:rPr>
      </w:pPr>
      <w:r w:rsidRPr="00CD34F2">
        <w:rPr>
          <w:rFonts w:hint="cs"/>
          <w:b/>
          <w:bCs/>
          <w:rtl/>
        </w:rPr>
        <w:tab/>
      </w:r>
      <w:r w:rsidRPr="00CD34F2">
        <w:rPr>
          <w:b/>
          <w:bCs/>
          <w:rtl/>
        </w:rPr>
        <w:t>10 -</w:t>
      </w:r>
      <w:r w:rsidRPr="00CD34F2">
        <w:rPr>
          <w:b/>
          <w:bCs/>
          <w:rtl/>
        </w:rPr>
        <w:tab/>
        <w:t xml:space="preserve">اعتماد تقرير اللجنة عن أعمال دورتها </w:t>
      </w:r>
      <w:r w:rsidR="00CD34F2" w:rsidRPr="00CD34F2">
        <w:rPr>
          <w:rFonts w:hint="cs"/>
          <w:b/>
          <w:bCs/>
          <w:rtl/>
        </w:rPr>
        <w:t>السابعة</w:t>
      </w:r>
      <w:r w:rsidRPr="00CD34F2">
        <w:rPr>
          <w:b/>
          <w:bCs/>
          <w:rtl/>
        </w:rPr>
        <w:t xml:space="preserve"> والخمسين</w:t>
      </w:r>
    </w:p>
    <w:p w:rsidR="00CD34F2" w:rsidRPr="00CD34F2" w:rsidRDefault="00CD34F2" w:rsidP="00CD34F2">
      <w:pPr>
        <w:tabs>
          <w:tab w:val="left" w:pos="662"/>
          <w:tab w:val="left" w:pos="1267"/>
          <w:tab w:val="left" w:pos="1987"/>
          <w:tab w:val="left" w:pos="2650"/>
        </w:tabs>
        <w:spacing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pict>
      </w:r>
    </w:p>
    <w:sectPr w:rsidR="00CD34F2" w:rsidRPr="00CD34F2" w:rsidSect="0041464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03T16:21:00Z" w:initials="Start">
    <w:p w:rsidR="00CA74E7" w:rsidRDefault="00CA74E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NO&gt;&gt;N1358743A&lt;&lt;ODS JOB NO</w:t>
      </w:r>
      <w:r>
        <w:rPr>
          <w:rtl/>
        </w:rPr>
        <w:t>&gt;&gt;</w:t>
      </w:r>
    </w:p>
    <w:p w:rsidR="00CA74E7" w:rsidRDefault="00CA74E7">
      <w:pPr>
        <w:pStyle w:val="CommentText"/>
        <w:rPr>
          <w:rtl/>
        </w:rPr>
      </w:pPr>
      <w:r>
        <w:rPr>
          <w:rtl/>
        </w:rPr>
        <w:t>&lt;&lt;</w:t>
      </w:r>
      <w:r>
        <w:t>ODS DOC SYMBOL1&gt;&gt;CEDAW/C/57/1&lt;&lt;ODS DOC SYMBOL1</w:t>
      </w:r>
      <w:r>
        <w:rPr>
          <w:rtl/>
        </w:rPr>
        <w:t>&gt;&gt;</w:t>
      </w:r>
    </w:p>
    <w:p w:rsidR="00CA74E7" w:rsidRDefault="00CA74E7">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4FD" w:rsidRDefault="009404FD">
      <w:r>
        <w:separator/>
      </w:r>
    </w:p>
  </w:endnote>
  <w:endnote w:type="continuationSeparator" w:id="0">
    <w:p w:rsidR="009404FD" w:rsidRDefault="009404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74E7" w:rsidTr="0041464B">
      <w:tblPrEx>
        <w:tblCellMar>
          <w:top w:w="0" w:type="dxa"/>
          <w:bottom w:w="0" w:type="dxa"/>
        </w:tblCellMar>
      </w:tblPrEx>
      <w:tc>
        <w:tcPr>
          <w:tcW w:w="5033" w:type="dxa"/>
          <w:shd w:val="clear" w:color="auto" w:fill="auto"/>
        </w:tcPr>
        <w:p w:rsidR="00CA74E7" w:rsidRPr="0041464B" w:rsidRDefault="00CA74E7" w:rsidP="0041464B">
          <w:pPr>
            <w:pStyle w:val="Footer"/>
            <w:jc w:val="right"/>
            <w:rPr>
              <w:w w:val="103"/>
            </w:rPr>
          </w:pPr>
          <w:r>
            <w:rPr>
              <w:w w:val="103"/>
            </w:rPr>
            <w:fldChar w:fldCharType="begin"/>
          </w:r>
          <w:r>
            <w:rPr>
              <w:w w:val="103"/>
            </w:rPr>
            <w:instrText xml:space="preserve"> PAGE  \* MERGEFORMAT </w:instrText>
          </w:r>
          <w:r>
            <w:rPr>
              <w:w w:val="103"/>
            </w:rPr>
            <w:fldChar w:fldCharType="separate"/>
          </w:r>
          <w:r w:rsidR="008846B6">
            <w:rPr>
              <w:w w:val="103"/>
            </w:rPr>
            <w:t>4</w:t>
          </w:r>
          <w:r>
            <w:rPr>
              <w:w w:val="103"/>
            </w:rPr>
            <w:fldChar w:fldCharType="end"/>
          </w:r>
        </w:p>
      </w:tc>
      <w:tc>
        <w:tcPr>
          <w:tcW w:w="5033" w:type="dxa"/>
          <w:shd w:val="clear" w:color="auto" w:fill="auto"/>
        </w:tcPr>
        <w:p w:rsidR="00CA74E7" w:rsidRPr="0041464B" w:rsidRDefault="00CA74E7" w:rsidP="0041464B">
          <w:pPr>
            <w:pStyle w:val="Footer"/>
            <w:rPr>
              <w:b w:val="0"/>
              <w:w w:val="103"/>
            </w:rPr>
          </w:pPr>
          <w:fldSimple w:instr=" DOCVARIABLE &quot;FooterJN&quot; \* MERGEFORMAT ">
            <w:r w:rsidR="008846B6">
              <w:rPr>
                <w:b w:val="0"/>
                <w:w w:val="103"/>
              </w:rPr>
              <w:t>13-58743</w:t>
            </w:r>
          </w:fldSimple>
        </w:p>
      </w:tc>
    </w:tr>
  </w:tbl>
  <w:p w:rsidR="00CA74E7" w:rsidRPr="0041464B" w:rsidRDefault="00CA74E7" w:rsidP="0041464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74E7" w:rsidTr="0041464B">
      <w:tblPrEx>
        <w:tblCellMar>
          <w:top w:w="0" w:type="dxa"/>
          <w:bottom w:w="0" w:type="dxa"/>
        </w:tblCellMar>
      </w:tblPrEx>
      <w:tc>
        <w:tcPr>
          <w:tcW w:w="5033" w:type="dxa"/>
          <w:shd w:val="clear" w:color="auto" w:fill="auto"/>
        </w:tcPr>
        <w:p w:rsidR="00CA74E7" w:rsidRPr="0041464B" w:rsidRDefault="00CA74E7" w:rsidP="0041464B">
          <w:pPr>
            <w:pStyle w:val="Footer"/>
            <w:jc w:val="right"/>
            <w:rPr>
              <w:b w:val="0"/>
              <w:w w:val="103"/>
            </w:rPr>
          </w:pPr>
          <w:fldSimple w:instr=" DOCVARIABLE &quot;FooterJN&quot; \* MERGEFORMAT ">
            <w:r w:rsidR="008846B6">
              <w:rPr>
                <w:b w:val="0"/>
                <w:w w:val="103"/>
              </w:rPr>
              <w:t>13-58743</w:t>
            </w:r>
          </w:fldSimple>
        </w:p>
      </w:tc>
      <w:tc>
        <w:tcPr>
          <w:tcW w:w="5033" w:type="dxa"/>
          <w:shd w:val="clear" w:color="auto" w:fill="auto"/>
        </w:tcPr>
        <w:p w:rsidR="00CA74E7" w:rsidRPr="0041464B" w:rsidRDefault="00CA74E7" w:rsidP="0041464B">
          <w:pPr>
            <w:pStyle w:val="Footer"/>
            <w:rPr>
              <w:w w:val="103"/>
            </w:rPr>
          </w:pPr>
          <w:r>
            <w:rPr>
              <w:w w:val="103"/>
            </w:rPr>
            <w:fldChar w:fldCharType="begin"/>
          </w:r>
          <w:r>
            <w:rPr>
              <w:w w:val="103"/>
            </w:rPr>
            <w:instrText xml:space="preserve"> PAGE  \* MERGEFORMAT </w:instrText>
          </w:r>
          <w:r>
            <w:rPr>
              <w:w w:val="103"/>
            </w:rPr>
            <w:fldChar w:fldCharType="separate"/>
          </w:r>
          <w:r w:rsidR="008846B6">
            <w:rPr>
              <w:w w:val="103"/>
            </w:rPr>
            <w:t>5</w:t>
          </w:r>
          <w:r>
            <w:rPr>
              <w:w w:val="103"/>
            </w:rPr>
            <w:fldChar w:fldCharType="end"/>
          </w:r>
        </w:p>
      </w:tc>
    </w:tr>
  </w:tbl>
  <w:p w:rsidR="00CA74E7" w:rsidRPr="0041464B" w:rsidRDefault="00CA74E7" w:rsidP="0041464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A74E7" w:rsidTr="00CA74E7">
      <w:tblPrEx>
        <w:tblCellMar>
          <w:top w:w="0" w:type="dxa"/>
          <w:bottom w:w="0" w:type="dxa"/>
        </w:tblCellMar>
      </w:tblPrEx>
      <w:trPr>
        <w:jc w:val="right"/>
      </w:trPr>
      <w:tc>
        <w:tcPr>
          <w:tcW w:w="3744" w:type="dxa"/>
          <w:shd w:val="clear" w:color="auto" w:fill="auto"/>
        </w:tcPr>
        <w:p w:rsidR="00CA74E7" w:rsidRDefault="00CA74E7" w:rsidP="00CA74E7">
          <w:pPr>
            <w:pStyle w:val="Footer"/>
            <w:spacing w:line="240" w:lineRule="atLeast"/>
            <w:rPr>
              <w:rFonts w:cs="Times New Roman"/>
              <w:b w:val="0"/>
              <w:w w:val="103"/>
              <w:sz w:val="20"/>
            </w:rPr>
          </w:pPr>
          <w:r w:rsidRPr="00CA74E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shd w:val="clear" w:color="auto" w:fill="auto"/>
        </w:tcPr>
        <w:p w:rsidR="00CA74E7" w:rsidRDefault="00CA74E7" w:rsidP="00CA74E7">
          <w:pPr>
            <w:pStyle w:val="Footer"/>
            <w:spacing w:line="240" w:lineRule="atLeast"/>
            <w:jc w:val="right"/>
            <w:rPr>
              <w:rFonts w:cs="Times New Roman"/>
              <w:b w:val="0"/>
              <w:w w:val="103"/>
              <w:sz w:val="20"/>
            </w:rPr>
          </w:pPr>
          <w:r>
            <w:rPr>
              <w:rFonts w:cs="Times New Roman"/>
              <w:b w:val="0"/>
              <w:w w:val="103"/>
              <w:sz w:val="20"/>
            </w:rPr>
            <w:t>091213    091213    13-58743X (A)</w:t>
          </w:r>
        </w:p>
        <w:p w:rsidR="00CA74E7" w:rsidRPr="00CA74E7" w:rsidRDefault="00CA74E7" w:rsidP="00CA74E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*1358743*</w:t>
          </w:r>
        </w:p>
      </w:tc>
    </w:tr>
  </w:tbl>
  <w:p w:rsidR="00CA74E7" w:rsidRPr="00CA74E7" w:rsidRDefault="00CA74E7" w:rsidP="00CA74E7">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4FD" w:rsidRDefault="009404FD">
      <w:r>
        <w:separator/>
      </w:r>
    </w:p>
  </w:footnote>
  <w:footnote w:type="continuationSeparator" w:id="0">
    <w:p w:rsidR="009404FD" w:rsidRDefault="009404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11"/>
      <w:gridCol w:w="4939"/>
    </w:tblGrid>
    <w:tr w:rsidR="00CA74E7" w:rsidTr="0041464B">
      <w:tblPrEx>
        <w:tblCellMar>
          <w:top w:w="0" w:type="dxa"/>
          <w:bottom w:w="0" w:type="dxa"/>
        </w:tblCellMar>
      </w:tblPrEx>
      <w:trPr>
        <w:trHeight w:hRule="exact" w:val="864"/>
        <w:jc w:val="center"/>
      </w:trPr>
      <w:tc>
        <w:tcPr>
          <w:tcW w:w="5033" w:type="dxa"/>
          <w:shd w:val="clear" w:color="auto" w:fill="auto"/>
          <w:vAlign w:val="bottom"/>
        </w:tcPr>
        <w:p w:rsidR="00CA74E7" w:rsidRDefault="00CA74E7" w:rsidP="0041464B">
          <w:pPr>
            <w:pStyle w:val="Header"/>
            <w:bidi/>
            <w:jc w:val="right"/>
          </w:pPr>
        </w:p>
      </w:tc>
      <w:tc>
        <w:tcPr>
          <w:tcW w:w="5033" w:type="dxa"/>
          <w:shd w:val="clear" w:color="auto" w:fill="auto"/>
          <w:vAlign w:val="bottom"/>
        </w:tcPr>
        <w:p w:rsidR="00CA74E7" w:rsidRPr="0041464B" w:rsidRDefault="00CA74E7" w:rsidP="0041464B">
          <w:pPr>
            <w:pStyle w:val="Header"/>
            <w:spacing w:after="80"/>
            <w:jc w:val="right"/>
            <w:rPr>
              <w:rFonts w:hint="cs"/>
              <w:w w:val="103"/>
              <w:rtl/>
            </w:rPr>
          </w:pPr>
          <w:fldSimple w:instr=" DOCVARIABLE  sss1  \* MERGEFORMAT ">
            <w:r w:rsidR="008846B6">
              <w:rPr>
                <w:w w:val="103"/>
              </w:rPr>
              <w:t>CEDAW/C/57/1</w:t>
            </w:r>
          </w:fldSimple>
        </w:p>
      </w:tc>
    </w:tr>
  </w:tbl>
  <w:p w:rsidR="00CA74E7" w:rsidRPr="0041464B" w:rsidRDefault="00CA74E7" w:rsidP="0041464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39"/>
      <w:gridCol w:w="4911"/>
    </w:tblGrid>
    <w:tr w:rsidR="00CA74E7" w:rsidTr="0041464B">
      <w:tblPrEx>
        <w:tblCellMar>
          <w:top w:w="0" w:type="dxa"/>
          <w:bottom w:w="0" w:type="dxa"/>
        </w:tblCellMar>
      </w:tblPrEx>
      <w:trPr>
        <w:trHeight w:hRule="exact" w:val="864"/>
        <w:jc w:val="center"/>
      </w:trPr>
      <w:tc>
        <w:tcPr>
          <w:tcW w:w="5033" w:type="dxa"/>
          <w:shd w:val="clear" w:color="auto" w:fill="auto"/>
          <w:vAlign w:val="bottom"/>
        </w:tcPr>
        <w:p w:rsidR="00CA74E7" w:rsidRPr="0041464B" w:rsidRDefault="00CA74E7" w:rsidP="0041464B">
          <w:pPr>
            <w:pStyle w:val="Header"/>
            <w:spacing w:after="80"/>
            <w:rPr>
              <w:rFonts w:hint="cs"/>
              <w:w w:val="103"/>
              <w:rtl/>
            </w:rPr>
          </w:pPr>
          <w:fldSimple w:instr=" DOCVARIABLE  sss1  \* MERGEFORMAT ">
            <w:r w:rsidR="008846B6">
              <w:rPr>
                <w:w w:val="103"/>
              </w:rPr>
              <w:t>CEDAW/C/57/1</w:t>
            </w:r>
          </w:fldSimple>
        </w:p>
      </w:tc>
      <w:tc>
        <w:tcPr>
          <w:tcW w:w="5033" w:type="dxa"/>
          <w:shd w:val="clear" w:color="auto" w:fill="auto"/>
          <w:vAlign w:val="bottom"/>
        </w:tcPr>
        <w:p w:rsidR="00CA74E7" w:rsidRDefault="00CA74E7" w:rsidP="0041464B">
          <w:pPr>
            <w:pStyle w:val="Header"/>
          </w:pPr>
        </w:p>
      </w:tc>
    </w:tr>
  </w:tbl>
  <w:p w:rsidR="00CA74E7" w:rsidRPr="0041464B" w:rsidRDefault="00CA74E7" w:rsidP="0041464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A74E7" w:rsidTr="0041464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A74E7" w:rsidRDefault="00CA74E7" w:rsidP="0041464B">
          <w:pPr>
            <w:pStyle w:val="Header"/>
            <w:spacing w:after="120"/>
          </w:pPr>
        </w:p>
      </w:tc>
      <w:tc>
        <w:tcPr>
          <w:tcW w:w="1786" w:type="dxa"/>
          <w:tcBorders>
            <w:bottom w:val="single" w:sz="4" w:space="0" w:color="auto"/>
          </w:tcBorders>
          <w:shd w:val="clear" w:color="auto" w:fill="auto"/>
          <w:vAlign w:val="bottom"/>
        </w:tcPr>
        <w:p w:rsidR="00CA74E7" w:rsidRPr="0041464B" w:rsidRDefault="00CA74E7" w:rsidP="0041464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A74E7" w:rsidRDefault="00CA74E7" w:rsidP="0041464B">
          <w:pPr>
            <w:pStyle w:val="Header"/>
            <w:spacing w:after="120"/>
          </w:pPr>
        </w:p>
      </w:tc>
      <w:tc>
        <w:tcPr>
          <w:tcW w:w="6523" w:type="dxa"/>
          <w:gridSpan w:val="3"/>
          <w:tcBorders>
            <w:bottom w:val="single" w:sz="4" w:space="0" w:color="auto"/>
          </w:tcBorders>
          <w:shd w:val="clear" w:color="auto" w:fill="auto"/>
          <w:vAlign w:val="bottom"/>
        </w:tcPr>
        <w:p w:rsidR="00CA74E7" w:rsidRPr="0041464B" w:rsidRDefault="00CA74E7" w:rsidP="0041464B">
          <w:pPr>
            <w:spacing w:line="380" w:lineRule="exact"/>
            <w:jc w:val="right"/>
          </w:pPr>
          <w:r>
            <w:rPr>
              <w:sz w:val="40"/>
            </w:rPr>
            <w:t>CEDAW</w:t>
          </w:r>
          <w:r>
            <w:t>/C/57/1</w:t>
          </w:r>
        </w:p>
      </w:tc>
    </w:tr>
    <w:tr w:rsidR="00CA74E7" w:rsidRPr="0041464B" w:rsidTr="0041464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A74E7" w:rsidRDefault="00CA74E7" w:rsidP="0041464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74E7" w:rsidRPr="0041464B" w:rsidRDefault="00CA74E7" w:rsidP="0041464B">
          <w:pPr>
            <w:pStyle w:val="Header"/>
            <w:spacing w:before="109"/>
            <w:jc w:val="right"/>
          </w:pPr>
        </w:p>
      </w:tc>
      <w:tc>
        <w:tcPr>
          <w:tcW w:w="5227" w:type="dxa"/>
          <w:gridSpan w:val="3"/>
          <w:tcBorders>
            <w:top w:val="single" w:sz="4" w:space="0" w:color="auto"/>
            <w:bottom w:val="single" w:sz="12" w:space="0" w:color="auto"/>
          </w:tcBorders>
          <w:shd w:val="clear" w:color="auto" w:fill="auto"/>
        </w:tcPr>
        <w:p w:rsidR="00CA74E7" w:rsidRPr="0041464B" w:rsidRDefault="00CA74E7" w:rsidP="0041464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A74E7" w:rsidRPr="0041464B" w:rsidRDefault="00CA74E7" w:rsidP="0041464B">
          <w:pPr>
            <w:pStyle w:val="Header"/>
            <w:spacing w:before="109"/>
          </w:pPr>
        </w:p>
      </w:tc>
      <w:tc>
        <w:tcPr>
          <w:tcW w:w="3100" w:type="dxa"/>
          <w:gridSpan w:val="2"/>
          <w:tcBorders>
            <w:top w:val="single" w:sz="4" w:space="0" w:color="auto"/>
            <w:bottom w:val="single" w:sz="12" w:space="0" w:color="auto"/>
          </w:tcBorders>
          <w:shd w:val="clear" w:color="auto" w:fill="auto"/>
        </w:tcPr>
        <w:p w:rsidR="00CA74E7" w:rsidRDefault="00CA74E7" w:rsidP="0041464B">
          <w:pPr>
            <w:bidi w:val="0"/>
            <w:spacing w:before="240" w:line="240" w:lineRule="exact"/>
          </w:pPr>
          <w:r>
            <w:t>Distr.: General</w:t>
          </w:r>
        </w:p>
        <w:p w:rsidR="00CA74E7" w:rsidRDefault="00CA74E7" w:rsidP="0041464B">
          <w:pPr>
            <w:bidi w:val="0"/>
            <w:spacing w:line="240" w:lineRule="exact"/>
            <w:jc w:val="left"/>
          </w:pPr>
          <w:r>
            <w:t>9 December 2013</w:t>
          </w:r>
        </w:p>
        <w:p w:rsidR="00CA74E7" w:rsidRDefault="00CA74E7" w:rsidP="0041464B">
          <w:pPr>
            <w:bidi w:val="0"/>
            <w:spacing w:line="240" w:lineRule="exact"/>
            <w:jc w:val="left"/>
          </w:pPr>
          <w:r>
            <w:t>Arabic</w:t>
          </w:r>
        </w:p>
        <w:p w:rsidR="00CA74E7" w:rsidRPr="0041464B" w:rsidRDefault="00CA74E7" w:rsidP="0041464B">
          <w:pPr>
            <w:bidi w:val="0"/>
            <w:spacing w:line="240" w:lineRule="exact"/>
            <w:jc w:val="left"/>
          </w:pPr>
          <w:r>
            <w:t>Original: English</w:t>
          </w:r>
        </w:p>
      </w:tc>
    </w:tr>
  </w:tbl>
  <w:p w:rsidR="00CA74E7" w:rsidRPr="0041464B" w:rsidRDefault="00CA74E7" w:rsidP="0041464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8743*"/>
    <w:docVar w:name="CreationDt" w:val="12/3/2013 4:21: PM"/>
    <w:docVar w:name="DocCategory" w:val="Doc"/>
    <w:docVar w:name="DocType" w:val="Final"/>
    <w:docVar w:name="FooterJN" w:val="13-58743"/>
    <w:docVar w:name="jobn" w:val="13-58743 (A)"/>
    <w:docVar w:name="jobnDT" w:val="13-58743 (A)   031213"/>
    <w:docVar w:name="jobnDTDT" w:val="13-58743 (A)   031213   031213"/>
    <w:docVar w:name="JobNo" w:val="1358743A"/>
    <w:docVar w:name="OandT" w:val=" "/>
    <w:docVar w:name="sss1" w:val="CEDAW/C/57/1"/>
    <w:docVar w:name="sss2" w:val="-"/>
    <w:docVar w:name="Symbol1" w:val="CEDAW/C/57/1"/>
    <w:docVar w:name="Symbol2" w:val="-"/>
  </w:docVars>
  <w:rsids>
    <w:rsidRoot w:val="0098411C"/>
    <w:rsid w:val="00005972"/>
    <w:rsid w:val="00017AAD"/>
    <w:rsid w:val="00042425"/>
    <w:rsid w:val="0006648F"/>
    <w:rsid w:val="00082B9F"/>
    <w:rsid w:val="00087310"/>
    <w:rsid w:val="0009732C"/>
    <w:rsid w:val="000C4EED"/>
    <w:rsid w:val="000D2CEC"/>
    <w:rsid w:val="00101EE8"/>
    <w:rsid w:val="00113349"/>
    <w:rsid w:val="001519A9"/>
    <w:rsid w:val="001737F8"/>
    <w:rsid w:val="00187870"/>
    <w:rsid w:val="001F6786"/>
    <w:rsid w:val="002416C5"/>
    <w:rsid w:val="00266F59"/>
    <w:rsid w:val="002702E2"/>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464B"/>
    <w:rsid w:val="00415922"/>
    <w:rsid w:val="00423BD7"/>
    <w:rsid w:val="0042757D"/>
    <w:rsid w:val="00437C14"/>
    <w:rsid w:val="00441C97"/>
    <w:rsid w:val="004527C9"/>
    <w:rsid w:val="00453069"/>
    <w:rsid w:val="00483F5B"/>
    <w:rsid w:val="00490874"/>
    <w:rsid w:val="00494EE2"/>
    <w:rsid w:val="00496E83"/>
    <w:rsid w:val="004A2886"/>
    <w:rsid w:val="004A6F75"/>
    <w:rsid w:val="004B14A0"/>
    <w:rsid w:val="004D1B0C"/>
    <w:rsid w:val="004F1402"/>
    <w:rsid w:val="0050659B"/>
    <w:rsid w:val="00524A2E"/>
    <w:rsid w:val="005279DE"/>
    <w:rsid w:val="00534772"/>
    <w:rsid w:val="00537FCD"/>
    <w:rsid w:val="00545F76"/>
    <w:rsid w:val="005545BB"/>
    <w:rsid w:val="00556882"/>
    <w:rsid w:val="00561E43"/>
    <w:rsid w:val="0057078E"/>
    <w:rsid w:val="00573CE3"/>
    <w:rsid w:val="005838F5"/>
    <w:rsid w:val="00591B45"/>
    <w:rsid w:val="0059294A"/>
    <w:rsid w:val="005A0F73"/>
    <w:rsid w:val="005A1805"/>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846B6"/>
    <w:rsid w:val="008D1C04"/>
    <w:rsid w:val="008F04A0"/>
    <w:rsid w:val="008F64A7"/>
    <w:rsid w:val="0090012B"/>
    <w:rsid w:val="0090351F"/>
    <w:rsid w:val="009404FD"/>
    <w:rsid w:val="00970BAD"/>
    <w:rsid w:val="009768D1"/>
    <w:rsid w:val="009829B7"/>
    <w:rsid w:val="0098411C"/>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4C0"/>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74E7"/>
    <w:rsid w:val="00CD0BB8"/>
    <w:rsid w:val="00CD34F2"/>
    <w:rsid w:val="00CD3849"/>
    <w:rsid w:val="00CF7384"/>
    <w:rsid w:val="00D2343D"/>
    <w:rsid w:val="00D30EAE"/>
    <w:rsid w:val="00D318F1"/>
    <w:rsid w:val="00D325E6"/>
    <w:rsid w:val="00D40B0E"/>
    <w:rsid w:val="00DA66B7"/>
    <w:rsid w:val="00DB0865"/>
    <w:rsid w:val="00DE5433"/>
    <w:rsid w:val="00DE68A7"/>
    <w:rsid w:val="00DF5F38"/>
    <w:rsid w:val="00E23336"/>
    <w:rsid w:val="00E31661"/>
    <w:rsid w:val="00E32B52"/>
    <w:rsid w:val="00E335C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1464B"/>
    <w:rPr>
      <w:szCs w:val="20"/>
    </w:rPr>
  </w:style>
  <w:style w:type="paragraph" w:styleId="CommentSubject">
    <w:name w:val="annotation subject"/>
    <w:basedOn w:val="CommentText"/>
    <w:next w:val="CommentText"/>
    <w:semiHidden/>
    <w:rsid w:val="0041464B"/>
    <w:rPr>
      <w:b/>
      <w:bCs/>
    </w:rPr>
  </w:style>
  <w:style w:type="character" w:styleId="Hyperlink">
    <w:name w:val="Hyperlink"/>
    <w:basedOn w:val="DefaultParagraphFont"/>
    <w:rsid w:val="00CA74E7"/>
    <w:rPr>
      <w:color w:val="0000FF"/>
      <w:u w:val="none"/>
    </w:rPr>
  </w:style>
  <w:style w:type="character" w:styleId="FollowedHyperlink">
    <w:name w:val="FollowedHyperlink"/>
    <w:basedOn w:val="DefaultParagraphFont"/>
    <w:rsid w:val="00CA74E7"/>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IRQ/4" TargetMode="External"/><Relationship Id="rId26" Type="http://schemas.openxmlformats.org/officeDocument/2006/relationships/hyperlink" Target="http://undocs.org/ar/CEDAW/C/FIN/Q/7"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undocs.org/ar/CEDAW/C/KAZ/3" TargetMode="External"/><Relationship Id="rId34" Type="http://schemas.openxmlformats.org/officeDocument/2006/relationships/hyperlink" Target="http://undocs.org/ar/CEDAW/C/QAT/Q/1/Add.1"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SLE/6" TargetMode="External"/><Relationship Id="rId25" Type="http://schemas.openxmlformats.org/officeDocument/2006/relationships/hyperlink" Target="http://undocs.org/ar/CEDAW/C/IRQ/Q/4" TargetMode="External"/><Relationship Id="rId33" Type="http://schemas.openxmlformats.org/officeDocument/2006/relationships/hyperlink" Target="http://undocs.org/ar/CEDAW/C/FIN/Q/7/Add.1"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ar/CEDAW/C/BHR/3" TargetMode="External"/><Relationship Id="rId20" Type="http://schemas.openxmlformats.org/officeDocument/2006/relationships/hyperlink" Target="http://undocs.org/ar/CEDAW/C/QAT/1" TargetMode="External"/><Relationship Id="rId29" Type="http://schemas.openxmlformats.org/officeDocument/2006/relationships/hyperlink" Target="http://undocs.org/ar/CEDAW/C/CMR/Q/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CEDAW/C/SLE/Q/6" TargetMode="External"/><Relationship Id="rId32" Type="http://schemas.openxmlformats.org/officeDocument/2006/relationships/hyperlink" Target="http://undocs.org/ar/CEDAW/C/IRQ/Q/4" TargetMode="External"/><Relationship Id="rId37" Type="http://schemas.openxmlformats.org/officeDocument/2006/relationships/hyperlink" Target="http://undocs.org/ar/CEDAW/C/58/1" TargetMode="External"/><Relationship Id="rId5" Type="http://schemas.openxmlformats.org/officeDocument/2006/relationships/endnotes" Target="endnotes.xml"/><Relationship Id="rId15" Type="http://schemas.openxmlformats.org/officeDocument/2006/relationships/hyperlink" Target="http://undocs.org/ar/CEDAW/C/PSWG/57/1" TargetMode="External"/><Relationship Id="rId23" Type="http://schemas.openxmlformats.org/officeDocument/2006/relationships/hyperlink" Target="http://undocs.org/ar/CEDAW/C/BHR/Q/3" TargetMode="External"/><Relationship Id="rId28" Type="http://schemas.openxmlformats.org/officeDocument/2006/relationships/hyperlink" Target="http://undocs.org/ar/CEDAW/C/KAZ/Q/3" TargetMode="External"/><Relationship Id="rId36" Type="http://schemas.openxmlformats.org/officeDocument/2006/relationships/hyperlink" Target="http://undocs.org/ar/CEDAW/C/CMR/Q/4" TargetMode="External"/><Relationship Id="rId10" Type="http://schemas.openxmlformats.org/officeDocument/2006/relationships/header" Target="header3.xml"/><Relationship Id="rId19" Type="http://schemas.openxmlformats.org/officeDocument/2006/relationships/hyperlink" Target="http://undocs.org/ar/CEDAW/C/FIN/7" TargetMode="External"/><Relationship Id="rId31" Type="http://schemas.openxmlformats.org/officeDocument/2006/relationships/hyperlink" Target="http://undocs.org/ar/CEDAW/C/SLE/Q/6/Add.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57/1" TargetMode="External"/><Relationship Id="rId22" Type="http://schemas.openxmlformats.org/officeDocument/2006/relationships/hyperlink" Target="http://undocs.org/ar/CEDAW/C/CMR/4" TargetMode="External"/><Relationship Id="rId27" Type="http://schemas.openxmlformats.org/officeDocument/2006/relationships/hyperlink" Target="http://undocs.org/ar/CEDAW/C/QAT/Q/1" TargetMode="External"/><Relationship Id="rId30" Type="http://schemas.openxmlformats.org/officeDocument/2006/relationships/hyperlink" Target="http://undocs.org/ar/CEDAW/C/BHR/Q/3/Add.1" TargetMode="External"/><Relationship Id="rId35" Type="http://schemas.openxmlformats.org/officeDocument/2006/relationships/hyperlink" Target="http://undocs.org/ar/CEDAW/C/KAZ/Q/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1088</Words>
  <Characters>6203</Characters>
  <Application>Microsoft Office Outlook</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7277</CharactersWithSpaces>
  <SharedDoc>false</SharedDoc>
  <HLinks>
    <vt:vector size="144" baseType="variant">
      <vt:variant>
        <vt:i4>5308417</vt:i4>
      </vt:variant>
      <vt:variant>
        <vt:i4>69</vt:i4>
      </vt:variant>
      <vt:variant>
        <vt:i4>0</vt:i4>
      </vt:variant>
      <vt:variant>
        <vt:i4>5</vt:i4>
      </vt:variant>
      <vt:variant>
        <vt:lpwstr>http://undocs.org/ar/CEDAW/C/58/1</vt:lpwstr>
      </vt:variant>
      <vt:variant>
        <vt:lpwstr/>
      </vt:variant>
      <vt:variant>
        <vt:i4>2031700</vt:i4>
      </vt:variant>
      <vt:variant>
        <vt:i4>66</vt:i4>
      </vt:variant>
      <vt:variant>
        <vt:i4>0</vt:i4>
      </vt:variant>
      <vt:variant>
        <vt:i4>5</vt:i4>
      </vt:variant>
      <vt:variant>
        <vt:lpwstr>http://undocs.org/ar/CEDAW/C/CMR/Q/4</vt:lpwstr>
      </vt:variant>
      <vt:variant>
        <vt:lpwstr/>
      </vt:variant>
      <vt:variant>
        <vt:i4>1572952</vt:i4>
      </vt:variant>
      <vt:variant>
        <vt:i4>63</vt:i4>
      </vt:variant>
      <vt:variant>
        <vt:i4>0</vt:i4>
      </vt:variant>
      <vt:variant>
        <vt:i4>5</vt:i4>
      </vt:variant>
      <vt:variant>
        <vt:lpwstr>http://undocs.org/ar/CEDAW/C/KAZ/Q/3</vt:lpwstr>
      </vt:variant>
      <vt:variant>
        <vt:lpwstr/>
      </vt:variant>
      <vt:variant>
        <vt:i4>3801149</vt:i4>
      </vt:variant>
      <vt:variant>
        <vt:i4>60</vt:i4>
      </vt:variant>
      <vt:variant>
        <vt:i4>0</vt:i4>
      </vt:variant>
      <vt:variant>
        <vt:i4>5</vt:i4>
      </vt:variant>
      <vt:variant>
        <vt:lpwstr>http://undocs.org/ar/CEDAW/C/QAT/Q/1/Add.1</vt:lpwstr>
      </vt:variant>
      <vt:variant>
        <vt:lpwstr/>
      </vt:variant>
      <vt:variant>
        <vt:i4>3211317</vt:i4>
      </vt:variant>
      <vt:variant>
        <vt:i4>57</vt:i4>
      </vt:variant>
      <vt:variant>
        <vt:i4>0</vt:i4>
      </vt:variant>
      <vt:variant>
        <vt:i4>5</vt:i4>
      </vt:variant>
      <vt:variant>
        <vt:lpwstr>http://undocs.org/ar/CEDAW/C/FIN/Q/7/Add.1</vt:lpwstr>
      </vt:variant>
      <vt:variant>
        <vt:lpwstr/>
      </vt:variant>
      <vt:variant>
        <vt:i4>1441867</vt:i4>
      </vt:variant>
      <vt:variant>
        <vt:i4>54</vt:i4>
      </vt:variant>
      <vt:variant>
        <vt:i4>0</vt:i4>
      </vt:variant>
      <vt:variant>
        <vt:i4>5</vt:i4>
      </vt:variant>
      <vt:variant>
        <vt:lpwstr>http://undocs.org/ar/CEDAW/C/IRQ/Q/4</vt:lpwstr>
      </vt:variant>
      <vt:variant>
        <vt:lpwstr/>
      </vt:variant>
      <vt:variant>
        <vt:i4>3014704</vt:i4>
      </vt:variant>
      <vt:variant>
        <vt:i4>51</vt:i4>
      </vt:variant>
      <vt:variant>
        <vt:i4>0</vt:i4>
      </vt:variant>
      <vt:variant>
        <vt:i4>5</vt:i4>
      </vt:variant>
      <vt:variant>
        <vt:lpwstr>http://undocs.org/ar/CEDAW/C/SLE/Q/6/Add.1</vt:lpwstr>
      </vt:variant>
      <vt:variant>
        <vt:lpwstr/>
      </vt:variant>
      <vt:variant>
        <vt:i4>2949172</vt:i4>
      </vt:variant>
      <vt:variant>
        <vt:i4>48</vt:i4>
      </vt:variant>
      <vt:variant>
        <vt:i4>0</vt:i4>
      </vt:variant>
      <vt:variant>
        <vt:i4>5</vt:i4>
      </vt:variant>
      <vt:variant>
        <vt:lpwstr>http://undocs.org/ar/CEDAW/C/BHR/Q/3/Add.1</vt:lpwstr>
      </vt:variant>
      <vt:variant>
        <vt:lpwstr/>
      </vt:variant>
      <vt:variant>
        <vt:i4>2031700</vt:i4>
      </vt:variant>
      <vt:variant>
        <vt:i4>45</vt:i4>
      </vt:variant>
      <vt:variant>
        <vt:i4>0</vt:i4>
      </vt:variant>
      <vt:variant>
        <vt:i4>5</vt:i4>
      </vt:variant>
      <vt:variant>
        <vt:lpwstr>http://undocs.org/ar/CEDAW/C/CMR/Q/4</vt:lpwstr>
      </vt:variant>
      <vt:variant>
        <vt:lpwstr/>
      </vt:variant>
      <vt:variant>
        <vt:i4>1572952</vt:i4>
      </vt:variant>
      <vt:variant>
        <vt:i4>42</vt:i4>
      </vt:variant>
      <vt:variant>
        <vt:i4>0</vt:i4>
      </vt:variant>
      <vt:variant>
        <vt:i4>5</vt:i4>
      </vt:variant>
      <vt:variant>
        <vt:lpwstr>http://undocs.org/ar/CEDAW/C/KAZ/Q/3</vt:lpwstr>
      </vt:variant>
      <vt:variant>
        <vt:lpwstr/>
      </vt:variant>
      <vt:variant>
        <vt:i4>917592</vt:i4>
      </vt:variant>
      <vt:variant>
        <vt:i4>39</vt:i4>
      </vt:variant>
      <vt:variant>
        <vt:i4>0</vt:i4>
      </vt:variant>
      <vt:variant>
        <vt:i4>5</vt:i4>
      </vt:variant>
      <vt:variant>
        <vt:lpwstr>http://undocs.org/ar/CEDAW/C/QAT/Q/1</vt:lpwstr>
      </vt:variant>
      <vt:variant>
        <vt:lpwstr/>
      </vt:variant>
      <vt:variant>
        <vt:i4>327760</vt:i4>
      </vt:variant>
      <vt:variant>
        <vt:i4>36</vt:i4>
      </vt:variant>
      <vt:variant>
        <vt:i4>0</vt:i4>
      </vt:variant>
      <vt:variant>
        <vt:i4>5</vt:i4>
      </vt:variant>
      <vt:variant>
        <vt:lpwstr>http://undocs.org/ar/CEDAW/C/FIN/Q/7</vt:lpwstr>
      </vt:variant>
      <vt:variant>
        <vt:lpwstr/>
      </vt:variant>
      <vt:variant>
        <vt:i4>1441867</vt:i4>
      </vt:variant>
      <vt:variant>
        <vt:i4>33</vt:i4>
      </vt:variant>
      <vt:variant>
        <vt:i4>0</vt:i4>
      </vt:variant>
      <vt:variant>
        <vt:i4>5</vt:i4>
      </vt:variant>
      <vt:variant>
        <vt:lpwstr>http://undocs.org/ar/CEDAW/C/IRQ/Q/4</vt:lpwstr>
      </vt:variant>
      <vt:variant>
        <vt:lpwstr/>
      </vt:variant>
      <vt:variant>
        <vt:i4>1704021</vt:i4>
      </vt:variant>
      <vt:variant>
        <vt:i4>30</vt:i4>
      </vt:variant>
      <vt:variant>
        <vt:i4>0</vt:i4>
      </vt:variant>
      <vt:variant>
        <vt:i4>5</vt:i4>
      </vt:variant>
      <vt:variant>
        <vt:lpwstr>http://undocs.org/ar/CEDAW/C/SLE/Q/6</vt:lpwstr>
      </vt:variant>
      <vt:variant>
        <vt:lpwstr/>
      </vt:variant>
      <vt:variant>
        <vt:i4>1638481</vt:i4>
      </vt:variant>
      <vt:variant>
        <vt:i4>27</vt:i4>
      </vt:variant>
      <vt:variant>
        <vt:i4>0</vt:i4>
      </vt:variant>
      <vt:variant>
        <vt:i4>5</vt:i4>
      </vt:variant>
      <vt:variant>
        <vt:lpwstr>http://undocs.org/ar/CEDAW/C/BHR/Q/3</vt:lpwstr>
      </vt:variant>
      <vt:variant>
        <vt:lpwstr/>
      </vt:variant>
      <vt:variant>
        <vt:i4>7209083</vt:i4>
      </vt:variant>
      <vt:variant>
        <vt:i4>24</vt:i4>
      </vt:variant>
      <vt:variant>
        <vt:i4>0</vt:i4>
      </vt:variant>
      <vt:variant>
        <vt:i4>5</vt:i4>
      </vt:variant>
      <vt:variant>
        <vt:lpwstr>http://undocs.org/ar/CEDAW/C/CMR/4</vt:lpwstr>
      </vt:variant>
      <vt:variant>
        <vt:lpwstr/>
      </vt:variant>
      <vt:variant>
        <vt:i4>6881399</vt:i4>
      </vt:variant>
      <vt:variant>
        <vt:i4>21</vt:i4>
      </vt:variant>
      <vt:variant>
        <vt:i4>0</vt:i4>
      </vt:variant>
      <vt:variant>
        <vt:i4>5</vt:i4>
      </vt:variant>
      <vt:variant>
        <vt:lpwstr>http://undocs.org/ar/CEDAW/C/KAZ/3</vt:lpwstr>
      </vt:variant>
      <vt:variant>
        <vt:lpwstr/>
      </vt:variant>
      <vt:variant>
        <vt:i4>8323191</vt:i4>
      </vt:variant>
      <vt:variant>
        <vt:i4>18</vt:i4>
      </vt:variant>
      <vt:variant>
        <vt:i4>0</vt:i4>
      </vt:variant>
      <vt:variant>
        <vt:i4>5</vt:i4>
      </vt:variant>
      <vt:variant>
        <vt:lpwstr>http://undocs.org/ar/CEDAW/C/QAT/1</vt:lpwstr>
      </vt:variant>
      <vt:variant>
        <vt:lpwstr/>
      </vt:variant>
      <vt:variant>
        <vt:i4>7602303</vt:i4>
      </vt:variant>
      <vt:variant>
        <vt:i4>15</vt:i4>
      </vt:variant>
      <vt:variant>
        <vt:i4>0</vt:i4>
      </vt:variant>
      <vt:variant>
        <vt:i4>5</vt:i4>
      </vt:variant>
      <vt:variant>
        <vt:lpwstr>http://undocs.org/ar/CEDAW/C/FIN/7</vt:lpwstr>
      </vt:variant>
      <vt:variant>
        <vt:lpwstr/>
      </vt:variant>
      <vt:variant>
        <vt:i4>6750308</vt:i4>
      </vt:variant>
      <vt:variant>
        <vt:i4>12</vt:i4>
      </vt:variant>
      <vt:variant>
        <vt:i4>0</vt:i4>
      </vt:variant>
      <vt:variant>
        <vt:i4>5</vt:i4>
      </vt:variant>
      <vt:variant>
        <vt:lpwstr>http://undocs.org/ar/CEDAW/C/IRQ/4</vt:lpwstr>
      </vt:variant>
      <vt:variant>
        <vt:lpwstr/>
      </vt:variant>
      <vt:variant>
        <vt:i4>7012474</vt:i4>
      </vt:variant>
      <vt:variant>
        <vt:i4>9</vt:i4>
      </vt:variant>
      <vt:variant>
        <vt:i4>0</vt:i4>
      </vt:variant>
      <vt:variant>
        <vt:i4>5</vt:i4>
      </vt:variant>
      <vt:variant>
        <vt:lpwstr>http://undocs.org/ar/CEDAW/C/SLE/6</vt:lpwstr>
      </vt:variant>
      <vt:variant>
        <vt:lpwstr/>
      </vt:variant>
      <vt:variant>
        <vt:i4>6815870</vt:i4>
      </vt:variant>
      <vt:variant>
        <vt:i4>6</vt:i4>
      </vt:variant>
      <vt:variant>
        <vt:i4>0</vt:i4>
      </vt:variant>
      <vt:variant>
        <vt:i4>5</vt:i4>
      </vt:variant>
      <vt:variant>
        <vt:lpwstr>http://undocs.org/ar/CEDAW/C/BHR/3</vt:lpwstr>
      </vt:variant>
      <vt:variant>
        <vt:lpwstr/>
      </vt:variant>
      <vt:variant>
        <vt:i4>6619191</vt:i4>
      </vt:variant>
      <vt:variant>
        <vt:i4>3</vt:i4>
      </vt:variant>
      <vt:variant>
        <vt:i4>0</vt:i4>
      </vt:variant>
      <vt:variant>
        <vt:i4>5</vt:i4>
      </vt:variant>
      <vt:variant>
        <vt:lpwstr>http://undocs.org/ar/CEDAW/C/PSWG/57/1</vt:lpwstr>
      </vt:variant>
      <vt:variant>
        <vt:lpwstr/>
      </vt:variant>
      <vt:variant>
        <vt:i4>5308430</vt:i4>
      </vt:variant>
      <vt:variant>
        <vt:i4>0</vt:i4>
      </vt:variant>
      <vt:variant>
        <vt:i4>0</vt:i4>
      </vt:variant>
      <vt:variant>
        <vt:i4>5</vt:i4>
      </vt:variant>
      <vt:variant>
        <vt:lpwstr>http://undocs.org/ar/CEDAW/C/57/1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Youssef ALI</dc:creator>
  <cp:keywords/>
  <dc:description/>
  <cp:lastModifiedBy>Front Desk 1</cp:lastModifiedBy>
  <cp:revision>6</cp:revision>
  <cp:lastPrinted>2013-12-09T07:39:00Z</cp:lastPrinted>
  <dcterms:created xsi:type="dcterms:W3CDTF">2013-12-09T07:36:00Z</dcterms:created>
  <dcterms:modified xsi:type="dcterms:W3CDTF">2013-12-09T09:00:00Z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1358743</vt:lpwstr>
  </property>
  <property fmtid="{D5CDD505-2E9C-101B-9397-08002B2CF9AE}" pid="3" name="Symbol1">
    <vt:lpwstr>CEDAW/C/57/1</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RAMI</vt:lpwstr>
  </property>
</Properties>
</file>