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1B30CA06" w14:textId="77777777" w:rsidTr="00B614C4">
        <w:trPr>
          <w:trHeight w:hRule="exact" w:val="851"/>
        </w:trPr>
        <w:tc>
          <w:tcPr>
            <w:tcW w:w="1280" w:type="dxa"/>
            <w:tcBorders>
              <w:bottom w:val="single" w:sz="4" w:space="0" w:color="auto"/>
            </w:tcBorders>
          </w:tcPr>
          <w:p w14:paraId="54701031" w14:textId="77777777" w:rsidR="00CE1D1C" w:rsidRPr="00F124C6" w:rsidRDefault="00CE1D1C" w:rsidP="00B614C4">
            <w:pPr>
              <w:pStyle w:val="H23GC"/>
            </w:pPr>
          </w:p>
        </w:tc>
        <w:tc>
          <w:tcPr>
            <w:tcW w:w="2273" w:type="dxa"/>
            <w:tcBorders>
              <w:bottom w:val="single" w:sz="4" w:space="0" w:color="auto"/>
            </w:tcBorders>
            <w:vAlign w:val="bottom"/>
          </w:tcPr>
          <w:p w14:paraId="6A2A0D07" w14:textId="77777777" w:rsidR="00CE1D1C" w:rsidRPr="0084128A" w:rsidRDefault="00CE1D1C" w:rsidP="00B614C4">
            <w:pPr>
              <w:spacing w:after="80" w:line="300" w:lineRule="exact"/>
              <w:rPr>
                <w:rFonts w:ascii="Time New Roman" w:eastAsia="黑体" w:hAnsi="Time New Roman" w:hint="eastAsia"/>
                <w:sz w:val="28"/>
              </w:rPr>
            </w:pPr>
            <w:r w:rsidRPr="0084128A">
              <w:rPr>
                <w:rFonts w:ascii="宋体" w:eastAsia="黑体" w:hAnsi="宋体" w:cs="宋体" w:hint="eastAsia"/>
                <w:sz w:val="28"/>
              </w:rPr>
              <w:t>联</w:t>
            </w:r>
            <w:r w:rsidR="0084128A">
              <w:rPr>
                <w:rFonts w:ascii="宋体" w:eastAsia="黑体" w:hAnsi="宋体" w:cs="宋体"/>
                <w:sz w:val="28"/>
              </w:rPr>
              <w:t xml:space="preserve"> </w:t>
            </w:r>
            <w:r w:rsidRPr="0084128A">
              <w:rPr>
                <w:rFonts w:ascii="宋体" w:eastAsia="黑体" w:hAnsi="宋体" w:cs="宋体" w:hint="eastAsia"/>
                <w:sz w:val="28"/>
              </w:rPr>
              <w:t>合</w:t>
            </w:r>
            <w:r w:rsidR="0084128A">
              <w:rPr>
                <w:rFonts w:ascii="宋体" w:eastAsia="黑体" w:hAnsi="宋体" w:cs="宋体"/>
                <w:sz w:val="28"/>
              </w:rPr>
              <w:t xml:space="preserve"> </w:t>
            </w:r>
            <w:r w:rsidRPr="0084128A">
              <w:rPr>
                <w:rFonts w:ascii="宋体" w:eastAsia="黑体" w:hAnsi="宋体" w:cs="宋体" w:hint="eastAsia"/>
                <w:sz w:val="28"/>
              </w:rPr>
              <w:t>国</w:t>
            </w:r>
          </w:p>
        </w:tc>
        <w:tc>
          <w:tcPr>
            <w:tcW w:w="6086" w:type="dxa"/>
            <w:gridSpan w:val="2"/>
            <w:tcBorders>
              <w:bottom w:val="single" w:sz="4" w:space="0" w:color="auto"/>
            </w:tcBorders>
            <w:vAlign w:val="bottom"/>
          </w:tcPr>
          <w:p w14:paraId="6A42AE97" w14:textId="60A22689" w:rsidR="00CE1D1C" w:rsidRPr="00C90C70" w:rsidRDefault="00C90C70" w:rsidP="00B614C4">
            <w:pPr>
              <w:spacing w:line="240" w:lineRule="atLeast"/>
              <w:jc w:val="right"/>
              <w:rPr>
                <w:sz w:val="20"/>
                <w:szCs w:val="21"/>
              </w:rPr>
            </w:pPr>
            <w:r>
              <w:rPr>
                <w:sz w:val="40"/>
                <w:szCs w:val="21"/>
              </w:rPr>
              <w:t>CCPR</w:t>
            </w:r>
            <w:r>
              <w:rPr>
                <w:sz w:val="20"/>
                <w:szCs w:val="21"/>
              </w:rPr>
              <w:t>/C/MDA/CO/4</w:t>
            </w:r>
          </w:p>
        </w:tc>
      </w:tr>
      <w:tr w:rsidR="00CE1D1C" w:rsidRPr="00F124C6" w14:paraId="43497C09" w14:textId="77777777" w:rsidTr="00B614C4">
        <w:trPr>
          <w:trHeight w:hRule="exact" w:val="2835"/>
        </w:trPr>
        <w:tc>
          <w:tcPr>
            <w:tcW w:w="1280" w:type="dxa"/>
            <w:tcBorders>
              <w:top w:val="single" w:sz="4" w:space="0" w:color="auto"/>
              <w:bottom w:val="single" w:sz="12" w:space="0" w:color="auto"/>
            </w:tcBorders>
          </w:tcPr>
          <w:p w14:paraId="39C302A0" w14:textId="77777777" w:rsidR="00CE1D1C" w:rsidRPr="00F124C6" w:rsidRDefault="00CE1D1C" w:rsidP="00B614C4">
            <w:pPr>
              <w:spacing w:line="120" w:lineRule="atLeast"/>
              <w:rPr>
                <w:sz w:val="10"/>
                <w:szCs w:val="10"/>
              </w:rPr>
            </w:pPr>
          </w:p>
          <w:p w14:paraId="094881AE"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7A6E965D" wp14:editId="7F8B78D9">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DA3A39D"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49C888BD" w14:textId="7AC2EE14" w:rsidR="00CE1D1C" w:rsidRPr="0004600B" w:rsidRDefault="00C90C70" w:rsidP="00B614C4">
            <w:pPr>
              <w:spacing w:before="240" w:line="240" w:lineRule="atLeast"/>
              <w:rPr>
                <w:sz w:val="20"/>
              </w:rPr>
            </w:pPr>
            <w:r>
              <w:rPr>
                <w:sz w:val="20"/>
              </w:rPr>
              <w:t xml:space="preserve">Distr.: </w:t>
            </w:r>
            <w:r w:rsidRPr="00C90C70">
              <w:rPr>
                <w:sz w:val="20"/>
              </w:rPr>
              <w:t>General</w:t>
            </w:r>
          </w:p>
          <w:p w14:paraId="2D32982C" w14:textId="12BF73C9" w:rsidR="00CE1D1C" w:rsidRPr="00F124C6" w:rsidRDefault="00C90C70" w:rsidP="00B614C4">
            <w:pPr>
              <w:spacing w:line="240" w:lineRule="atLeast"/>
              <w:rPr>
                <w:sz w:val="20"/>
              </w:rPr>
            </w:pPr>
            <w:r w:rsidRPr="00C90C70">
              <w:rPr>
                <w:sz w:val="20"/>
              </w:rPr>
              <w:t>2 April 2026</w:t>
            </w:r>
          </w:p>
          <w:p w14:paraId="09049DD7" w14:textId="308C3254" w:rsidR="00CE1D1C" w:rsidRPr="00F124C6" w:rsidRDefault="00C90C70" w:rsidP="00B614C4">
            <w:pPr>
              <w:spacing w:line="240" w:lineRule="atLeast"/>
              <w:rPr>
                <w:sz w:val="20"/>
              </w:rPr>
            </w:pPr>
            <w:r>
              <w:rPr>
                <w:sz w:val="20"/>
              </w:rPr>
              <w:t>Chinese</w:t>
            </w:r>
            <w:r w:rsidR="00CE1D1C" w:rsidRPr="00F124C6">
              <w:rPr>
                <w:sz w:val="20"/>
              </w:rPr>
              <w:t xml:space="preserve"> </w:t>
            </w:r>
          </w:p>
          <w:p w14:paraId="1127EA05" w14:textId="276581B0" w:rsidR="00CE1D1C" w:rsidRPr="00F124C6" w:rsidRDefault="00C90C70" w:rsidP="00B614C4">
            <w:pPr>
              <w:spacing w:line="240" w:lineRule="atLeast"/>
            </w:pPr>
            <w:r>
              <w:rPr>
                <w:sz w:val="20"/>
              </w:rPr>
              <w:t>Original: English</w:t>
            </w:r>
          </w:p>
        </w:tc>
      </w:tr>
    </w:tbl>
    <w:p w14:paraId="5AE9CDFC" w14:textId="77777777" w:rsidR="00C90C70" w:rsidRDefault="00C90C70" w:rsidP="007715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14:paraId="568ACD5C" w14:textId="1CAD49F1" w:rsidR="00C90C70" w:rsidRDefault="00C90C70" w:rsidP="00C90C70">
      <w:pPr>
        <w:pStyle w:val="HChGC"/>
      </w:pPr>
      <w:r>
        <w:rPr>
          <w:rFonts w:hint="eastAsia"/>
        </w:rPr>
        <w:tab/>
      </w:r>
      <w:r>
        <w:rPr>
          <w:rFonts w:hint="eastAsia"/>
        </w:rPr>
        <w:tab/>
      </w:r>
      <w:r>
        <w:rPr>
          <w:rFonts w:hint="eastAsia"/>
        </w:rPr>
        <w:t>关于摩尔多瓦共和国第四次定期报告的结论性意见</w:t>
      </w:r>
      <w:r w:rsidRPr="00C747A1">
        <w:rPr>
          <w:rStyle w:val="a8"/>
          <w:rFonts w:eastAsia="黑体"/>
          <w:sz w:val="28"/>
          <w:vertAlign w:val="baseline"/>
        </w:rPr>
        <w:footnoteReference w:customMarkFollows="1" w:id="2"/>
        <w:t>*</w:t>
      </w:r>
    </w:p>
    <w:p w14:paraId="25F51AB0" w14:textId="381C8F37" w:rsidR="00C90C70" w:rsidRDefault="00C90C70" w:rsidP="00C90C70">
      <w:pPr>
        <w:pStyle w:val="SingleTxtGC"/>
      </w:pPr>
      <w:r>
        <w:rPr>
          <w:rFonts w:hint="eastAsia"/>
        </w:rPr>
        <w:t>1.</w:t>
      </w:r>
      <w:r>
        <w:rPr>
          <w:rFonts w:hint="eastAsia"/>
        </w:rPr>
        <w:tab/>
      </w:r>
      <w:r>
        <w:rPr>
          <w:rFonts w:hint="eastAsia"/>
        </w:rPr>
        <w:t>委员会在</w:t>
      </w:r>
      <w:r>
        <w:rPr>
          <w:rFonts w:hint="eastAsia"/>
        </w:rPr>
        <w:t>2026</w:t>
      </w:r>
      <w:r>
        <w:rPr>
          <w:rFonts w:hint="eastAsia"/>
        </w:rPr>
        <w:t>年</w:t>
      </w:r>
      <w:r>
        <w:rPr>
          <w:rFonts w:hint="eastAsia"/>
        </w:rPr>
        <w:t>3</w:t>
      </w:r>
      <w:r>
        <w:rPr>
          <w:rFonts w:hint="eastAsia"/>
        </w:rPr>
        <w:t>月</w:t>
      </w:r>
      <w:r>
        <w:rPr>
          <w:rFonts w:hint="eastAsia"/>
        </w:rPr>
        <w:t>9</w:t>
      </w:r>
      <w:r>
        <w:rPr>
          <w:rFonts w:hint="eastAsia"/>
        </w:rPr>
        <w:t>日和</w:t>
      </w:r>
      <w:r>
        <w:rPr>
          <w:rFonts w:hint="eastAsia"/>
        </w:rPr>
        <w:t>10</w:t>
      </w:r>
      <w:r>
        <w:rPr>
          <w:rFonts w:hint="eastAsia"/>
        </w:rPr>
        <w:t>日举行的第</w:t>
      </w:r>
      <w:r>
        <w:rPr>
          <w:rFonts w:hint="eastAsia"/>
        </w:rPr>
        <w:t>4272</w:t>
      </w:r>
      <w:r>
        <w:rPr>
          <w:rFonts w:hint="eastAsia"/>
        </w:rPr>
        <w:t>和</w:t>
      </w:r>
      <w:r>
        <w:rPr>
          <w:rFonts w:hint="eastAsia"/>
        </w:rPr>
        <w:t>4273</w:t>
      </w:r>
      <w:r>
        <w:rPr>
          <w:rFonts w:hint="eastAsia"/>
        </w:rPr>
        <w:t>次会议</w:t>
      </w:r>
      <w:r w:rsidR="00925D2E">
        <w:rPr>
          <w:rStyle w:val="a8"/>
          <w:rFonts w:eastAsia="宋体"/>
        </w:rPr>
        <w:footnoteReference w:id="3"/>
      </w:r>
      <w:r>
        <w:rPr>
          <w:rFonts w:hint="eastAsia"/>
        </w:rPr>
        <w:t xml:space="preserve"> </w:t>
      </w:r>
      <w:r>
        <w:rPr>
          <w:rFonts w:hint="eastAsia"/>
        </w:rPr>
        <w:t>上审议了摩尔多瓦共和国的第四次定期报告</w:t>
      </w:r>
      <w:r w:rsidR="00925D2E">
        <w:rPr>
          <w:rStyle w:val="a8"/>
          <w:rFonts w:eastAsia="宋体"/>
        </w:rPr>
        <w:footnoteReference w:id="4"/>
      </w:r>
      <w:r>
        <w:rPr>
          <w:rFonts w:hint="eastAsia"/>
        </w:rPr>
        <w:t>，并在</w:t>
      </w:r>
      <w:r>
        <w:rPr>
          <w:rFonts w:hint="eastAsia"/>
        </w:rPr>
        <w:t>2026</w:t>
      </w:r>
      <w:r>
        <w:rPr>
          <w:rFonts w:hint="eastAsia"/>
        </w:rPr>
        <w:t>年</w:t>
      </w:r>
      <w:r>
        <w:rPr>
          <w:rFonts w:hint="eastAsia"/>
        </w:rPr>
        <w:t>3</w:t>
      </w:r>
      <w:r>
        <w:rPr>
          <w:rFonts w:hint="eastAsia"/>
        </w:rPr>
        <w:t>月</w:t>
      </w:r>
      <w:r>
        <w:rPr>
          <w:rFonts w:hint="eastAsia"/>
        </w:rPr>
        <w:t>17</w:t>
      </w:r>
      <w:r>
        <w:rPr>
          <w:rFonts w:hint="eastAsia"/>
        </w:rPr>
        <w:t>日举行的第</w:t>
      </w:r>
      <w:r>
        <w:rPr>
          <w:rFonts w:hint="eastAsia"/>
        </w:rPr>
        <w:t>4284</w:t>
      </w:r>
      <w:r>
        <w:rPr>
          <w:rFonts w:hint="eastAsia"/>
        </w:rPr>
        <w:t>次会议上通过了本结论性意见。</w:t>
      </w:r>
    </w:p>
    <w:p w14:paraId="470DAABA" w14:textId="098B6F00" w:rsidR="00C90C70" w:rsidRDefault="00C747A1" w:rsidP="00C747A1">
      <w:pPr>
        <w:pStyle w:val="H1GC"/>
      </w:pPr>
      <w:r>
        <w:tab/>
      </w:r>
      <w:r>
        <w:rPr>
          <w:rFonts w:hint="eastAsia"/>
        </w:rPr>
        <w:t>A.</w:t>
      </w:r>
      <w:r w:rsidR="00C90C70">
        <w:rPr>
          <w:rFonts w:hint="eastAsia"/>
        </w:rPr>
        <w:tab/>
      </w:r>
      <w:r w:rsidR="00C90C70">
        <w:rPr>
          <w:rFonts w:hint="eastAsia"/>
        </w:rPr>
        <w:t>导言</w:t>
      </w:r>
    </w:p>
    <w:p w14:paraId="725B84C6" w14:textId="6924C3EF" w:rsidR="00C90C70" w:rsidRDefault="00C90C70" w:rsidP="00C90C70">
      <w:pPr>
        <w:pStyle w:val="SingleTxtGC"/>
      </w:pPr>
      <w:r>
        <w:rPr>
          <w:rFonts w:hint="eastAsia"/>
        </w:rPr>
        <w:t>2.</w:t>
      </w:r>
      <w:r>
        <w:rPr>
          <w:rFonts w:hint="eastAsia"/>
        </w:rPr>
        <w:tab/>
      </w:r>
      <w:r>
        <w:rPr>
          <w:rFonts w:hint="eastAsia"/>
        </w:rPr>
        <w:t>委员会感谢缔约国接受简化报告程序并按照依该程序所拟报告前问题清单提交第四次定期报告。</w:t>
      </w:r>
      <w:r w:rsidR="00925D2E">
        <w:rPr>
          <w:rStyle w:val="a8"/>
          <w:rFonts w:eastAsia="宋体"/>
        </w:rPr>
        <w:footnoteReference w:id="5"/>
      </w:r>
      <w:r>
        <w:rPr>
          <w:rFonts w:hint="eastAsia"/>
        </w:rPr>
        <w:t xml:space="preserve"> </w:t>
      </w:r>
      <w:r>
        <w:rPr>
          <w:rFonts w:hint="eastAsia"/>
        </w:rPr>
        <w:t>委员会赞赏有机会再次与缔约国高级别代表团开展建设性对话，讨论缔约国在报告所述期间为执行《公约》规定而采取的措施。委员会感谢缔约国代表团所作的口头答复、以书面形式提交的补充资料以及在对话过程中展现的高度透明度。</w:t>
      </w:r>
    </w:p>
    <w:p w14:paraId="3C018CA7" w14:textId="38DDA3E9" w:rsidR="00C90C70" w:rsidRDefault="00C747A1" w:rsidP="00C747A1">
      <w:pPr>
        <w:pStyle w:val="H1GC"/>
      </w:pPr>
      <w:r>
        <w:tab/>
      </w:r>
      <w:r>
        <w:rPr>
          <w:rFonts w:hint="eastAsia"/>
        </w:rPr>
        <w:t>B.</w:t>
      </w:r>
      <w:r w:rsidR="00C90C70">
        <w:rPr>
          <w:rFonts w:hint="eastAsia"/>
        </w:rPr>
        <w:tab/>
      </w:r>
      <w:r w:rsidR="00C90C70">
        <w:rPr>
          <w:rFonts w:hint="eastAsia"/>
        </w:rPr>
        <w:t>积极方面</w:t>
      </w:r>
    </w:p>
    <w:p w14:paraId="0EF733DD" w14:textId="77777777" w:rsidR="004436AF" w:rsidRDefault="00C90C70" w:rsidP="00C90C70">
      <w:pPr>
        <w:pStyle w:val="SingleTxtGC"/>
      </w:pPr>
      <w:r>
        <w:rPr>
          <w:rFonts w:hint="eastAsia"/>
        </w:rPr>
        <w:t>3.</w:t>
      </w:r>
      <w:r>
        <w:rPr>
          <w:rFonts w:hint="eastAsia"/>
        </w:rPr>
        <w:tab/>
      </w:r>
      <w:r>
        <w:rPr>
          <w:rFonts w:hint="eastAsia"/>
        </w:rPr>
        <w:t>委员会欢迎缔约国采取一系列广泛的立法、政策和体制措施，包括为考虑加入欧盟而采取的措施。委员会特别欢迎缔约国通过以下文件：</w:t>
      </w:r>
    </w:p>
    <w:p w14:paraId="2A029A30" w14:textId="77777777" w:rsidR="004436AF" w:rsidRDefault="004436AF" w:rsidP="00C90C70">
      <w:pPr>
        <w:pStyle w:val="SingleTxtGC"/>
      </w:pPr>
      <w:r>
        <w:rPr>
          <w:rFonts w:hint="eastAsia"/>
        </w:rPr>
        <w:tab/>
        <w:t>(</w:t>
      </w:r>
      <w:r w:rsidR="00C90C70">
        <w:rPr>
          <w:rFonts w:hint="eastAsia"/>
        </w:rPr>
        <w:t>a)</w:t>
      </w:r>
      <w:r w:rsidR="00C90C70">
        <w:rPr>
          <w:rFonts w:hint="eastAsia"/>
        </w:rPr>
        <w:tab/>
      </w:r>
      <w:r w:rsidR="00C90C70">
        <w:rPr>
          <w:rFonts w:hint="eastAsia"/>
        </w:rPr>
        <w:t>第</w:t>
      </w:r>
      <w:r w:rsidR="00C90C70">
        <w:rPr>
          <w:rFonts w:hint="eastAsia"/>
        </w:rPr>
        <w:t>86/2020</w:t>
      </w:r>
      <w:r w:rsidR="00C90C70">
        <w:rPr>
          <w:rFonts w:hint="eastAsia"/>
        </w:rPr>
        <w:t>号法，简化了民间社会组织的登记程序，并取消了对会员资格和内部治理结构的限制；</w:t>
      </w:r>
    </w:p>
    <w:p w14:paraId="27ACE996" w14:textId="77777777" w:rsidR="004436AF" w:rsidRDefault="004436AF" w:rsidP="00C90C70">
      <w:pPr>
        <w:pStyle w:val="SingleTxtGC"/>
      </w:pPr>
      <w:r>
        <w:rPr>
          <w:rFonts w:hint="eastAsia"/>
        </w:rPr>
        <w:tab/>
        <w:t>(</w:t>
      </w:r>
      <w:r w:rsidR="00C90C70">
        <w:rPr>
          <w:rFonts w:hint="eastAsia"/>
        </w:rPr>
        <w:t>b)</w:t>
      </w:r>
      <w:r w:rsidR="00C90C70">
        <w:rPr>
          <w:rFonts w:hint="eastAsia"/>
        </w:rPr>
        <w:tab/>
      </w:r>
      <w:r w:rsidR="00C90C70">
        <w:rPr>
          <w:rFonts w:hint="eastAsia"/>
        </w:rPr>
        <w:t>第</w:t>
      </w:r>
      <w:r w:rsidR="00C90C70">
        <w:rPr>
          <w:rFonts w:hint="eastAsia"/>
        </w:rPr>
        <w:t>148/2023</w:t>
      </w:r>
      <w:r w:rsidR="00C90C70">
        <w:rPr>
          <w:rFonts w:hint="eastAsia"/>
        </w:rPr>
        <w:t>号法，促进了公共利益信息的获取；</w:t>
      </w:r>
    </w:p>
    <w:p w14:paraId="61142568" w14:textId="77777777" w:rsidR="004436AF" w:rsidRDefault="004436AF" w:rsidP="00C90C70">
      <w:pPr>
        <w:pStyle w:val="SingleTxtGC"/>
      </w:pPr>
      <w:r>
        <w:rPr>
          <w:rFonts w:hint="eastAsia"/>
        </w:rPr>
        <w:tab/>
        <w:t>(</w:t>
      </w:r>
      <w:r w:rsidR="00C90C70">
        <w:rPr>
          <w:rFonts w:hint="eastAsia"/>
        </w:rPr>
        <w:t>c)</w:t>
      </w:r>
      <w:r w:rsidR="00C90C70">
        <w:rPr>
          <w:rFonts w:hint="eastAsia"/>
        </w:rPr>
        <w:tab/>
      </w:r>
      <w:r w:rsidR="00C90C70">
        <w:rPr>
          <w:rFonts w:hint="eastAsia"/>
        </w:rPr>
        <w:t>第</w:t>
      </w:r>
      <w:r w:rsidR="00C90C70">
        <w:rPr>
          <w:rFonts w:hint="eastAsia"/>
        </w:rPr>
        <w:t>165/2023</w:t>
      </w:r>
      <w:r w:rsidR="00C90C70">
        <w:rPr>
          <w:rFonts w:hint="eastAsia"/>
        </w:rPr>
        <w:t>号法，为举报人提供保护；</w:t>
      </w:r>
    </w:p>
    <w:p w14:paraId="42CC5AA8" w14:textId="77777777" w:rsidR="004436AF" w:rsidRDefault="004436AF" w:rsidP="00C90C70">
      <w:pPr>
        <w:pStyle w:val="SingleTxtGC"/>
      </w:pPr>
      <w:r>
        <w:rPr>
          <w:rFonts w:hint="eastAsia"/>
        </w:rPr>
        <w:tab/>
        <w:t>(</w:t>
      </w:r>
      <w:r w:rsidR="00C90C70">
        <w:rPr>
          <w:rFonts w:hint="eastAsia"/>
        </w:rPr>
        <w:t>d)</w:t>
      </w:r>
      <w:r w:rsidR="00C90C70">
        <w:rPr>
          <w:rFonts w:hint="eastAsia"/>
        </w:rPr>
        <w:tab/>
      </w:r>
      <w:r w:rsidR="00C90C70">
        <w:rPr>
          <w:rFonts w:hint="eastAsia"/>
        </w:rPr>
        <w:t>第</w:t>
      </w:r>
      <w:r w:rsidR="00C90C70">
        <w:rPr>
          <w:rFonts w:hint="eastAsia"/>
        </w:rPr>
        <w:t>114/2024</w:t>
      </w:r>
      <w:r w:rsidR="00C90C70">
        <w:rPr>
          <w:rFonts w:hint="eastAsia"/>
        </w:rPr>
        <w:t>号法，建立了保护心理健康的新法律框架；</w:t>
      </w:r>
    </w:p>
    <w:p w14:paraId="2C81B799" w14:textId="77777777" w:rsidR="004436AF" w:rsidRDefault="004436AF" w:rsidP="00C90C70">
      <w:pPr>
        <w:pStyle w:val="SingleTxtGC"/>
      </w:pPr>
      <w:r>
        <w:rPr>
          <w:rFonts w:hint="eastAsia"/>
        </w:rPr>
        <w:tab/>
        <w:t>(</w:t>
      </w:r>
      <w:r w:rsidR="00C90C70">
        <w:rPr>
          <w:rFonts w:hint="eastAsia"/>
        </w:rPr>
        <w:t>e)</w:t>
      </w:r>
      <w:r w:rsidR="00C90C70">
        <w:rPr>
          <w:rFonts w:hint="eastAsia"/>
        </w:rPr>
        <w:tab/>
      </w:r>
      <w:r w:rsidR="00C90C70">
        <w:rPr>
          <w:rFonts w:hint="eastAsia"/>
        </w:rPr>
        <w:t>第</w:t>
      </w:r>
      <w:r w:rsidR="00C90C70">
        <w:rPr>
          <w:rFonts w:hint="eastAsia"/>
        </w:rPr>
        <w:t>231/2024</w:t>
      </w:r>
      <w:r w:rsidR="00C90C70">
        <w:rPr>
          <w:rFonts w:hint="eastAsia"/>
        </w:rPr>
        <w:t>号法，将杀害女性的概念和防止心理暴力的保障措施</w:t>
      </w:r>
      <w:r w:rsidR="00C90C70">
        <w:rPr>
          <w:rFonts w:hint="eastAsia"/>
        </w:rPr>
        <w:t>(</w:t>
      </w:r>
      <w:r w:rsidR="00C90C70">
        <w:rPr>
          <w:rFonts w:hint="eastAsia"/>
        </w:rPr>
        <w:t>包括数字层面</w:t>
      </w:r>
      <w:r w:rsidR="00C90C70">
        <w:rPr>
          <w:rFonts w:hint="eastAsia"/>
        </w:rPr>
        <w:t>)</w:t>
      </w:r>
      <w:r w:rsidR="00C90C70">
        <w:rPr>
          <w:rFonts w:hint="eastAsia"/>
        </w:rPr>
        <w:t>纳入缔约国的刑事立法；</w:t>
      </w:r>
    </w:p>
    <w:p w14:paraId="7D92C5D1" w14:textId="77777777" w:rsidR="004436AF" w:rsidRDefault="004436AF" w:rsidP="00C90C70">
      <w:pPr>
        <w:pStyle w:val="SingleTxtGC"/>
      </w:pPr>
      <w:r>
        <w:rPr>
          <w:rFonts w:hint="eastAsia"/>
        </w:rPr>
        <w:lastRenderedPageBreak/>
        <w:tab/>
        <w:t>(</w:t>
      </w:r>
      <w:r w:rsidR="00C90C70">
        <w:rPr>
          <w:rFonts w:hint="eastAsia"/>
        </w:rPr>
        <w:t>f)</w:t>
      </w:r>
      <w:r w:rsidR="00C90C70">
        <w:rPr>
          <w:rFonts w:hint="eastAsia"/>
        </w:rPr>
        <w:tab/>
      </w:r>
      <w:r w:rsidR="00C90C70">
        <w:rPr>
          <w:rFonts w:hint="eastAsia"/>
        </w:rPr>
        <w:t>第</w:t>
      </w:r>
      <w:r w:rsidR="00C90C70">
        <w:rPr>
          <w:rFonts w:hint="eastAsia"/>
        </w:rPr>
        <w:t>100/2025</w:t>
      </w:r>
      <w:r w:rsidR="00C90C70">
        <w:rPr>
          <w:rFonts w:hint="eastAsia"/>
        </w:rPr>
        <w:t>号法，引入针对选举腐败和收买选票行为的额外保障措施；</w:t>
      </w:r>
    </w:p>
    <w:p w14:paraId="19682044" w14:textId="77777777" w:rsidR="004436AF" w:rsidRDefault="004436AF" w:rsidP="00C90C70">
      <w:pPr>
        <w:pStyle w:val="SingleTxtGC"/>
      </w:pPr>
      <w:r>
        <w:rPr>
          <w:rFonts w:hint="eastAsia"/>
        </w:rPr>
        <w:tab/>
        <w:t>(</w:t>
      </w:r>
      <w:r w:rsidR="00C90C70">
        <w:rPr>
          <w:rFonts w:hint="eastAsia"/>
        </w:rPr>
        <w:t>g)</w:t>
      </w:r>
      <w:r w:rsidR="00C90C70">
        <w:rPr>
          <w:rFonts w:hint="eastAsia"/>
        </w:rPr>
        <w:tab/>
      </w:r>
      <w:r w:rsidR="00C90C70">
        <w:rPr>
          <w:rFonts w:hint="eastAsia"/>
        </w:rPr>
        <w:t>第</w:t>
      </w:r>
      <w:r w:rsidR="00C90C70">
        <w:rPr>
          <w:rFonts w:hint="eastAsia"/>
        </w:rPr>
        <w:t>192/2025</w:t>
      </w:r>
      <w:r w:rsidR="00C90C70">
        <w:rPr>
          <w:rFonts w:hint="eastAsia"/>
        </w:rPr>
        <w:t>号法，在基希讷乌地区法院设立反腐败合议庭，并在中央上诉法院设立专门的反腐败审判庭；</w:t>
      </w:r>
    </w:p>
    <w:p w14:paraId="6314BCF8" w14:textId="77777777" w:rsidR="004436AF" w:rsidRDefault="004436AF" w:rsidP="00C90C70">
      <w:pPr>
        <w:pStyle w:val="SingleTxtGC"/>
      </w:pPr>
      <w:r>
        <w:rPr>
          <w:rFonts w:hint="eastAsia"/>
        </w:rPr>
        <w:tab/>
        <w:t>(</w:t>
      </w:r>
      <w:r w:rsidR="00C90C70">
        <w:rPr>
          <w:rFonts w:hint="eastAsia"/>
        </w:rPr>
        <w:t>h)</w:t>
      </w:r>
      <w:r w:rsidR="00C90C70">
        <w:rPr>
          <w:rFonts w:hint="eastAsia"/>
        </w:rPr>
        <w:tab/>
      </w:r>
      <w:r w:rsidR="00C90C70">
        <w:rPr>
          <w:rFonts w:hint="eastAsia"/>
        </w:rPr>
        <w:t>第</w:t>
      </w:r>
      <w:r w:rsidR="00C90C70">
        <w:rPr>
          <w:rFonts w:hint="eastAsia"/>
        </w:rPr>
        <w:t>241/2025</w:t>
      </w:r>
      <w:r w:rsidR="00C90C70">
        <w:rPr>
          <w:rFonts w:hint="eastAsia"/>
        </w:rPr>
        <w:t>号法，进一步完善法官和检察官的绩效评估框架；</w:t>
      </w:r>
    </w:p>
    <w:p w14:paraId="0AA04F54" w14:textId="77777777" w:rsidR="004436AF" w:rsidRDefault="004436AF" w:rsidP="00C90C70">
      <w:pPr>
        <w:pStyle w:val="SingleTxtGC"/>
      </w:pPr>
      <w:r>
        <w:rPr>
          <w:rFonts w:hint="eastAsia"/>
        </w:rPr>
        <w:tab/>
        <w:t>(</w:t>
      </w:r>
      <w:proofErr w:type="spellStart"/>
      <w:r w:rsidR="00C90C70">
        <w:rPr>
          <w:rFonts w:hint="eastAsia"/>
        </w:rPr>
        <w:t>i</w:t>
      </w:r>
      <w:proofErr w:type="spellEnd"/>
      <w:r w:rsidR="00C90C70">
        <w:rPr>
          <w:rFonts w:hint="eastAsia"/>
        </w:rPr>
        <w:t>)</w:t>
      </w:r>
      <w:r w:rsidR="00C90C70">
        <w:rPr>
          <w:rFonts w:hint="eastAsia"/>
        </w:rPr>
        <w:tab/>
      </w:r>
      <w:r w:rsidR="00C90C70">
        <w:rPr>
          <w:rFonts w:hint="eastAsia"/>
        </w:rPr>
        <w:t>第</w:t>
      </w:r>
      <w:r w:rsidR="00C90C70">
        <w:rPr>
          <w:rFonts w:hint="eastAsia"/>
        </w:rPr>
        <w:t>252/2025</w:t>
      </w:r>
      <w:r w:rsidR="00C90C70">
        <w:rPr>
          <w:rFonts w:hint="eastAsia"/>
        </w:rPr>
        <w:t>号法，加强了保障措施，保护记者免受阻挠、恐吓和暴力，将强迫婚姻和跟踪骚扰</w:t>
      </w:r>
      <w:r w:rsidR="00C90C70">
        <w:rPr>
          <w:rFonts w:hint="eastAsia"/>
        </w:rPr>
        <w:t>(</w:t>
      </w:r>
      <w:r w:rsidR="00C90C70">
        <w:rPr>
          <w:rFonts w:hint="eastAsia"/>
        </w:rPr>
        <w:t>包括数字跟踪骚扰</w:t>
      </w:r>
      <w:r w:rsidR="00C90C70">
        <w:rPr>
          <w:rFonts w:hint="eastAsia"/>
        </w:rPr>
        <w:t>)</w:t>
      </w:r>
      <w:r w:rsidR="00C90C70">
        <w:rPr>
          <w:rFonts w:hint="eastAsia"/>
        </w:rPr>
        <w:t>定为刑事犯罪，扩大了家庭暴力的定义，并加强了对受害者的保护；</w:t>
      </w:r>
    </w:p>
    <w:p w14:paraId="6F2A593C" w14:textId="77777777" w:rsidR="004436AF" w:rsidRDefault="004436AF" w:rsidP="00C90C70">
      <w:pPr>
        <w:pStyle w:val="SingleTxtGC"/>
      </w:pPr>
      <w:r>
        <w:rPr>
          <w:rFonts w:hint="eastAsia"/>
        </w:rPr>
        <w:tab/>
        <w:t>(</w:t>
      </w:r>
      <w:r w:rsidR="00C90C70">
        <w:rPr>
          <w:rFonts w:hint="eastAsia"/>
        </w:rPr>
        <w:t>j)</w:t>
      </w:r>
      <w:r w:rsidR="00C90C70">
        <w:rPr>
          <w:rFonts w:hint="eastAsia"/>
        </w:rPr>
        <w:tab/>
      </w:r>
      <w:r w:rsidR="00C90C70">
        <w:rPr>
          <w:rFonts w:hint="eastAsia"/>
        </w:rPr>
        <w:t>第</w:t>
      </w:r>
      <w:r w:rsidR="00C90C70">
        <w:rPr>
          <w:rFonts w:hint="eastAsia"/>
        </w:rPr>
        <w:t>4/2026</w:t>
      </w:r>
      <w:r w:rsidR="00C90C70">
        <w:rPr>
          <w:rFonts w:hint="eastAsia"/>
        </w:rPr>
        <w:t>号法，规定将作为犯罪活动所得被没收的资产用于社会倡议；</w:t>
      </w:r>
    </w:p>
    <w:p w14:paraId="5BA59182" w14:textId="77777777" w:rsidR="004436AF" w:rsidRDefault="004436AF" w:rsidP="00C90C70">
      <w:pPr>
        <w:pStyle w:val="SingleTxtGC"/>
      </w:pPr>
      <w:r>
        <w:rPr>
          <w:rFonts w:hint="eastAsia"/>
        </w:rPr>
        <w:tab/>
        <w:t>(</w:t>
      </w:r>
      <w:r w:rsidR="00C90C70">
        <w:rPr>
          <w:rFonts w:hint="eastAsia"/>
        </w:rPr>
        <w:t>k)</w:t>
      </w:r>
      <w:r w:rsidR="00C90C70">
        <w:rPr>
          <w:rFonts w:hint="eastAsia"/>
        </w:rPr>
        <w:tab/>
        <w:t>2023</w:t>
      </w:r>
      <w:r w:rsidR="00C90C70">
        <w:rPr>
          <w:rFonts w:hint="eastAsia"/>
        </w:rPr>
        <w:t>年</w:t>
      </w:r>
      <w:r w:rsidR="00C90C70">
        <w:rPr>
          <w:rFonts w:hint="eastAsia"/>
        </w:rPr>
        <w:t>11</w:t>
      </w:r>
      <w:r w:rsidR="00C90C70">
        <w:rPr>
          <w:rFonts w:hint="eastAsia"/>
        </w:rPr>
        <w:t>月</w:t>
      </w:r>
      <w:r w:rsidR="00C90C70">
        <w:rPr>
          <w:rFonts w:hint="eastAsia"/>
        </w:rPr>
        <w:t>29</w:t>
      </w:r>
      <w:r w:rsidR="00C90C70">
        <w:rPr>
          <w:rFonts w:hint="eastAsia"/>
        </w:rPr>
        <w:t>日第</w:t>
      </w:r>
      <w:r w:rsidR="00C90C70">
        <w:rPr>
          <w:rFonts w:hint="eastAsia"/>
        </w:rPr>
        <w:t>926</w:t>
      </w:r>
      <w:r w:rsidR="00C90C70">
        <w:rPr>
          <w:rFonts w:hint="eastAsia"/>
        </w:rPr>
        <w:t>号政府决定，设立国家预防和打击暴力侵害妇女行为和家庭暴力机构；</w:t>
      </w:r>
    </w:p>
    <w:p w14:paraId="4A936C62" w14:textId="77777777" w:rsidR="004436AF" w:rsidRDefault="004436AF" w:rsidP="00C90C70">
      <w:pPr>
        <w:pStyle w:val="SingleTxtGC"/>
      </w:pPr>
      <w:r>
        <w:rPr>
          <w:rFonts w:hint="eastAsia"/>
        </w:rPr>
        <w:tab/>
        <w:t>(</w:t>
      </w:r>
      <w:r w:rsidR="00C90C70">
        <w:rPr>
          <w:rFonts w:hint="eastAsia"/>
        </w:rPr>
        <w:t>l)</w:t>
      </w:r>
      <w:r w:rsidR="00C90C70">
        <w:rPr>
          <w:rFonts w:hint="eastAsia"/>
        </w:rPr>
        <w:tab/>
      </w:r>
      <w:r w:rsidR="00C90C70">
        <w:rPr>
          <w:rFonts w:hint="eastAsia"/>
        </w:rPr>
        <w:t>智力和社会心理残疾者去机构化安置国家计划</w:t>
      </w:r>
      <w:r w:rsidR="00C90C70">
        <w:rPr>
          <w:rFonts w:hint="eastAsia"/>
        </w:rPr>
        <w:t>(2018-2026</w:t>
      </w:r>
      <w:r w:rsidR="00C90C70">
        <w:rPr>
          <w:rFonts w:hint="eastAsia"/>
        </w:rPr>
        <w:t>年</w:t>
      </w:r>
      <w:r w:rsidR="00C90C70">
        <w:rPr>
          <w:rFonts w:hint="eastAsia"/>
        </w:rPr>
        <w:t>)</w:t>
      </w:r>
      <w:r w:rsidR="00C90C70">
        <w:rPr>
          <w:rFonts w:hint="eastAsia"/>
        </w:rPr>
        <w:t>；</w:t>
      </w:r>
    </w:p>
    <w:p w14:paraId="36D09A56" w14:textId="77777777" w:rsidR="004436AF" w:rsidRDefault="004436AF" w:rsidP="00C90C70">
      <w:pPr>
        <w:pStyle w:val="SingleTxtGC"/>
      </w:pPr>
      <w:r>
        <w:rPr>
          <w:rFonts w:hint="eastAsia"/>
        </w:rPr>
        <w:tab/>
        <w:t>(</w:t>
      </w:r>
      <w:r w:rsidR="00C90C70">
        <w:rPr>
          <w:rFonts w:hint="eastAsia"/>
        </w:rPr>
        <w:t>m)</w:t>
      </w:r>
      <w:r w:rsidR="00C90C70">
        <w:rPr>
          <w:rFonts w:hint="eastAsia"/>
        </w:rPr>
        <w:tab/>
      </w:r>
      <w:r w:rsidR="00C90C70">
        <w:rPr>
          <w:rFonts w:hint="eastAsia"/>
        </w:rPr>
        <w:t>确保司法部门独立和廉洁的国家战略</w:t>
      </w:r>
      <w:r w:rsidR="00C90C70">
        <w:rPr>
          <w:rFonts w:hint="eastAsia"/>
        </w:rPr>
        <w:t>(2022-2025</w:t>
      </w:r>
      <w:r w:rsidR="00C90C70">
        <w:rPr>
          <w:rFonts w:hint="eastAsia"/>
        </w:rPr>
        <w:t>年</w:t>
      </w:r>
      <w:r w:rsidR="00C90C70">
        <w:rPr>
          <w:rFonts w:hint="eastAsia"/>
        </w:rPr>
        <w:t>)</w:t>
      </w:r>
      <w:r w:rsidR="00C90C70">
        <w:rPr>
          <w:rFonts w:hint="eastAsia"/>
        </w:rPr>
        <w:t>；</w:t>
      </w:r>
    </w:p>
    <w:p w14:paraId="17E1A622" w14:textId="77777777" w:rsidR="004436AF" w:rsidRDefault="004436AF" w:rsidP="00C90C70">
      <w:pPr>
        <w:pStyle w:val="SingleTxtGC"/>
      </w:pPr>
      <w:r>
        <w:rPr>
          <w:rFonts w:hint="eastAsia"/>
        </w:rPr>
        <w:tab/>
        <w:t>(</w:t>
      </w:r>
      <w:r w:rsidR="00C90C70">
        <w:rPr>
          <w:rFonts w:hint="eastAsia"/>
        </w:rPr>
        <w:t>n)</w:t>
      </w:r>
      <w:r w:rsidR="00C90C70">
        <w:rPr>
          <w:rFonts w:hint="eastAsia"/>
        </w:rPr>
        <w:tab/>
      </w:r>
      <w:r w:rsidR="00C90C70">
        <w:rPr>
          <w:rFonts w:hint="eastAsia"/>
        </w:rPr>
        <w:t>国家儿童保护计划</w:t>
      </w:r>
      <w:r w:rsidR="00C90C70">
        <w:rPr>
          <w:rFonts w:hint="eastAsia"/>
        </w:rPr>
        <w:t>(2022-2026</w:t>
      </w:r>
      <w:r w:rsidR="00C90C70">
        <w:rPr>
          <w:rFonts w:hint="eastAsia"/>
        </w:rPr>
        <w:t>年</w:t>
      </w:r>
      <w:r w:rsidR="00C90C70">
        <w:rPr>
          <w:rFonts w:hint="eastAsia"/>
        </w:rPr>
        <w:t>)</w:t>
      </w:r>
      <w:r w:rsidR="00C90C70">
        <w:rPr>
          <w:rFonts w:hint="eastAsia"/>
        </w:rPr>
        <w:t>；</w:t>
      </w:r>
    </w:p>
    <w:p w14:paraId="17B15E13" w14:textId="77777777" w:rsidR="004436AF" w:rsidRDefault="004436AF" w:rsidP="00C90C70">
      <w:pPr>
        <w:pStyle w:val="SingleTxtGC"/>
      </w:pPr>
      <w:r>
        <w:rPr>
          <w:rFonts w:hint="eastAsia"/>
        </w:rPr>
        <w:tab/>
        <w:t>(</w:t>
      </w:r>
      <w:r w:rsidR="00C90C70">
        <w:rPr>
          <w:rFonts w:hint="eastAsia"/>
        </w:rPr>
        <w:t>o)</w:t>
      </w:r>
      <w:r w:rsidR="00C90C70">
        <w:rPr>
          <w:rFonts w:hint="eastAsia"/>
        </w:rPr>
        <w:tab/>
      </w:r>
      <w:r w:rsidR="00C90C70">
        <w:rPr>
          <w:rFonts w:hint="eastAsia"/>
        </w:rPr>
        <w:t>国家心理健康计划</w:t>
      </w:r>
      <w:r w:rsidR="00C90C70">
        <w:rPr>
          <w:rFonts w:hint="eastAsia"/>
        </w:rPr>
        <w:t>(2023-2027</w:t>
      </w:r>
      <w:r w:rsidR="00C90C70">
        <w:rPr>
          <w:rFonts w:hint="eastAsia"/>
        </w:rPr>
        <w:t>年</w:t>
      </w:r>
      <w:r w:rsidR="00C90C70">
        <w:rPr>
          <w:rFonts w:hint="eastAsia"/>
        </w:rPr>
        <w:t>)</w:t>
      </w:r>
      <w:r w:rsidR="00C90C70">
        <w:rPr>
          <w:rFonts w:hint="eastAsia"/>
        </w:rPr>
        <w:t>；</w:t>
      </w:r>
    </w:p>
    <w:p w14:paraId="345DA7AC" w14:textId="77777777" w:rsidR="004436AF" w:rsidRDefault="004436AF" w:rsidP="00C90C70">
      <w:pPr>
        <w:pStyle w:val="SingleTxtGC"/>
      </w:pPr>
      <w:r>
        <w:rPr>
          <w:rFonts w:hint="eastAsia"/>
        </w:rPr>
        <w:tab/>
        <w:t>(</w:t>
      </w:r>
      <w:r w:rsidR="00C90C70">
        <w:rPr>
          <w:rFonts w:hint="eastAsia"/>
        </w:rPr>
        <w:t>p)</w:t>
      </w:r>
      <w:r w:rsidR="00C90C70">
        <w:rPr>
          <w:rFonts w:hint="eastAsia"/>
        </w:rPr>
        <w:tab/>
      </w:r>
      <w:r w:rsidR="00C90C70">
        <w:rPr>
          <w:rFonts w:hint="eastAsia"/>
        </w:rPr>
        <w:t>预防和打击暴力侵害妇女行为和家庭暴力国家计划</w:t>
      </w:r>
      <w:r w:rsidR="00C90C70">
        <w:rPr>
          <w:rFonts w:hint="eastAsia"/>
        </w:rPr>
        <w:t>(2023-2027</w:t>
      </w:r>
      <w:r w:rsidR="00C90C70">
        <w:rPr>
          <w:rFonts w:hint="eastAsia"/>
        </w:rPr>
        <w:t>年</w:t>
      </w:r>
      <w:r w:rsidR="00C90C70">
        <w:rPr>
          <w:rFonts w:hint="eastAsia"/>
        </w:rPr>
        <w:t>)</w:t>
      </w:r>
      <w:r w:rsidR="00C90C70">
        <w:rPr>
          <w:rFonts w:hint="eastAsia"/>
        </w:rPr>
        <w:t>；</w:t>
      </w:r>
    </w:p>
    <w:p w14:paraId="47FC1B01" w14:textId="77777777" w:rsidR="004436AF" w:rsidRDefault="004436AF" w:rsidP="00C90C70">
      <w:pPr>
        <w:pStyle w:val="SingleTxtGC"/>
      </w:pPr>
      <w:r>
        <w:rPr>
          <w:rFonts w:hint="eastAsia"/>
        </w:rPr>
        <w:tab/>
        <w:t>(</w:t>
      </w:r>
      <w:r w:rsidR="00C90C70">
        <w:rPr>
          <w:rFonts w:hint="eastAsia"/>
        </w:rPr>
        <w:t>q)</w:t>
      </w:r>
      <w:r w:rsidR="00C90C70">
        <w:rPr>
          <w:rFonts w:hint="eastAsia"/>
        </w:rPr>
        <w:tab/>
      </w:r>
      <w:r w:rsidR="00C90C70">
        <w:rPr>
          <w:rFonts w:hint="eastAsia"/>
        </w:rPr>
        <w:t>摩尔多瓦共和国促进和确保性别平等国家计划</w:t>
      </w:r>
      <w:r w:rsidR="00C90C70">
        <w:rPr>
          <w:rFonts w:hint="eastAsia"/>
        </w:rPr>
        <w:t>(2023-2027</w:t>
      </w:r>
      <w:r w:rsidR="00C90C70">
        <w:rPr>
          <w:rFonts w:hint="eastAsia"/>
        </w:rPr>
        <w:t>年</w:t>
      </w:r>
      <w:r w:rsidR="00C90C70">
        <w:rPr>
          <w:rFonts w:hint="eastAsia"/>
        </w:rPr>
        <w:t>)</w:t>
      </w:r>
      <w:r w:rsidR="00C90C70">
        <w:rPr>
          <w:rFonts w:hint="eastAsia"/>
        </w:rPr>
        <w:t>；</w:t>
      </w:r>
    </w:p>
    <w:p w14:paraId="7D37C27D" w14:textId="77777777" w:rsidR="004436AF" w:rsidRDefault="004436AF" w:rsidP="00C90C70">
      <w:pPr>
        <w:pStyle w:val="SingleTxtGC"/>
      </w:pPr>
      <w:r>
        <w:rPr>
          <w:rFonts w:hint="eastAsia"/>
        </w:rPr>
        <w:tab/>
        <w:t>(</w:t>
      </w:r>
      <w:r w:rsidR="00C90C70">
        <w:rPr>
          <w:rFonts w:hint="eastAsia"/>
        </w:rPr>
        <w:t>r)</w:t>
      </w:r>
      <w:r w:rsidR="00C90C70">
        <w:rPr>
          <w:rFonts w:hint="eastAsia"/>
        </w:rPr>
        <w:tab/>
      </w:r>
      <w:r w:rsidR="00C90C70">
        <w:rPr>
          <w:rFonts w:hint="eastAsia"/>
        </w:rPr>
        <w:t>确保尊重人权国家计划</w:t>
      </w:r>
      <w:r w:rsidR="00C90C70">
        <w:rPr>
          <w:rFonts w:hint="eastAsia"/>
        </w:rPr>
        <w:t>(2024-2027</w:t>
      </w:r>
      <w:r w:rsidR="00C90C70">
        <w:rPr>
          <w:rFonts w:hint="eastAsia"/>
        </w:rPr>
        <w:t>年</w:t>
      </w:r>
      <w:r w:rsidR="00C90C70">
        <w:rPr>
          <w:rFonts w:hint="eastAsia"/>
        </w:rPr>
        <w:t>)</w:t>
      </w:r>
      <w:r w:rsidR="00C90C70">
        <w:rPr>
          <w:rFonts w:hint="eastAsia"/>
        </w:rPr>
        <w:t>；</w:t>
      </w:r>
    </w:p>
    <w:p w14:paraId="002789F4" w14:textId="77777777" w:rsidR="004436AF" w:rsidRDefault="004436AF" w:rsidP="00C90C70">
      <w:pPr>
        <w:pStyle w:val="SingleTxtGC"/>
      </w:pPr>
      <w:r>
        <w:rPr>
          <w:rFonts w:hint="eastAsia"/>
        </w:rPr>
        <w:tab/>
        <w:t>(</w:t>
      </w:r>
      <w:r w:rsidR="00C90C70">
        <w:rPr>
          <w:rFonts w:hint="eastAsia"/>
        </w:rPr>
        <w:t>s)</w:t>
      </w:r>
      <w:r w:rsidR="00C90C70">
        <w:rPr>
          <w:rFonts w:hint="eastAsia"/>
        </w:rPr>
        <w:tab/>
      </w:r>
      <w:r w:rsidR="00C90C70">
        <w:rPr>
          <w:rFonts w:hint="eastAsia"/>
        </w:rPr>
        <w:t>国家廉政和反腐败计划</w:t>
      </w:r>
      <w:r w:rsidR="00C90C70">
        <w:rPr>
          <w:rFonts w:hint="eastAsia"/>
        </w:rPr>
        <w:t>(2024-2028</w:t>
      </w:r>
      <w:r w:rsidR="00C90C70">
        <w:rPr>
          <w:rFonts w:hint="eastAsia"/>
        </w:rPr>
        <w:t>年</w:t>
      </w:r>
      <w:r w:rsidR="00C90C70">
        <w:rPr>
          <w:rFonts w:hint="eastAsia"/>
        </w:rPr>
        <w:t>)</w:t>
      </w:r>
      <w:r w:rsidR="00C90C70">
        <w:rPr>
          <w:rFonts w:hint="eastAsia"/>
        </w:rPr>
        <w:t>；</w:t>
      </w:r>
    </w:p>
    <w:p w14:paraId="07641471" w14:textId="07E41243" w:rsidR="00C90C70" w:rsidRDefault="004436AF" w:rsidP="00C90C70">
      <w:pPr>
        <w:pStyle w:val="SingleTxtGC"/>
      </w:pPr>
      <w:r>
        <w:rPr>
          <w:rFonts w:hint="eastAsia"/>
        </w:rPr>
        <w:tab/>
        <w:t>(</w:t>
      </w:r>
      <w:r w:rsidR="00C90C70">
        <w:rPr>
          <w:rFonts w:hint="eastAsia"/>
        </w:rPr>
        <w:t>t)</w:t>
      </w:r>
      <w:r w:rsidR="00C90C70">
        <w:rPr>
          <w:rFonts w:hint="eastAsia"/>
        </w:rPr>
        <w:tab/>
      </w:r>
      <w:r w:rsidR="00C90C70">
        <w:rPr>
          <w:rFonts w:hint="eastAsia"/>
        </w:rPr>
        <w:t>预防和打击人口贩运国家方案</w:t>
      </w:r>
      <w:r w:rsidR="00C90C70">
        <w:rPr>
          <w:rFonts w:hint="eastAsia"/>
        </w:rPr>
        <w:t>(2024-2028</w:t>
      </w:r>
      <w:r w:rsidR="00C90C70">
        <w:rPr>
          <w:rFonts w:hint="eastAsia"/>
        </w:rPr>
        <w:t>年</w:t>
      </w:r>
      <w:r w:rsidR="00C90C70">
        <w:rPr>
          <w:rFonts w:hint="eastAsia"/>
        </w:rPr>
        <w:t>)</w:t>
      </w:r>
      <w:r w:rsidR="00C90C70">
        <w:rPr>
          <w:rFonts w:hint="eastAsia"/>
        </w:rPr>
        <w:t>。</w:t>
      </w:r>
    </w:p>
    <w:p w14:paraId="2570DB84" w14:textId="663E19A1" w:rsidR="00C90C70" w:rsidRDefault="00C90C70" w:rsidP="00C90C70">
      <w:pPr>
        <w:pStyle w:val="SingleTxtGC"/>
      </w:pPr>
      <w:r>
        <w:rPr>
          <w:rFonts w:hint="eastAsia"/>
        </w:rPr>
        <w:t>4.</w:t>
      </w:r>
      <w:r>
        <w:rPr>
          <w:rFonts w:hint="eastAsia"/>
        </w:rPr>
        <w:tab/>
      </w:r>
      <w:r>
        <w:rPr>
          <w:rFonts w:hint="eastAsia"/>
        </w:rPr>
        <w:t>委员会还欢迎缔约国于</w:t>
      </w:r>
      <w:r>
        <w:rPr>
          <w:rFonts w:hint="eastAsia"/>
        </w:rPr>
        <w:t>2022</w:t>
      </w:r>
      <w:r>
        <w:rPr>
          <w:rFonts w:hint="eastAsia"/>
        </w:rPr>
        <w:t>年</w:t>
      </w:r>
      <w:r>
        <w:rPr>
          <w:rFonts w:hint="eastAsia"/>
        </w:rPr>
        <w:t>1</w:t>
      </w:r>
      <w:r>
        <w:rPr>
          <w:rFonts w:hint="eastAsia"/>
        </w:rPr>
        <w:t>月</w:t>
      </w:r>
      <w:r>
        <w:rPr>
          <w:rFonts w:hint="eastAsia"/>
        </w:rPr>
        <w:t>31</w:t>
      </w:r>
      <w:r>
        <w:rPr>
          <w:rFonts w:hint="eastAsia"/>
        </w:rPr>
        <w:t>日批准《欧洲委员会预防和打击暴力侵害妇女行为及家庭暴力公约》</w:t>
      </w:r>
      <w:r>
        <w:rPr>
          <w:rFonts w:hint="eastAsia"/>
        </w:rPr>
        <w:t>(</w:t>
      </w:r>
      <w:r>
        <w:rPr>
          <w:rFonts w:hint="eastAsia"/>
        </w:rPr>
        <w:t>《伊斯坦布尔公约》</w:t>
      </w:r>
      <w:r>
        <w:rPr>
          <w:rFonts w:hint="eastAsia"/>
        </w:rPr>
        <w:t>)</w:t>
      </w:r>
      <w:r>
        <w:rPr>
          <w:rFonts w:hint="eastAsia"/>
        </w:rPr>
        <w:t>，并于</w:t>
      </w:r>
      <w:r>
        <w:rPr>
          <w:rFonts w:hint="eastAsia"/>
        </w:rPr>
        <w:t>2023</w:t>
      </w:r>
      <w:r>
        <w:rPr>
          <w:rFonts w:hint="eastAsia"/>
        </w:rPr>
        <w:t>年</w:t>
      </w:r>
      <w:r>
        <w:rPr>
          <w:rFonts w:hint="eastAsia"/>
        </w:rPr>
        <w:t>9</w:t>
      </w:r>
      <w:r>
        <w:rPr>
          <w:rFonts w:hint="eastAsia"/>
        </w:rPr>
        <w:t>月</w:t>
      </w:r>
      <w:r>
        <w:rPr>
          <w:rFonts w:hint="eastAsia"/>
        </w:rPr>
        <w:t>22</w:t>
      </w:r>
      <w:r>
        <w:rPr>
          <w:rFonts w:hint="eastAsia"/>
        </w:rPr>
        <w:t>日加入《儿童权利公约关于设定来文程序的任择议定书》。</w:t>
      </w:r>
    </w:p>
    <w:p w14:paraId="75A20DB9" w14:textId="1AF0106B" w:rsidR="00C90C70" w:rsidRDefault="00C747A1" w:rsidP="00C747A1">
      <w:pPr>
        <w:pStyle w:val="H1GC"/>
      </w:pPr>
      <w:r>
        <w:tab/>
      </w:r>
      <w:r>
        <w:rPr>
          <w:rFonts w:hint="eastAsia"/>
        </w:rPr>
        <w:t>C.</w:t>
      </w:r>
      <w:r w:rsidR="00C90C70">
        <w:rPr>
          <w:rFonts w:hint="eastAsia"/>
        </w:rPr>
        <w:tab/>
      </w:r>
      <w:r w:rsidR="00C90C70">
        <w:rPr>
          <w:rFonts w:hint="eastAsia"/>
        </w:rPr>
        <w:t>关注的主要问题及建议</w:t>
      </w:r>
    </w:p>
    <w:p w14:paraId="64F569F1" w14:textId="7884737D" w:rsidR="00C90C70" w:rsidRDefault="00C747A1" w:rsidP="00C747A1">
      <w:pPr>
        <w:pStyle w:val="H23GC"/>
      </w:pPr>
      <w:r>
        <w:rPr>
          <w:rFonts w:hint="eastAsia"/>
        </w:rPr>
        <w:tab/>
      </w:r>
      <w:r>
        <w:rPr>
          <w:rFonts w:hint="eastAsia"/>
        </w:rPr>
        <w:tab/>
      </w:r>
      <w:r w:rsidR="00C90C70">
        <w:rPr>
          <w:rFonts w:hint="eastAsia"/>
        </w:rPr>
        <w:t>执行《公约》的宪法和法律框架</w:t>
      </w:r>
    </w:p>
    <w:p w14:paraId="35EE2695" w14:textId="78511C97" w:rsidR="00C90C70" w:rsidRDefault="00C90C70" w:rsidP="00C90C70">
      <w:pPr>
        <w:pStyle w:val="SingleTxtGC"/>
      </w:pPr>
      <w:r>
        <w:rPr>
          <w:rFonts w:hint="eastAsia"/>
        </w:rPr>
        <w:t>5.</w:t>
      </w:r>
      <w:r>
        <w:rPr>
          <w:rFonts w:hint="eastAsia"/>
        </w:rPr>
        <w:tab/>
      </w:r>
      <w:r>
        <w:rPr>
          <w:rFonts w:hint="eastAsia"/>
        </w:rPr>
        <w:t>委员会感谢缔约国提供资料介绍关于宪法法院的第</w:t>
      </w:r>
      <w:r>
        <w:rPr>
          <w:rFonts w:hint="eastAsia"/>
        </w:rPr>
        <w:t>74/2025</w:t>
      </w:r>
      <w:r>
        <w:rPr>
          <w:rFonts w:hint="eastAsia"/>
        </w:rPr>
        <w:t>号法，该法旨在增强该法院的独立性并维护法官的豁免权。委员会还欢迎缔约国提供资料说明宪法法院在裁决中援引委员会意见和建议的情况，但委员会感到遗憾的是，缔约国未能提供这方面的全面数据</w:t>
      </w:r>
      <w:r>
        <w:rPr>
          <w:rFonts w:hint="eastAsia"/>
        </w:rPr>
        <w:t>(</w:t>
      </w:r>
      <w:r>
        <w:rPr>
          <w:rFonts w:hint="eastAsia"/>
        </w:rPr>
        <w:t>第二条</w:t>
      </w:r>
      <w:r>
        <w:rPr>
          <w:rFonts w:hint="eastAsia"/>
        </w:rPr>
        <w:t>)</w:t>
      </w:r>
      <w:r>
        <w:rPr>
          <w:rFonts w:hint="eastAsia"/>
        </w:rPr>
        <w:t>。</w:t>
      </w:r>
    </w:p>
    <w:p w14:paraId="0C4AE86A" w14:textId="04386524" w:rsidR="00C90C70" w:rsidRPr="00464ECC" w:rsidRDefault="00C90C70" w:rsidP="00C90C70">
      <w:pPr>
        <w:pStyle w:val="SingleTxtGC"/>
        <w:rPr>
          <w:rFonts w:ascii="Time New Roman" w:eastAsia="黑体" w:hAnsi="Time New Roman"/>
        </w:rPr>
      </w:pPr>
      <w:r w:rsidRPr="00464ECC">
        <w:rPr>
          <w:rFonts w:ascii="Time New Roman" w:eastAsia="黑体" w:hAnsi="Time New Roman" w:hint="eastAsia"/>
        </w:rPr>
        <w:t>6.</w:t>
      </w:r>
      <w:r w:rsidRPr="00464ECC">
        <w:rPr>
          <w:rFonts w:ascii="Time New Roman" w:eastAsia="黑体" w:hAnsi="Time New Roman" w:hint="eastAsia"/>
        </w:rPr>
        <w:tab/>
      </w:r>
      <w:r w:rsidRPr="00464ECC">
        <w:rPr>
          <w:rFonts w:ascii="Time New Roman" w:eastAsia="黑体" w:hAnsi="Time New Roman" w:hint="eastAsia"/>
        </w:rPr>
        <w:t>缔约国应继续致力于加强其国家法律框架和国家司法体系。缔约国还应继续提高法官、律师和检察官对《公约》条款的认识，促进国家法院适用《公约》，并收集有关《公约》对国内法院影响的数据。</w:t>
      </w:r>
    </w:p>
    <w:p w14:paraId="30C2EC85" w14:textId="7C2AE23F" w:rsidR="00C90C70" w:rsidRDefault="00C90C70" w:rsidP="00C90C70">
      <w:pPr>
        <w:pStyle w:val="SingleTxtGC"/>
      </w:pPr>
      <w:r>
        <w:rPr>
          <w:rFonts w:hint="eastAsia"/>
        </w:rPr>
        <w:t>7.</w:t>
      </w:r>
      <w:r>
        <w:rPr>
          <w:rFonts w:hint="eastAsia"/>
        </w:rPr>
        <w:tab/>
      </w:r>
      <w:r>
        <w:rPr>
          <w:rFonts w:hint="eastAsia"/>
        </w:rPr>
        <w:t>委员会注意到，缔约国提供资料说明了为在德涅斯特河沿岸地区有效保护人权</w:t>
      </w:r>
      <w:r>
        <w:rPr>
          <w:rFonts w:hint="eastAsia"/>
        </w:rPr>
        <w:t>(</w:t>
      </w:r>
      <w:r>
        <w:rPr>
          <w:rFonts w:hint="eastAsia"/>
        </w:rPr>
        <w:t>包括记者和人权维护者的人权</w:t>
      </w:r>
      <w:r>
        <w:rPr>
          <w:rFonts w:hint="eastAsia"/>
        </w:rPr>
        <w:t>)</w:t>
      </w:r>
      <w:r>
        <w:rPr>
          <w:rFonts w:hint="eastAsia"/>
        </w:rPr>
        <w:t>而正在进行的谈判和所作的努力。然而，委员会仍感关切的是，该地区在充分实现《公约》权利方面</w:t>
      </w:r>
      <w:r>
        <w:rPr>
          <w:rFonts w:hint="eastAsia"/>
        </w:rPr>
        <w:t>(</w:t>
      </w:r>
      <w:r>
        <w:rPr>
          <w:rFonts w:hint="eastAsia"/>
        </w:rPr>
        <w:t>包括诉诸司法以及向居</w:t>
      </w:r>
      <w:r>
        <w:rPr>
          <w:rFonts w:hint="eastAsia"/>
        </w:rPr>
        <w:lastRenderedPageBreak/>
        <w:t>民提供医疗保险、身份证件和社会福利</w:t>
      </w:r>
      <w:r>
        <w:rPr>
          <w:rFonts w:hint="eastAsia"/>
        </w:rPr>
        <w:t>)</w:t>
      </w:r>
      <w:r>
        <w:rPr>
          <w:rFonts w:hint="eastAsia"/>
        </w:rPr>
        <w:t>存在障碍，包括结构性障碍和语言障碍</w:t>
      </w:r>
      <w:r>
        <w:rPr>
          <w:rFonts w:hint="eastAsia"/>
        </w:rPr>
        <w:t>(</w:t>
      </w:r>
      <w:r>
        <w:rPr>
          <w:rFonts w:hint="eastAsia"/>
        </w:rPr>
        <w:t>第二、第二十五和第二十六条</w:t>
      </w:r>
      <w:r>
        <w:rPr>
          <w:rFonts w:hint="eastAsia"/>
        </w:rPr>
        <w:t>)</w:t>
      </w:r>
      <w:r>
        <w:rPr>
          <w:rFonts w:hint="eastAsia"/>
        </w:rPr>
        <w:t>。</w:t>
      </w:r>
    </w:p>
    <w:p w14:paraId="40F88521" w14:textId="0C48FAC7" w:rsidR="00C90C70" w:rsidRPr="00464ECC" w:rsidRDefault="00C90C70" w:rsidP="00C90C70">
      <w:pPr>
        <w:pStyle w:val="SingleTxtGC"/>
        <w:rPr>
          <w:rFonts w:eastAsia="黑体"/>
        </w:rPr>
      </w:pPr>
      <w:r w:rsidRPr="00464ECC">
        <w:rPr>
          <w:rFonts w:eastAsia="黑体" w:hint="eastAsia"/>
        </w:rPr>
        <w:t>8.</w:t>
      </w:r>
      <w:r w:rsidRPr="00464ECC">
        <w:rPr>
          <w:rFonts w:eastAsia="黑体" w:hint="eastAsia"/>
        </w:rPr>
        <w:tab/>
      </w:r>
      <w:r w:rsidRPr="00464ECC">
        <w:rPr>
          <w:rFonts w:eastAsia="黑体" w:hint="eastAsia"/>
        </w:rPr>
        <w:t>缔约国应根据其必要勤勉义务，继续审查并加强相关政策，以确保德涅斯特河沿岸地区的所有个人在法律和实践中均能有效享有《公约》所保障的权利。</w:t>
      </w:r>
    </w:p>
    <w:p w14:paraId="19182286" w14:textId="054F097E" w:rsidR="00C90C70" w:rsidRDefault="00C747A1" w:rsidP="00C747A1">
      <w:pPr>
        <w:pStyle w:val="H23GC"/>
      </w:pPr>
      <w:r>
        <w:rPr>
          <w:rFonts w:hint="eastAsia"/>
        </w:rPr>
        <w:tab/>
      </w:r>
      <w:r>
        <w:rPr>
          <w:rFonts w:hint="eastAsia"/>
        </w:rPr>
        <w:tab/>
      </w:r>
      <w:r w:rsidR="00C90C70">
        <w:rPr>
          <w:rFonts w:hint="eastAsia"/>
        </w:rPr>
        <w:t>国家人权机构和平等委员会</w:t>
      </w:r>
    </w:p>
    <w:p w14:paraId="4DF138DC" w14:textId="1925568E" w:rsidR="00C90C70" w:rsidRDefault="00C90C70" w:rsidP="00C90C70">
      <w:pPr>
        <w:pStyle w:val="SingleTxtGC"/>
      </w:pPr>
      <w:r>
        <w:rPr>
          <w:rFonts w:hint="eastAsia"/>
        </w:rPr>
        <w:t>9.</w:t>
      </w:r>
      <w:r>
        <w:rPr>
          <w:rFonts w:hint="eastAsia"/>
        </w:rPr>
        <w:tab/>
      </w:r>
      <w:r>
        <w:rPr>
          <w:rFonts w:hint="eastAsia"/>
        </w:rPr>
        <w:t>委员会注意到缔约国正在推进立法程序，以加强人民辩护人办公室和平等委员会的任务和独立性。然而，委员会表示关切的是，有资料表明，分配给这两个机构的人力和财政资源不足。委员会尤感关切的是，两个机构均面临工作人员更替率高和大量职位空缺的问题，据称部分原因在于薪酬偏低，并且这两个机构均未享有充分的财政独立性。委员会感到遗憾的是，目前缔约国尚无任何举措要求向平等委员会通报提交法院的歧视案件，也不允许平等委员会自行将案件提交宪法法院</w:t>
      </w:r>
      <w:r>
        <w:rPr>
          <w:rFonts w:hint="eastAsia"/>
        </w:rPr>
        <w:t>(</w:t>
      </w:r>
      <w:r>
        <w:rPr>
          <w:rFonts w:hint="eastAsia"/>
        </w:rPr>
        <w:t>第二和第二十六条</w:t>
      </w:r>
      <w:r>
        <w:rPr>
          <w:rFonts w:hint="eastAsia"/>
        </w:rPr>
        <w:t>)</w:t>
      </w:r>
      <w:r>
        <w:rPr>
          <w:rFonts w:hint="eastAsia"/>
        </w:rPr>
        <w:t>。</w:t>
      </w:r>
    </w:p>
    <w:p w14:paraId="538B6077" w14:textId="567AE18D" w:rsidR="004436AF" w:rsidRPr="00AE5A8C" w:rsidRDefault="00C90C70" w:rsidP="00C90C70">
      <w:pPr>
        <w:pStyle w:val="SingleTxtGC"/>
        <w:rPr>
          <w:rFonts w:eastAsia="黑体"/>
        </w:rPr>
      </w:pPr>
      <w:r w:rsidRPr="00AE5A8C">
        <w:rPr>
          <w:rFonts w:eastAsia="黑体" w:hint="eastAsia"/>
        </w:rPr>
        <w:t>10.</w:t>
      </w:r>
      <w:r w:rsidRPr="00AE5A8C">
        <w:rPr>
          <w:rFonts w:eastAsia="黑体" w:hint="eastAsia"/>
        </w:rPr>
        <w:tab/>
      </w:r>
      <w:r w:rsidRPr="00AE5A8C">
        <w:rPr>
          <w:rFonts w:eastAsia="黑体" w:hint="eastAsia"/>
        </w:rPr>
        <w:t>根据委员会先前的建议</w:t>
      </w:r>
      <w:r w:rsidR="00925D2E" w:rsidRPr="00AE5A8C">
        <w:rPr>
          <w:rStyle w:val="a8"/>
          <w:rFonts w:eastAsia="黑体"/>
        </w:rPr>
        <w:footnoteReference w:id="6"/>
      </w:r>
      <w:r w:rsidRPr="00AE5A8C">
        <w:rPr>
          <w:rFonts w:eastAsia="黑体" w:hint="eastAsia"/>
        </w:rPr>
        <w:t>，缔约国应确保人民辩护人办公室和平等委员会能够根据《关于促进和保护人权的国家机构的地位的原则》</w:t>
      </w:r>
      <w:r w:rsidRPr="00AE5A8C">
        <w:rPr>
          <w:rFonts w:eastAsia="黑体" w:hint="eastAsia"/>
        </w:rPr>
        <w:t>(</w:t>
      </w:r>
      <w:r w:rsidRPr="00AE5A8C">
        <w:rPr>
          <w:rFonts w:eastAsia="黑体" w:hint="eastAsia"/>
        </w:rPr>
        <w:t>《巴黎原则》</w:t>
      </w:r>
      <w:r w:rsidRPr="00AE5A8C">
        <w:rPr>
          <w:rFonts w:eastAsia="黑体" w:hint="eastAsia"/>
        </w:rPr>
        <w:t>)</w:t>
      </w:r>
      <w:r w:rsidRPr="00AE5A8C">
        <w:rPr>
          <w:rFonts w:eastAsia="黑体" w:hint="eastAsia"/>
        </w:rPr>
        <w:t>，充分、有效、独立地履行职责。为此，缔约国应：</w:t>
      </w:r>
    </w:p>
    <w:p w14:paraId="72C2858F" w14:textId="77777777" w:rsidR="004436AF" w:rsidRPr="00AE5A8C" w:rsidRDefault="004436AF" w:rsidP="00C90C70">
      <w:pPr>
        <w:pStyle w:val="SingleTxtGC"/>
        <w:rPr>
          <w:rFonts w:eastAsia="黑体"/>
        </w:rPr>
      </w:pPr>
      <w:r w:rsidRPr="00AE5A8C">
        <w:rPr>
          <w:rFonts w:eastAsia="黑体" w:hint="eastAsia"/>
        </w:rPr>
        <w:tab/>
        <w:t>(</w:t>
      </w:r>
      <w:r w:rsidR="00C90C70" w:rsidRPr="00AE5A8C">
        <w:rPr>
          <w:rFonts w:eastAsia="黑体" w:hint="eastAsia"/>
        </w:rPr>
        <w:t>a)</w:t>
      </w:r>
      <w:r w:rsidR="00C90C70" w:rsidRPr="00AE5A8C">
        <w:rPr>
          <w:rFonts w:eastAsia="黑体" w:hint="eastAsia"/>
        </w:rPr>
        <w:tab/>
      </w:r>
      <w:r w:rsidR="00C90C70" w:rsidRPr="00AE5A8C">
        <w:rPr>
          <w:rFonts w:eastAsia="黑体" w:hint="eastAsia"/>
        </w:rPr>
        <w:t>确保这两个机构的财政独立和人员配置充足；</w:t>
      </w:r>
    </w:p>
    <w:p w14:paraId="3AE3600B" w14:textId="77777777" w:rsidR="004436AF" w:rsidRPr="00AE5A8C" w:rsidRDefault="004436AF" w:rsidP="00C90C70">
      <w:pPr>
        <w:pStyle w:val="SingleTxtGC"/>
        <w:rPr>
          <w:rFonts w:eastAsia="黑体"/>
        </w:rPr>
      </w:pPr>
      <w:r w:rsidRPr="00AE5A8C">
        <w:rPr>
          <w:rFonts w:eastAsia="黑体" w:hint="eastAsia"/>
        </w:rPr>
        <w:tab/>
        <w:t>(</w:t>
      </w:r>
      <w:r w:rsidR="00C90C70" w:rsidRPr="00AE5A8C">
        <w:rPr>
          <w:rFonts w:eastAsia="黑体" w:hint="eastAsia"/>
        </w:rPr>
        <w:t>b)</w:t>
      </w:r>
      <w:r w:rsidR="00C90C70" w:rsidRPr="00AE5A8C">
        <w:rPr>
          <w:rFonts w:eastAsia="黑体" w:hint="eastAsia"/>
        </w:rPr>
        <w:tab/>
      </w:r>
      <w:r w:rsidR="00C90C70" w:rsidRPr="00AE5A8C">
        <w:rPr>
          <w:rFonts w:eastAsia="黑体" w:hint="eastAsia"/>
        </w:rPr>
        <w:t>确保这两个机构的员工所获薪酬与具有同等地位的类似机构的员工持平；</w:t>
      </w:r>
    </w:p>
    <w:p w14:paraId="384E3229" w14:textId="3FE867C8" w:rsidR="00C90C70" w:rsidRPr="00AE5A8C" w:rsidRDefault="004436AF" w:rsidP="00C90C70">
      <w:pPr>
        <w:pStyle w:val="SingleTxtGC"/>
        <w:rPr>
          <w:rFonts w:eastAsia="黑体"/>
        </w:rPr>
      </w:pPr>
      <w:r w:rsidRPr="00AE5A8C">
        <w:rPr>
          <w:rFonts w:eastAsia="黑体" w:hint="eastAsia"/>
        </w:rPr>
        <w:tab/>
        <w:t>(</w:t>
      </w:r>
      <w:r w:rsidR="00C90C70" w:rsidRPr="00AE5A8C">
        <w:rPr>
          <w:rFonts w:eastAsia="黑体" w:hint="eastAsia"/>
        </w:rPr>
        <w:t>c)</w:t>
      </w:r>
      <w:r w:rsidR="00C90C70" w:rsidRPr="00AE5A8C">
        <w:rPr>
          <w:rFonts w:eastAsia="黑体" w:hint="eastAsia"/>
        </w:rPr>
        <w:tab/>
      </w:r>
      <w:r w:rsidR="00C90C70" w:rsidRPr="00AE5A8C">
        <w:rPr>
          <w:rFonts w:eastAsia="黑体" w:hint="eastAsia"/>
        </w:rPr>
        <w:t>考虑建立机制，向平等委员会通报所有提交法院的涉及其职责的案件，并赋予其将案件移交宪法法院的权限。</w:t>
      </w:r>
    </w:p>
    <w:p w14:paraId="2AE724B0" w14:textId="62D3F040" w:rsidR="00C90C70" w:rsidRDefault="00C747A1" w:rsidP="00C747A1">
      <w:pPr>
        <w:pStyle w:val="H23GC"/>
      </w:pPr>
      <w:r>
        <w:rPr>
          <w:rFonts w:hint="eastAsia"/>
        </w:rPr>
        <w:tab/>
      </w:r>
      <w:r>
        <w:rPr>
          <w:rFonts w:hint="eastAsia"/>
        </w:rPr>
        <w:tab/>
      </w:r>
      <w:r w:rsidR="00C90C70">
        <w:rPr>
          <w:rFonts w:hint="eastAsia"/>
        </w:rPr>
        <w:t>反腐败措施</w:t>
      </w:r>
    </w:p>
    <w:p w14:paraId="00774CF5" w14:textId="2B1A4AAC" w:rsidR="00C90C70" w:rsidRDefault="00C90C70" w:rsidP="00C90C70">
      <w:pPr>
        <w:pStyle w:val="SingleTxtGC"/>
      </w:pPr>
      <w:r>
        <w:rPr>
          <w:rFonts w:hint="eastAsia"/>
        </w:rPr>
        <w:t>11.</w:t>
      </w:r>
      <w:r>
        <w:rPr>
          <w:rFonts w:hint="eastAsia"/>
        </w:rPr>
        <w:tab/>
      </w:r>
      <w:r>
        <w:rPr>
          <w:rFonts w:hint="eastAsia"/>
        </w:rPr>
        <w:t>委员会欢迎旨在打击腐败的立法和机构改革，包括在司法部门建立专门的反腐败机制，采取措施加强反腐败检察官办公室、国家反腐败中心和国家廉政局，修订立法以解决选举腐败问题，以及通过关于举报人保护的第</w:t>
      </w:r>
      <w:r>
        <w:rPr>
          <w:rFonts w:hint="eastAsia"/>
        </w:rPr>
        <w:t>165/2023</w:t>
      </w:r>
      <w:r>
        <w:rPr>
          <w:rFonts w:hint="eastAsia"/>
        </w:rPr>
        <w:t>号法。然而，委员会仍感关切的是，根据收到的资料，缔约国各级腐败现象仍然存在，包括涉及高级公职人员和司法人员的指控。委员会还对此类案件的最终定罪数量有限感到关切，部分原因在于对公职人员的监督薄弱，以及制度不稳定和可能影响反腐败机构的政治压力等反复出现的问题。委员会注意到缔约国提供的信息，表明其打算进一步完善关于举报人保护的第</w:t>
      </w:r>
      <w:r>
        <w:rPr>
          <w:rFonts w:hint="eastAsia"/>
        </w:rPr>
        <w:t>165/2023</w:t>
      </w:r>
      <w:r>
        <w:rPr>
          <w:rFonts w:hint="eastAsia"/>
        </w:rPr>
        <w:t>号法</w:t>
      </w:r>
      <w:r>
        <w:rPr>
          <w:rFonts w:hint="eastAsia"/>
        </w:rPr>
        <w:t>(</w:t>
      </w:r>
      <w:r>
        <w:rPr>
          <w:rFonts w:hint="eastAsia"/>
        </w:rPr>
        <w:t>第二、第十九和第二十五条</w:t>
      </w:r>
      <w:r>
        <w:rPr>
          <w:rFonts w:hint="eastAsia"/>
        </w:rPr>
        <w:t>)</w:t>
      </w:r>
      <w:r>
        <w:rPr>
          <w:rFonts w:hint="eastAsia"/>
        </w:rPr>
        <w:t>。</w:t>
      </w:r>
    </w:p>
    <w:p w14:paraId="6D4D1A9A" w14:textId="77777777" w:rsidR="004436AF" w:rsidRPr="00AE5A8C" w:rsidRDefault="00C90C70" w:rsidP="00C90C70">
      <w:pPr>
        <w:pStyle w:val="SingleTxtGC"/>
        <w:rPr>
          <w:rFonts w:eastAsia="黑体"/>
        </w:rPr>
      </w:pPr>
      <w:r w:rsidRPr="00AE5A8C">
        <w:rPr>
          <w:rFonts w:eastAsia="黑体" w:hint="eastAsia"/>
        </w:rPr>
        <w:t>12.</w:t>
      </w:r>
      <w:r w:rsidRPr="00AE5A8C">
        <w:rPr>
          <w:rFonts w:eastAsia="黑体" w:hint="eastAsia"/>
        </w:rPr>
        <w:tab/>
      </w:r>
      <w:r w:rsidRPr="00AE5A8C">
        <w:rPr>
          <w:rFonts w:eastAsia="黑体" w:hint="eastAsia"/>
        </w:rPr>
        <w:t>缔约国应：</w:t>
      </w:r>
    </w:p>
    <w:p w14:paraId="148EB05C" w14:textId="77777777" w:rsidR="004436AF" w:rsidRPr="00AE5A8C" w:rsidRDefault="004436AF" w:rsidP="00C90C70">
      <w:pPr>
        <w:pStyle w:val="SingleTxtGC"/>
        <w:rPr>
          <w:rFonts w:eastAsia="黑体"/>
        </w:rPr>
      </w:pPr>
      <w:r w:rsidRPr="00AE5A8C">
        <w:rPr>
          <w:rFonts w:eastAsia="黑体" w:hint="eastAsia"/>
        </w:rPr>
        <w:tab/>
        <w:t>(</w:t>
      </w:r>
      <w:r w:rsidR="00C90C70" w:rsidRPr="00AE5A8C">
        <w:rPr>
          <w:rFonts w:eastAsia="黑体" w:hint="eastAsia"/>
        </w:rPr>
        <w:t>a)</w:t>
      </w:r>
      <w:r w:rsidR="00C90C70" w:rsidRPr="00AE5A8C">
        <w:rPr>
          <w:rFonts w:eastAsia="黑体" w:hint="eastAsia"/>
        </w:rPr>
        <w:tab/>
      </w:r>
      <w:r w:rsidR="00C90C70" w:rsidRPr="00AE5A8C">
        <w:rPr>
          <w:rFonts w:eastAsia="黑体" w:hint="eastAsia"/>
        </w:rPr>
        <w:t>加强努力，防止和消除各级腐败，包括高级官员的腐败；</w:t>
      </w:r>
    </w:p>
    <w:p w14:paraId="0C55F758" w14:textId="77777777" w:rsidR="004436AF" w:rsidRPr="00AE5A8C" w:rsidRDefault="004436AF" w:rsidP="00C90C70">
      <w:pPr>
        <w:pStyle w:val="SingleTxtGC"/>
        <w:rPr>
          <w:rFonts w:eastAsia="黑体"/>
        </w:rPr>
      </w:pPr>
      <w:r w:rsidRPr="00AE5A8C">
        <w:rPr>
          <w:rFonts w:eastAsia="黑体" w:hint="eastAsia"/>
        </w:rPr>
        <w:tab/>
        <w:t>(</w:t>
      </w:r>
      <w:r w:rsidR="00C90C70" w:rsidRPr="00AE5A8C">
        <w:rPr>
          <w:rFonts w:eastAsia="黑体" w:hint="eastAsia"/>
        </w:rPr>
        <w:t>b)</w:t>
      </w:r>
      <w:r w:rsidR="00C90C70" w:rsidRPr="00AE5A8C">
        <w:rPr>
          <w:rFonts w:eastAsia="黑体" w:hint="eastAsia"/>
        </w:rPr>
        <w:tab/>
      </w:r>
      <w:r w:rsidR="00C90C70" w:rsidRPr="00AE5A8C">
        <w:rPr>
          <w:rFonts w:eastAsia="黑体" w:hint="eastAsia"/>
        </w:rPr>
        <w:t>加倍努力，迅速、彻底、独立、公正地调查所有腐败指控，并确保肇事者受到起诉，如果被定罪，应处以与其罪行严重程度相称的处罚，包括涉及高级公职人员、法官和检察官的案件；</w:t>
      </w:r>
    </w:p>
    <w:p w14:paraId="1D5DC4B9" w14:textId="77777777" w:rsidR="004436AF" w:rsidRPr="00AE5A8C" w:rsidRDefault="004436AF" w:rsidP="00C90C70">
      <w:pPr>
        <w:pStyle w:val="SingleTxtGC"/>
        <w:rPr>
          <w:rFonts w:eastAsia="黑体"/>
        </w:rPr>
      </w:pPr>
      <w:r w:rsidRPr="00AE5A8C">
        <w:rPr>
          <w:rFonts w:eastAsia="黑体" w:hint="eastAsia"/>
        </w:rPr>
        <w:lastRenderedPageBreak/>
        <w:tab/>
        <w:t>(</w:t>
      </w:r>
      <w:r w:rsidR="00C90C70" w:rsidRPr="00AE5A8C">
        <w:rPr>
          <w:rFonts w:eastAsia="黑体" w:hint="eastAsia"/>
        </w:rPr>
        <w:t>c)</w:t>
      </w:r>
      <w:r w:rsidR="00C90C70" w:rsidRPr="00AE5A8C">
        <w:rPr>
          <w:rFonts w:eastAsia="黑体" w:hint="eastAsia"/>
        </w:rPr>
        <w:tab/>
      </w:r>
      <w:r w:rsidR="00C90C70" w:rsidRPr="00AE5A8C">
        <w:rPr>
          <w:rFonts w:eastAsia="黑体" w:hint="eastAsia"/>
        </w:rPr>
        <w:t>加强反腐败机构的运作独立性和有效性，包括制定透明的领导层任命和罢免程序以及提供充足的资源，并提高处理腐败案件的透明度，包括公开报告调查、起诉和判决情况；</w:t>
      </w:r>
    </w:p>
    <w:p w14:paraId="6DFC7BDF" w14:textId="77777777" w:rsidR="004436AF" w:rsidRPr="00AE5A8C" w:rsidRDefault="004436AF" w:rsidP="00C90C70">
      <w:pPr>
        <w:pStyle w:val="SingleTxtGC"/>
        <w:rPr>
          <w:rFonts w:eastAsia="黑体"/>
        </w:rPr>
      </w:pPr>
      <w:r w:rsidRPr="00AE5A8C">
        <w:rPr>
          <w:rFonts w:eastAsia="黑体" w:hint="eastAsia"/>
        </w:rPr>
        <w:tab/>
        <w:t>(</w:t>
      </w:r>
      <w:r w:rsidR="00C90C70" w:rsidRPr="00AE5A8C">
        <w:rPr>
          <w:rFonts w:eastAsia="黑体" w:hint="eastAsia"/>
        </w:rPr>
        <w:t>d)</w:t>
      </w:r>
      <w:r w:rsidR="00C90C70" w:rsidRPr="00AE5A8C">
        <w:rPr>
          <w:rFonts w:eastAsia="黑体" w:hint="eastAsia"/>
        </w:rPr>
        <w:tab/>
      </w:r>
      <w:r w:rsidR="00C90C70" w:rsidRPr="00AE5A8C">
        <w:rPr>
          <w:rFonts w:eastAsia="黑体" w:hint="eastAsia"/>
        </w:rPr>
        <w:t>确保有效执行资产申报和核实制度，包括系统性核实申报内容，对不正当财产和利益冲突进行制裁，并追回非法资产；</w:t>
      </w:r>
    </w:p>
    <w:p w14:paraId="4358B83F" w14:textId="0A290889" w:rsidR="00C90C70" w:rsidRPr="00AE5A8C" w:rsidRDefault="004436AF" w:rsidP="00C90C70">
      <w:pPr>
        <w:pStyle w:val="SingleTxtGC"/>
        <w:rPr>
          <w:rFonts w:eastAsia="黑体"/>
        </w:rPr>
      </w:pPr>
      <w:r w:rsidRPr="00AE5A8C">
        <w:rPr>
          <w:rFonts w:eastAsia="黑体" w:hint="eastAsia"/>
        </w:rPr>
        <w:tab/>
        <w:t>(</w:t>
      </w:r>
      <w:r w:rsidR="00C90C70" w:rsidRPr="00AE5A8C">
        <w:rPr>
          <w:rFonts w:eastAsia="黑体" w:hint="eastAsia"/>
        </w:rPr>
        <w:t>e)</w:t>
      </w:r>
      <w:r w:rsidR="00C90C70" w:rsidRPr="00AE5A8C">
        <w:rPr>
          <w:rFonts w:eastAsia="黑体" w:hint="eastAsia"/>
        </w:rPr>
        <w:tab/>
      </w:r>
      <w:r w:rsidR="00C90C70" w:rsidRPr="00AE5A8C">
        <w:rPr>
          <w:rFonts w:eastAsia="黑体" w:hint="eastAsia"/>
        </w:rPr>
        <w:t>确保对关于举报人保护的第</w:t>
      </w:r>
      <w:r w:rsidR="00C90C70" w:rsidRPr="00AE5A8C">
        <w:rPr>
          <w:rFonts w:eastAsia="黑体" w:hint="eastAsia"/>
        </w:rPr>
        <w:t>165/2023</w:t>
      </w:r>
      <w:r w:rsidR="00C90C70" w:rsidRPr="00AE5A8C">
        <w:rPr>
          <w:rFonts w:eastAsia="黑体" w:hint="eastAsia"/>
        </w:rPr>
        <w:t>号法的任何修订都能迅速通过并完全符合国际标准，包括建立保密的报告渠道、防止打击报复和提供补救措施等方面。</w:t>
      </w:r>
    </w:p>
    <w:p w14:paraId="3DA12859" w14:textId="3D7FF1EF" w:rsidR="00C90C70" w:rsidRDefault="00C747A1" w:rsidP="00C747A1">
      <w:pPr>
        <w:pStyle w:val="H23GC"/>
      </w:pPr>
      <w:r>
        <w:rPr>
          <w:rFonts w:hint="eastAsia"/>
        </w:rPr>
        <w:tab/>
      </w:r>
      <w:r>
        <w:rPr>
          <w:rFonts w:hint="eastAsia"/>
        </w:rPr>
        <w:tab/>
      </w:r>
      <w:r w:rsidR="00C90C70">
        <w:rPr>
          <w:rFonts w:hint="eastAsia"/>
        </w:rPr>
        <w:t>不歧视</w:t>
      </w:r>
    </w:p>
    <w:p w14:paraId="6A95A18A" w14:textId="10B32EB3" w:rsidR="00C90C70" w:rsidRDefault="00C90C70" w:rsidP="00C90C70">
      <w:pPr>
        <w:pStyle w:val="SingleTxtGC"/>
      </w:pPr>
      <w:r>
        <w:rPr>
          <w:rFonts w:hint="eastAsia"/>
        </w:rPr>
        <w:t>13.</w:t>
      </w:r>
      <w:r>
        <w:rPr>
          <w:rFonts w:hint="eastAsia"/>
        </w:rPr>
        <w:tab/>
      </w:r>
      <w:r>
        <w:rPr>
          <w:rFonts w:hint="eastAsia"/>
        </w:rPr>
        <w:t>委员会感到关切的是，尽管采取了旨在消除对残疾人歧视的跨部门战略，但残疾人仍面临歧视和污名化，包括难以获得公共服务、信息和司法救助。虽然委员会注意到缔约国为改善残疾人诉诸司法所做的努力，包括提高在线工具和资源的无障碍性，以及为残疾人制作关于法院系统的专门信息材料，但委员会感到遗憾的是，许多法院仍然没有无障碍通道</w:t>
      </w:r>
      <w:r>
        <w:rPr>
          <w:rFonts w:hint="eastAsia"/>
        </w:rPr>
        <w:t>(</w:t>
      </w:r>
      <w:r>
        <w:rPr>
          <w:rFonts w:hint="eastAsia"/>
        </w:rPr>
        <w:t>第二和第二十六条</w:t>
      </w:r>
      <w:r>
        <w:rPr>
          <w:rFonts w:hint="eastAsia"/>
        </w:rPr>
        <w:t>)</w:t>
      </w:r>
      <w:r>
        <w:rPr>
          <w:rFonts w:hint="eastAsia"/>
        </w:rPr>
        <w:t>。</w:t>
      </w:r>
    </w:p>
    <w:p w14:paraId="096328B7" w14:textId="553E2342" w:rsidR="00C90C70" w:rsidRPr="00AE5A8C" w:rsidRDefault="00C90C70" w:rsidP="00C90C70">
      <w:pPr>
        <w:pStyle w:val="SingleTxtGC"/>
        <w:rPr>
          <w:rFonts w:eastAsia="黑体"/>
        </w:rPr>
      </w:pPr>
      <w:r w:rsidRPr="00AE5A8C">
        <w:rPr>
          <w:rFonts w:eastAsia="黑体" w:hint="eastAsia"/>
        </w:rPr>
        <w:t>14.</w:t>
      </w:r>
      <w:r w:rsidRPr="00AE5A8C">
        <w:rPr>
          <w:rFonts w:eastAsia="黑体" w:hint="eastAsia"/>
        </w:rPr>
        <w:tab/>
      </w:r>
      <w:r w:rsidRPr="00AE5A8C">
        <w:rPr>
          <w:rFonts w:eastAsia="黑体" w:hint="eastAsia"/>
        </w:rPr>
        <w:t>缔约国应加倍努力，防止、打击和消除一切形式的歧视，特别注重防止和打击实际发生的歧视，包括对残疾人的直接和间接歧视。在这方面，缔约国应继续开展提高公众认识的运动，以打击对残疾人的污名化，并迅速通过</w:t>
      </w:r>
      <w:r w:rsidRPr="00AE5A8C">
        <w:rPr>
          <w:rFonts w:eastAsia="黑体" w:hint="eastAsia"/>
        </w:rPr>
        <w:t>2026-2030</w:t>
      </w:r>
      <w:r w:rsidRPr="00AE5A8C">
        <w:rPr>
          <w:rFonts w:eastAsia="黑体" w:hint="eastAsia"/>
        </w:rPr>
        <w:t>年残疾人社会包容国家方案。</w:t>
      </w:r>
    </w:p>
    <w:p w14:paraId="3C1DB871" w14:textId="105BC593" w:rsidR="00C90C70" w:rsidRDefault="00C747A1" w:rsidP="00C747A1">
      <w:pPr>
        <w:pStyle w:val="H23GC"/>
      </w:pPr>
      <w:r>
        <w:rPr>
          <w:rFonts w:hint="eastAsia"/>
        </w:rPr>
        <w:tab/>
      </w:r>
      <w:r>
        <w:rPr>
          <w:rFonts w:hint="eastAsia"/>
        </w:rPr>
        <w:tab/>
      </w:r>
      <w:r w:rsidR="00C90C70">
        <w:rPr>
          <w:rFonts w:hint="eastAsia"/>
        </w:rPr>
        <w:t>仇恨犯罪和仇恨言论</w:t>
      </w:r>
    </w:p>
    <w:p w14:paraId="5B399739" w14:textId="69324D9A" w:rsidR="00C90C70" w:rsidRDefault="00C90C70" w:rsidP="00C90C70">
      <w:pPr>
        <w:pStyle w:val="SingleTxtGC"/>
      </w:pPr>
      <w:r>
        <w:rPr>
          <w:rFonts w:hint="eastAsia"/>
        </w:rPr>
        <w:t>15.</w:t>
      </w:r>
      <w:r>
        <w:rPr>
          <w:rFonts w:hint="eastAsia"/>
        </w:rPr>
        <w:tab/>
      </w:r>
      <w:r>
        <w:rPr>
          <w:rFonts w:hint="eastAsia"/>
        </w:rPr>
        <w:t>委员会感到关切的是，有信息表明，缔约国的仇恨言论和仇恨犯罪</w:t>
      </w:r>
      <w:r>
        <w:rPr>
          <w:rFonts w:hint="eastAsia"/>
        </w:rPr>
        <w:t>(</w:t>
      </w:r>
      <w:r>
        <w:rPr>
          <w:rFonts w:hint="eastAsia"/>
        </w:rPr>
        <w:t>包括网上仇恨言论和仇恨犯罪</w:t>
      </w:r>
      <w:r>
        <w:rPr>
          <w:rFonts w:hint="eastAsia"/>
        </w:rPr>
        <w:t>)</w:t>
      </w:r>
      <w:r>
        <w:rPr>
          <w:rFonts w:hint="eastAsia"/>
        </w:rPr>
        <w:t>仍然盛行，特别是针对罗姆人和男女同性恋、双性恋、跨性别者和间性者群体的仇恨言论和仇恨犯罪。在这方面，委员会感到关切的是，有报告称，在调查针对这些少数群体和其他少数群体成员实施的犯罪案件时，在初始阶段并未系统性地考虑偏见动机。委员会同样感到遗憾的是，缔约国缺乏收集和分列仇恨犯罪事件数据的统一方法，这阻碍了有效的监测和适当的执法应对，尽管委员会注意到缔约国计划近期制定此类方法</w:t>
      </w:r>
      <w:r>
        <w:rPr>
          <w:rFonts w:hint="eastAsia"/>
        </w:rPr>
        <w:t>(</w:t>
      </w:r>
      <w:r>
        <w:rPr>
          <w:rFonts w:hint="eastAsia"/>
        </w:rPr>
        <w:t>第二、第十九、第二十、第二十六和第二十七条</w:t>
      </w:r>
      <w:r>
        <w:rPr>
          <w:rFonts w:hint="eastAsia"/>
        </w:rPr>
        <w:t>)</w:t>
      </w:r>
      <w:r>
        <w:rPr>
          <w:rFonts w:hint="eastAsia"/>
        </w:rPr>
        <w:t>。</w:t>
      </w:r>
    </w:p>
    <w:p w14:paraId="2196FEBC" w14:textId="77777777" w:rsidR="004436AF" w:rsidRPr="00031B71" w:rsidRDefault="00C90C70" w:rsidP="00C90C70">
      <w:pPr>
        <w:pStyle w:val="SingleTxtGC"/>
        <w:rPr>
          <w:rFonts w:eastAsia="黑体"/>
        </w:rPr>
      </w:pPr>
      <w:r w:rsidRPr="00031B71">
        <w:rPr>
          <w:rFonts w:eastAsia="黑体" w:hint="eastAsia"/>
        </w:rPr>
        <w:t>16.</w:t>
      </w:r>
      <w:r w:rsidRPr="00031B71">
        <w:rPr>
          <w:rFonts w:eastAsia="黑体" w:hint="eastAsia"/>
        </w:rPr>
        <w:tab/>
      </w:r>
      <w:r w:rsidRPr="00031B71">
        <w:rPr>
          <w:rFonts w:eastAsia="黑体" w:hint="eastAsia"/>
        </w:rPr>
        <w:t>缔约国应加大力度打击仇恨言论和仇恨犯罪，特别是针对罗姆人以及男女同性恋、双性恋、跨性别者和间性者群体的行为。在此过程中，缔约国应：</w:t>
      </w:r>
    </w:p>
    <w:p w14:paraId="0566C760" w14:textId="77777777" w:rsidR="004436AF" w:rsidRPr="00031B71" w:rsidRDefault="004436AF" w:rsidP="00C90C70">
      <w:pPr>
        <w:pStyle w:val="SingleTxtGC"/>
        <w:rPr>
          <w:rFonts w:eastAsia="黑体"/>
        </w:rPr>
      </w:pPr>
      <w:r w:rsidRPr="00031B71">
        <w:rPr>
          <w:rFonts w:eastAsia="黑体" w:hint="eastAsia"/>
        </w:rPr>
        <w:tab/>
        <w:t>(</w:t>
      </w:r>
      <w:r w:rsidR="00C90C70" w:rsidRPr="00031B71">
        <w:rPr>
          <w:rFonts w:eastAsia="黑体" w:hint="eastAsia"/>
        </w:rPr>
        <w:t>a)</w:t>
      </w:r>
      <w:r w:rsidR="00C90C70" w:rsidRPr="00031B71">
        <w:rPr>
          <w:rFonts w:eastAsia="黑体" w:hint="eastAsia"/>
        </w:rPr>
        <w:tab/>
      </w:r>
      <w:r w:rsidR="00C90C70" w:rsidRPr="00031B71">
        <w:rPr>
          <w:rFonts w:eastAsia="黑体" w:hint="eastAsia"/>
        </w:rPr>
        <w:t>确保对仇恨犯罪进行彻底调查，起诉犯罪嫌疑人，如果罪名成立，则处以与罪行严重程度相称的刑罚，并确保受害者能获得充分赔偿；</w:t>
      </w:r>
    </w:p>
    <w:p w14:paraId="1B8D7DA7" w14:textId="77777777" w:rsidR="004436AF" w:rsidRPr="00031B71" w:rsidRDefault="004436AF" w:rsidP="00C90C70">
      <w:pPr>
        <w:pStyle w:val="SingleTxtGC"/>
        <w:rPr>
          <w:rFonts w:eastAsia="黑体"/>
        </w:rPr>
      </w:pPr>
      <w:r w:rsidRPr="00031B71">
        <w:rPr>
          <w:rFonts w:eastAsia="黑体" w:hint="eastAsia"/>
        </w:rPr>
        <w:tab/>
        <w:t>(</w:t>
      </w:r>
      <w:r w:rsidR="00C90C70" w:rsidRPr="00031B71">
        <w:rPr>
          <w:rFonts w:eastAsia="黑体" w:hint="eastAsia"/>
        </w:rPr>
        <w:t>b)</w:t>
      </w:r>
      <w:r w:rsidR="00C90C70" w:rsidRPr="00031B71">
        <w:rPr>
          <w:rFonts w:eastAsia="黑体" w:hint="eastAsia"/>
        </w:rPr>
        <w:tab/>
      </w:r>
      <w:r w:rsidR="00C90C70" w:rsidRPr="00031B71">
        <w:rPr>
          <w:rFonts w:eastAsia="黑体" w:hint="eastAsia"/>
        </w:rPr>
        <w:t>确保对潜在仇恨犯罪的所有调查从一开始就系统性地考虑可能的偏见动机；</w:t>
      </w:r>
    </w:p>
    <w:p w14:paraId="21E9A46F" w14:textId="77777777" w:rsidR="004436AF" w:rsidRPr="00031B71" w:rsidRDefault="004436AF" w:rsidP="00C90C70">
      <w:pPr>
        <w:pStyle w:val="SingleTxtGC"/>
        <w:rPr>
          <w:rFonts w:eastAsia="黑体"/>
        </w:rPr>
      </w:pPr>
      <w:r w:rsidRPr="00031B71">
        <w:rPr>
          <w:rFonts w:eastAsia="黑体" w:hint="eastAsia"/>
        </w:rPr>
        <w:tab/>
        <w:t>(</w:t>
      </w:r>
      <w:r w:rsidR="00C90C70" w:rsidRPr="00031B71">
        <w:rPr>
          <w:rFonts w:eastAsia="黑体" w:hint="eastAsia"/>
        </w:rPr>
        <w:t>c)</w:t>
      </w:r>
      <w:r w:rsidR="00C90C70" w:rsidRPr="00031B71">
        <w:rPr>
          <w:rFonts w:eastAsia="黑体" w:hint="eastAsia"/>
        </w:rPr>
        <w:tab/>
      </w:r>
      <w:r w:rsidR="00C90C70" w:rsidRPr="00031B71">
        <w:rPr>
          <w:rFonts w:eastAsia="黑体" w:hint="eastAsia"/>
        </w:rPr>
        <w:t>采取措施，与互联网服务提供商、社交网络平台和受仇恨言论影响最大的群体密切合作，应对网上仇恨言论盛行的问题；</w:t>
      </w:r>
    </w:p>
    <w:p w14:paraId="63B3E52E" w14:textId="77777777" w:rsidR="004436AF" w:rsidRPr="00031B71" w:rsidRDefault="004436AF" w:rsidP="00C90C70">
      <w:pPr>
        <w:pStyle w:val="SingleTxtGC"/>
        <w:rPr>
          <w:rFonts w:eastAsia="黑体"/>
        </w:rPr>
      </w:pPr>
      <w:r w:rsidRPr="00031B71">
        <w:rPr>
          <w:rFonts w:eastAsia="黑体" w:hint="eastAsia"/>
        </w:rPr>
        <w:tab/>
        <w:t>(</w:t>
      </w:r>
      <w:r w:rsidR="00C90C70" w:rsidRPr="00031B71">
        <w:rPr>
          <w:rFonts w:eastAsia="黑体" w:hint="eastAsia"/>
        </w:rPr>
        <w:t>d)</w:t>
      </w:r>
      <w:r w:rsidR="00C90C70" w:rsidRPr="00031B71">
        <w:rPr>
          <w:rFonts w:eastAsia="黑体" w:hint="eastAsia"/>
        </w:rPr>
        <w:tab/>
      </w:r>
      <w:r w:rsidR="00C90C70" w:rsidRPr="00031B71">
        <w:rPr>
          <w:rFonts w:eastAsia="黑体" w:hint="eastAsia"/>
        </w:rPr>
        <w:t>继续开展提高认识活动，以促进尊重多样性的文化，并消除公众基于他人实际或被认为的族裔或性取向和性别认同而产生的成见和负面态度；</w:t>
      </w:r>
    </w:p>
    <w:p w14:paraId="1F74F941" w14:textId="77777777" w:rsidR="004436AF" w:rsidRPr="00031B71" w:rsidRDefault="004436AF" w:rsidP="00C90C70">
      <w:pPr>
        <w:pStyle w:val="SingleTxtGC"/>
        <w:rPr>
          <w:rFonts w:eastAsia="黑体"/>
        </w:rPr>
      </w:pPr>
      <w:r w:rsidRPr="00031B71">
        <w:rPr>
          <w:rFonts w:eastAsia="黑体" w:hint="eastAsia"/>
        </w:rPr>
        <w:tab/>
        <w:t>(</w:t>
      </w:r>
      <w:r w:rsidR="00C90C70" w:rsidRPr="00031B71">
        <w:rPr>
          <w:rFonts w:eastAsia="黑体" w:hint="eastAsia"/>
        </w:rPr>
        <w:t>e)</w:t>
      </w:r>
      <w:r w:rsidR="00C90C70" w:rsidRPr="00031B71">
        <w:rPr>
          <w:rFonts w:eastAsia="黑体" w:hint="eastAsia"/>
        </w:rPr>
        <w:tab/>
      </w:r>
      <w:r w:rsidR="00C90C70" w:rsidRPr="00031B71">
        <w:rPr>
          <w:rFonts w:eastAsia="黑体" w:hint="eastAsia"/>
        </w:rPr>
        <w:t>确保仇恨言论在最高层级受到谴责，并对相关案件进行彻底调查和起诉，使犯罪者受到适当制裁；</w:t>
      </w:r>
    </w:p>
    <w:p w14:paraId="44B6E93B" w14:textId="658B01F6" w:rsidR="00C90C70" w:rsidRPr="00031B71" w:rsidRDefault="004436AF" w:rsidP="00C90C70">
      <w:pPr>
        <w:pStyle w:val="SingleTxtGC"/>
        <w:rPr>
          <w:rFonts w:eastAsia="黑体"/>
        </w:rPr>
      </w:pPr>
      <w:r w:rsidRPr="00031B71">
        <w:rPr>
          <w:rFonts w:eastAsia="黑体" w:hint="eastAsia"/>
        </w:rPr>
        <w:lastRenderedPageBreak/>
        <w:tab/>
        <w:t>(</w:t>
      </w:r>
      <w:r w:rsidR="00C90C70" w:rsidRPr="00031B71">
        <w:rPr>
          <w:rFonts w:eastAsia="黑体" w:hint="eastAsia"/>
        </w:rPr>
        <w:t>f)</w:t>
      </w:r>
      <w:r w:rsidR="00C90C70" w:rsidRPr="00031B71">
        <w:rPr>
          <w:rFonts w:eastAsia="黑体" w:hint="eastAsia"/>
        </w:rPr>
        <w:tab/>
      </w:r>
      <w:r w:rsidR="00C90C70" w:rsidRPr="00031B71">
        <w:rPr>
          <w:rFonts w:eastAsia="黑体" w:hint="eastAsia"/>
        </w:rPr>
        <w:t>通过系统收集关于相关申诉及其结果的数据，确保有效监测仇恨言论和仇恨犯罪。</w:t>
      </w:r>
    </w:p>
    <w:p w14:paraId="381E5F44" w14:textId="59815CF7" w:rsidR="00C90C70" w:rsidRDefault="00C747A1" w:rsidP="00C747A1">
      <w:pPr>
        <w:pStyle w:val="H23GC"/>
      </w:pPr>
      <w:r>
        <w:rPr>
          <w:rFonts w:hint="eastAsia"/>
        </w:rPr>
        <w:tab/>
      </w:r>
      <w:r>
        <w:rPr>
          <w:rFonts w:hint="eastAsia"/>
        </w:rPr>
        <w:tab/>
      </w:r>
      <w:r w:rsidR="00C90C70">
        <w:rPr>
          <w:rFonts w:hint="eastAsia"/>
        </w:rPr>
        <w:t>性别平等</w:t>
      </w:r>
    </w:p>
    <w:p w14:paraId="00397D96" w14:textId="0C601913" w:rsidR="00C90C70" w:rsidRDefault="00C90C70" w:rsidP="00C90C70">
      <w:pPr>
        <w:pStyle w:val="SingleTxtGC"/>
      </w:pPr>
      <w:r>
        <w:rPr>
          <w:rFonts w:hint="eastAsia"/>
        </w:rPr>
        <w:t>17.</w:t>
      </w:r>
      <w:r>
        <w:rPr>
          <w:rFonts w:hint="eastAsia"/>
        </w:rPr>
        <w:tab/>
      </w:r>
      <w:r>
        <w:rPr>
          <w:rFonts w:hint="eastAsia"/>
        </w:rPr>
        <w:t>委员会考虑到缔约国在提高妇女在政治机构中的代表性方面取得了显著进展，但仍感关切的是，仇恨言论、性别歧视态度和抹黑运动的持续盛行严重阻碍了妇女竞选公职和充分参与公共生活。委员会感到遗憾的是，妇女在执法机构中的代表性仍然较低，同时很大一部分妇女由于家庭中的传统性别角色等原因，仍然没有参加经济活动。委员会还表示关切的是，难民妇女在进入正规劳动力市场方面面临结构性障碍，这增加了她们遭受剥削的脆弱性</w:t>
      </w:r>
      <w:r>
        <w:rPr>
          <w:rFonts w:hint="eastAsia"/>
        </w:rPr>
        <w:t>(</w:t>
      </w:r>
      <w:r>
        <w:rPr>
          <w:rFonts w:hint="eastAsia"/>
        </w:rPr>
        <w:t>第三、第二十五和第二十六条</w:t>
      </w:r>
      <w:r>
        <w:rPr>
          <w:rFonts w:hint="eastAsia"/>
        </w:rPr>
        <w:t>)</w:t>
      </w:r>
      <w:r>
        <w:rPr>
          <w:rFonts w:hint="eastAsia"/>
        </w:rPr>
        <w:t>。</w:t>
      </w:r>
    </w:p>
    <w:p w14:paraId="783D0F42" w14:textId="77777777" w:rsidR="004436AF" w:rsidRPr="00335AC6" w:rsidRDefault="00C90C70" w:rsidP="00C90C70">
      <w:pPr>
        <w:pStyle w:val="SingleTxtGC"/>
        <w:rPr>
          <w:rFonts w:eastAsia="黑体"/>
        </w:rPr>
      </w:pPr>
      <w:r w:rsidRPr="00335AC6">
        <w:rPr>
          <w:rFonts w:eastAsia="黑体" w:hint="eastAsia"/>
        </w:rPr>
        <w:t>18.</w:t>
      </w:r>
      <w:r w:rsidRPr="00335AC6">
        <w:rPr>
          <w:rFonts w:eastAsia="黑体" w:hint="eastAsia"/>
        </w:rPr>
        <w:tab/>
      </w:r>
      <w:r w:rsidRPr="00335AC6">
        <w:rPr>
          <w:rFonts w:eastAsia="黑体" w:hint="eastAsia"/>
        </w:rPr>
        <w:t>缔约国应：</w:t>
      </w:r>
    </w:p>
    <w:p w14:paraId="4F27157E" w14:textId="77777777" w:rsidR="004436AF" w:rsidRPr="00335AC6" w:rsidRDefault="004436AF" w:rsidP="00C90C70">
      <w:pPr>
        <w:pStyle w:val="SingleTxtGC"/>
        <w:rPr>
          <w:rFonts w:eastAsia="黑体"/>
        </w:rPr>
      </w:pPr>
      <w:r w:rsidRPr="00335AC6">
        <w:rPr>
          <w:rFonts w:eastAsia="黑体" w:hint="eastAsia"/>
        </w:rPr>
        <w:tab/>
        <w:t>(</w:t>
      </w:r>
      <w:r w:rsidR="00C90C70" w:rsidRPr="00335AC6">
        <w:rPr>
          <w:rFonts w:eastAsia="黑体" w:hint="eastAsia"/>
        </w:rPr>
        <w:t>a)</w:t>
      </w:r>
      <w:r w:rsidR="00C90C70" w:rsidRPr="00335AC6">
        <w:rPr>
          <w:rFonts w:eastAsia="黑体" w:hint="eastAsia"/>
        </w:rPr>
        <w:tab/>
      </w:r>
      <w:r w:rsidR="00C90C70" w:rsidRPr="00335AC6">
        <w:rPr>
          <w:rFonts w:eastAsia="黑体" w:hint="eastAsia"/>
        </w:rPr>
        <w:t>继续努力，确保有效实施措施，以巩固妇女在公共决策职位中的长期代表性；</w:t>
      </w:r>
    </w:p>
    <w:p w14:paraId="2C3D99E5" w14:textId="77777777" w:rsidR="004436AF" w:rsidRPr="00335AC6" w:rsidRDefault="004436AF" w:rsidP="00C90C70">
      <w:pPr>
        <w:pStyle w:val="SingleTxtGC"/>
        <w:rPr>
          <w:rFonts w:eastAsia="黑体"/>
        </w:rPr>
      </w:pPr>
      <w:r w:rsidRPr="00335AC6">
        <w:rPr>
          <w:rFonts w:eastAsia="黑体" w:hint="eastAsia"/>
        </w:rPr>
        <w:tab/>
        <w:t>(</w:t>
      </w:r>
      <w:r w:rsidR="00C90C70" w:rsidRPr="00335AC6">
        <w:rPr>
          <w:rFonts w:eastAsia="黑体" w:hint="eastAsia"/>
        </w:rPr>
        <w:t>b)</w:t>
      </w:r>
      <w:r w:rsidR="00C90C70" w:rsidRPr="00335AC6">
        <w:rPr>
          <w:rFonts w:eastAsia="黑体" w:hint="eastAsia"/>
        </w:rPr>
        <w:tab/>
      </w:r>
      <w:r w:rsidR="00C90C70" w:rsidRPr="00335AC6">
        <w:rPr>
          <w:rFonts w:eastAsia="黑体" w:hint="eastAsia"/>
        </w:rPr>
        <w:t>落实适当措施，打击对女政客的骚扰行为，消除负面性别成见，包括开展促进性别平等的公众宣传运动；</w:t>
      </w:r>
    </w:p>
    <w:p w14:paraId="5B563B27" w14:textId="77777777" w:rsidR="004436AF" w:rsidRPr="00335AC6" w:rsidRDefault="004436AF" w:rsidP="00C90C70">
      <w:pPr>
        <w:pStyle w:val="SingleTxtGC"/>
        <w:rPr>
          <w:rFonts w:eastAsia="黑体"/>
        </w:rPr>
      </w:pPr>
      <w:r w:rsidRPr="00335AC6">
        <w:rPr>
          <w:rFonts w:eastAsia="黑体" w:hint="eastAsia"/>
        </w:rPr>
        <w:tab/>
        <w:t>(</w:t>
      </w:r>
      <w:r w:rsidR="00C90C70" w:rsidRPr="00335AC6">
        <w:rPr>
          <w:rFonts w:eastAsia="黑体" w:hint="eastAsia"/>
        </w:rPr>
        <w:t>c)</w:t>
      </w:r>
      <w:r w:rsidR="00C90C70" w:rsidRPr="00335AC6">
        <w:rPr>
          <w:rFonts w:eastAsia="黑体" w:hint="eastAsia"/>
        </w:rPr>
        <w:tab/>
      </w:r>
      <w:r w:rsidR="00C90C70" w:rsidRPr="00335AC6">
        <w:rPr>
          <w:rFonts w:eastAsia="黑体" w:hint="eastAsia"/>
        </w:rPr>
        <w:t>继续确立女性和男性在社会和家庭中的平等角色和责任；</w:t>
      </w:r>
    </w:p>
    <w:p w14:paraId="4DC9D2A0" w14:textId="16283BC2" w:rsidR="00C90C70" w:rsidRPr="00335AC6" w:rsidRDefault="004436AF" w:rsidP="00C90C70">
      <w:pPr>
        <w:pStyle w:val="SingleTxtGC"/>
        <w:rPr>
          <w:rFonts w:eastAsia="黑体"/>
        </w:rPr>
      </w:pPr>
      <w:r w:rsidRPr="00335AC6">
        <w:rPr>
          <w:rFonts w:eastAsia="黑体" w:hint="eastAsia"/>
        </w:rPr>
        <w:tab/>
        <w:t>(</w:t>
      </w:r>
      <w:r w:rsidR="00C90C70" w:rsidRPr="00335AC6">
        <w:rPr>
          <w:rFonts w:eastAsia="黑体" w:hint="eastAsia"/>
        </w:rPr>
        <w:t>d)</w:t>
      </w:r>
      <w:r w:rsidR="00C90C70" w:rsidRPr="00335AC6">
        <w:rPr>
          <w:rFonts w:eastAsia="黑体" w:hint="eastAsia"/>
        </w:rPr>
        <w:tab/>
      </w:r>
      <w:r w:rsidR="00C90C70" w:rsidRPr="00335AC6">
        <w:rPr>
          <w:rFonts w:eastAsia="黑体" w:hint="eastAsia"/>
        </w:rPr>
        <w:t>采取措施，包括暂行特别措施，解决劳动力市场不平等的问题，特别是严重影响弱势妇女群体</w:t>
      </w:r>
      <w:r w:rsidR="00C90C70" w:rsidRPr="00335AC6">
        <w:rPr>
          <w:rFonts w:eastAsia="黑体" w:hint="eastAsia"/>
        </w:rPr>
        <w:t>(</w:t>
      </w:r>
      <w:r w:rsidR="00C90C70" w:rsidRPr="00335AC6">
        <w:rPr>
          <w:rFonts w:eastAsia="黑体" w:hint="eastAsia"/>
        </w:rPr>
        <w:t>包括难民妇女</w:t>
      </w:r>
      <w:r w:rsidR="00C90C70" w:rsidRPr="00335AC6">
        <w:rPr>
          <w:rFonts w:eastAsia="黑体" w:hint="eastAsia"/>
        </w:rPr>
        <w:t>)</w:t>
      </w:r>
      <w:r w:rsidR="00C90C70" w:rsidRPr="00335AC6">
        <w:rPr>
          <w:rFonts w:eastAsia="黑体" w:hint="eastAsia"/>
        </w:rPr>
        <w:t>的问题。</w:t>
      </w:r>
    </w:p>
    <w:p w14:paraId="52A210ED" w14:textId="4E920B3F" w:rsidR="00C90C70" w:rsidRDefault="00C747A1" w:rsidP="00C747A1">
      <w:pPr>
        <w:pStyle w:val="H23GC"/>
      </w:pPr>
      <w:r>
        <w:rPr>
          <w:rFonts w:hint="eastAsia"/>
        </w:rPr>
        <w:tab/>
      </w:r>
      <w:r>
        <w:rPr>
          <w:rFonts w:hint="eastAsia"/>
        </w:rPr>
        <w:tab/>
      </w:r>
      <w:r w:rsidR="00C90C70">
        <w:rPr>
          <w:rFonts w:hint="eastAsia"/>
        </w:rPr>
        <w:t>紧急状态</w:t>
      </w:r>
    </w:p>
    <w:p w14:paraId="2E7034E8" w14:textId="22F4239C" w:rsidR="00C90C70" w:rsidRDefault="00C90C70" w:rsidP="00C90C70">
      <w:pPr>
        <w:pStyle w:val="SingleTxtGC"/>
      </w:pPr>
      <w:r>
        <w:rPr>
          <w:rFonts w:hint="eastAsia"/>
        </w:rPr>
        <w:t>19.</w:t>
      </w:r>
      <w:r>
        <w:rPr>
          <w:rFonts w:hint="eastAsia"/>
        </w:rPr>
        <w:tab/>
      </w:r>
      <w:r>
        <w:rPr>
          <w:rFonts w:hint="eastAsia"/>
        </w:rPr>
        <w:t>虽然委员会回顾指出，根据《公约》第四条，缔约国在社会紧急状态下可采取措施，克减《公约》规定的保障某些权利和自由的义务，但委员会对特殊情况委员会所作决定的相称性表示关切，这些决定对诉诸司法和表达自由造成了不利影响。委员会还对持续实施紧急状态表示关切，据缔约国报告，紧急状态已持续</w:t>
      </w:r>
      <w:r>
        <w:rPr>
          <w:rFonts w:hint="eastAsia"/>
        </w:rPr>
        <w:t>975</w:t>
      </w:r>
      <w:r>
        <w:rPr>
          <w:rFonts w:hint="eastAsia"/>
        </w:rPr>
        <w:t>天，造成了将紧急权力的使用常态化的风险</w:t>
      </w:r>
      <w:r>
        <w:rPr>
          <w:rFonts w:hint="eastAsia"/>
        </w:rPr>
        <w:t>(</w:t>
      </w:r>
      <w:r>
        <w:rPr>
          <w:rFonts w:hint="eastAsia"/>
        </w:rPr>
        <w:t>第四、第十四、第十九和第二十一条</w:t>
      </w:r>
      <w:r>
        <w:rPr>
          <w:rFonts w:hint="eastAsia"/>
        </w:rPr>
        <w:t>)</w:t>
      </w:r>
      <w:r>
        <w:rPr>
          <w:rFonts w:hint="eastAsia"/>
        </w:rPr>
        <w:t>。</w:t>
      </w:r>
    </w:p>
    <w:p w14:paraId="21AA75D6" w14:textId="1AD1307E" w:rsidR="00C90C70" w:rsidRPr="00437CA8" w:rsidRDefault="00C90C70" w:rsidP="00C90C70">
      <w:pPr>
        <w:pStyle w:val="SingleTxtGC"/>
        <w:rPr>
          <w:rFonts w:eastAsia="黑体"/>
        </w:rPr>
      </w:pPr>
      <w:r w:rsidRPr="00437CA8">
        <w:rPr>
          <w:rFonts w:eastAsia="黑体" w:hint="eastAsia"/>
        </w:rPr>
        <w:t>20.</w:t>
      </w:r>
      <w:r w:rsidRPr="00437CA8">
        <w:rPr>
          <w:rFonts w:eastAsia="黑体" w:hint="eastAsia"/>
        </w:rPr>
        <w:tab/>
      </w:r>
      <w:r w:rsidRPr="00437CA8">
        <w:rPr>
          <w:rFonts w:eastAsia="黑体" w:hint="eastAsia"/>
        </w:rPr>
        <w:t>根据委员会关于紧急状态期间的《公约》条款克减问题的第</w:t>
      </w:r>
      <w:r w:rsidRPr="00437CA8">
        <w:rPr>
          <w:rFonts w:eastAsia="黑体" w:hint="eastAsia"/>
        </w:rPr>
        <w:t>29</w:t>
      </w:r>
      <w:r w:rsidRPr="00437CA8">
        <w:rPr>
          <w:rFonts w:eastAsia="黑体" w:hint="eastAsia"/>
        </w:rPr>
        <w:t>号一般性意见</w:t>
      </w:r>
      <w:r w:rsidRPr="00437CA8">
        <w:rPr>
          <w:rFonts w:eastAsia="黑体" w:hint="eastAsia"/>
        </w:rPr>
        <w:t>(2001</w:t>
      </w:r>
      <w:r w:rsidRPr="00437CA8">
        <w:rPr>
          <w:rFonts w:eastAsia="黑体" w:hint="eastAsia"/>
        </w:rPr>
        <w:t>年</w:t>
      </w:r>
      <w:r w:rsidRPr="00437CA8">
        <w:rPr>
          <w:rFonts w:eastAsia="黑体" w:hint="eastAsia"/>
        </w:rPr>
        <w:t>)</w:t>
      </w:r>
      <w:r w:rsidRPr="00437CA8">
        <w:rPr>
          <w:rFonts w:eastAsia="黑体" w:hint="eastAsia"/>
        </w:rPr>
        <w:t>，缔约国应充分遵守《公约》第四条规定的所有条件。缔约国还应保证，在紧急状态期间实施的任何限制人权的措施都是例外、临时、绝对必要、相称、非歧视性的，并接受独立司法审查。</w:t>
      </w:r>
    </w:p>
    <w:p w14:paraId="23774625" w14:textId="3EA6C0B3" w:rsidR="00C90C70" w:rsidRDefault="00C747A1" w:rsidP="00C747A1">
      <w:pPr>
        <w:pStyle w:val="H23GC"/>
      </w:pPr>
      <w:r>
        <w:rPr>
          <w:rFonts w:hint="eastAsia"/>
        </w:rPr>
        <w:tab/>
      </w:r>
      <w:r>
        <w:rPr>
          <w:rFonts w:hint="eastAsia"/>
        </w:rPr>
        <w:tab/>
      </w:r>
      <w:r w:rsidR="00C90C70">
        <w:rPr>
          <w:rFonts w:hint="eastAsia"/>
        </w:rPr>
        <w:t>暴力侵害妇女行为和家庭暴力</w:t>
      </w:r>
    </w:p>
    <w:p w14:paraId="31CAC425" w14:textId="40897301" w:rsidR="00C90C70" w:rsidRDefault="00C90C70" w:rsidP="00C90C70">
      <w:pPr>
        <w:pStyle w:val="SingleTxtGC"/>
      </w:pPr>
      <w:r>
        <w:rPr>
          <w:rFonts w:hint="eastAsia"/>
        </w:rPr>
        <w:t>21.</w:t>
      </w:r>
      <w:r>
        <w:rPr>
          <w:rFonts w:hint="eastAsia"/>
        </w:rPr>
        <w:tab/>
      </w:r>
      <w:r>
        <w:rPr>
          <w:rFonts w:hint="eastAsia"/>
        </w:rPr>
        <w:t>委员会欢迎缔约国在本报告所述期间为打击暴力侵害妇女行为和家庭暴力所做的努力，特别是于</w:t>
      </w:r>
      <w:r>
        <w:rPr>
          <w:rFonts w:hint="eastAsia"/>
        </w:rPr>
        <w:t>2022</w:t>
      </w:r>
      <w:r>
        <w:rPr>
          <w:rFonts w:hint="eastAsia"/>
        </w:rPr>
        <w:t>年</w:t>
      </w:r>
      <w:r>
        <w:rPr>
          <w:rFonts w:hint="eastAsia"/>
        </w:rPr>
        <w:t>1</w:t>
      </w:r>
      <w:r>
        <w:rPr>
          <w:rFonts w:hint="eastAsia"/>
        </w:rPr>
        <w:t>月</w:t>
      </w:r>
      <w:r>
        <w:rPr>
          <w:rFonts w:hint="eastAsia"/>
        </w:rPr>
        <w:t>31</w:t>
      </w:r>
      <w:r>
        <w:rPr>
          <w:rFonts w:hint="eastAsia"/>
        </w:rPr>
        <w:t>日批准了《伊斯坦布尔公约》，并颁布了一系列立法法案，以加强对性别暴力和家庭暴力受害者的保护，并修订了《刑法》的某些条款。然而，委员会感到关切的是，家庭暴力在缔约国仍然普遍存在，特别是在具有交叉脆弱性的妇女群体中，尽管近期报案量有所增加，呈现出积极趋势，但由于性别成见、社会污名化、害怕报复以及对执法机构和卫生服务提供者的持续不信任，家庭暴力和性别暴力仍然存在漏报现象。委员会还表示关切的是，据报告，对家庭暴力和性别暴力，特别是经济和心理暴力的处罚不足，并对</w:t>
      </w:r>
      <w:r>
        <w:rPr>
          <w:rFonts w:hint="eastAsia"/>
        </w:rPr>
        <w:lastRenderedPageBreak/>
        <w:t>缔约国仍然缺乏完全基于同意的强奸定义感到遗憾</w:t>
      </w:r>
      <w:r>
        <w:rPr>
          <w:rFonts w:hint="eastAsia"/>
        </w:rPr>
        <w:t>(</w:t>
      </w:r>
      <w:r>
        <w:rPr>
          <w:rFonts w:hint="eastAsia"/>
        </w:rPr>
        <w:t>第二、第三、第六、第七和第二十六条</w:t>
      </w:r>
      <w:r>
        <w:rPr>
          <w:rFonts w:hint="eastAsia"/>
        </w:rPr>
        <w:t>)</w:t>
      </w:r>
      <w:r>
        <w:rPr>
          <w:rFonts w:hint="eastAsia"/>
        </w:rPr>
        <w:t>。</w:t>
      </w:r>
    </w:p>
    <w:p w14:paraId="4E649C69" w14:textId="77777777" w:rsidR="004436AF" w:rsidRPr="00437CA8" w:rsidRDefault="00C90C70" w:rsidP="00C90C70">
      <w:pPr>
        <w:pStyle w:val="SingleTxtGC"/>
        <w:rPr>
          <w:rFonts w:eastAsia="黑体"/>
        </w:rPr>
      </w:pPr>
      <w:r w:rsidRPr="00437CA8">
        <w:rPr>
          <w:rFonts w:eastAsia="黑体" w:hint="eastAsia"/>
        </w:rPr>
        <w:t>22.</w:t>
      </w:r>
      <w:r w:rsidRPr="00437CA8">
        <w:rPr>
          <w:rFonts w:eastAsia="黑体" w:hint="eastAsia"/>
        </w:rPr>
        <w:tab/>
      </w:r>
      <w:r w:rsidRPr="00437CA8">
        <w:rPr>
          <w:rFonts w:eastAsia="黑体" w:hint="eastAsia"/>
        </w:rPr>
        <w:t>缔约国应加倍努力，消除暴力侵害妇女和女童行为。缔约国尤其应：</w:t>
      </w:r>
    </w:p>
    <w:p w14:paraId="40B74975" w14:textId="77777777" w:rsidR="004436AF" w:rsidRPr="00437CA8" w:rsidRDefault="004436AF" w:rsidP="00C90C70">
      <w:pPr>
        <w:pStyle w:val="SingleTxtGC"/>
        <w:rPr>
          <w:rFonts w:eastAsia="黑体"/>
        </w:rPr>
      </w:pPr>
      <w:r w:rsidRPr="00437CA8">
        <w:rPr>
          <w:rFonts w:eastAsia="黑体" w:hint="eastAsia"/>
        </w:rPr>
        <w:tab/>
        <w:t>(</w:t>
      </w:r>
      <w:r w:rsidR="00C90C70" w:rsidRPr="00437CA8">
        <w:rPr>
          <w:rFonts w:eastAsia="黑体" w:hint="eastAsia"/>
        </w:rPr>
        <w:t>a)</w:t>
      </w:r>
      <w:r w:rsidR="00C90C70" w:rsidRPr="00437CA8">
        <w:rPr>
          <w:rFonts w:eastAsia="黑体" w:hint="eastAsia"/>
        </w:rPr>
        <w:tab/>
      </w:r>
      <w:r w:rsidR="00C90C70" w:rsidRPr="00437CA8">
        <w:rPr>
          <w:rFonts w:eastAsia="黑体" w:hint="eastAsia"/>
        </w:rPr>
        <w:t>继续加强防止一切形式性别暴力的法律框架，包括在审议或审查立法时纳入性别视角，并在国内刑事立法中确立符合国际标准的完全基于同意的强奸定义；</w:t>
      </w:r>
    </w:p>
    <w:p w14:paraId="58A61665" w14:textId="77777777" w:rsidR="004436AF" w:rsidRPr="00437CA8" w:rsidRDefault="004436AF" w:rsidP="00C90C70">
      <w:pPr>
        <w:pStyle w:val="SingleTxtGC"/>
        <w:rPr>
          <w:rFonts w:eastAsia="黑体"/>
        </w:rPr>
      </w:pPr>
      <w:r w:rsidRPr="00437CA8">
        <w:rPr>
          <w:rFonts w:eastAsia="黑体" w:hint="eastAsia"/>
        </w:rPr>
        <w:tab/>
        <w:t>(</w:t>
      </w:r>
      <w:r w:rsidR="00C90C70" w:rsidRPr="00437CA8">
        <w:rPr>
          <w:rFonts w:eastAsia="黑体" w:hint="eastAsia"/>
        </w:rPr>
        <w:t>b)</w:t>
      </w:r>
      <w:r w:rsidR="00C90C70" w:rsidRPr="00437CA8">
        <w:rPr>
          <w:rFonts w:eastAsia="黑体" w:hint="eastAsia"/>
        </w:rPr>
        <w:tab/>
      </w:r>
      <w:r w:rsidR="00C90C70" w:rsidRPr="00437CA8">
        <w:rPr>
          <w:rFonts w:eastAsia="黑体" w:hint="eastAsia"/>
        </w:rPr>
        <w:t>确保所有暴力侵害妇女案件得到迅速和彻底的调查，确保此类犯罪受到依职权提起的诉讼，不论受害者是否同意，并确保施害者受到起诉、视情况得到定罪和应有的处罚，同时确保向受害者提供适当保护和有效补救；</w:t>
      </w:r>
    </w:p>
    <w:p w14:paraId="347087E3" w14:textId="77777777" w:rsidR="004436AF" w:rsidRPr="00437CA8" w:rsidRDefault="004436AF" w:rsidP="00C90C70">
      <w:pPr>
        <w:pStyle w:val="SingleTxtGC"/>
        <w:rPr>
          <w:rFonts w:eastAsia="黑体"/>
        </w:rPr>
      </w:pPr>
      <w:r w:rsidRPr="00437CA8">
        <w:rPr>
          <w:rFonts w:eastAsia="黑体" w:hint="eastAsia"/>
        </w:rPr>
        <w:tab/>
        <w:t>(</w:t>
      </w:r>
      <w:r w:rsidR="00C90C70" w:rsidRPr="00437CA8">
        <w:rPr>
          <w:rFonts w:eastAsia="黑体" w:hint="eastAsia"/>
        </w:rPr>
        <w:t>c)</w:t>
      </w:r>
      <w:r w:rsidR="00C90C70" w:rsidRPr="00437CA8">
        <w:rPr>
          <w:rFonts w:eastAsia="黑体" w:hint="eastAsia"/>
        </w:rPr>
        <w:tab/>
      </w:r>
      <w:r w:rsidR="00C90C70" w:rsidRPr="00437CA8">
        <w:rPr>
          <w:rFonts w:eastAsia="黑体" w:hint="eastAsia"/>
        </w:rPr>
        <w:t>确保法官、检察官、执法官员和医护人员接受适当培训，以便他们能够以有效和性别敏感的方式处理性别暴力和家庭暴力案件；</w:t>
      </w:r>
    </w:p>
    <w:p w14:paraId="2B89A390" w14:textId="5C19E16F" w:rsidR="00C90C70" w:rsidRPr="00437CA8" w:rsidRDefault="004436AF" w:rsidP="00C90C70">
      <w:pPr>
        <w:pStyle w:val="SingleTxtGC"/>
        <w:rPr>
          <w:rFonts w:eastAsia="黑体"/>
        </w:rPr>
      </w:pPr>
      <w:r w:rsidRPr="00437CA8">
        <w:rPr>
          <w:rFonts w:eastAsia="黑体" w:hint="eastAsia"/>
        </w:rPr>
        <w:tab/>
        <w:t>(</w:t>
      </w:r>
      <w:r w:rsidR="00C90C70" w:rsidRPr="00437CA8">
        <w:rPr>
          <w:rFonts w:eastAsia="黑体" w:hint="eastAsia"/>
        </w:rPr>
        <w:t>d)</w:t>
      </w:r>
      <w:r w:rsidR="00C90C70" w:rsidRPr="00437CA8">
        <w:rPr>
          <w:rFonts w:eastAsia="黑体" w:hint="eastAsia"/>
        </w:rPr>
        <w:tab/>
      </w:r>
      <w:r w:rsidR="00C90C70" w:rsidRPr="00437CA8">
        <w:rPr>
          <w:rFonts w:eastAsia="黑体" w:hint="eastAsia"/>
        </w:rPr>
        <w:t>收集并公开提供有关暴力侵害妇女行为的分类数据，包括与性别暴力相关的投诉、调查、起诉、定罪和判刑信息，并制定监测心理和经济暴力案件的方法，包括调查、起诉和最终制裁情况。</w:t>
      </w:r>
    </w:p>
    <w:p w14:paraId="5A548B13" w14:textId="21303EED" w:rsidR="00C90C70" w:rsidRDefault="00C747A1" w:rsidP="00C747A1">
      <w:pPr>
        <w:pStyle w:val="H23GC"/>
      </w:pPr>
      <w:r>
        <w:rPr>
          <w:rFonts w:hint="eastAsia"/>
        </w:rPr>
        <w:tab/>
      </w:r>
      <w:r>
        <w:rPr>
          <w:rFonts w:hint="eastAsia"/>
        </w:rPr>
        <w:tab/>
      </w:r>
      <w:r w:rsidR="00C90C70">
        <w:rPr>
          <w:rFonts w:hint="eastAsia"/>
        </w:rPr>
        <w:t>性权利和生殖权利</w:t>
      </w:r>
    </w:p>
    <w:p w14:paraId="786847D8" w14:textId="511B567E" w:rsidR="00C90C70" w:rsidRDefault="00C90C70" w:rsidP="00C90C70">
      <w:pPr>
        <w:pStyle w:val="SingleTxtGC"/>
      </w:pPr>
      <w:r>
        <w:rPr>
          <w:rFonts w:hint="eastAsia"/>
        </w:rPr>
        <w:t>23.</w:t>
      </w:r>
      <w:r>
        <w:rPr>
          <w:rFonts w:hint="eastAsia"/>
        </w:rPr>
        <w:tab/>
      </w:r>
      <w:r>
        <w:rPr>
          <w:rFonts w:hint="eastAsia"/>
        </w:rPr>
        <w:t>委员会感到关切的是，有报告称，某些群体，特别是年轻人、农村地区妇女和残疾妇女，仍然难以获得现代避孕药具，并且缔约国的学校课程中缺乏全面、适龄的性教育，未能纳入关于性取向、性别认同和性别表达的适龄信息</w:t>
      </w:r>
      <w:r>
        <w:rPr>
          <w:rFonts w:hint="eastAsia"/>
        </w:rPr>
        <w:t>(</w:t>
      </w:r>
      <w:r>
        <w:rPr>
          <w:rFonts w:hint="eastAsia"/>
        </w:rPr>
        <w:t>第二、第六和第七条</w:t>
      </w:r>
      <w:r>
        <w:rPr>
          <w:rFonts w:hint="eastAsia"/>
        </w:rPr>
        <w:t>)</w:t>
      </w:r>
      <w:r>
        <w:rPr>
          <w:rFonts w:hint="eastAsia"/>
        </w:rPr>
        <w:t>。</w:t>
      </w:r>
    </w:p>
    <w:p w14:paraId="5399118B" w14:textId="3753A36F" w:rsidR="00C90C70" w:rsidRPr="00437CA8" w:rsidRDefault="00C90C70" w:rsidP="00C90C70">
      <w:pPr>
        <w:pStyle w:val="SingleTxtGC"/>
        <w:rPr>
          <w:rFonts w:eastAsia="黑体"/>
        </w:rPr>
      </w:pPr>
      <w:r w:rsidRPr="00437CA8">
        <w:rPr>
          <w:rFonts w:eastAsia="黑体" w:hint="eastAsia"/>
        </w:rPr>
        <w:t>24.</w:t>
      </w:r>
      <w:r w:rsidRPr="00437CA8">
        <w:rPr>
          <w:rFonts w:eastAsia="黑体" w:hint="eastAsia"/>
        </w:rPr>
        <w:tab/>
      </w:r>
      <w:r w:rsidRPr="00437CA8">
        <w:rPr>
          <w:rFonts w:eastAsia="黑体" w:hint="eastAsia"/>
        </w:rPr>
        <w:t>缔约国应继续努力，促进和保护平等获得负担得起的避孕措施的机会，并将全面、适龄的性教育</w:t>
      </w:r>
      <w:r w:rsidRPr="00437CA8">
        <w:rPr>
          <w:rFonts w:eastAsia="黑体" w:hint="eastAsia"/>
        </w:rPr>
        <w:t>(</w:t>
      </w:r>
      <w:r w:rsidRPr="00437CA8">
        <w:rPr>
          <w:rFonts w:eastAsia="黑体" w:hint="eastAsia"/>
        </w:rPr>
        <w:t>包括关于性取向、性别认同和性别表达的信息</w:t>
      </w:r>
      <w:r w:rsidRPr="00437CA8">
        <w:rPr>
          <w:rFonts w:eastAsia="黑体" w:hint="eastAsia"/>
        </w:rPr>
        <w:t>)</w:t>
      </w:r>
      <w:r w:rsidRPr="00437CA8">
        <w:rPr>
          <w:rFonts w:eastAsia="黑体" w:hint="eastAsia"/>
        </w:rPr>
        <w:t>纳入学校课程。缔约国还应尽快通过性健康和生殖健康国家计划草案。</w:t>
      </w:r>
    </w:p>
    <w:p w14:paraId="3242E6E0" w14:textId="10D0A8B1" w:rsidR="00C90C70" w:rsidRDefault="00C747A1" w:rsidP="00C747A1">
      <w:pPr>
        <w:pStyle w:val="H23GC"/>
      </w:pPr>
      <w:r>
        <w:rPr>
          <w:rFonts w:hint="eastAsia"/>
        </w:rPr>
        <w:tab/>
      </w:r>
      <w:r>
        <w:rPr>
          <w:rFonts w:hint="eastAsia"/>
        </w:rPr>
        <w:tab/>
      </w:r>
      <w:r w:rsidR="00C90C70">
        <w:rPr>
          <w:rFonts w:hint="eastAsia"/>
        </w:rPr>
        <w:t>禁止酷刑和其他残忍、不人道或有辱人格的待遇或处罚</w:t>
      </w:r>
    </w:p>
    <w:p w14:paraId="4B9FEFFF" w14:textId="4FB486FE" w:rsidR="00C90C70" w:rsidRDefault="00C90C70" w:rsidP="00C90C70">
      <w:pPr>
        <w:pStyle w:val="SingleTxtGC"/>
      </w:pPr>
      <w:r>
        <w:rPr>
          <w:rFonts w:hint="eastAsia"/>
        </w:rPr>
        <w:t>25.</w:t>
      </w:r>
      <w:r>
        <w:rPr>
          <w:rFonts w:hint="eastAsia"/>
        </w:rPr>
        <w:tab/>
      </w:r>
      <w:r>
        <w:rPr>
          <w:rFonts w:hint="eastAsia"/>
        </w:rPr>
        <w:t>委员会注意到，近期关于酷刑和虐待的申诉数量有所减少，并且缔约国引入了识别和报告涉嫌实施酷刑行为的程序并建立了身体损害电子登记册，但委员会感到关切的是，有报告表明，酷刑和虐待事件存在漏报现象</w:t>
      </w:r>
      <w:r>
        <w:rPr>
          <w:rFonts w:hint="eastAsia"/>
        </w:rPr>
        <w:t>(</w:t>
      </w:r>
      <w:r>
        <w:rPr>
          <w:rFonts w:hint="eastAsia"/>
        </w:rPr>
        <w:t>包括由于害怕报复</w:t>
      </w:r>
      <w:r>
        <w:rPr>
          <w:rFonts w:hint="eastAsia"/>
        </w:rPr>
        <w:t>)</w:t>
      </w:r>
      <w:r>
        <w:rPr>
          <w:rFonts w:hint="eastAsia"/>
        </w:rPr>
        <w:t>，酷刑和虐待行为被重新归类为较轻的刑事犯罪，以及酷刑和虐待申诉数量与定罪数量之间存在差距。委员会注意到，大量因酷刑和虐待而被定罪的人最终被判处缓刑或罚款，这引发了对所判处的刑罚可能与罪行的严重性不相称的关切，委员会遗憾地指出，缔约国尚未对</w:t>
      </w:r>
      <w:r>
        <w:rPr>
          <w:rFonts w:hint="eastAsia"/>
        </w:rPr>
        <w:t>2009</w:t>
      </w:r>
      <w:r>
        <w:rPr>
          <w:rFonts w:hint="eastAsia"/>
        </w:rPr>
        <w:t>年</w:t>
      </w:r>
      <w:r>
        <w:rPr>
          <w:rFonts w:hint="eastAsia"/>
        </w:rPr>
        <w:t>4</w:t>
      </w:r>
      <w:r>
        <w:rPr>
          <w:rFonts w:hint="eastAsia"/>
        </w:rPr>
        <w:t>月抗议期间发生的侵犯人权行为全面追究责任</w:t>
      </w:r>
      <w:r>
        <w:rPr>
          <w:rFonts w:hint="eastAsia"/>
        </w:rPr>
        <w:t>(</w:t>
      </w:r>
      <w:r>
        <w:rPr>
          <w:rFonts w:hint="eastAsia"/>
        </w:rPr>
        <w:t>第七条</w:t>
      </w:r>
      <w:r>
        <w:rPr>
          <w:rFonts w:hint="eastAsia"/>
        </w:rPr>
        <w:t>)</w:t>
      </w:r>
      <w:r>
        <w:rPr>
          <w:rFonts w:hint="eastAsia"/>
        </w:rPr>
        <w:t>。</w:t>
      </w:r>
    </w:p>
    <w:p w14:paraId="23BBE299" w14:textId="77777777" w:rsidR="004436AF" w:rsidRPr="00437CA8" w:rsidRDefault="00C90C70" w:rsidP="00C90C70">
      <w:pPr>
        <w:pStyle w:val="SingleTxtGC"/>
        <w:rPr>
          <w:rFonts w:eastAsia="黑体"/>
        </w:rPr>
      </w:pPr>
      <w:r w:rsidRPr="00437CA8">
        <w:rPr>
          <w:rFonts w:eastAsia="黑体" w:hint="eastAsia"/>
        </w:rPr>
        <w:t>26.</w:t>
      </w:r>
      <w:r w:rsidRPr="00437CA8">
        <w:rPr>
          <w:rFonts w:eastAsia="黑体" w:hint="eastAsia"/>
        </w:rPr>
        <w:tab/>
      </w:r>
      <w:r w:rsidRPr="00437CA8">
        <w:rPr>
          <w:rFonts w:eastAsia="黑体" w:hint="eastAsia"/>
        </w:rPr>
        <w:t>缔约国应：</w:t>
      </w:r>
    </w:p>
    <w:p w14:paraId="57C0C930" w14:textId="77777777" w:rsidR="004436AF" w:rsidRPr="00437CA8" w:rsidRDefault="004436AF" w:rsidP="00C90C70">
      <w:pPr>
        <w:pStyle w:val="SingleTxtGC"/>
        <w:rPr>
          <w:rFonts w:eastAsia="黑体"/>
        </w:rPr>
      </w:pPr>
      <w:r w:rsidRPr="00437CA8">
        <w:rPr>
          <w:rFonts w:eastAsia="黑体" w:hint="eastAsia"/>
        </w:rPr>
        <w:tab/>
        <w:t>(</w:t>
      </w:r>
      <w:r w:rsidR="00C90C70" w:rsidRPr="00437CA8">
        <w:rPr>
          <w:rFonts w:eastAsia="黑体" w:hint="eastAsia"/>
        </w:rPr>
        <w:t>a)</w:t>
      </w:r>
      <w:r w:rsidR="00C90C70" w:rsidRPr="00437CA8">
        <w:rPr>
          <w:rFonts w:eastAsia="黑体" w:hint="eastAsia"/>
        </w:rPr>
        <w:tab/>
      </w:r>
      <w:r w:rsidR="00C90C70" w:rsidRPr="00437CA8">
        <w:rPr>
          <w:rFonts w:eastAsia="黑体" w:hint="eastAsia"/>
        </w:rPr>
        <w:t>继续加强所有拘留场所的现有申诉机制，包括确保申诉人能够在完全保密的情况下不受阻碍地利用此类机制，并确保申诉人、证人及其家人受到保护，避免因申诉而受到任何恐吓或报复，同时加强防止酷刑委员会的独立性和资源，使其能够有效履行其作为国家防范机制的职责；</w:t>
      </w:r>
    </w:p>
    <w:p w14:paraId="4DCCAE1D" w14:textId="77777777" w:rsidR="004436AF" w:rsidRPr="00437CA8" w:rsidRDefault="004436AF" w:rsidP="00C90C70">
      <w:pPr>
        <w:pStyle w:val="SingleTxtGC"/>
        <w:rPr>
          <w:rFonts w:eastAsia="黑体"/>
        </w:rPr>
      </w:pPr>
      <w:r w:rsidRPr="00437CA8">
        <w:rPr>
          <w:rFonts w:eastAsia="黑体" w:hint="eastAsia"/>
        </w:rPr>
        <w:tab/>
        <w:t>(</w:t>
      </w:r>
      <w:r w:rsidR="00C90C70" w:rsidRPr="00437CA8">
        <w:rPr>
          <w:rFonts w:eastAsia="黑体" w:hint="eastAsia"/>
        </w:rPr>
        <w:t>b)</w:t>
      </w:r>
      <w:r w:rsidR="00C90C70" w:rsidRPr="00437CA8">
        <w:rPr>
          <w:rFonts w:eastAsia="黑体" w:hint="eastAsia"/>
        </w:rPr>
        <w:tab/>
      </w:r>
      <w:r w:rsidR="00C90C70" w:rsidRPr="00437CA8">
        <w:rPr>
          <w:rFonts w:eastAsia="黑体" w:hint="eastAsia"/>
        </w:rPr>
        <w:t>确保广泛宣传关于提出申诉的可能性以及申诉程序的信息，包括在所有剥夺自由场所的显著位置进行展示；</w:t>
      </w:r>
    </w:p>
    <w:p w14:paraId="764C6B36" w14:textId="40406095" w:rsidR="00C90C70" w:rsidRPr="00437CA8" w:rsidRDefault="004436AF" w:rsidP="00C90C70">
      <w:pPr>
        <w:pStyle w:val="SingleTxtGC"/>
        <w:rPr>
          <w:rFonts w:eastAsia="黑体"/>
        </w:rPr>
      </w:pPr>
      <w:r w:rsidRPr="00437CA8">
        <w:rPr>
          <w:rFonts w:eastAsia="黑体" w:hint="eastAsia"/>
        </w:rPr>
        <w:lastRenderedPageBreak/>
        <w:tab/>
        <w:t>(</w:t>
      </w:r>
      <w:r w:rsidR="00C90C70" w:rsidRPr="00437CA8">
        <w:rPr>
          <w:rFonts w:eastAsia="黑体" w:hint="eastAsia"/>
        </w:rPr>
        <w:t>c)</w:t>
      </w:r>
      <w:r w:rsidR="00C90C70" w:rsidRPr="00437CA8">
        <w:rPr>
          <w:rFonts w:eastAsia="黑体" w:hint="eastAsia"/>
        </w:rPr>
        <w:tab/>
      </w:r>
      <w:r w:rsidR="00C90C70" w:rsidRPr="00437CA8">
        <w:rPr>
          <w:rFonts w:eastAsia="黑体" w:hint="eastAsia"/>
        </w:rPr>
        <w:t>确保所有关于酷刑或虐待的申诉均由独立机构进行迅速和公正的调查，根据《刑法》相关条款对涉嫌犯罪者提起诉讼，如判定有罪则处以与其行为严重程度相称的刑罚，并确保受害者能够获得有效的补救措施，包括赔偿、康复和心理支持。</w:t>
      </w:r>
    </w:p>
    <w:p w14:paraId="6CB9EB6E" w14:textId="2E902501" w:rsidR="00C90C70" w:rsidRDefault="00C747A1" w:rsidP="00C747A1">
      <w:pPr>
        <w:pStyle w:val="H23GC"/>
      </w:pPr>
      <w:r>
        <w:rPr>
          <w:rFonts w:hint="eastAsia"/>
        </w:rPr>
        <w:tab/>
      </w:r>
      <w:r>
        <w:rPr>
          <w:rFonts w:hint="eastAsia"/>
        </w:rPr>
        <w:tab/>
      </w:r>
      <w:r w:rsidR="00C90C70">
        <w:rPr>
          <w:rFonts w:hint="eastAsia"/>
        </w:rPr>
        <w:t>消除奴隶制、劳役和人口贩运</w:t>
      </w:r>
    </w:p>
    <w:p w14:paraId="3389BBB2" w14:textId="4CE0CE4D" w:rsidR="00C90C70" w:rsidRDefault="00C90C70" w:rsidP="00C90C70">
      <w:pPr>
        <w:pStyle w:val="SingleTxtGC"/>
      </w:pPr>
      <w:r>
        <w:rPr>
          <w:rFonts w:hint="eastAsia"/>
        </w:rPr>
        <w:t>27.</w:t>
      </w:r>
      <w:r>
        <w:rPr>
          <w:rFonts w:hint="eastAsia"/>
        </w:rPr>
        <w:tab/>
      </w:r>
      <w:r>
        <w:rPr>
          <w:rFonts w:hint="eastAsia"/>
        </w:rPr>
        <w:t>委员会欢迎缔约国通过《</w:t>
      </w:r>
      <w:r>
        <w:rPr>
          <w:rFonts w:hint="eastAsia"/>
        </w:rPr>
        <w:t>2024</w:t>
      </w:r>
      <w:r w:rsidR="00437CA8">
        <w:rPr>
          <w:rFonts w:hint="eastAsia"/>
        </w:rPr>
        <w:t>-</w:t>
      </w:r>
      <w:r>
        <w:rPr>
          <w:rFonts w:hint="eastAsia"/>
        </w:rPr>
        <w:t>2028</w:t>
      </w:r>
      <w:r>
        <w:rPr>
          <w:rFonts w:hint="eastAsia"/>
        </w:rPr>
        <w:t>年预防和打击人口贩运国家计划》，并赞赏其为贩运和暴力受害者庇护所的维护和运作投入了大量资源。然而，委员会感到关切的是，在已确认身份的受害者中，实际获得援助的人数较少，部分原因在于受害者对政府机构心存恐惧。委员会还感到遗憾的是，据报告，劳动监察员在主动识别人口贩运受害者方面缺乏足够的培训，这可能会阻碍受害者的有效识别及其获得援助和诉诸司法的机会</w:t>
      </w:r>
      <w:r>
        <w:rPr>
          <w:rFonts w:hint="eastAsia"/>
        </w:rPr>
        <w:t>(</w:t>
      </w:r>
      <w:r>
        <w:rPr>
          <w:rFonts w:hint="eastAsia"/>
        </w:rPr>
        <w:t>第二、第七、第八和第二十六条</w:t>
      </w:r>
      <w:r>
        <w:rPr>
          <w:rFonts w:hint="eastAsia"/>
        </w:rPr>
        <w:t>)</w:t>
      </w:r>
      <w:r>
        <w:rPr>
          <w:rFonts w:hint="eastAsia"/>
        </w:rPr>
        <w:t>。</w:t>
      </w:r>
    </w:p>
    <w:p w14:paraId="487A5B9F" w14:textId="77777777" w:rsidR="004436AF" w:rsidRPr="005D58AB" w:rsidRDefault="00C90C70" w:rsidP="00C90C70">
      <w:pPr>
        <w:pStyle w:val="SingleTxtGC"/>
        <w:rPr>
          <w:rFonts w:eastAsia="黑体"/>
        </w:rPr>
      </w:pPr>
      <w:r w:rsidRPr="005D58AB">
        <w:rPr>
          <w:rFonts w:eastAsia="黑体" w:hint="eastAsia"/>
        </w:rPr>
        <w:t>28.</w:t>
      </w:r>
      <w:r w:rsidRPr="005D58AB">
        <w:rPr>
          <w:rFonts w:eastAsia="黑体" w:hint="eastAsia"/>
        </w:rPr>
        <w:tab/>
      </w:r>
      <w:r w:rsidRPr="005D58AB">
        <w:rPr>
          <w:rFonts w:eastAsia="黑体" w:hint="eastAsia"/>
        </w:rPr>
        <w:t>缔约国应：</w:t>
      </w:r>
    </w:p>
    <w:p w14:paraId="0F0FB3D4" w14:textId="77777777" w:rsidR="004436AF" w:rsidRPr="005D58AB" w:rsidRDefault="004436AF" w:rsidP="00C90C70">
      <w:pPr>
        <w:pStyle w:val="SingleTxtGC"/>
        <w:rPr>
          <w:rFonts w:eastAsia="黑体"/>
        </w:rPr>
      </w:pPr>
      <w:r w:rsidRPr="005D58AB">
        <w:rPr>
          <w:rFonts w:eastAsia="黑体" w:hint="eastAsia"/>
        </w:rPr>
        <w:tab/>
        <w:t>(</w:t>
      </w:r>
      <w:r w:rsidR="00C90C70" w:rsidRPr="005D58AB">
        <w:rPr>
          <w:rFonts w:eastAsia="黑体" w:hint="eastAsia"/>
        </w:rPr>
        <w:t>a)</w:t>
      </w:r>
      <w:r w:rsidR="00C90C70" w:rsidRPr="005D58AB">
        <w:rPr>
          <w:rFonts w:eastAsia="黑体" w:hint="eastAsia"/>
        </w:rPr>
        <w:tab/>
      </w:r>
      <w:r w:rsidR="00C90C70" w:rsidRPr="005D58AB">
        <w:rPr>
          <w:rFonts w:eastAsia="黑体" w:hint="eastAsia"/>
        </w:rPr>
        <w:t>采取积极主动的措施，增加对人口贩运受害者的公共援助，包括编制和分发宣传材料，面向法官、检察官、执法人员和医务人员开展关于如何与人口贩运受害者打交道的培训，并加强识别人口贩运受害者的措施；</w:t>
      </w:r>
    </w:p>
    <w:p w14:paraId="2860C549" w14:textId="77777777" w:rsidR="004436AF" w:rsidRPr="005D58AB" w:rsidRDefault="004436AF" w:rsidP="00C90C70">
      <w:pPr>
        <w:pStyle w:val="SingleTxtGC"/>
        <w:rPr>
          <w:rFonts w:eastAsia="黑体"/>
        </w:rPr>
      </w:pPr>
      <w:r w:rsidRPr="005D58AB">
        <w:rPr>
          <w:rFonts w:eastAsia="黑体" w:hint="eastAsia"/>
        </w:rPr>
        <w:tab/>
        <w:t>(</w:t>
      </w:r>
      <w:r w:rsidR="00C90C70" w:rsidRPr="005D58AB">
        <w:rPr>
          <w:rFonts w:eastAsia="黑体" w:hint="eastAsia"/>
        </w:rPr>
        <w:t>b)</w:t>
      </w:r>
      <w:r w:rsidR="00C90C70" w:rsidRPr="005D58AB">
        <w:rPr>
          <w:rFonts w:eastAsia="黑体" w:hint="eastAsia"/>
        </w:rPr>
        <w:tab/>
      </w:r>
      <w:r w:rsidR="00C90C70" w:rsidRPr="005D58AB">
        <w:rPr>
          <w:rFonts w:eastAsia="黑体" w:hint="eastAsia"/>
        </w:rPr>
        <w:t>加倍努力，确保在受害者向调查人员作正式陈述之前，告知受害者其所获得的援助并不以配合执法部门为条件，并确保受害者无论是否愿意参与刑事诉讼，都能获得保护和援助，包括庇护所、医疗和心理支持以及法律援助；</w:t>
      </w:r>
    </w:p>
    <w:p w14:paraId="7F1E5976" w14:textId="77777777" w:rsidR="004436AF" w:rsidRPr="005D58AB" w:rsidRDefault="004436AF" w:rsidP="00C90C70">
      <w:pPr>
        <w:pStyle w:val="SingleTxtGC"/>
        <w:rPr>
          <w:rFonts w:eastAsia="黑体"/>
        </w:rPr>
      </w:pPr>
      <w:r w:rsidRPr="005D58AB">
        <w:rPr>
          <w:rFonts w:eastAsia="黑体" w:hint="eastAsia"/>
        </w:rPr>
        <w:tab/>
        <w:t>(</w:t>
      </w:r>
      <w:r w:rsidR="00C90C70" w:rsidRPr="005D58AB">
        <w:rPr>
          <w:rFonts w:eastAsia="黑体" w:hint="eastAsia"/>
        </w:rPr>
        <w:t>c)</w:t>
      </w:r>
      <w:r w:rsidR="00C90C70" w:rsidRPr="005D58AB">
        <w:rPr>
          <w:rFonts w:eastAsia="黑体" w:hint="eastAsia"/>
        </w:rPr>
        <w:tab/>
      </w:r>
      <w:r w:rsidR="00C90C70" w:rsidRPr="005D58AB">
        <w:rPr>
          <w:rFonts w:eastAsia="黑体" w:hint="eastAsia"/>
        </w:rPr>
        <w:t>确保向劳动监察员提供有效识别人口贩运受害者所需的培训；</w:t>
      </w:r>
    </w:p>
    <w:p w14:paraId="3058A56C" w14:textId="4A5B0172" w:rsidR="00C90C70" w:rsidRPr="005D58AB" w:rsidRDefault="004436AF" w:rsidP="00C90C70">
      <w:pPr>
        <w:pStyle w:val="SingleTxtGC"/>
        <w:rPr>
          <w:rFonts w:eastAsia="黑体"/>
        </w:rPr>
      </w:pPr>
      <w:r w:rsidRPr="005D58AB">
        <w:rPr>
          <w:rFonts w:eastAsia="黑体" w:hint="eastAsia"/>
        </w:rPr>
        <w:tab/>
        <w:t>(</w:t>
      </w:r>
      <w:r w:rsidR="00C90C70" w:rsidRPr="005D58AB">
        <w:rPr>
          <w:rFonts w:eastAsia="黑体" w:hint="eastAsia"/>
        </w:rPr>
        <w:t>d)</w:t>
      </w:r>
      <w:r w:rsidR="00C90C70" w:rsidRPr="005D58AB">
        <w:rPr>
          <w:rFonts w:eastAsia="黑体" w:hint="eastAsia"/>
        </w:rPr>
        <w:tab/>
      </w:r>
      <w:r w:rsidR="00C90C70" w:rsidRPr="005D58AB">
        <w:rPr>
          <w:rFonts w:eastAsia="黑体" w:hint="eastAsia"/>
        </w:rPr>
        <w:t>确保有效调查和起诉人口贩运犯罪，包括涉及有组织犯罪团伙、同谋官员或工作场所虐待的案件，同时通过以受害者为中心的程序和易于获取的信息为受害者诉诸司法和获得赔偿提供便利。</w:t>
      </w:r>
    </w:p>
    <w:p w14:paraId="53CEFB45" w14:textId="097C36E2" w:rsidR="00C90C70" w:rsidRDefault="00C747A1" w:rsidP="00C747A1">
      <w:pPr>
        <w:pStyle w:val="H23GC"/>
      </w:pPr>
      <w:r>
        <w:rPr>
          <w:rFonts w:hint="eastAsia"/>
        </w:rPr>
        <w:tab/>
      </w:r>
      <w:r>
        <w:rPr>
          <w:rFonts w:hint="eastAsia"/>
        </w:rPr>
        <w:tab/>
      </w:r>
      <w:r w:rsidR="00C90C70">
        <w:rPr>
          <w:rFonts w:hint="eastAsia"/>
        </w:rPr>
        <w:t>被剥夺自由者的待遇</w:t>
      </w:r>
    </w:p>
    <w:p w14:paraId="468A7A81" w14:textId="60DAA380" w:rsidR="00C90C70" w:rsidRDefault="00C90C70" w:rsidP="00C90C70">
      <w:pPr>
        <w:pStyle w:val="SingleTxtGC"/>
      </w:pPr>
      <w:r>
        <w:rPr>
          <w:rFonts w:hint="eastAsia"/>
        </w:rPr>
        <w:t>29.</w:t>
      </w:r>
      <w:r>
        <w:rPr>
          <w:rFonts w:hint="eastAsia"/>
        </w:rPr>
        <w:tab/>
      </w:r>
      <w:r>
        <w:rPr>
          <w:rFonts w:hint="eastAsia"/>
        </w:rPr>
        <w:t>委员会注意到缔约国为缓解过度拥挤而采取的措施以及建造新监狱设施的计划。然而，委员会对监狱高度拥挤的状况表示关切，特别是巴尔蒂第</w:t>
      </w:r>
      <w:r>
        <w:rPr>
          <w:rFonts w:hint="eastAsia"/>
        </w:rPr>
        <w:t>11</w:t>
      </w:r>
      <w:r>
        <w:rPr>
          <w:rFonts w:hint="eastAsia"/>
        </w:rPr>
        <w:t>号监狱和基希讷乌第</w:t>
      </w:r>
      <w:r>
        <w:rPr>
          <w:rFonts w:hint="eastAsia"/>
        </w:rPr>
        <w:t>13</w:t>
      </w:r>
      <w:r>
        <w:rPr>
          <w:rFonts w:hint="eastAsia"/>
        </w:rPr>
        <w:t>号监狱，并指出在某些地点，囚犯的人均生活空间不足</w:t>
      </w:r>
      <w:r>
        <w:rPr>
          <w:rFonts w:hint="eastAsia"/>
        </w:rPr>
        <w:t>2</w:t>
      </w:r>
      <w:r>
        <w:rPr>
          <w:rFonts w:hint="eastAsia"/>
        </w:rPr>
        <w:t>平方米。委员会还感到关切的是，由于缺乏充足的人力资源，与过度拥挤相关的问题</w:t>
      </w:r>
      <w:r>
        <w:rPr>
          <w:rFonts w:hint="eastAsia"/>
        </w:rPr>
        <w:t>(</w:t>
      </w:r>
      <w:r>
        <w:rPr>
          <w:rFonts w:hint="eastAsia"/>
        </w:rPr>
        <w:t>包括与拘留制度和防止囚犯间暴力有关的问题</w:t>
      </w:r>
      <w:r>
        <w:rPr>
          <w:rFonts w:hint="eastAsia"/>
        </w:rPr>
        <w:t>)</w:t>
      </w:r>
      <w:r>
        <w:rPr>
          <w:rFonts w:hint="eastAsia"/>
        </w:rPr>
        <w:t>进一步加剧。根据委员会收到的报告，监狱日常管理和实际控制的许多方面均由非正式的犯罪层级体系掌控，这加剧了对囚犯间敲诈勒索和暴力行为的严重关切。委员会还感到关切的是，有报告称，由于监狱缺乏足够数量的合格医务人员，囚犯在获得与社区同等水平的医疗保健方面面临障碍；监狱中的医护人员隶属于司法部</w:t>
      </w:r>
      <w:r>
        <w:rPr>
          <w:rFonts w:hint="eastAsia"/>
        </w:rPr>
        <w:t>(</w:t>
      </w:r>
      <w:r>
        <w:rPr>
          <w:rFonts w:hint="eastAsia"/>
        </w:rPr>
        <w:t>通过国家监狱管理局</w:t>
      </w:r>
      <w:r>
        <w:rPr>
          <w:rFonts w:hint="eastAsia"/>
        </w:rPr>
        <w:t>)</w:t>
      </w:r>
      <w:r>
        <w:rPr>
          <w:rFonts w:hint="eastAsia"/>
        </w:rPr>
        <w:t>，警察拘留所的医护人员隶属于内政部，而非卫生部；囚犯无法获得由国家负担的强制性医疗保险</w:t>
      </w:r>
      <w:r>
        <w:rPr>
          <w:rFonts w:hint="eastAsia"/>
        </w:rPr>
        <w:t>(</w:t>
      </w:r>
      <w:r>
        <w:rPr>
          <w:rFonts w:hint="eastAsia"/>
        </w:rPr>
        <w:t>第七和第十条</w:t>
      </w:r>
      <w:r>
        <w:rPr>
          <w:rFonts w:hint="eastAsia"/>
        </w:rPr>
        <w:t>)</w:t>
      </w:r>
      <w:r>
        <w:rPr>
          <w:rFonts w:hint="eastAsia"/>
        </w:rPr>
        <w:t>。</w:t>
      </w:r>
    </w:p>
    <w:p w14:paraId="39198ED6" w14:textId="77777777" w:rsidR="004436AF" w:rsidRPr="005D58AB" w:rsidRDefault="00C90C70" w:rsidP="00C90C70">
      <w:pPr>
        <w:pStyle w:val="SingleTxtGC"/>
        <w:rPr>
          <w:rFonts w:eastAsia="黑体"/>
        </w:rPr>
      </w:pPr>
      <w:r w:rsidRPr="005D58AB">
        <w:rPr>
          <w:rFonts w:eastAsia="黑体" w:hint="eastAsia"/>
        </w:rPr>
        <w:t>30.</w:t>
      </w:r>
      <w:r w:rsidRPr="005D58AB">
        <w:rPr>
          <w:rFonts w:eastAsia="黑体" w:hint="eastAsia"/>
        </w:rPr>
        <w:tab/>
      </w:r>
      <w:r w:rsidRPr="005D58AB">
        <w:rPr>
          <w:rFonts w:eastAsia="黑体" w:hint="eastAsia"/>
        </w:rPr>
        <w:t>根据委员会关于人身自由和安全的第</w:t>
      </w:r>
      <w:r w:rsidRPr="005D58AB">
        <w:rPr>
          <w:rFonts w:eastAsia="黑体" w:hint="eastAsia"/>
        </w:rPr>
        <w:t>35</w:t>
      </w:r>
      <w:r w:rsidRPr="005D58AB">
        <w:rPr>
          <w:rFonts w:eastAsia="黑体" w:hint="eastAsia"/>
        </w:rPr>
        <w:t>号一般性意见</w:t>
      </w:r>
      <w:r w:rsidRPr="005D58AB">
        <w:rPr>
          <w:rFonts w:eastAsia="黑体" w:hint="eastAsia"/>
        </w:rPr>
        <w:t>(2014</w:t>
      </w:r>
      <w:r w:rsidRPr="005D58AB">
        <w:rPr>
          <w:rFonts w:eastAsia="黑体" w:hint="eastAsia"/>
        </w:rPr>
        <w:t>年</w:t>
      </w:r>
      <w:r w:rsidRPr="005D58AB">
        <w:rPr>
          <w:rFonts w:eastAsia="黑体" w:hint="eastAsia"/>
        </w:rPr>
        <w:t>)</w:t>
      </w:r>
      <w:r w:rsidRPr="005D58AB">
        <w:rPr>
          <w:rFonts w:eastAsia="黑体" w:hint="eastAsia"/>
        </w:rPr>
        <w:t>，缔约国应：</w:t>
      </w:r>
    </w:p>
    <w:p w14:paraId="7ADCCBF1" w14:textId="77777777" w:rsidR="004436AF" w:rsidRPr="005D58AB" w:rsidRDefault="004436AF" w:rsidP="00C90C70">
      <w:pPr>
        <w:pStyle w:val="SingleTxtGC"/>
        <w:rPr>
          <w:rFonts w:eastAsia="黑体"/>
        </w:rPr>
      </w:pPr>
      <w:r w:rsidRPr="005D58AB">
        <w:rPr>
          <w:rFonts w:eastAsia="黑体" w:hint="eastAsia"/>
        </w:rPr>
        <w:tab/>
        <w:t>(</w:t>
      </w:r>
      <w:r w:rsidR="00C90C70" w:rsidRPr="005D58AB">
        <w:rPr>
          <w:rFonts w:eastAsia="黑体" w:hint="eastAsia"/>
        </w:rPr>
        <w:t>a)</w:t>
      </w:r>
      <w:r w:rsidR="00C90C70" w:rsidRPr="005D58AB">
        <w:rPr>
          <w:rFonts w:eastAsia="黑体" w:hint="eastAsia"/>
        </w:rPr>
        <w:tab/>
      </w:r>
      <w:r w:rsidR="00C90C70" w:rsidRPr="005D58AB">
        <w:rPr>
          <w:rFonts w:eastAsia="黑体" w:hint="eastAsia"/>
        </w:rPr>
        <w:t>继续努力改善所有剥夺自由场所的拘留条件，紧急缓解监狱机构和其他拘留设施过度拥挤的问题，包括采取非监禁措施和招聘足够数量的训练有素的工作人员，在这方面应考虑到《联合国囚犯待遇最低限度标准规则》</w:t>
      </w:r>
      <w:r w:rsidR="00C90C70" w:rsidRPr="005D58AB">
        <w:rPr>
          <w:rFonts w:eastAsia="黑体" w:hint="eastAsia"/>
        </w:rPr>
        <w:t>(</w:t>
      </w:r>
      <w:r w:rsidR="00C90C70" w:rsidRPr="005D58AB">
        <w:rPr>
          <w:rFonts w:eastAsia="黑体" w:hint="eastAsia"/>
        </w:rPr>
        <w:t>《纳尔</w:t>
      </w:r>
      <w:r w:rsidR="00C90C70" w:rsidRPr="005D58AB">
        <w:rPr>
          <w:rFonts w:eastAsia="黑体" w:hint="eastAsia"/>
        </w:rPr>
        <w:lastRenderedPageBreak/>
        <w:t>逊·曼德拉规则》</w:t>
      </w:r>
      <w:r w:rsidR="00C90C70" w:rsidRPr="005D58AB">
        <w:rPr>
          <w:rFonts w:eastAsia="黑体" w:hint="eastAsia"/>
        </w:rPr>
        <w:t>)</w:t>
      </w:r>
      <w:r w:rsidR="00C90C70" w:rsidRPr="005D58AB">
        <w:rPr>
          <w:rFonts w:eastAsia="黑体" w:hint="eastAsia"/>
        </w:rPr>
        <w:t>、联合国非拘禁措施最低限度标准规则</w:t>
      </w:r>
      <w:r w:rsidR="00C90C70" w:rsidRPr="005D58AB">
        <w:rPr>
          <w:rFonts w:eastAsia="黑体" w:hint="eastAsia"/>
        </w:rPr>
        <w:t>(</w:t>
      </w:r>
      <w:r w:rsidR="00C90C70" w:rsidRPr="005D58AB">
        <w:rPr>
          <w:rFonts w:eastAsia="黑体" w:hint="eastAsia"/>
        </w:rPr>
        <w:t>东京规则</w:t>
      </w:r>
      <w:r w:rsidR="00C90C70" w:rsidRPr="005D58AB">
        <w:rPr>
          <w:rFonts w:eastAsia="黑体" w:hint="eastAsia"/>
        </w:rPr>
        <w:t>)</w:t>
      </w:r>
      <w:r w:rsidR="00C90C70" w:rsidRPr="005D58AB">
        <w:rPr>
          <w:rFonts w:eastAsia="黑体" w:hint="eastAsia"/>
        </w:rPr>
        <w:t>和联合国关于女性囚犯待遇和女性罪犯非监禁措施的规则</w:t>
      </w:r>
      <w:r w:rsidR="00C90C70" w:rsidRPr="005D58AB">
        <w:rPr>
          <w:rFonts w:eastAsia="黑体" w:hint="eastAsia"/>
        </w:rPr>
        <w:t>(</w:t>
      </w:r>
      <w:r w:rsidR="00C90C70" w:rsidRPr="005D58AB">
        <w:rPr>
          <w:rFonts w:eastAsia="黑体" w:hint="eastAsia"/>
        </w:rPr>
        <w:t>曼谷规则</w:t>
      </w:r>
      <w:r w:rsidR="00C90C70" w:rsidRPr="005D58AB">
        <w:rPr>
          <w:rFonts w:eastAsia="黑体" w:hint="eastAsia"/>
        </w:rPr>
        <w:t>)</w:t>
      </w:r>
      <w:r w:rsidR="00C90C70" w:rsidRPr="005D58AB">
        <w:rPr>
          <w:rFonts w:eastAsia="黑体" w:hint="eastAsia"/>
        </w:rPr>
        <w:t>；</w:t>
      </w:r>
    </w:p>
    <w:p w14:paraId="404BD890" w14:textId="77777777" w:rsidR="004436AF" w:rsidRPr="005D58AB" w:rsidRDefault="004436AF" w:rsidP="00C90C70">
      <w:pPr>
        <w:pStyle w:val="SingleTxtGC"/>
        <w:rPr>
          <w:rFonts w:eastAsia="黑体"/>
        </w:rPr>
      </w:pPr>
      <w:r w:rsidRPr="005D58AB">
        <w:rPr>
          <w:rFonts w:eastAsia="黑体" w:hint="eastAsia"/>
        </w:rPr>
        <w:tab/>
        <w:t>(</w:t>
      </w:r>
      <w:r w:rsidR="00C90C70" w:rsidRPr="005D58AB">
        <w:rPr>
          <w:rFonts w:eastAsia="黑体" w:hint="eastAsia"/>
        </w:rPr>
        <w:t>b)</w:t>
      </w:r>
      <w:r w:rsidR="00C90C70" w:rsidRPr="005D58AB">
        <w:rPr>
          <w:rFonts w:eastAsia="黑体" w:hint="eastAsia"/>
        </w:rPr>
        <w:tab/>
      </w:r>
      <w:r w:rsidR="00C90C70" w:rsidRPr="005D58AB">
        <w:rPr>
          <w:rFonts w:eastAsia="黑体" w:hint="eastAsia"/>
        </w:rPr>
        <w:t>继续努力消除所有拘留场所内的犯罪亚文化和等级制度，并对所有关于囚犯间暴力和虐待的指控进行迅速和有效的调查。</w:t>
      </w:r>
    </w:p>
    <w:p w14:paraId="2B297096" w14:textId="77777777" w:rsidR="004436AF" w:rsidRPr="005D58AB" w:rsidRDefault="004436AF" w:rsidP="00C90C70">
      <w:pPr>
        <w:pStyle w:val="SingleTxtGC"/>
        <w:rPr>
          <w:rFonts w:eastAsia="黑体"/>
        </w:rPr>
      </w:pPr>
      <w:r w:rsidRPr="005D58AB">
        <w:rPr>
          <w:rFonts w:eastAsia="黑体" w:hint="eastAsia"/>
        </w:rPr>
        <w:tab/>
        <w:t>(</w:t>
      </w:r>
      <w:r w:rsidR="00C90C70" w:rsidRPr="005D58AB">
        <w:rPr>
          <w:rFonts w:eastAsia="黑体" w:hint="eastAsia"/>
        </w:rPr>
        <w:t>c)</w:t>
      </w:r>
      <w:r w:rsidR="00C90C70" w:rsidRPr="005D58AB">
        <w:rPr>
          <w:rFonts w:eastAsia="黑体" w:hint="eastAsia"/>
        </w:rPr>
        <w:tab/>
      </w:r>
      <w:r w:rsidR="00C90C70" w:rsidRPr="005D58AB">
        <w:rPr>
          <w:rFonts w:eastAsia="黑体" w:hint="eastAsia"/>
        </w:rPr>
        <w:t>采取一切必要措施，确保被剥夺自由者享有能达到的最高标准健康，包括向所有囚犯提供由国家负担的强制性医疗保险，提供必要的人力、物力和资金资源，并雇用和分配更多的医生、精神科医生、心理学家和其他医护人员；</w:t>
      </w:r>
    </w:p>
    <w:p w14:paraId="4763E692" w14:textId="6FD1035B" w:rsidR="00C90C70" w:rsidRDefault="004436AF" w:rsidP="00C90C70">
      <w:pPr>
        <w:pStyle w:val="SingleTxtGC"/>
      </w:pPr>
      <w:r w:rsidRPr="005D58AB">
        <w:rPr>
          <w:rFonts w:eastAsia="黑体" w:hint="eastAsia"/>
        </w:rPr>
        <w:tab/>
        <w:t>(</w:t>
      </w:r>
      <w:r w:rsidR="00C90C70" w:rsidRPr="005D58AB">
        <w:rPr>
          <w:rFonts w:eastAsia="黑体" w:hint="eastAsia"/>
        </w:rPr>
        <w:t>d)</w:t>
      </w:r>
      <w:r w:rsidR="00C90C70" w:rsidRPr="005D58AB">
        <w:rPr>
          <w:rFonts w:eastAsia="黑体" w:hint="eastAsia"/>
        </w:rPr>
        <w:tab/>
      </w:r>
      <w:r w:rsidR="00C90C70" w:rsidRPr="005D58AB">
        <w:rPr>
          <w:rFonts w:eastAsia="黑体" w:hint="eastAsia"/>
        </w:rPr>
        <w:t>确保医护人员的职能独立性，并加快努力，按照国际标准将所有剥夺自由场所的医疗保健职能移交给卫生部。</w:t>
      </w:r>
    </w:p>
    <w:p w14:paraId="5E915CBC" w14:textId="3AC2FB6B" w:rsidR="00C90C70" w:rsidRDefault="00C90C70" w:rsidP="00C90C70">
      <w:pPr>
        <w:pStyle w:val="SingleTxtGC"/>
      </w:pPr>
      <w:r>
        <w:rPr>
          <w:rFonts w:hint="eastAsia"/>
        </w:rPr>
        <w:t>31.</w:t>
      </w:r>
      <w:r>
        <w:rPr>
          <w:rFonts w:hint="eastAsia"/>
        </w:rPr>
        <w:tab/>
      </w:r>
      <w:r>
        <w:rPr>
          <w:rFonts w:hint="eastAsia"/>
        </w:rPr>
        <w:t>委员会欢迎缔约国通过关于心理健康和福祉的第</w:t>
      </w:r>
      <w:r>
        <w:rPr>
          <w:rFonts w:hint="eastAsia"/>
        </w:rPr>
        <w:t>114/2024</w:t>
      </w:r>
      <w:r>
        <w:rPr>
          <w:rFonts w:hint="eastAsia"/>
        </w:rPr>
        <w:t>号法，但仍感关切的是，有报告称精神病院中仍然频繁发生虐待行为，包括酷刑和虐待案件。在这方面，委员会感到遗憾的是，该法似乎并未提供足够的保障措施，允许对非自愿入院进行定期审查或由被拘留者发起的司法审查。委员会还表示关切的是，有指控称</w:t>
      </w:r>
      <w:r>
        <w:rPr>
          <w:rFonts w:hint="eastAsia"/>
        </w:rPr>
        <w:t>2022</w:t>
      </w:r>
      <w:r>
        <w:rPr>
          <w:rFonts w:hint="eastAsia"/>
        </w:rPr>
        <w:t>年</w:t>
      </w:r>
      <w:r>
        <w:rPr>
          <w:rFonts w:hint="eastAsia"/>
        </w:rPr>
        <w:t>10</w:t>
      </w:r>
      <w:r>
        <w:rPr>
          <w:rFonts w:hint="eastAsia"/>
        </w:rPr>
        <w:t>月，</w:t>
      </w:r>
      <w:r>
        <w:rPr>
          <w:rFonts w:hint="eastAsia"/>
        </w:rPr>
        <w:t>Fulger</w:t>
      </w:r>
      <w:r>
        <w:rPr>
          <w:rFonts w:hint="eastAsia"/>
        </w:rPr>
        <w:t>特警旅在科德鲁临床精神病院过度使用武力</w:t>
      </w:r>
      <w:r>
        <w:rPr>
          <w:rFonts w:hint="eastAsia"/>
        </w:rPr>
        <w:t>(</w:t>
      </w:r>
      <w:r>
        <w:rPr>
          <w:rFonts w:hint="eastAsia"/>
        </w:rPr>
        <w:t>第二、第七、第九、第十和第二十六条</w:t>
      </w:r>
      <w:r>
        <w:rPr>
          <w:rFonts w:hint="eastAsia"/>
        </w:rPr>
        <w:t>)</w:t>
      </w:r>
      <w:r>
        <w:rPr>
          <w:rFonts w:hint="eastAsia"/>
        </w:rPr>
        <w:t>。</w:t>
      </w:r>
    </w:p>
    <w:p w14:paraId="3BFB541C" w14:textId="77777777" w:rsidR="004436AF" w:rsidRPr="005A1B01" w:rsidRDefault="00C90C70" w:rsidP="00C90C70">
      <w:pPr>
        <w:pStyle w:val="SingleTxtGC"/>
        <w:rPr>
          <w:rFonts w:eastAsia="黑体"/>
        </w:rPr>
      </w:pPr>
      <w:r w:rsidRPr="005A1B01">
        <w:rPr>
          <w:rFonts w:eastAsia="黑体" w:hint="eastAsia"/>
        </w:rPr>
        <w:t>32.</w:t>
      </w:r>
      <w:r w:rsidRPr="005A1B01">
        <w:rPr>
          <w:rFonts w:eastAsia="黑体" w:hint="eastAsia"/>
        </w:rPr>
        <w:tab/>
      </w:r>
      <w:r w:rsidRPr="005A1B01">
        <w:rPr>
          <w:rFonts w:eastAsia="黑体" w:hint="eastAsia"/>
        </w:rPr>
        <w:t>缔约国应：</w:t>
      </w:r>
    </w:p>
    <w:p w14:paraId="3DEC4E1E" w14:textId="77777777" w:rsidR="004436AF" w:rsidRPr="005A1B01" w:rsidRDefault="004436AF" w:rsidP="00C90C70">
      <w:pPr>
        <w:pStyle w:val="SingleTxtGC"/>
        <w:rPr>
          <w:rFonts w:eastAsia="黑体"/>
        </w:rPr>
      </w:pPr>
      <w:r w:rsidRPr="005A1B01">
        <w:rPr>
          <w:rFonts w:eastAsia="黑体" w:hint="eastAsia"/>
        </w:rPr>
        <w:tab/>
        <w:t>(</w:t>
      </w:r>
      <w:r w:rsidR="00C90C70" w:rsidRPr="005A1B01">
        <w:rPr>
          <w:rFonts w:eastAsia="黑体" w:hint="eastAsia"/>
        </w:rPr>
        <w:t>a)</w:t>
      </w:r>
      <w:r w:rsidR="00C90C70" w:rsidRPr="005A1B01">
        <w:rPr>
          <w:rFonts w:eastAsia="黑体" w:hint="eastAsia"/>
        </w:rPr>
        <w:tab/>
      </w:r>
      <w:r w:rsidR="00C90C70" w:rsidRPr="005A1B01">
        <w:rPr>
          <w:rFonts w:eastAsia="黑体" w:hint="eastAsia"/>
        </w:rPr>
        <w:t>对执法官员和医疗专业人员过度使用武力</w:t>
      </w:r>
      <w:r w:rsidR="00C90C70" w:rsidRPr="005A1B01">
        <w:rPr>
          <w:rFonts w:eastAsia="黑体" w:hint="eastAsia"/>
        </w:rPr>
        <w:t>(</w:t>
      </w:r>
      <w:r w:rsidR="00C90C70" w:rsidRPr="005A1B01">
        <w:rPr>
          <w:rFonts w:eastAsia="黑体" w:hint="eastAsia"/>
        </w:rPr>
        <w:t>包括酷刑和虐待</w:t>
      </w:r>
      <w:r w:rsidR="00C90C70" w:rsidRPr="005A1B01">
        <w:rPr>
          <w:rFonts w:eastAsia="黑体" w:hint="eastAsia"/>
        </w:rPr>
        <w:t>)</w:t>
      </w:r>
      <w:r w:rsidR="00C90C70" w:rsidRPr="005A1B01">
        <w:rPr>
          <w:rFonts w:eastAsia="黑体" w:hint="eastAsia"/>
        </w:rPr>
        <w:t>的所有指控进行迅速、公正、彻底和有效的调查，起诉犯罪嫌疑人，并对被判有罪者处以与其罪行严重程度相称的刑罚；</w:t>
      </w:r>
    </w:p>
    <w:p w14:paraId="376575BB" w14:textId="2D7D99E9" w:rsidR="00C90C70" w:rsidRPr="005A1B01" w:rsidRDefault="004436AF" w:rsidP="00C90C70">
      <w:pPr>
        <w:pStyle w:val="SingleTxtGC"/>
        <w:rPr>
          <w:rFonts w:eastAsia="黑体"/>
        </w:rPr>
      </w:pPr>
      <w:r w:rsidRPr="005A1B01">
        <w:rPr>
          <w:rFonts w:eastAsia="黑体" w:hint="eastAsia"/>
        </w:rPr>
        <w:tab/>
        <w:t>(</w:t>
      </w:r>
      <w:r w:rsidR="00C90C70" w:rsidRPr="005A1B01">
        <w:rPr>
          <w:rFonts w:eastAsia="黑体" w:hint="eastAsia"/>
        </w:rPr>
        <w:t>b)</w:t>
      </w:r>
      <w:r w:rsidR="00C90C70" w:rsidRPr="005A1B01">
        <w:rPr>
          <w:rFonts w:eastAsia="黑体" w:hint="eastAsia"/>
        </w:rPr>
        <w:tab/>
      </w:r>
      <w:r w:rsidR="00C90C70" w:rsidRPr="005A1B01">
        <w:rPr>
          <w:rFonts w:eastAsia="黑体" w:hint="eastAsia"/>
        </w:rPr>
        <w:t>确保在法律和实践中为精神病院和社会护理机构的病人落实充分的法律和程序保障，同时定期对非自愿入院进行司法审查，并提供有效的上诉渠道。</w:t>
      </w:r>
    </w:p>
    <w:p w14:paraId="4A62462C" w14:textId="43E1EB01" w:rsidR="00C90C70" w:rsidRDefault="00C747A1" w:rsidP="00C747A1">
      <w:pPr>
        <w:pStyle w:val="H23GC"/>
      </w:pPr>
      <w:r>
        <w:rPr>
          <w:rFonts w:hint="eastAsia"/>
        </w:rPr>
        <w:tab/>
      </w:r>
      <w:r>
        <w:rPr>
          <w:rFonts w:hint="eastAsia"/>
        </w:rPr>
        <w:tab/>
      </w:r>
      <w:r w:rsidR="00C90C70">
        <w:rPr>
          <w:rFonts w:hint="eastAsia"/>
        </w:rPr>
        <w:t>包括移民、难民和寻求庇护者在内的外国人的待遇</w:t>
      </w:r>
    </w:p>
    <w:p w14:paraId="372AEB83" w14:textId="258CB260" w:rsidR="00C90C70" w:rsidRDefault="00C90C70" w:rsidP="00C90C70">
      <w:pPr>
        <w:pStyle w:val="SingleTxtGC"/>
      </w:pPr>
      <w:r>
        <w:rPr>
          <w:rFonts w:hint="eastAsia"/>
        </w:rPr>
        <w:t>33.</w:t>
      </w:r>
      <w:r>
        <w:rPr>
          <w:rFonts w:hint="eastAsia"/>
        </w:rPr>
        <w:tab/>
      </w:r>
      <w:r>
        <w:rPr>
          <w:rFonts w:hint="eastAsia"/>
        </w:rPr>
        <w:t>委员会欢迎缔约国将乌克兰国民的临时保护地位延长至</w:t>
      </w:r>
      <w:r>
        <w:rPr>
          <w:rFonts w:hint="eastAsia"/>
        </w:rPr>
        <w:t>2027</w:t>
      </w:r>
      <w:r>
        <w:rPr>
          <w:rFonts w:hint="eastAsia"/>
        </w:rPr>
        <w:t>年</w:t>
      </w:r>
      <w:r>
        <w:rPr>
          <w:rFonts w:hint="eastAsia"/>
        </w:rPr>
        <w:t>3</w:t>
      </w:r>
      <w:r>
        <w:rPr>
          <w:rFonts w:hint="eastAsia"/>
        </w:rPr>
        <w:t>月</w:t>
      </w:r>
      <w:r>
        <w:rPr>
          <w:rFonts w:hint="eastAsia"/>
        </w:rPr>
        <w:t>1</w:t>
      </w:r>
      <w:r>
        <w:rPr>
          <w:rFonts w:hint="eastAsia"/>
        </w:rPr>
        <w:t>日，并尽力为这些人员提供支持。然而，委员会感到关切的是，有报告称，基希讷乌</w:t>
      </w:r>
      <w:r>
        <w:rPr>
          <w:rFonts w:hint="eastAsia"/>
        </w:rPr>
        <w:t>Eugen Doga</w:t>
      </w:r>
      <w:r>
        <w:rPr>
          <w:rFonts w:hint="eastAsia"/>
        </w:rPr>
        <w:t>国际机场的拘留条件恶劣，在获得庇护程序方面存在障碍，包括庇护面谈时间有限以及口笔译服务不足。委员会还感到关切的是，受到临时保护的人员在充分享有《公约》权利方面面临许多结构性障碍，包括难以获得专业资格等效认证、公共医疗保险和企业家执照</w:t>
      </w:r>
      <w:r>
        <w:rPr>
          <w:rFonts w:hint="eastAsia"/>
        </w:rPr>
        <w:t>(</w:t>
      </w:r>
      <w:r>
        <w:rPr>
          <w:rFonts w:hint="eastAsia"/>
        </w:rPr>
        <w:t>第七、第九、第十、第十二、第十三和第二十四条</w:t>
      </w:r>
      <w:r>
        <w:rPr>
          <w:rFonts w:hint="eastAsia"/>
        </w:rPr>
        <w:t>)</w:t>
      </w:r>
      <w:r>
        <w:rPr>
          <w:rFonts w:hint="eastAsia"/>
        </w:rPr>
        <w:t>。</w:t>
      </w:r>
    </w:p>
    <w:p w14:paraId="27104AAA" w14:textId="77777777" w:rsidR="004436AF" w:rsidRPr="005A1B01" w:rsidRDefault="00C90C70" w:rsidP="00C90C70">
      <w:pPr>
        <w:pStyle w:val="SingleTxtGC"/>
        <w:rPr>
          <w:rFonts w:eastAsia="黑体"/>
        </w:rPr>
      </w:pPr>
      <w:r w:rsidRPr="005A1B01">
        <w:rPr>
          <w:rFonts w:eastAsia="黑体" w:hint="eastAsia"/>
        </w:rPr>
        <w:t>34.</w:t>
      </w:r>
      <w:r w:rsidRPr="005A1B01">
        <w:rPr>
          <w:rFonts w:eastAsia="黑体" w:hint="eastAsia"/>
        </w:rPr>
        <w:tab/>
      </w:r>
      <w:r w:rsidRPr="005A1B01">
        <w:rPr>
          <w:rFonts w:eastAsia="黑体" w:hint="eastAsia"/>
        </w:rPr>
        <w:t>缔约国应：</w:t>
      </w:r>
    </w:p>
    <w:p w14:paraId="6972DDFC" w14:textId="77777777" w:rsidR="004436AF" w:rsidRPr="005A1B01" w:rsidRDefault="004436AF" w:rsidP="00C90C70">
      <w:pPr>
        <w:pStyle w:val="SingleTxtGC"/>
        <w:rPr>
          <w:rFonts w:eastAsia="黑体"/>
        </w:rPr>
      </w:pPr>
      <w:r w:rsidRPr="005A1B01">
        <w:rPr>
          <w:rFonts w:eastAsia="黑体" w:hint="eastAsia"/>
        </w:rPr>
        <w:tab/>
        <w:t>(</w:t>
      </w:r>
      <w:r w:rsidR="00C90C70" w:rsidRPr="005A1B01">
        <w:rPr>
          <w:rFonts w:eastAsia="黑体" w:hint="eastAsia"/>
        </w:rPr>
        <w:t>a)</w:t>
      </w:r>
      <w:r w:rsidR="00C90C70" w:rsidRPr="005A1B01">
        <w:rPr>
          <w:rFonts w:eastAsia="黑体" w:hint="eastAsia"/>
        </w:rPr>
        <w:tab/>
      </w:r>
      <w:r w:rsidR="00C90C70" w:rsidRPr="005A1B01">
        <w:rPr>
          <w:rFonts w:eastAsia="黑体" w:hint="eastAsia"/>
        </w:rPr>
        <w:t>确保不将任何人驱逐、遣返或引渡至有充分理由相信其将面临酷刑或残忍、不人道或有辱人格待遇或处罚危险的国家，并确保庇护程序以适当形式进行，配备充足的资源，以便对每名申请人作出全面、个性化的裁定；</w:t>
      </w:r>
    </w:p>
    <w:p w14:paraId="435895A4" w14:textId="77777777" w:rsidR="004436AF" w:rsidRPr="005A1B01" w:rsidRDefault="004436AF" w:rsidP="00C90C70">
      <w:pPr>
        <w:pStyle w:val="SingleTxtGC"/>
        <w:rPr>
          <w:rFonts w:eastAsia="黑体"/>
        </w:rPr>
      </w:pPr>
      <w:r w:rsidRPr="005A1B01">
        <w:rPr>
          <w:rFonts w:eastAsia="黑体" w:hint="eastAsia"/>
        </w:rPr>
        <w:tab/>
        <w:t>(</w:t>
      </w:r>
      <w:r w:rsidR="00C90C70" w:rsidRPr="005A1B01">
        <w:rPr>
          <w:rFonts w:eastAsia="黑体" w:hint="eastAsia"/>
        </w:rPr>
        <w:t>b)</w:t>
      </w:r>
      <w:r w:rsidR="00C90C70" w:rsidRPr="005A1B01">
        <w:rPr>
          <w:rFonts w:eastAsia="黑体" w:hint="eastAsia"/>
        </w:rPr>
        <w:tab/>
      </w:r>
      <w:r w:rsidR="00C90C70" w:rsidRPr="005A1B01">
        <w:rPr>
          <w:rFonts w:eastAsia="黑体" w:hint="eastAsia"/>
        </w:rPr>
        <w:t>确保以遣返为目的的拘留仅在根据个人情况认定确属必要且相称的情况下作为最后手段使用，并且拘留时间应尽可能短；</w:t>
      </w:r>
    </w:p>
    <w:p w14:paraId="20462C86" w14:textId="3871929D" w:rsidR="00C90C70" w:rsidRPr="005A1B01" w:rsidRDefault="004436AF" w:rsidP="00C90C70">
      <w:pPr>
        <w:pStyle w:val="SingleTxtGC"/>
        <w:rPr>
          <w:rFonts w:eastAsia="黑体"/>
        </w:rPr>
      </w:pPr>
      <w:r w:rsidRPr="005A1B01">
        <w:rPr>
          <w:rFonts w:eastAsia="黑体" w:hint="eastAsia"/>
        </w:rPr>
        <w:tab/>
        <w:t>(</w:t>
      </w:r>
      <w:r w:rsidR="00C90C70" w:rsidRPr="005A1B01">
        <w:rPr>
          <w:rFonts w:eastAsia="黑体" w:hint="eastAsia"/>
        </w:rPr>
        <w:t>c)</w:t>
      </w:r>
      <w:r w:rsidR="00C90C70" w:rsidRPr="005A1B01">
        <w:rPr>
          <w:rFonts w:eastAsia="黑体" w:hint="eastAsia"/>
        </w:rPr>
        <w:tab/>
      </w:r>
      <w:r w:rsidR="00C90C70" w:rsidRPr="005A1B01">
        <w:rPr>
          <w:rFonts w:eastAsia="黑体" w:hint="eastAsia"/>
        </w:rPr>
        <w:t>确保受到临时保护的人员能有效获得生计机会和公共医疗保险，消除行政障碍并提供必要支持，使他们能够在与国民平等的基础上充分享有《公约》权利，不受任意区别对待。</w:t>
      </w:r>
    </w:p>
    <w:p w14:paraId="3F26E4C0" w14:textId="2BA476CA" w:rsidR="00C90C70" w:rsidRDefault="00C90C70" w:rsidP="00C90C70">
      <w:pPr>
        <w:pStyle w:val="SingleTxtGC"/>
      </w:pPr>
      <w:r>
        <w:rPr>
          <w:rFonts w:hint="eastAsia"/>
        </w:rPr>
        <w:lastRenderedPageBreak/>
        <w:t>35.</w:t>
      </w:r>
      <w:r>
        <w:rPr>
          <w:rFonts w:hint="eastAsia"/>
        </w:rPr>
        <w:tab/>
      </w:r>
      <w:r>
        <w:rPr>
          <w:rFonts w:hint="eastAsia"/>
        </w:rPr>
        <w:t>委员会承认缔约国取得了积极进展，例如通过了第</w:t>
      </w:r>
      <w:r>
        <w:rPr>
          <w:rFonts w:hint="eastAsia"/>
        </w:rPr>
        <w:t>142/2023</w:t>
      </w:r>
      <w:r>
        <w:rPr>
          <w:rFonts w:hint="eastAsia"/>
        </w:rPr>
        <w:t>号法，修订了关于公民身份的第</w:t>
      </w:r>
      <w:r>
        <w:rPr>
          <w:rFonts w:hint="eastAsia"/>
        </w:rPr>
        <w:t>1024/2000</w:t>
      </w:r>
      <w:r>
        <w:rPr>
          <w:rFonts w:hint="eastAsia"/>
        </w:rPr>
        <w:t>号法第</w:t>
      </w:r>
      <w:r>
        <w:rPr>
          <w:rFonts w:hint="eastAsia"/>
        </w:rPr>
        <w:t>11</w:t>
      </w:r>
      <w:r>
        <w:rPr>
          <w:rFonts w:hint="eastAsia"/>
        </w:rPr>
        <w:t>条，通过该条款向无国籍父母或国际保护受益人的子女授予国籍，但委员会对第</w:t>
      </w:r>
      <w:r>
        <w:rPr>
          <w:rFonts w:hint="eastAsia"/>
        </w:rPr>
        <w:t>253/2025</w:t>
      </w:r>
      <w:r>
        <w:rPr>
          <w:rFonts w:hint="eastAsia"/>
        </w:rPr>
        <w:t>号法表示关切，该法修改了通过承认获得公民身份的制度，增加了必须证明掌握罗马尼亚语和摩尔多瓦宪法知识的要求，这可能会对识字能力有限的人、语言少数群体成员、老年人、长期患病的人或残疾人造成尤为严重的影响。委员会还感到关切的是，根据第</w:t>
      </w:r>
      <w:r>
        <w:rPr>
          <w:rFonts w:hint="eastAsia"/>
        </w:rPr>
        <w:t>253/2025</w:t>
      </w:r>
      <w:r>
        <w:rPr>
          <w:rFonts w:hint="eastAsia"/>
        </w:rPr>
        <w:t>号法，自</w:t>
      </w:r>
      <w:r>
        <w:rPr>
          <w:rFonts w:hint="eastAsia"/>
        </w:rPr>
        <w:t>1990</w:t>
      </w:r>
      <w:r>
        <w:rPr>
          <w:rFonts w:hint="eastAsia"/>
        </w:rPr>
        <w:t>年</w:t>
      </w:r>
      <w:r>
        <w:rPr>
          <w:rFonts w:hint="eastAsia"/>
        </w:rPr>
        <w:t>6</w:t>
      </w:r>
      <w:r>
        <w:rPr>
          <w:rFonts w:hint="eastAsia"/>
        </w:rPr>
        <w:t>月以来在缔约国合法、惯常居住的人员可能会失去通过承认获得公民身份的资格，这可能会使那些在苏联解体后面临无国籍风险的人员失去获得公民身份的明确途径</w:t>
      </w:r>
      <w:r>
        <w:rPr>
          <w:rFonts w:hint="eastAsia"/>
        </w:rPr>
        <w:t>(</w:t>
      </w:r>
      <w:r>
        <w:rPr>
          <w:rFonts w:hint="eastAsia"/>
        </w:rPr>
        <w:t>第二、第十六、第二十四和第二十六条</w:t>
      </w:r>
      <w:r>
        <w:rPr>
          <w:rFonts w:hint="eastAsia"/>
        </w:rPr>
        <w:t>)</w:t>
      </w:r>
      <w:r>
        <w:rPr>
          <w:rFonts w:hint="eastAsia"/>
        </w:rPr>
        <w:t>。</w:t>
      </w:r>
    </w:p>
    <w:p w14:paraId="52226BF2" w14:textId="055174D6" w:rsidR="00C90C70" w:rsidRPr="00847002" w:rsidRDefault="00C90C70" w:rsidP="00C90C70">
      <w:pPr>
        <w:pStyle w:val="SingleTxtGC"/>
        <w:rPr>
          <w:rFonts w:eastAsia="黑体"/>
        </w:rPr>
      </w:pPr>
      <w:r w:rsidRPr="00847002">
        <w:rPr>
          <w:rFonts w:eastAsia="黑体" w:hint="eastAsia"/>
        </w:rPr>
        <w:t>36.</w:t>
      </w:r>
      <w:r w:rsidRPr="00847002">
        <w:rPr>
          <w:rFonts w:eastAsia="黑体" w:hint="eastAsia"/>
        </w:rPr>
        <w:tab/>
      </w:r>
      <w:r w:rsidRPr="00847002">
        <w:rPr>
          <w:rFonts w:eastAsia="黑体" w:hint="eastAsia"/>
        </w:rPr>
        <w:t>缔约国应考虑修订关于通过承认获得公民身份的法律框架，以消除对弱势群体或面临无国籍风险的群体可能产生的任何间接歧视。</w:t>
      </w:r>
    </w:p>
    <w:p w14:paraId="0D9406B9" w14:textId="4716C7C3" w:rsidR="00C90C70" w:rsidRDefault="00C747A1" w:rsidP="00C747A1">
      <w:pPr>
        <w:pStyle w:val="H23GC"/>
      </w:pPr>
      <w:r>
        <w:rPr>
          <w:rFonts w:hint="eastAsia"/>
        </w:rPr>
        <w:tab/>
      </w:r>
      <w:r>
        <w:rPr>
          <w:rFonts w:hint="eastAsia"/>
        </w:rPr>
        <w:tab/>
      </w:r>
      <w:r w:rsidR="00C90C70">
        <w:rPr>
          <w:rFonts w:hint="eastAsia"/>
        </w:rPr>
        <w:t>诉诸司法、司法独立和公正审判</w:t>
      </w:r>
    </w:p>
    <w:p w14:paraId="02D29897" w14:textId="22AF6784" w:rsidR="00C90C70" w:rsidRDefault="00C90C70" w:rsidP="00C90C70">
      <w:pPr>
        <w:pStyle w:val="SingleTxtGC"/>
      </w:pPr>
      <w:r>
        <w:rPr>
          <w:rFonts w:hint="eastAsia"/>
        </w:rPr>
        <w:t>37.</w:t>
      </w:r>
      <w:r>
        <w:rPr>
          <w:rFonts w:hint="eastAsia"/>
        </w:rPr>
        <w:tab/>
      </w:r>
      <w:r>
        <w:rPr>
          <w:rFonts w:hint="eastAsia"/>
        </w:rPr>
        <w:t>委员会注意到缔约国正在进行的司法改革进程，包括旨在加强司法系统廉洁性的法官和检察官预审和审查程序。然而，考虑到目前司法系统约有</w:t>
      </w:r>
      <w:r>
        <w:rPr>
          <w:rFonts w:hint="eastAsia"/>
        </w:rPr>
        <w:t>100</w:t>
      </w:r>
      <w:r>
        <w:rPr>
          <w:rFonts w:hint="eastAsia"/>
        </w:rPr>
        <w:t>个职位空缺，委员会对法官大规模辞职或被解雇可能对缔约国司法工作产生的影响感到关切。在这方面，委员会感到关切的是，这种职位空缺率可能会对诉诸司法造成复合影响，尤其是考虑到缔约国宣布紧急状态后法院诉讼的推迟和暂停，以及关于法院诉讼延迟和司法判决执行难的更广泛关切。委员会还感到关切的是，根据收到的资料，最近的司法改革缺乏透明度，未与少数群体进行有意义的协商，导致受影响群体获得司法服务的语言可及性降低、物理距离增加，而与此同时，人们仍然普遍认为司法和检察机关内部存在腐败和政治干预</w:t>
      </w:r>
      <w:r>
        <w:rPr>
          <w:rFonts w:hint="eastAsia"/>
        </w:rPr>
        <w:t>(</w:t>
      </w:r>
      <w:r>
        <w:rPr>
          <w:rFonts w:hint="eastAsia"/>
        </w:rPr>
        <w:t>第二、第四、第十四和第二十六条</w:t>
      </w:r>
      <w:r>
        <w:rPr>
          <w:rFonts w:hint="eastAsia"/>
        </w:rPr>
        <w:t>)</w:t>
      </w:r>
      <w:r>
        <w:rPr>
          <w:rFonts w:hint="eastAsia"/>
        </w:rPr>
        <w:t>。</w:t>
      </w:r>
    </w:p>
    <w:p w14:paraId="643480DE" w14:textId="2CF04EA6" w:rsidR="00C90C70" w:rsidRPr="00847002" w:rsidRDefault="00C90C70" w:rsidP="00C90C70">
      <w:pPr>
        <w:pStyle w:val="SingleTxtGC"/>
        <w:rPr>
          <w:rFonts w:eastAsia="黑体"/>
        </w:rPr>
      </w:pPr>
      <w:r w:rsidRPr="00847002">
        <w:rPr>
          <w:rFonts w:eastAsia="黑体" w:hint="eastAsia"/>
        </w:rPr>
        <w:t>38.</w:t>
      </w:r>
      <w:r w:rsidRPr="00847002">
        <w:rPr>
          <w:rFonts w:eastAsia="黑体" w:hint="eastAsia"/>
        </w:rPr>
        <w:tab/>
      </w:r>
      <w:r w:rsidRPr="00847002">
        <w:rPr>
          <w:rFonts w:eastAsia="黑体" w:hint="eastAsia"/>
        </w:rPr>
        <w:t>考虑到《公约》第十四条和委员会关于在法庭前一律平等和获得公正审判的权利的第</w:t>
      </w:r>
      <w:r w:rsidRPr="00847002">
        <w:rPr>
          <w:rFonts w:eastAsia="黑体" w:hint="eastAsia"/>
        </w:rPr>
        <w:t>32</w:t>
      </w:r>
      <w:r w:rsidRPr="00847002">
        <w:rPr>
          <w:rFonts w:eastAsia="黑体" w:hint="eastAsia"/>
        </w:rPr>
        <w:t>号一般性意见</w:t>
      </w:r>
      <w:r w:rsidRPr="00847002">
        <w:rPr>
          <w:rFonts w:eastAsia="黑体" w:hint="eastAsia"/>
        </w:rPr>
        <w:t>(2007</w:t>
      </w:r>
      <w:r w:rsidRPr="00847002">
        <w:rPr>
          <w:rFonts w:eastAsia="黑体" w:hint="eastAsia"/>
        </w:rPr>
        <w:t>年</w:t>
      </w:r>
      <w:r w:rsidRPr="00847002">
        <w:rPr>
          <w:rFonts w:eastAsia="黑体" w:hint="eastAsia"/>
        </w:rPr>
        <w:t>)</w:t>
      </w:r>
      <w:r w:rsidRPr="00847002">
        <w:rPr>
          <w:rFonts w:eastAsia="黑体" w:hint="eastAsia"/>
        </w:rPr>
        <w:t>，缔约国应继续采取积极措施，解决司法积压问题，确保审判不因不当拖延而受到阻碍，包括确保招聘足够数量的法官、改进案件管理系统并为法院配备充足的人员。法官的遴选、任命、晋升评估、免职和纪律处分程序应当透明、公正，并应符合《公约》和国际标准，包括《关于司法机关独立的基本原则》。缔约国还应确保在可能对诉诸司法产生影响的法律改革进程中，与少数群体开展有意义的协商，以充分维护其在《公约》下的权利。</w:t>
      </w:r>
    </w:p>
    <w:p w14:paraId="4D409E57" w14:textId="52FA9ED1" w:rsidR="00C90C70" w:rsidRDefault="00C747A1" w:rsidP="00C747A1">
      <w:pPr>
        <w:pStyle w:val="H23GC"/>
      </w:pPr>
      <w:r>
        <w:rPr>
          <w:rFonts w:hint="eastAsia"/>
        </w:rPr>
        <w:tab/>
      </w:r>
      <w:r>
        <w:rPr>
          <w:rFonts w:hint="eastAsia"/>
        </w:rPr>
        <w:tab/>
      </w:r>
      <w:r w:rsidR="00C90C70">
        <w:rPr>
          <w:rFonts w:hint="eastAsia"/>
        </w:rPr>
        <w:t>良心和宗教信仰自由</w:t>
      </w:r>
    </w:p>
    <w:p w14:paraId="43074A58" w14:textId="17D7D98E" w:rsidR="00C90C70" w:rsidRDefault="00C90C70" w:rsidP="00C90C70">
      <w:pPr>
        <w:pStyle w:val="SingleTxtGC"/>
      </w:pPr>
      <w:r>
        <w:rPr>
          <w:rFonts w:hint="eastAsia"/>
        </w:rPr>
        <w:t>39.</w:t>
      </w:r>
      <w:r>
        <w:rPr>
          <w:rFonts w:hint="eastAsia"/>
        </w:rPr>
        <w:tab/>
      </w:r>
      <w:r>
        <w:rPr>
          <w:rFonts w:hint="eastAsia"/>
        </w:rPr>
        <w:t>委员会注意到缔约国《宪法》第</w:t>
      </w:r>
      <w:r>
        <w:rPr>
          <w:rFonts w:hint="eastAsia"/>
        </w:rPr>
        <w:t>31</w:t>
      </w:r>
      <w:r>
        <w:rPr>
          <w:rFonts w:hint="eastAsia"/>
        </w:rPr>
        <w:t>条保障良心和宗教信仰自由，以及关于良心、思想和宗教自由的第</w:t>
      </w:r>
      <w:r>
        <w:rPr>
          <w:rFonts w:hint="eastAsia"/>
        </w:rPr>
        <w:t>125/2007</w:t>
      </w:r>
      <w:r>
        <w:rPr>
          <w:rFonts w:hint="eastAsia"/>
        </w:rPr>
        <w:t>号法，其中废除了必须证明自己是某个协会的成员才能被认定为出于良心拒服兵役者的规定。然而，委员会仍感关切的是，根据收到的资料，只能在应征入伍前申请认定出于良心拒服兵役的资格。委员会还感到关切是，申请被驳回的比例较高，并且对此类决定提出上诉的期限不足</w:t>
      </w:r>
      <w:r>
        <w:rPr>
          <w:rFonts w:hint="eastAsia"/>
        </w:rPr>
        <w:t>(</w:t>
      </w:r>
      <w:r>
        <w:rPr>
          <w:rFonts w:hint="eastAsia"/>
        </w:rPr>
        <w:t>第二、第十八和第二十六条</w:t>
      </w:r>
      <w:r>
        <w:rPr>
          <w:rFonts w:hint="eastAsia"/>
        </w:rPr>
        <w:t>)</w:t>
      </w:r>
      <w:r>
        <w:rPr>
          <w:rFonts w:hint="eastAsia"/>
        </w:rPr>
        <w:t>。</w:t>
      </w:r>
    </w:p>
    <w:p w14:paraId="09BBEA8A" w14:textId="7C33FDC9" w:rsidR="00C90C70" w:rsidRPr="00847002" w:rsidRDefault="00C90C70" w:rsidP="00C90C70">
      <w:pPr>
        <w:pStyle w:val="SingleTxtGC"/>
        <w:rPr>
          <w:rFonts w:eastAsia="黑体"/>
        </w:rPr>
      </w:pPr>
      <w:r w:rsidRPr="00847002">
        <w:rPr>
          <w:rFonts w:eastAsia="黑体" w:hint="eastAsia"/>
        </w:rPr>
        <w:t>40.</w:t>
      </w:r>
      <w:r w:rsidRPr="00847002">
        <w:rPr>
          <w:rFonts w:eastAsia="黑体" w:hint="eastAsia"/>
        </w:rPr>
        <w:tab/>
      </w:r>
      <w:r w:rsidRPr="00847002">
        <w:rPr>
          <w:rFonts w:eastAsia="黑体" w:hint="eastAsia"/>
        </w:rPr>
        <w:t>缔约国应立即采取一切必要措施，按照《公约》第十八条，确保在法律和实践中保障出于良心拒服兵役的权利，确保替代役无差别地适用于所有出于良心拒服兵役者。</w:t>
      </w:r>
    </w:p>
    <w:p w14:paraId="09215813" w14:textId="72B6FABB" w:rsidR="00C90C70" w:rsidRDefault="00C747A1" w:rsidP="00C747A1">
      <w:pPr>
        <w:pStyle w:val="H23GC"/>
      </w:pPr>
      <w:r>
        <w:rPr>
          <w:rFonts w:hint="eastAsia"/>
        </w:rPr>
        <w:lastRenderedPageBreak/>
        <w:tab/>
      </w:r>
      <w:r>
        <w:rPr>
          <w:rFonts w:hint="eastAsia"/>
        </w:rPr>
        <w:tab/>
      </w:r>
      <w:r w:rsidR="00C90C70">
        <w:rPr>
          <w:rFonts w:hint="eastAsia"/>
        </w:rPr>
        <w:t>隐私权</w:t>
      </w:r>
    </w:p>
    <w:p w14:paraId="5F3C7D42" w14:textId="00A1D616" w:rsidR="00C90C70" w:rsidRDefault="00C90C70" w:rsidP="00C90C70">
      <w:pPr>
        <w:pStyle w:val="SingleTxtGC"/>
      </w:pPr>
      <w:r>
        <w:rPr>
          <w:rFonts w:hint="eastAsia"/>
        </w:rPr>
        <w:t>41.</w:t>
      </w:r>
      <w:r>
        <w:rPr>
          <w:rFonts w:hint="eastAsia"/>
        </w:rPr>
        <w:tab/>
      </w:r>
      <w:r>
        <w:rPr>
          <w:rFonts w:hint="eastAsia"/>
        </w:rPr>
        <w:t>委员会注意到第</w:t>
      </w:r>
      <w:r>
        <w:rPr>
          <w:rFonts w:hint="eastAsia"/>
        </w:rPr>
        <w:t>179/2023</w:t>
      </w:r>
      <w:r>
        <w:rPr>
          <w:rFonts w:hint="eastAsia"/>
        </w:rPr>
        <w:t>号法引入的积极进展，该法规定反情报措施需获得司法授权，加强了议会对情报与安全局的监督，并为记者和律师提供了法律保障。然而，委员会感到关切的是，该法的部分条款使用了过于宽泛的表述，尤其是在涉及情报与安全局的权力方面；在某些情况下，可在没有法院命令的情况下实施反情报措施；根据收到的资料，曾发生过对电子通信进行过度或非法监控的情况，这对记者和人权维护者的工作产生了寒蝉效应</w:t>
      </w:r>
      <w:r>
        <w:rPr>
          <w:rFonts w:hint="eastAsia"/>
        </w:rPr>
        <w:t>(</w:t>
      </w:r>
      <w:r>
        <w:rPr>
          <w:rFonts w:hint="eastAsia"/>
        </w:rPr>
        <w:t>第十七、第十九和第二十二条</w:t>
      </w:r>
      <w:r>
        <w:rPr>
          <w:rFonts w:hint="eastAsia"/>
        </w:rPr>
        <w:t>)</w:t>
      </w:r>
      <w:r>
        <w:rPr>
          <w:rFonts w:hint="eastAsia"/>
        </w:rPr>
        <w:t>。</w:t>
      </w:r>
    </w:p>
    <w:p w14:paraId="755E87C2" w14:textId="77777777" w:rsidR="004436AF" w:rsidRPr="00847002" w:rsidRDefault="00C90C70" w:rsidP="00C90C70">
      <w:pPr>
        <w:pStyle w:val="SingleTxtGC"/>
        <w:rPr>
          <w:rFonts w:eastAsia="黑体"/>
        </w:rPr>
      </w:pPr>
      <w:r w:rsidRPr="00847002">
        <w:rPr>
          <w:rFonts w:eastAsia="黑体" w:hint="eastAsia"/>
        </w:rPr>
        <w:t>42.</w:t>
      </w:r>
      <w:r w:rsidRPr="00847002">
        <w:rPr>
          <w:rFonts w:eastAsia="黑体" w:hint="eastAsia"/>
        </w:rPr>
        <w:tab/>
      </w:r>
      <w:r w:rsidRPr="00847002">
        <w:rPr>
          <w:rFonts w:eastAsia="黑体" w:hint="eastAsia"/>
        </w:rPr>
        <w:t>缔约国应：</w:t>
      </w:r>
    </w:p>
    <w:p w14:paraId="3F754E96" w14:textId="77777777" w:rsidR="004436AF" w:rsidRPr="00847002" w:rsidRDefault="004436AF" w:rsidP="00C90C70">
      <w:pPr>
        <w:pStyle w:val="SingleTxtGC"/>
        <w:rPr>
          <w:rFonts w:eastAsia="黑体"/>
        </w:rPr>
      </w:pPr>
      <w:r w:rsidRPr="00847002">
        <w:rPr>
          <w:rFonts w:eastAsia="黑体" w:hint="eastAsia"/>
        </w:rPr>
        <w:tab/>
        <w:t>(</w:t>
      </w:r>
      <w:r w:rsidR="00C90C70" w:rsidRPr="00847002">
        <w:rPr>
          <w:rFonts w:eastAsia="黑体" w:hint="eastAsia"/>
        </w:rPr>
        <w:t>a)</w:t>
      </w:r>
      <w:r w:rsidR="00C90C70" w:rsidRPr="00847002">
        <w:rPr>
          <w:rFonts w:eastAsia="黑体" w:hint="eastAsia"/>
        </w:rPr>
        <w:tab/>
      </w:r>
      <w:r w:rsidR="00C90C70" w:rsidRPr="00847002">
        <w:rPr>
          <w:rFonts w:eastAsia="黑体" w:hint="eastAsia"/>
        </w:rPr>
        <w:t>考虑审查第</w:t>
      </w:r>
      <w:r w:rsidR="00C90C70" w:rsidRPr="00847002">
        <w:rPr>
          <w:rFonts w:eastAsia="黑体" w:hint="eastAsia"/>
        </w:rPr>
        <w:t>179/2023</w:t>
      </w:r>
      <w:r w:rsidR="00C90C70" w:rsidRPr="00847002">
        <w:rPr>
          <w:rFonts w:eastAsia="黑体" w:hint="eastAsia"/>
        </w:rPr>
        <w:t>号法以及其他规范反情报活动和情报与安全局活动的立法，以确保这些活动完全符合《公约》和其他相关国际标准；</w:t>
      </w:r>
    </w:p>
    <w:p w14:paraId="6868D63B" w14:textId="1254A371" w:rsidR="00C90C70" w:rsidRPr="00847002" w:rsidRDefault="004436AF" w:rsidP="00C90C70">
      <w:pPr>
        <w:pStyle w:val="SingleTxtGC"/>
        <w:rPr>
          <w:rFonts w:eastAsia="黑体"/>
        </w:rPr>
      </w:pPr>
      <w:r w:rsidRPr="00847002">
        <w:rPr>
          <w:rFonts w:eastAsia="黑体" w:hint="eastAsia"/>
        </w:rPr>
        <w:tab/>
        <w:t>(</w:t>
      </w:r>
      <w:r w:rsidR="00C90C70" w:rsidRPr="00847002">
        <w:rPr>
          <w:rFonts w:eastAsia="黑体" w:hint="eastAsia"/>
        </w:rPr>
        <w:t>b)</w:t>
      </w:r>
      <w:r w:rsidR="00C90C70" w:rsidRPr="00847002">
        <w:rPr>
          <w:rFonts w:eastAsia="黑体" w:hint="eastAsia"/>
        </w:rPr>
        <w:tab/>
      </w:r>
      <w:r w:rsidR="00C90C70" w:rsidRPr="00847002">
        <w:rPr>
          <w:rFonts w:eastAsia="黑体" w:hint="eastAsia"/>
        </w:rPr>
        <w:t>确保监控活动以及其他任何干涉隐私的行为完全符合《公约》第十七条以及合法性、相称性和必要性原则。</w:t>
      </w:r>
    </w:p>
    <w:p w14:paraId="18EF7CD6" w14:textId="17637F4D" w:rsidR="00C90C70" w:rsidRDefault="00C747A1" w:rsidP="00C747A1">
      <w:pPr>
        <w:pStyle w:val="H23GC"/>
      </w:pPr>
      <w:r>
        <w:rPr>
          <w:rFonts w:hint="eastAsia"/>
        </w:rPr>
        <w:tab/>
      </w:r>
      <w:r>
        <w:rPr>
          <w:rFonts w:hint="eastAsia"/>
        </w:rPr>
        <w:tab/>
      </w:r>
      <w:r w:rsidR="00C90C70">
        <w:rPr>
          <w:rFonts w:hint="eastAsia"/>
        </w:rPr>
        <w:t>表达自由</w:t>
      </w:r>
    </w:p>
    <w:p w14:paraId="3694EAB2" w14:textId="74F27865" w:rsidR="00C90C70" w:rsidRDefault="00C90C70" w:rsidP="00C90C70">
      <w:pPr>
        <w:pStyle w:val="SingleTxtGC"/>
      </w:pPr>
      <w:r>
        <w:rPr>
          <w:rFonts w:hint="eastAsia"/>
        </w:rPr>
        <w:t>43.</w:t>
      </w:r>
      <w:r>
        <w:rPr>
          <w:rFonts w:hint="eastAsia"/>
        </w:rPr>
        <w:tab/>
      </w:r>
      <w:r>
        <w:rPr>
          <w:rFonts w:hint="eastAsia"/>
        </w:rPr>
        <w:t>委员会注意到缔约国在促进公众获取公共利益信息方面取得了积极进展，并注意到缔约国承认打击仇恨言论和虚假信息的重要性。然而，委员会感到关切的是，特殊情况委员会在紧急状态期间过度使用暂停媒体广播许可证的做法，随后国家重要投资项目促进委员会和视听委员会也采取了类似做法。委员会还感到关切的是，修订后的《视听媒体服务法》缺乏清晰度和准确性，可能会对表达自由产生寒蝉效应。委员会还对持续不断的骚扰和恐吓记者的指控感到关切，尤其是在德涅斯特河沿岸地区和加告兹地区</w:t>
      </w:r>
      <w:r>
        <w:rPr>
          <w:rFonts w:hint="eastAsia"/>
        </w:rPr>
        <w:t>(</w:t>
      </w:r>
      <w:r>
        <w:rPr>
          <w:rFonts w:hint="eastAsia"/>
        </w:rPr>
        <w:t>第四和第十九条</w:t>
      </w:r>
      <w:r>
        <w:rPr>
          <w:rFonts w:hint="eastAsia"/>
        </w:rPr>
        <w:t>)</w:t>
      </w:r>
      <w:r>
        <w:rPr>
          <w:rFonts w:hint="eastAsia"/>
        </w:rPr>
        <w:t>。</w:t>
      </w:r>
    </w:p>
    <w:p w14:paraId="592BFCAB" w14:textId="77777777" w:rsidR="004436AF" w:rsidRPr="00847002" w:rsidRDefault="00C90C70" w:rsidP="00C90C70">
      <w:pPr>
        <w:pStyle w:val="SingleTxtGC"/>
        <w:rPr>
          <w:rFonts w:eastAsia="黑体"/>
        </w:rPr>
      </w:pPr>
      <w:r w:rsidRPr="00847002">
        <w:rPr>
          <w:rFonts w:eastAsia="黑体" w:hint="eastAsia"/>
        </w:rPr>
        <w:t>44.</w:t>
      </w:r>
      <w:r w:rsidRPr="00847002">
        <w:rPr>
          <w:rFonts w:eastAsia="黑体" w:hint="eastAsia"/>
        </w:rPr>
        <w:tab/>
      </w:r>
      <w:r w:rsidRPr="00847002">
        <w:rPr>
          <w:rFonts w:eastAsia="黑体" w:hint="eastAsia"/>
        </w:rPr>
        <w:t>缔约国应根据《公约》第十九条以及委员会关于意见和表达自由的第</w:t>
      </w:r>
      <w:r w:rsidRPr="00847002">
        <w:rPr>
          <w:rFonts w:eastAsia="黑体" w:hint="eastAsia"/>
        </w:rPr>
        <w:t>34</w:t>
      </w:r>
      <w:r w:rsidRPr="00847002">
        <w:rPr>
          <w:rFonts w:eastAsia="黑体" w:hint="eastAsia"/>
        </w:rPr>
        <w:t>号一般性意见</w:t>
      </w:r>
      <w:r w:rsidRPr="00847002">
        <w:rPr>
          <w:rFonts w:eastAsia="黑体" w:hint="eastAsia"/>
        </w:rPr>
        <w:t>(2011</w:t>
      </w:r>
      <w:r w:rsidRPr="00847002">
        <w:rPr>
          <w:rFonts w:eastAsia="黑体" w:hint="eastAsia"/>
        </w:rPr>
        <w:t>年</w:t>
      </w:r>
      <w:r w:rsidRPr="00847002">
        <w:rPr>
          <w:rFonts w:eastAsia="黑体" w:hint="eastAsia"/>
        </w:rPr>
        <w:t>)</w:t>
      </w:r>
      <w:r w:rsidRPr="00847002">
        <w:rPr>
          <w:rFonts w:eastAsia="黑体" w:hint="eastAsia"/>
        </w:rPr>
        <w:t>，采取一切必要措施，保障人人都能自由行使表达自由权，特别是：</w:t>
      </w:r>
    </w:p>
    <w:p w14:paraId="58DA064D" w14:textId="77777777" w:rsidR="004436AF" w:rsidRPr="00847002" w:rsidRDefault="004436AF" w:rsidP="00C90C70">
      <w:pPr>
        <w:pStyle w:val="SingleTxtGC"/>
        <w:rPr>
          <w:rFonts w:eastAsia="黑体"/>
        </w:rPr>
      </w:pPr>
      <w:r w:rsidRPr="00847002">
        <w:rPr>
          <w:rFonts w:eastAsia="黑体" w:hint="eastAsia"/>
        </w:rPr>
        <w:tab/>
        <w:t>(</w:t>
      </w:r>
      <w:r w:rsidR="00C90C70" w:rsidRPr="00847002">
        <w:rPr>
          <w:rFonts w:eastAsia="黑体" w:hint="eastAsia"/>
        </w:rPr>
        <w:t>a)</w:t>
      </w:r>
      <w:r w:rsidR="00C90C70" w:rsidRPr="00847002">
        <w:rPr>
          <w:rFonts w:eastAsia="黑体" w:hint="eastAsia"/>
        </w:rPr>
        <w:tab/>
      </w:r>
      <w:r w:rsidR="00C90C70" w:rsidRPr="00847002">
        <w:rPr>
          <w:rFonts w:eastAsia="黑体" w:hint="eastAsia"/>
        </w:rPr>
        <w:t>考虑审查有关表达自由的法律框架，包括《视听媒体服务法》，以确保对行使这一权利施加的任何限制均得到明确界定、必要且相称，以符合《公约》第十九条第三款和委员会第</w:t>
      </w:r>
      <w:r w:rsidR="00C90C70" w:rsidRPr="00847002">
        <w:rPr>
          <w:rFonts w:eastAsia="黑体" w:hint="eastAsia"/>
        </w:rPr>
        <w:t>34</w:t>
      </w:r>
      <w:r w:rsidR="00C90C70" w:rsidRPr="00847002">
        <w:rPr>
          <w:rFonts w:eastAsia="黑体" w:hint="eastAsia"/>
        </w:rPr>
        <w:t>号一般性意见</w:t>
      </w:r>
      <w:r w:rsidR="00C90C70" w:rsidRPr="00847002">
        <w:rPr>
          <w:rFonts w:eastAsia="黑体" w:hint="eastAsia"/>
        </w:rPr>
        <w:t>(2011</w:t>
      </w:r>
      <w:r w:rsidR="00C90C70" w:rsidRPr="00847002">
        <w:rPr>
          <w:rFonts w:eastAsia="黑体" w:hint="eastAsia"/>
        </w:rPr>
        <w:t>年</w:t>
      </w:r>
      <w:r w:rsidR="00C90C70" w:rsidRPr="00847002">
        <w:rPr>
          <w:rFonts w:eastAsia="黑体" w:hint="eastAsia"/>
        </w:rPr>
        <w:t>)</w:t>
      </w:r>
      <w:r w:rsidR="00C90C70" w:rsidRPr="00847002">
        <w:rPr>
          <w:rFonts w:eastAsia="黑体" w:hint="eastAsia"/>
        </w:rPr>
        <w:t>的严格要求；</w:t>
      </w:r>
    </w:p>
    <w:p w14:paraId="1D0B96A3" w14:textId="3F30AC56" w:rsidR="00C90C70" w:rsidRPr="00847002" w:rsidRDefault="004436AF" w:rsidP="00C90C70">
      <w:pPr>
        <w:pStyle w:val="SingleTxtGC"/>
        <w:rPr>
          <w:rFonts w:eastAsia="黑体"/>
        </w:rPr>
      </w:pPr>
      <w:r w:rsidRPr="00847002">
        <w:rPr>
          <w:rFonts w:eastAsia="黑体" w:hint="eastAsia"/>
        </w:rPr>
        <w:tab/>
        <w:t>(</w:t>
      </w:r>
      <w:r w:rsidR="00C90C70" w:rsidRPr="00847002">
        <w:rPr>
          <w:rFonts w:eastAsia="黑体" w:hint="eastAsia"/>
        </w:rPr>
        <w:t>b)</w:t>
      </w:r>
      <w:r w:rsidR="00C90C70" w:rsidRPr="00847002">
        <w:rPr>
          <w:rFonts w:eastAsia="黑体" w:hint="eastAsia"/>
        </w:rPr>
        <w:tab/>
      </w:r>
      <w:r w:rsidR="00C90C70" w:rsidRPr="00847002">
        <w:rPr>
          <w:rFonts w:eastAsia="黑体" w:hint="eastAsia"/>
        </w:rPr>
        <w:t>防止和打击针对记者的一切骚扰、恐吓和暴力行为，包括尽可能为在缔约国领土内但在其有效控制范围之外工作的记者提供保护，以确保他们能够自由地开展工作，不受不当控制或干涉。</w:t>
      </w:r>
    </w:p>
    <w:p w14:paraId="609EAEE0" w14:textId="74A85719" w:rsidR="00C90C70" w:rsidRDefault="00C747A1" w:rsidP="00C747A1">
      <w:pPr>
        <w:pStyle w:val="H23GC"/>
      </w:pPr>
      <w:r>
        <w:rPr>
          <w:rFonts w:hint="eastAsia"/>
        </w:rPr>
        <w:tab/>
      </w:r>
      <w:r>
        <w:rPr>
          <w:rFonts w:hint="eastAsia"/>
        </w:rPr>
        <w:tab/>
      </w:r>
      <w:r w:rsidR="00C90C70">
        <w:rPr>
          <w:rFonts w:hint="eastAsia"/>
        </w:rPr>
        <w:t>和平集会自由</w:t>
      </w:r>
    </w:p>
    <w:p w14:paraId="42A7A20A" w14:textId="72843131" w:rsidR="00C90C70" w:rsidRDefault="00C90C70" w:rsidP="00C90C70">
      <w:pPr>
        <w:pStyle w:val="SingleTxtGC"/>
      </w:pPr>
      <w:r>
        <w:rPr>
          <w:rFonts w:hint="eastAsia"/>
        </w:rPr>
        <w:t>45.</w:t>
      </w:r>
      <w:r>
        <w:rPr>
          <w:rFonts w:hint="eastAsia"/>
        </w:rPr>
        <w:tab/>
      </w:r>
      <w:r>
        <w:rPr>
          <w:rFonts w:hint="eastAsia"/>
        </w:rPr>
        <w:t>委员会感到关切的是，关于组织和举行公共活动的第</w:t>
      </w:r>
      <w:r>
        <w:rPr>
          <w:rFonts w:hint="eastAsia"/>
        </w:rPr>
        <w:t>302/2025</w:t>
      </w:r>
      <w:r>
        <w:rPr>
          <w:rFonts w:hint="eastAsia"/>
        </w:rPr>
        <w:t>号法和关于公共集会的第</w:t>
      </w:r>
      <w:r>
        <w:rPr>
          <w:rFonts w:hint="eastAsia"/>
        </w:rPr>
        <w:t>26/2008</w:t>
      </w:r>
      <w:r>
        <w:rPr>
          <w:rFonts w:hint="eastAsia"/>
        </w:rPr>
        <w:t>号法在公共集会案件中的适用性存在歧义，这可能对集会自由产生不利影响，特别是第</w:t>
      </w:r>
      <w:r>
        <w:rPr>
          <w:rFonts w:hint="eastAsia"/>
        </w:rPr>
        <w:t>302/2025</w:t>
      </w:r>
      <w:r>
        <w:rPr>
          <w:rFonts w:hint="eastAsia"/>
        </w:rPr>
        <w:t>号法可能会对活动组织者施加繁重的要求。委员会还对缔约国在</w:t>
      </w:r>
      <w:r>
        <w:rPr>
          <w:rFonts w:hint="eastAsia"/>
        </w:rPr>
        <w:t>2024</w:t>
      </w:r>
      <w:r>
        <w:rPr>
          <w:rFonts w:hint="eastAsia"/>
        </w:rPr>
        <w:t>年</w:t>
      </w:r>
      <w:r>
        <w:rPr>
          <w:rFonts w:hint="eastAsia"/>
        </w:rPr>
        <w:t>10</w:t>
      </w:r>
      <w:r>
        <w:rPr>
          <w:rFonts w:hint="eastAsia"/>
        </w:rPr>
        <w:t>月抗议活动中涉嫌任意限制农民的和平集会自由权表示关切</w:t>
      </w:r>
      <w:r>
        <w:rPr>
          <w:rFonts w:hint="eastAsia"/>
        </w:rPr>
        <w:t>(</w:t>
      </w:r>
      <w:r>
        <w:rPr>
          <w:rFonts w:hint="eastAsia"/>
        </w:rPr>
        <w:t>第二和第二十一条</w:t>
      </w:r>
      <w:r>
        <w:rPr>
          <w:rFonts w:hint="eastAsia"/>
        </w:rPr>
        <w:t>)</w:t>
      </w:r>
      <w:r>
        <w:rPr>
          <w:rFonts w:hint="eastAsia"/>
        </w:rPr>
        <w:t>。</w:t>
      </w:r>
    </w:p>
    <w:p w14:paraId="34002B3B" w14:textId="11FA7BA2" w:rsidR="00C90C70" w:rsidRPr="00F54537" w:rsidRDefault="00C90C70" w:rsidP="00C90C70">
      <w:pPr>
        <w:pStyle w:val="SingleTxtGC"/>
        <w:rPr>
          <w:rFonts w:eastAsia="黑体"/>
        </w:rPr>
      </w:pPr>
      <w:r w:rsidRPr="00F54537">
        <w:rPr>
          <w:rFonts w:eastAsia="黑体" w:hint="eastAsia"/>
        </w:rPr>
        <w:t>46.</w:t>
      </w:r>
      <w:r w:rsidRPr="00F54537">
        <w:rPr>
          <w:rFonts w:eastAsia="黑体" w:hint="eastAsia"/>
        </w:rPr>
        <w:tab/>
      </w:r>
      <w:r w:rsidRPr="00F54537">
        <w:rPr>
          <w:rFonts w:eastAsia="黑体" w:hint="eastAsia"/>
        </w:rPr>
        <w:t>根据《公约》第二十一条和委员会关于和平集会权的第</w:t>
      </w:r>
      <w:r w:rsidRPr="00F54537">
        <w:rPr>
          <w:rFonts w:eastAsia="黑体" w:hint="eastAsia"/>
        </w:rPr>
        <w:t>37</w:t>
      </w:r>
      <w:r w:rsidRPr="00F54537">
        <w:rPr>
          <w:rFonts w:eastAsia="黑体" w:hint="eastAsia"/>
        </w:rPr>
        <w:t>号一般性意见</w:t>
      </w:r>
      <w:r w:rsidRPr="00F54537">
        <w:rPr>
          <w:rFonts w:eastAsia="黑体" w:hint="eastAsia"/>
        </w:rPr>
        <w:t>(2020</w:t>
      </w:r>
      <w:r w:rsidRPr="00F54537">
        <w:rPr>
          <w:rFonts w:eastAsia="黑体" w:hint="eastAsia"/>
        </w:rPr>
        <w:t>年</w:t>
      </w:r>
      <w:r w:rsidRPr="00F54537">
        <w:rPr>
          <w:rFonts w:eastAsia="黑体" w:hint="eastAsia"/>
        </w:rPr>
        <w:t>)</w:t>
      </w:r>
      <w:r w:rsidRPr="00F54537">
        <w:rPr>
          <w:rFonts w:eastAsia="黑体" w:hint="eastAsia"/>
        </w:rPr>
        <w:t>，缔约国应为行使和平集会权提供便利，并确保任何限制均符合第二十一条的严格要求。在这方面，缔约国应考虑修订第</w:t>
      </w:r>
      <w:r w:rsidRPr="00F54537">
        <w:rPr>
          <w:rFonts w:eastAsia="黑体" w:hint="eastAsia"/>
        </w:rPr>
        <w:t>302/2025</w:t>
      </w:r>
      <w:r w:rsidRPr="00F54537">
        <w:rPr>
          <w:rFonts w:eastAsia="黑体" w:hint="eastAsia"/>
        </w:rPr>
        <w:t>号法，进一步明确其</w:t>
      </w:r>
      <w:r w:rsidRPr="00F54537">
        <w:rPr>
          <w:rFonts w:eastAsia="黑体" w:hint="eastAsia"/>
        </w:rPr>
        <w:lastRenderedPageBreak/>
        <w:t>适用范围，并确保对和平集会自由权的任何限制，包括施加行政要求，都是必要且相称的。</w:t>
      </w:r>
    </w:p>
    <w:p w14:paraId="058748DC" w14:textId="0672A4FE" w:rsidR="00C90C70" w:rsidRDefault="00C747A1" w:rsidP="00C747A1">
      <w:pPr>
        <w:pStyle w:val="H23GC"/>
      </w:pPr>
      <w:r>
        <w:rPr>
          <w:rFonts w:hint="eastAsia"/>
        </w:rPr>
        <w:tab/>
      </w:r>
      <w:r>
        <w:rPr>
          <w:rFonts w:hint="eastAsia"/>
        </w:rPr>
        <w:tab/>
      </w:r>
      <w:r w:rsidR="00C90C70">
        <w:rPr>
          <w:rFonts w:hint="eastAsia"/>
        </w:rPr>
        <w:t>结社自由</w:t>
      </w:r>
    </w:p>
    <w:p w14:paraId="3202CBE8" w14:textId="073C0BE8" w:rsidR="00C90C70" w:rsidRDefault="00C90C70" w:rsidP="00C90C70">
      <w:pPr>
        <w:pStyle w:val="SingleTxtGC"/>
      </w:pPr>
      <w:r>
        <w:rPr>
          <w:rFonts w:hint="eastAsia"/>
        </w:rPr>
        <w:t>47.</w:t>
      </w:r>
      <w:r>
        <w:rPr>
          <w:rFonts w:hint="eastAsia"/>
        </w:rPr>
        <w:tab/>
      </w:r>
      <w:r>
        <w:rPr>
          <w:rFonts w:hint="eastAsia"/>
        </w:rPr>
        <w:t>委员会注意到缔约国通过了关于非商业组织的第</w:t>
      </w:r>
      <w:r>
        <w:rPr>
          <w:rFonts w:hint="eastAsia"/>
        </w:rPr>
        <w:t>86/2020</w:t>
      </w:r>
      <w:r>
        <w:rPr>
          <w:rFonts w:hint="eastAsia"/>
        </w:rPr>
        <w:t>号法，该法显著简化了民间社会组织的登记程序，并取消了对成员身份和内部治理结构的限制，但委员会仍感关切的是，在缔约国充分享有结社自由权仍面临实际障碍，包括公共当局对民间社会组织及其成员使用排斥性言论和恐吓的情况。委员会还感到关切的是，人权维护者在线上和线下继续受到抹黑、威胁和骚扰。关于德涅斯特河沿岸地区，委员会感到关切的是，民间社会组织面临偏见和极端主义的指控，并继续在公民空间严重受限的环境中工作</w:t>
      </w:r>
      <w:r>
        <w:rPr>
          <w:rFonts w:hint="eastAsia"/>
        </w:rPr>
        <w:t>(</w:t>
      </w:r>
      <w:r>
        <w:rPr>
          <w:rFonts w:hint="eastAsia"/>
        </w:rPr>
        <w:t>第二、第十九、第二十二和第二十五条</w:t>
      </w:r>
      <w:r>
        <w:rPr>
          <w:rFonts w:hint="eastAsia"/>
        </w:rPr>
        <w:t>)</w:t>
      </w:r>
      <w:r>
        <w:rPr>
          <w:rFonts w:hint="eastAsia"/>
        </w:rPr>
        <w:t>。</w:t>
      </w:r>
    </w:p>
    <w:p w14:paraId="262C067C" w14:textId="77777777" w:rsidR="004436AF" w:rsidRPr="00F54537" w:rsidRDefault="00C90C70" w:rsidP="00C90C70">
      <w:pPr>
        <w:pStyle w:val="SingleTxtGC"/>
        <w:rPr>
          <w:rFonts w:eastAsia="黑体"/>
        </w:rPr>
      </w:pPr>
      <w:r w:rsidRPr="00F54537">
        <w:rPr>
          <w:rFonts w:eastAsia="黑体" w:hint="eastAsia"/>
        </w:rPr>
        <w:t>48.</w:t>
      </w:r>
      <w:r w:rsidRPr="00F54537">
        <w:rPr>
          <w:rFonts w:eastAsia="黑体" w:hint="eastAsia"/>
        </w:rPr>
        <w:tab/>
      </w:r>
      <w:r w:rsidRPr="00F54537">
        <w:rPr>
          <w:rFonts w:eastAsia="黑体" w:hint="eastAsia"/>
        </w:rPr>
        <w:t>缔约国应：</w:t>
      </w:r>
    </w:p>
    <w:p w14:paraId="11303774" w14:textId="77777777" w:rsidR="004436AF" w:rsidRPr="00F54537" w:rsidRDefault="004436AF" w:rsidP="00C90C70">
      <w:pPr>
        <w:pStyle w:val="SingleTxtGC"/>
        <w:rPr>
          <w:rFonts w:eastAsia="黑体"/>
        </w:rPr>
      </w:pPr>
      <w:r w:rsidRPr="00F54537">
        <w:rPr>
          <w:rFonts w:eastAsia="黑体" w:hint="eastAsia"/>
        </w:rPr>
        <w:tab/>
        <w:t>(</w:t>
      </w:r>
      <w:r w:rsidR="00C90C70" w:rsidRPr="00F54537">
        <w:rPr>
          <w:rFonts w:eastAsia="黑体" w:hint="eastAsia"/>
        </w:rPr>
        <w:t>a)</w:t>
      </w:r>
      <w:r w:rsidR="00C90C70" w:rsidRPr="00F54537">
        <w:rPr>
          <w:rFonts w:eastAsia="黑体" w:hint="eastAsia"/>
        </w:rPr>
        <w:tab/>
      </w:r>
      <w:r w:rsidR="00C90C70" w:rsidRPr="00F54537">
        <w:rPr>
          <w:rFonts w:eastAsia="黑体" w:hint="eastAsia"/>
        </w:rPr>
        <w:t>确保所有人权维护者能够在有利的环境中开展工作，免受威胁、报复、暴力侵害或其他形式的骚扰；</w:t>
      </w:r>
    </w:p>
    <w:p w14:paraId="76D4B91A" w14:textId="77777777" w:rsidR="004436AF" w:rsidRPr="00F54537" w:rsidRDefault="004436AF" w:rsidP="00C90C70">
      <w:pPr>
        <w:pStyle w:val="SingleTxtGC"/>
        <w:rPr>
          <w:rFonts w:eastAsia="黑体"/>
        </w:rPr>
      </w:pPr>
      <w:r w:rsidRPr="00F54537">
        <w:rPr>
          <w:rFonts w:eastAsia="黑体" w:hint="eastAsia"/>
        </w:rPr>
        <w:tab/>
        <w:t>(</w:t>
      </w:r>
      <w:r w:rsidR="00C90C70" w:rsidRPr="00F54537">
        <w:rPr>
          <w:rFonts w:eastAsia="黑体" w:hint="eastAsia"/>
        </w:rPr>
        <w:t>b)</w:t>
      </w:r>
      <w:r w:rsidR="00C90C70" w:rsidRPr="00F54537">
        <w:rPr>
          <w:rFonts w:eastAsia="黑体" w:hint="eastAsia"/>
        </w:rPr>
        <w:tab/>
      </w:r>
      <w:r w:rsidR="00C90C70" w:rsidRPr="00F54537">
        <w:rPr>
          <w:rFonts w:eastAsia="黑体" w:hint="eastAsia"/>
        </w:rPr>
        <w:t>立即坚决谴责和制裁公共当局的排斥性言论和恐吓行为，铭记人权维护者和民间社会组织在维护《公约》方面发挥的根本作用；</w:t>
      </w:r>
    </w:p>
    <w:p w14:paraId="63875FFD" w14:textId="77777777" w:rsidR="004436AF" w:rsidRPr="00F54537" w:rsidRDefault="004436AF" w:rsidP="00C90C70">
      <w:pPr>
        <w:pStyle w:val="SingleTxtGC"/>
        <w:rPr>
          <w:rFonts w:eastAsia="黑体"/>
        </w:rPr>
      </w:pPr>
      <w:r w:rsidRPr="00F54537">
        <w:rPr>
          <w:rFonts w:eastAsia="黑体" w:hint="eastAsia"/>
        </w:rPr>
        <w:tab/>
        <w:t>(</w:t>
      </w:r>
      <w:r w:rsidR="00C90C70" w:rsidRPr="00F54537">
        <w:rPr>
          <w:rFonts w:eastAsia="黑体" w:hint="eastAsia"/>
        </w:rPr>
        <w:t>c)</w:t>
      </w:r>
      <w:r w:rsidR="00C90C70" w:rsidRPr="00F54537">
        <w:rPr>
          <w:rFonts w:eastAsia="黑体" w:hint="eastAsia"/>
        </w:rPr>
        <w:tab/>
      </w:r>
      <w:r w:rsidR="00C90C70" w:rsidRPr="00F54537">
        <w:rPr>
          <w:rFonts w:eastAsia="黑体" w:hint="eastAsia"/>
        </w:rPr>
        <w:t>调查并起诉针对人权维护者和民间社会组织的线上和线下骚扰、威胁和抹黑运动，包括由公众人物策划或支持的事件；</w:t>
      </w:r>
    </w:p>
    <w:p w14:paraId="0F62C49B" w14:textId="77777777" w:rsidR="004436AF" w:rsidRPr="00F54537" w:rsidRDefault="004436AF" w:rsidP="00C90C70">
      <w:pPr>
        <w:pStyle w:val="SingleTxtGC"/>
        <w:rPr>
          <w:rFonts w:eastAsia="黑体"/>
        </w:rPr>
      </w:pPr>
      <w:r w:rsidRPr="00F54537">
        <w:rPr>
          <w:rFonts w:eastAsia="黑体" w:hint="eastAsia"/>
        </w:rPr>
        <w:tab/>
        <w:t>(</w:t>
      </w:r>
      <w:r w:rsidR="00C90C70" w:rsidRPr="00F54537">
        <w:rPr>
          <w:rFonts w:eastAsia="黑体" w:hint="eastAsia"/>
        </w:rPr>
        <w:t>d)</w:t>
      </w:r>
      <w:r w:rsidR="00C90C70" w:rsidRPr="00F54537">
        <w:rPr>
          <w:rFonts w:eastAsia="黑体" w:hint="eastAsia"/>
        </w:rPr>
        <w:tab/>
      </w:r>
      <w:r w:rsidR="00C90C70" w:rsidRPr="00F54537">
        <w:rPr>
          <w:rFonts w:eastAsia="黑体" w:hint="eastAsia"/>
        </w:rPr>
        <w:t>建立规范人权维护者地位的明确法律框架，将充分的保护机制纳入国家立法；</w:t>
      </w:r>
    </w:p>
    <w:p w14:paraId="61BF7DC2" w14:textId="5B1D3A96" w:rsidR="00C90C70" w:rsidRPr="00F54537" w:rsidRDefault="004436AF" w:rsidP="00C90C70">
      <w:pPr>
        <w:pStyle w:val="SingleTxtGC"/>
        <w:rPr>
          <w:rFonts w:eastAsia="黑体"/>
        </w:rPr>
      </w:pPr>
      <w:r w:rsidRPr="00F54537">
        <w:rPr>
          <w:rFonts w:eastAsia="黑体" w:hint="eastAsia"/>
        </w:rPr>
        <w:tab/>
        <w:t>(</w:t>
      </w:r>
      <w:r w:rsidR="00C90C70" w:rsidRPr="00F54537">
        <w:rPr>
          <w:rFonts w:eastAsia="黑体" w:hint="eastAsia"/>
        </w:rPr>
        <w:t>e)</w:t>
      </w:r>
      <w:r w:rsidR="00C90C70" w:rsidRPr="00F54537">
        <w:rPr>
          <w:rFonts w:eastAsia="黑体" w:hint="eastAsia"/>
        </w:rPr>
        <w:tab/>
      </w:r>
      <w:r w:rsidR="00C90C70" w:rsidRPr="00F54537">
        <w:rPr>
          <w:rFonts w:eastAsia="黑体" w:hint="eastAsia"/>
        </w:rPr>
        <w:t>制定并实施正式的公职人员行为准则，严格禁止对民间社会进行污名化，并确保国有或受国家影响的媒体不被用作抹黑人权维护者或组织的工具。</w:t>
      </w:r>
    </w:p>
    <w:p w14:paraId="0A487277" w14:textId="275F3811" w:rsidR="00C90C70" w:rsidRDefault="00C747A1" w:rsidP="00C747A1">
      <w:pPr>
        <w:pStyle w:val="H23GC"/>
      </w:pPr>
      <w:r>
        <w:rPr>
          <w:rFonts w:hint="eastAsia"/>
        </w:rPr>
        <w:tab/>
      </w:r>
      <w:r>
        <w:rPr>
          <w:rFonts w:hint="eastAsia"/>
        </w:rPr>
        <w:tab/>
      </w:r>
      <w:r w:rsidR="00C90C70">
        <w:rPr>
          <w:rFonts w:hint="eastAsia"/>
        </w:rPr>
        <w:t>儿童权利</w:t>
      </w:r>
    </w:p>
    <w:p w14:paraId="185C03CB" w14:textId="20C4F671" w:rsidR="00C90C70" w:rsidRDefault="00C90C70" w:rsidP="00C90C70">
      <w:pPr>
        <w:pStyle w:val="SingleTxtGC"/>
      </w:pPr>
      <w:r>
        <w:rPr>
          <w:rFonts w:hint="eastAsia"/>
        </w:rPr>
        <w:t>49.</w:t>
      </w:r>
      <w:r>
        <w:rPr>
          <w:rFonts w:hint="eastAsia"/>
        </w:rPr>
        <w:tab/>
      </w:r>
      <w:r>
        <w:rPr>
          <w:rFonts w:hint="eastAsia"/>
        </w:rPr>
        <w:t>委员会注意到，缔约国提供资料说明了为触犯法律的儿童提供的拘留替代措施和缓刑方案，但仍感关切的是，收到的资料表明，现有的恢复性司法和分流机制未得到充分利用，没有充分的机制为儿童在被拘留后重新融入社会做好准备，并且司法系统与儿童保护系统之间的协调不足</w:t>
      </w:r>
      <w:r>
        <w:rPr>
          <w:rFonts w:hint="eastAsia"/>
        </w:rPr>
        <w:t>(</w:t>
      </w:r>
      <w:r>
        <w:rPr>
          <w:rFonts w:hint="eastAsia"/>
        </w:rPr>
        <w:t>第二、第九、第十、第二十三、第二十四和第二十六条</w:t>
      </w:r>
      <w:r>
        <w:rPr>
          <w:rFonts w:hint="eastAsia"/>
        </w:rPr>
        <w:t>)</w:t>
      </w:r>
      <w:r>
        <w:rPr>
          <w:rFonts w:hint="eastAsia"/>
        </w:rPr>
        <w:t>。</w:t>
      </w:r>
    </w:p>
    <w:p w14:paraId="1D0A3DF1" w14:textId="1D85107B" w:rsidR="00C90C70" w:rsidRPr="00F54537" w:rsidRDefault="00C90C70" w:rsidP="00C90C70">
      <w:pPr>
        <w:pStyle w:val="SingleTxtGC"/>
        <w:rPr>
          <w:rFonts w:eastAsia="黑体"/>
        </w:rPr>
      </w:pPr>
      <w:r w:rsidRPr="00F54537">
        <w:rPr>
          <w:rFonts w:eastAsia="黑体" w:hint="eastAsia"/>
        </w:rPr>
        <w:t>50.</w:t>
      </w:r>
      <w:r w:rsidRPr="00F54537">
        <w:rPr>
          <w:rFonts w:eastAsia="黑体" w:hint="eastAsia"/>
        </w:rPr>
        <w:tab/>
      </w:r>
      <w:r w:rsidRPr="00F54537">
        <w:rPr>
          <w:rFonts w:eastAsia="黑体" w:hint="eastAsia"/>
        </w:rPr>
        <w:t>缔约国应根据《联合国少年司法最低限度标准规则》</w:t>
      </w:r>
      <w:r w:rsidRPr="00F54537">
        <w:rPr>
          <w:rFonts w:eastAsia="黑体" w:hint="eastAsia"/>
        </w:rPr>
        <w:t>(</w:t>
      </w:r>
      <w:r w:rsidRPr="00F54537">
        <w:rPr>
          <w:rFonts w:eastAsia="黑体" w:hint="eastAsia"/>
        </w:rPr>
        <w:t>《北京规则》</w:t>
      </w:r>
      <w:r w:rsidRPr="00F54537">
        <w:rPr>
          <w:rFonts w:eastAsia="黑体" w:hint="eastAsia"/>
        </w:rPr>
        <w:t>)</w:t>
      </w:r>
      <w:r w:rsidRPr="00F54537">
        <w:rPr>
          <w:rFonts w:eastAsia="黑体" w:hint="eastAsia"/>
        </w:rPr>
        <w:t>和《联合国保护被剥夺自由少年规则》</w:t>
      </w:r>
      <w:r w:rsidRPr="00F54537">
        <w:rPr>
          <w:rFonts w:eastAsia="黑体" w:hint="eastAsia"/>
        </w:rPr>
        <w:t>(</w:t>
      </w:r>
      <w:r w:rsidRPr="00F54537">
        <w:rPr>
          <w:rFonts w:eastAsia="黑体" w:hint="eastAsia"/>
        </w:rPr>
        <w:t>《哈瓦那规则》</w:t>
      </w:r>
      <w:r w:rsidRPr="00F54537">
        <w:rPr>
          <w:rFonts w:eastAsia="黑体" w:hint="eastAsia"/>
        </w:rPr>
        <w:t>)</w:t>
      </w:r>
      <w:r w:rsidRPr="00F54537">
        <w:rPr>
          <w:rFonts w:eastAsia="黑体" w:hint="eastAsia"/>
        </w:rPr>
        <w:t>，确保只有在根据个人情况确定拘留儿童是绝对必要和相称的情况下，才将拘留儿童作为最后手段实施，并且拘留时间应尽可能短。</w:t>
      </w:r>
    </w:p>
    <w:p w14:paraId="2CF70D0F" w14:textId="1A1724A3" w:rsidR="00C90C70" w:rsidRDefault="00C90C70" w:rsidP="00C90C70">
      <w:pPr>
        <w:pStyle w:val="SingleTxtGC"/>
      </w:pPr>
      <w:r>
        <w:rPr>
          <w:rFonts w:hint="eastAsia"/>
        </w:rPr>
        <w:t>51.</w:t>
      </w:r>
      <w:r>
        <w:rPr>
          <w:rFonts w:hint="eastAsia"/>
        </w:rPr>
        <w:tab/>
      </w:r>
      <w:r>
        <w:rPr>
          <w:rFonts w:hint="eastAsia"/>
        </w:rPr>
        <w:t>委员会感到关切的是，有报告称，缔约国仍然存在忽视儿童、儿童遭受暴力以及特定形式的虐待儿童现象；尽管《家庭法》第</w:t>
      </w:r>
      <w:r>
        <w:rPr>
          <w:rFonts w:hint="eastAsia"/>
        </w:rPr>
        <w:t>14</w:t>
      </w:r>
      <w:r>
        <w:rPr>
          <w:rFonts w:hint="eastAsia"/>
        </w:rPr>
        <w:t>条规定最低婚姻登记年龄为</w:t>
      </w:r>
      <w:r>
        <w:rPr>
          <w:rFonts w:hint="eastAsia"/>
        </w:rPr>
        <w:t>18</w:t>
      </w:r>
      <w:r>
        <w:rPr>
          <w:rFonts w:hint="eastAsia"/>
        </w:rPr>
        <w:t>岁，但据称缔约国仍然存在童婚现象，特别是在罗姆人群体中</w:t>
      </w:r>
      <w:r>
        <w:rPr>
          <w:rFonts w:hint="eastAsia"/>
        </w:rPr>
        <w:t>(</w:t>
      </w:r>
      <w:r>
        <w:rPr>
          <w:rFonts w:hint="eastAsia"/>
        </w:rPr>
        <w:t>第二、第七、第二十三、第二十四和第二十六条</w:t>
      </w:r>
      <w:r>
        <w:rPr>
          <w:rFonts w:hint="eastAsia"/>
        </w:rPr>
        <w:t>)</w:t>
      </w:r>
      <w:r>
        <w:rPr>
          <w:rFonts w:hint="eastAsia"/>
        </w:rPr>
        <w:t>。</w:t>
      </w:r>
    </w:p>
    <w:p w14:paraId="1ACE91B9" w14:textId="77777777" w:rsidR="004436AF" w:rsidRPr="00B91C43" w:rsidRDefault="00C90C70" w:rsidP="00C90C70">
      <w:pPr>
        <w:pStyle w:val="SingleTxtGC"/>
        <w:rPr>
          <w:rFonts w:eastAsia="黑体"/>
        </w:rPr>
      </w:pPr>
      <w:r w:rsidRPr="00B91C43">
        <w:rPr>
          <w:rFonts w:eastAsia="黑体" w:hint="eastAsia"/>
        </w:rPr>
        <w:t>52.</w:t>
      </w:r>
      <w:r w:rsidRPr="00B91C43">
        <w:rPr>
          <w:rFonts w:eastAsia="黑体" w:hint="eastAsia"/>
        </w:rPr>
        <w:tab/>
      </w:r>
      <w:r w:rsidRPr="00B91C43">
        <w:rPr>
          <w:rFonts w:eastAsia="黑体" w:hint="eastAsia"/>
        </w:rPr>
        <w:t>缔约国应加倍努力，消除一切形式的暴力侵害儿童行为，包括：</w:t>
      </w:r>
    </w:p>
    <w:p w14:paraId="0FC6BF2E" w14:textId="77777777" w:rsidR="004436AF" w:rsidRPr="00B91C43" w:rsidRDefault="004436AF" w:rsidP="00C90C70">
      <w:pPr>
        <w:pStyle w:val="SingleTxtGC"/>
        <w:rPr>
          <w:rFonts w:eastAsia="黑体"/>
        </w:rPr>
      </w:pPr>
      <w:r w:rsidRPr="00B91C43">
        <w:rPr>
          <w:rFonts w:eastAsia="黑体" w:hint="eastAsia"/>
        </w:rPr>
        <w:lastRenderedPageBreak/>
        <w:tab/>
        <w:t>(</w:t>
      </w:r>
      <w:r w:rsidR="00C90C70" w:rsidRPr="00B91C43">
        <w:rPr>
          <w:rFonts w:eastAsia="黑体" w:hint="eastAsia"/>
        </w:rPr>
        <w:t>a)</w:t>
      </w:r>
      <w:r w:rsidR="00C90C70" w:rsidRPr="00B91C43">
        <w:rPr>
          <w:rFonts w:eastAsia="黑体" w:hint="eastAsia"/>
        </w:rPr>
        <w:tab/>
      </w:r>
      <w:r w:rsidR="00C90C70" w:rsidRPr="00B91C43">
        <w:rPr>
          <w:rFonts w:eastAsia="黑体" w:hint="eastAsia"/>
        </w:rPr>
        <w:t>确保所有关于儿童遭受任何形式暴力或虐待的指控均能得到及时、公正、有效的调查，确保将责任人绳之以法，并确保所有受害者均能获得有效的补救以及适当的保护和援助；</w:t>
      </w:r>
    </w:p>
    <w:p w14:paraId="57D2293D" w14:textId="56A10227" w:rsidR="00C90C70" w:rsidRPr="00B91C43" w:rsidRDefault="004436AF" w:rsidP="00C90C70">
      <w:pPr>
        <w:pStyle w:val="SingleTxtGC"/>
        <w:rPr>
          <w:rFonts w:eastAsia="黑体"/>
        </w:rPr>
      </w:pPr>
      <w:r w:rsidRPr="00B91C43">
        <w:rPr>
          <w:rFonts w:eastAsia="黑体" w:hint="eastAsia"/>
        </w:rPr>
        <w:tab/>
        <w:t>(</w:t>
      </w:r>
      <w:r w:rsidR="00C90C70" w:rsidRPr="00B91C43">
        <w:rPr>
          <w:rFonts w:eastAsia="黑体" w:hint="eastAsia"/>
        </w:rPr>
        <w:t>b)</w:t>
      </w:r>
      <w:r w:rsidR="00C90C70" w:rsidRPr="00B91C43">
        <w:rPr>
          <w:rFonts w:eastAsia="黑体" w:hint="eastAsia"/>
        </w:rPr>
        <w:tab/>
      </w:r>
      <w:r w:rsidR="00C90C70" w:rsidRPr="00B91C43">
        <w:rPr>
          <w:rFonts w:eastAsia="黑体" w:hint="eastAsia"/>
        </w:rPr>
        <w:t>采取措施预防童婚和强迫婚姻，特别是通过开展外联和教育活动，尤其是在罗姆人社区中。</w:t>
      </w:r>
    </w:p>
    <w:p w14:paraId="3484EF23" w14:textId="3BF7E442" w:rsidR="00C90C70" w:rsidRDefault="00C747A1" w:rsidP="00C747A1">
      <w:pPr>
        <w:pStyle w:val="H23GC"/>
      </w:pPr>
      <w:r>
        <w:rPr>
          <w:rFonts w:hint="eastAsia"/>
        </w:rPr>
        <w:tab/>
      </w:r>
      <w:r>
        <w:rPr>
          <w:rFonts w:hint="eastAsia"/>
        </w:rPr>
        <w:tab/>
      </w:r>
      <w:r w:rsidR="00C90C70">
        <w:rPr>
          <w:rFonts w:hint="eastAsia"/>
        </w:rPr>
        <w:t>少数群体参与公共事务</w:t>
      </w:r>
    </w:p>
    <w:p w14:paraId="6AD6F3B8" w14:textId="3DA4CF3C" w:rsidR="00C90C70" w:rsidRDefault="00C90C70" w:rsidP="00C90C70">
      <w:pPr>
        <w:pStyle w:val="SingleTxtGC"/>
      </w:pPr>
      <w:r>
        <w:rPr>
          <w:rFonts w:hint="eastAsia"/>
        </w:rPr>
        <w:t>53.</w:t>
      </w:r>
      <w:r>
        <w:rPr>
          <w:rFonts w:hint="eastAsia"/>
        </w:rPr>
        <w:tab/>
      </w:r>
      <w:r>
        <w:rPr>
          <w:rFonts w:hint="eastAsia"/>
        </w:rPr>
        <w:t>委员会注意到，缔约国提供资料说明了为维护少数群体权利以及促进和便利少数群体参与公共生活所做的努力。然而，委员会感到遗憾的是，有报告称，少数群体</w:t>
      </w:r>
      <w:r>
        <w:rPr>
          <w:rFonts w:hint="eastAsia"/>
        </w:rPr>
        <w:t>(</w:t>
      </w:r>
      <w:r>
        <w:rPr>
          <w:rFonts w:hint="eastAsia"/>
        </w:rPr>
        <w:t>特别是语言少数群体和罗姆人</w:t>
      </w:r>
      <w:r>
        <w:rPr>
          <w:rFonts w:hint="eastAsia"/>
        </w:rPr>
        <w:t>)</w:t>
      </w:r>
      <w:r>
        <w:rPr>
          <w:rFonts w:hint="eastAsia"/>
        </w:rPr>
        <w:t>在决策过程中没有被充分征求意见，并且面临参与障碍；缔约国缺乏健全的立法来确保语言权利，这影响了他们获得诉诸司法、医疗保健和信息的机会。委员会注意到雇用罗姆人调解员在罗姆人社区与国家当局之间进行联络的积极做法。然而，委员会感到遗憾的是，许多调解员职位仍然空缺，部分原因是调解员的薪资偏低、职责过于繁杂</w:t>
      </w:r>
      <w:r>
        <w:rPr>
          <w:rFonts w:hint="eastAsia"/>
        </w:rPr>
        <w:t>(</w:t>
      </w:r>
      <w:r>
        <w:rPr>
          <w:rFonts w:hint="eastAsia"/>
        </w:rPr>
        <w:t>第二十五、第二十六和第二十七条</w:t>
      </w:r>
      <w:r>
        <w:rPr>
          <w:rFonts w:hint="eastAsia"/>
        </w:rPr>
        <w:t>)</w:t>
      </w:r>
      <w:r>
        <w:rPr>
          <w:rFonts w:hint="eastAsia"/>
        </w:rPr>
        <w:t>。</w:t>
      </w:r>
    </w:p>
    <w:p w14:paraId="1C10AD65" w14:textId="77777777" w:rsidR="004436AF" w:rsidRPr="00B91C43" w:rsidRDefault="00C90C70" w:rsidP="00C90C70">
      <w:pPr>
        <w:pStyle w:val="SingleTxtGC"/>
        <w:rPr>
          <w:rFonts w:eastAsia="黑体"/>
        </w:rPr>
      </w:pPr>
      <w:r w:rsidRPr="00B91C43">
        <w:rPr>
          <w:rFonts w:eastAsia="黑体" w:hint="eastAsia"/>
        </w:rPr>
        <w:t>54.</w:t>
      </w:r>
      <w:r w:rsidRPr="00B91C43">
        <w:rPr>
          <w:rFonts w:eastAsia="黑体" w:hint="eastAsia"/>
        </w:rPr>
        <w:tab/>
      </w:r>
      <w:r w:rsidRPr="00B91C43">
        <w:rPr>
          <w:rFonts w:eastAsia="黑体" w:hint="eastAsia"/>
        </w:rPr>
        <w:t>根据《公约》第二十五条和委员会关于参与公共事务和投票权的第</w:t>
      </w:r>
      <w:r w:rsidRPr="00B91C43">
        <w:rPr>
          <w:rFonts w:eastAsia="黑体" w:hint="eastAsia"/>
        </w:rPr>
        <w:t>25</w:t>
      </w:r>
      <w:r w:rsidRPr="00B91C43">
        <w:rPr>
          <w:rFonts w:eastAsia="黑体" w:hint="eastAsia"/>
        </w:rPr>
        <w:t>号一般性意见</w:t>
      </w:r>
      <w:r w:rsidRPr="00B91C43">
        <w:rPr>
          <w:rFonts w:eastAsia="黑体" w:hint="eastAsia"/>
        </w:rPr>
        <w:t>(1996</w:t>
      </w:r>
      <w:r w:rsidRPr="00B91C43">
        <w:rPr>
          <w:rFonts w:eastAsia="黑体" w:hint="eastAsia"/>
        </w:rPr>
        <w:t>年</w:t>
      </w:r>
      <w:r w:rsidRPr="00B91C43">
        <w:rPr>
          <w:rFonts w:eastAsia="黑体" w:hint="eastAsia"/>
        </w:rPr>
        <w:t>)</w:t>
      </w:r>
      <w:r w:rsidRPr="00B91C43">
        <w:rPr>
          <w:rFonts w:eastAsia="黑体" w:hint="eastAsia"/>
        </w:rPr>
        <w:t>，缔约国应采取一切必要措施，确保充分、有效地享有和行使参与公共事务的权利。为此，缔约国应：</w:t>
      </w:r>
    </w:p>
    <w:p w14:paraId="5D2EE285" w14:textId="77777777" w:rsidR="004436AF" w:rsidRPr="00B91C43" w:rsidRDefault="004436AF" w:rsidP="00C90C70">
      <w:pPr>
        <w:pStyle w:val="SingleTxtGC"/>
        <w:rPr>
          <w:rFonts w:eastAsia="黑体"/>
        </w:rPr>
      </w:pPr>
      <w:r w:rsidRPr="00B91C43">
        <w:rPr>
          <w:rFonts w:eastAsia="黑体" w:hint="eastAsia"/>
        </w:rPr>
        <w:tab/>
        <w:t>(</w:t>
      </w:r>
      <w:r w:rsidR="00C90C70" w:rsidRPr="00B91C43">
        <w:rPr>
          <w:rFonts w:eastAsia="黑体" w:hint="eastAsia"/>
        </w:rPr>
        <w:t>a)</w:t>
      </w:r>
      <w:r w:rsidR="00C90C70" w:rsidRPr="00B91C43">
        <w:rPr>
          <w:rFonts w:eastAsia="黑体" w:hint="eastAsia"/>
        </w:rPr>
        <w:tab/>
      </w:r>
      <w:r w:rsidR="00C90C70" w:rsidRPr="00B91C43">
        <w:rPr>
          <w:rFonts w:eastAsia="黑体" w:hint="eastAsia"/>
        </w:rPr>
        <w:t>制定措施，在法律和实践中促进和保护少数群体成员</w:t>
      </w:r>
      <w:r w:rsidR="00C90C70" w:rsidRPr="00B91C43">
        <w:rPr>
          <w:rFonts w:eastAsia="黑体" w:hint="eastAsia"/>
        </w:rPr>
        <w:t>(</w:t>
      </w:r>
      <w:r w:rsidR="00C90C70" w:rsidRPr="00B91C43">
        <w:rPr>
          <w:rFonts w:eastAsia="黑体" w:hint="eastAsia"/>
        </w:rPr>
        <w:t>特别是罗姆人和语言少数群体</w:t>
      </w:r>
      <w:r w:rsidR="00C90C70" w:rsidRPr="00B91C43">
        <w:rPr>
          <w:rFonts w:eastAsia="黑体" w:hint="eastAsia"/>
        </w:rPr>
        <w:t>)</w:t>
      </w:r>
      <w:r w:rsidR="00C90C70" w:rsidRPr="00B91C43">
        <w:rPr>
          <w:rFonts w:eastAsia="黑体" w:hint="eastAsia"/>
        </w:rPr>
        <w:t>的权利，包括颁布健全的立法以确保缔约国内的语言权利，并消除参与方面的结构性障碍；</w:t>
      </w:r>
    </w:p>
    <w:p w14:paraId="4B753E9F" w14:textId="77777777" w:rsidR="004436AF" w:rsidRPr="00B91C43" w:rsidRDefault="004436AF" w:rsidP="00C90C70">
      <w:pPr>
        <w:pStyle w:val="SingleTxtGC"/>
        <w:rPr>
          <w:rFonts w:eastAsia="黑体"/>
        </w:rPr>
      </w:pPr>
      <w:r w:rsidRPr="00B91C43">
        <w:rPr>
          <w:rFonts w:eastAsia="黑体" w:hint="eastAsia"/>
        </w:rPr>
        <w:tab/>
        <w:t>(</w:t>
      </w:r>
      <w:r w:rsidR="00C90C70" w:rsidRPr="00B91C43">
        <w:rPr>
          <w:rFonts w:eastAsia="黑体" w:hint="eastAsia"/>
        </w:rPr>
        <w:t>b)</w:t>
      </w:r>
      <w:r w:rsidR="00C90C70" w:rsidRPr="00B91C43">
        <w:rPr>
          <w:rFonts w:eastAsia="黑体" w:hint="eastAsia"/>
        </w:rPr>
        <w:tab/>
      </w:r>
      <w:r w:rsidR="00C90C70" w:rsidRPr="00B91C43">
        <w:rPr>
          <w:rFonts w:eastAsia="黑体" w:hint="eastAsia"/>
        </w:rPr>
        <w:t>加倍努力，确保少数群体在政府机构和公共行政部门中，包括在高级职位和决策职位中有充分的代表性；</w:t>
      </w:r>
    </w:p>
    <w:p w14:paraId="1C484764" w14:textId="77777777" w:rsidR="004436AF" w:rsidRPr="00B91C43" w:rsidRDefault="004436AF" w:rsidP="00C90C70">
      <w:pPr>
        <w:pStyle w:val="SingleTxtGC"/>
        <w:rPr>
          <w:rFonts w:eastAsia="黑体"/>
        </w:rPr>
      </w:pPr>
      <w:r w:rsidRPr="00B91C43">
        <w:rPr>
          <w:rFonts w:eastAsia="黑体" w:hint="eastAsia"/>
        </w:rPr>
        <w:tab/>
        <w:t>(</w:t>
      </w:r>
      <w:r w:rsidR="00C90C70" w:rsidRPr="00B91C43">
        <w:rPr>
          <w:rFonts w:eastAsia="黑体" w:hint="eastAsia"/>
        </w:rPr>
        <w:t>c)</w:t>
      </w:r>
      <w:r w:rsidR="00C90C70" w:rsidRPr="00B91C43">
        <w:rPr>
          <w:rFonts w:eastAsia="黑体" w:hint="eastAsia"/>
        </w:rPr>
        <w:tab/>
      </w:r>
      <w:r w:rsidR="00C90C70" w:rsidRPr="00B91C43">
        <w:rPr>
          <w:rFonts w:eastAsia="黑体" w:hint="eastAsia"/>
        </w:rPr>
        <w:t>加大力度确保语言少数群体能够获得司法、医疗保健和信息，包括分配必要的人力和财政资源以提供充足的口笔译服务；</w:t>
      </w:r>
    </w:p>
    <w:p w14:paraId="1AAB1C79" w14:textId="1BE79914" w:rsidR="00C90C70" w:rsidRPr="00B91C43" w:rsidRDefault="004436AF" w:rsidP="00C90C70">
      <w:pPr>
        <w:pStyle w:val="SingleTxtGC"/>
        <w:rPr>
          <w:rFonts w:eastAsia="黑体"/>
        </w:rPr>
      </w:pPr>
      <w:r w:rsidRPr="00B91C43">
        <w:rPr>
          <w:rFonts w:eastAsia="黑体" w:hint="eastAsia"/>
        </w:rPr>
        <w:tab/>
        <w:t>(</w:t>
      </w:r>
      <w:r w:rsidR="00C90C70" w:rsidRPr="00B91C43">
        <w:rPr>
          <w:rFonts w:eastAsia="黑体" w:hint="eastAsia"/>
        </w:rPr>
        <w:t>d)</w:t>
      </w:r>
      <w:r w:rsidR="00C90C70" w:rsidRPr="00B91C43">
        <w:rPr>
          <w:rFonts w:eastAsia="黑体" w:hint="eastAsia"/>
        </w:rPr>
        <w:tab/>
      </w:r>
      <w:r w:rsidR="00C90C70" w:rsidRPr="00B91C43">
        <w:rPr>
          <w:rFonts w:eastAsia="黑体" w:hint="eastAsia"/>
        </w:rPr>
        <w:t>迅速填补所有空缺的社区调解员职位，并考虑修订与此类职位相关的薪酬和职责。</w:t>
      </w:r>
    </w:p>
    <w:p w14:paraId="31701152" w14:textId="7ACB03C9" w:rsidR="00C90C70" w:rsidRDefault="00C747A1" w:rsidP="00C747A1">
      <w:pPr>
        <w:pStyle w:val="H1GC"/>
      </w:pPr>
      <w:r>
        <w:tab/>
      </w:r>
      <w:r>
        <w:rPr>
          <w:rFonts w:hint="eastAsia"/>
        </w:rPr>
        <w:t>D.</w:t>
      </w:r>
      <w:r w:rsidR="00C90C70">
        <w:rPr>
          <w:rFonts w:hint="eastAsia"/>
        </w:rPr>
        <w:tab/>
      </w:r>
      <w:r w:rsidR="00C90C70">
        <w:rPr>
          <w:rFonts w:hint="eastAsia"/>
        </w:rPr>
        <w:t>传播和后续行动</w:t>
      </w:r>
    </w:p>
    <w:p w14:paraId="33553594" w14:textId="6E3CC332" w:rsidR="00C90C70" w:rsidRPr="009F5AD0" w:rsidRDefault="00C90C70" w:rsidP="00C90C70">
      <w:pPr>
        <w:pStyle w:val="SingleTxtGC"/>
        <w:rPr>
          <w:rFonts w:ascii="Time New Roman" w:eastAsia="黑体" w:hAnsi="Time New Roman"/>
        </w:rPr>
      </w:pPr>
      <w:r w:rsidRPr="009F5AD0">
        <w:rPr>
          <w:rFonts w:ascii="Time New Roman" w:eastAsia="黑体" w:hAnsi="Time New Roman" w:hint="eastAsia"/>
        </w:rPr>
        <w:t>55.</w:t>
      </w:r>
      <w:r w:rsidRPr="009F5AD0">
        <w:rPr>
          <w:rFonts w:ascii="Time New Roman" w:eastAsia="黑体" w:hAnsi="Time New Roman" w:hint="eastAsia"/>
        </w:rPr>
        <w:tab/>
      </w:r>
      <w:r w:rsidRPr="009F5AD0">
        <w:rPr>
          <w:rFonts w:ascii="Time New Roman" w:eastAsia="黑体" w:hAnsi="Time New Roman" w:hint="eastAsia"/>
        </w:rPr>
        <w:t>缔约国应广泛传播《公约》及其两项任择议定书、缔约国的第四次定期报告和本结论性意见，以提高司法、立法和行政部门以及在缔约国开展活动的民间社会团体和非政府组织及广大公众对《公约》所载权利的认识。缔约国应确保将定期报告和本结论性意见译成缔约国的官方语言。</w:t>
      </w:r>
    </w:p>
    <w:p w14:paraId="66F550D8" w14:textId="1165FE6B" w:rsidR="00C90C70" w:rsidRPr="009F5AD0" w:rsidRDefault="00C90C70" w:rsidP="00C90C70">
      <w:pPr>
        <w:pStyle w:val="SingleTxtGC"/>
        <w:rPr>
          <w:rFonts w:ascii="Time New Roman" w:eastAsia="黑体" w:hAnsi="Time New Roman"/>
        </w:rPr>
      </w:pPr>
      <w:r w:rsidRPr="009F5AD0">
        <w:rPr>
          <w:rFonts w:ascii="Time New Roman" w:eastAsia="黑体" w:hAnsi="Time New Roman" w:hint="eastAsia"/>
        </w:rPr>
        <w:t>56.</w:t>
      </w:r>
      <w:r w:rsidRPr="009F5AD0">
        <w:rPr>
          <w:rFonts w:ascii="Time New Roman" w:eastAsia="黑体" w:hAnsi="Time New Roman" w:hint="eastAsia"/>
        </w:rPr>
        <w:tab/>
      </w:r>
      <w:r w:rsidRPr="009F5AD0">
        <w:rPr>
          <w:rFonts w:ascii="Time New Roman" w:eastAsia="黑体" w:hAnsi="Time New Roman" w:hint="eastAsia"/>
        </w:rPr>
        <w:t>根据委员会议事规则第</w:t>
      </w:r>
      <w:r w:rsidRPr="009F5AD0">
        <w:rPr>
          <w:rFonts w:ascii="Time New Roman" w:eastAsia="黑体" w:hAnsi="Time New Roman" w:hint="eastAsia"/>
        </w:rPr>
        <w:t>75</w:t>
      </w:r>
      <w:r w:rsidRPr="009F5AD0">
        <w:rPr>
          <w:rFonts w:ascii="Time New Roman" w:eastAsia="黑体" w:hAnsi="Time New Roman" w:hint="eastAsia"/>
        </w:rPr>
        <w:t>条第</w:t>
      </w:r>
      <w:r w:rsidRPr="009F5AD0">
        <w:rPr>
          <w:rFonts w:ascii="Time New Roman" w:eastAsia="黑体" w:hAnsi="Time New Roman" w:hint="eastAsia"/>
        </w:rPr>
        <w:t>1</w:t>
      </w:r>
      <w:r w:rsidRPr="009F5AD0">
        <w:rPr>
          <w:rFonts w:ascii="Time New Roman" w:eastAsia="黑体" w:hAnsi="Time New Roman" w:hint="eastAsia"/>
        </w:rPr>
        <w:t>款，缔约国应在</w:t>
      </w:r>
      <w:r w:rsidRPr="009F5AD0">
        <w:rPr>
          <w:rFonts w:ascii="Time New Roman" w:eastAsia="黑体" w:hAnsi="Time New Roman" w:hint="eastAsia"/>
        </w:rPr>
        <w:t>2029</w:t>
      </w:r>
      <w:r w:rsidRPr="009F5AD0">
        <w:rPr>
          <w:rFonts w:ascii="Time New Roman" w:eastAsia="黑体" w:hAnsi="Time New Roman" w:hint="eastAsia"/>
        </w:rPr>
        <w:t>年</w:t>
      </w:r>
      <w:r w:rsidRPr="009F5AD0">
        <w:rPr>
          <w:rFonts w:ascii="Time New Roman" w:eastAsia="黑体" w:hAnsi="Time New Roman" w:hint="eastAsia"/>
        </w:rPr>
        <w:t>3</w:t>
      </w:r>
      <w:r w:rsidRPr="009F5AD0">
        <w:rPr>
          <w:rFonts w:ascii="Time New Roman" w:eastAsia="黑体" w:hAnsi="Time New Roman" w:hint="eastAsia"/>
        </w:rPr>
        <w:t>月</w:t>
      </w:r>
      <w:r w:rsidRPr="009F5AD0">
        <w:rPr>
          <w:rFonts w:ascii="Time New Roman" w:eastAsia="黑体" w:hAnsi="Time New Roman" w:hint="eastAsia"/>
        </w:rPr>
        <w:t>19</w:t>
      </w:r>
      <w:r w:rsidRPr="009F5AD0">
        <w:rPr>
          <w:rFonts w:ascii="Time New Roman" w:eastAsia="黑体" w:hAnsi="Time New Roman" w:hint="eastAsia"/>
        </w:rPr>
        <w:t>日之前提供资料，说明委员会在上文第</w:t>
      </w:r>
      <w:r w:rsidRPr="009F5AD0">
        <w:rPr>
          <w:rFonts w:ascii="Time New Roman" w:eastAsia="黑体" w:hAnsi="Time New Roman" w:hint="eastAsia"/>
        </w:rPr>
        <w:t>12</w:t>
      </w:r>
      <w:r w:rsidRPr="009F5AD0">
        <w:rPr>
          <w:rFonts w:ascii="Time New Roman" w:eastAsia="黑体" w:hAnsi="Time New Roman" w:hint="eastAsia"/>
        </w:rPr>
        <w:t>段</w:t>
      </w:r>
      <w:r w:rsidRPr="009F5AD0">
        <w:rPr>
          <w:rFonts w:ascii="Time New Roman" w:eastAsia="黑体" w:hAnsi="Time New Roman" w:hint="eastAsia"/>
        </w:rPr>
        <w:t>(</w:t>
      </w:r>
      <w:r w:rsidRPr="009F5AD0">
        <w:rPr>
          <w:rFonts w:ascii="Time New Roman" w:eastAsia="黑体" w:hAnsi="Time New Roman" w:hint="eastAsia"/>
        </w:rPr>
        <w:t>反腐败措施</w:t>
      </w:r>
      <w:r w:rsidRPr="009F5AD0">
        <w:rPr>
          <w:rFonts w:ascii="Time New Roman" w:eastAsia="黑体" w:hAnsi="Time New Roman" w:hint="eastAsia"/>
        </w:rPr>
        <w:t>)</w:t>
      </w:r>
      <w:r w:rsidRPr="009F5AD0">
        <w:rPr>
          <w:rFonts w:ascii="Time New Roman" w:eastAsia="黑体" w:hAnsi="Time New Roman" w:hint="eastAsia"/>
        </w:rPr>
        <w:t>、第</w:t>
      </w:r>
      <w:r w:rsidRPr="009F5AD0">
        <w:rPr>
          <w:rFonts w:ascii="Time New Roman" w:eastAsia="黑体" w:hAnsi="Time New Roman" w:hint="eastAsia"/>
        </w:rPr>
        <w:t>16</w:t>
      </w:r>
      <w:r w:rsidRPr="009F5AD0">
        <w:rPr>
          <w:rFonts w:ascii="Time New Roman" w:eastAsia="黑体" w:hAnsi="Time New Roman" w:hint="eastAsia"/>
        </w:rPr>
        <w:t>段</w:t>
      </w:r>
      <w:r w:rsidRPr="009F5AD0">
        <w:rPr>
          <w:rFonts w:ascii="Time New Roman" w:eastAsia="黑体" w:hAnsi="Time New Roman" w:hint="eastAsia"/>
        </w:rPr>
        <w:t>(</w:t>
      </w:r>
      <w:r w:rsidRPr="009F5AD0">
        <w:rPr>
          <w:rFonts w:ascii="Time New Roman" w:eastAsia="黑体" w:hAnsi="Time New Roman" w:hint="eastAsia"/>
        </w:rPr>
        <w:t>仇恨犯罪和仇恨言论</w:t>
      </w:r>
      <w:r w:rsidRPr="009F5AD0">
        <w:rPr>
          <w:rFonts w:ascii="Time New Roman" w:eastAsia="黑体" w:hAnsi="Time New Roman" w:hint="eastAsia"/>
        </w:rPr>
        <w:t>)</w:t>
      </w:r>
      <w:r w:rsidRPr="009F5AD0">
        <w:rPr>
          <w:rFonts w:ascii="Time New Roman" w:eastAsia="黑体" w:hAnsi="Time New Roman" w:hint="eastAsia"/>
        </w:rPr>
        <w:t>和第</w:t>
      </w:r>
      <w:r w:rsidRPr="009F5AD0">
        <w:rPr>
          <w:rFonts w:ascii="Time New Roman" w:eastAsia="黑体" w:hAnsi="Time New Roman" w:hint="eastAsia"/>
        </w:rPr>
        <w:t>22</w:t>
      </w:r>
      <w:r w:rsidRPr="009F5AD0">
        <w:rPr>
          <w:rFonts w:ascii="Time New Roman" w:eastAsia="黑体" w:hAnsi="Time New Roman" w:hint="eastAsia"/>
        </w:rPr>
        <w:t>段</w:t>
      </w:r>
      <w:r w:rsidRPr="009F5AD0">
        <w:rPr>
          <w:rFonts w:ascii="Time New Roman" w:eastAsia="黑体" w:hAnsi="Time New Roman" w:hint="eastAsia"/>
        </w:rPr>
        <w:t>(</w:t>
      </w:r>
      <w:r w:rsidRPr="009F5AD0">
        <w:rPr>
          <w:rFonts w:ascii="Time New Roman" w:eastAsia="黑体" w:hAnsi="Time New Roman" w:hint="eastAsia"/>
        </w:rPr>
        <w:t>针对妇女的暴力行为和家庭暴力</w:t>
      </w:r>
      <w:r w:rsidRPr="009F5AD0">
        <w:rPr>
          <w:rFonts w:ascii="Time New Roman" w:eastAsia="黑体" w:hAnsi="Time New Roman" w:hint="eastAsia"/>
        </w:rPr>
        <w:t>)</w:t>
      </w:r>
      <w:r w:rsidRPr="009F5AD0">
        <w:rPr>
          <w:rFonts w:ascii="Time New Roman" w:eastAsia="黑体" w:hAnsi="Time New Roman" w:hint="eastAsia"/>
        </w:rPr>
        <w:t>所提建议的落实情况。</w:t>
      </w:r>
    </w:p>
    <w:p w14:paraId="6C2B65C1" w14:textId="478603C7" w:rsidR="00C90C70" w:rsidRPr="009F5AD0" w:rsidRDefault="00C90C70" w:rsidP="00C90C70">
      <w:pPr>
        <w:pStyle w:val="SingleTxtGC"/>
        <w:rPr>
          <w:rFonts w:ascii="Time New Roman" w:eastAsia="黑体" w:hAnsi="Time New Roman"/>
        </w:rPr>
      </w:pPr>
      <w:r w:rsidRPr="009F5AD0">
        <w:rPr>
          <w:rFonts w:ascii="Time New Roman" w:eastAsia="黑体" w:hAnsi="Time New Roman" w:hint="eastAsia"/>
        </w:rPr>
        <w:t>57.</w:t>
      </w:r>
      <w:r w:rsidRPr="009F5AD0">
        <w:rPr>
          <w:rFonts w:ascii="Time New Roman" w:eastAsia="黑体" w:hAnsi="Time New Roman" w:hint="eastAsia"/>
        </w:rPr>
        <w:tab/>
      </w:r>
      <w:r w:rsidRPr="009F5AD0">
        <w:rPr>
          <w:rFonts w:ascii="Time New Roman" w:eastAsia="黑体" w:hAnsi="Time New Roman" w:hint="eastAsia"/>
        </w:rPr>
        <w:t>根据委员会可预测的审议周期，缔约国将在</w:t>
      </w:r>
      <w:r w:rsidRPr="009F5AD0">
        <w:rPr>
          <w:rFonts w:ascii="Time New Roman" w:eastAsia="黑体" w:hAnsi="Time New Roman" w:hint="eastAsia"/>
        </w:rPr>
        <w:t>2032</w:t>
      </w:r>
      <w:r w:rsidRPr="009F5AD0">
        <w:rPr>
          <w:rFonts w:ascii="Time New Roman" w:eastAsia="黑体" w:hAnsi="Time New Roman" w:hint="eastAsia"/>
        </w:rPr>
        <w:t>年收到委员会发送的报告前问题清单，并应在一年内提交答复，该答复将构成缔约国的第五次定期报告。委员会请缔约国在编写报告时广泛征求在该国开展活动的民间社会团体和非政府</w:t>
      </w:r>
      <w:r w:rsidRPr="009F5AD0">
        <w:rPr>
          <w:rFonts w:ascii="Time New Roman" w:eastAsia="黑体" w:hAnsi="Time New Roman" w:hint="eastAsia"/>
        </w:rPr>
        <w:lastRenderedPageBreak/>
        <w:t>组织的意见。按照大会第</w:t>
      </w:r>
      <w:r w:rsidRPr="009F5AD0">
        <w:rPr>
          <w:rFonts w:ascii="Time New Roman" w:eastAsia="黑体" w:hAnsi="Time New Roman" w:hint="eastAsia"/>
        </w:rPr>
        <w:t>68/268</w:t>
      </w:r>
      <w:r w:rsidRPr="009F5AD0">
        <w:rPr>
          <w:rFonts w:ascii="Time New Roman" w:eastAsia="黑体" w:hAnsi="Time New Roman" w:hint="eastAsia"/>
        </w:rPr>
        <w:t>号决议，报告字数应限制在</w:t>
      </w:r>
      <w:r w:rsidRPr="009F5AD0">
        <w:rPr>
          <w:rFonts w:ascii="Time New Roman" w:eastAsia="黑体" w:hAnsi="Time New Roman" w:hint="eastAsia"/>
        </w:rPr>
        <w:t>21,200</w:t>
      </w:r>
      <w:r w:rsidRPr="009F5AD0">
        <w:rPr>
          <w:rFonts w:ascii="Time New Roman" w:eastAsia="黑体" w:hAnsi="Time New Roman" w:hint="eastAsia"/>
        </w:rPr>
        <w:t>字以内。与缔约国的下一次建设性对话将于</w:t>
      </w:r>
      <w:r w:rsidRPr="009F5AD0">
        <w:rPr>
          <w:rFonts w:ascii="Time New Roman" w:eastAsia="黑体" w:hAnsi="Time New Roman" w:hint="eastAsia"/>
        </w:rPr>
        <w:t>2034</w:t>
      </w:r>
      <w:r w:rsidRPr="009F5AD0">
        <w:rPr>
          <w:rFonts w:ascii="Time New Roman" w:eastAsia="黑体" w:hAnsi="Time New Roman" w:hint="eastAsia"/>
        </w:rPr>
        <w:t>年在日内瓦举行。</w:t>
      </w:r>
    </w:p>
    <w:p w14:paraId="75284447" w14:textId="14FF989D" w:rsidR="00C90C70" w:rsidRPr="009F5AD0" w:rsidRDefault="00C90C70" w:rsidP="00C90C70">
      <w:pPr>
        <w:pStyle w:val="SingleTxtGC"/>
        <w:rPr>
          <w:rFonts w:ascii="Time New Roman" w:eastAsia="黑体" w:hAnsi="Time New Roman"/>
        </w:rPr>
      </w:pPr>
    </w:p>
    <w:p w14:paraId="58991E9E" w14:textId="77777777" w:rsidR="004436AF" w:rsidRPr="002D6A9C" w:rsidRDefault="004436A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6F41E377" w14:textId="6615C680" w:rsidR="00C90C70" w:rsidRPr="00C90C70" w:rsidRDefault="00C90C70" w:rsidP="00C90C70">
      <w:pPr>
        <w:pStyle w:val="SingleTxtGC"/>
      </w:pPr>
    </w:p>
    <w:sectPr w:rsidR="00C90C70" w:rsidRPr="00C90C70"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39094" w14:textId="77777777" w:rsidR="006927C3" w:rsidRPr="000D319F" w:rsidRDefault="006927C3" w:rsidP="000D319F">
      <w:pPr>
        <w:pStyle w:val="af0"/>
        <w:spacing w:after="240"/>
        <w:ind w:left="907"/>
        <w:rPr>
          <w:rFonts w:asciiTheme="majorBidi" w:eastAsia="宋体" w:hAnsiTheme="majorBidi" w:cstheme="majorBidi"/>
          <w:sz w:val="21"/>
          <w:szCs w:val="21"/>
          <w:lang w:val="en-US"/>
        </w:rPr>
      </w:pPr>
    </w:p>
    <w:p w14:paraId="24AE44F3" w14:textId="77777777" w:rsidR="006927C3" w:rsidRPr="000D319F" w:rsidRDefault="006927C3"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A8CC5CB" w14:textId="77777777" w:rsidR="006927C3" w:rsidRPr="000D319F" w:rsidRDefault="006927C3" w:rsidP="000D319F">
      <w:pPr>
        <w:pStyle w:val="af0"/>
      </w:pPr>
    </w:p>
  </w:endnote>
  <w:endnote w:type="continuationNotice" w:id="1">
    <w:p w14:paraId="0E57B670" w14:textId="77777777" w:rsidR="006927C3" w:rsidRDefault="006927C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9868B" w14:textId="77777777" w:rsidR="00117CCB" w:rsidRPr="00C90C70" w:rsidRDefault="00C90C70" w:rsidP="00C90C70">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C90C70">
      <w:rPr>
        <w:rStyle w:val="af2"/>
        <w:b w:val="0"/>
        <w:snapToGrid w:val="0"/>
        <w:sz w:val="16"/>
      </w:rPr>
      <w:t>GE.26</w:t>
    </w:r>
    <w:proofErr w:type="spellEnd"/>
    <w:r w:rsidRPr="00C90C70">
      <w:rPr>
        <w:rStyle w:val="af2"/>
        <w:b w:val="0"/>
        <w:snapToGrid w:val="0"/>
        <w:sz w:val="16"/>
      </w:rPr>
      <w:t>-04030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E8EC0" w14:textId="77777777" w:rsidR="00117CCB" w:rsidRPr="00C90C70" w:rsidRDefault="00C90C70" w:rsidP="00C90C70">
    <w:pPr>
      <w:pStyle w:val="af0"/>
      <w:tabs>
        <w:tab w:val="clear" w:pos="431"/>
        <w:tab w:val="right" w:pos="9638"/>
      </w:tabs>
      <w:rPr>
        <w:rStyle w:val="af2"/>
      </w:rPr>
    </w:pPr>
    <w:proofErr w:type="spellStart"/>
    <w:r>
      <w:t>GE.26</w:t>
    </w:r>
    <w:proofErr w:type="spellEnd"/>
    <w:r>
      <w:t>-04030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5B3BC" w14:textId="0423F2BE" w:rsidR="00117CCB" w:rsidRPr="00487939" w:rsidRDefault="00C90C70"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10F3C86" wp14:editId="5091B26D">
          <wp:simplePos x="0" y="0"/>
          <wp:positionH relativeFrom="column">
            <wp:align>right</wp:align>
          </wp:positionH>
          <wp:positionV relativeFrom="paragraph">
            <wp:posOffset>-69850</wp:posOffset>
          </wp:positionV>
          <wp:extent cx="571500" cy="571500"/>
          <wp:effectExtent l="0" t="0" r="0" b="0"/>
          <wp:wrapNone/>
          <wp:docPr id="147958899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GE.26</w:t>
    </w:r>
    <w:proofErr w:type="spellEnd"/>
    <w:r>
      <w:rPr>
        <w:sz w:val="20"/>
        <w:lang w:eastAsia="zh-CN"/>
      </w:rPr>
      <w:t>-04030</w:t>
    </w:r>
    <w:r w:rsidR="00731A42" w:rsidRPr="00EE277A">
      <w:rPr>
        <w:sz w:val="20"/>
        <w:lang w:eastAsia="zh-CN"/>
      </w:rPr>
      <w:t xml:space="preserve"> (C)</w:t>
    </w:r>
    <w:r w:rsidR="00EA7E67">
      <w:rPr>
        <w:sz w:val="20"/>
        <w:lang w:eastAsia="zh-CN"/>
      </w:rPr>
      <w:tab/>
    </w:r>
    <w:r w:rsidR="005A6C57">
      <w:rPr>
        <w:sz w:val="20"/>
        <w:lang w:eastAsia="zh-CN"/>
      </w:rPr>
      <w:t>2404</w:t>
    </w:r>
    <w:r w:rsidR="00A43337">
      <w:rPr>
        <w:sz w:val="20"/>
        <w:lang w:eastAsia="zh-CN"/>
      </w:rPr>
      <w:t>2</w:t>
    </w:r>
    <w:r w:rsidR="002D418A">
      <w:rPr>
        <w:sz w:val="20"/>
        <w:lang w:eastAsia="zh-CN"/>
      </w:rPr>
      <w:t>6</w:t>
    </w:r>
    <w:r w:rsidR="00731A42">
      <w:rPr>
        <w:sz w:val="20"/>
        <w:lang w:eastAsia="zh-CN"/>
      </w:rPr>
      <w:tab/>
    </w:r>
    <w:r w:rsidR="004436AF">
      <w:rPr>
        <w:sz w:val="20"/>
        <w:lang w:eastAsia="zh-CN"/>
      </w:rPr>
      <w:t>2205</w:t>
    </w:r>
    <w:r w:rsidR="00A43337">
      <w:rPr>
        <w:sz w:val="20"/>
        <w:lang w:eastAsia="zh-CN"/>
      </w:rPr>
      <w:t>2</w:t>
    </w:r>
    <w:r w:rsidR="002D418A">
      <w:rPr>
        <w:sz w:val="20"/>
        <w:lang w:eastAsia="zh-CN"/>
      </w:rPr>
      <w:t>6</w:t>
    </w:r>
    <w:r w:rsidR="00731A42">
      <w:rPr>
        <w:b/>
        <w:sz w:val="21"/>
      </w:rPr>
      <w:tab/>
    </w:r>
    <w:r w:rsidR="00A1364C">
      <w:rPr>
        <w:rFonts w:hint="eastAsia"/>
        <w:b/>
        <w:noProof/>
        <w:snapToGrid/>
        <w:sz w:val="21"/>
        <w:lang w:val="en-US" w:eastAsia="zh-CN"/>
      </w:rPr>
      <w:drawing>
        <wp:inline distT="0" distB="0" distL="0" distR="0" wp14:anchorId="79536356" wp14:editId="0F16DCB2">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3E5CE3" w14:textId="77777777" w:rsidR="006927C3" w:rsidRPr="000157B1" w:rsidRDefault="006927C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34662EB" w14:textId="77777777" w:rsidR="006927C3" w:rsidRPr="000157B1" w:rsidRDefault="006927C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2BCBEA9" w14:textId="77777777" w:rsidR="006927C3" w:rsidRDefault="006927C3"/>
  </w:footnote>
  <w:footnote w:id="2">
    <w:p w14:paraId="3EFA605E" w14:textId="776A16BE" w:rsidR="00C90C70" w:rsidRPr="00C90C70" w:rsidRDefault="00C90C70">
      <w:pPr>
        <w:pStyle w:val="a6"/>
      </w:pPr>
      <w:r w:rsidRPr="00C90C70">
        <w:rPr>
          <w:rStyle w:val="a8"/>
          <w:rFonts w:eastAsia="宋体"/>
          <w:vertAlign w:val="baseline"/>
        </w:rPr>
        <w:tab/>
        <w:t>*</w:t>
      </w:r>
      <w:r w:rsidRPr="00C90C70">
        <w:tab/>
      </w:r>
      <w:r w:rsidRPr="00C90C70">
        <w:t>委员会第一百四十五届会议通过</w:t>
      </w:r>
      <w:r w:rsidRPr="00C90C70">
        <w:t>(2026</w:t>
      </w:r>
      <w:r w:rsidRPr="00C90C70">
        <w:t>年</w:t>
      </w:r>
      <w:r w:rsidRPr="00C90C70">
        <w:t>3</w:t>
      </w:r>
      <w:r w:rsidRPr="00C90C70">
        <w:t>月</w:t>
      </w:r>
      <w:r w:rsidRPr="00C90C70">
        <w:t>2</w:t>
      </w:r>
      <w:r w:rsidRPr="00C90C70">
        <w:t>日至</w:t>
      </w:r>
      <w:r w:rsidRPr="00C90C70">
        <w:t>19</w:t>
      </w:r>
      <w:r w:rsidRPr="00C90C70">
        <w:t>日</w:t>
      </w:r>
      <w:r w:rsidRPr="00C90C70">
        <w:t>)</w:t>
      </w:r>
      <w:r w:rsidRPr="00C90C70">
        <w:t>。</w:t>
      </w:r>
    </w:p>
  </w:footnote>
  <w:footnote w:id="3">
    <w:p w14:paraId="3A329A68" w14:textId="1DE6E475" w:rsidR="00925D2E" w:rsidRDefault="00925D2E" w:rsidP="00925D2E">
      <w:pPr>
        <w:pStyle w:val="a6"/>
      </w:pPr>
      <w:r>
        <w:tab/>
      </w:r>
      <w:r>
        <w:rPr>
          <w:rStyle w:val="a8"/>
          <w:rFonts w:eastAsia="宋体"/>
        </w:rPr>
        <w:footnoteRef/>
      </w:r>
      <w:r>
        <w:tab/>
      </w:r>
      <w:r w:rsidR="0061333B" w:rsidRPr="0061333B">
        <w:t>见</w:t>
      </w:r>
      <w:r w:rsidR="0061333B" w:rsidRPr="0061333B">
        <w:t>CCPR/C/</w:t>
      </w:r>
      <w:proofErr w:type="spellStart"/>
      <w:r w:rsidR="0061333B" w:rsidRPr="0061333B">
        <w:t>SR.4272</w:t>
      </w:r>
      <w:proofErr w:type="spellEnd"/>
      <w:r w:rsidR="0061333B" w:rsidRPr="0061333B">
        <w:t>和</w:t>
      </w:r>
      <w:r w:rsidR="0061333B" w:rsidRPr="0061333B">
        <w:t>CCPR/C/</w:t>
      </w:r>
      <w:proofErr w:type="spellStart"/>
      <w:r w:rsidR="0061333B" w:rsidRPr="0061333B">
        <w:t>SR.4273</w:t>
      </w:r>
      <w:proofErr w:type="spellEnd"/>
      <w:r w:rsidR="0061333B" w:rsidRPr="0061333B">
        <w:t>。</w:t>
      </w:r>
    </w:p>
  </w:footnote>
  <w:footnote w:id="4">
    <w:p w14:paraId="3AAEF22B" w14:textId="3D2D423B" w:rsidR="00925D2E" w:rsidRDefault="00925D2E">
      <w:pPr>
        <w:pStyle w:val="a6"/>
      </w:pPr>
      <w:r>
        <w:tab/>
      </w:r>
      <w:r>
        <w:rPr>
          <w:rStyle w:val="a8"/>
          <w:rFonts w:eastAsia="宋体"/>
        </w:rPr>
        <w:footnoteRef/>
      </w:r>
      <w:r>
        <w:tab/>
      </w:r>
      <w:r w:rsidR="0061333B" w:rsidRPr="0061333B">
        <w:t>CCPR/C/MDA/4</w:t>
      </w:r>
      <w:r w:rsidR="0061333B" w:rsidRPr="0061333B">
        <w:t>。</w:t>
      </w:r>
    </w:p>
  </w:footnote>
  <w:footnote w:id="5">
    <w:p w14:paraId="427DA2EE" w14:textId="7F80825E" w:rsidR="00925D2E" w:rsidRDefault="00925D2E">
      <w:pPr>
        <w:pStyle w:val="a6"/>
      </w:pPr>
      <w:r>
        <w:tab/>
      </w:r>
      <w:r>
        <w:rPr>
          <w:rStyle w:val="a8"/>
          <w:rFonts w:eastAsia="宋体"/>
        </w:rPr>
        <w:footnoteRef/>
      </w:r>
      <w:r>
        <w:tab/>
      </w:r>
      <w:r w:rsidR="0061333B" w:rsidRPr="0061333B">
        <w:t>CCPR/C/MDA/</w:t>
      </w:r>
      <w:proofErr w:type="spellStart"/>
      <w:r w:rsidR="0061333B" w:rsidRPr="0061333B">
        <w:t>QPR</w:t>
      </w:r>
      <w:proofErr w:type="spellEnd"/>
      <w:r w:rsidR="0061333B" w:rsidRPr="0061333B">
        <w:t>/4</w:t>
      </w:r>
      <w:r w:rsidR="0061333B" w:rsidRPr="0061333B">
        <w:t>。</w:t>
      </w:r>
    </w:p>
  </w:footnote>
  <w:footnote w:id="6">
    <w:p w14:paraId="1BB5E1B4" w14:textId="5204A4F9" w:rsidR="00925D2E" w:rsidRDefault="00925D2E">
      <w:pPr>
        <w:pStyle w:val="a6"/>
      </w:pPr>
      <w:r>
        <w:tab/>
      </w:r>
      <w:r>
        <w:rPr>
          <w:rStyle w:val="a8"/>
          <w:rFonts w:eastAsia="宋体"/>
        </w:rPr>
        <w:footnoteRef/>
      </w:r>
      <w:r>
        <w:tab/>
      </w:r>
      <w:hyperlink r:id="rId1" w:history="1">
        <w:r w:rsidRPr="0061333B">
          <w:rPr>
            <w:rStyle w:val="af6"/>
            <w:u w:val="none"/>
          </w:rPr>
          <w:t>CCPR/C/MDA/CO/3</w:t>
        </w:r>
      </w:hyperlink>
      <w:r w:rsidRPr="00925D2E">
        <w:t>，第</w:t>
      </w:r>
      <w:r w:rsidRPr="00925D2E">
        <w:t>8</w:t>
      </w:r>
      <w:r w:rsidRPr="00925D2E">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098C7" w14:textId="77777777" w:rsidR="00117CCB" w:rsidRDefault="00C90C70" w:rsidP="00C90C70">
    <w:pPr>
      <w:pStyle w:val="af3"/>
    </w:pPr>
    <w:r>
      <w:t>CCPR/C/MDA/CO/4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C2BFF" w14:textId="77777777" w:rsidR="00117CCB" w:rsidRPr="00202A30" w:rsidRDefault="00C90C70" w:rsidP="00C90C70">
    <w:pPr>
      <w:pStyle w:val="af3"/>
      <w:jc w:val="right"/>
    </w:pPr>
    <w:r>
      <w:t>CCPR/C/MDA/CO/4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
  </w:num>
  <w:num w:numId="2" w16cid:durableId="1488473444">
    <w:abstractNumId w:val="5"/>
  </w:num>
  <w:num w:numId="3" w16cid:durableId="1881046147">
    <w:abstractNumId w:val="2"/>
  </w:num>
  <w:num w:numId="4" w16cid:durableId="2042706911">
    <w:abstractNumId w:val="0"/>
  </w:num>
  <w:num w:numId="5" w16cid:durableId="17302258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7"/>
  </w:num>
  <w:num w:numId="8" w16cid:durableId="246697977">
    <w:abstractNumId w:val="3"/>
  </w:num>
  <w:num w:numId="9" w16cid:durableId="5707710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67B"/>
    <w:rsid w:val="00011483"/>
    <w:rsid w:val="00031B71"/>
    <w:rsid w:val="0004554F"/>
    <w:rsid w:val="00055F97"/>
    <w:rsid w:val="00080D76"/>
    <w:rsid w:val="000B5AD4"/>
    <w:rsid w:val="000B5BD5"/>
    <w:rsid w:val="000D319F"/>
    <w:rsid w:val="000E4D0E"/>
    <w:rsid w:val="000F5EB8"/>
    <w:rsid w:val="00117CCB"/>
    <w:rsid w:val="00126EB7"/>
    <w:rsid w:val="00131549"/>
    <w:rsid w:val="00144B69"/>
    <w:rsid w:val="00153E86"/>
    <w:rsid w:val="00172E04"/>
    <w:rsid w:val="001B1BD1"/>
    <w:rsid w:val="001C3EF2"/>
    <w:rsid w:val="001D17F6"/>
    <w:rsid w:val="00204B42"/>
    <w:rsid w:val="0021265F"/>
    <w:rsid w:val="002231C3"/>
    <w:rsid w:val="0024417F"/>
    <w:rsid w:val="00250F8D"/>
    <w:rsid w:val="0025482B"/>
    <w:rsid w:val="002B5450"/>
    <w:rsid w:val="002B6644"/>
    <w:rsid w:val="002D418A"/>
    <w:rsid w:val="002E1C97"/>
    <w:rsid w:val="002F5834"/>
    <w:rsid w:val="003006AB"/>
    <w:rsid w:val="00326EBF"/>
    <w:rsid w:val="00327FE4"/>
    <w:rsid w:val="003333CC"/>
    <w:rsid w:val="00335AC6"/>
    <w:rsid w:val="00385347"/>
    <w:rsid w:val="003A4E85"/>
    <w:rsid w:val="00427F63"/>
    <w:rsid w:val="00434D38"/>
    <w:rsid w:val="00437CA8"/>
    <w:rsid w:val="004436AF"/>
    <w:rsid w:val="00464ECC"/>
    <w:rsid w:val="00494EB8"/>
    <w:rsid w:val="004C4A0A"/>
    <w:rsid w:val="004D0A00"/>
    <w:rsid w:val="004E473D"/>
    <w:rsid w:val="004F348E"/>
    <w:rsid w:val="00500E02"/>
    <w:rsid w:val="00501220"/>
    <w:rsid w:val="00526696"/>
    <w:rsid w:val="0057615F"/>
    <w:rsid w:val="00576BD6"/>
    <w:rsid w:val="00576CBE"/>
    <w:rsid w:val="005A1B01"/>
    <w:rsid w:val="005A6C57"/>
    <w:rsid w:val="005D58AB"/>
    <w:rsid w:val="005E403A"/>
    <w:rsid w:val="005E4086"/>
    <w:rsid w:val="0060122D"/>
    <w:rsid w:val="00604D91"/>
    <w:rsid w:val="00607905"/>
    <w:rsid w:val="0061333B"/>
    <w:rsid w:val="006257FE"/>
    <w:rsid w:val="00654DD9"/>
    <w:rsid w:val="00657EA8"/>
    <w:rsid w:val="00670DEE"/>
    <w:rsid w:val="00680656"/>
    <w:rsid w:val="006927C3"/>
    <w:rsid w:val="006B1119"/>
    <w:rsid w:val="006D3757"/>
    <w:rsid w:val="006D37EB"/>
    <w:rsid w:val="006E3E46"/>
    <w:rsid w:val="006E71B1"/>
    <w:rsid w:val="006F1404"/>
    <w:rsid w:val="0070593B"/>
    <w:rsid w:val="00705D89"/>
    <w:rsid w:val="00731A42"/>
    <w:rsid w:val="00755487"/>
    <w:rsid w:val="00757C88"/>
    <w:rsid w:val="00767E69"/>
    <w:rsid w:val="0077079A"/>
    <w:rsid w:val="007710C4"/>
    <w:rsid w:val="00771504"/>
    <w:rsid w:val="0079767B"/>
    <w:rsid w:val="007A5599"/>
    <w:rsid w:val="007C22A8"/>
    <w:rsid w:val="0084128A"/>
    <w:rsid w:val="00847002"/>
    <w:rsid w:val="00856233"/>
    <w:rsid w:val="00860F27"/>
    <w:rsid w:val="008A1560"/>
    <w:rsid w:val="008B0560"/>
    <w:rsid w:val="008B2BFA"/>
    <w:rsid w:val="008D31F4"/>
    <w:rsid w:val="008E6A3F"/>
    <w:rsid w:val="008E6FEB"/>
    <w:rsid w:val="00912990"/>
    <w:rsid w:val="00923557"/>
    <w:rsid w:val="00925D2E"/>
    <w:rsid w:val="00936F03"/>
    <w:rsid w:val="00943B69"/>
    <w:rsid w:val="00944CB3"/>
    <w:rsid w:val="0096722F"/>
    <w:rsid w:val="00986624"/>
    <w:rsid w:val="009B09D7"/>
    <w:rsid w:val="009D35ED"/>
    <w:rsid w:val="009D42EF"/>
    <w:rsid w:val="009D6B96"/>
    <w:rsid w:val="009E4D61"/>
    <w:rsid w:val="009E54EB"/>
    <w:rsid w:val="009F5AD0"/>
    <w:rsid w:val="00A03CB6"/>
    <w:rsid w:val="00A1364C"/>
    <w:rsid w:val="00A21076"/>
    <w:rsid w:val="00A31BA8"/>
    <w:rsid w:val="00A3739A"/>
    <w:rsid w:val="00A43337"/>
    <w:rsid w:val="00A52DAF"/>
    <w:rsid w:val="00A84072"/>
    <w:rsid w:val="00AE5A8C"/>
    <w:rsid w:val="00B16570"/>
    <w:rsid w:val="00B16989"/>
    <w:rsid w:val="00B23B03"/>
    <w:rsid w:val="00B43EB7"/>
    <w:rsid w:val="00B53320"/>
    <w:rsid w:val="00B614C4"/>
    <w:rsid w:val="00B712F3"/>
    <w:rsid w:val="00B91C43"/>
    <w:rsid w:val="00BC6522"/>
    <w:rsid w:val="00BE1FFE"/>
    <w:rsid w:val="00C121D5"/>
    <w:rsid w:val="00C13AFF"/>
    <w:rsid w:val="00C17349"/>
    <w:rsid w:val="00C323A4"/>
    <w:rsid w:val="00C351AA"/>
    <w:rsid w:val="00C43CF0"/>
    <w:rsid w:val="00C70852"/>
    <w:rsid w:val="00C7253F"/>
    <w:rsid w:val="00C747A1"/>
    <w:rsid w:val="00C829C3"/>
    <w:rsid w:val="00C90707"/>
    <w:rsid w:val="00C90C70"/>
    <w:rsid w:val="00CE1D1C"/>
    <w:rsid w:val="00CF4A2B"/>
    <w:rsid w:val="00D26A05"/>
    <w:rsid w:val="00D9309B"/>
    <w:rsid w:val="00D97B98"/>
    <w:rsid w:val="00DB0D94"/>
    <w:rsid w:val="00DC671F"/>
    <w:rsid w:val="00DE4DA7"/>
    <w:rsid w:val="00E02C13"/>
    <w:rsid w:val="00E32CF0"/>
    <w:rsid w:val="00E33B38"/>
    <w:rsid w:val="00E442A1"/>
    <w:rsid w:val="00E47FE5"/>
    <w:rsid w:val="00E54AE2"/>
    <w:rsid w:val="00E55247"/>
    <w:rsid w:val="00E574AF"/>
    <w:rsid w:val="00E73B33"/>
    <w:rsid w:val="00E90A60"/>
    <w:rsid w:val="00EA7E67"/>
    <w:rsid w:val="00F24E6D"/>
    <w:rsid w:val="00F379B8"/>
    <w:rsid w:val="00F54537"/>
    <w:rsid w:val="00F553BD"/>
    <w:rsid w:val="00F714DA"/>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0A481"/>
  <w15:docId w15:val="{0E13F7D1-5832-49A0-87F2-1F929E687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B6644"/>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117C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925D2E"/>
    <w:rPr>
      <w:color w:val="0000FF"/>
      <w:u w:val="single"/>
    </w:rPr>
  </w:style>
  <w:style w:type="character" w:styleId="af7">
    <w:name w:val="FollowedHyperlink"/>
    <w:basedOn w:val="a0"/>
    <w:uiPriority w:val="99"/>
    <w:semiHidden/>
    <w:unhideWhenUsed/>
    <w:rsid w:val="00925D2E"/>
    <w:rPr>
      <w:color w:val="0000FF"/>
      <w:u w:val="single"/>
    </w:rPr>
  </w:style>
  <w:style w:type="character" w:styleId="af8">
    <w:name w:val="Unresolved Mention"/>
    <w:basedOn w:val="a0"/>
    <w:uiPriority w:val="99"/>
    <w:semiHidden/>
    <w:unhideWhenUsed/>
    <w:rsid w:val="00925D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zh/CCPR/C/MDA/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0</TotalTime>
  <Pages>13</Pages>
  <Words>6344</Words>
  <Characters>6726</Characters>
  <Application>Microsoft Office Word</Application>
  <DocSecurity>0</DocSecurity>
  <Lines>240</Lines>
  <Paragraphs>169</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12901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CCPR/C/MDA/CO/4</dc:title>
  <dc:subject>2604030</dc:subject>
  <dc:creator>Xiaoling</dc:creator>
  <cp:keywords/>
  <dc:description/>
  <cp:lastModifiedBy>Xiangli Ferschin-Ji</cp:lastModifiedBy>
  <cp:revision>2</cp:revision>
  <cp:lastPrinted>2014-05-09T11:28:00Z</cp:lastPrinted>
  <dcterms:created xsi:type="dcterms:W3CDTF">2026-05-22T12:19:00Z</dcterms:created>
  <dcterms:modified xsi:type="dcterms:W3CDTF">2026-05-22T12:19:00Z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be99ee7f6ddddacf799af5453d363ec80b6692d196facc3978f85816e651a5b0</vt:lpwstr>
  </property>
</Properties>
</file>