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5F8BA4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FCCB9A" w14:textId="77777777" w:rsidR="002D5AAC" w:rsidRDefault="002D5AAC" w:rsidP="00A012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71BCBC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066773A" w14:textId="3E949730" w:rsidR="002D5AAC" w:rsidRDefault="00A01233" w:rsidP="00A01233">
            <w:pPr>
              <w:jc w:val="right"/>
            </w:pPr>
            <w:r w:rsidRPr="00A01233">
              <w:rPr>
                <w:sz w:val="40"/>
              </w:rPr>
              <w:t>CRC</w:t>
            </w:r>
            <w:r>
              <w:t>/C/ZMB/CO/5-7</w:t>
            </w:r>
          </w:p>
        </w:tc>
      </w:tr>
      <w:tr w:rsidR="002D5AAC" w:rsidRPr="000B68CB" w14:paraId="7E4C3AB9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0FC15D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202046" wp14:editId="3782E6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79D8C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234E38A" w14:textId="77777777" w:rsidR="002D5AAC" w:rsidRDefault="00A0123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5A6910A" w14:textId="5A32DA28" w:rsidR="00A01233" w:rsidRDefault="00A01233" w:rsidP="00A012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6571E6">
              <w:rPr>
                <w:lang w:val="en-US"/>
              </w:rPr>
              <w:t>7</w:t>
            </w:r>
            <w:r>
              <w:rPr>
                <w:lang w:val="en-US"/>
              </w:rPr>
              <w:t xml:space="preserve"> June 2022</w:t>
            </w:r>
          </w:p>
          <w:p w14:paraId="138B6FFE" w14:textId="77777777" w:rsidR="00A01233" w:rsidRDefault="00A01233" w:rsidP="00A012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7D91B9" w14:textId="201EF3BE" w:rsidR="00A01233" w:rsidRPr="00B937DF" w:rsidRDefault="00A01233" w:rsidP="00A012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5D48D4" w14:textId="77777777" w:rsidR="00A01233" w:rsidRPr="00A01233" w:rsidRDefault="00A01233" w:rsidP="00A01233">
      <w:pPr>
        <w:spacing w:before="120"/>
        <w:rPr>
          <w:b/>
          <w:sz w:val="24"/>
          <w:szCs w:val="24"/>
        </w:rPr>
      </w:pPr>
      <w:r w:rsidRPr="00A01233">
        <w:rPr>
          <w:b/>
          <w:bCs/>
          <w:sz w:val="24"/>
          <w:szCs w:val="24"/>
        </w:rPr>
        <w:t>Комитет по правам ребенка</w:t>
      </w:r>
    </w:p>
    <w:p w14:paraId="6BBFD89C" w14:textId="77777777" w:rsidR="00A01233" w:rsidRPr="00AF0EB2" w:rsidRDefault="00A01233" w:rsidP="00A0123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пятому–седьмому периодическим докладам Замбии</w:t>
      </w:r>
      <w:r w:rsidRPr="00EE58FB">
        <w:rPr>
          <w:b w:val="0"/>
          <w:sz w:val="20"/>
        </w:rPr>
        <w:footnoteReference w:customMarkFollows="1" w:id="1"/>
        <w:t>*</w:t>
      </w:r>
    </w:p>
    <w:p w14:paraId="39E5D295" w14:textId="122B3655" w:rsidR="00A01233" w:rsidRPr="00AF0EB2" w:rsidRDefault="00A01233" w:rsidP="00A01233">
      <w:pPr>
        <w:pStyle w:val="HChG"/>
      </w:pPr>
      <w:r>
        <w:rPr>
          <w:bCs/>
        </w:rPr>
        <w:tab/>
        <w:t>I.</w:t>
      </w:r>
      <w:r>
        <w:rPr>
          <w:bCs/>
        </w:rPr>
        <w:tab/>
      </w:r>
      <w:r>
        <w:tab/>
      </w:r>
      <w:r>
        <w:rPr>
          <w:bCs/>
        </w:rPr>
        <w:t>Введение</w:t>
      </w:r>
      <w:bookmarkStart w:id="0" w:name="_Toc33611148"/>
      <w:bookmarkStart w:id="1" w:name="_Toc33611273"/>
      <w:bookmarkEnd w:id="0"/>
      <w:bookmarkEnd w:id="1"/>
    </w:p>
    <w:p w14:paraId="40CC65FC" w14:textId="0288B465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szCs w:val="24"/>
        </w:rPr>
      </w:pPr>
      <w:r>
        <w:t>1.</w:t>
      </w:r>
      <w:r>
        <w:tab/>
        <w:t>Комитет рассмотрел объединенные пятый–седьмой периодические доклады Замбии</w:t>
      </w:r>
      <w:r w:rsidRPr="00272684">
        <w:rPr>
          <w:rStyle w:val="aa"/>
        </w:rPr>
        <w:footnoteReference w:id="2"/>
      </w:r>
      <w:r>
        <w:t xml:space="preserve"> на своих 2612-м и 2613-м заседаниях</w:t>
      </w:r>
      <w:r w:rsidR="006571E6" w:rsidRPr="00272684">
        <w:rPr>
          <w:rStyle w:val="aa"/>
        </w:rPr>
        <w:footnoteReference w:id="3"/>
      </w:r>
      <w:r>
        <w:t>, состоявшихся 23 и 24 мая 2022 года, и принял настоящие заключительные замечания на своем 2630-м заседании, состоявшемся 3 июня 2022 года.</w:t>
      </w:r>
    </w:p>
    <w:p w14:paraId="7C7155C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szCs w:val="24"/>
        </w:rPr>
      </w:pPr>
      <w:r>
        <w:t>2.</w:t>
      </w:r>
      <w:r>
        <w:tab/>
        <w:t>Комитет приветствует представление объединенных пятого–седьмого периодических докладов государства-участника в соответствии с упрощенной процедурой представления докладов, что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межведомственной делегацией государства-участника.</w:t>
      </w:r>
    </w:p>
    <w:p w14:paraId="22F590D6" w14:textId="1ED01540" w:rsidR="00A01233" w:rsidRPr="00AF0EB2" w:rsidRDefault="00A01233" w:rsidP="00A01233">
      <w:pPr>
        <w:pStyle w:val="HChG"/>
      </w:pPr>
      <w:r>
        <w:rPr>
          <w:bCs/>
        </w:rPr>
        <w:tab/>
        <w:t>II.</w:t>
      </w:r>
      <w:r>
        <w:tab/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  <w:bookmarkStart w:id="2" w:name="_Toc33611149"/>
      <w:bookmarkStart w:id="3" w:name="_Toc33611274"/>
      <w:bookmarkEnd w:id="2"/>
      <w:bookmarkEnd w:id="3"/>
    </w:p>
    <w:p w14:paraId="41C222DB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>Комитет приветствует прогресс, достигнутый государством-участником в различных областях после его последнего обзора, в том числе принятие Закона 2019 года о психическом здоровье и Закона 2019 года о трудовом кодексе, который регулирует трудоустройство детей в возрасте до 15 лет, разработку в 2016 году национальных стандартов и руководящих принципов для услуг и программ в интересах сирот и уязвимых детей, укрепление Национального форума правосудия в отношении детей, разработку Национальной стратегии правосудия в отношении детей на 2021–2025 годы и другие институциональные и политические меры, касающиеся прав детей.</w:t>
      </w:r>
    </w:p>
    <w:p w14:paraId="4FBFFF7A" w14:textId="4166BEBA" w:rsidR="00A01233" w:rsidRPr="00AF0EB2" w:rsidRDefault="00A01233" w:rsidP="00A01233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 w:rsidR="006571E6">
        <w:rPr>
          <w:bCs/>
          <w:lang w:val="en-US"/>
        </w:rPr>
        <w:t> </w:t>
      </w:r>
      <w:r>
        <w:rPr>
          <w:bCs/>
        </w:rPr>
        <w:t>рекомендации</w:t>
      </w:r>
      <w:bookmarkStart w:id="4" w:name="_Toc33611150"/>
      <w:bookmarkStart w:id="5" w:name="_Toc33611275"/>
      <w:bookmarkEnd w:id="4"/>
      <w:bookmarkEnd w:id="5"/>
    </w:p>
    <w:p w14:paraId="13B8D5F2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областям, положение в которых требует принятия безотлагательных мер: права детей </w:t>
      </w:r>
      <w:r>
        <w:lastRenderedPageBreak/>
        <w:t>и предпринимательский сектор (п. 15), определение понятия «ребенок» (п. 17), сексуальные надругательства и гендерное насилие (п. 24), охрана здоровья и медицинское обслуживание (п. 32), образование, включая профессиональную подготовку и оказание консультативных услуг (п. 38) и отправление правосудия в отношении детей (п. 44).</w:t>
      </w:r>
    </w:p>
    <w:p w14:paraId="34F46A99" w14:textId="3BFF877D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в той мере, в какой они касаются детей.</w:t>
      </w:r>
    </w:p>
    <w:p w14:paraId="1FAA4693" w14:textId="418D89C0" w:rsidR="00A01233" w:rsidRPr="00AF0EB2" w:rsidRDefault="00A01233" w:rsidP="00A01233">
      <w:pPr>
        <w:pStyle w:val="H1G"/>
      </w:pPr>
      <w:r>
        <w:rPr>
          <w:bCs/>
        </w:rPr>
        <w:tab/>
        <w:t>A.</w:t>
      </w:r>
      <w:r>
        <w:tab/>
      </w:r>
      <w:r>
        <w:tab/>
      </w:r>
      <w:r>
        <w:rPr>
          <w:bCs/>
        </w:rPr>
        <w:t>Общие меры по осуществлению (статьи 4, 42 и п. 6 статьи 44)</w:t>
      </w:r>
      <w:bookmarkStart w:id="6" w:name="_Toc33611151"/>
      <w:bookmarkStart w:id="7" w:name="_Toc33611276"/>
      <w:bookmarkStart w:id="8" w:name="_Toc33611153"/>
      <w:bookmarkStart w:id="9" w:name="_Toc33611278"/>
      <w:bookmarkEnd w:id="6"/>
      <w:bookmarkEnd w:id="7"/>
    </w:p>
    <w:p w14:paraId="62624AD2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6FDD36D3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6.</w:t>
      </w:r>
      <w:r>
        <w:tab/>
      </w:r>
      <w:r>
        <w:rPr>
          <w:b/>
          <w:bCs/>
        </w:rPr>
        <w:t>Отмечая, что начат процесс пересмотра Конституции с целью разработки расширенного законопроекта о правах и что законопроект, содержащий кодекс законов о детях, был одобрен кабинетом министров и ожидает принятия парламентом, Комитет рекомендует государству-участнику незамедлительно принять законопроект о кодексе законов о детях и обеспечить адекватный и достаточный объем кадровых, технических и финансовых ресурсов для осуществления всего законодательства, гарантирующего права детей.</w:t>
      </w:r>
    </w:p>
    <w:p w14:paraId="148D2302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bookmarkEnd w:id="8"/>
      <w:bookmarkEnd w:id="9"/>
    </w:p>
    <w:p w14:paraId="0584BC00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отмечает вхождение Департамента по вопросам развития детей в состав Министерства общинного развития и социальных служб, что повышает эффективность реализации Национальной политики в интересах детей от 2015 года и соответствующего плана действий.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502D0F49" w14:textId="6DEA517B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продлить истекший срок действия Национальной политики в отношении детей и соответствующего плана действий;</w:t>
      </w:r>
    </w:p>
    <w:p w14:paraId="6BB041B4" w14:textId="5144C781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разработать и принять национальную стратегию участия детей, предусматривающую процедуры и руководство в отношении участия детей в системах образования, здравоохранения, социальной справедливости и управления;</w:t>
      </w:r>
    </w:p>
    <w:p w14:paraId="63D57C97" w14:textId="56A68863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</w:r>
      <w:r>
        <w:rPr>
          <w:b/>
          <w:bCs/>
        </w:rPr>
        <w:t>выделить отдельной строкой достаточные бюджетные средства для осуществления, мониторинга и оценки политики, стратегий и планов в интересах детей на всех уровнях.</w:t>
      </w:r>
    </w:p>
    <w:p w14:paraId="1019A3C5" w14:textId="77777777" w:rsidR="00A01233" w:rsidRPr="00AF0EB2" w:rsidRDefault="00A01233" w:rsidP="00A01233">
      <w:pPr>
        <w:pStyle w:val="H23G"/>
      </w:pPr>
      <w:bookmarkStart w:id="10" w:name="_Toc33611154"/>
      <w:bookmarkStart w:id="11" w:name="_Toc33611279"/>
      <w:r>
        <w:tab/>
      </w:r>
      <w:r>
        <w:tab/>
      </w:r>
      <w:r>
        <w:rPr>
          <w:bCs/>
        </w:rPr>
        <w:t>Координация</w:t>
      </w:r>
      <w:bookmarkEnd w:id="10"/>
      <w:bookmarkEnd w:id="11"/>
    </w:p>
    <w:p w14:paraId="42AC7A28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8.</w:t>
      </w:r>
      <w:r>
        <w:tab/>
      </w:r>
      <w:r>
        <w:rPr>
          <w:b/>
          <w:bCs/>
        </w:rPr>
        <w:t>Отмечая, что государство-участник учредило Национальный координационный комитет по делам детей и окружные комитеты по защите детей, которым поручена эффективная координация программ и проектов в интересах детей, Комитет, тем не менее, рекомендует государству-участнику предоставить Национальному координационному комитету по делам детей и окружным комитетам по защите детей необходимые кадровые, технические и финансовые ресурсы для координации всей деятельности, связанной с осуществлением Конвенции на межсекторальном, национальном и районном уровнях.</w:t>
      </w:r>
    </w:p>
    <w:p w14:paraId="6DD73635" w14:textId="77777777" w:rsidR="00A01233" w:rsidRPr="00AF0EB2" w:rsidRDefault="00A01233" w:rsidP="00A01233">
      <w:pPr>
        <w:pStyle w:val="H23G"/>
        <w:ind w:left="0" w:firstLine="0"/>
      </w:pPr>
      <w:r>
        <w:lastRenderedPageBreak/>
        <w:tab/>
      </w:r>
      <w:r>
        <w:tab/>
      </w:r>
      <w:r>
        <w:rPr>
          <w:bCs/>
        </w:rPr>
        <w:t>Выделение ресурсов</w:t>
      </w:r>
      <w:bookmarkStart w:id="12" w:name="_Toc33611155"/>
      <w:bookmarkStart w:id="13" w:name="_Toc33611280"/>
      <w:bookmarkEnd w:id="12"/>
      <w:bookmarkEnd w:id="13"/>
    </w:p>
    <w:p w14:paraId="74477BBF" w14:textId="4C0C9286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9.</w:t>
      </w:r>
      <w:r>
        <w:tab/>
      </w:r>
      <w:r>
        <w:rPr>
          <w:b/>
          <w:bCs/>
        </w:rPr>
        <w:t>Приветствуя прогнозируемое увеличение на 34</w:t>
      </w:r>
      <w:r w:rsidR="00DF54B4">
        <w:rPr>
          <w:b/>
          <w:bCs/>
          <w:lang w:val="en-US"/>
        </w:rPr>
        <w:t> </w:t>
      </w:r>
      <w:r>
        <w:rPr>
          <w:b/>
          <w:bCs/>
        </w:rPr>
        <w:t>% бюджетных ассигнований на социальный сектор в 2022 году по сравнению с 2021 годом, Комитет ссылается на свое замечание общего порядка № 19 (2016) о государственных бюджетных ассигнованиях для осуществления прав детей и рекомендует государству-участнику:</w:t>
      </w:r>
    </w:p>
    <w:p w14:paraId="75634F2F" w14:textId="4DCB26B7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провести всеобъемлющую оценку бюджетных потребностей детей и в соответствии со статьей 4 Конвенции выделить достаточный объем бюджетных ресурсов для осуществления прав детей и, в частности, устранить различия по показателям, касающимся прав детей;</w:t>
      </w:r>
    </w:p>
    <w:p w14:paraId="7DE1C790" w14:textId="059911C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убедиться в том, что бюджетные статьи для всех детей, особенно для тех, кто находится в неблагоприятном или уязвимом положении, защищены даже в ситуациях финансового и экономического кризиса, стихийных бедствий, пандемии коронавирусной инфекции (COVID-19) и в других чрезвычайных ситуациях и что регресса не происходит;</w:t>
      </w:r>
    </w:p>
    <w:p w14:paraId="59B1EB81" w14:textId="5C4BA3DB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</w:r>
      <w:r>
        <w:rPr>
          <w:b/>
          <w:bCs/>
        </w:rPr>
        <w:t>укреплять детские форумы, созданные для внесения вклада в разработку планов, их реализацию и отслеживание бюджета.</w:t>
      </w:r>
    </w:p>
    <w:p w14:paraId="19A48803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Сбор данных</w:t>
      </w:r>
      <w:bookmarkStart w:id="14" w:name="_Toc33611156"/>
      <w:bookmarkStart w:id="15" w:name="_Toc33611281"/>
      <w:bookmarkEnd w:id="14"/>
      <w:bookmarkEnd w:id="15"/>
    </w:p>
    <w:p w14:paraId="58028DE4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приветствует принятие в 2018 году Закона о статистике, учреждение Комплексной системы национальной статистики, создание Агентства Замбии по статистике и настройку отраслевых систем управленческой информации.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750A4382" w14:textId="5CD9FAF9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продолжать укреплять систему сбора данных и обеспечивать, чтобы собираемые данные о правах детей охватывали все области Конвенции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 с целью облегчить анализ положения детей, особенно находящихся в уязвимом положении;</w:t>
      </w:r>
    </w:p>
    <w:p w14:paraId="25CCD0B5" w14:textId="317E0A4F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улучшить обеспечение качества отраслевых систем управленческой информации, в том числе содержащих сведения о социальной защите и альтернативном уходе;</w:t>
      </w:r>
    </w:p>
    <w:p w14:paraId="3D6F7A9C" w14:textId="4B5E4919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анализировать и предоставлять политикам и заинтересованным организациям</w:t>
      </w:r>
      <w:r>
        <w:rPr>
          <w:b/>
          <w:bCs/>
        </w:rPr>
        <w:t xml:space="preserve"> данные о правах детей с целью дальнейшего совершенствования мониторинга и законодательства, политики и осуществления прав детей.</w:t>
      </w:r>
    </w:p>
    <w:p w14:paraId="78BF77C1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bookmarkStart w:id="16" w:name="_Toc33611157"/>
      <w:bookmarkStart w:id="17" w:name="_Toc33611282"/>
      <w:bookmarkEnd w:id="16"/>
      <w:bookmarkEnd w:id="17"/>
    </w:p>
    <w:p w14:paraId="64621315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2 (2002) о роли независимых национальных правозащитных учреждений в деле поощрения и защиты прав ребенка, Комитет рекомендует государству-участнику укреплять Комиссию по правам человека Замбии путем предоставления ей достаточного объема кадровых, финансовых и технических ресурсов, с тем чтобы она могла эффективно и независимо выполнять свой мандат, в том числе эффективно получать, расследовать и рассматривать жалобы детей с учетом интересов ребенка и его особенностей.</w:t>
      </w:r>
    </w:p>
    <w:p w14:paraId="21830318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3A1A69D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5C1B54" w14:textId="7B271A19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a)</w:t>
      </w:r>
      <w:r>
        <w:tab/>
      </w:r>
      <w:r>
        <w:rPr>
          <w:b/>
          <w:bCs/>
        </w:rPr>
        <w:t>активизировать систематическое распространение заключительных замечаний Комитета среди широкой общественности и специалистов, работающих с детьми и в их интересах, и обеспечить их выполнение;</w:t>
      </w:r>
    </w:p>
    <w:p w14:paraId="42912967" w14:textId="26211F01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lastRenderedPageBreak/>
        <w:tab/>
        <w:t>b)</w:t>
      </w:r>
      <w:r>
        <w:tab/>
      </w:r>
      <w:r>
        <w:rPr>
          <w:b/>
          <w:bCs/>
        </w:rPr>
        <w:t>обеспечить, чтобы все специалисты, работающие с детьми и в их интересах, в частности сотрудники судебных органов, социальные работники, сотрудники правоохранительных органов, медицинский персонал, учителя, сотрудники, занимающиеся вопросами иммиграции и предоставления убежища, а также специалисты и сотрудники, работающие во всех сферах альтернативного ухода, проходили обязательную подготовку по вопросам прав детей.</w:t>
      </w:r>
    </w:p>
    <w:p w14:paraId="55EE1D9F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AF3485C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систематически вовлекать гражданское общество и организации, работающие с детьми и в их интересах, в разработку, осуществление, мониторинг и оценку политики, планов и программ, касающихся прав детей, а также в подготовку периодических докладов Комитету.</w:t>
      </w:r>
    </w:p>
    <w:p w14:paraId="522BC4F7" w14:textId="77777777" w:rsidR="00A01233" w:rsidRPr="00AF0EB2" w:rsidRDefault="00A01233" w:rsidP="00A01233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743025DF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</w:rPr>
      </w:pPr>
      <w:r>
        <w:t>14.</w:t>
      </w:r>
      <w:r>
        <w:tab/>
        <w:t>Комитет отмечает создание Агентства экологического менеджмента Замбии и требование об обязательном проведении оценки воздействия на окружающую среду до начала любой предпринимательской деятельности, которая может оказать влияние на окружающую среду. Вместе с тем Комитет по-прежнему серьезно обеспокоен:</w:t>
      </w:r>
    </w:p>
    <w:p w14:paraId="7629DCA9" w14:textId="5FAF2ED2" w:rsidR="00A01233" w:rsidRPr="00AF0EB2" w:rsidRDefault="00A01233" w:rsidP="00A01233">
      <w:pPr>
        <w:pStyle w:val="SingleTxtG"/>
      </w:pPr>
      <w:r>
        <w:tab/>
        <w:t>a)</w:t>
      </w:r>
      <w:r>
        <w:tab/>
        <w:t>тем фактом, что комплексные и обновленные оценки воздействия на окружающую среду нерегулярно представляются в Агентство экологического менеджмента Замбии;</w:t>
      </w:r>
    </w:p>
    <w:p w14:paraId="3F033AF4" w14:textId="5EA416BD" w:rsidR="00A01233" w:rsidRPr="00AF0EB2" w:rsidRDefault="00A01233" w:rsidP="00A01233">
      <w:pPr>
        <w:pStyle w:val="SingleTxtG"/>
      </w:pPr>
      <w:r>
        <w:tab/>
        <w:t>b)</w:t>
      </w:r>
      <w:r>
        <w:tab/>
        <w:t>постоянным воздействием на детей в Кабве высокого содержания свинца в почве и пыли вокруг бывшего рудника и в отходах горнодобывающей промышленности, а также задержками в реализации финансируемого Всемирным банком проекта по очистке загрязненных свинцом кварталов;</w:t>
      </w:r>
    </w:p>
    <w:p w14:paraId="79F96A58" w14:textId="1BC54E41" w:rsidR="00A01233" w:rsidRPr="00AF0EB2" w:rsidRDefault="00A01233" w:rsidP="00A01233">
      <w:pPr>
        <w:pStyle w:val="SingleTxtG"/>
      </w:pPr>
      <w:r>
        <w:tab/>
        <w:t>c)</w:t>
      </w:r>
      <w:r>
        <w:tab/>
        <w:t>кустарной добычей полезных ископаемых на бывшей шахте в Кабве, что создает повышенный риск воздействия свинца, и наличием нескольких нелицензированных, незаконных горнодобывающих предприятий;</w:t>
      </w:r>
    </w:p>
    <w:p w14:paraId="7071ABA6" w14:textId="7B57C942" w:rsidR="00A01233" w:rsidRPr="00AF0EB2" w:rsidRDefault="00A01233" w:rsidP="00A01233">
      <w:pPr>
        <w:pStyle w:val="SingleTxtG"/>
      </w:pPr>
      <w:r>
        <w:tab/>
        <w:t>d)</w:t>
      </w:r>
      <w:r>
        <w:tab/>
        <w:t>последствиями добычи полезных ископаемых в Китве и других провинциях, а также активизацией горнодобывающей деятельности в отсутствие как всеобъемлющей и эффективной правовой и нормативной базы, так и системы соблюдения для предотвращения и пресечения нарушений прав человека;</w:t>
      </w:r>
    </w:p>
    <w:p w14:paraId="53D2FEE8" w14:textId="71D0EB46" w:rsidR="00A01233" w:rsidRPr="00AF0EB2" w:rsidRDefault="00A01233" w:rsidP="00A01233">
      <w:pPr>
        <w:pStyle w:val="SingleTxtG"/>
      </w:pPr>
      <w:r>
        <w:tab/>
        <w:t>e)</w:t>
      </w:r>
      <w:r>
        <w:tab/>
        <w:t>тем фактом, что запрос на посещение страны со стороны Специального докладчика по вопросу о последствиях для прав человека экологически обоснованного регулирования и удаления опасных веществ и отходов ожидает удовлетворения с 2008 года.</w:t>
      </w:r>
    </w:p>
    <w:p w14:paraId="6089F102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15.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Руководящие принципы предпринимательской деятельности в аспекте прав человека, одобренные Советом по правам человека в 2011 году, Комитет напоминает о своих предыдущих заключительных замечаниях</w:t>
      </w:r>
      <w:r w:rsidRPr="00272684">
        <w:rPr>
          <w:rStyle w:val="aa"/>
        </w:rPr>
        <w:footnoteReference w:id="4"/>
      </w:r>
      <w:r>
        <w:rPr>
          <w:b/>
          <w:bCs/>
        </w:rPr>
        <w:t xml:space="preserve"> и настоятельно призывает государство-участник:</w:t>
      </w:r>
    </w:p>
    <w:p w14:paraId="26EFB4B1" w14:textId="76DED7D5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оперативно выполнить рекомендации, которые оно поддержало в ходе третьего цикла универсального периодического обзора, разработать национальный план действий в области предпринимательской деятельности и прав человека и осуществлять его вместе с Руководящими принципами предпринимательской деятельности в аспекте прав человека;</w:t>
      </w:r>
    </w:p>
    <w:p w14:paraId="54F3B168" w14:textId="5E0B0CE0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</w:r>
      <w:r>
        <w:rPr>
          <w:b/>
          <w:bCs/>
        </w:rPr>
        <w:t xml:space="preserve">принимать дополнительные меры по защите прав человека и окружающей среды в районах добычи полезных ископаемых и создать нормативно-правовую базу для горнодобывающих компаний, присутствующих </w:t>
      </w:r>
      <w:r>
        <w:rPr>
          <w:b/>
          <w:bCs/>
        </w:rPr>
        <w:lastRenderedPageBreak/>
        <w:t>на территории страны, с тем чтобы их деятельность не наносила вреда окружающей среде;</w:t>
      </w:r>
    </w:p>
    <w:p w14:paraId="23E9CB15" w14:textId="68F9C903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c)</w:t>
      </w:r>
      <w:r w:rsidRPr="00A01233">
        <w:rPr>
          <w:b/>
          <w:bCs/>
        </w:rPr>
        <w:tab/>
        <w:t>разработать и безотлагательно реализовать устойчивую комплексную программу по удалению свинца, особенно из всех загрязненных школ, игровых площадок, медицинских центров и других общественных мест, включая локализацию и удаление отходов горнодобывающей промышленности, проводить регулярный мониторинг уровня свинца в почве и воздухе в Кабве и принять меры для обеспечения того, чтобы дети, получающие лечение, не возвращались в загрязненные районы;</w:t>
      </w:r>
    </w:p>
    <w:p w14:paraId="5B20B879" w14:textId="51A1578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обеспечить, чтобы кустарные горнодобывающие предприятия, включая все частные предприятия по переработке минерального сырья, тщательно проверялись, лицензировались и регулярно контролировались правительством на предмет соблюдения национальных законов и нормативно-правовых актов, уважения прав человека и воздействия на окружающую среду, в том числе путем проведения оценок экологического и социального воздействия;</w:t>
      </w:r>
    </w:p>
    <w:p w14:paraId="1151DD9D" w14:textId="35A87F6F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использовать оценку воздействия на окружающую среду для определения безопасного доступа к шлакоотвалу «Блэк маунтин» в Китве и ввести превентивные и нормативные меры, а также меры по соблюдению для предотвращения загрязнения воздуха, воды, почвы и растительности и для обеспечения безопасности работников и жителей, подвергающихся воздействию добычи полезных ископаемых;</w:t>
      </w:r>
    </w:p>
    <w:p w14:paraId="0CAF99D8" w14:textId="7A71BD3E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сотрудничать со специальными процедурами Совета по правам человека, в частности в отношении ожидающего удовлетворения запроса на посещение страны со стороны Специального докладчика по вопросу о последствиях для прав человека экологически обоснованного регулирования и удаления опасных веществ и отходов;</w:t>
      </w:r>
    </w:p>
    <w:p w14:paraId="47ADA3B9" w14:textId="1CDB4475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g)</w:t>
      </w:r>
      <w:r w:rsidRPr="00A01233">
        <w:rPr>
          <w:b/>
          <w:bCs/>
        </w:rPr>
        <w:tab/>
        <w:t>обеспечивать, чтобы отдельные лица и сообщества во всех горнодобывающих районах имели эффективные механизмы подачи жалоб и способы обращения за помощью к правительству, в том числе путем увеличения финансирования Комиссии по правам человека Замбии для укрепления ее деятельности во всех провинциях;</w:t>
      </w:r>
    </w:p>
    <w:p w14:paraId="6B6EC925" w14:textId="68CB004D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h)</w:t>
      </w:r>
      <w:r>
        <w:tab/>
      </w:r>
      <w:r>
        <w:rPr>
          <w:b/>
          <w:bCs/>
        </w:rPr>
        <w:t xml:space="preserve">назначить ведущее правительственное ведомство для повышения корпоративной социальной ответственности в Замбии и рассмотреть возможность введения мер для обеспечения того, чтобы доходы корпораций, получаемые от горнодобывающего сектора, способствовали реализации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в том числе путем распределения прибыли и эффективного налогообложения;</w:t>
      </w:r>
    </w:p>
    <w:p w14:paraId="14278196" w14:textId="3B993053" w:rsidR="00A01233" w:rsidRPr="00AF0EB2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i)</w:t>
      </w:r>
      <w:r w:rsidRPr="00A01233">
        <w:rPr>
          <w:b/>
          <w:bCs/>
        </w:rPr>
        <w:tab/>
      </w:r>
      <w:r>
        <w:rPr>
          <w:b/>
          <w:bCs/>
        </w:rPr>
        <w:t>обратиться к страновой группе Организации Объединенных Наций за консультативной и технической помощью для выполнения этих рекомендаций путем разработки и реализации комплексной совместной программы или проекта в партнерстве с правительством и другими заинтересованными сторонами, такими как Всемирный банк.</w:t>
      </w:r>
    </w:p>
    <w:p w14:paraId="4AA315C2" w14:textId="7EDFB412" w:rsidR="00A01233" w:rsidRPr="00AF0EB2" w:rsidRDefault="00A01233" w:rsidP="00A01233">
      <w:pPr>
        <w:pStyle w:val="H1G"/>
      </w:pPr>
      <w:r>
        <w:rPr>
          <w:bCs/>
        </w:rPr>
        <w:tab/>
        <w:t>B.</w:t>
      </w:r>
      <w:r>
        <w:rPr>
          <w:bCs/>
        </w:rPr>
        <w:tab/>
      </w:r>
      <w:r>
        <w:tab/>
      </w:r>
      <w:r>
        <w:rPr>
          <w:bCs/>
        </w:rPr>
        <w:t>Определение понятия «ребенок» (статья 1)</w:t>
      </w:r>
      <w:bookmarkStart w:id="18" w:name="_Toc33611161"/>
      <w:bookmarkStart w:id="19" w:name="_Toc33611286"/>
      <w:bookmarkEnd w:id="18"/>
      <w:bookmarkEnd w:id="19"/>
    </w:p>
    <w:p w14:paraId="6D868B24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16.</w:t>
      </w:r>
      <w:r>
        <w:tab/>
        <w:t>Комитет по-прежнему серьезно обеспокоен тем, что в Закон о браке, который предусматривает исключения, позволяющие вступать в брак лицам моложе 18 лет, и признает существование брака по обычному праву по достижении ребенком половой зрелости, до сих пор не внесены поправки.</w:t>
      </w:r>
    </w:p>
    <w:p w14:paraId="5D94D1D9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17.</w:t>
      </w:r>
      <w:r>
        <w:tab/>
      </w:r>
      <w:r>
        <w:rPr>
          <w:b/>
          <w:bCs/>
        </w:rPr>
        <w:t>Комитет настоятельно призывает государство-участник обеспечить внесение в Закон о браке поправок в соответствии с положениями Конституции и отменить все исключения, позволяющие вступать в брак лицам моложе 18 лет, в том числе в соответствии с нормами обычного права.</w:t>
      </w:r>
    </w:p>
    <w:p w14:paraId="31434FB8" w14:textId="670C0129" w:rsidR="00A01233" w:rsidRPr="00AF0EB2" w:rsidRDefault="00A01233" w:rsidP="00A01233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tab/>
      </w:r>
      <w:r>
        <w:rPr>
          <w:bCs/>
        </w:rPr>
        <w:t>Общие принципы (статьи 2–3, 6 и 12)</w:t>
      </w:r>
      <w:bookmarkStart w:id="20" w:name="_Toc33611162"/>
      <w:bookmarkStart w:id="21" w:name="_Toc33611287"/>
      <w:bookmarkEnd w:id="20"/>
      <w:bookmarkEnd w:id="21"/>
    </w:p>
    <w:p w14:paraId="7E56102B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bookmarkStart w:id="22" w:name="_Toc33611163"/>
      <w:bookmarkStart w:id="23" w:name="_Toc33611288"/>
      <w:bookmarkEnd w:id="22"/>
      <w:bookmarkEnd w:id="23"/>
    </w:p>
    <w:p w14:paraId="46B74904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</w:r>
      <w:r>
        <w:rPr>
          <w:b/>
          <w:bCs/>
        </w:rPr>
        <w:t>Комитет ссылается на свои предыдущие заключительные замечания</w:t>
      </w:r>
      <w:r w:rsidRPr="00272684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государству-участнику:</w:t>
      </w:r>
    </w:p>
    <w:p w14:paraId="007900FD" w14:textId="52956E04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активизировать усилия по ликвидации дискриминации в отношении детей, находящихся в маргинализированном и неблагоприятном положении, включая девочек, детей с инвалидностью, детей, инфицированных ВИЧ/СПИДом, детей, не имеющих правосубъектности, детей с альбинизмом, детей-мигрантов и несопровождаемых детей, а также детей из числа лесбиянок, геев, бисексуалов, трансгендеров и интерсексов;</w:t>
      </w:r>
    </w:p>
    <w:p w14:paraId="3D2797EB" w14:textId="49AA6D6A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систематически проводить информационно-просветительскую и образовательную</w:t>
      </w:r>
      <w:r>
        <w:rPr>
          <w:b/>
          <w:bCs/>
        </w:rPr>
        <w:t xml:space="preserve"> работу по вопросам дискриминации, нетерпимости и языка ненависти в отношении детей, находящихся в маргинализированном и неблагоприятном положении, особенно детей из числа лесбиянок, геев, бисексуалов, трансгендеров и интерсексов.</w:t>
      </w:r>
    </w:p>
    <w:p w14:paraId="32FBDA14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  <w:bookmarkStart w:id="24" w:name="_Toc33611164"/>
      <w:bookmarkStart w:id="25" w:name="_Toc33611289"/>
      <w:bookmarkEnd w:id="24"/>
      <w:bookmarkEnd w:id="25"/>
    </w:p>
    <w:p w14:paraId="02EA100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приветствует разработку в 2018 году руководящих принципов в отношении определения наилучших интересов для создания стандартизированной процедуры работы с детьми, находящимися в уязвимом положении.</w:t>
      </w:r>
      <w:r>
        <w:t xml:space="preserve"> </w:t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687693F1" w14:textId="2A344CCF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обеспечить включение принципа наилучшего обеспечения интересов ребенка в законодательство, которое имеет отношение к детям и оказывает на них влияние;</w:t>
      </w:r>
    </w:p>
    <w:p w14:paraId="281680DC" w14:textId="337357C0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последовательно применять руководящие принципы в отношении определения наилучших интересов в рамках всех законодательных, административных и судебных процедур и всех решений, касающихся детей, в том числе в спорах об опеке и процедурах наследования, а также во всех стратегиях, программах и проектах, имеющих отношение к детям и оказывающих на них влияние;</w:t>
      </w:r>
    </w:p>
    <w:p w14:paraId="025A4F84" w14:textId="6AFA1D37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предоставлять всем соответствующим специалистам систематическую</w:t>
      </w:r>
      <w:r>
        <w:rPr>
          <w:b/>
          <w:bCs/>
        </w:rPr>
        <w:t xml:space="preserve"> подготовку и руководство для оценки и определения наилучших интересов ребенка в любой области и уделять этому принципу должное внимание как одному из первоочередных соображений.</w:t>
      </w:r>
    </w:p>
    <w:p w14:paraId="5DA93B64" w14:textId="77777777" w:rsidR="00A01233" w:rsidRPr="00AF0EB2" w:rsidRDefault="00A01233" w:rsidP="00A01233">
      <w:pPr>
        <w:pStyle w:val="H23G"/>
        <w:rPr>
          <w:bCs/>
        </w:rPr>
      </w:pPr>
      <w:bookmarkStart w:id="26" w:name="_Toc33611165"/>
      <w:bookmarkStart w:id="27" w:name="_Toc33611290"/>
      <w:r>
        <w:tab/>
      </w:r>
      <w:r>
        <w:tab/>
      </w:r>
      <w:r>
        <w:rPr>
          <w:bCs/>
        </w:rPr>
        <w:t>Уважение взглядов ребенка</w:t>
      </w:r>
      <w:bookmarkEnd w:id="26"/>
      <w:bookmarkEnd w:id="27"/>
    </w:p>
    <w:p w14:paraId="40584D43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с удовлетворением отмечает укрепление в 2018 году Национального форума правосудия в отношении детей и включение положения об учете участия детей через оперативные процедуры в окончательный проект кодекса законов о детях.</w:t>
      </w:r>
      <w:r>
        <w:t xml:space="preserve"> </w:t>
      </w:r>
      <w:r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14:paraId="1698DD55" w14:textId="183FB73A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учредить Молодежный парламент и обеспечить наделение его реальными полномочиями и достаточным объемом кадровых, технических и финансовых ресурсов для содействия эффективному участию детей в национальных законодательных процессах по затрагивающим их вопросам;</w:t>
      </w:r>
    </w:p>
    <w:p w14:paraId="016FBF21" w14:textId="5F64E371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обеспечить, чтобы в законопроекте о кодексе законов о детях были закреплены положения об участии детей во всех ситуациях и решениях, касающихся детей, особенно в судебных и административных процедурах, в </w:t>
      </w:r>
      <w:r>
        <w:rPr>
          <w:b/>
          <w:bCs/>
        </w:rPr>
        <w:lastRenderedPageBreak/>
        <w:t>школах, в общинах и дома, а также по таким проблемам, как детские браки, сексуальное и репродуктивное здоровье и экологические вопросы;</w:t>
      </w:r>
    </w:p>
    <w:p w14:paraId="3703FFC6" w14:textId="3C7648CF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c)</w:t>
      </w:r>
      <w:r w:rsidRPr="00A01233">
        <w:rPr>
          <w:b/>
          <w:bCs/>
        </w:rPr>
        <w:tab/>
        <w:t>предусмотреть участие детей в качестве обязательства для всех государственных и негосударственных субъектов, которые непосредственно взаимодействуют с детьми, в их уставах и политике;</w:t>
      </w:r>
    </w:p>
    <w:p w14:paraId="2F781DE8" w14:textId="20D3F01D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усилить меры по обеспечению систематического прохождения специалистами</w:t>
      </w:r>
      <w:r>
        <w:rPr>
          <w:b/>
          <w:bCs/>
        </w:rPr>
        <w:t>, работающими с детьми и в их интересах, надлежащей подготовки по вопросам заслушивания и учета мнений детей при принятии всех затрагивающих их решений.</w:t>
      </w:r>
    </w:p>
    <w:p w14:paraId="2E201D75" w14:textId="7DAF43E0" w:rsidR="00A01233" w:rsidRPr="00AF0EB2" w:rsidRDefault="00A01233" w:rsidP="00A01233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Гражданские права и свободы (статьи 7</w:t>
      </w:r>
      <w:r>
        <w:t xml:space="preserve">–8 </w:t>
      </w:r>
      <w:r>
        <w:rPr>
          <w:bCs/>
        </w:rPr>
        <w:t>и 13–17)</w:t>
      </w:r>
      <w:bookmarkStart w:id="28" w:name="_Toc33611166"/>
      <w:bookmarkStart w:id="29" w:name="_Toc33611291"/>
      <w:bookmarkEnd w:id="28"/>
      <w:bookmarkEnd w:id="29"/>
    </w:p>
    <w:p w14:paraId="2116D29E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039ACB52" w14:textId="3F675573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приветствует прогресс, достигнутый в деле развертывания системы выдачи свидетельств о рождении в администрациях всех 10 провинций, регистрации рождений в больницах и развития новой системы регистрации актов гражданского состояния от рождения до смерти с помощью Комплексной национальной системы регистрации и информации.</w:t>
      </w:r>
      <w:r>
        <w:t xml:space="preserve"> </w:t>
      </w:r>
      <w:r>
        <w:rPr>
          <w:b/>
          <w:bCs/>
        </w:rPr>
        <w:t xml:space="preserve">Принимая во внимание задачу 16.9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6476CD0C" w14:textId="47CBE32F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 xml:space="preserve">укрепить и ускорить развертывание Комплексной национальной системы регистрации и информации и рассмотреть возможность ее объединения с системой управления информацией «СмартКэар» в Министерстве здравоохранения; </w:t>
      </w:r>
    </w:p>
    <w:p w14:paraId="3CA53168" w14:textId="73D750D2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обеспечить широкую доступность стоек регистрации рождений в медицинских учреждениях по всей стране и постоянное наличие на них бланков уведомлений о рождении, а также рассмотреть возможность перевода системы уведомления о рождении в цифровой формат на уровне медицинских учреждений для обеспечения единой процедуры уведомления о рождении для целей здравоохранения и записи актов гражданского состояния;</w:t>
      </w:r>
    </w:p>
    <w:p w14:paraId="286539C6" w14:textId="264484D2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обеспечить устойчивое финансирование регистрации рождений, чтобы она меньше зависела от донорского финансирования;</w:t>
      </w:r>
    </w:p>
    <w:p w14:paraId="4E663659" w14:textId="2DA841EF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пересмотреть законодательство о предупреждении и пресечении безгражданства</w:t>
      </w:r>
      <w:r>
        <w:rPr>
          <w:b/>
          <w:bCs/>
        </w:rPr>
        <w:t>, а также рассмотреть возможность ратификации Конвенции 1961 года о сокращении безгражданства.</w:t>
      </w:r>
    </w:p>
    <w:p w14:paraId="423FD0DE" w14:textId="0F9C4F1C" w:rsidR="00A01233" w:rsidRPr="00AF0EB2" w:rsidRDefault="00A01233" w:rsidP="00A01233">
      <w:pPr>
        <w:pStyle w:val="H1G"/>
      </w:pPr>
      <w:r>
        <w:rPr>
          <w:bCs/>
        </w:rPr>
        <w:tab/>
        <w:t>E.</w:t>
      </w:r>
      <w:r>
        <w:tab/>
      </w:r>
      <w:r>
        <w:tab/>
      </w:r>
      <w:r>
        <w:rPr>
          <w:bCs/>
        </w:rPr>
        <w:t>Насилие в отношении детей (статья 19, п. 3 статьи 24, п. 2 статьи</w:t>
      </w:r>
      <w:r w:rsidR="008F3276">
        <w:rPr>
          <w:bCs/>
        </w:rPr>
        <w:t> </w:t>
      </w:r>
      <w:r>
        <w:rPr>
          <w:bCs/>
        </w:rPr>
        <w:t>28, статья 34, п. a) статьи 37 и статья 39)</w:t>
      </w:r>
      <w:bookmarkStart w:id="30" w:name="_Toc33611169"/>
      <w:bookmarkStart w:id="31" w:name="_Toc33611294"/>
      <w:bookmarkEnd w:id="30"/>
      <w:bookmarkEnd w:id="31"/>
    </w:p>
    <w:p w14:paraId="253CBB01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25DECD7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напоминает о своей предыдущей рекомендации</w:t>
      </w:r>
      <w:r w:rsidRPr="00272684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</w:p>
    <w:p w14:paraId="6F7DE9C2" w14:textId="42F1CFE8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прямо запретить законом все формы насилия в отношении детей, включая телесные наказания, в любых ситуациях, в том числе в семье, с помощью законопроекта о кодексе законов о детях и отменить право на применение законных наказаний в Законе о несовершеннолетних;</w:t>
      </w:r>
    </w:p>
    <w:p w14:paraId="4C7D9DE7" w14:textId="51C1D6E4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>
        <w:tab/>
      </w:r>
      <w:r>
        <w:rPr>
          <w:b/>
          <w:bCs/>
        </w:rPr>
        <w:t>поощрять позитивные, ненасильственные и основанные на участии детей формы воспитания и поддержания дисциплины;</w:t>
      </w:r>
    </w:p>
    <w:p w14:paraId="0A1F8C73" w14:textId="145DB9FA" w:rsidR="00A01233" w:rsidRPr="00AF0EB2" w:rsidRDefault="00A01233" w:rsidP="00A01233">
      <w:pPr>
        <w:pStyle w:val="SingleTxtG"/>
        <w:rPr>
          <w:b/>
          <w:bCs/>
        </w:rPr>
      </w:pPr>
      <w:r>
        <w:lastRenderedPageBreak/>
        <w:tab/>
      </w:r>
      <w:r w:rsidRPr="00A01233">
        <w:rPr>
          <w:b/>
          <w:bCs/>
        </w:rPr>
        <w:t>c)</w:t>
      </w:r>
      <w:r w:rsidRPr="00A01233">
        <w:rPr>
          <w:b/>
          <w:bCs/>
        </w:rPr>
        <w:tab/>
      </w:r>
      <w:r>
        <w:rPr>
          <w:b/>
          <w:bCs/>
        </w:rPr>
        <w:t>проводить информационно-просветительские кампании и программы воспитательной работы для родителей и специалистов, работающих с детьми и в их интересах, в целях содействия изменению отношения к телесным наказаниям в семье и на общинном уровне.</w:t>
      </w:r>
    </w:p>
    <w:p w14:paraId="775BCFF8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Насилие, включая сексуальные надругательства и гендерное насилие</w:t>
      </w:r>
    </w:p>
    <w:p w14:paraId="18466624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23.</w:t>
      </w:r>
      <w:r>
        <w:tab/>
        <w:t>Комитет приветствует разработку Национального плана по предупреждению насилия в отношении детей и реагированию на него на 2021–2025 годы и отмечает запланированное расширение системы ускоренного судопроизводства для рассмотрения дел о сексуальном и гендерном насилии в отношении детей, внедрение нового бланка медицинского освидетельствования в полиции для сообщения о случаях гендерного насилия и создание специализированных секций в Группе поддержки жертв для решения вопросов домашнего насилия, сексуальных надругательств и защиты детей. Тем не менее Комитет по-прежнему серьезно обеспокоен:</w:t>
      </w:r>
    </w:p>
    <w:p w14:paraId="5FC92F18" w14:textId="6AB47ACB" w:rsidR="00A01233" w:rsidRPr="00AF0EB2" w:rsidRDefault="00A01233" w:rsidP="00A01233">
      <w:pPr>
        <w:pStyle w:val="SingleTxtG"/>
      </w:pPr>
      <w:r>
        <w:tab/>
        <w:t>a)</w:t>
      </w:r>
      <w:r>
        <w:tab/>
        <w:t>повышением уровня насилия в отношении детей, особенно сексуальной эксплуатации и надругательств, включая гендерное насилие в Интернете и домашнее насилие;</w:t>
      </w:r>
    </w:p>
    <w:p w14:paraId="44209884" w14:textId="28D7A8D2" w:rsidR="00A01233" w:rsidRPr="00AF0EB2" w:rsidRDefault="00A01233" w:rsidP="00A01233">
      <w:pPr>
        <w:pStyle w:val="SingleTxtG"/>
      </w:pPr>
      <w:r>
        <w:tab/>
        <w:t>b)</w:t>
      </w:r>
      <w:r>
        <w:tab/>
        <w:t>низким уровнем информирования о случаях насилия и их преследования в судебном порядке и высоким уровнем безнаказанности лиц, совершающих насилие, включая сексуальную эксплуатацию и надругательства над детьми;</w:t>
      </w:r>
    </w:p>
    <w:p w14:paraId="3187CFE7" w14:textId="7474496B" w:rsidR="00A01233" w:rsidRPr="00AF0EB2" w:rsidRDefault="00A01233" w:rsidP="00A01233">
      <w:pPr>
        <w:pStyle w:val="SingleTxtG"/>
      </w:pPr>
      <w:r>
        <w:tab/>
        <w:t>c)</w:t>
      </w:r>
      <w:r>
        <w:tab/>
        <w:t>частотой нападений на детей с альбинизмом;</w:t>
      </w:r>
    </w:p>
    <w:p w14:paraId="423FA37D" w14:textId="2C317280" w:rsidR="00A01233" w:rsidRPr="00AF0EB2" w:rsidRDefault="00A01233" w:rsidP="00A01233">
      <w:pPr>
        <w:pStyle w:val="SingleTxtG"/>
      </w:pPr>
      <w:r>
        <w:tab/>
        <w:t>d)</w:t>
      </w:r>
      <w:r>
        <w:tab/>
        <w:t>тем фактом, что насилие над детьми социально терпимо в семье и в обществе;</w:t>
      </w:r>
    </w:p>
    <w:p w14:paraId="1E6FD2B2" w14:textId="0002703F" w:rsidR="00A01233" w:rsidRPr="00AF0EB2" w:rsidRDefault="00A01233" w:rsidP="00A01233">
      <w:pPr>
        <w:pStyle w:val="SingleTxtG"/>
      </w:pPr>
      <w:r>
        <w:tab/>
        <w:t>e)</w:t>
      </w:r>
      <w:r>
        <w:tab/>
        <w:t>ограниченным применением Закона 2021 года о кибербезопасности и киберпреступлениях;</w:t>
      </w:r>
    </w:p>
    <w:p w14:paraId="42F2B9CD" w14:textId="7898C8E5" w:rsidR="00A01233" w:rsidRPr="00AF0EB2" w:rsidRDefault="00A01233" w:rsidP="00A01233">
      <w:pPr>
        <w:pStyle w:val="SingleTxtG"/>
      </w:pPr>
      <w:r>
        <w:tab/>
        <w:t>f)</w:t>
      </w:r>
      <w:r>
        <w:tab/>
        <w:t>недостаточной поддержкой и финансированием Группы поддержки жертв и универсальных центров;</w:t>
      </w:r>
    </w:p>
    <w:p w14:paraId="74CEBDB8" w14:textId="708FE6F3" w:rsidR="00A01233" w:rsidRPr="00AF0EB2" w:rsidRDefault="00A01233" w:rsidP="00A01233">
      <w:pPr>
        <w:pStyle w:val="SingleTxtG"/>
      </w:pPr>
      <w:r>
        <w:tab/>
        <w:t>g)</w:t>
      </w:r>
      <w:r>
        <w:tab/>
        <w:t xml:space="preserve">ограниченным выполнением протоколов, механизмов перенаправления в соответствующие службы и руководящих принципов по защите детей-жертв </w:t>
      </w:r>
      <w:r w:rsidR="00BC3976">
        <w:br/>
      </w:r>
      <w:r>
        <w:t>и детей</w:t>
      </w:r>
      <w:r w:rsidR="00BC3976" w:rsidRPr="00BC3976">
        <w:t xml:space="preserve"> – </w:t>
      </w:r>
      <w:r>
        <w:t>свидетелей насилия;</w:t>
      </w:r>
    </w:p>
    <w:p w14:paraId="3A512A4A" w14:textId="34E9B77C" w:rsidR="00A01233" w:rsidRPr="00AF0EB2" w:rsidRDefault="00A01233" w:rsidP="00A01233">
      <w:pPr>
        <w:pStyle w:val="SingleTxtG"/>
      </w:pPr>
      <w:r>
        <w:tab/>
        <w:t>h)</w:t>
      </w:r>
      <w:r>
        <w:tab/>
        <w:t>отсутствием финансовой поддержки служб «Детской линии».</w:t>
      </w:r>
    </w:p>
    <w:p w14:paraId="56D028D5" w14:textId="09A68A33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Ссылаясь на свои замечания общего порядка № 13 (2011) о праве ребенка на свободу от всех форм насилия и № 25 (2021) о правах детей в связи с цифровой средой, а также на задачи 5.2, 16.1 и 16.2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настоятельно призывает государство-участник:</w:t>
      </w:r>
    </w:p>
    <w:p w14:paraId="0ABB45F4" w14:textId="0530E279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усилить меры по искоренению всех форм насилия в отношении детей, особенно сексуального и гендерного насилия, домашнего насилия и насилия в отношении детей с альбинизмом;</w:t>
      </w:r>
    </w:p>
    <w:p w14:paraId="4D775B8F" w14:textId="3F6CE7F1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обеспечивать, чтобы обо всех случаях насилия в отношении детей, в том числе о сексуальных надругательствах, совершаемых внутри круга лиц, которым ребенок доверяет, незамедлительно сообщалось и они расследовались и преследовались в судебном порядке с применением благожелательного к ребенку многосекторального подхода во избежание повторной травматизации детей, ставших жертвами таких надругательств, чтобы пострадавшим предоставлялись соответствующие средства правовой защиты, лечение и поддержка и чтобы виновные должным образом наказывались;</w:t>
      </w:r>
    </w:p>
    <w:p w14:paraId="77006672" w14:textId="500AD3EE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проводить информационно-просветительские мероприятия, направленные</w:t>
      </w:r>
      <w:r>
        <w:rPr>
          <w:b/>
          <w:bCs/>
        </w:rPr>
        <w:t xml:space="preserve"> на борьбу со стигматизацией детей, ставших жертвами сексуальной эксплуатации и сексуальных надругательств, включая инцест, и обеспечить наличие доступных, конфиденциальных, благожелательных к ребенку и эффективных каналов информирования о таких нарушениях;</w:t>
      </w:r>
    </w:p>
    <w:p w14:paraId="65671A06" w14:textId="4A7120F6" w:rsidR="00A01233" w:rsidRPr="00A01233" w:rsidRDefault="00A01233" w:rsidP="00A01233">
      <w:pPr>
        <w:pStyle w:val="SingleTxtG"/>
        <w:rPr>
          <w:b/>
          <w:bCs/>
        </w:rPr>
      </w:pPr>
      <w:r>
        <w:lastRenderedPageBreak/>
        <w:tab/>
      </w:r>
      <w:r w:rsidRPr="00A01233">
        <w:rPr>
          <w:b/>
          <w:bCs/>
        </w:rPr>
        <w:t>d)</w:t>
      </w:r>
      <w:r w:rsidRPr="00A01233">
        <w:rPr>
          <w:b/>
          <w:bCs/>
        </w:rPr>
        <w:tab/>
        <w:t>укрепить информационно-просветительские и образовательные программы и кампании с привлечением детей, с тем чтобы изменить отношение, традиции, обычаи и виды поведения, которые часто приводят к занижению числа сообщений о преступлениях и служат оправданием домашнего насилия и сексуальной эксплуатации детей и надругательств над ними, в том числе в Интернете;</w:t>
      </w:r>
    </w:p>
    <w:p w14:paraId="3F5E46B3" w14:textId="710A4C7D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предоставить достаточный объем кадровых, финансовых и технических ресурсов для эффективного выполнения Закона о кибербезопасности и киберпреступлениях и обеспечить регулирование деятельности поставщиков интернет-услуг для гарантирования безопасности в сети;</w:t>
      </w:r>
    </w:p>
    <w:p w14:paraId="1ECB17CC" w14:textId="3325506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предоставить достаточный объем ресурсов Группе поддержки жертв в полиции, универсальным центрам и на реализацию руководящих принципов по защите детей-жертв или свидетелей насилия;</w:t>
      </w:r>
    </w:p>
    <w:p w14:paraId="705CAD9F" w14:textId="398B0033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g)</w:t>
      </w:r>
      <w:r w:rsidRPr="00A01233">
        <w:rPr>
          <w:b/>
          <w:bCs/>
        </w:rPr>
        <w:tab/>
        <w:t>в приоритетном порядке установить стандарты и создать механизмы привлечения к ответственности для предупреждения сексуальных надругательств над детьми и эксплуатации детей в индустрии путешествий и туризма;</w:t>
      </w:r>
    </w:p>
    <w:p w14:paraId="2E7D95AA" w14:textId="24936A83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h)</w:t>
      </w:r>
      <w:r w:rsidRPr="00A01233">
        <w:rPr>
          <w:b/>
          <w:bCs/>
        </w:rPr>
        <w:tab/>
      </w:r>
      <w:r>
        <w:rPr>
          <w:b/>
          <w:bCs/>
        </w:rPr>
        <w:t>обеспечить устойчивое финансирование служб «Детской линии» для обеспечения доступных, конфиденциальных, благожелательных к ребенку и эффективных каналов информирования о преступлениях.</w:t>
      </w:r>
    </w:p>
    <w:p w14:paraId="22E359A0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06F211D1" w14:textId="5C03DB25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25.</w:t>
      </w:r>
      <w:r>
        <w:tab/>
      </w:r>
      <w:r>
        <w:rPr>
          <w:b/>
          <w:bCs/>
        </w:rPr>
        <w:t>Ссылаясь на совместную общую рекомендацию № 31 Комитета по</w:t>
      </w:r>
      <w:r w:rsidR="009D6AAA">
        <w:rPr>
          <w:b/>
          <w:bCs/>
          <w:lang w:val="en-US"/>
        </w:rPr>
        <w:t> </w:t>
      </w:r>
      <w:r>
        <w:rPr>
          <w:b/>
          <w:bCs/>
        </w:rPr>
        <w:t>ликвидации дискриминации в отношении женщин/замечание общего порядка</w:t>
      </w:r>
      <w:r w:rsidR="009D6AAA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9D6AAA">
        <w:rPr>
          <w:b/>
          <w:bCs/>
          <w:lang w:val="en-US"/>
        </w:rPr>
        <w:t> </w:t>
      </w:r>
      <w:r>
        <w:rPr>
          <w:b/>
          <w:bCs/>
        </w:rPr>
        <w:t xml:space="preserve">18 Комитета по правам ребенка (2019) по вредной практике и принимая к сведению задачу 5.3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напоминает о своей предыдущей рекомендации</w:t>
      </w:r>
      <w:r w:rsidRPr="00272684">
        <w:rPr>
          <w:rStyle w:val="aa"/>
        </w:rPr>
        <w:footnoteReference w:id="7"/>
      </w:r>
      <w:r>
        <w:rPr>
          <w:b/>
          <w:bCs/>
        </w:rPr>
        <w:t xml:space="preserve"> и рекомендует государству-участнику:</w:t>
      </w:r>
    </w:p>
    <w:p w14:paraId="0FA2255E" w14:textId="4669F017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предоставить достаточное финансирование и кадровые и технические ресурсы для возобновления и систематического и всестороннего осуществления Национальной стратегии искоренения детских браков;</w:t>
      </w:r>
    </w:p>
    <w:p w14:paraId="5A804197" w14:textId="692C8DA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девочек, ориентированные на домашние хозяйства, местные органы власти, религиозных лидеров, судей и прокуроров;</w:t>
      </w:r>
    </w:p>
    <w:p w14:paraId="056131C6" w14:textId="6D431DB3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обеспечить, чтобы дети-интерсексы не подвергались ненужному медицинскому</w:t>
      </w:r>
      <w:r>
        <w:rPr>
          <w:b/>
          <w:bCs/>
        </w:rPr>
        <w:t xml:space="preserve"> или хирургическому лечению без их согласия, в соответствии с правами ребенка на физическую неприкосновенность, самостоятельность и самоопределение, и чтобы жертвы такого лечения имели доступ к правосудию, возмещению ущерба и компенсации.</w:t>
      </w:r>
    </w:p>
    <w:p w14:paraId="7CBF2C54" w14:textId="42D75AA8" w:rsidR="00A01233" w:rsidRPr="00AF0EB2" w:rsidRDefault="00A01233" w:rsidP="00A01233">
      <w:pPr>
        <w:pStyle w:val="H1G"/>
      </w:pPr>
      <w:r>
        <w:rPr>
          <w:bCs/>
        </w:rPr>
        <w:tab/>
        <w:t>F.</w:t>
      </w:r>
      <w:r>
        <w:rPr>
          <w:bCs/>
        </w:rPr>
        <w:tab/>
      </w:r>
      <w:r>
        <w:tab/>
      </w:r>
      <w:r>
        <w:rPr>
          <w:bCs/>
        </w:rPr>
        <w:t>Семейное окружение и альтернативный уход (статьи 5, 9–11, пп. 1 и 2 статьи 18, статьи 20, 21, 25 и п. 4 статьи 27)</w:t>
      </w:r>
      <w:bookmarkStart w:id="32" w:name="_Toc33611173"/>
      <w:bookmarkStart w:id="33" w:name="_Toc33611298"/>
      <w:bookmarkEnd w:id="32"/>
      <w:bookmarkEnd w:id="33"/>
    </w:p>
    <w:p w14:paraId="4D148395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  <w:bookmarkStart w:id="34" w:name="_Toc33611174"/>
      <w:bookmarkStart w:id="35" w:name="_Toc33611299"/>
      <w:bookmarkEnd w:id="34"/>
      <w:bookmarkEnd w:id="35"/>
    </w:p>
    <w:p w14:paraId="2708C8B7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отмечает вступление в силу Закона 2022 года об Ассоциации социальных работников Замбии и увеличение охвата и суммы социальных выплат.</w:t>
      </w:r>
      <w:r>
        <w:t xml:space="preserve"> </w:t>
      </w:r>
      <w:r>
        <w:rPr>
          <w:b/>
          <w:bCs/>
        </w:rPr>
        <w:t>Он рекомендует государству-участнику продолжать укреплять общинные и семейные службы поддержки для детей и семей, находящихся в зоне риска, с тем чтобы избежать ненужного разлучения семей по причине бедности.</w:t>
      </w:r>
    </w:p>
    <w:p w14:paraId="1708E94D" w14:textId="77777777" w:rsidR="00A01233" w:rsidRPr="00AF0EB2" w:rsidRDefault="00A01233" w:rsidP="00A01233">
      <w:pPr>
        <w:pStyle w:val="H23G"/>
      </w:pPr>
      <w:r>
        <w:lastRenderedPageBreak/>
        <w:tab/>
      </w:r>
      <w:r>
        <w:tab/>
      </w:r>
      <w:r>
        <w:rPr>
          <w:bCs/>
        </w:rPr>
        <w:t>Дети, лишенные семейного окружения</w:t>
      </w:r>
      <w:bookmarkStart w:id="36" w:name="_Toc33611175"/>
      <w:bookmarkStart w:id="37" w:name="_Toc33611300"/>
      <w:bookmarkEnd w:id="36"/>
      <w:bookmarkEnd w:id="37"/>
    </w:p>
    <w:p w14:paraId="4BEAFA20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</w:r>
      <w:r>
        <w:rPr>
          <w:b/>
          <w:bCs/>
        </w:rPr>
        <w:t>Комитет отмечает запуск в 2019 году информационно-пропагандистской и коммуникационной стратегии поощрения семейного ухода за детьми, принятие в 2017 году руководящих принципов в области альтернативного ухода и реинтеграции и совершенствование системы управления делами в сфере альтернативного ухода.</w:t>
      </w:r>
      <w:r>
        <w:t xml:space="preserve"> </w:t>
      </w:r>
      <w:r>
        <w:rPr>
          <w:b/>
          <w:bCs/>
        </w:rPr>
        <w:t>Ссылаясь на свою предыдущую рекомендацию</w:t>
      </w:r>
      <w:r w:rsidRPr="00272684">
        <w:rPr>
          <w:rStyle w:val="aa"/>
        </w:rPr>
        <w:footnoteReference w:id="8"/>
      </w:r>
      <w:r>
        <w:rPr>
          <w:b/>
          <w:bCs/>
        </w:rPr>
        <w:t>, Комитет обращает внимание государства-участника на Руководящие указания по альтернативному уходу за детьми</w:t>
      </w:r>
      <w:r w:rsidRPr="00272684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государству-участнику:</w:t>
      </w:r>
    </w:p>
    <w:p w14:paraId="108A7E96" w14:textId="5ABDB7F8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обеспечить, чтобы в основе политики и практики лежал принцип, согласно которому нужда никак не может быть единственным основанием для изъятия ребенка из-под родительской опеки и помещения ребенка в условия альтернативного ухода либо препятствием для его социальной реинтеграции;</w:t>
      </w:r>
    </w:p>
    <w:p w14:paraId="2C26F59E" w14:textId="3B47963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поэтапно отказаться от помещения в специализированные учреждения и незамедлительно принять стратегию и план действий по деинституционализации, подкрепленные достаточным объемом кадровых, технических и финансовых ресурсов для их реализации и включающие в себя комплексные преобразования систем ухода за детьми и их защиты;</w:t>
      </w:r>
    </w:p>
    <w:p w14:paraId="6DA97FEB" w14:textId="445B604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обеспечить, чтобы законопроект о кодексе законов о детях прямо запрещал помещение детей младше 3 лет в специализированные учреждения;</w:t>
      </w:r>
    </w:p>
    <w:p w14:paraId="1A9D4C31" w14:textId="00894D8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развивать и предоставлять адекватный объем ресурсов для надежной системы семейного и общинного ухода за детьми, которые не могут оставаться в своих семьях, в том числе путем выделения достаточных финансовых средств для передачи детей на воспитание родственникам и в приемные семьи;</w:t>
      </w:r>
    </w:p>
    <w:p w14:paraId="1F80A3FB" w14:textId="2E6FDD54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</w:r>
      <w:r>
        <w:rPr>
          <w:b/>
          <w:bCs/>
        </w:rPr>
        <w:t>регулярно контролировать и пересматривать помещение детей в учреждения альтернативного ухода и способствовать воссоединению детей с их семьями.</w:t>
      </w:r>
    </w:p>
    <w:p w14:paraId="251FA628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4A361B6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оперативно принять законопроект о кодексе законов о детях, который будет способствовать включению во внутреннее законодательство и осуществлению Конвенции о защите детей и сотрудничестве в области межгосударственного усыновления, а также безотлагательно принять и ввести в действие национальные стандарты аккредитации и выдачи разрешений агентствам по усыновлению.</w:t>
      </w:r>
    </w:p>
    <w:p w14:paraId="18C72F11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</w:p>
    <w:p w14:paraId="2C656C6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обеспечить, чтобы дети, живущие с лишенными свободы лицами, осуществляющими уход, имели доступ к надлежащему дошкольному образованию, питанию и медико-санитарному обслуживанию, чтобы они пользовались правом на игру и регулярно посещались социальными работниками, чтобы при принятии всех решений, включая вынесение приговора, первоочередное внимание уделялось наилучшему обеспечению интересов ребенка и чтобы рассматривались альтернативы лишению свободы.</w:t>
      </w:r>
    </w:p>
    <w:p w14:paraId="49FD75DA" w14:textId="148ABC95" w:rsidR="00A01233" w:rsidRPr="00AF0EB2" w:rsidRDefault="00A01233" w:rsidP="00A01233">
      <w:pPr>
        <w:pStyle w:val="H1G"/>
      </w:pPr>
      <w:r>
        <w:rPr>
          <w:bCs/>
        </w:rPr>
        <w:tab/>
        <w:t>G.</w:t>
      </w:r>
      <w:r>
        <w:tab/>
      </w:r>
      <w:r>
        <w:tab/>
      </w:r>
      <w:r>
        <w:rPr>
          <w:bCs/>
        </w:rPr>
        <w:t>Дети с инвалидностью (статья 23)</w:t>
      </w:r>
    </w:p>
    <w:p w14:paraId="1B9F0763" w14:textId="72BAF611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отмечает разработку в 2016 году руководящих принципов в области инклюзивного образования.</w:t>
      </w:r>
      <w:r>
        <w:t xml:space="preserve"> </w:t>
      </w:r>
      <w:r>
        <w:rPr>
          <w:b/>
          <w:bCs/>
        </w:rPr>
        <w:t>Ссылаясь на свое замечание общего порядка</w:t>
      </w:r>
      <w:r w:rsidR="009D6AAA">
        <w:rPr>
          <w:b/>
          <w:bCs/>
          <w:lang w:val="en-US"/>
        </w:rPr>
        <w:t> </w:t>
      </w:r>
      <w:r>
        <w:rPr>
          <w:b/>
          <w:bCs/>
        </w:rPr>
        <w:t xml:space="preserve">№ 9 (2006) о правах детей-инвалидов, Комитет настоятельно призывает </w:t>
      </w:r>
      <w:r>
        <w:rPr>
          <w:b/>
          <w:bCs/>
        </w:rPr>
        <w:lastRenderedPageBreak/>
        <w:t>государство-участник принять правозащитный подход к инвалидности, разработать комплексную стратегию интеграции детей с инвалидностью и:</w:t>
      </w:r>
    </w:p>
    <w:p w14:paraId="3EEB169D" w14:textId="29714FAC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 xml:space="preserve">ввести в действие Закон 2012 года о лицах с инвалидностью путем доработки и реализации подзаконных актов в области образования, здравоохранения, труда и транспорта; </w:t>
      </w:r>
    </w:p>
    <w:p w14:paraId="5BCF60F9" w14:textId="74B45838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обеспечить, чтобы координаторы по вопросам инвалидности при министерствах проходили адекватную непрерывную подготовку, чтобы они координировали свою работу и чтобы выделялся достаточный объем ресурсов для эффективного учета вопросов инвалидности;</w:t>
      </w:r>
    </w:p>
    <w:p w14:paraId="3DC8056D" w14:textId="45A9537B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в полном объеме выполнять руководящие принципы в области инклюзивного образования во всех школах, с тем чтобы все дети с инвалидностью имели доступ к инклюзивному образованию в общеобразовательных школах и центрах дошкольного образования, и обеспечить, чтобы школы и центры дошкольного образования были укомплектованы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3D84FFB0" w14:textId="0BF46855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проводить информационно-просветительские кампании с целью борьбы со стигматизацией детей с инвалидностью и предвзятым отношением к ним и поощрять позитивные представления о детях с инвалидностью как о субъектах права;</w:t>
      </w:r>
    </w:p>
    <w:p w14:paraId="3251DBA7" w14:textId="3A5345C4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создать программы социальной защиты для полного финансирования вспомогательных устройств и других реабилитационных потребностей детей с инвалидностью и, в частности, обеспечить устойчивое и достаточное финансирование Национального профессионально-технического и реабилитационного центра;</w:t>
      </w:r>
    </w:p>
    <w:p w14:paraId="096471E9" w14:textId="27A85595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обеспечивать, чтобы дети не помещались в учреждения по причине их инвалидности, и укреплять семейный и общинный уход;</w:t>
      </w:r>
    </w:p>
    <w:p w14:paraId="6D729BC2" w14:textId="7FE805C0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g)</w:t>
      </w:r>
      <w:r w:rsidRPr="00A01233">
        <w:rPr>
          <w:b/>
          <w:bCs/>
        </w:rPr>
        <w:tab/>
        <w:t>укрепить меры для обеспечения детям с инвалидностью, особенно в сельских районах, доступа к медико-санитарному обслуживанию, в том числе к программам раннего диагностирования и медицинского вмешательства, специализированным медицинским услугам и реабилитации с учетом возрастных особенностей;</w:t>
      </w:r>
    </w:p>
    <w:p w14:paraId="60CE5072" w14:textId="033181AD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h)</w:t>
      </w:r>
      <w:r w:rsidRPr="00A01233">
        <w:rPr>
          <w:b/>
          <w:bCs/>
        </w:rPr>
        <w:tab/>
        <w:t>разработать и систематизировать сбор всесторонних данных о детях с инвалидностью</w:t>
      </w:r>
      <w:r>
        <w:rPr>
          <w:b/>
          <w:bCs/>
        </w:rPr>
        <w:t>.</w:t>
      </w:r>
    </w:p>
    <w:p w14:paraId="65F0FFB3" w14:textId="6F63EDBA" w:rsidR="00A01233" w:rsidRPr="00AF0EB2" w:rsidRDefault="00A01233" w:rsidP="00A01233">
      <w:pPr>
        <w:pStyle w:val="H1G"/>
      </w:pPr>
      <w:r>
        <w:rPr>
          <w:bCs/>
        </w:rPr>
        <w:tab/>
        <w:t>H.</w:t>
      </w:r>
      <w:r>
        <w:tab/>
      </w:r>
      <w:r>
        <w:tab/>
      </w:r>
      <w:r>
        <w:rPr>
          <w:bCs/>
        </w:rPr>
        <w:t>Базовое медицинское обслуживание и социальное обеспечение (статья 6, п. 3 статьи 18, статьи 24, 26, пп. 1–3 статьи 27 и</w:t>
      </w:r>
      <w:r w:rsidR="009D6AAA">
        <w:rPr>
          <w:bCs/>
          <w:lang w:val="en-US"/>
        </w:rPr>
        <w:t> </w:t>
      </w:r>
      <w:r>
        <w:rPr>
          <w:bCs/>
        </w:rPr>
        <w:t>статья</w:t>
      </w:r>
      <w:r w:rsidR="009D6AAA">
        <w:rPr>
          <w:bCs/>
          <w:lang w:val="en-US"/>
        </w:rPr>
        <w:t> </w:t>
      </w:r>
      <w:r>
        <w:rPr>
          <w:bCs/>
        </w:rPr>
        <w:t>33)</w:t>
      </w:r>
      <w:bookmarkStart w:id="38" w:name="_Toc33611178"/>
      <w:bookmarkStart w:id="39" w:name="_Toc33611303"/>
      <w:bookmarkEnd w:id="38"/>
      <w:bookmarkEnd w:id="39"/>
    </w:p>
    <w:p w14:paraId="698E7182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bookmarkStart w:id="40" w:name="_Toc33611179"/>
      <w:bookmarkStart w:id="41" w:name="_Toc33611304"/>
      <w:bookmarkEnd w:id="40"/>
      <w:bookmarkEnd w:id="41"/>
    </w:p>
    <w:p w14:paraId="18A56F41" w14:textId="67A3DDF2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  <w:t xml:space="preserve">Комитет отмечает принятие Закона 2018 года о государственном медицинском страховании, создание государственной системы медицинского страхования, прогресс, достигнутый государством-участником в деле снижения показателей младенческой смертности и смертности детей в возрасте до пяти лет, набор </w:t>
      </w:r>
      <w:r w:rsidR="009D6AAA">
        <w:br/>
      </w:r>
      <w:r>
        <w:t>25 000 дополнительных медицинских работников за последние пять лет, плюс наличие еще 11 200 человек, находящихся в процессе найма, и улучшение доступа к медицинским услугам и медикаментам. Тем не менее Комитет по-прежнему обеспокоен:</w:t>
      </w:r>
    </w:p>
    <w:p w14:paraId="1DA9E117" w14:textId="02279D61" w:rsidR="00A01233" w:rsidRPr="00AF0EB2" w:rsidRDefault="00A01233" w:rsidP="00A00A53">
      <w:pPr>
        <w:pStyle w:val="SingleTxtG"/>
        <w:pageBreakBefore/>
      </w:pPr>
      <w:r>
        <w:lastRenderedPageBreak/>
        <w:tab/>
        <w:t>a)</w:t>
      </w:r>
      <w:r>
        <w:tab/>
        <w:t>ростом неонатальной смертности и высокими показателями перинатальной смертности и мертворождения;</w:t>
      </w:r>
    </w:p>
    <w:p w14:paraId="192CE5FB" w14:textId="44CD55AC" w:rsidR="00A01233" w:rsidRPr="00AF0EB2" w:rsidRDefault="00A01233" w:rsidP="00A01233">
      <w:pPr>
        <w:pStyle w:val="SingleTxtG"/>
      </w:pPr>
      <w:r>
        <w:tab/>
        <w:t>b)</w:t>
      </w:r>
      <w:r>
        <w:tab/>
        <w:t>высокими показателями смертности детей в возрасте до 5 лет от предотвратимых заболеваний и состояний, таких как пневмония, малярия, диарея, анемия и недостаточность питания;</w:t>
      </w:r>
    </w:p>
    <w:p w14:paraId="6A7F919E" w14:textId="145C939C" w:rsidR="00A01233" w:rsidRPr="00AF0EB2" w:rsidRDefault="00A01233" w:rsidP="00A01233">
      <w:pPr>
        <w:pStyle w:val="SingleTxtG"/>
      </w:pPr>
      <w:r>
        <w:tab/>
        <w:t>c)</w:t>
      </w:r>
      <w:r>
        <w:tab/>
        <w:t>высокими показателями гипотрофии, включая низкорослость, истощение, дефицит питательных микроэлементов, избыточный вес и ожирение, а также неполноценное питание среди девочек-подростков;</w:t>
      </w:r>
    </w:p>
    <w:p w14:paraId="3B024685" w14:textId="3E979646" w:rsidR="00A01233" w:rsidRPr="00AF0EB2" w:rsidRDefault="00A01233" w:rsidP="00A01233">
      <w:pPr>
        <w:pStyle w:val="SingleTxtG"/>
      </w:pPr>
      <w:r>
        <w:tab/>
        <w:t>d)</w:t>
      </w:r>
      <w:r>
        <w:tab/>
        <w:t>ненадежным обеспечением основными лекарственными средствами и вакцинами;</w:t>
      </w:r>
    </w:p>
    <w:p w14:paraId="61583A46" w14:textId="586CC3A9" w:rsidR="00A01233" w:rsidRPr="00AF0EB2" w:rsidRDefault="00A01233" w:rsidP="00A01233">
      <w:pPr>
        <w:pStyle w:val="SingleTxtG"/>
      </w:pPr>
      <w:r>
        <w:tab/>
        <w:t>e)</w:t>
      </w:r>
      <w:r>
        <w:tab/>
        <w:t>нехваткой квалифицированного персонала и учреждений неотложной акушерской и неонатальной помощи, особенно в сельской местности, а также низким качеством услуг и инфраструктуры в сфере базового медицинского обслуживания для детей;</w:t>
      </w:r>
    </w:p>
    <w:p w14:paraId="10C08718" w14:textId="5F9B0821" w:rsidR="00A01233" w:rsidRPr="00AF0EB2" w:rsidRDefault="00A01233" w:rsidP="00A01233">
      <w:pPr>
        <w:pStyle w:val="SingleTxtG"/>
      </w:pPr>
      <w:r>
        <w:tab/>
        <w:t>f)</w:t>
      </w:r>
      <w:r>
        <w:tab/>
        <w:t>тем фактом, что подростки, особенно девочки, продолжают несоразмерно сильно страдать от ВИЧ/СПИДа.</w:t>
      </w:r>
    </w:p>
    <w:p w14:paraId="450B5A44" w14:textId="7D8FEDCD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32.</w:t>
      </w:r>
      <w:r>
        <w:tab/>
      </w:r>
      <w:r>
        <w:rPr>
          <w:b/>
          <w:bCs/>
        </w:rPr>
        <w:t xml:space="preserve">Ссылаясь на свое замечание общего порядка № 15 (2013) о праве ребенка на пользование наиболее совершенными услугами системы здравоохранения и на задачи 2.2, 3.1, 3.2 и 3.8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5F92C588" w14:textId="5993BCBE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повышать осведомленность населения, персонала аптек и частных поставщиков медицинских услуг о государственной системе медицинского страхования;</w:t>
      </w:r>
    </w:p>
    <w:p w14:paraId="1CB0E2A7" w14:textId="13BCAE4D" w:rsidR="00A01233" w:rsidRPr="00A01233" w:rsidRDefault="00A01233" w:rsidP="00A01233">
      <w:pPr>
        <w:pStyle w:val="SingleTxtG"/>
        <w:rPr>
          <w:rStyle w:val="aa"/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укреплять меры, направленные на сокращение показателей младенческой смертности и смертности детей в возрасте до пяти лет от предотвратимых причин, в том числе путем выполнения технического руководства Управления Верховного комиссара Организации Объединенных Наций по правам человека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Pr="009D6AAA">
        <w:rPr>
          <w:rStyle w:val="aa"/>
        </w:rPr>
        <w:footnoteReference w:id="10"/>
      </w:r>
      <w:r w:rsidRPr="00A01233">
        <w:rPr>
          <w:b/>
          <w:bCs/>
        </w:rPr>
        <w:t>;</w:t>
      </w:r>
    </w:p>
    <w:p w14:paraId="48F3D7E4" w14:textId="48777B51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выявить коренные причины неонатальной и перинатальной смертности и мертворождения и разработать основанные на фактических данных и обеспеченные достаточными ресурсами программы комплексных мероприятий по охране здоровья новорожденных и ранней медицинской помощи;</w:t>
      </w:r>
    </w:p>
    <w:p w14:paraId="4DAE1AA5" w14:textId="2AC2A6DF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устранить основные причины гипотрофии и неполноценного питания девочек-подростков и укрепить профилактические меры, в том числе путем повышения осведомленности о вопросах питания и надлежащей практике кормления;</w:t>
      </w:r>
    </w:p>
    <w:p w14:paraId="2B411D76" w14:textId="088887B1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активизировать усилия по повышению качества базового медицинского обслуживания для всех детей, расширить обеспечение основными лекарственными средствами и охват детей иммунизацией, а также предоставить достаточное количество квалифицированного персонала и учреждений неотложной акушерской и неонатальной помощи, особенно в сельской местности;</w:t>
      </w:r>
    </w:p>
    <w:p w14:paraId="7C13F275" w14:textId="78CA3A22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укрепить</w:t>
      </w:r>
      <w:r>
        <w:rPr>
          <w:b/>
          <w:bCs/>
        </w:rPr>
        <w:t xml:space="preserve"> меры по профилактике и мониторингу передачи ВИЧ/СПИДа от матери ребенку и расширить индивидуальные мероприятия, направленные на девочек-подростков.</w:t>
      </w:r>
    </w:p>
    <w:p w14:paraId="2449745B" w14:textId="77777777" w:rsidR="00A01233" w:rsidRPr="00AF0EB2" w:rsidRDefault="00A01233" w:rsidP="00A01233">
      <w:pPr>
        <w:pStyle w:val="H23G"/>
      </w:pPr>
      <w:r>
        <w:lastRenderedPageBreak/>
        <w:tab/>
      </w:r>
      <w:r>
        <w:tab/>
      </w:r>
      <w:r>
        <w:rPr>
          <w:bCs/>
        </w:rPr>
        <w:t>Здоровье подростков</w:t>
      </w:r>
      <w:bookmarkStart w:id="42" w:name="_Toc33611181"/>
      <w:bookmarkStart w:id="43" w:name="_Toc33611306"/>
      <w:bookmarkEnd w:id="42"/>
      <w:bookmarkEnd w:id="43"/>
    </w:p>
    <w:p w14:paraId="310198A8" w14:textId="23248215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</w:r>
      <w:r>
        <w:rPr>
          <w:b/>
          <w:bCs/>
        </w:rPr>
        <w:t>Комитет отмечает принятие в 2019 году стандартов и рекомендаций по комплексной медицинской помощи при искусственном прерывании беременности, разработку комплексного учебного плана по сексуальному и репродуктивному здоровью и подготовку национальных стандартов и руководящих принципов по оказанию медицинских услуг с учетом особенностей подростков.</w:t>
      </w:r>
      <w:r>
        <w:t xml:space="preserve"> </w:t>
      </w:r>
      <w:r>
        <w:rPr>
          <w:b/>
          <w:bCs/>
        </w:rPr>
        <w:t xml:space="preserve"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 и принимая к сведению задачи 3.5, 3.7 и 5.6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напоминает о своей предыдущей рекомендации</w:t>
      </w:r>
      <w:r w:rsidRPr="00272684">
        <w:rPr>
          <w:rStyle w:val="aa"/>
        </w:rPr>
        <w:footnoteReference w:id="11"/>
      </w:r>
      <w:r>
        <w:rPr>
          <w:b/>
          <w:bCs/>
        </w:rPr>
        <w:t xml:space="preserve"> и рекомендует государству-участнику:</w:t>
      </w:r>
    </w:p>
    <w:p w14:paraId="254A3774" w14:textId="55E7A56A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проанализировать эффективность комплексного учебного плана по сексуальному и репродуктивному здоровью для обеспечения того, чтобы все аспекты просвещения в области сексуального и репродуктивного здоровья были частью обязательной школьной программы и способствовали снижению частоты подростковой беременности;</w:t>
      </w:r>
    </w:p>
    <w:p w14:paraId="2B3E2F7D" w14:textId="32C1C0FB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разработать мероприятия, ориентированные на девочек и мальчиков подросткового возраста, уделяя особое внимание предупреждению ранней беременности и профилактике инфекций, передающихся половым путем, особенно ВИЧ/СПИДа;</w:t>
      </w:r>
    </w:p>
    <w:p w14:paraId="0BB099CB" w14:textId="4E151F1F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расширять доступ подростков к услугам по охране репродуктивного здоровья и смежным услугам и укреплять поддержку услуг по охране репродуктивного здоровья и планированию семьи, включая обеспечение противозачаточными средствами и прерывание беременности;</w:t>
      </w:r>
    </w:p>
    <w:p w14:paraId="1108A9E3" w14:textId="1B57BC1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принять законопроект о контроле табачных и никотиновых изделий и усилить меры по предоставлению детям и подросткам точной и объективной информации о вредных последствиях злоупотребления алкоголем, табаком, наркотиками и психоактивными веществами, обеспечить соблюдение законодательства о продаже алкоголя детям и развивать оказание доступных и учитывающих молодежную специфику услуг по лечению наркотической зависимости и снижению показателей членовредительства;</w:t>
      </w:r>
    </w:p>
    <w:p w14:paraId="146A123B" w14:textId="0FD83B77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>
        <w:tab/>
      </w:r>
      <w:r>
        <w:rPr>
          <w:b/>
          <w:bCs/>
        </w:rPr>
        <w:t>решать такие проблемы психического здоровья подростков, как депрессия и суицидальное поведение, которые усугубились в результате пандемии COVID-19, и предоставлять информацию об имеющихся в стране услугах по охране психического здоровья и консультированию.</w:t>
      </w:r>
    </w:p>
    <w:p w14:paraId="444A0DB7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Здоровье окружающей среды</w:t>
      </w:r>
    </w:p>
    <w:p w14:paraId="67FD0CBB" w14:textId="54845AC8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Принимая к сведению задачу 3.9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71DE474F" w14:textId="756E0E08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обеспечить доступность и наличие бесплатного тестирования и лечения отравления свинцом для всех детей в возрасте до 18 лет в Кабве;</w:t>
      </w:r>
    </w:p>
    <w:p w14:paraId="776298AF" w14:textId="1A1D45E4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предотвращать воздействие высоких уровней свинца и смягчать последствия, включая инвалидность, для детей, подвергшихся воздействию высоких уровней свинца;</w:t>
      </w:r>
    </w:p>
    <w:p w14:paraId="1C885C80" w14:textId="700EEE67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отслеживать отравления свинцом, включая смертность, в системе управления</w:t>
      </w:r>
      <w:r>
        <w:rPr>
          <w:b/>
          <w:bCs/>
        </w:rPr>
        <w:t xml:space="preserve"> информацией в области здравоохранения или разработать отдельную базу данных для Кабве, чтобы отслеживать отравления свинцом среди детей.</w:t>
      </w:r>
    </w:p>
    <w:p w14:paraId="365155C5" w14:textId="77777777" w:rsidR="00A01233" w:rsidRPr="00AF0EB2" w:rsidRDefault="00A01233" w:rsidP="00A01233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6954340A" w14:textId="3C9E10C6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35.</w:t>
      </w:r>
      <w:r>
        <w:tab/>
      </w:r>
      <w:r>
        <w:rPr>
          <w:b/>
          <w:bCs/>
        </w:rPr>
        <w:t>Отмечая Национальную стратегию обучения по вопросам изменения климата от 2020 года, Комитет</w:t>
      </w:r>
      <w:r w:rsidR="00BA425B">
        <w:rPr>
          <w:b/>
          <w:bCs/>
        </w:rPr>
        <w:t>,</w:t>
      </w:r>
      <w:r>
        <w:rPr>
          <w:b/>
          <w:bCs/>
        </w:rPr>
        <w:t xml:space="preserve"> тем не менее</w:t>
      </w:r>
      <w:r w:rsidR="00BA425B">
        <w:rPr>
          <w:b/>
          <w:bCs/>
        </w:rPr>
        <w:t>,</w:t>
      </w:r>
      <w:r>
        <w:rPr>
          <w:b/>
          <w:bCs/>
        </w:rPr>
        <w:t xml:space="preserve"> обращает внимание государства-участника на задачи 1.5, 13.1 и 13.3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государству-участнику:</w:t>
      </w:r>
    </w:p>
    <w:p w14:paraId="5E5D5CCA" w14:textId="07DCD690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существенно снизить темпы обезлесения и деградации земель и улучшить устойчивое управление земельными ресурсами, включая лесные угодья, находящиеся под управлением общины, а также диверсифицировать варианты получения средств к существованию, особенно для сельских общин;</w:t>
      </w:r>
    </w:p>
    <w:p w14:paraId="3EBDA692" w14:textId="3E201094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снизить уязвимость общин, особенно детей, к последствиям изменения климата, в том числе путем внедрения климатически оптимизированного сельского хозяйства и получения средств к существованию с опорой на лесохозяйства;</w:t>
      </w:r>
    </w:p>
    <w:p w14:paraId="0CAC0C2E" w14:textId="6D53214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усилить меры по смягчению последствий изменения климата и адаптации к засухам и наводнениям, в частности в связи с отсутствием у детей продовольственной, водной и энергетической безопасности;</w:t>
      </w:r>
    </w:p>
    <w:p w14:paraId="3F5BEBB8" w14:textId="0C90CAB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обеспечивать учет особой уязвимости, потребностей и мнений детей при разработке стратегий и программ по решению проблем изменения климата и управлению рисками бедствий;</w:t>
      </w:r>
    </w:p>
    <w:p w14:paraId="446ED5B9" w14:textId="493B6CC8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</w:r>
      <w:r>
        <w:rPr>
          <w:b/>
          <w:bCs/>
        </w:rPr>
        <w:t>повышать осведомленность детей об изменении климата и стихийных бедствиях и их готовность к последним путем включения соответствующих вопросов в школьную программу и программы подготовки преподавателей</w:t>
      </w:r>
      <w:r w:rsidR="00BA425B">
        <w:rPr>
          <w:b/>
          <w:bCs/>
        </w:rPr>
        <w:t>.</w:t>
      </w:r>
    </w:p>
    <w:p w14:paraId="6B09F8EA" w14:textId="77777777" w:rsidR="00A01233" w:rsidRPr="00AF0EB2" w:rsidRDefault="00A01233" w:rsidP="00A01233">
      <w:pPr>
        <w:pStyle w:val="H23G"/>
        <w:rPr>
          <w:b w:val="0"/>
          <w:bCs/>
        </w:rPr>
      </w:pPr>
      <w:r>
        <w:tab/>
      </w:r>
      <w:r>
        <w:tab/>
      </w:r>
      <w:r>
        <w:rPr>
          <w:bCs/>
        </w:rPr>
        <w:t>Жизненный уровень</w:t>
      </w:r>
      <w:bookmarkStart w:id="44" w:name="_Toc33611182"/>
      <w:bookmarkStart w:id="45" w:name="_Toc33611307"/>
      <w:bookmarkEnd w:id="44"/>
      <w:bookmarkEnd w:id="45"/>
    </w:p>
    <w:p w14:paraId="789F199F" w14:textId="51FAF2DB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Отмечая расширение плана социальных выплат и принимая к сведению задачи 1.1, 1.2 и 1.3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обеспечить достаточный и устойчивый жизненный уровень для всех детей на его территории, особенно для детей, находящихся в наиболее уязвимом положении.</w:t>
      </w:r>
      <w:r>
        <w:t xml:space="preserve"> </w:t>
      </w:r>
      <w:r>
        <w:rPr>
          <w:b/>
          <w:bCs/>
        </w:rPr>
        <w:t>Комитет рекомендует также государству-участнику:</w:t>
      </w:r>
    </w:p>
    <w:p w14:paraId="0AA6E944" w14:textId="0389539F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усилить меры по сокращению детской нищеты, в том числе путем разработки комплексной программы социальной защиты с достаточным внутренним финансированием;</w:t>
      </w:r>
    </w:p>
    <w:p w14:paraId="404F9CF6" w14:textId="4659B56E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продолжать расширять и укреплять план социальных выплат для охвата большего числа детей и выполнения взятых на себя обязательств;</w:t>
      </w:r>
    </w:p>
    <w:p w14:paraId="4945593E" w14:textId="7A921F6A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обеспечивать, чтобы дети, получающие социальные выплаты, пользовались также государственной системой медицинского страхования;</w:t>
      </w:r>
    </w:p>
    <w:p w14:paraId="047D6B21" w14:textId="52CC1945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расширить доступ детей к безопасной питьевой воде, санитарии и гигиене и</w:t>
      </w:r>
      <w:r>
        <w:rPr>
          <w:b/>
          <w:bCs/>
        </w:rPr>
        <w:t xml:space="preserve"> охране окружающей среды, а также их доступ к продовольствию, его наличие и доступность по цене и рассмотреть возможность обращения за помощью в решении этих вопросов, в частности, к Детскому фонду Организации Объединенных Наций (ЮНИСЕФ) и Всемирной организации здравоохранения.</w:t>
      </w:r>
    </w:p>
    <w:p w14:paraId="5A838F07" w14:textId="7AF25E54" w:rsidR="00A01233" w:rsidRPr="00AF0EB2" w:rsidRDefault="00A01233" w:rsidP="00A01233">
      <w:pPr>
        <w:pStyle w:val="H1G"/>
      </w:pPr>
      <w:r>
        <w:rPr>
          <w:bCs/>
        </w:rPr>
        <w:tab/>
        <w:t>I.</w:t>
      </w:r>
      <w:r>
        <w:tab/>
      </w:r>
      <w:r>
        <w:tab/>
      </w:r>
      <w:r>
        <w:rPr>
          <w:bCs/>
        </w:rPr>
        <w:t>Образование, досуг и культурная деятельность (статьи 28–31)</w:t>
      </w:r>
      <w:bookmarkStart w:id="46" w:name="_Toc33611183"/>
      <w:bookmarkStart w:id="47" w:name="_Toc33611308"/>
      <w:bookmarkEnd w:id="46"/>
      <w:bookmarkEnd w:id="47"/>
    </w:p>
    <w:p w14:paraId="0412E8AC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оказание консультативных услуг</w:t>
      </w:r>
      <w:bookmarkStart w:id="48" w:name="_Toc33611184"/>
      <w:bookmarkStart w:id="49" w:name="_Toc33611309"/>
      <w:bookmarkEnd w:id="48"/>
      <w:bookmarkEnd w:id="49"/>
    </w:p>
    <w:p w14:paraId="6474BBE4" w14:textId="341DBE7C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37.</w:t>
      </w:r>
      <w:r>
        <w:tab/>
        <w:t xml:space="preserve">Отмечая введение бесплатного начального и среднего образования, </w:t>
      </w:r>
      <w:r w:rsidR="001D4AF9">
        <w:br/>
      </w:r>
      <w:r>
        <w:t xml:space="preserve">300-процентное увеличение выплаты субсидий на обучение в начальных школах, расширение раннего развития ребенка через недорогие общинные центры, выделение средств на стипендиальную поддержку уязвимых детей для оплаты интернатов в </w:t>
      </w:r>
      <w:r>
        <w:lastRenderedPageBreak/>
        <w:t>средней школе и бесплатное среднее образование благодаря предоставлению школам компенсационных субсидий для возмещения платы за обучение и взносов ассоциации родителей и учителей, Комитет</w:t>
      </w:r>
      <w:r w:rsidR="001D4AF9">
        <w:t>,</w:t>
      </w:r>
      <w:r>
        <w:t xml:space="preserve"> тем не менее</w:t>
      </w:r>
      <w:r w:rsidR="001D4AF9">
        <w:t>,</w:t>
      </w:r>
      <w:r>
        <w:t xml:space="preserve"> обеспокоен:</w:t>
      </w:r>
    </w:p>
    <w:p w14:paraId="6D58F683" w14:textId="3F19BCCB" w:rsidR="00A01233" w:rsidRPr="00AF0EB2" w:rsidRDefault="00A01233" w:rsidP="00A01233">
      <w:pPr>
        <w:pStyle w:val="SingleTxtG"/>
      </w:pPr>
      <w:r>
        <w:tab/>
        <w:t>a)</w:t>
      </w:r>
      <w:r>
        <w:tab/>
        <w:t>сохранением высоких показателей отсева из школ, особенно среди девочек, из-за подростковой беременности, детских браков, дискриминационной традиционной и культурной практики и нищеты;</w:t>
      </w:r>
    </w:p>
    <w:p w14:paraId="08F5F3E2" w14:textId="596C9063" w:rsidR="00A01233" w:rsidRPr="00AF0EB2" w:rsidRDefault="00A01233" w:rsidP="00A01233">
      <w:pPr>
        <w:pStyle w:val="SingleTxtG"/>
      </w:pPr>
      <w:r>
        <w:tab/>
        <w:t>b)</w:t>
      </w:r>
      <w:r>
        <w:tab/>
        <w:t>различиями в показателях записи и удержания мальчиков и девочек в начальной и средней школе, особенно в сельской местности;</w:t>
      </w:r>
    </w:p>
    <w:p w14:paraId="5E99D4FB" w14:textId="34EBFB3C" w:rsidR="00A01233" w:rsidRPr="00AF0EB2" w:rsidRDefault="00A01233" w:rsidP="00A01233">
      <w:pPr>
        <w:pStyle w:val="SingleTxtG"/>
      </w:pPr>
      <w:r>
        <w:tab/>
        <w:t>c)</w:t>
      </w:r>
      <w:r>
        <w:tab/>
        <w:t>ограниченностью инфраструктуры и низким качеством образования, а также низким уровнем базовых навыков грамотности и счета;</w:t>
      </w:r>
    </w:p>
    <w:p w14:paraId="4E8C7DA5" w14:textId="5C11FB65" w:rsidR="00A01233" w:rsidRPr="00AF0EB2" w:rsidRDefault="00A01233" w:rsidP="00A01233">
      <w:pPr>
        <w:pStyle w:val="SingleTxtG"/>
      </w:pPr>
      <w:r>
        <w:tab/>
        <w:t>d)</w:t>
      </w:r>
      <w:r>
        <w:tab/>
        <w:t>сообщениями о сексуальных надругательствах в школах, совершаемых учителями;</w:t>
      </w:r>
    </w:p>
    <w:p w14:paraId="7EBD0252" w14:textId="38E64049" w:rsidR="00A01233" w:rsidRPr="00AF0EB2" w:rsidRDefault="00A01233" w:rsidP="00A01233">
      <w:pPr>
        <w:pStyle w:val="SingleTxtG"/>
      </w:pPr>
      <w:r>
        <w:tab/>
        <w:t>e)</w:t>
      </w:r>
      <w:r>
        <w:tab/>
        <w:t>негативным воздействием пандемии COVID-19 на доступ к образованию, особенно для детей из бедных семей и детей с инвалидностью;</w:t>
      </w:r>
    </w:p>
    <w:p w14:paraId="340F0CC2" w14:textId="743D0E41" w:rsidR="00A01233" w:rsidRPr="00AF0EB2" w:rsidRDefault="00A01233" w:rsidP="00A01233">
      <w:pPr>
        <w:pStyle w:val="SingleTxtG"/>
        <w:rPr>
          <w:szCs w:val="24"/>
        </w:rPr>
      </w:pPr>
      <w:r>
        <w:tab/>
        <w:t>f)</w:t>
      </w:r>
      <w:r>
        <w:tab/>
        <w:t>различиями в доступе к дошкольному образованию, его качестве и стоимости, а также недостаточной бюджетной поддержкой долгосрочного развития и расширения системы дошкольного образования.</w:t>
      </w:r>
    </w:p>
    <w:p w14:paraId="406949D0" w14:textId="714BCCCB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38.</w:t>
      </w:r>
      <w:r>
        <w:tab/>
      </w:r>
      <w:r>
        <w:rPr>
          <w:b/>
          <w:bCs/>
        </w:rPr>
        <w:t xml:space="preserve">Принимая к сведению задачи 4.1, 4.2, 4.5, 4.6 и 4.a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напоминает о своей предыдущей рекомендации</w:t>
      </w:r>
      <w:r w:rsidRPr="00272684">
        <w:rPr>
          <w:rStyle w:val="aa"/>
        </w:rPr>
        <w:footnoteReference w:id="12"/>
      </w:r>
      <w:r>
        <w:rPr>
          <w:b/>
          <w:bCs/>
        </w:rPr>
        <w:t xml:space="preserve"> и рекомендует государству-участнику:</w:t>
      </w:r>
    </w:p>
    <w:p w14:paraId="22419A83" w14:textId="6558B65E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обеспечить эффективную реализацию всех позитивных реформ, а именно субсидий на обучение в начальных школах, стипендиальной поддержки уязвимых детей для посещения средних школ, расширения раннего развития детей через недорогие общинные центры и бесплатного среднего образования;</w:t>
      </w:r>
    </w:p>
    <w:p w14:paraId="49D16749" w14:textId="17591D93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усилить поддержку и помощь беременным подросткам и матерям-подросткам, с тем чтобы они могли продолжать получать образование в общеобразовательных школах, в том числе путем преодоления дискриминационных традиционных взглядов, препятствующих образованию девочек;</w:t>
      </w:r>
    </w:p>
    <w:p w14:paraId="0174313E" w14:textId="50D059AE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устранить различия между показателями записи и удержания мальчиков и девочек в начальной и средней школе;</w:t>
      </w:r>
    </w:p>
    <w:p w14:paraId="6191C334" w14:textId="640D5AC6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повысить качество образования и результаты обучения, в том числе путем пересмотра национального учебного плана в 2023 году, обеспечив профессиональное развитие учителей и гарантировав полную и безопасную доступность школ для всех и оснащение их соответствующей инфраструктурой и образовательными технологиями;</w:t>
      </w:r>
    </w:p>
    <w:p w14:paraId="2FFA9E20" w14:textId="6F6053B7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расследовать все случаи сексуальных надругательств в школах, положить конец безнаказанности и соответствующим образом наказать виновных, а также обеспечить, чтобы у детей были доступные, конфиденциальные, благожелательные к ребенку и эффективные каналы информирования о подобных нарушениях и чтобы они не сталкивались с репрессиями за сообщения о злоупотреблениях;</w:t>
      </w:r>
    </w:p>
    <w:p w14:paraId="3C90F6B6" w14:textId="5D788200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обеспечить восстановление после трудностей, вызванных пандемией COVID-19, и укрепить новые методы обучения путем создания более совершенной инфраструктуры информационных технологий в школах и домах, особенно для детей из бедных семей и детей с инвалидностью;</w:t>
      </w:r>
    </w:p>
    <w:p w14:paraId="205569BA" w14:textId="732010D7" w:rsidR="00A01233" w:rsidRPr="00AF0EB2" w:rsidRDefault="00A01233" w:rsidP="00A00A53">
      <w:pPr>
        <w:pStyle w:val="SingleTxtG"/>
        <w:pageBreakBefore/>
        <w:rPr>
          <w:b/>
          <w:bCs/>
        </w:rPr>
      </w:pPr>
      <w:r w:rsidRPr="00A01233">
        <w:rPr>
          <w:b/>
          <w:bCs/>
        </w:rPr>
        <w:lastRenderedPageBreak/>
        <w:tab/>
        <w:t>g)</w:t>
      </w:r>
      <w:r w:rsidRPr="00A01233">
        <w:rPr>
          <w:b/>
          <w:bCs/>
        </w:rPr>
        <w:tab/>
      </w:r>
      <w:r>
        <w:rPr>
          <w:b/>
          <w:bCs/>
        </w:rPr>
        <w:t>расширить доступ к соответствующему возрасту, качественному, недорогому и инклюзивному дошкольному образованию, с тем чтобы удовлетворить спрос и укрепить использование квалифицированных и лицензированных общинных волонтеров для раннего развития детей.</w:t>
      </w:r>
    </w:p>
    <w:p w14:paraId="07C5D499" w14:textId="407A3210" w:rsidR="00A01233" w:rsidRPr="00AF0EB2" w:rsidRDefault="00A01233" w:rsidP="00A01233">
      <w:pPr>
        <w:pStyle w:val="H1G"/>
      </w:pPr>
      <w:r>
        <w:rPr>
          <w:bCs/>
        </w:rPr>
        <w:tab/>
        <w:t>J.</w:t>
      </w:r>
      <w:r>
        <w:tab/>
      </w:r>
      <w:r>
        <w:tab/>
      </w:r>
      <w:r>
        <w:rPr>
          <w:bCs/>
        </w:rPr>
        <w:t>Особые меры защиты (статьи 22, 30, 32, 33, 35, 36, пп. b)–d) статьи</w:t>
      </w:r>
      <w:r w:rsidR="001D4AF9">
        <w:rPr>
          <w:bCs/>
        </w:rPr>
        <w:t> </w:t>
      </w:r>
      <w:r>
        <w:rPr>
          <w:bCs/>
        </w:rPr>
        <w:t>37 и статьи 38–40)</w:t>
      </w:r>
      <w:bookmarkStart w:id="50" w:name="_Toc33611187"/>
      <w:bookmarkStart w:id="51" w:name="_Toc33611312"/>
      <w:bookmarkEnd w:id="50"/>
      <w:bookmarkEnd w:id="51"/>
    </w:p>
    <w:p w14:paraId="4B79A4C2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bookmarkStart w:id="52" w:name="_Toc528587107"/>
      <w:bookmarkEnd w:id="52"/>
    </w:p>
    <w:p w14:paraId="14B282A4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приветствует создание национального механизма перенаправления и разработку руководящих принципов по определению наилучших интересов ребенка для оказания помощи детям-мигрантам.</w:t>
      </w:r>
      <w:r>
        <w:t xml:space="preserve"> </w:t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в отношении прав человека детей в контексте международной миграции, Комитет рекомендует государству-участнику:</w:t>
      </w:r>
    </w:p>
    <w:p w14:paraId="1F4A9117" w14:textId="2E125035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a)</w:t>
      </w:r>
      <w:r w:rsidRPr="00A01233">
        <w:rPr>
          <w:b/>
          <w:bCs/>
        </w:rPr>
        <w:tab/>
        <w:t>предоставлять альтернативы с целью прекращения содержания под стражей детей из числа просителей убежища, беженцев и мигрантов, а также семей с детьми;</w:t>
      </w:r>
    </w:p>
    <w:p w14:paraId="0AACEC16" w14:textId="0F9BCE6F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обеспечивать, чтобы оценка возраста была междисциплинарной и учитывала наилучшие интересы ребенка;</w:t>
      </w:r>
    </w:p>
    <w:p w14:paraId="26E9BB78" w14:textId="674B2F3F" w:rsidR="00A01233" w:rsidRPr="00AF0EB2" w:rsidRDefault="00A01233" w:rsidP="00A01233">
      <w:pPr>
        <w:pStyle w:val="SingleTxtG"/>
        <w:rPr>
          <w:b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укрепить и обеспечить устойчивое финансирование национального механизма перенаправления для оказания помощи</w:t>
      </w:r>
      <w:r>
        <w:rPr>
          <w:b/>
          <w:bCs/>
        </w:rPr>
        <w:t xml:space="preserve"> детям из числа просителей убежища, беженцев и мигрантов.</w:t>
      </w:r>
    </w:p>
    <w:p w14:paraId="6FC9BC43" w14:textId="77777777" w:rsidR="00A01233" w:rsidRPr="00AF0EB2" w:rsidRDefault="00A01233" w:rsidP="00A01233">
      <w:pPr>
        <w:pStyle w:val="H23G"/>
      </w:pPr>
      <w:bookmarkStart w:id="53" w:name="_Toc33611190"/>
      <w:bookmarkStart w:id="54" w:name="_Toc33611315"/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bookmarkEnd w:id="53"/>
      <w:bookmarkEnd w:id="54"/>
    </w:p>
    <w:p w14:paraId="29485618" w14:textId="0AEF7BE8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40.</w:t>
      </w:r>
      <w:r>
        <w:tab/>
      </w:r>
      <w:r>
        <w:rPr>
          <w:b/>
          <w:bCs/>
        </w:rPr>
        <w:t xml:space="preserve">Принимая к сведению принятие Закона 2019 года о трудовом кодексе и Национального плана действий по искоренению наихудших форм детского труда, Комитет принимает во внимание задачу 8.7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государству-участнику:</w:t>
      </w:r>
    </w:p>
    <w:p w14:paraId="571BA505" w14:textId="4A606332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определить, запретить и устранить опасную практику труда, при которой работающие дети подвергаются воздействию факторов экологического риска, и выявить, что представляет собой легкий труд, разрешенный для детей в возрасте от 13 до 15 лет;</w:t>
      </w:r>
    </w:p>
    <w:p w14:paraId="5A968389" w14:textId="6ECA50CD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решить проблему широкого распространения детского труда в сельском хозяйстве, кустарной добыче полезных ископаемых и домашнем хозяйстве, а также других форм детского труда и ввести дополнительные меры по увеличению записи детей в школы и предотвращению отсева из них;</w:t>
      </w:r>
    </w:p>
    <w:p w14:paraId="5B410CFD" w14:textId="628AA7EE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укрепить трудовую инспекцию и окружные и общинные комитеты по детскому труду;</w:t>
      </w:r>
    </w:p>
    <w:p w14:paraId="699C272A" w14:textId="7C593F2E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обеспечить</w:t>
      </w:r>
      <w:r>
        <w:rPr>
          <w:b/>
          <w:bCs/>
        </w:rPr>
        <w:t>, чтобы дети, отстраненные от работы, получали соответствующее лечение и компенсацию за любой причиненный вред и были интегрированы в образовательную систему.</w:t>
      </w:r>
    </w:p>
    <w:p w14:paraId="26976D9F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1A552DC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напоминает о своей предыдущей рекомендации</w:t>
      </w:r>
      <w:r w:rsidRPr="00272684">
        <w:rPr>
          <w:rStyle w:val="aa"/>
        </w:rPr>
        <w:footnoteReference w:id="13"/>
      </w:r>
      <w:r>
        <w:rPr>
          <w:b/>
          <w:bCs/>
        </w:rPr>
        <w:t xml:space="preserve"> и рекомендует государству-участнику:</w:t>
      </w:r>
    </w:p>
    <w:p w14:paraId="50CADE6C" w14:textId="06D9D33B" w:rsidR="00A01233" w:rsidRPr="00A01233" w:rsidRDefault="00A01233" w:rsidP="00A01233">
      <w:pPr>
        <w:pStyle w:val="SingleTxtG"/>
        <w:rPr>
          <w:b/>
          <w:bCs/>
        </w:rPr>
      </w:pPr>
      <w:r>
        <w:lastRenderedPageBreak/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отдать приоритет услугам по поддержке семьи, реинтеграции семьи, передаче на воспитание родственникам и в приемные семьи перед изъятием детей из ситуаций улицы и помещением их в специализированные учреждения;</w:t>
      </w:r>
    </w:p>
    <w:p w14:paraId="11C3C3FB" w14:textId="6D893A4D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</w:r>
      <w:r>
        <w:rPr>
          <w:b/>
          <w:bCs/>
        </w:rPr>
        <w:t>собирать данные о детях в ситуациях улицы, выявлять и устранять коренные причины этого явления.</w:t>
      </w:r>
    </w:p>
    <w:p w14:paraId="1E42397F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Торговля детьми, их незаконный провоз и похищение</w:t>
      </w:r>
    </w:p>
    <w:p w14:paraId="6DA47149" w14:textId="1FF114D2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</w:r>
      <w:r>
        <w:rPr>
          <w:b/>
          <w:bCs/>
        </w:rPr>
        <w:t>Комитет отмечает рост числа детей-жертв коммерческой эксплуатации, включая сексуальную эксплуатацию детей в целях проституции и сексуальную эксплуатацию девочек в барах и публичных домах, а также незаконный провоз детей в приграничных районах.</w:t>
      </w:r>
      <w:r>
        <w:t xml:space="preserve"> </w:t>
      </w:r>
      <w:r>
        <w:rPr>
          <w:b/>
          <w:bCs/>
        </w:rPr>
        <w:t xml:space="preserve">Принимая к сведению задачу 8.7 </w:t>
      </w:r>
      <w:r w:rsidR="000773E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напоминает о своей предыдущей рекомендации</w:t>
      </w:r>
      <w:r w:rsidRPr="00272684">
        <w:rPr>
          <w:rStyle w:val="aa"/>
        </w:rPr>
        <w:footnoteReference w:id="14"/>
      </w:r>
      <w:r>
        <w:rPr>
          <w:b/>
          <w:bCs/>
        </w:rPr>
        <w:t xml:space="preserve"> и рекомендует государству-участнику:</w:t>
      </w:r>
    </w:p>
    <w:p w14:paraId="589AE78B" w14:textId="448E7AD5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принять срочные меры по расследованию, наказанию и предупреждению коммерческой эксплуатации, включая сексуальную эксплуатацию детей в целях проституции и сексуальную эксплуатацию девочек в барах и публичных домах;</w:t>
      </w:r>
    </w:p>
    <w:p w14:paraId="49B19A3C" w14:textId="290B15B9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усилить подготовку специалистов, занимающихся выявлением детей-жертв торговли людьми и их направлением в соответствующие службы;</w:t>
      </w:r>
    </w:p>
    <w:p w14:paraId="3D76C85D" w14:textId="70181219" w:rsidR="00A01233" w:rsidRPr="001B1272" w:rsidRDefault="00A01233" w:rsidP="001B1272">
      <w:pPr>
        <w:pStyle w:val="SingleTxtG"/>
        <w:rPr>
          <w:b/>
          <w:bCs/>
        </w:rPr>
      </w:pPr>
      <w:r w:rsidRPr="001B1272">
        <w:rPr>
          <w:b/>
          <w:bCs/>
        </w:rPr>
        <w:tab/>
        <w:t>c)</w:t>
      </w:r>
      <w:r w:rsidRPr="001B1272">
        <w:rPr>
          <w:b/>
          <w:bCs/>
        </w:rPr>
        <w:tab/>
        <w:t>обеспечить эффективное оказание консультативной помощи и поддержки детям, которые стали жертвами торговли детьми и их незаконного провоза</w:t>
      </w:r>
      <w:r w:rsidR="001B1272" w:rsidRPr="001B1272">
        <w:rPr>
          <w:b/>
          <w:bCs/>
        </w:rPr>
        <w:t>.</w:t>
      </w:r>
    </w:p>
    <w:p w14:paraId="10F16617" w14:textId="77777777" w:rsidR="00A01233" w:rsidRPr="00AF0EB2" w:rsidRDefault="00A01233" w:rsidP="00A01233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bookmarkStart w:id="55" w:name="_Toc33611191"/>
      <w:bookmarkStart w:id="56" w:name="_Toc33611316"/>
      <w:bookmarkEnd w:id="55"/>
      <w:bookmarkEnd w:id="56"/>
    </w:p>
    <w:p w14:paraId="17E62CB7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43.</w:t>
      </w:r>
      <w:r>
        <w:tab/>
        <w:t>Комитет отмечает введение в действие законодательства о расширении юрисдикции судов по делам семьи и детей, принятие Закона 2021 года о юридической помощи, а также разработку и экспериментальную реализацию в 2018 году Национальной программы использования несудебных средств. Вместе с тем Комитет по-прежнему серьезно обеспокоен тем, что:</w:t>
      </w:r>
    </w:p>
    <w:p w14:paraId="744E3055" w14:textId="0CF5DA08" w:rsidR="00A01233" w:rsidRPr="00AF0EB2" w:rsidRDefault="00A01233" w:rsidP="00A01233">
      <w:pPr>
        <w:pStyle w:val="SingleTxtG"/>
      </w:pPr>
      <w:r>
        <w:tab/>
        <w:t>a)</w:t>
      </w:r>
      <w:r>
        <w:tab/>
        <w:t>специализированные суды по делам семьи и детей еще не функционируют, а отдел по семейным делам в судебной системе не располагает необходимыми кадровыми, финансовыми и техническими ресурсами для работы;</w:t>
      </w:r>
    </w:p>
    <w:p w14:paraId="76A1347F" w14:textId="31927EBE" w:rsidR="00A01233" w:rsidRPr="00AF0EB2" w:rsidRDefault="00A01233" w:rsidP="00A01233">
      <w:pPr>
        <w:pStyle w:val="SingleTxtG"/>
      </w:pPr>
      <w:r>
        <w:tab/>
        <w:t>b)</w:t>
      </w:r>
      <w:r>
        <w:tab/>
        <w:t xml:space="preserve">минимальный возраст наступления уголовной ответственности </w:t>
      </w:r>
      <w:r w:rsidR="00A00A53">
        <w:br/>
      </w:r>
      <w:r>
        <w:t>по-прежнему установлен на уровне 8 лет, а законопроект о кодексе законов о детях, в котором предлагается повысить его до 14 лет, еще не принят;</w:t>
      </w:r>
    </w:p>
    <w:p w14:paraId="2167E3A6" w14:textId="5728F809" w:rsidR="00A01233" w:rsidRPr="00AF0EB2" w:rsidRDefault="00A01233" w:rsidP="00A01233">
      <w:pPr>
        <w:pStyle w:val="SingleTxtG"/>
      </w:pPr>
      <w:r>
        <w:tab/>
        <w:t>c)</w:t>
      </w:r>
      <w:r>
        <w:tab/>
        <w:t>Закон о юридической помощи еще не полностью реализован, и детям до сих пор не гарантировано бесплатное юридическое представительство;</w:t>
      </w:r>
    </w:p>
    <w:p w14:paraId="2995265B" w14:textId="59C059B8" w:rsidR="00A01233" w:rsidRPr="00AF0EB2" w:rsidRDefault="00A01233" w:rsidP="00A01233">
      <w:pPr>
        <w:pStyle w:val="SingleTxtG"/>
      </w:pPr>
      <w:r>
        <w:tab/>
        <w:t>d)</w:t>
      </w:r>
      <w:r>
        <w:tab/>
        <w:t>чрезмерное использование содержания под стражей в досудебных и послесудебных процедурах по-прежнему широко распространено;</w:t>
      </w:r>
    </w:p>
    <w:p w14:paraId="59ED3CBC" w14:textId="433EC9A0" w:rsidR="00A01233" w:rsidRPr="00AF0EB2" w:rsidRDefault="00A01233" w:rsidP="00A01233">
      <w:pPr>
        <w:pStyle w:val="SingleTxtG"/>
      </w:pPr>
      <w:r>
        <w:tab/>
        <w:t>e)</w:t>
      </w:r>
      <w:r>
        <w:tab/>
        <w:t>внесудебные меры, такие как выведение несовершеннолетних правонарушителей из системы уголовного правосудия, посредничество и психологическая помощь, недостаточно используются на практике;</w:t>
      </w:r>
    </w:p>
    <w:p w14:paraId="7D3FE3AA" w14:textId="5AC9DA89" w:rsidR="00A01233" w:rsidRPr="00AF0EB2" w:rsidRDefault="00A01233" w:rsidP="00A01233">
      <w:pPr>
        <w:pStyle w:val="SingleTxtG"/>
      </w:pPr>
      <w:r>
        <w:tab/>
        <w:t>f)</w:t>
      </w:r>
      <w:r>
        <w:tab/>
        <w:t>в некоторых случаях дети по-прежнему содержатся под стражей вместе со взрослыми.</w:t>
      </w:r>
    </w:p>
    <w:p w14:paraId="170DFC21" w14:textId="77777777" w:rsidR="00A01233" w:rsidRPr="001B1272" w:rsidRDefault="00A01233" w:rsidP="001B1272">
      <w:pPr>
        <w:pStyle w:val="SingleTxtG"/>
        <w:rPr>
          <w:b/>
          <w:bCs/>
        </w:rPr>
      </w:pPr>
      <w:r>
        <w:t>44.</w:t>
      </w:r>
      <w:r>
        <w:tab/>
      </w:r>
      <w:r w:rsidRPr="001B1272">
        <w:rPr>
          <w:b/>
          <w:bCs/>
        </w:rPr>
        <w:t xml:space="preserve">Ссылаясь на свое замечание общего порядка № 24 (2019) о правах ребенка в системе правосудия в отношении детей и на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</w:t>
      </w:r>
      <w:r w:rsidRPr="001B1272">
        <w:rPr>
          <w:b/>
          <w:bCs/>
        </w:rPr>
        <w:lastRenderedPageBreak/>
        <w:t>Конвенцией и другими актуальными стандартами. В частности, Комитет настоятельно призывает государство-участник:</w:t>
      </w:r>
    </w:p>
    <w:p w14:paraId="0E8E2BC6" w14:textId="337DD7E6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a)</w:t>
      </w:r>
      <w:r w:rsidRPr="00A01233">
        <w:rPr>
          <w:b/>
          <w:bCs/>
        </w:rPr>
        <w:tab/>
        <w:t>ускорить введение в действие судов по делам семьи и детей, обеспечив их достаточным объемом кадровых, технических и финансовых ресурсов, назначить специализированных судей по делам детей и обеспечить их надлежащую подготовку;</w:t>
      </w:r>
    </w:p>
    <w:p w14:paraId="7F31FDBA" w14:textId="6364F7A8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незамедлительно повысить минимальный возраст наступления уголовной ответственности как минимум до 14 лет, принять законопроект о кодексе законов о детях и внести поправки в Уголовный кодекс;</w:t>
      </w:r>
    </w:p>
    <w:p w14:paraId="3BDFCE9E" w14:textId="7D9F4D49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c)</w:t>
      </w:r>
      <w:r w:rsidRPr="00A01233">
        <w:rPr>
          <w:b/>
          <w:bCs/>
        </w:rPr>
        <w:tab/>
        <w:t>ускорить выполнение Закона о юридической помощи и обеспечить оказание квалифицированной и независимой юридической помощи детям, которые предположительно нарушили нормы уголовного права, а также обвиняются или признаны виновными в таких нарушениях, на ранней стадии судопроизводства и в течение всего судебного разбирательства;</w:t>
      </w:r>
    </w:p>
    <w:p w14:paraId="14065B98" w14:textId="0A3A6773" w:rsidR="00A01233" w:rsidRPr="00A01233" w:rsidRDefault="00A01233" w:rsidP="00A01233">
      <w:pPr>
        <w:pStyle w:val="SingleTxtG"/>
        <w:rPr>
          <w:rFonts w:eastAsia="Calibri"/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обеспечить,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</w:t>
      </w:r>
    </w:p>
    <w:p w14:paraId="52F481AD" w14:textId="25961899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  <w:t>систематически реализовывать Национальную программу использования несудебных средств путем продвижения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 общественные работы;</w:t>
      </w:r>
    </w:p>
    <w:p w14:paraId="091FB12D" w14:textId="2376F4B2" w:rsidR="00A01233" w:rsidRPr="00AF0EB2" w:rsidRDefault="00A01233" w:rsidP="00A01233">
      <w:pPr>
        <w:pStyle w:val="SingleTxtG"/>
        <w:rPr>
          <w:b/>
        </w:rPr>
      </w:pPr>
      <w:r w:rsidRPr="00A01233">
        <w:rPr>
          <w:b/>
          <w:bCs/>
        </w:rPr>
        <w:tab/>
        <w:t>f)</w:t>
      </w:r>
      <w:r w:rsidRPr="00A01233">
        <w:rPr>
          <w:b/>
          <w:bCs/>
        </w:rPr>
        <w:tab/>
        <w:t>в тех немногих</w:t>
      </w:r>
      <w:r>
        <w:rPr>
          <w:b/>
          <w:bCs/>
        </w:rPr>
        <w:t xml:space="preserve"> ситуациях, когда лишение свободы оправдано в качестве крайней меры, обеспечивать, чтобы соответствующие дети не содержались под стражей вместе со взрослыми и чтобы условия содержания соответствовали международным стандартам, в том числе в отношении доступа к образованию и медицинскому обслуживанию, размещению, профессиональной подготовке и психиатрической помощи и лечению.</w:t>
      </w:r>
    </w:p>
    <w:p w14:paraId="1FDCD155" w14:textId="77777777" w:rsidR="00A01233" w:rsidRPr="00AF0EB2" w:rsidRDefault="00A01233" w:rsidP="00A01233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в условиях вооруженного конфликта</w:t>
      </w:r>
    </w:p>
    <w:p w14:paraId="75577661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внести поправки в пункт 2 статьи 14 Закона об обороне, запретив призыв на военную службу детей в возрасте до 18 лет без каких-либо исключений.</w:t>
      </w:r>
    </w:p>
    <w:p w14:paraId="37655289" w14:textId="7DD073A9" w:rsidR="00A01233" w:rsidRPr="00AF0EB2" w:rsidRDefault="00A01233" w:rsidP="00A01233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tab/>
      </w:r>
      <w:r>
        <w:rPr>
          <w:bCs/>
        </w:rPr>
        <w:t>Ратификация Факультативных протоколов к Конвенции</w:t>
      </w:r>
      <w:bookmarkStart w:id="57" w:name="_Toc33611192"/>
      <w:bookmarkStart w:id="58" w:name="_Toc33611317"/>
      <w:bookmarkEnd w:id="57"/>
      <w:bookmarkEnd w:id="58"/>
    </w:p>
    <w:p w14:paraId="451C2FC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участия детей в вооруженных конфликтах, Факультативный протокол, касающийся торговли детьми, детской проституции и детской порнографии, и Факультативный протокол, касающийся процедуры сообщений.</w:t>
      </w:r>
    </w:p>
    <w:p w14:paraId="6562CA19" w14:textId="40F203D2" w:rsidR="00A01233" w:rsidRPr="00AF0EB2" w:rsidRDefault="00A01233" w:rsidP="00A01233">
      <w:pPr>
        <w:pStyle w:val="H1G"/>
      </w:pPr>
      <w:r>
        <w:rPr>
          <w:bCs/>
        </w:rPr>
        <w:tab/>
        <w:t>L.</w:t>
      </w:r>
      <w:r>
        <w:tab/>
      </w:r>
      <w:r>
        <w:tab/>
      </w:r>
      <w:r>
        <w:rPr>
          <w:bCs/>
        </w:rPr>
        <w:t>Ратификация международных договоров по правам человека</w:t>
      </w:r>
      <w:bookmarkStart w:id="59" w:name="_Toc33611196"/>
      <w:bookmarkStart w:id="60" w:name="_Toc33611321"/>
      <w:bookmarkEnd w:id="59"/>
      <w:bookmarkEnd w:id="60"/>
    </w:p>
    <w:p w14:paraId="19F0203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2C118101" w14:textId="1F8958A5" w:rsidR="00A01233" w:rsidRPr="00A01233" w:rsidRDefault="00A01233" w:rsidP="00A01233">
      <w:pPr>
        <w:pStyle w:val="SingleTxtG"/>
        <w:rPr>
          <w:b/>
          <w:bCs/>
        </w:rPr>
      </w:pPr>
      <w:r>
        <w:tab/>
      </w:r>
      <w:r w:rsidRPr="00A01233">
        <w:rPr>
          <w:b/>
          <w:bCs/>
        </w:rPr>
        <w:t>a)</w:t>
      </w:r>
      <w:r w:rsidRPr="00A01233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368EC9B9" w14:textId="731A851C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b)</w:t>
      </w:r>
      <w:r w:rsidRPr="00A01233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правах;</w:t>
      </w:r>
    </w:p>
    <w:p w14:paraId="1EDD8731" w14:textId="5B7174D6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lastRenderedPageBreak/>
        <w:tab/>
        <w:t>c)</w:t>
      </w:r>
      <w:r w:rsidRPr="00A01233">
        <w:rPr>
          <w:b/>
          <w:bCs/>
        </w:rPr>
        <w:tab/>
        <w:t>Факультативного протокола к Конвенции о ликвидации всех форм дискриминации в отношении женщин;</w:t>
      </w:r>
    </w:p>
    <w:p w14:paraId="33981321" w14:textId="2A9C24B6" w:rsidR="00A01233" w:rsidRPr="00A01233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d)</w:t>
      </w:r>
      <w:r w:rsidRPr="00A01233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6C22B8E5" w14:textId="43393455" w:rsidR="00A01233" w:rsidRPr="00AF0EB2" w:rsidRDefault="00A01233" w:rsidP="00A01233">
      <w:pPr>
        <w:pStyle w:val="SingleTxtG"/>
        <w:rPr>
          <w:b/>
          <w:bCs/>
        </w:rPr>
      </w:pPr>
      <w:r w:rsidRPr="00A01233">
        <w:rPr>
          <w:b/>
          <w:bCs/>
        </w:rPr>
        <w:tab/>
        <w:t>e)</w:t>
      </w:r>
      <w:r w:rsidRPr="00A01233">
        <w:rPr>
          <w:b/>
          <w:bCs/>
        </w:rPr>
        <w:tab/>
      </w:r>
      <w:r>
        <w:rPr>
          <w:b/>
          <w:bCs/>
        </w:rPr>
        <w:t>Факультативного протокола к Конвенции о правах инвалидов.</w:t>
      </w:r>
    </w:p>
    <w:p w14:paraId="0B1C1637" w14:textId="04996F08" w:rsidR="00A01233" w:rsidRPr="00AF0EB2" w:rsidRDefault="00A01233" w:rsidP="00A01233">
      <w:pPr>
        <w:pStyle w:val="H1G"/>
      </w:pPr>
      <w:r>
        <w:rPr>
          <w:bCs/>
        </w:rPr>
        <w:tab/>
        <w:t>M.</w:t>
      </w:r>
      <w:r>
        <w:rPr>
          <w:bCs/>
        </w:rPr>
        <w:tab/>
      </w:r>
      <w:r>
        <w:tab/>
      </w:r>
      <w:r>
        <w:rPr>
          <w:bCs/>
        </w:rPr>
        <w:t>Сотрудничество с региональными органами</w:t>
      </w:r>
      <w:bookmarkStart w:id="61" w:name="_Toc33611197"/>
      <w:bookmarkStart w:id="62" w:name="_Toc33611322"/>
      <w:bookmarkEnd w:id="61"/>
      <w:bookmarkEnd w:id="62"/>
    </w:p>
    <w:p w14:paraId="4F8CFA8C" w14:textId="5C15187D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</w:t>
      </w:r>
      <w:r w:rsidR="00A00A53">
        <w:rPr>
          <w:b/>
          <w:bCs/>
        </w:rPr>
        <w:br/>
      </w:r>
      <w:r>
        <w:rPr>
          <w:b/>
          <w:bCs/>
        </w:rPr>
        <w:t>по правам человека как в самом государстве-участнике, так и в других государствах — членах Африканского союза.</w:t>
      </w:r>
    </w:p>
    <w:p w14:paraId="6E749A08" w14:textId="0D454AB2" w:rsidR="00A01233" w:rsidRPr="00AF0EB2" w:rsidRDefault="00A01233" w:rsidP="00A01233">
      <w:pPr>
        <w:pStyle w:val="HChG"/>
      </w:pPr>
      <w:r>
        <w:rPr>
          <w:bCs/>
        </w:rPr>
        <w:tab/>
        <w:t>IV.</w:t>
      </w:r>
      <w:r>
        <w:tab/>
      </w:r>
      <w:r>
        <w:tab/>
      </w:r>
      <w:r>
        <w:rPr>
          <w:bCs/>
        </w:rPr>
        <w:t>Меры по осуществлению и представление докладов</w:t>
      </w:r>
      <w:bookmarkStart w:id="63" w:name="_Toc33611198"/>
      <w:bookmarkStart w:id="64" w:name="_Toc33611323"/>
      <w:bookmarkEnd w:id="63"/>
      <w:bookmarkEnd w:id="64"/>
    </w:p>
    <w:p w14:paraId="0A46288F" w14:textId="364F3866" w:rsidR="00A01233" w:rsidRPr="00AF0EB2" w:rsidRDefault="00A01233" w:rsidP="00A01233">
      <w:pPr>
        <w:pStyle w:val="H1G"/>
      </w:pPr>
      <w:r>
        <w:rPr>
          <w:bCs/>
        </w:rPr>
        <w:tab/>
        <w:t>A.</w:t>
      </w:r>
      <w:r>
        <w:tab/>
      </w:r>
      <w:r>
        <w:tab/>
      </w:r>
      <w:r>
        <w:rPr>
          <w:bCs/>
        </w:rPr>
        <w:t>Последующие меры и распространение информации</w:t>
      </w:r>
      <w:bookmarkStart w:id="65" w:name="_Toc33611199"/>
      <w:bookmarkStart w:id="66" w:name="_Toc33611324"/>
      <w:bookmarkEnd w:id="65"/>
      <w:bookmarkEnd w:id="66"/>
    </w:p>
    <w:p w14:paraId="408EAEF8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обеспечить широкое распространение объединенных пятого–седьмого периодических докладов и настоящих заключительных замечаний на языках страны.</w:t>
      </w:r>
    </w:p>
    <w:p w14:paraId="3CDB42B3" w14:textId="33786C1F" w:rsidR="00A01233" w:rsidRPr="00AF0EB2" w:rsidRDefault="00A01233" w:rsidP="00A01233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>
        <w:rPr>
          <w:bCs/>
          <w:lang w:val="en-US"/>
        </w:rPr>
        <w:t> </w:t>
      </w:r>
      <w:r>
        <w:rPr>
          <w:bCs/>
        </w:rPr>
        <w:t>осуществления последующих мер</w:t>
      </w:r>
    </w:p>
    <w:p w14:paraId="429AA85D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учредить постоянную правительственную структуру и обеспечить наличие у нее мандата и достаточного объема кадровых, технических и финансовых ресурсов для эффективной координации и подготовки докладов международным и региональным механизмам по правам человека и взаимодействия с ними,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в поддержку работы такой структуры должен быть выделен на постоянной основе и в достаточном количестве специальный персонал и у нее должна быть возможность проводить систематические консультации с Комиссией по правам человека Замбии и гражданским обществом.</w:t>
      </w:r>
    </w:p>
    <w:p w14:paraId="4239E1BC" w14:textId="0AFE495B" w:rsidR="00A01233" w:rsidRPr="00AF0EB2" w:rsidRDefault="00A01233" w:rsidP="00A01233">
      <w:pPr>
        <w:pStyle w:val="H1G"/>
      </w:pPr>
      <w:r>
        <w:rPr>
          <w:bCs/>
        </w:rPr>
        <w:tab/>
        <w:t>C.</w:t>
      </w:r>
      <w:r>
        <w:tab/>
      </w:r>
      <w:r>
        <w:tab/>
      </w:r>
      <w:r>
        <w:rPr>
          <w:bCs/>
        </w:rPr>
        <w:t>Следующий доклад</w:t>
      </w:r>
      <w:bookmarkStart w:id="67" w:name="_Toc33611200"/>
      <w:bookmarkStart w:id="68" w:name="_Toc33611325"/>
      <w:bookmarkEnd w:id="67"/>
      <w:bookmarkEnd w:id="68"/>
    </w:p>
    <w:p w14:paraId="4195BCF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51.</w:t>
      </w:r>
      <w:r>
        <w:tab/>
      </w:r>
      <w:r>
        <w:rPr>
          <w:b/>
          <w:bCs/>
        </w:rPr>
        <w:t>Комитет предлагает государству-участнику представить свой восьмой периодический доклад к 4 января 2027 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272684">
        <w:rPr>
          <w:rStyle w:val="aa"/>
        </w:rPr>
        <w:footnoteReference w:id="15"/>
      </w:r>
      <w:r>
        <w:rPr>
          <w:b/>
          <w:bCs/>
        </w:rPr>
        <w:t>, а его объем не должен превышать 21 200 слов</w:t>
      </w:r>
      <w:r w:rsidRPr="00272684">
        <w:rPr>
          <w:rStyle w:val="aa"/>
        </w:rPr>
        <w:footnoteReference w:id="1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288031FE" w14:textId="77777777" w:rsidR="00A01233" w:rsidRPr="00AF0EB2" w:rsidRDefault="00A01233" w:rsidP="00A0123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52.</w:t>
      </w:r>
      <w:r>
        <w:tab/>
      </w:r>
      <w:r>
        <w:rPr>
          <w:b/>
          <w:bCs/>
        </w:rPr>
        <w:t>Комитет предлагает также государству-участнику представить обновленный базовый документ, не превышающий по объему 42 400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и пункте 16 резолюции 68/268 Генеральной Ассамблеи.</w:t>
      </w:r>
    </w:p>
    <w:p w14:paraId="590AAF52" w14:textId="77777777" w:rsidR="00A01233" w:rsidRPr="00AF0EB2" w:rsidRDefault="00A01233" w:rsidP="00A01233">
      <w:pPr>
        <w:spacing w:before="240"/>
        <w:jc w:val="center"/>
        <w:rPr>
          <w:rFonts w:eastAsiaTheme="minorEastAsia"/>
        </w:rPr>
      </w:pPr>
      <w:r w:rsidRPr="00AF0EB2">
        <w:rPr>
          <w:u w:val="single"/>
        </w:rPr>
        <w:tab/>
      </w:r>
      <w:r w:rsidRPr="00AF0EB2">
        <w:rPr>
          <w:u w:val="single"/>
        </w:rPr>
        <w:tab/>
      </w:r>
      <w:r w:rsidRPr="00AF0EB2">
        <w:rPr>
          <w:u w:val="single"/>
        </w:rPr>
        <w:tab/>
      </w:r>
    </w:p>
    <w:p w14:paraId="4D75D2AD" w14:textId="5A68C0E7" w:rsidR="00A01233" w:rsidRDefault="00A01233" w:rsidP="002E685D"/>
    <w:sectPr w:rsidR="00A01233" w:rsidSect="00A012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C9B7" w14:textId="77777777" w:rsidR="00034337" w:rsidRPr="00A312BC" w:rsidRDefault="00034337" w:rsidP="00A312BC"/>
  </w:endnote>
  <w:endnote w:type="continuationSeparator" w:id="0">
    <w:p w14:paraId="11842CB7" w14:textId="77777777" w:rsidR="00034337" w:rsidRPr="00A312BC" w:rsidRDefault="0003433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34CF" w14:textId="5CB739C3" w:rsidR="00A01233" w:rsidRPr="00A01233" w:rsidRDefault="00A01233">
    <w:pPr>
      <w:pStyle w:val="a8"/>
    </w:pPr>
    <w:r w:rsidRPr="00A01233">
      <w:rPr>
        <w:b/>
        <w:sz w:val="18"/>
      </w:rPr>
      <w:fldChar w:fldCharType="begin"/>
    </w:r>
    <w:r w:rsidRPr="00A01233">
      <w:rPr>
        <w:b/>
        <w:sz w:val="18"/>
      </w:rPr>
      <w:instrText xml:space="preserve"> PAGE  \* MERGEFORMAT </w:instrText>
    </w:r>
    <w:r w:rsidRPr="00A01233">
      <w:rPr>
        <w:b/>
        <w:sz w:val="18"/>
      </w:rPr>
      <w:fldChar w:fldCharType="separate"/>
    </w:r>
    <w:r w:rsidRPr="00A01233">
      <w:rPr>
        <w:b/>
        <w:noProof/>
        <w:sz w:val="18"/>
      </w:rPr>
      <w:t>2</w:t>
    </w:r>
    <w:r w:rsidRPr="00A01233">
      <w:rPr>
        <w:b/>
        <w:sz w:val="18"/>
      </w:rPr>
      <w:fldChar w:fldCharType="end"/>
    </w:r>
    <w:r>
      <w:rPr>
        <w:b/>
        <w:sz w:val="18"/>
      </w:rPr>
      <w:tab/>
    </w:r>
    <w:r>
      <w:t>GE.22-10066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B200F" w14:textId="7977620A" w:rsidR="00A01233" w:rsidRPr="00A01233" w:rsidRDefault="00A01233" w:rsidP="00A01233">
    <w:pPr>
      <w:pStyle w:val="a8"/>
      <w:tabs>
        <w:tab w:val="clear" w:pos="9639"/>
        <w:tab w:val="right" w:pos="9638"/>
      </w:tabs>
      <w:rPr>
        <w:b/>
        <w:sz w:val="18"/>
      </w:rPr>
    </w:pPr>
    <w:r>
      <w:t>GE.22-10066</w:t>
    </w:r>
    <w:r>
      <w:tab/>
    </w:r>
    <w:r w:rsidRPr="00A01233">
      <w:rPr>
        <w:b/>
        <w:sz w:val="18"/>
      </w:rPr>
      <w:fldChar w:fldCharType="begin"/>
    </w:r>
    <w:r w:rsidRPr="00A01233">
      <w:rPr>
        <w:b/>
        <w:sz w:val="18"/>
      </w:rPr>
      <w:instrText xml:space="preserve"> PAGE  \* MERGEFORMAT </w:instrText>
    </w:r>
    <w:r w:rsidRPr="00A01233">
      <w:rPr>
        <w:b/>
        <w:sz w:val="18"/>
      </w:rPr>
      <w:fldChar w:fldCharType="separate"/>
    </w:r>
    <w:r w:rsidRPr="00A01233">
      <w:rPr>
        <w:b/>
        <w:noProof/>
        <w:sz w:val="18"/>
      </w:rPr>
      <w:t>3</w:t>
    </w:r>
    <w:r w:rsidRPr="00A012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833F" w14:textId="07145137" w:rsidR="00042B72" w:rsidRPr="00571FA3" w:rsidRDefault="00A01233" w:rsidP="00A0123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03A105" wp14:editId="534ECD8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22-10066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DEFE936" wp14:editId="377B64B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FA3">
      <w:rPr>
        <w:lang w:val="en-US"/>
      </w:rPr>
      <w:t xml:space="preserve">  </w:t>
    </w:r>
    <w:r w:rsidR="000B68CB">
      <w:rPr>
        <w:lang w:val="en-US"/>
      </w:rPr>
      <w:t>131</w:t>
    </w:r>
    <w:r w:rsidR="00571FA3">
      <w:rPr>
        <w:lang w:val="en-US"/>
      </w:rPr>
      <w:t>022  1</w:t>
    </w:r>
    <w:r w:rsidR="000B68CB">
      <w:rPr>
        <w:lang w:val="en-US"/>
      </w:rPr>
      <w:t>5</w:t>
    </w:r>
    <w:r w:rsidR="00571FA3">
      <w:rPr>
        <w:lang w:val="en-US"/>
      </w:rPr>
      <w:t>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9A052" w14:textId="77777777" w:rsidR="00034337" w:rsidRPr="001075E9" w:rsidRDefault="0003433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E7BB22" w14:textId="77777777" w:rsidR="00034337" w:rsidRDefault="0003433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F4B2A9" w14:textId="09E216B3" w:rsidR="00A01233" w:rsidRPr="00AF0EB2" w:rsidRDefault="00A01233" w:rsidP="00A01233">
      <w:pPr>
        <w:pStyle w:val="ad"/>
      </w:pPr>
      <w:r>
        <w:tab/>
      </w:r>
      <w:r w:rsidRPr="00A01233">
        <w:rPr>
          <w:sz w:val="20"/>
        </w:rPr>
        <w:t>*</w:t>
      </w:r>
      <w:r>
        <w:tab/>
        <w:t>Приняты Комитетом на его девяностой сессии (3 мая — 3 июня 2022 года).</w:t>
      </w:r>
    </w:p>
  </w:footnote>
  <w:footnote w:id="2">
    <w:p w14:paraId="0B76B705" w14:textId="0483CACD" w:rsidR="00A01233" w:rsidRPr="00AF0EB2" w:rsidRDefault="00A01233" w:rsidP="00A01233">
      <w:pPr>
        <w:pStyle w:val="ad"/>
        <w:rPr>
          <w:lang w:val="de-DE"/>
        </w:rPr>
      </w:pPr>
      <w:r>
        <w:tab/>
      </w:r>
      <w:r w:rsidRPr="00272684">
        <w:rPr>
          <w:rStyle w:val="aa"/>
        </w:rPr>
        <w:footnoteRef/>
      </w:r>
      <w:r w:rsidRPr="00AF0EB2">
        <w:rPr>
          <w:lang w:val="de-DE"/>
        </w:rPr>
        <w:tab/>
      </w:r>
      <w:hyperlink r:id="rId1" w:history="1">
        <w:r w:rsidR="006571E6" w:rsidRPr="006571E6">
          <w:rPr>
            <w:rStyle w:val="af1"/>
            <w:lang w:val="en-US"/>
          </w:rPr>
          <w:t>CRC</w:t>
        </w:r>
        <w:r w:rsidR="006571E6" w:rsidRPr="000B68CB">
          <w:rPr>
            <w:rStyle w:val="af1"/>
          </w:rPr>
          <w:t>/</w:t>
        </w:r>
        <w:r w:rsidR="006571E6" w:rsidRPr="006571E6">
          <w:rPr>
            <w:rStyle w:val="af1"/>
            <w:lang w:val="en-US"/>
          </w:rPr>
          <w:t>C</w:t>
        </w:r>
        <w:r w:rsidR="006571E6" w:rsidRPr="000B68CB">
          <w:rPr>
            <w:rStyle w:val="af1"/>
          </w:rPr>
          <w:t>/</w:t>
        </w:r>
        <w:r w:rsidR="006571E6" w:rsidRPr="006571E6">
          <w:rPr>
            <w:rStyle w:val="af1"/>
            <w:lang w:val="en-US"/>
          </w:rPr>
          <w:t>ZMB</w:t>
        </w:r>
        <w:r w:rsidR="006571E6" w:rsidRPr="000B68CB">
          <w:rPr>
            <w:rStyle w:val="af1"/>
          </w:rPr>
          <w:t>/5-7</w:t>
        </w:r>
      </w:hyperlink>
      <w:r w:rsidR="006571E6" w:rsidRPr="000B68CB">
        <w:t>.</w:t>
      </w:r>
    </w:p>
  </w:footnote>
  <w:footnote w:id="3">
    <w:p w14:paraId="517D3599" w14:textId="2305D0A8" w:rsidR="006571E6" w:rsidRPr="006571E6" w:rsidRDefault="006571E6" w:rsidP="006571E6">
      <w:pPr>
        <w:pStyle w:val="ad"/>
        <w:rPr>
          <w:lang w:val="de-DE"/>
        </w:rPr>
      </w:pPr>
      <w:r w:rsidRPr="00AF0EB2">
        <w:rPr>
          <w:lang w:val="de-DE"/>
        </w:rPr>
        <w:tab/>
      </w:r>
      <w:r w:rsidRPr="00272684">
        <w:rPr>
          <w:rStyle w:val="aa"/>
        </w:rPr>
        <w:footnoteRef/>
      </w:r>
      <w:r w:rsidRPr="006571E6">
        <w:rPr>
          <w:lang w:val="de-DE"/>
        </w:rPr>
        <w:tab/>
      </w:r>
      <w:r>
        <w:t>См</w:t>
      </w:r>
      <w:r w:rsidRPr="00AF0EB2">
        <w:rPr>
          <w:lang w:val="de-DE"/>
        </w:rPr>
        <w:t xml:space="preserve">. </w:t>
      </w:r>
      <w:hyperlink r:id="rId2" w:history="1">
        <w:r w:rsidRPr="006571E6">
          <w:rPr>
            <w:rStyle w:val="af1"/>
            <w:lang w:val="de-DE"/>
          </w:rPr>
          <w:t>CRC/C/SR.2612</w:t>
        </w:r>
      </w:hyperlink>
      <w:r w:rsidRPr="00AF0EB2">
        <w:rPr>
          <w:lang w:val="de-DE"/>
        </w:rPr>
        <w:t xml:space="preserve"> </w:t>
      </w:r>
      <w:r>
        <w:t>и</w:t>
      </w:r>
      <w:r w:rsidRPr="00AF0EB2">
        <w:rPr>
          <w:lang w:val="de-DE"/>
        </w:rPr>
        <w:t xml:space="preserve"> </w:t>
      </w:r>
      <w:hyperlink r:id="rId3" w:history="1">
        <w:r w:rsidRPr="006571E6">
          <w:rPr>
            <w:rStyle w:val="af1"/>
            <w:lang w:val="de-DE"/>
          </w:rPr>
          <w:t>CRC/C/SR.2613</w:t>
        </w:r>
      </w:hyperlink>
      <w:r w:rsidRPr="00AF0EB2">
        <w:rPr>
          <w:lang w:val="de-DE"/>
        </w:rPr>
        <w:t>.</w:t>
      </w:r>
    </w:p>
  </w:footnote>
  <w:footnote w:id="4">
    <w:p w14:paraId="1A88FA00" w14:textId="31252E66" w:rsidR="00A01233" w:rsidRPr="00A01233" w:rsidRDefault="00A01233" w:rsidP="00A01233">
      <w:pPr>
        <w:pStyle w:val="ad"/>
        <w:rPr>
          <w:lang w:val="en-US"/>
        </w:rPr>
      </w:pPr>
      <w:r w:rsidRPr="006571E6">
        <w:rPr>
          <w:lang w:val="de-DE"/>
        </w:rP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r w:rsidR="009F40D7">
        <w:fldChar w:fldCharType="begin"/>
      </w:r>
      <w:r w:rsidR="009F40D7" w:rsidRPr="000B68CB">
        <w:rPr>
          <w:lang w:val="en-US"/>
        </w:rPr>
        <w:instrText xml:space="preserve"> HYPERLINK "http://undocs.org/ru/CRC/C/ZMB/CO/2-4" </w:instrText>
      </w:r>
      <w:r w:rsidR="009F40D7">
        <w:fldChar w:fldCharType="separate"/>
      </w:r>
      <w:r w:rsidRPr="00DF54B4">
        <w:rPr>
          <w:rStyle w:val="af1"/>
          <w:lang w:val="en-US"/>
        </w:rPr>
        <w:t>CRC/C/ZMB/CO/2-4</w:t>
      </w:r>
      <w:r w:rsidR="009F40D7">
        <w:rPr>
          <w:rStyle w:val="af1"/>
          <w:lang w:val="en-US"/>
        </w:rPr>
        <w:fldChar w:fldCharType="end"/>
      </w:r>
      <w:r w:rsidRPr="00A01233">
        <w:rPr>
          <w:lang w:val="en-US"/>
        </w:rPr>
        <w:t xml:space="preserve">, </w:t>
      </w:r>
      <w:r>
        <w:t>п</w:t>
      </w:r>
      <w:r w:rsidRPr="00A01233">
        <w:rPr>
          <w:lang w:val="en-US"/>
        </w:rPr>
        <w:t>. 22.</w:t>
      </w:r>
    </w:p>
  </w:footnote>
  <w:footnote w:id="5">
    <w:p w14:paraId="13EB9896" w14:textId="777045A7" w:rsidR="00A01233" w:rsidRPr="00A01233" w:rsidRDefault="00A01233" w:rsidP="00A01233">
      <w:pPr>
        <w:pStyle w:val="ad"/>
        <w:rPr>
          <w:lang w:val="en-US"/>
        </w:rPr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r w:rsidR="009F40D7">
        <w:fldChar w:fldCharType="begin"/>
      </w:r>
      <w:r w:rsidR="009F40D7" w:rsidRPr="000B68CB">
        <w:rPr>
          <w:lang w:val="en-US"/>
        </w:rPr>
        <w:instrText xml:space="preserve"> HYPERLINK "http://undocs.org/ru/CRC/C/ZMB/CO/2-4" </w:instrText>
      </w:r>
      <w:r w:rsidR="009F40D7">
        <w:fldChar w:fldCharType="separate"/>
      </w:r>
      <w:r w:rsidRPr="000773E9">
        <w:rPr>
          <w:rStyle w:val="af1"/>
          <w:lang w:val="en-US"/>
        </w:rPr>
        <w:t>CRC/C/ZMB/CO/2-4</w:t>
      </w:r>
      <w:r w:rsidR="009F40D7">
        <w:rPr>
          <w:rStyle w:val="af1"/>
          <w:lang w:val="en-US"/>
        </w:rPr>
        <w:fldChar w:fldCharType="end"/>
      </w:r>
      <w:r w:rsidRPr="00A01233">
        <w:rPr>
          <w:lang w:val="en-US"/>
        </w:rPr>
        <w:t xml:space="preserve">, </w:t>
      </w:r>
      <w:r>
        <w:t>п</w:t>
      </w:r>
      <w:r w:rsidRPr="00A01233">
        <w:rPr>
          <w:lang w:val="en-US"/>
        </w:rPr>
        <w:t>. 26.</w:t>
      </w:r>
    </w:p>
  </w:footnote>
  <w:footnote w:id="6">
    <w:p w14:paraId="50496A03" w14:textId="085DF6B3" w:rsidR="00A01233" w:rsidRPr="00A01233" w:rsidRDefault="00A01233" w:rsidP="00A01233">
      <w:pPr>
        <w:pStyle w:val="ad"/>
        <w:rPr>
          <w:lang w:val="en-US"/>
        </w:rPr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r w:rsidR="009F40D7">
        <w:fldChar w:fldCharType="begin"/>
      </w:r>
      <w:r w:rsidR="009F40D7" w:rsidRPr="000B68CB">
        <w:rPr>
          <w:lang w:val="en-US"/>
        </w:rPr>
        <w:instrText xml:space="preserve"> HYPERLINK "http://undocs.org/ru/CRC/C/ZMB/CO/2-4" </w:instrText>
      </w:r>
      <w:r w:rsidR="009F40D7">
        <w:fldChar w:fldCharType="separate"/>
      </w:r>
      <w:r w:rsidRPr="008F3276">
        <w:rPr>
          <w:rStyle w:val="af1"/>
          <w:lang w:val="en-US"/>
        </w:rPr>
        <w:t>CRC/C/ZMB/CO/2-4</w:t>
      </w:r>
      <w:r w:rsidR="009F40D7">
        <w:rPr>
          <w:rStyle w:val="af1"/>
          <w:lang w:val="en-US"/>
        </w:rPr>
        <w:fldChar w:fldCharType="end"/>
      </w:r>
      <w:r w:rsidRPr="00A01233">
        <w:rPr>
          <w:lang w:val="en-US"/>
        </w:rPr>
        <w:t xml:space="preserve">, </w:t>
      </w:r>
      <w:r>
        <w:t>п</w:t>
      </w:r>
      <w:r w:rsidRPr="00A01233">
        <w:rPr>
          <w:lang w:val="en-US"/>
        </w:rPr>
        <w:t>. 34.</w:t>
      </w:r>
    </w:p>
  </w:footnote>
  <w:footnote w:id="7">
    <w:p w14:paraId="2B74E5C9" w14:textId="6B75CF50" w:rsidR="00A01233" w:rsidRPr="00A01233" w:rsidRDefault="00A01233" w:rsidP="00A01233">
      <w:pPr>
        <w:pStyle w:val="ad"/>
        <w:rPr>
          <w:lang w:val="en-US"/>
        </w:rPr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r w:rsidR="009F40D7">
        <w:fldChar w:fldCharType="begin"/>
      </w:r>
      <w:r w:rsidR="009F40D7" w:rsidRPr="000B68CB">
        <w:rPr>
          <w:lang w:val="en-US"/>
        </w:rPr>
        <w:instrText xml:space="preserve"> HYPERLINK</w:instrText>
      </w:r>
      <w:r w:rsidR="009F40D7" w:rsidRPr="000B68CB">
        <w:rPr>
          <w:lang w:val="en-US"/>
        </w:rPr>
        <w:instrText xml:space="preserve"> "http://undocs.org/ru/CRC/C/ZMB/CO/2-4" </w:instrText>
      </w:r>
      <w:r w:rsidR="009F40D7">
        <w:fldChar w:fldCharType="separate"/>
      </w:r>
      <w:r w:rsidRPr="009D6AAA">
        <w:rPr>
          <w:rStyle w:val="af1"/>
          <w:lang w:val="en-US"/>
        </w:rPr>
        <w:t>CRC/C/ZMB/CO/2-4</w:t>
      </w:r>
      <w:r w:rsidR="009F40D7">
        <w:rPr>
          <w:rStyle w:val="af1"/>
          <w:lang w:val="en-US"/>
        </w:rPr>
        <w:fldChar w:fldCharType="end"/>
      </w:r>
      <w:r w:rsidRPr="00A01233">
        <w:rPr>
          <w:lang w:val="en-US"/>
        </w:rPr>
        <w:t xml:space="preserve">, </w:t>
      </w:r>
      <w:r>
        <w:t>п</w:t>
      </w:r>
      <w:r w:rsidRPr="00A01233">
        <w:rPr>
          <w:lang w:val="en-US"/>
        </w:rPr>
        <w:t>. 40.</w:t>
      </w:r>
    </w:p>
  </w:footnote>
  <w:footnote w:id="8">
    <w:p w14:paraId="3EA00AB0" w14:textId="77777777" w:rsidR="00A01233" w:rsidRPr="00AF0EB2" w:rsidRDefault="00A01233" w:rsidP="00A01233">
      <w:pPr>
        <w:pStyle w:val="ad"/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>
        <w:tab/>
        <w:t>Там же, п. 42.</w:t>
      </w:r>
    </w:p>
  </w:footnote>
  <w:footnote w:id="9">
    <w:p w14:paraId="1CC6E465" w14:textId="77777777" w:rsidR="00A01233" w:rsidRPr="00AF0EB2" w:rsidRDefault="00A01233" w:rsidP="00A01233">
      <w:pPr>
        <w:pStyle w:val="ad"/>
      </w:pPr>
      <w:r>
        <w:tab/>
      </w:r>
      <w:r w:rsidRPr="00272684"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10">
    <w:p w14:paraId="1534C418" w14:textId="2835816B" w:rsidR="00A01233" w:rsidRPr="00A01233" w:rsidRDefault="00A01233" w:rsidP="00A01233">
      <w:pPr>
        <w:pStyle w:val="ad"/>
        <w:rPr>
          <w:lang w:val="en-US"/>
        </w:rPr>
      </w:pPr>
      <w: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hyperlink r:id="rId4" w:history="1">
        <w:r w:rsidRPr="009D6AAA">
          <w:rPr>
            <w:rStyle w:val="af1"/>
            <w:lang w:val="en-US"/>
          </w:rPr>
          <w:t>A/HRC/27/31</w:t>
        </w:r>
      </w:hyperlink>
      <w:r w:rsidRPr="00A01233">
        <w:rPr>
          <w:lang w:val="en-US"/>
        </w:rPr>
        <w:t>.</w:t>
      </w:r>
    </w:p>
  </w:footnote>
  <w:footnote w:id="11">
    <w:p w14:paraId="2453988C" w14:textId="23898229" w:rsidR="00A01233" w:rsidRPr="00A01233" w:rsidRDefault="00A01233" w:rsidP="00A01233">
      <w:pPr>
        <w:pStyle w:val="ad"/>
        <w:rPr>
          <w:lang w:val="en-US"/>
        </w:rPr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 w:rsidRPr="00A01233">
        <w:rPr>
          <w:lang w:val="en-US"/>
        </w:rPr>
        <w:tab/>
      </w:r>
      <w:r w:rsidR="009F40D7">
        <w:fldChar w:fldCharType="begin"/>
      </w:r>
      <w:r w:rsidR="009F40D7" w:rsidRPr="000B68CB">
        <w:rPr>
          <w:lang w:val="en-US"/>
        </w:rPr>
        <w:instrText xml:space="preserve"> HYPERLINK "http://undocs.org/ru/CRC/C/ZMB/CO/2-4" </w:instrText>
      </w:r>
      <w:r w:rsidR="009F40D7">
        <w:fldChar w:fldCharType="separate"/>
      </w:r>
      <w:r w:rsidRPr="00BA425B">
        <w:rPr>
          <w:rStyle w:val="af1"/>
          <w:lang w:val="en-US"/>
        </w:rPr>
        <w:t>CRC/C/ZMB/CO/2-4</w:t>
      </w:r>
      <w:r w:rsidR="009F40D7">
        <w:rPr>
          <w:rStyle w:val="af1"/>
          <w:lang w:val="en-US"/>
        </w:rPr>
        <w:fldChar w:fldCharType="end"/>
      </w:r>
      <w:r w:rsidRPr="00A01233">
        <w:rPr>
          <w:lang w:val="en-US"/>
        </w:rPr>
        <w:t xml:space="preserve">, </w:t>
      </w:r>
      <w:r>
        <w:t>п</w:t>
      </w:r>
      <w:r w:rsidRPr="00A01233">
        <w:rPr>
          <w:lang w:val="en-US"/>
        </w:rPr>
        <w:t>. 50.</w:t>
      </w:r>
    </w:p>
  </w:footnote>
  <w:footnote w:id="12">
    <w:p w14:paraId="361005CE" w14:textId="77777777" w:rsidR="00A01233" w:rsidRPr="00AF0EB2" w:rsidRDefault="00A01233" w:rsidP="00A01233">
      <w:pPr>
        <w:pStyle w:val="ad"/>
      </w:pPr>
      <w:r w:rsidRPr="00A01233">
        <w:rPr>
          <w:lang w:val="en-US"/>
        </w:rPr>
        <w:tab/>
      </w:r>
      <w:r w:rsidRPr="00272684">
        <w:rPr>
          <w:rStyle w:val="aa"/>
        </w:rPr>
        <w:footnoteRef/>
      </w:r>
      <w:r>
        <w:tab/>
        <w:t>Там же, п. 54.</w:t>
      </w:r>
    </w:p>
  </w:footnote>
  <w:footnote w:id="13">
    <w:p w14:paraId="1FBB8C99" w14:textId="77777777" w:rsidR="00A01233" w:rsidRPr="00AF0EB2" w:rsidRDefault="00A01233" w:rsidP="00A01233">
      <w:pPr>
        <w:pStyle w:val="ad"/>
      </w:pPr>
      <w:r w:rsidRPr="00133D75">
        <w:tab/>
      </w:r>
      <w:r w:rsidRPr="00272684">
        <w:rPr>
          <w:rStyle w:val="aa"/>
        </w:rPr>
        <w:footnoteRef/>
      </w:r>
      <w:r>
        <w:tab/>
        <w:t>Там же, п. 60.</w:t>
      </w:r>
    </w:p>
  </w:footnote>
  <w:footnote w:id="14">
    <w:p w14:paraId="790D9E79" w14:textId="77777777" w:rsidR="00A01233" w:rsidRPr="00AF0EB2" w:rsidRDefault="00A01233" w:rsidP="00A01233">
      <w:pPr>
        <w:pStyle w:val="ad"/>
      </w:pPr>
      <w:r w:rsidRPr="00FE373F">
        <w:tab/>
      </w:r>
      <w:r w:rsidRPr="00272684">
        <w:rPr>
          <w:rStyle w:val="aa"/>
        </w:rPr>
        <w:footnoteRef/>
      </w:r>
      <w:r>
        <w:tab/>
        <w:t>Там же, п. 62.</w:t>
      </w:r>
    </w:p>
  </w:footnote>
  <w:footnote w:id="15">
    <w:p w14:paraId="1A858072" w14:textId="757C0D92" w:rsidR="00A01233" w:rsidRPr="00AF0EB2" w:rsidRDefault="00A01233" w:rsidP="00A01233">
      <w:pPr>
        <w:pStyle w:val="ad"/>
      </w:pPr>
      <w:r w:rsidRPr="00FE373F">
        <w:tab/>
      </w:r>
      <w:r w:rsidRPr="00272684">
        <w:rPr>
          <w:rStyle w:val="aa"/>
        </w:rPr>
        <w:footnoteRef/>
      </w:r>
      <w:r>
        <w:tab/>
      </w:r>
      <w:hyperlink r:id="rId5" w:history="1">
        <w:r w:rsidRPr="00A00A53">
          <w:rPr>
            <w:rStyle w:val="af1"/>
          </w:rPr>
          <w:t>CRC/C/58/Rev.3</w:t>
        </w:r>
      </w:hyperlink>
      <w:r>
        <w:t>.</w:t>
      </w:r>
    </w:p>
  </w:footnote>
  <w:footnote w:id="16">
    <w:p w14:paraId="0E9D4BE4" w14:textId="77777777" w:rsidR="00A01233" w:rsidRPr="00F81406" w:rsidRDefault="00A01233" w:rsidP="00A01233">
      <w:pPr>
        <w:pStyle w:val="ad"/>
      </w:pPr>
      <w:r w:rsidRPr="00FE373F">
        <w:tab/>
      </w:r>
      <w:r w:rsidRPr="00272684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BC734" w14:textId="17211682" w:rsidR="00A01233" w:rsidRPr="00A01233" w:rsidRDefault="009F40D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CRC/C/ZMB/CO/5-7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929C7" w14:textId="3EF2CF65" w:rsidR="00A01233" w:rsidRPr="00A01233" w:rsidRDefault="009F40D7" w:rsidP="00A0123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CRC/C/ZMB/CO/5-7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1745115">
    <w:abstractNumId w:val="16"/>
  </w:num>
  <w:num w:numId="2" w16cid:durableId="1058095924">
    <w:abstractNumId w:val="11"/>
  </w:num>
  <w:num w:numId="3" w16cid:durableId="1842968170">
    <w:abstractNumId w:val="10"/>
  </w:num>
  <w:num w:numId="4" w16cid:durableId="792603567">
    <w:abstractNumId w:val="17"/>
  </w:num>
  <w:num w:numId="5" w16cid:durableId="992370491">
    <w:abstractNumId w:val="13"/>
  </w:num>
  <w:num w:numId="6" w16cid:durableId="1263993846">
    <w:abstractNumId w:val="8"/>
  </w:num>
  <w:num w:numId="7" w16cid:durableId="398213882">
    <w:abstractNumId w:val="3"/>
  </w:num>
  <w:num w:numId="8" w16cid:durableId="501625579">
    <w:abstractNumId w:val="2"/>
  </w:num>
  <w:num w:numId="9" w16cid:durableId="1099759833">
    <w:abstractNumId w:val="1"/>
  </w:num>
  <w:num w:numId="10" w16cid:durableId="1853760908">
    <w:abstractNumId w:val="0"/>
  </w:num>
  <w:num w:numId="11" w16cid:durableId="1576431253">
    <w:abstractNumId w:val="9"/>
  </w:num>
  <w:num w:numId="12" w16cid:durableId="1783915161">
    <w:abstractNumId w:val="7"/>
  </w:num>
  <w:num w:numId="13" w16cid:durableId="941838945">
    <w:abstractNumId w:val="6"/>
  </w:num>
  <w:num w:numId="14" w16cid:durableId="1870871804">
    <w:abstractNumId w:val="5"/>
  </w:num>
  <w:num w:numId="15" w16cid:durableId="1940523748">
    <w:abstractNumId w:val="4"/>
  </w:num>
  <w:num w:numId="16" w16cid:durableId="677804127">
    <w:abstractNumId w:val="15"/>
  </w:num>
  <w:num w:numId="17" w16cid:durableId="1135172047">
    <w:abstractNumId w:val="12"/>
  </w:num>
  <w:num w:numId="18" w16cid:durableId="107353507">
    <w:abstractNumId w:val="14"/>
  </w:num>
  <w:num w:numId="19" w16cid:durableId="1040936361">
    <w:abstractNumId w:val="15"/>
  </w:num>
  <w:num w:numId="20" w16cid:durableId="574362797">
    <w:abstractNumId w:val="12"/>
  </w:num>
  <w:num w:numId="21" w16cid:durableId="18995484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337"/>
    <w:rsid w:val="00033EE1"/>
    <w:rsid w:val="00034337"/>
    <w:rsid w:val="00042B72"/>
    <w:rsid w:val="000558BD"/>
    <w:rsid w:val="000773E9"/>
    <w:rsid w:val="000B57E7"/>
    <w:rsid w:val="000B6373"/>
    <w:rsid w:val="000B68CB"/>
    <w:rsid w:val="000B6C78"/>
    <w:rsid w:val="000F09DF"/>
    <w:rsid w:val="000F61B2"/>
    <w:rsid w:val="001075E9"/>
    <w:rsid w:val="0011585E"/>
    <w:rsid w:val="00180183"/>
    <w:rsid w:val="0018024D"/>
    <w:rsid w:val="0018649F"/>
    <w:rsid w:val="00196389"/>
    <w:rsid w:val="001B1272"/>
    <w:rsid w:val="001B3EF6"/>
    <w:rsid w:val="001C7A89"/>
    <w:rsid w:val="001D4AF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1E90"/>
    <w:rsid w:val="00513081"/>
    <w:rsid w:val="00517901"/>
    <w:rsid w:val="00526683"/>
    <w:rsid w:val="005709E0"/>
    <w:rsid w:val="00571FA3"/>
    <w:rsid w:val="00572E19"/>
    <w:rsid w:val="005961C8"/>
    <w:rsid w:val="005D7914"/>
    <w:rsid w:val="005E2B41"/>
    <w:rsid w:val="005F0B42"/>
    <w:rsid w:val="00654AB1"/>
    <w:rsid w:val="006571E6"/>
    <w:rsid w:val="00657520"/>
    <w:rsid w:val="00681A10"/>
    <w:rsid w:val="006A1ED8"/>
    <w:rsid w:val="006C2031"/>
    <w:rsid w:val="006D461A"/>
    <w:rsid w:val="006F35EE"/>
    <w:rsid w:val="007021FF"/>
    <w:rsid w:val="00712895"/>
    <w:rsid w:val="00727F02"/>
    <w:rsid w:val="00757357"/>
    <w:rsid w:val="007B4656"/>
    <w:rsid w:val="00806737"/>
    <w:rsid w:val="00825F8D"/>
    <w:rsid w:val="00834B71"/>
    <w:rsid w:val="0086445C"/>
    <w:rsid w:val="00872992"/>
    <w:rsid w:val="00894693"/>
    <w:rsid w:val="008A08D7"/>
    <w:rsid w:val="008B6909"/>
    <w:rsid w:val="008F3276"/>
    <w:rsid w:val="00906890"/>
    <w:rsid w:val="00911BE4"/>
    <w:rsid w:val="0093557E"/>
    <w:rsid w:val="00951972"/>
    <w:rsid w:val="009608F3"/>
    <w:rsid w:val="009A24AC"/>
    <w:rsid w:val="009D6AAA"/>
    <w:rsid w:val="009F40D7"/>
    <w:rsid w:val="00A00A53"/>
    <w:rsid w:val="00A01233"/>
    <w:rsid w:val="00A10705"/>
    <w:rsid w:val="00A14DA8"/>
    <w:rsid w:val="00A312BC"/>
    <w:rsid w:val="00A65BF1"/>
    <w:rsid w:val="00A84021"/>
    <w:rsid w:val="00A84D35"/>
    <w:rsid w:val="00A917B3"/>
    <w:rsid w:val="00AB4B51"/>
    <w:rsid w:val="00B06F03"/>
    <w:rsid w:val="00B10CC7"/>
    <w:rsid w:val="00B36DF7"/>
    <w:rsid w:val="00B539E7"/>
    <w:rsid w:val="00B55AFB"/>
    <w:rsid w:val="00B62458"/>
    <w:rsid w:val="00B937DF"/>
    <w:rsid w:val="00BA425B"/>
    <w:rsid w:val="00BA684A"/>
    <w:rsid w:val="00BC18B2"/>
    <w:rsid w:val="00BC3976"/>
    <w:rsid w:val="00BD33EE"/>
    <w:rsid w:val="00C106D6"/>
    <w:rsid w:val="00C45D65"/>
    <w:rsid w:val="00C60F0C"/>
    <w:rsid w:val="00C67C7D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54B4"/>
    <w:rsid w:val="00DF71B9"/>
    <w:rsid w:val="00E2359A"/>
    <w:rsid w:val="00E27108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4F73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3CD5A"/>
  <w15:docId w15:val="{E5C961C6-8437-4A09-9BB3-0AC8F324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A0123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57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13" TargetMode="External"/><Relationship Id="rId2" Type="http://schemas.openxmlformats.org/officeDocument/2006/relationships/hyperlink" Target="http://undocs.org/en/CRC/C/SR.2612" TargetMode="External"/><Relationship Id="rId1" Type="http://schemas.openxmlformats.org/officeDocument/2006/relationships/hyperlink" Target="http://undocs.org/en/CRC/C/ZMB/5-7" TargetMode="External"/><Relationship Id="rId5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A/HRC/27/3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5</TotalTime>
  <Pages>20</Pages>
  <Words>7225</Words>
  <Characters>47759</Characters>
  <Application>Microsoft Office Word</Application>
  <DocSecurity>0</DocSecurity>
  <Lines>782</Lines>
  <Paragraphs>100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CRC/C/ZMB/CO/5-7</vt:lpstr>
      <vt:lpstr>A/</vt:lpstr>
      <vt:lpstr>A/</vt:lpstr>
    </vt:vector>
  </TitlesOfParts>
  <Company>DCM</Company>
  <LinksUpToDate>false</LinksUpToDate>
  <CharactersWithSpaces>54884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CRC/C/ZMB/CO/5-7</dc:title>
  <dc:subject/>
  <dc:creator>No author</dc:creator>
  <cp:keywords/>
  <cp:lastModifiedBy>Tatiana Chvets</cp:lastModifiedBy>
  <cp:revision>3</cp:revision>
  <cp:lastPrinted>2023-02-15T15:48:00Z</cp:lastPrinted>
  <dcterms:created xsi:type="dcterms:W3CDTF">2023-02-15T15:48:00Z</dcterms:created>
  <dcterms:modified xsi:type="dcterms:W3CDTF">2023-02-15T15:49:00Z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