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604136A" w14:textId="77777777" w:rsidTr="00F90E40">
        <w:trPr>
          <w:trHeight w:hRule="exact" w:val="851"/>
        </w:trPr>
        <w:tc>
          <w:tcPr>
            <w:tcW w:w="142" w:type="dxa"/>
            <w:tcBorders>
              <w:bottom w:val="single" w:sz="4" w:space="0" w:color="auto"/>
            </w:tcBorders>
          </w:tcPr>
          <w:p w14:paraId="486A1ABB" w14:textId="77777777" w:rsidR="002D5AAC" w:rsidRDefault="002D5AAC" w:rsidP="00F752F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990505A"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0674D10" w14:textId="4B32A073" w:rsidR="002D5AAC" w:rsidRDefault="00F752F3" w:rsidP="00F752F3">
            <w:pPr>
              <w:jc w:val="right"/>
            </w:pPr>
            <w:r w:rsidRPr="009F6458">
              <w:rPr>
                <w:sz w:val="40"/>
              </w:rPr>
              <w:t>CAT</w:t>
            </w:r>
            <w:r w:rsidRPr="009F6458">
              <w:t>/C/82/2</w:t>
            </w:r>
          </w:p>
        </w:tc>
      </w:tr>
      <w:tr w:rsidR="002D5AAC" w:rsidRPr="00956DCB" w14:paraId="1EAFA1A6" w14:textId="77777777" w:rsidTr="00F90E40">
        <w:trPr>
          <w:trHeight w:hRule="exact" w:val="2835"/>
        </w:trPr>
        <w:tc>
          <w:tcPr>
            <w:tcW w:w="1280" w:type="dxa"/>
            <w:gridSpan w:val="2"/>
            <w:tcBorders>
              <w:top w:val="single" w:sz="4" w:space="0" w:color="auto"/>
              <w:bottom w:val="single" w:sz="12" w:space="0" w:color="auto"/>
            </w:tcBorders>
          </w:tcPr>
          <w:p w14:paraId="5569909D" w14:textId="77777777" w:rsidR="002D5AAC" w:rsidRDefault="002E5067" w:rsidP="00F90E40">
            <w:pPr>
              <w:spacing w:before="120"/>
              <w:jc w:val="center"/>
            </w:pPr>
            <w:r>
              <w:rPr>
                <w:noProof/>
                <w:lang w:val="fr-CH" w:eastAsia="fr-CH"/>
              </w:rPr>
              <w:drawing>
                <wp:inline distT="0" distB="0" distL="0" distR="0" wp14:anchorId="6FBE33C9" wp14:editId="6ED5A55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DDBF56"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181971D" w14:textId="4D8E2557" w:rsidR="002D5AAC" w:rsidRPr="00F752F3" w:rsidRDefault="00F752F3" w:rsidP="00F90E40">
            <w:pPr>
              <w:spacing w:before="240"/>
              <w:rPr>
                <w:lang w:val="en-US"/>
              </w:rPr>
            </w:pPr>
            <w:r w:rsidRPr="00F752F3">
              <w:rPr>
                <w:lang w:val="en-US"/>
              </w:rPr>
              <w:t xml:space="preserve">Distr.: </w:t>
            </w:r>
            <w:r w:rsidRPr="00F752F3">
              <w:rPr>
                <w:lang w:val="en-GB"/>
              </w:rPr>
              <w:t>General</w:t>
            </w:r>
          </w:p>
          <w:p w14:paraId="22F3A6F3" w14:textId="77777777" w:rsidR="00F752F3" w:rsidRDefault="00F752F3" w:rsidP="00F752F3">
            <w:pPr>
              <w:spacing w:line="240" w:lineRule="exact"/>
              <w:rPr>
                <w:rFonts w:eastAsia="Times New Roman" w:cs="Times New Roman"/>
                <w:szCs w:val="20"/>
                <w:lang w:val="en-GB"/>
              </w:rPr>
            </w:pPr>
            <w:r w:rsidRPr="00F752F3">
              <w:rPr>
                <w:rFonts w:eastAsia="Times New Roman" w:cs="Times New Roman"/>
                <w:szCs w:val="20"/>
                <w:lang w:val="en-GB"/>
              </w:rPr>
              <w:t>6 March 2025</w:t>
            </w:r>
          </w:p>
          <w:p w14:paraId="68D711E8" w14:textId="3EFA49F2" w:rsidR="00F752F3" w:rsidRPr="00F752F3" w:rsidRDefault="00F752F3" w:rsidP="00F752F3">
            <w:pPr>
              <w:spacing w:line="240" w:lineRule="exact"/>
              <w:rPr>
                <w:lang w:val="en-US"/>
              </w:rPr>
            </w:pPr>
            <w:r w:rsidRPr="00F752F3">
              <w:rPr>
                <w:lang w:val="en-US"/>
              </w:rPr>
              <w:t>Russian</w:t>
            </w:r>
          </w:p>
          <w:p w14:paraId="4F021A16" w14:textId="3702B7C6" w:rsidR="00F752F3" w:rsidRPr="00F752F3" w:rsidRDefault="00F752F3" w:rsidP="00F752F3">
            <w:pPr>
              <w:spacing w:line="240" w:lineRule="exact"/>
              <w:rPr>
                <w:lang w:val="en-US"/>
              </w:rPr>
            </w:pPr>
            <w:r w:rsidRPr="00F752F3">
              <w:rPr>
                <w:lang w:val="en-US"/>
              </w:rPr>
              <w:t xml:space="preserve">Original: </w:t>
            </w:r>
            <w:r w:rsidRPr="00867E5F">
              <w:rPr>
                <w:lang w:val="en-US"/>
              </w:rPr>
              <w:t>English</w:t>
            </w:r>
          </w:p>
        </w:tc>
      </w:tr>
    </w:tbl>
    <w:p w14:paraId="47DAED46" w14:textId="536BCFF9" w:rsidR="00F752F3" w:rsidRPr="00867E5F" w:rsidRDefault="00F752F3" w:rsidP="001E11F4">
      <w:pPr>
        <w:spacing w:before="120"/>
        <w:rPr>
          <w:b/>
          <w:bCs/>
          <w:color w:val="000000" w:themeColor="text1"/>
        </w:rPr>
      </w:pPr>
      <w:r w:rsidRPr="00207141">
        <w:rPr>
          <w:b/>
          <w:bCs/>
          <w:color w:val="000000" w:themeColor="text1"/>
          <w:sz w:val="24"/>
          <w:szCs w:val="24"/>
        </w:rPr>
        <w:t>Комитет против пыток</w:t>
      </w:r>
      <w:r w:rsidR="001E11F4" w:rsidRPr="001E11F4">
        <w:rPr>
          <w:b/>
          <w:bCs/>
          <w:color w:val="000000" w:themeColor="text1"/>
          <w:sz w:val="24"/>
          <w:szCs w:val="24"/>
        </w:rPr>
        <w:br/>
      </w:r>
      <w:r>
        <w:rPr>
          <w:b/>
          <w:bCs/>
        </w:rPr>
        <w:t>Восемьдесят вторая сессия</w:t>
      </w:r>
      <w:r w:rsidR="001E11F4" w:rsidRPr="001E11F4">
        <w:rPr>
          <w:b/>
          <w:bCs/>
        </w:rPr>
        <w:br/>
      </w:r>
      <w:r>
        <w:t>Женева, 7 апреля — 2 мая 2025 года</w:t>
      </w:r>
      <w:r w:rsidR="001E11F4" w:rsidRPr="001E11F4">
        <w:br/>
      </w:r>
      <w:r>
        <w:t>Пункт 2 предварительной повестки дня</w:t>
      </w:r>
      <w:r w:rsidR="001E11F4" w:rsidRPr="001E11F4">
        <w:br/>
      </w:r>
      <w:r>
        <w:rPr>
          <w:b/>
          <w:bCs/>
        </w:rPr>
        <w:t>Организационные и другие вопросы</w:t>
      </w:r>
    </w:p>
    <w:p w14:paraId="34CD6541" w14:textId="5C3FC5C0" w:rsidR="00F752F3" w:rsidRPr="00D60EFE" w:rsidRDefault="00F752F3" w:rsidP="00240ABF">
      <w:pPr>
        <w:pStyle w:val="HChG"/>
        <w:spacing w:before="240"/>
        <w:rPr>
          <w:b w:val="0"/>
          <w:bCs/>
          <w:sz w:val="20"/>
        </w:rPr>
      </w:pPr>
      <w:bookmarkStart w:id="0" w:name="_Toc161321095"/>
      <w:r>
        <w:tab/>
      </w:r>
      <w:r>
        <w:tab/>
      </w:r>
      <w:r>
        <w:rPr>
          <w:bCs/>
        </w:rPr>
        <w:t>Восемнадцатый ежегодный доклад Подкомитета</w:t>
      </w:r>
      <w:r w:rsidR="001E11F4" w:rsidRPr="001E11F4">
        <w:rPr>
          <w:bCs/>
        </w:rPr>
        <w:br/>
      </w:r>
      <w:r>
        <w:rPr>
          <w:bCs/>
        </w:rPr>
        <w:t>по предупреждению пыток и других жестоких, бесчеловечных или унижающих достоинство видов обращения и наказания</w:t>
      </w:r>
      <w:r w:rsidRPr="001E11F4">
        <w:rPr>
          <w:rStyle w:val="aa"/>
          <w:b w:val="0"/>
          <w:bCs/>
          <w:position w:val="6"/>
          <w:sz w:val="20"/>
          <w:vertAlign w:val="baseline"/>
        </w:rPr>
        <w:footnoteReference w:customMarkFollows="1" w:id="1"/>
        <w:t>*</w:t>
      </w:r>
      <w:bookmarkStart w:id="1" w:name="_Toc97717812"/>
      <w:bookmarkStart w:id="2" w:name="_Toc97794991"/>
      <w:bookmarkStart w:id="3" w:name="_Toc185542929"/>
      <w:bookmarkStart w:id="4" w:name="_Toc534899831"/>
      <w:bookmarkStart w:id="5" w:name="_Toc192081299"/>
      <w:bookmarkStart w:id="6" w:name="_Toc185542930"/>
      <w:bookmarkEnd w:id="0"/>
      <w:bookmarkEnd w:id="1"/>
      <w:bookmarkEnd w:id="2"/>
      <w:bookmarkEnd w:id="3"/>
      <w:bookmarkEnd w:id="4"/>
      <w:bookmarkEnd w:id="5"/>
      <w:bookmarkEnd w:id="6"/>
    </w:p>
    <w:tbl>
      <w:tblPr>
        <w:tblStyle w:val="ac"/>
        <w:tblW w:w="9629" w:type="dxa"/>
        <w:jc w:val="center"/>
        <w:tblLayout w:type="fixed"/>
        <w:tblLook w:val="05E0" w:firstRow="1" w:lastRow="1" w:firstColumn="1" w:lastColumn="1" w:noHBand="0" w:noVBand="1"/>
      </w:tblPr>
      <w:tblGrid>
        <w:gridCol w:w="9629"/>
      </w:tblGrid>
      <w:tr w:rsidR="00F752F3" w:rsidRPr="00056ED7" w14:paraId="4110D61F" w14:textId="77777777" w:rsidTr="001E11F4">
        <w:trPr>
          <w:jc w:val="center"/>
        </w:trPr>
        <w:tc>
          <w:tcPr>
            <w:tcW w:w="9629" w:type="dxa"/>
            <w:tcBorders>
              <w:bottom w:val="nil"/>
            </w:tcBorders>
          </w:tcPr>
          <w:p w14:paraId="46B24BC0" w14:textId="77777777" w:rsidR="00F752F3" w:rsidRPr="001E11F4" w:rsidRDefault="00F752F3" w:rsidP="00C24E08">
            <w:pPr>
              <w:tabs>
                <w:tab w:val="left" w:pos="255"/>
              </w:tabs>
              <w:suppressAutoHyphens w:val="0"/>
              <w:spacing w:before="240" w:after="120"/>
              <w:rPr>
                <w:sz w:val="24"/>
                <w:szCs w:val="24"/>
              </w:rPr>
            </w:pPr>
            <w:bookmarkStart w:id="7" w:name="_Hlk192080006"/>
            <w:r>
              <w:rPr>
                <w:color w:val="000000"/>
              </w:rPr>
              <w:tab/>
            </w:r>
            <w:r w:rsidRPr="001E11F4">
              <w:rPr>
                <w:i/>
                <w:iCs/>
                <w:color w:val="000000"/>
                <w:sz w:val="24"/>
                <w:szCs w:val="24"/>
              </w:rPr>
              <w:t>Резюме</w:t>
            </w:r>
          </w:p>
        </w:tc>
      </w:tr>
      <w:tr w:rsidR="00F752F3" w:rsidRPr="00A44F5F" w14:paraId="38FD0ECA" w14:textId="77777777" w:rsidTr="001E11F4">
        <w:trPr>
          <w:jc w:val="center"/>
        </w:trPr>
        <w:tc>
          <w:tcPr>
            <w:tcW w:w="9629" w:type="dxa"/>
            <w:tcBorders>
              <w:top w:val="nil"/>
              <w:bottom w:val="nil"/>
            </w:tcBorders>
            <w:shd w:val="clear" w:color="auto" w:fill="auto"/>
          </w:tcPr>
          <w:p w14:paraId="3DF34724" w14:textId="77777777" w:rsidR="00F752F3" w:rsidRPr="00D60EFE" w:rsidRDefault="00F752F3" w:rsidP="00240ABF">
            <w:pPr>
              <w:pStyle w:val="SingleTxtG"/>
              <w:spacing w:after="100" w:line="230" w:lineRule="atLeast"/>
            </w:pPr>
            <w:r>
              <w:rPr>
                <w:color w:val="000000"/>
              </w:rPr>
              <w:tab/>
              <w:t>Настоящий доклад составлен в соответствии со структурой, принятой Подкомитетом по предупреждению пыток и других жестоких, бесчеловечных или унижающих достоинство видов обращения и наказания на его пятьдесят четвертой сессии</w:t>
            </w:r>
            <w:r>
              <w:rPr>
                <w:i/>
                <w:iCs/>
                <w:color w:val="000000"/>
                <w:vertAlign w:val="superscript"/>
              </w:rPr>
              <w:t>a</w:t>
            </w:r>
            <w:r>
              <w:rPr>
                <w:color w:val="000000"/>
              </w:rPr>
              <w:t>, и содержит описание работы, проделанной Подкомитетом в 2024 году.</w:t>
            </w:r>
          </w:p>
        </w:tc>
      </w:tr>
      <w:tr w:rsidR="00F752F3" w:rsidRPr="008C2B05" w14:paraId="6209B847" w14:textId="77777777" w:rsidTr="001E11F4">
        <w:trPr>
          <w:jc w:val="center"/>
        </w:trPr>
        <w:tc>
          <w:tcPr>
            <w:tcW w:w="9629" w:type="dxa"/>
            <w:tcBorders>
              <w:top w:val="nil"/>
              <w:bottom w:val="nil"/>
            </w:tcBorders>
            <w:shd w:val="clear" w:color="auto" w:fill="auto"/>
          </w:tcPr>
          <w:p w14:paraId="5F2D25A3" w14:textId="0E4D33F6" w:rsidR="00F752F3" w:rsidRPr="00867E5F" w:rsidRDefault="00F752F3" w:rsidP="00240ABF">
            <w:pPr>
              <w:pStyle w:val="SingleTxtG"/>
              <w:spacing w:after="100" w:line="230" w:lineRule="atLeast"/>
            </w:pPr>
            <w:r>
              <w:rPr>
                <w:color w:val="000000"/>
              </w:rPr>
              <w:tab/>
              <w:t>После краткого введения Подкомитет приводит обновленную информацию</w:t>
            </w:r>
            <w:r w:rsidR="001E11F4" w:rsidRPr="001E11F4">
              <w:rPr>
                <w:color w:val="000000"/>
              </w:rPr>
              <w:br/>
            </w:r>
            <w:r>
              <w:rPr>
                <w:color w:val="000000"/>
              </w:rPr>
              <w:t>по вопросам, которые касаются системы Факультативного протокола к Конвенции против пыток и других жестоких, бесчеловечных или унижающих достоинство видов обращения и наказания, включая сведения о числе государств-участников, сессиях</w:t>
            </w:r>
            <w:r w:rsidR="00867E5F" w:rsidRPr="00867E5F">
              <w:rPr>
                <w:color w:val="000000"/>
              </w:rPr>
              <w:br/>
            </w:r>
            <w:r>
              <w:rPr>
                <w:color w:val="000000"/>
              </w:rPr>
              <w:t>и членском составе Подкомитета, а также о деятельности Специального фонда, учрежденного Факультативным протоколом (разд. II).</w:t>
            </w:r>
          </w:p>
        </w:tc>
      </w:tr>
      <w:tr w:rsidR="00F752F3" w:rsidRPr="00056ED7" w14:paraId="5F9DA389" w14:textId="77777777" w:rsidTr="001E11F4">
        <w:trPr>
          <w:jc w:val="center"/>
        </w:trPr>
        <w:tc>
          <w:tcPr>
            <w:tcW w:w="9629" w:type="dxa"/>
            <w:tcBorders>
              <w:top w:val="nil"/>
              <w:bottom w:val="nil"/>
            </w:tcBorders>
            <w:shd w:val="clear" w:color="auto" w:fill="auto"/>
          </w:tcPr>
          <w:p w14:paraId="29EF625F" w14:textId="77777777" w:rsidR="00F752F3" w:rsidRPr="00056ED7" w:rsidRDefault="00F752F3" w:rsidP="00240ABF">
            <w:pPr>
              <w:pStyle w:val="SingleTxtG"/>
              <w:spacing w:after="100" w:line="230" w:lineRule="atLeast"/>
            </w:pPr>
            <w:r>
              <w:rPr>
                <w:color w:val="000000"/>
              </w:rPr>
              <w:tab/>
              <w:t>Кроме того, Подкомитет приводит относящуюся к сути вопроса информацию о своих посещениях, докладах о них и последующих диалогах (разд. III), национальных превентивных механизмах (разд. IV) и взаимодействии с другими органами в области предупреждения пыток (разд. VI). Подкомитет посвящает отдельный раздел доклада принятию своего первого замечания общего порядка (разд. V).</w:t>
            </w:r>
          </w:p>
        </w:tc>
      </w:tr>
      <w:tr w:rsidR="00F752F3" w:rsidRPr="00A44F5F" w14:paraId="7FF3BA3B" w14:textId="77777777" w:rsidTr="001E11F4">
        <w:trPr>
          <w:jc w:val="center"/>
        </w:trPr>
        <w:tc>
          <w:tcPr>
            <w:tcW w:w="9629" w:type="dxa"/>
            <w:tcBorders>
              <w:top w:val="nil"/>
              <w:bottom w:val="nil"/>
            </w:tcBorders>
            <w:shd w:val="clear" w:color="auto" w:fill="auto"/>
          </w:tcPr>
          <w:p w14:paraId="3D97B47B" w14:textId="77777777" w:rsidR="00F752F3" w:rsidRPr="00D60EFE" w:rsidRDefault="00F752F3" w:rsidP="00240ABF">
            <w:pPr>
              <w:pStyle w:val="SingleTxtG"/>
              <w:spacing w:after="100" w:line="230" w:lineRule="atLeast"/>
            </w:pPr>
            <w:r>
              <w:rPr>
                <w:color w:val="000000"/>
              </w:rPr>
              <w:tab/>
              <w:t>В заключение Подкомитет описывает свой план работы на 2025 год (разд. VII) и делится соображениями и задачами на будущее (разд. VIII).</w:t>
            </w:r>
          </w:p>
        </w:tc>
      </w:tr>
      <w:tr w:rsidR="00F752F3" w:rsidRPr="00A44F5F" w14:paraId="5CD5A226" w14:textId="77777777" w:rsidTr="001E11F4">
        <w:trPr>
          <w:jc w:val="center"/>
        </w:trPr>
        <w:tc>
          <w:tcPr>
            <w:tcW w:w="9629" w:type="dxa"/>
            <w:tcBorders>
              <w:top w:val="nil"/>
              <w:bottom w:val="nil"/>
            </w:tcBorders>
            <w:shd w:val="clear" w:color="auto" w:fill="auto"/>
          </w:tcPr>
          <w:p w14:paraId="443C6AAF" w14:textId="40A678DF" w:rsidR="00F752F3" w:rsidRPr="00D60EFE" w:rsidRDefault="00F752F3" w:rsidP="00240ABF">
            <w:pPr>
              <w:pStyle w:val="SingleTxtG"/>
              <w:spacing w:after="100" w:line="230" w:lineRule="atLeast"/>
            </w:pPr>
            <w:r>
              <w:rPr>
                <w:color w:val="000000"/>
              </w:rPr>
              <w:tab/>
              <w:t>В приложениях содержатся материалы, которые Подкомитет представил Комитету по правам ребенка в отношении его замечания общего порядка № 27</w:t>
            </w:r>
            <w:r w:rsidR="001E11F4" w:rsidRPr="001E11F4">
              <w:rPr>
                <w:color w:val="000000"/>
              </w:rPr>
              <w:br/>
            </w:r>
            <w:r>
              <w:rPr>
                <w:color w:val="000000"/>
              </w:rPr>
              <w:t>о правах детей на доступ к правосудию и эффективным средствам правовой защиты, а также Специальному докладчику по вопросу о свободе религии или убеждений в ответ на призыв поделиться информаций для доклада о свободе религии или убеждений и запрете применения пыток и других жестоких, бесчеловечных или унижающих достоинство видов обращения и наказания.</w:t>
            </w:r>
          </w:p>
        </w:tc>
      </w:tr>
      <w:tr w:rsidR="001E11F4" w:rsidRPr="00A44F5F" w14:paraId="7D7B5EC2" w14:textId="77777777" w:rsidTr="001E11F4">
        <w:trPr>
          <w:jc w:val="center"/>
        </w:trPr>
        <w:tc>
          <w:tcPr>
            <w:tcW w:w="9629" w:type="dxa"/>
            <w:tcBorders>
              <w:top w:val="nil"/>
              <w:bottom w:val="nil"/>
            </w:tcBorders>
            <w:shd w:val="clear" w:color="auto" w:fill="auto"/>
          </w:tcPr>
          <w:p w14:paraId="3994C381" w14:textId="77777777" w:rsidR="001E11F4" w:rsidRPr="00BC1456" w:rsidRDefault="001E11F4" w:rsidP="001E11F4">
            <w:pPr>
              <w:tabs>
                <w:tab w:val="right" w:pos="2155"/>
              </w:tabs>
              <w:spacing w:after="80" w:line="240" w:lineRule="auto"/>
              <w:ind w:left="680"/>
              <w:rPr>
                <w:u w:val="single"/>
              </w:rPr>
            </w:pPr>
            <w:r w:rsidRPr="00BC1456">
              <w:rPr>
                <w:u w:val="single"/>
              </w:rPr>
              <w:tab/>
            </w:r>
          </w:p>
          <w:p w14:paraId="534E4A0B" w14:textId="11218965" w:rsidR="001E11F4" w:rsidRDefault="001E11F4" w:rsidP="001E11F4">
            <w:pPr>
              <w:pStyle w:val="ad"/>
              <w:widowControl w:val="0"/>
              <w:rPr>
                <w:color w:val="000000"/>
              </w:rPr>
            </w:pPr>
            <w:r w:rsidRPr="00BC1456">
              <w:rPr>
                <w:i/>
                <w:iCs/>
              </w:rPr>
              <w:tab/>
            </w:r>
            <w:r w:rsidRPr="00BC1456">
              <w:rPr>
                <w:i/>
                <w:iCs/>
                <w:vertAlign w:val="superscript"/>
                <w:lang w:val="fr-FR"/>
              </w:rPr>
              <w:t>a</w:t>
            </w:r>
            <w:r w:rsidRPr="00BC1456">
              <w:tab/>
            </w:r>
            <w:hyperlink r:id="rId9" w:history="1">
              <w:r w:rsidRPr="00FD4FA7">
                <w:rPr>
                  <w:rStyle w:val="af1"/>
                  <w:szCs w:val="18"/>
                  <w:lang w:val="en-US"/>
                </w:rPr>
                <w:t>CAT/OP/54/R.2</w:t>
              </w:r>
            </w:hyperlink>
            <w:r>
              <w:rPr>
                <w:color w:val="000000"/>
              </w:rPr>
              <w:t>, приложение II.</w:t>
            </w:r>
          </w:p>
        </w:tc>
      </w:tr>
      <w:tr w:rsidR="00F752F3" w:rsidRPr="00207141" w14:paraId="34C58E3C" w14:textId="77777777" w:rsidTr="001E11F4">
        <w:trPr>
          <w:jc w:val="center"/>
        </w:trPr>
        <w:tc>
          <w:tcPr>
            <w:tcW w:w="9629" w:type="dxa"/>
            <w:tcBorders>
              <w:top w:val="nil"/>
            </w:tcBorders>
          </w:tcPr>
          <w:p w14:paraId="12DFF4F8" w14:textId="77777777" w:rsidR="00F752F3" w:rsidRPr="00207141" w:rsidRDefault="00F752F3" w:rsidP="00C24E08">
            <w:pPr>
              <w:suppressAutoHyphens w:val="0"/>
            </w:pPr>
          </w:p>
        </w:tc>
      </w:tr>
    </w:tbl>
    <w:bookmarkEnd w:id="7"/>
    <w:p w14:paraId="67F9FA07" w14:textId="77777777" w:rsidR="00F752F3" w:rsidRPr="00207141" w:rsidRDefault="00F752F3" w:rsidP="00F752F3">
      <w:pPr>
        <w:spacing w:after="120"/>
        <w:rPr>
          <w:rFonts w:eastAsiaTheme="minorEastAsia"/>
          <w:sz w:val="28"/>
          <w:lang w:eastAsia="zh-CN"/>
        </w:rPr>
      </w:pPr>
      <w:r w:rsidRPr="00207141">
        <w:rPr>
          <w:sz w:val="28"/>
        </w:rPr>
        <w:lastRenderedPageBreak/>
        <w:t>Содержание</w:t>
      </w:r>
    </w:p>
    <w:p w14:paraId="7BF9C5B7" w14:textId="77777777" w:rsidR="00F752F3" w:rsidRPr="00240ABF" w:rsidRDefault="00F752F3" w:rsidP="00F752F3">
      <w:pPr>
        <w:tabs>
          <w:tab w:val="right" w:pos="9638"/>
        </w:tabs>
        <w:spacing w:after="120"/>
        <w:ind w:left="283"/>
        <w:rPr>
          <w:sz w:val="18"/>
          <w:szCs w:val="18"/>
        </w:rPr>
      </w:pPr>
      <w:r>
        <w:tab/>
      </w:r>
      <w:r w:rsidRPr="00240ABF">
        <w:rPr>
          <w:i/>
          <w:iCs/>
          <w:sz w:val="18"/>
          <w:szCs w:val="18"/>
        </w:rPr>
        <w:t>Стр.</w:t>
      </w:r>
    </w:p>
    <w:p w14:paraId="38230241" w14:textId="1E273493" w:rsidR="00F752F3" w:rsidRPr="00207141" w:rsidRDefault="00F752F3" w:rsidP="00240ABF">
      <w:pPr>
        <w:tabs>
          <w:tab w:val="right" w:pos="850"/>
          <w:tab w:val="left" w:pos="1134"/>
          <w:tab w:val="left" w:pos="1559"/>
          <w:tab w:val="left" w:leader="dot" w:pos="8787"/>
          <w:tab w:val="right" w:pos="9638"/>
        </w:tabs>
        <w:spacing w:after="120"/>
      </w:pPr>
      <w:bookmarkStart w:id="8" w:name="_Hlk152830603"/>
      <w:r w:rsidRPr="00207141">
        <w:tab/>
      </w:r>
      <w:r>
        <w:t>I.</w:t>
      </w:r>
      <w:r>
        <w:tab/>
      </w:r>
      <w:r w:rsidRPr="00207141">
        <w:t>Введение</w:t>
      </w:r>
      <w:r w:rsidR="00240ABF" w:rsidRPr="00240ABF">
        <w:t xml:space="preserve"> </w:t>
      </w:r>
      <w:r>
        <w:tab/>
      </w:r>
      <w:r>
        <w:tab/>
        <w:t>3</w:t>
      </w:r>
    </w:p>
    <w:p w14:paraId="321A4C5C" w14:textId="6118A120" w:rsidR="00F752F3" w:rsidRPr="00D60EFE" w:rsidRDefault="00F752F3" w:rsidP="00F752F3">
      <w:pPr>
        <w:tabs>
          <w:tab w:val="right" w:pos="850"/>
          <w:tab w:val="left" w:pos="1134"/>
          <w:tab w:val="left" w:pos="1559"/>
          <w:tab w:val="left" w:pos="1984"/>
          <w:tab w:val="left" w:leader="dot" w:pos="8787"/>
          <w:tab w:val="right" w:pos="9638"/>
        </w:tabs>
        <w:spacing w:after="120"/>
        <w:rPr>
          <w:webHidden/>
        </w:rPr>
      </w:pPr>
      <w:r w:rsidRPr="00207141">
        <w:tab/>
      </w:r>
      <w:r>
        <w:t>II.</w:t>
      </w:r>
      <w:r>
        <w:tab/>
        <w:t>Организационные и другие вопросы</w:t>
      </w:r>
      <w:r w:rsidR="00240ABF" w:rsidRPr="00240ABF">
        <w:t xml:space="preserve"> </w:t>
      </w:r>
      <w:r w:rsidRPr="00056ED7">
        <w:rPr>
          <w:webHidden/>
        </w:rPr>
        <w:tab/>
      </w:r>
      <w:r w:rsidRPr="00056ED7">
        <w:rPr>
          <w:webHidden/>
        </w:rPr>
        <w:tab/>
        <w:t>3</w:t>
      </w:r>
    </w:p>
    <w:p w14:paraId="35F0299C" w14:textId="08EA2B89" w:rsidR="00F752F3" w:rsidRPr="00D60EFE" w:rsidRDefault="00F752F3" w:rsidP="00F752F3">
      <w:pPr>
        <w:tabs>
          <w:tab w:val="right" w:pos="850"/>
          <w:tab w:val="left" w:pos="1134"/>
          <w:tab w:val="left" w:pos="1559"/>
          <w:tab w:val="left" w:pos="1984"/>
          <w:tab w:val="left" w:leader="dot" w:pos="8787"/>
          <w:tab w:val="right" w:pos="9638"/>
        </w:tabs>
        <w:spacing w:after="120"/>
      </w:pPr>
      <w:r w:rsidRPr="00056ED7">
        <w:rPr>
          <w:webHidden/>
        </w:rPr>
        <w:tab/>
      </w:r>
      <w:r w:rsidRPr="00056ED7">
        <w:rPr>
          <w:webHidden/>
        </w:rPr>
        <w:tab/>
        <w:t>A.</w:t>
      </w:r>
      <w:r w:rsidRPr="00056ED7">
        <w:rPr>
          <w:webHidden/>
        </w:rPr>
        <w:tab/>
      </w:r>
      <w:r>
        <w:t>Участие государств в системе Факультативного протокола</w:t>
      </w:r>
      <w:r w:rsidR="00240ABF" w:rsidRPr="00240ABF">
        <w:t xml:space="preserve"> </w:t>
      </w:r>
      <w:r>
        <w:tab/>
      </w:r>
      <w:r>
        <w:tab/>
        <w:t>3</w:t>
      </w:r>
    </w:p>
    <w:p w14:paraId="59790463" w14:textId="1A94D142"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B.</w:t>
      </w:r>
      <w:r>
        <w:tab/>
        <w:t>Сессии</w:t>
      </w:r>
      <w:r w:rsidR="00240ABF" w:rsidRPr="00240ABF">
        <w:t xml:space="preserve"> </w:t>
      </w:r>
      <w:r w:rsidRPr="00056ED7">
        <w:rPr>
          <w:webHidden/>
        </w:rPr>
        <w:tab/>
      </w:r>
      <w:r w:rsidRPr="00056ED7">
        <w:rPr>
          <w:webHidden/>
        </w:rPr>
        <w:tab/>
        <w:t>3</w:t>
      </w:r>
    </w:p>
    <w:p w14:paraId="12AA2515" w14:textId="10143858" w:rsidR="00F752F3" w:rsidRPr="00DC2E0A"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C.</w:t>
      </w:r>
      <w:r>
        <w:tab/>
        <w:t>Членский состав, должностные лица и мандаты</w:t>
      </w:r>
      <w:r w:rsidR="00240ABF" w:rsidRPr="00240ABF">
        <w:t xml:space="preserve"> </w:t>
      </w:r>
      <w:r w:rsidRPr="00056ED7">
        <w:rPr>
          <w:webHidden/>
        </w:rPr>
        <w:tab/>
      </w:r>
      <w:r w:rsidRPr="00056ED7">
        <w:rPr>
          <w:webHidden/>
        </w:rPr>
        <w:tab/>
      </w:r>
      <w:r w:rsidR="00DC2E0A" w:rsidRPr="00DC2E0A">
        <w:rPr>
          <w:webHidden/>
        </w:rPr>
        <w:t>5</w:t>
      </w:r>
    </w:p>
    <w:p w14:paraId="245D4550" w14:textId="048A965A"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D.</w:t>
      </w:r>
      <w:r>
        <w:tab/>
        <w:t>Специальный фонд, учрежденный Факультативным протоколом</w:t>
      </w:r>
      <w:r w:rsidR="00240ABF" w:rsidRPr="00240ABF">
        <w:t xml:space="preserve"> </w:t>
      </w:r>
      <w:r>
        <w:tab/>
      </w:r>
      <w:r>
        <w:tab/>
        <w:t>5</w:t>
      </w:r>
    </w:p>
    <w:p w14:paraId="2938C7C2" w14:textId="53B6A18B" w:rsidR="00F752F3" w:rsidRPr="00D60EFE" w:rsidRDefault="00F752F3" w:rsidP="00F752F3">
      <w:pPr>
        <w:tabs>
          <w:tab w:val="right" w:pos="850"/>
          <w:tab w:val="left" w:pos="1134"/>
          <w:tab w:val="left" w:pos="1559"/>
          <w:tab w:val="left" w:leader="dot" w:pos="8787"/>
          <w:tab w:val="right" w:pos="9638"/>
        </w:tabs>
        <w:spacing w:after="120"/>
      </w:pPr>
      <w:r w:rsidRPr="00207141">
        <w:tab/>
      </w:r>
      <w:r>
        <w:t>III.</w:t>
      </w:r>
      <w:r>
        <w:tab/>
        <w:t>Посещения</w:t>
      </w:r>
      <w:r w:rsidR="00240ABF" w:rsidRPr="00240ABF">
        <w:t xml:space="preserve"> </w:t>
      </w:r>
      <w:r>
        <w:tab/>
      </w:r>
      <w:r>
        <w:tab/>
        <w:t>5</w:t>
      </w:r>
    </w:p>
    <w:p w14:paraId="02543213" w14:textId="20604573"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A.</w:t>
      </w:r>
      <w:r>
        <w:tab/>
        <w:t>Посещения, проведенные за отчетный период</w:t>
      </w:r>
      <w:r w:rsidR="00240ABF" w:rsidRPr="00240ABF">
        <w:t xml:space="preserve"> </w:t>
      </w:r>
      <w:r w:rsidRPr="00056ED7">
        <w:rPr>
          <w:webHidden/>
        </w:rPr>
        <w:tab/>
      </w:r>
      <w:r w:rsidRPr="00056ED7">
        <w:rPr>
          <w:webHidden/>
        </w:rPr>
        <w:tab/>
        <w:t>5</w:t>
      </w:r>
    </w:p>
    <w:p w14:paraId="7311B926" w14:textId="285516CF"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B.</w:t>
      </w:r>
      <w:r>
        <w:tab/>
        <w:t>Доклады о посещениях</w:t>
      </w:r>
      <w:r w:rsidR="00240ABF" w:rsidRPr="00240ABF">
        <w:t xml:space="preserve"> </w:t>
      </w:r>
      <w:r w:rsidRPr="00056ED7">
        <w:rPr>
          <w:webHidden/>
        </w:rPr>
        <w:tab/>
      </w:r>
      <w:r w:rsidRPr="00056ED7">
        <w:rPr>
          <w:webHidden/>
        </w:rPr>
        <w:tab/>
        <w:t>6</w:t>
      </w:r>
    </w:p>
    <w:p w14:paraId="09F8D422" w14:textId="6358C85B"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C.</w:t>
      </w:r>
      <w:r>
        <w:tab/>
        <w:t>Ответы государств на доклады о посещениях и последующие диалоги</w:t>
      </w:r>
      <w:r w:rsidR="00240ABF" w:rsidRPr="00240ABF">
        <w:t xml:space="preserve"> </w:t>
      </w:r>
      <w:r w:rsidRPr="00056ED7">
        <w:rPr>
          <w:webHidden/>
        </w:rPr>
        <w:tab/>
      </w:r>
      <w:r w:rsidRPr="00056ED7">
        <w:rPr>
          <w:webHidden/>
        </w:rPr>
        <w:tab/>
        <w:t>6</w:t>
      </w:r>
    </w:p>
    <w:p w14:paraId="29EEC0FE" w14:textId="600B3DFF" w:rsidR="00F752F3" w:rsidRPr="00D60EFE" w:rsidRDefault="00F752F3" w:rsidP="00F752F3">
      <w:pPr>
        <w:tabs>
          <w:tab w:val="right" w:pos="850"/>
          <w:tab w:val="left" w:pos="1134"/>
          <w:tab w:val="left" w:pos="1559"/>
          <w:tab w:val="left" w:pos="1984"/>
          <w:tab w:val="left" w:leader="dot" w:pos="8787"/>
          <w:tab w:val="right" w:pos="9638"/>
        </w:tabs>
        <w:spacing w:after="120"/>
      </w:pPr>
      <w:r w:rsidRPr="00207141">
        <w:tab/>
      </w:r>
      <w:r>
        <w:t>IV.</w:t>
      </w:r>
      <w:r>
        <w:tab/>
        <w:t>Национальные превентивные механизмы</w:t>
      </w:r>
      <w:r w:rsidR="00240ABF" w:rsidRPr="00240ABF">
        <w:t xml:space="preserve"> </w:t>
      </w:r>
      <w:r>
        <w:tab/>
      </w:r>
      <w:r>
        <w:tab/>
        <w:t>7</w:t>
      </w:r>
    </w:p>
    <w:p w14:paraId="476EA34B" w14:textId="285333DC" w:rsidR="00F752F3" w:rsidRPr="00D60EFE" w:rsidRDefault="00F752F3" w:rsidP="00240ABF">
      <w:pPr>
        <w:tabs>
          <w:tab w:val="right" w:pos="850"/>
          <w:tab w:val="left" w:pos="1134"/>
          <w:tab w:val="left" w:pos="1559"/>
          <w:tab w:val="left" w:pos="1984"/>
          <w:tab w:val="left" w:leader="dot" w:pos="8787"/>
          <w:tab w:val="right" w:pos="9638"/>
        </w:tabs>
        <w:spacing w:after="120"/>
        <w:ind w:left="1559" w:hanging="1559"/>
      </w:pPr>
      <w:r w:rsidRPr="00207141">
        <w:tab/>
      </w:r>
      <w:r w:rsidRPr="00207141">
        <w:tab/>
      </w:r>
      <w:r>
        <w:t>A.</w:t>
      </w:r>
      <w:r>
        <w:tab/>
        <w:t>Обязательства государств относительно национальных превентивных</w:t>
      </w:r>
      <w:r w:rsidR="00240ABF" w:rsidRPr="00240ABF">
        <w:br/>
      </w:r>
      <w:r>
        <w:t>механизмов</w:t>
      </w:r>
      <w:bookmarkStart w:id="9" w:name="_Hlk184650935"/>
      <w:r w:rsidR="00240ABF" w:rsidRPr="00240ABF">
        <w:t xml:space="preserve"> </w:t>
      </w:r>
      <w:r w:rsidRPr="00056ED7">
        <w:rPr>
          <w:webHidden/>
        </w:rPr>
        <w:tab/>
      </w:r>
      <w:r w:rsidRPr="00056ED7">
        <w:rPr>
          <w:webHidden/>
        </w:rPr>
        <w:tab/>
        <w:t>7</w:t>
      </w:r>
    </w:p>
    <w:bookmarkEnd w:id="9"/>
    <w:p w14:paraId="7A7B57F9" w14:textId="1AF9589D" w:rsidR="00F752F3" w:rsidRPr="00D60EFE" w:rsidRDefault="00F752F3" w:rsidP="00F752F3">
      <w:pPr>
        <w:tabs>
          <w:tab w:val="right" w:pos="850"/>
          <w:tab w:val="left" w:pos="1134"/>
          <w:tab w:val="left" w:pos="1559"/>
          <w:tab w:val="left" w:pos="1984"/>
          <w:tab w:val="left" w:leader="dot" w:pos="8787"/>
          <w:tab w:val="right" w:pos="9638"/>
        </w:tabs>
        <w:spacing w:after="120"/>
        <w:rPr>
          <w:webHidden/>
        </w:rPr>
      </w:pPr>
      <w:r w:rsidRPr="00207141">
        <w:tab/>
      </w:r>
      <w:r w:rsidRPr="00207141">
        <w:tab/>
      </w:r>
      <w:r>
        <w:t>B.</w:t>
      </w:r>
      <w:r>
        <w:tab/>
        <w:t>Совещания</w:t>
      </w:r>
      <w:r w:rsidR="00240ABF" w:rsidRPr="00240ABF">
        <w:t xml:space="preserve"> </w:t>
      </w:r>
      <w:r w:rsidRPr="00056ED7">
        <w:rPr>
          <w:webHidden/>
        </w:rPr>
        <w:tab/>
      </w:r>
      <w:r w:rsidRPr="00056ED7">
        <w:rPr>
          <w:webHidden/>
        </w:rPr>
        <w:tab/>
        <w:t>7</w:t>
      </w:r>
    </w:p>
    <w:p w14:paraId="68EAE297" w14:textId="5D5E93CD" w:rsidR="00F752F3" w:rsidRPr="00DC2E0A" w:rsidRDefault="00F752F3" w:rsidP="00F752F3">
      <w:pPr>
        <w:tabs>
          <w:tab w:val="right" w:pos="850"/>
          <w:tab w:val="left" w:pos="1134"/>
          <w:tab w:val="left" w:pos="1559"/>
          <w:tab w:val="left" w:pos="1984"/>
          <w:tab w:val="left" w:leader="dot" w:pos="8787"/>
          <w:tab w:val="right" w:pos="9638"/>
        </w:tabs>
        <w:spacing w:after="120"/>
        <w:ind w:left="1559" w:hanging="1559"/>
      </w:pPr>
      <w:r w:rsidRPr="00056ED7">
        <w:rPr>
          <w:webHidden/>
        </w:rPr>
        <w:tab/>
      </w:r>
      <w:r w:rsidRPr="00056ED7">
        <w:rPr>
          <w:webHidden/>
        </w:rPr>
        <w:tab/>
        <w:t>C.</w:t>
      </w:r>
      <w:r w:rsidRPr="00056ED7">
        <w:rPr>
          <w:webHidden/>
        </w:rPr>
        <w:tab/>
      </w:r>
      <w:r w:rsidR="00DC2E0A">
        <w:rPr>
          <w:bCs/>
        </w:rPr>
        <w:t>Рекомендации для национальных превентивных механизмов: влияние мер</w:t>
      </w:r>
      <w:r w:rsidR="00DC2E0A" w:rsidRPr="00DC2E0A">
        <w:rPr>
          <w:bCs/>
        </w:rPr>
        <w:br/>
      </w:r>
      <w:r w:rsidR="00DC2E0A">
        <w:rPr>
          <w:bCs/>
        </w:rPr>
        <w:t>политики в области наркотиков на эффективное предупреждение пыток</w:t>
      </w:r>
      <w:r w:rsidR="00DC2E0A" w:rsidRPr="00DC2E0A">
        <w:rPr>
          <w:bCs/>
        </w:rPr>
        <w:br/>
      </w:r>
      <w:r w:rsidR="00DC2E0A">
        <w:rPr>
          <w:bCs/>
        </w:rPr>
        <w:t>и жестокого обращения</w:t>
      </w:r>
      <w:r w:rsidR="00240ABF" w:rsidRPr="00240ABF">
        <w:t xml:space="preserve"> </w:t>
      </w:r>
      <w:r>
        <w:tab/>
      </w:r>
      <w:r w:rsidR="00240ABF" w:rsidRPr="00867E5F">
        <w:tab/>
      </w:r>
      <w:r w:rsidR="00DC2E0A" w:rsidRPr="00DC2E0A">
        <w:t>10</w:t>
      </w:r>
    </w:p>
    <w:p w14:paraId="1603B3DE" w14:textId="64A7E5E8" w:rsidR="00F752F3" w:rsidRPr="00E20C9C" w:rsidRDefault="00F752F3" w:rsidP="00F752F3">
      <w:pPr>
        <w:tabs>
          <w:tab w:val="right" w:pos="850"/>
          <w:tab w:val="left" w:pos="1134"/>
          <w:tab w:val="left" w:pos="1559"/>
          <w:tab w:val="left" w:pos="1984"/>
          <w:tab w:val="left" w:leader="dot" w:pos="8787"/>
          <w:tab w:val="right" w:pos="9638"/>
        </w:tabs>
        <w:spacing w:after="120"/>
      </w:pPr>
      <w:r w:rsidRPr="00D60EFE">
        <w:tab/>
      </w:r>
      <w:r>
        <w:t>V.</w:t>
      </w:r>
      <w:r>
        <w:tab/>
        <w:t>Замечание общего порядка № 1 (2024)</w:t>
      </w:r>
      <w:r w:rsidR="00240ABF" w:rsidRPr="00240ABF">
        <w:t xml:space="preserve"> </w:t>
      </w:r>
      <w:r w:rsidRPr="00056ED7">
        <w:rPr>
          <w:webHidden/>
        </w:rPr>
        <w:tab/>
      </w:r>
      <w:r w:rsidRPr="00056ED7">
        <w:rPr>
          <w:webHidden/>
        </w:rPr>
        <w:tab/>
        <w:t>1</w:t>
      </w:r>
      <w:r w:rsidR="00E20C9C" w:rsidRPr="00E20C9C">
        <w:rPr>
          <w:webHidden/>
        </w:rPr>
        <w:t>2</w:t>
      </w:r>
    </w:p>
    <w:p w14:paraId="27180C8A" w14:textId="67CBFADB" w:rsidR="00F752F3" w:rsidRPr="00E20C9C" w:rsidRDefault="00F752F3" w:rsidP="00F752F3">
      <w:pPr>
        <w:tabs>
          <w:tab w:val="right" w:pos="850"/>
          <w:tab w:val="left" w:pos="1134"/>
          <w:tab w:val="left" w:pos="1559"/>
          <w:tab w:val="left" w:pos="1984"/>
          <w:tab w:val="left" w:leader="dot" w:pos="8787"/>
          <w:tab w:val="right" w:pos="9638"/>
        </w:tabs>
        <w:spacing w:after="120"/>
        <w:rPr>
          <w:webHidden/>
        </w:rPr>
      </w:pPr>
      <w:r w:rsidRPr="00207141">
        <w:tab/>
      </w:r>
      <w:r>
        <w:t>VI.</w:t>
      </w:r>
      <w:r>
        <w:tab/>
        <w:t>Взаимодействие с другими органами в области предупреждения пыток</w:t>
      </w:r>
      <w:bookmarkStart w:id="10" w:name="_Hlk184650908"/>
      <w:r w:rsidR="00240ABF" w:rsidRPr="00240ABF">
        <w:t xml:space="preserve"> </w:t>
      </w:r>
      <w:r w:rsidRPr="00056ED7">
        <w:rPr>
          <w:webHidden/>
        </w:rPr>
        <w:tab/>
      </w:r>
      <w:bookmarkEnd w:id="10"/>
      <w:r w:rsidRPr="00056ED7">
        <w:rPr>
          <w:webHidden/>
        </w:rPr>
        <w:tab/>
        <w:t>1</w:t>
      </w:r>
      <w:bookmarkEnd w:id="8"/>
      <w:r w:rsidR="00E20C9C" w:rsidRPr="00E20C9C">
        <w:rPr>
          <w:webHidden/>
        </w:rPr>
        <w:t>3</w:t>
      </w:r>
    </w:p>
    <w:p w14:paraId="60A5C925" w14:textId="63E78903" w:rsidR="00F752F3" w:rsidRPr="00E20C9C" w:rsidRDefault="00F752F3" w:rsidP="00240ABF">
      <w:pPr>
        <w:tabs>
          <w:tab w:val="right" w:pos="850"/>
          <w:tab w:val="left" w:pos="1134"/>
          <w:tab w:val="left" w:pos="1559"/>
          <w:tab w:val="left" w:pos="1984"/>
          <w:tab w:val="left" w:leader="dot" w:pos="8787"/>
          <w:tab w:val="right" w:pos="9638"/>
        </w:tabs>
        <w:spacing w:after="120"/>
        <w:ind w:left="1559" w:hanging="1559"/>
        <w:rPr>
          <w:webHidden/>
        </w:rPr>
      </w:pPr>
      <w:r w:rsidRPr="00207141">
        <w:tab/>
      </w:r>
      <w:r w:rsidRPr="00207141">
        <w:tab/>
      </w:r>
      <w:r>
        <w:t>A.</w:t>
      </w:r>
      <w:r>
        <w:tab/>
        <w:t>Подкомитет как часть правозащитной системы Организации Объединенных</w:t>
      </w:r>
      <w:r w:rsidR="00240ABF" w:rsidRPr="00240ABF">
        <w:br/>
      </w:r>
      <w:r>
        <w:t>Наций</w:t>
      </w:r>
      <w:r w:rsidR="00240ABF" w:rsidRPr="00240ABF">
        <w:t xml:space="preserve"> </w:t>
      </w:r>
      <w:r w:rsidRPr="00056ED7">
        <w:rPr>
          <w:webHidden/>
        </w:rPr>
        <w:tab/>
      </w:r>
      <w:r w:rsidRPr="00056ED7">
        <w:rPr>
          <w:webHidden/>
        </w:rPr>
        <w:tab/>
        <w:t>1</w:t>
      </w:r>
      <w:r w:rsidR="00E20C9C" w:rsidRPr="00E20C9C">
        <w:rPr>
          <w:webHidden/>
        </w:rPr>
        <w:t>3</w:t>
      </w:r>
    </w:p>
    <w:p w14:paraId="5322876D" w14:textId="2BC1CF09" w:rsidR="00F752F3" w:rsidRPr="00E20C9C" w:rsidRDefault="00F752F3" w:rsidP="00F752F3">
      <w:pPr>
        <w:tabs>
          <w:tab w:val="right" w:pos="850"/>
          <w:tab w:val="left" w:pos="1134"/>
          <w:tab w:val="left" w:pos="1559"/>
          <w:tab w:val="left" w:pos="1984"/>
          <w:tab w:val="left" w:leader="dot" w:pos="8787"/>
          <w:tab w:val="right" w:pos="9638"/>
        </w:tabs>
        <w:spacing w:after="120"/>
        <w:rPr>
          <w:webHidden/>
        </w:rPr>
      </w:pPr>
      <w:r w:rsidRPr="00D60EFE">
        <w:rPr>
          <w:webHidden/>
        </w:rPr>
        <w:tab/>
      </w:r>
      <w:r w:rsidRPr="00D60EFE">
        <w:rPr>
          <w:webHidden/>
        </w:rPr>
        <w:tab/>
      </w:r>
      <w:r w:rsidRPr="00056ED7">
        <w:rPr>
          <w:webHidden/>
        </w:rPr>
        <w:t>B</w:t>
      </w:r>
      <w:r w:rsidRPr="00D60EFE">
        <w:rPr>
          <w:webHidden/>
        </w:rPr>
        <w:t>.</w:t>
      </w:r>
      <w:r w:rsidRPr="00D60EFE">
        <w:rPr>
          <w:webHidden/>
        </w:rPr>
        <w:tab/>
      </w:r>
      <w:r w:rsidR="00E20C9C">
        <w:rPr>
          <w:bCs/>
        </w:rPr>
        <w:t>Региональное сотрудничество</w:t>
      </w:r>
      <w:r w:rsidR="00E20C9C" w:rsidRPr="00E20C9C">
        <w:rPr>
          <w:bCs/>
        </w:rPr>
        <w:t xml:space="preserve"> </w:t>
      </w:r>
      <w:r w:rsidRPr="00D60EFE">
        <w:rPr>
          <w:webHidden/>
        </w:rPr>
        <w:tab/>
      </w:r>
      <w:r w:rsidRPr="00D60EFE">
        <w:rPr>
          <w:webHidden/>
        </w:rPr>
        <w:tab/>
        <w:t>1</w:t>
      </w:r>
      <w:r w:rsidR="00E20C9C" w:rsidRPr="00E20C9C">
        <w:rPr>
          <w:webHidden/>
        </w:rPr>
        <w:t>5</w:t>
      </w:r>
    </w:p>
    <w:p w14:paraId="6EB24B85" w14:textId="5C40F18E" w:rsidR="00F752F3" w:rsidRPr="00E20C9C" w:rsidRDefault="00F752F3" w:rsidP="00240ABF">
      <w:pPr>
        <w:tabs>
          <w:tab w:val="right" w:pos="850"/>
          <w:tab w:val="left" w:pos="1134"/>
          <w:tab w:val="left" w:pos="1559"/>
          <w:tab w:val="left" w:pos="1984"/>
          <w:tab w:val="left" w:leader="dot" w:pos="8787"/>
          <w:tab w:val="right" w:pos="9638"/>
        </w:tabs>
        <w:spacing w:after="120"/>
        <w:ind w:left="1559" w:hanging="1559"/>
      </w:pPr>
      <w:r w:rsidRPr="00056ED7">
        <w:rPr>
          <w:webHidden/>
        </w:rPr>
        <w:tab/>
      </w:r>
      <w:r w:rsidRPr="00056ED7">
        <w:rPr>
          <w:webHidden/>
        </w:rPr>
        <w:tab/>
        <w:t>C.</w:t>
      </w:r>
      <w:r w:rsidRPr="00056ED7">
        <w:rPr>
          <w:webHidden/>
        </w:rPr>
        <w:tab/>
      </w:r>
      <w:r>
        <w:t>Сотрудничество с гражданским обществом и другими заинтересованными</w:t>
      </w:r>
      <w:r w:rsidR="00240ABF" w:rsidRPr="00240ABF">
        <w:br/>
      </w:r>
      <w:r>
        <w:t>сторонами</w:t>
      </w:r>
      <w:r w:rsidR="00240ABF" w:rsidRPr="00240ABF">
        <w:t xml:space="preserve"> </w:t>
      </w:r>
      <w:r>
        <w:tab/>
      </w:r>
      <w:r w:rsidR="00240ABF" w:rsidRPr="00867E5F">
        <w:tab/>
      </w:r>
      <w:r>
        <w:t>1</w:t>
      </w:r>
      <w:r w:rsidR="00E20C9C" w:rsidRPr="00E20C9C">
        <w:t>6</w:t>
      </w:r>
    </w:p>
    <w:p w14:paraId="49080EDF" w14:textId="3A2D7C6C" w:rsidR="00F752F3" w:rsidRPr="00E20C9C" w:rsidRDefault="00F752F3" w:rsidP="00F752F3">
      <w:pPr>
        <w:tabs>
          <w:tab w:val="right" w:pos="850"/>
          <w:tab w:val="left" w:pos="1134"/>
          <w:tab w:val="left" w:pos="1559"/>
          <w:tab w:val="left" w:pos="1984"/>
          <w:tab w:val="left" w:leader="dot" w:pos="8787"/>
          <w:tab w:val="right" w:pos="9638"/>
        </w:tabs>
        <w:spacing w:after="120"/>
      </w:pPr>
      <w:r w:rsidRPr="00207141">
        <w:tab/>
      </w:r>
      <w:r>
        <w:t>VII.</w:t>
      </w:r>
      <w:r>
        <w:tab/>
        <w:t>План работы на предстоящий год</w:t>
      </w:r>
      <w:r w:rsidR="00240ABF" w:rsidRPr="00240ABF">
        <w:t xml:space="preserve"> </w:t>
      </w:r>
      <w:r>
        <w:tab/>
      </w:r>
      <w:r>
        <w:tab/>
        <w:t>1</w:t>
      </w:r>
      <w:r w:rsidR="00E20C9C" w:rsidRPr="00E20C9C">
        <w:t>6</w:t>
      </w:r>
    </w:p>
    <w:p w14:paraId="552F6E08" w14:textId="087F5F3C" w:rsidR="00F752F3" w:rsidRPr="00E20C9C" w:rsidRDefault="00F752F3" w:rsidP="00F752F3">
      <w:pPr>
        <w:tabs>
          <w:tab w:val="right" w:pos="850"/>
          <w:tab w:val="left" w:pos="1134"/>
          <w:tab w:val="left" w:pos="1559"/>
          <w:tab w:val="left" w:leader="dot" w:pos="8787"/>
          <w:tab w:val="right" w:pos="9638"/>
        </w:tabs>
        <w:spacing w:after="120"/>
      </w:pPr>
      <w:r w:rsidRPr="00207141">
        <w:tab/>
      </w:r>
      <w:r w:rsidRPr="00207141">
        <w:tab/>
      </w:r>
      <w:r>
        <w:t>A.</w:t>
      </w:r>
      <w:r>
        <w:tab/>
        <w:t>Сессии</w:t>
      </w:r>
      <w:r w:rsidR="00240ABF" w:rsidRPr="00240ABF">
        <w:t xml:space="preserve"> </w:t>
      </w:r>
      <w:r>
        <w:tab/>
      </w:r>
      <w:r>
        <w:tab/>
        <w:t>1</w:t>
      </w:r>
      <w:r w:rsidR="00E20C9C" w:rsidRPr="00E20C9C">
        <w:t>6</w:t>
      </w:r>
    </w:p>
    <w:p w14:paraId="179D0DC3" w14:textId="423A9DE4" w:rsidR="00F752F3" w:rsidRPr="00E20C9C" w:rsidRDefault="00F752F3" w:rsidP="00F752F3">
      <w:pPr>
        <w:tabs>
          <w:tab w:val="right" w:pos="850"/>
          <w:tab w:val="left" w:pos="1134"/>
          <w:tab w:val="left" w:pos="1559"/>
          <w:tab w:val="left" w:leader="dot" w:pos="8787"/>
          <w:tab w:val="right" w:pos="9638"/>
        </w:tabs>
        <w:spacing w:after="120"/>
      </w:pPr>
      <w:r w:rsidRPr="00207141">
        <w:tab/>
      </w:r>
      <w:r w:rsidRPr="00207141">
        <w:tab/>
      </w:r>
      <w:r>
        <w:t>B.</w:t>
      </w:r>
      <w:r>
        <w:tab/>
        <w:t>Посещения</w:t>
      </w:r>
      <w:r w:rsidR="00240ABF" w:rsidRPr="00240ABF">
        <w:t xml:space="preserve"> </w:t>
      </w:r>
      <w:r>
        <w:tab/>
      </w:r>
      <w:r>
        <w:tab/>
        <w:t>1</w:t>
      </w:r>
      <w:r w:rsidR="00E20C9C" w:rsidRPr="00E20C9C">
        <w:t>6</w:t>
      </w:r>
    </w:p>
    <w:p w14:paraId="7F25B80B" w14:textId="60E35238" w:rsidR="00F752F3" w:rsidRPr="00E20C9C" w:rsidRDefault="00F752F3" w:rsidP="00F752F3">
      <w:pPr>
        <w:tabs>
          <w:tab w:val="right" w:pos="850"/>
          <w:tab w:val="left" w:pos="1134"/>
          <w:tab w:val="left" w:pos="1559"/>
          <w:tab w:val="left" w:pos="1984"/>
          <w:tab w:val="left" w:leader="dot" w:pos="8787"/>
          <w:tab w:val="right" w:pos="9638"/>
        </w:tabs>
        <w:spacing w:after="120"/>
      </w:pPr>
      <w:r w:rsidRPr="00207141">
        <w:tab/>
      </w:r>
      <w:r w:rsidRPr="00207141">
        <w:tab/>
      </w:r>
      <w:r>
        <w:t>C.</w:t>
      </w:r>
      <w:r>
        <w:tab/>
        <w:t>Прочие виды деятельности</w:t>
      </w:r>
      <w:r w:rsidR="00240ABF" w:rsidRPr="00240ABF">
        <w:t xml:space="preserve"> </w:t>
      </w:r>
      <w:r>
        <w:tab/>
      </w:r>
      <w:r>
        <w:tab/>
        <w:t>1</w:t>
      </w:r>
      <w:r w:rsidR="00E20C9C" w:rsidRPr="00E20C9C">
        <w:t>6</w:t>
      </w:r>
    </w:p>
    <w:p w14:paraId="651285C4" w14:textId="68C50024" w:rsidR="00F752F3" w:rsidRPr="00956DCB" w:rsidRDefault="00F752F3" w:rsidP="00F752F3">
      <w:pPr>
        <w:tabs>
          <w:tab w:val="right" w:pos="850"/>
          <w:tab w:val="left" w:pos="1134"/>
          <w:tab w:val="left" w:pos="1559"/>
          <w:tab w:val="left" w:pos="1984"/>
          <w:tab w:val="left" w:leader="dot" w:pos="8787"/>
          <w:tab w:val="right" w:pos="9638"/>
        </w:tabs>
        <w:spacing w:after="120"/>
      </w:pPr>
      <w:r w:rsidRPr="00207141">
        <w:tab/>
      </w:r>
      <w:r w:rsidRPr="00867E5F">
        <w:rPr>
          <w:lang w:val="fr-CH"/>
        </w:rPr>
        <w:t>VIII</w:t>
      </w:r>
      <w:r w:rsidRPr="00956DCB">
        <w:t>.</w:t>
      </w:r>
      <w:r w:rsidRPr="00956DCB">
        <w:tab/>
      </w:r>
      <w:r>
        <w:t>Задачи</w:t>
      </w:r>
      <w:r w:rsidRPr="00956DCB">
        <w:t xml:space="preserve"> </w:t>
      </w:r>
      <w:r>
        <w:t>на</w:t>
      </w:r>
      <w:r w:rsidRPr="00956DCB">
        <w:t xml:space="preserve"> </w:t>
      </w:r>
      <w:r>
        <w:t>будущее</w:t>
      </w:r>
      <w:r w:rsidR="00240ABF" w:rsidRPr="00956DCB">
        <w:t xml:space="preserve"> </w:t>
      </w:r>
      <w:r w:rsidRPr="00956DCB">
        <w:tab/>
      </w:r>
      <w:r w:rsidRPr="00956DCB">
        <w:tab/>
        <w:t>1</w:t>
      </w:r>
      <w:r w:rsidR="00E20C9C" w:rsidRPr="00956DCB">
        <w:t>6</w:t>
      </w:r>
    </w:p>
    <w:p w14:paraId="12A28F24" w14:textId="68A8EB8F" w:rsidR="00F752F3" w:rsidRPr="00956DCB" w:rsidRDefault="00F752F3" w:rsidP="00F752F3">
      <w:pPr>
        <w:tabs>
          <w:tab w:val="right" w:pos="850"/>
          <w:tab w:val="left" w:pos="1134"/>
          <w:tab w:val="left" w:pos="1559"/>
          <w:tab w:val="left" w:leader="dot" w:pos="8787"/>
          <w:tab w:val="right" w:pos="9638"/>
        </w:tabs>
        <w:spacing w:after="120"/>
      </w:pPr>
      <w:r w:rsidRPr="00956DCB">
        <w:tab/>
      </w:r>
      <w:r>
        <w:t>Приложения</w:t>
      </w:r>
    </w:p>
    <w:p w14:paraId="4E257D1A" w14:textId="4AD65FE3" w:rsidR="00240ABF" w:rsidRPr="00E20C9C" w:rsidRDefault="00240ABF" w:rsidP="00240ABF">
      <w:pPr>
        <w:tabs>
          <w:tab w:val="right" w:pos="850"/>
          <w:tab w:val="right" w:leader="dot" w:pos="8787"/>
          <w:tab w:val="right" w:pos="9638"/>
        </w:tabs>
        <w:spacing w:after="120"/>
        <w:ind w:left="1134" w:hanging="1134"/>
      </w:pPr>
      <w:r w:rsidRPr="00956DCB">
        <w:tab/>
      </w:r>
      <w:r w:rsidRPr="00E20C9C">
        <w:rPr>
          <w:lang w:val="fr-CH"/>
        </w:rPr>
        <w:t>I</w:t>
      </w:r>
      <w:r w:rsidRPr="00E20C9C">
        <w:t>.</w:t>
      </w:r>
      <w:r w:rsidRPr="00E20C9C">
        <w:tab/>
      </w:r>
      <w:r w:rsidR="00E20C9C" w:rsidRPr="00E20C9C">
        <w:t>Материал, подготовленный для Комитета по правам ребенка в целях поддержки</w:t>
      </w:r>
      <w:r w:rsidR="00E20C9C" w:rsidRPr="00E20C9C">
        <w:br/>
        <w:t>его работы над замечанием общего порядка № 27 о правах детей на доступ</w:t>
      </w:r>
      <w:r w:rsidR="00E20C9C" w:rsidRPr="00E20C9C">
        <w:br/>
        <w:t xml:space="preserve">к правосудию и эффективным средствам правовой защиты </w:t>
      </w:r>
      <w:r w:rsidRPr="00E20C9C">
        <w:tab/>
      </w:r>
      <w:r w:rsidRPr="00E20C9C">
        <w:tab/>
        <w:t>1</w:t>
      </w:r>
      <w:r w:rsidR="00E20C9C" w:rsidRPr="00E20C9C">
        <w:t>9</w:t>
      </w:r>
    </w:p>
    <w:p w14:paraId="671B1EBF" w14:textId="5F5B4E6E" w:rsidR="00240ABF" w:rsidRPr="00E20C9C" w:rsidRDefault="00240ABF" w:rsidP="00240ABF">
      <w:pPr>
        <w:tabs>
          <w:tab w:val="right" w:pos="850"/>
          <w:tab w:val="right" w:leader="dot" w:pos="8787"/>
          <w:tab w:val="right" w:pos="9638"/>
        </w:tabs>
        <w:spacing w:after="120"/>
        <w:ind w:left="1134" w:hanging="1134"/>
      </w:pPr>
      <w:r w:rsidRPr="00E20C9C">
        <w:tab/>
      </w:r>
      <w:r w:rsidRPr="00240ABF">
        <w:rPr>
          <w:lang w:val="fr-CH"/>
        </w:rPr>
        <w:t>II</w:t>
      </w:r>
      <w:r w:rsidRPr="00E20C9C">
        <w:t>.</w:t>
      </w:r>
      <w:r w:rsidRPr="00E20C9C">
        <w:tab/>
      </w:r>
      <w:r w:rsidR="00E20C9C" w:rsidRPr="00E20C9C">
        <w:rPr>
          <w:bCs/>
        </w:rPr>
        <w:t>Материал, подготовленный для Специального докладчика по вопросу о свободе</w:t>
      </w:r>
      <w:r w:rsidR="00E20C9C" w:rsidRPr="00E20C9C">
        <w:rPr>
          <w:bCs/>
        </w:rPr>
        <w:br/>
        <w:t>религии или убеждений в ответ на просьбу представить информацию для доклада</w:t>
      </w:r>
      <w:r w:rsidR="00E20C9C" w:rsidRPr="00E20C9C">
        <w:rPr>
          <w:bCs/>
        </w:rPr>
        <w:br/>
        <w:t xml:space="preserve">о </w:t>
      </w:r>
      <w:r w:rsidR="00E20C9C" w:rsidRPr="00E20C9C">
        <w:rPr>
          <w:rFonts w:eastAsia="DengXian"/>
          <w:bCs/>
          <w:lang w:eastAsia="zh-CN"/>
        </w:rPr>
        <w:t xml:space="preserve">свободе </w:t>
      </w:r>
      <w:r w:rsidR="00E20C9C" w:rsidRPr="00E20C9C">
        <w:rPr>
          <w:bCs/>
        </w:rPr>
        <w:t xml:space="preserve">религии или убеждений и запрете на применение пыток и других жестоких, бесчеловечных или унижающих достоинство видов обращения и наказания </w:t>
      </w:r>
      <w:r w:rsidRPr="00E20C9C">
        <w:tab/>
      </w:r>
      <w:r w:rsidRPr="00E20C9C">
        <w:tab/>
        <w:t>2</w:t>
      </w:r>
      <w:r w:rsidR="00E20C9C" w:rsidRPr="00E20C9C">
        <w:t>3</w:t>
      </w:r>
    </w:p>
    <w:p w14:paraId="77462F13" w14:textId="77777777" w:rsidR="00F752F3" w:rsidRPr="00D60EFE" w:rsidRDefault="00F752F3" w:rsidP="00240ABF">
      <w:pPr>
        <w:pStyle w:val="HChG"/>
        <w:pageBreakBefore/>
        <w:outlineLvl w:val="0"/>
      </w:pPr>
      <w:r w:rsidRPr="00E20C9C">
        <w:rPr>
          <w:bCs/>
        </w:rPr>
        <w:lastRenderedPageBreak/>
        <w:tab/>
      </w:r>
      <w:r>
        <w:rPr>
          <w:bCs/>
        </w:rPr>
        <w:t>I.</w:t>
      </w:r>
      <w:r>
        <w:tab/>
      </w:r>
      <w:r>
        <w:rPr>
          <w:bCs/>
        </w:rPr>
        <w:t>Введение</w:t>
      </w:r>
      <w:bookmarkStart w:id="11" w:name="_Toc534899833"/>
      <w:bookmarkStart w:id="12" w:name="_Toc97717813"/>
      <w:bookmarkStart w:id="13" w:name="_Toc97794992"/>
      <w:bookmarkStart w:id="14" w:name="_Toc161321096"/>
      <w:bookmarkStart w:id="15" w:name="_Toc185542931"/>
      <w:bookmarkStart w:id="16" w:name="_Toc192081300"/>
      <w:bookmarkEnd w:id="11"/>
      <w:bookmarkEnd w:id="12"/>
      <w:bookmarkEnd w:id="13"/>
      <w:bookmarkEnd w:id="14"/>
      <w:bookmarkEnd w:id="15"/>
      <w:bookmarkEnd w:id="16"/>
    </w:p>
    <w:p w14:paraId="5A88D39A" w14:textId="77777777" w:rsidR="00F752F3" w:rsidRPr="00D60EFE" w:rsidRDefault="00F752F3" w:rsidP="00F752F3">
      <w:pPr>
        <w:pStyle w:val="SingleTxtG"/>
      </w:pPr>
      <w:bookmarkStart w:id="17" w:name="_Hlk160116560"/>
      <w:r>
        <w:t>1.</w:t>
      </w:r>
      <w:r>
        <w:tab/>
        <w:t>В соответствии со статьей 16 (пункт 3) Факультативного протокола к Конвенции против пыток и других жестоких, бесчеловечных или унижающих достоинство видов обращения и наказания и правилом 33 своих правил процедуры Подкомитет по предупреждению пыток и других жестоких, бесчеловечных или унижающих достоинство видов обращения и наказания готовит ежегодный доклад о своей деятельности в виде документа публичного доступа. Настоящий доклад охватывает деятельность Подкомитета за период с 1 января по 31 декабря 2024 года и был принят им на его пятьдесят пятой сессии, которая проходила в Женеве с 27 января по 7 февраля 2025 года. Он составлен согласно новой структуре ежегодных докладов Подкомитета, принятой им на его пятьдесят четвертой сессии, которая проходила в Женеве с 11 по 15 ноября 2024 года</w:t>
      </w:r>
      <w:r w:rsidRPr="00056ED7">
        <w:rPr>
          <w:rStyle w:val="aa"/>
        </w:rPr>
        <w:footnoteReference w:id="2"/>
      </w:r>
      <w:r>
        <w:t>.</w:t>
      </w:r>
      <w:bookmarkStart w:id="18" w:name="_Hlk58255257"/>
      <w:bookmarkEnd w:id="18"/>
    </w:p>
    <w:p w14:paraId="4E2AAF4F" w14:textId="77777777" w:rsidR="00F752F3" w:rsidRPr="00D60EFE" w:rsidRDefault="00F752F3" w:rsidP="00F752F3">
      <w:pPr>
        <w:pStyle w:val="HChG"/>
        <w:outlineLvl w:val="0"/>
      </w:pPr>
      <w:r w:rsidRPr="00207141">
        <w:rPr>
          <w:bCs/>
        </w:rPr>
        <w:tab/>
      </w:r>
      <w:r>
        <w:rPr>
          <w:bCs/>
        </w:rPr>
        <w:t>II.</w:t>
      </w:r>
      <w:r>
        <w:tab/>
      </w:r>
      <w:r>
        <w:rPr>
          <w:bCs/>
        </w:rPr>
        <w:t>Организационные и другие вопросы</w:t>
      </w:r>
      <w:bookmarkStart w:id="19" w:name="_Toc534899834"/>
      <w:bookmarkStart w:id="20" w:name="_Toc97717814"/>
      <w:bookmarkStart w:id="21" w:name="_Toc97794993"/>
      <w:bookmarkStart w:id="22" w:name="_Toc161321097"/>
      <w:bookmarkStart w:id="23" w:name="_Toc185542932"/>
      <w:bookmarkStart w:id="24" w:name="_Toc192081301"/>
      <w:bookmarkEnd w:id="19"/>
      <w:bookmarkEnd w:id="20"/>
      <w:bookmarkEnd w:id="21"/>
      <w:bookmarkEnd w:id="22"/>
      <w:bookmarkEnd w:id="23"/>
      <w:bookmarkEnd w:id="24"/>
    </w:p>
    <w:bookmarkEnd w:id="17"/>
    <w:p w14:paraId="569446E9" w14:textId="77777777" w:rsidR="00F752F3" w:rsidRPr="00D60EFE" w:rsidRDefault="00F752F3" w:rsidP="00F752F3">
      <w:pPr>
        <w:pStyle w:val="H1G"/>
      </w:pPr>
      <w:r w:rsidRPr="00207141">
        <w:rPr>
          <w:bCs/>
        </w:rPr>
        <w:tab/>
      </w:r>
      <w:r>
        <w:rPr>
          <w:bCs/>
        </w:rPr>
        <w:t>A.</w:t>
      </w:r>
      <w:r>
        <w:tab/>
      </w:r>
      <w:r>
        <w:rPr>
          <w:bCs/>
        </w:rPr>
        <w:t>Участие государств в системе Факультативного протокола</w:t>
      </w:r>
      <w:bookmarkStart w:id="25" w:name="_Toc534899835"/>
      <w:bookmarkStart w:id="26" w:name="_Toc97717815"/>
      <w:bookmarkStart w:id="27" w:name="_Toc97794994"/>
      <w:bookmarkStart w:id="28" w:name="_Toc161321098"/>
      <w:bookmarkStart w:id="29" w:name="_Toc185542933"/>
      <w:bookmarkStart w:id="30" w:name="_Toc192081302"/>
      <w:bookmarkEnd w:id="25"/>
      <w:bookmarkEnd w:id="26"/>
      <w:bookmarkEnd w:id="27"/>
      <w:bookmarkEnd w:id="28"/>
      <w:bookmarkEnd w:id="29"/>
      <w:bookmarkEnd w:id="30"/>
    </w:p>
    <w:p w14:paraId="117130FD" w14:textId="77777777" w:rsidR="00F752F3" w:rsidRPr="00D60EFE" w:rsidRDefault="00F752F3" w:rsidP="00F752F3">
      <w:pPr>
        <w:pStyle w:val="SingleTxtG"/>
      </w:pPr>
      <w:r>
        <w:t>2.</w:t>
      </w:r>
      <w:r>
        <w:tab/>
        <w:t>По состоянию на 31 декабря 2024 года участниками Факультативного протокола являлись 94 государства и 11 государств его подписали</w:t>
      </w:r>
      <w:r w:rsidRPr="00056ED7">
        <w:rPr>
          <w:rStyle w:val="aa"/>
        </w:rPr>
        <w:footnoteReference w:id="3"/>
      </w:r>
      <w:r>
        <w:t xml:space="preserve">. Конго ратифицировало Факультативный протокол 26 апреля 2024 года. </w:t>
      </w:r>
    </w:p>
    <w:p w14:paraId="3E71134E" w14:textId="77777777" w:rsidR="00F752F3" w:rsidRPr="00867E5F" w:rsidRDefault="00F752F3" w:rsidP="00F752F3">
      <w:pPr>
        <w:pStyle w:val="SingleTxtG"/>
      </w:pPr>
      <w:r>
        <w:t>3.</w:t>
      </w:r>
      <w:r>
        <w:tab/>
        <w:t>Распределение участников по регионам выглядело следующим образом:</w:t>
      </w:r>
    </w:p>
    <w:tbl>
      <w:tblPr>
        <w:tblStyle w:val="ac"/>
        <w:tblW w:w="0" w:type="auto"/>
        <w:tblInd w:w="1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1736"/>
      </w:tblGrid>
      <w:tr w:rsidR="00240ABF" w14:paraId="11D88197" w14:textId="77777777" w:rsidTr="00867E5F">
        <w:tc>
          <w:tcPr>
            <w:tcW w:w="5109" w:type="dxa"/>
          </w:tcPr>
          <w:p w14:paraId="5B468801" w14:textId="07ECB4EA" w:rsidR="00240ABF" w:rsidRDefault="00240ABF" w:rsidP="00240ABF">
            <w:pPr>
              <w:pStyle w:val="SingleTxtG"/>
              <w:ind w:left="0" w:right="0"/>
              <w:jc w:val="left"/>
              <w:rPr>
                <w:lang w:val="fr-CH"/>
              </w:rPr>
            </w:pPr>
            <w:bookmarkStart w:id="31" w:name="_Hlk193310105"/>
            <w:r>
              <w:t>Государства Африки</w:t>
            </w:r>
          </w:p>
        </w:tc>
        <w:tc>
          <w:tcPr>
            <w:tcW w:w="1736" w:type="dxa"/>
          </w:tcPr>
          <w:p w14:paraId="3BDC69ED" w14:textId="066C3199" w:rsidR="00240ABF" w:rsidRDefault="00240ABF" w:rsidP="00F752F3">
            <w:pPr>
              <w:pStyle w:val="SingleTxtG"/>
              <w:ind w:left="0"/>
              <w:rPr>
                <w:lang w:val="fr-CH"/>
              </w:rPr>
            </w:pPr>
            <w:r>
              <w:t>25</w:t>
            </w:r>
          </w:p>
        </w:tc>
      </w:tr>
      <w:tr w:rsidR="00240ABF" w:rsidRPr="00240ABF" w14:paraId="4625A6A3" w14:textId="77777777" w:rsidTr="00867E5F">
        <w:tc>
          <w:tcPr>
            <w:tcW w:w="5109" w:type="dxa"/>
          </w:tcPr>
          <w:p w14:paraId="39F04530" w14:textId="47E0D576" w:rsidR="00240ABF" w:rsidRPr="00240ABF" w:rsidRDefault="00240ABF" w:rsidP="00240ABF">
            <w:pPr>
              <w:pStyle w:val="SingleTxtG"/>
              <w:ind w:left="0" w:right="0"/>
              <w:jc w:val="left"/>
            </w:pPr>
            <w:r>
              <w:t>Государства Азии и Тихого океана</w:t>
            </w:r>
          </w:p>
        </w:tc>
        <w:tc>
          <w:tcPr>
            <w:tcW w:w="1736" w:type="dxa"/>
          </w:tcPr>
          <w:p w14:paraId="519B1947" w14:textId="0B121961" w:rsidR="00240ABF" w:rsidRPr="00240ABF" w:rsidRDefault="00240ABF" w:rsidP="00F752F3">
            <w:pPr>
              <w:pStyle w:val="SingleTxtG"/>
              <w:ind w:left="0"/>
            </w:pPr>
            <w:r>
              <w:t>13</w:t>
            </w:r>
          </w:p>
        </w:tc>
      </w:tr>
      <w:tr w:rsidR="00240ABF" w:rsidRPr="00240ABF" w14:paraId="73954EE6" w14:textId="77777777" w:rsidTr="00867E5F">
        <w:tc>
          <w:tcPr>
            <w:tcW w:w="5109" w:type="dxa"/>
          </w:tcPr>
          <w:p w14:paraId="2D769FFF" w14:textId="092FE020" w:rsidR="00240ABF" w:rsidRPr="00240ABF" w:rsidRDefault="00240ABF" w:rsidP="00240ABF">
            <w:pPr>
              <w:pStyle w:val="SingleTxtG"/>
              <w:ind w:left="0" w:right="0"/>
              <w:jc w:val="left"/>
            </w:pPr>
            <w:r>
              <w:t>Государства Восточной Европы</w:t>
            </w:r>
          </w:p>
        </w:tc>
        <w:tc>
          <w:tcPr>
            <w:tcW w:w="1736" w:type="dxa"/>
          </w:tcPr>
          <w:p w14:paraId="3AE4B8E0" w14:textId="39901B9F" w:rsidR="00240ABF" w:rsidRPr="00240ABF" w:rsidRDefault="00240ABF" w:rsidP="00F752F3">
            <w:pPr>
              <w:pStyle w:val="SingleTxtG"/>
              <w:ind w:left="0"/>
            </w:pPr>
            <w:r>
              <w:t>21</w:t>
            </w:r>
          </w:p>
        </w:tc>
      </w:tr>
      <w:tr w:rsidR="00240ABF" w:rsidRPr="00240ABF" w14:paraId="3176230C" w14:textId="77777777" w:rsidTr="00867E5F">
        <w:tc>
          <w:tcPr>
            <w:tcW w:w="5109" w:type="dxa"/>
          </w:tcPr>
          <w:p w14:paraId="4200D27A" w14:textId="49853CDF" w:rsidR="00240ABF" w:rsidRPr="00240ABF" w:rsidRDefault="00240ABF" w:rsidP="00240ABF">
            <w:pPr>
              <w:pStyle w:val="SingleTxtG"/>
              <w:ind w:left="0" w:right="0"/>
              <w:jc w:val="left"/>
            </w:pPr>
            <w:r>
              <w:t>Государства Латинской Америки и Карибского бассейна</w:t>
            </w:r>
          </w:p>
        </w:tc>
        <w:tc>
          <w:tcPr>
            <w:tcW w:w="1736" w:type="dxa"/>
          </w:tcPr>
          <w:p w14:paraId="34977527" w14:textId="2E366A6D" w:rsidR="00240ABF" w:rsidRPr="00240ABF" w:rsidRDefault="00240ABF" w:rsidP="00F752F3">
            <w:pPr>
              <w:pStyle w:val="SingleTxtG"/>
              <w:ind w:left="0"/>
            </w:pPr>
            <w:r>
              <w:t>15</w:t>
            </w:r>
          </w:p>
        </w:tc>
      </w:tr>
      <w:tr w:rsidR="00240ABF" w:rsidRPr="00240ABF" w14:paraId="097D0F74" w14:textId="77777777" w:rsidTr="00867E5F">
        <w:tc>
          <w:tcPr>
            <w:tcW w:w="5109" w:type="dxa"/>
          </w:tcPr>
          <w:p w14:paraId="1C2B60F3" w14:textId="4F9171E2" w:rsidR="00240ABF" w:rsidRPr="00240ABF" w:rsidRDefault="00240ABF" w:rsidP="00240ABF">
            <w:pPr>
              <w:pStyle w:val="SingleTxtG"/>
              <w:ind w:left="0" w:right="0"/>
              <w:jc w:val="left"/>
            </w:pPr>
            <w:r>
              <w:t>Государства Западной Европы и другие государства</w:t>
            </w:r>
          </w:p>
        </w:tc>
        <w:tc>
          <w:tcPr>
            <w:tcW w:w="1736" w:type="dxa"/>
          </w:tcPr>
          <w:p w14:paraId="4732F8BC" w14:textId="68B49C0A" w:rsidR="00240ABF" w:rsidRPr="00240ABF" w:rsidRDefault="00240ABF" w:rsidP="00F752F3">
            <w:pPr>
              <w:pStyle w:val="SingleTxtG"/>
              <w:ind w:left="0"/>
            </w:pPr>
            <w:r>
              <w:t>20</w:t>
            </w:r>
          </w:p>
        </w:tc>
      </w:tr>
    </w:tbl>
    <w:bookmarkEnd w:id="31"/>
    <w:p w14:paraId="7394131D" w14:textId="77777777" w:rsidR="00F752F3" w:rsidRPr="00F27778" w:rsidRDefault="00F752F3" w:rsidP="00F752F3">
      <w:pPr>
        <w:pStyle w:val="SingleTxtG"/>
      </w:pPr>
      <w:r>
        <w:t>4.</w:t>
      </w:r>
      <w:r>
        <w:tab/>
        <w:t>Распределение 11 подписавших Протокол государств по регионам выглядело следующим образом:</w:t>
      </w:r>
    </w:p>
    <w:tbl>
      <w:tblPr>
        <w:tblStyle w:val="ac"/>
        <w:tblW w:w="0" w:type="auto"/>
        <w:tblInd w:w="1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1736"/>
      </w:tblGrid>
      <w:tr w:rsidR="00240ABF" w14:paraId="102B1E93" w14:textId="77777777" w:rsidTr="00867E5F">
        <w:tc>
          <w:tcPr>
            <w:tcW w:w="5109" w:type="dxa"/>
          </w:tcPr>
          <w:p w14:paraId="7AF8E4BF" w14:textId="77777777" w:rsidR="00240ABF" w:rsidRDefault="00240ABF" w:rsidP="00C24E08">
            <w:pPr>
              <w:pStyle w:val="SingleTxtG"/>
              <w:ind w:left="0" w:right="0"/>
              <w:jc w:val="left"/>
              <w:rPr>
                <w:lang w:val="fr-CH"/>
              </w:rPr>
            </w:pPr>
            <w:r>
              <w:t>Государства Африки</w:t>
            </w:r>
          </w:p>
        </w:tc>
        <w:tc>
          <w:tcPr>
            <w:tcW w:w="1736" w:type="dxa"/>
          </w:tcPr>
          <w:p w14:paraId="396C70AB" w14:textId="55FCCDE4" w:rsidR="00240ABF" w:rsidRDefault="00240ABF" w:rsidP="00C24E08">
            <w:pPr>
              <w:pStyle w:val="SingleTxtG"/>
              <w:ind w:left="0"/>
              <w:rPr>
                <w:lang w:val="fr-CH"/>
              </w:rPr>
            </w:pPr>
            <w:r>
              <w:t>7</w:t>
            </w:r>
          </w:p>
        </w:tc>
      </w:tr>
      <w:tr w:rsidR="00240ABF" w:rsidRPr="00240ABF" w14:paraId="083F9E97" w14:textId="77777777" w:rsidTr="00867E5F">
        <w:tc>
          <w:tcPr>
            <w:tcW w:w="5109" w:type="dxa"/>
          </w:tcPr>
          <w:p w14:paraId="6140A7B2" w14:textId="77777777" w:rsidR="00240ABF" w:rsidRPr="00240ABF" w:rsidRDefault="00240ABF" w:rsidP="00C24E08">
            <w:pPr>
              <w:pStyle w:val="SingleTxtG"/>
              <w:ind w:left="0" w:right="0"/>
              <w:jc w:val="left"/>
            </w:pPr>
            <w:r>
              <w:t>Государства Азии и Тихого океана</w:t>
            </w:r>
          </w:p>
        </w:tc>
        <w:tc>
          <w:tcPr>
            <w:tcW w:w="1736" w:type="dxa"/>
          </w:tcPr>
          <w:p w14:paraId="086E3DA5" w14:textId="48601682" w:rsidR="00240ABF" w:rsidRPr="00240ABF" w:rsidRDefault="00240ABF" w:rsidP="00C24E08">
            <w:pPr>
              <w:pStyle w:val="SingleTxtG"/>
              <w:ind w:left="0"/>
            </w:pPr>
            <w:r>
              <w:t>1</w:t>
            </w:r>
          </w:p>
        </w:tc>
      </w:tr>
      <w:tr w:rsidR="00240ABF" w:rsidRPr="00240ABF" w14:paraId="129DE9CB" w14:textId="77777777" w:rsidTr="00867E5F">
        <w:tc>
          <w:tcPr>
            <w:tcW w:w="5109" w:type="dxa"/>
          </w:tcPr>
          <w:p w14:paraId="0BB3AA73" w14:textId="77777777" w:rsidR="00240ABF" w:rsidRPr="00240ABF" w:rsidRDefault="00240ABF" w:rsidP="00C24E08">
            <w:pPr>
              <w:pStyle w:val="SingleTxtG"/>
              <w:ind w:left="0" w:right="0"/>
              <w:jc w:val="left"/>
            </w:pPr>
            <w:r>
              <w:t>Государства Восточной Европы</w:t>
            </w:r>
          </w:p>
        </w:tc>
        <w:tc>
          <w:tcPr>
            <w:tcW w:w="1736" w:type="dxa"/>
          </w:tcPr>
          <w:p w14:paraId="069EBBF9" w14:textId="14FF9E1F" w:rsidR="00240ABF" w:rsidRPr="00240ABF" w:rsidRDefault="00240ABF" w:rsidP="00C24E08">
            <w:pPr>
              <w:pStyle w:val="SingleTxtG"/>
              <w:ind w:left="0"/>
            </w:pPr>
            <w:r>
              <w:t>0</w:t>
            </w:r>
          </w:p>
        </w:tc>
      </w:tr>
      <w:tr w:rsidR="00240ABF" w:rsidRPr="00240ABF" w14:paraId="75AC7987" w14:textId="77777777" w:rsidTr="00867E5F">
        <w:tc>
          <w:tcPr>
            <w:tcW w:w="5109" w:type="dxa"/>
          </w:tcPr>
          <w:p w14:paraId="4F1EDC46" w14:textId="77777777" w:rsidR="00240ABF" w:rsidRPr="00240ABF" w:rsidRDefault="00240ABF" w:rsidP="00C24E08">
            <w:pPr>
              <w:pStyle w:val="SingleTxtG"/>
              <w:ind w:left="0" w:right="0"/>
              <w:jc w:val="left"/>
            </w:pPr>
            <w:r>
              <w:t>Государства Латинской Америки и Карибского бассейна</w:t>
            </w:r>
          </w:p>
        </w:tc>
        <w:tc>
          <w:tcPr>
            <w:tcW w:w="1736" w:type="dxa"/>
          </w:tcPr>
          <w:p w14:paraId="6DF546DD" w14:textId="1D31A7D0" w:rsidR="00240ABF" w:rsidRPr="00240ABF" w:rsidRDefault="00240ABF" w:rsidP="00C24E08">
            <w:pPr>
              <w:pStyle w:val="SingleTxtG"/>
              <w:ind w:left="0"/>
            </w:pPr>
            <w:r>
              <w:t>1</w:t>
            </w:r>
          </w:p>
        </w:tc>
      </w:tr>
      <w:tr w:rsidR="00240ABF" w:rsidRPr="00240ABF" w14:paraId="31791278" w14:textId="77777777" w:rsidTr="00867E5F">
        <w:tc>
          <w:tcPr>
            <w:tcW w:w="5109" w:type="dxa"/>
          </w:tcPr>
          <w:p w14:paraId="74BF29F3" w14:textId="77777777" w:rsidR="00240ABF" w:rsidRPr="00240ABF" w:rsidRDefault="00240ABF" w:rsidP="00C24E08">
            <w:pPr>
              <w:pStyle w:val="SingleTxtG"/>
              <w:ind w:left="0" w:right="0"/>
              <w:jc w:val="left"/>
            </w:pPr>
            <w:r>
              <w:t>Государства Западной Европы и другие государства</w:t>
            </w:r>
          </w:p>
        </w:tc>
        <w:tc>
          <w:tcPr>
            <w:tcW w:w="1736" w:type="dxa"/>
          </w:tcPr>
          <w:p w14:paraId="64B93D7F" w14:textId="1F282331" w:rsidR="00240ABF" w:rsidRPr="00240ABF" w:rsidRDefault="00240ABF" w:rsidP="00C24E08">
            <w:pPr>
              <w:pStyle w:val="SingleTxtG"/>
              <w:ind w:left="0"/>
            </w:pPr>
            <w:r>
              <w:t>2</w:t>
            </w:r>
          </w:p>
        </w:tc>
      </w:tr>
    </w:tbl>
    <w:p w14:paraId="4415496F" w14:textId="77777777" w:rsidR="00F752F3" w:rsidRPr="00D60EFE" w:rsidRDefault="00F752F3" w:rsidP="00F752F3">
      <w:pPr>
        <w:pStyle w:val="H1G"/>
      </w:pPr>
      <w:r w:rsidRPr="00207141">
        <w:rPr>
          <w:bCs/>
        </w:rPr>
        <w:tab/>
      </w:r>
      <w:r>
        <w:rPr>
          <w:bCs/>
        </w:rPr>
        <w:t>B.</w:t>
      </w:r>
      <w:r>
        <w:tab/>
      </w:r>
      <w:r>
        <w:rPr>
          <w:bCs/>
        </w:rPr>
        <w:t>Сессии</w:t>
      </w:r>
      <w:bookmarkStart w:id="32" w:name="_Toc534899836"/>
      <w:bookmarkStart w:id="33" w:name="_Toc97717816"/>
      <w:bookmarkStart w:id="34" w:name="_Toc97794995"/>
      <w:bookmarkStart w:id="35" w:name="_Toc185542934"/>
      <w:bookmarkStart w:id="36" w:name="_Toc192081303"/>
      <w:bookmarkEnd w:id="32"/>
      <w:bookmarkEnd w:id="33"/>
      <w:bookmarkEnd w:id="34"/>
      <w:bookmarkEnd w:id="35"/>
      <w:bookmarkEnd w:id="36"/>
    </w:p>
    <w:p w14:paraId="7FAEF519" w14:textId="7CBD2E0A" w:rsidR="00F752F3" w:rsidRPr="00D60EFE" w:rsidRDefault="00F752F3" w:rsidP="00F752F3">
      <w:pPr>
        <w:pStyle w:val="SingleTxtG"/>
      </w:pPr>
      <w:bookmarkStart w:id="37" w:name="_Hlk58255486"/>
      <w:r>
        <w:t>5.</w:t>
      </w:r>
      <w:r>
        <w:tab/>
        <w:t>За отчетный период Подкомитет провел в Женеве в очном формате</w:t>
      </w:r>
      <w:r w:rsidR="00867E5F" w:rsidRPr="00867E5F">
        <w:br/>
      </w:r>
      <w:r>
        <w:t>две сессии продолжительностью в одну неделю и одну сессию продолжительностью</w:t>
      </w:r>
      <w:r w:rsidR="00867E5F" w:rsidRPr="00867E5F">
        <w:br/>
      </w:r>
      <w:r>
        <w:t>в две недели: пятьдесят вторую сессию (29 января — 9 февраля 2024 года);</w:t>
      </w:r>
      <w:r w:rsidR="00867E5F" w:rsidRPr="00867E5F">
        <w:br/>
      </w:r>
      <w:r>
        <w:t>пятьдесят третью сессию (3–7 июня 2024 года); пятьдесят четвертую</w:t>
      </w:r>
      <w:r w:rsidR="00867E5F" w:rsidRPr="00867E5F">
        <w:br/>
      </w:r>
      <w:r>
        <w:t>сессию (11–15 ноября 2024 года).</w:t>
      </w:r>
      <w:bookmarkEnd w:id="37"/>
    </w:p>
    <w:p w14:paraId="75FDAEC0" w14:textId="009C2F8C" w:rsidR="00F752F3" w:rsidRPr="00956DCB" w:rsidRDefault="00F752F3" w:rsidP="00F752F3">
      <w:pPr>
        <w:pStyle w:val="SingleTxtG"/>
      </w:pPr>
      <w:r>
        <w:lastRenderedPageBreak/>
        <w:t>6.</w:t>
      </w:r>
      <w:r>
        <w:tab/>
        <w:t>На всех трех сессиях проходили заседания региональных групп без устного перевода с представлением Подкомитету доклада на его пленарном заседании</w:t>
      </w:r>
      <w:r w:rsidR="0018338F" w:rsidRPr="0018338F">
        <w:br/>
      </w:r>
      <w:r>
        <w:t>и вынесением в соответствующих случаях рекомендаций. Рабочая группа по правовой практике и рабочая группа по медицинским аспектам предупреждения пыток заседали во время пленарных заседаний на всех трех сессиях. Рабочая группа по Специальному фонду, учрежденному Факультативным протоколом, провела заседания на пятьдесят третьей и пятьдесят четвертой сессиях.</w:t>
      </w:r>
      <w:bookmarkStart w:id="38" w:name="OLE_LINK3"/>
      <w:bookmarkStart w:id="39" w:name="OLE_LINK4"/>
      <w:bookmarkEnd w:id="38"/>
      <w:bookmarkEnd w:id="39"/>
    </w:p>
    <w:p w14:paraId="2025E088" w14:textId="77777777" w:rsidR="00F752F3" w:rsidRPr="00D60EFE" w:rsidRDefault="00F752F3" w:rsidP="00F752F3">
      <w:pPr>
        <w:pStyle w:val="SingleTxtG"/>
      </w:pPr>
      <w:r>
        <w:t>7.</w:t>
      </w:r>
      <w:r>
        <w:tab/>
        <w:t>На пятьдесят второй сессии региональная группа для Северной и Южной Америки и региональная группа для Азии и Тихого океана провели свои ежегодные региональные совещания с национальными превентивными механизмами. Подкомитет провел неофициальное открытое совещание с 43 государствами-участниками и подписавшими Протокол государствами</w:t>
      </w:r>
      <w:r w:rsidRPr="00056ED7">
        <w:rPr>
          <w:rStyle w:val="aa"/>
        </w:rPr>
        <w:footnoteReference w:id="4"/>
      </w:r>
      <w:r>
        <w:t>, рассказав о своей деятельности и мероприятиях, в том числе о прогрессе в работе над проектом замечания общего порядка, и о своей роли в процессе укрепления договорных органов, а также о проблемах, включая нехватку ресурсов. Кроме того, Подкомитет впервые провел совещание с действующим Верховным комиссаром Организации Объединенных Наций по правам человека. В дополнение к этому состоялись совещания с представителями помощника Генерального секретаря по правам человека, Международной организации по миграции, Бюджетно-финансовой секции Управления Верховного комиссара Организации Объединенных Наций по правам человека (УВКПЧ) и различными другими заинтересованными сторонами, включая Ассоциацию за предотвращение пыток и консорциум «</w:t>
      </w:r>
      <w:r w:rsidRPr="00207141">
        <w:t>Объединение против пыток</w:t>
      </w:r>
      <w:r>
        <w:t>»</w:t>
      </w:r>
      <w:r w:rsidRPr="00056ED7">
        <w:rPr>
          <w:rStyle w:val="aa"/>
        </w:rPr>
        <w:footnoteReference w:id="5"/>
      </w:r>
      <w:r>
        <w:t>.</w:t>
      </w:r>
    </w:p>
    <w:p w14:paraId="682380B8" w14:textId="3D07CCE0" w:rsidR="00F752F3" w:rsidRPr="00956DCB" w:rsidRDefault="00F752F3" w:rsidP="00F752F3">
      <w:pPr>
        <w:pStyle w:val="SingleTxtG"/>
      </w:pPr>
      <w:r>
        <w:t>8.</w:t>
      </w:r>
      <w:r>
        <w:tab/>
        <w:t>На своей пятьдесят третьей сессии Подкомитет принял замечание общего порядка № 1 (2024) об определении и сфере охвата понятия «места лишения свободы». Он встретился с представителями Бюджетно-финансовой секции УВКПЧ, Ассоциации за предотвращение пыток, а также другими заинтересованными сторонами, включая Бюро Глобального альянса национальных учреждений по правам человека.</w:t>
      </w:r>
    </w:p>
    <w:p w14:paraId="350DFF57" w14:textId="6F4B70A8" w:rsidR="00F752F3" w:rsidRPr="00956DCB" w:rsidRDefault="00F752F3" w:rsidP="00F752F3">
      <w:pPr>
        <w:pStyle w:val="SingleTxtG"/>
      </w:pPr>
      <w:r>
        <w:t>9.</w:t>
      </w:r>
      <w:r>
        <w:tab/>
        <w:t>В период между пятьдесят третьей и пятьдесят четвертой сессиями Подкомитета региональная группа для Африки провела свое ежегодное региональное совещание с национальными превентивными механизмами.</w:t>
      </w:r>
    </w:p>
    <w:p w14:paraId="7509870A" w14:textId="77777777" w:rsidR="00F752F3" w:rsidRPr="00D60EFE" w:rsidRDefault="00F752F3" w:rsidP="00F752F3">
      <w:pPr>
        <w:pStyle w:val="SingleTxtG"/>
      </w:pPr>
      <w:r>
        <w:t>10.</w:t>
      </w:r>
      <w:r>
        <w:tab/>
        <w:t>В ходе своей пятьдесят четвертой сессии Подкомитет, действуя в соответствии со статьей 10 Факультативного протокола, провел встречу с представителями Комитета против пыток. На этой же сессии региональная группа для Европы провела ежегодное региональное совещание с национальными превентивными механизмами. Подкомитет взаимодействовал также с другими заинтересованными сторонами, включая Ассоциацию за предотвращение пыток и координаторов по вопросам политики в области наркотиков из Всемирной организации здравоохранения и УВКПЧ. В соответствии с практикой Подкомитета шесть членов, чей срок полномочий истекал 31 декабря 2024 года (Абдаллах Уннир, Сатьябхушан Гапт Домах, Даниель Финк, Хамида Дриди, Мария Андреа Касаменто и Зденка Перович), поделились своими соображениями по поводу выполнения мандата. Подкомитет искренне благодарит уходящих членов за их вклад в дело предупреждения пыток во всем мире. Их знания, преданность делу и совместные усилия сыграли важнейшую роль в выполнении мандата Подкомитета.</w:t>
      </w:r>
    </w:p>
    <w:p w14:paraId="098E940E" w14:textId="77777777" w:rsidR="00F752F3" w:rsidRPr="00D60EFE" w:rsidRDefault="00F752F3" w:rsidP="00867E5F">
      <w:pPr>
        <w:pStyle w:val="H1G"/>
        <w:pageBreakBefore/>
      </w:pPr>
      <w:r w:rsidRPr="00207141">
        <w:rPr>
          <w:bCs/>
        </w:rPr>
        <w:lastRenderedPageBreak/>
        <w:tab/>
      </w:r>
      <w:r>
        <w:rPr>
          <w:bCs/>
        </w:rPr>
        <w:t>C.</w:t>
      </w:r>
      <w:r>
        <w:tab/>
      </w:r>
      <w:r>
        <w:rPr>
          <w:bCs/>
        </w:rPr>
        <w:t>Членский состав, должностные лица и мандаты</w:t>
      </w:r>
      <w:bookmarkStart w:id="40" w:name="_Toc534899837"/>
      <w:bookmarkStart w:id="41" w:name="_Toc97717817"/>
      <w:bookmarkStart w:id="42" w:name="_Toc97794996"/>
      <w:bookmarkStart w:id="43" w:name="_Toc185542935"/>
      <w:bookmarkStart w:id="44" w:name="_Toc192081304"/>
      <w:bookmarkStart w:id="45" w:name="_Hlk184650216"/>
      <w:bookmarkEnd w:id="40"/>
      <w:bookmarkEnd w:id="41"/>
      <w:bookmarkEnd w:id="42"/>
      <w:bookmarkEnd w:id="43"/>
      <w:bookmarkEnd w:id="44"/>
      <w:bookmarkEnd w:id="45"/>
    </w:p>
    <w:p w14:paraId="3DD295A8" w14:textId="77777777" w:rsidR="00F752F3" w:rsidRPr="00D60EFE" w:rsidRDefault="00F752F3" w:rsidP="00F752F3">
      <w:pPr>
        <w:pStyle w:val="SingleTxtG"/>
      </w:pPr>
      <w:bookmarkStart w:id="46" w:name="OLE_LINK53"/>
      <w:bookmarkStart w:id="47" w:name="OLE_LINK54"/>
      <w:r>
        <w:t>11.</w:t>
      </w:r>
      <w:r>
        <w:tab/>
        <w:t>За отчетный период членский состав Подкомитета изменений не претерпел</w:t>
      </w:r>
      <w:r w:rsidRPr="00056ED7">
        <w:rPr>
          <w:rStyle w:val="aa"/>
        </w:rPr>
        <w:footnoteReference w:id="6"/>
      </w:r>
      <w:r>
        <w:t>.</w:t>
      </w:r>
    </w:p>
    <w:p w14:paraId="52C42D30" w14:textId="36E9A8DC" w:rsidR="00F752F3" w:rsidRPr="00D60EFE" w:rsidRDefault="00F752F3" w:rsidP="00F752F3">
      <w:pPr>
        <w:pStyle w:val="SingleTxtG"/>
      </w:pPr>
      <w:r>
        <w:t>12.</w:t>
      </w:r>
      <w:r>
        <w:tab/>
        <w:t>Состав Бюро также остался без изменений: Сюзанна Жаббур (Председатель); Кармен Комас-Мата Мира (заместитель Председателя по посещениям);</w:t>
      </w:r>
      <w:r w:rsidR="00867E5F" w:rsidRPr="00867E5F">
        <w:br/>
      </w:r>
      <w:r>
        <w:t xml:space="preserve">г-н Финк (заместитель Председателя по внешним сношениям); Аиша Шуджуне Мухаммад (заместитель Председателя по национальным превентивным механизмам); Мария Луиса Ромеро (заместитель Председателя и Докладчик). Якуб Юлиан Чепек остался докладчиком Подкомитета по вопросу репрессалий. </w:t>
      </w:r>
      <w:bookmarkEnd w:id="46"/>
      <w:bookmarkEnd w:id="47"/>
    </w:p>
    <w:p w14:paraId="4B067E80" w14:textId="3CFFDCE9" w:rsidR="00F752F3" w:rsidRPr="00956DCB" w:rsidRDefault="00F752F3" w:rsidP="00F752F3">
      <w:pPr>
        <w:pStyle w:val="SingleTxtG"/>
      </w:pPr>
      <w:r>
        <w:t>13.</w:t>
      </w:r>
      <w:r>
        <w:tab/>
        <w:t>В течение года сменилось руководство региональной группы для Азии и Тихого океана. До пятьдесят третьей сессии ее главой был Ника Кварацхелия, после чего его сменил Виктор Захария. Подробная информация о составе региональных групп размещена на веб-сайте Подкомитета</w:t>
      </w:r>
      <w:r w:rsidRPr="00056ED7">
        <w:rPr>
          <w:rStyle w:val="aa"/>
        </w:rPr>
        <w:footnoteReference w:id="7"/>
      </w:r>
      <w:r>
        <w:t>.</w:t>
      </w:r>
    </w:p>
    <w:p w14:paraId="532FDC33" w14:textId="3ECA9A15" w:rsidR="00F752F3" w:rsidRPr="00956DCB" w:rsidRDefault="00F752F3" w:rsidP="00F752F3">
      <w:pPr>
        <w:pStyle w:val="SingleTxtG"/>
      </w:pPr>
      <w:r>
        <w:t>14.</w:t>
      </w:r>
      <w:r>
        <w:tab/>
        <w:t>По состоянию на 31 декабря 2024 года руководителями рабочей группы по правовой практике, рабочей группы по медицинским аспектам предупреждения пыток и рабочей группы по Специальному фонду, учрежденному Факультативным протоколом, являлись соответственно г-жа Ромеро, Мария Брасхольт и г-жа Жаббур.</w:t>
      </w:r>
    </w:p>
    <w:p w14:paraId="6E1F7959" w14:textId="77777777" w:rsidR="00F752F3" w:rsidRPr="00D60EFE" w:rsidRDefault="00F752F3" w:rsidP="00F752F3">
      <w:pPr>
        <w:pStyle w:val="H1G"/>
      </w:pPr>
      <w:bookmarkStart w:id="48" w:name="_Toc534899838"/>
      <w:bookmarkStart w:id="49" w:name="_Toc97717818"/>
      <w:bookmarkStart w:id="50" w:name="_Toc97794997"/>
      <w:r w:rsidRPr="00207141">
        <w:rPr>
          <w:bCs/>
        </w:rPr>
        <w:tab/>
      </w:r>
      <w:r>
        <w:rPr>
          <w:bCs/>
        </w:rPr>
        <w:t>D.</w:t>
      </w:r>
      <w:r>
        <w:tab/>
      </w:r>
      <w:r>
        <w:tab/>
      </w:r>
      <w:r>
        <w:rPr>
          <w:bCs/>
        </w:rPr>
        <w:t>Специальный фонд, учрежденный Факультативным протоколом</w:t>
      </w:r>
      <w:bookmarkStart w:id="51" w:name="_Toc185542936"/>
      <w:bookmarkStart w:id="52" w:name="_Toc192081305"/>
      <w:bookmarkStart w:id="53" w:name="_Hlk184650256"/>
      <w:bookmarkEnd w:id="51"/>
      <w:bookmarkEnd w:id="52"/>
      <w:bookmarkEnd w:id="53"/>
    </w:p>
    <w:p w14:paraId="487F4FF4" w14:textId="77777777" w:rsidR="00F752F3" w:rsidRPr="00D60EFE" w:rsidRDefault="00F752F3" w:rsidP="00F752F3">
      <w:pPr>
        <w:pStyle w:val="SingleTxtG"/>
      </w:pPr>
      <w:bookmarkStart w:id="54" w:name="_Toc161321100"/>
      <w:r>
        <w:t>15.</w:t>
      </w:r>
      <w:r>
        <w:tab/>
        <w:t>Специальный фонд, учрежденный в соответствии со статьей 26 (пункт 1) Факультативного протокола, оказывает поддержку проектам по созданию или укреплению национальных превентивных механизмов, способствуя выполнению рекомендаций, вынесенных Подкомитетом по итогам посещения им стран. Национальные превентивные механизмы могут также самостоятельно направлять предложения о проектах, связанных с финансированием их образовательных программ, независимо от проведенного Подкомитетом посещения. В 2024 году были выделены гранты на общую сумму 316 545 долл. США для содействия реализации в 2025 году 11 проектов по предупреждению пыток в 10 государствах. Подкомитет помогал оценивать предложения и рекомендовать выделение грантов.</w:t>
      </w:r>
    </w:p>
    <w:p w14:paraId="572B30F6" w14:textId="52A5CF62" w:rsidR="00F752F3" w:rsidRPr="00D60EFE" w:rsidRDefault="00F752F3" w:rsidP="00F752F3">
      <w:pPr>
        <w:pStyle w:val="SingleTxtG"/>
      </w:pPr>
      <w:r>
        <w:t>16.</w:t>
      </w:r>
      <w:r>
        <w:tab/>
        <w:t>Впервые проекты по созданию потенциала были утверждены для Либерии, Монголии и Руанды. Проекты в Габоне и Либерии будут способствовать созданию долгожданных национальных превентивных механизмов. В Аргентине,</w:t>
      </w:r>
      <w:r w:rsidR="00CA08F9" w:rsidRPr="00CA08F9">
        <w:br/>
      </w:r>
      <w:r>
        <w:t>Боливии (Многонациональное Государство), Буркина-Фасо, Нигере, Сенегале и Того проекты направлены на укрепление потенциала членов национальных превентивных механизмов, работников судебных органов, магистратов, сотрудников правоохранительных органов, администрации пенитенциарных учреждений, стажеров полиции и других заинтересованных сторон в области предупреждения пыток; повышение уровня заметности механизмов; перевод основных документов по предупреждению пыток на местные языки; а также продвижение законодательных реформ, которые касаются обращения с лицами, находящимися под стражей.</w:t>
      </w:r>
    </w:p>
    <w:p w14:paraId="2F0227BB" w14:textId="4B03BAE0" w:rsidR="00F752F3" w:rsidRPr="00D60EFE" w:rsidRDefault="00F752F3" w:rsidP="00F752F3">
      <w:pPr>
        <w:pStyle w:val="SingleTxtG"/>
      </w:pPr>
      <w:r>
        <w:t>17.</w:t>
      </w:r>
      <w:r>
        <w:tab/>
        <w:t>Подкомитет выражает благодарность за взносы в Специальный фонд, поступившие от Чехии (17 421 долл. США), Германии (218 807 долл. США)</w:t>
      </w:r>
      <w:r w:rsidR="00CA08F9" w:rsidRPr="00956DCB">
        <w:br/>
      </w:r>
      <w:r>
        <w:t>и Дании (объявлен взнос в размере около 200 000 долл. США).</w:t>
      </w:r>
    </w:p>
    <w:p w14:paraId="00BB0D06" w14:textId="77777777" w:rsidR="00F752F3" w:rsidRPr="00D60EFE" w:rsidRDefault="00F752F3" w:rsidP="00F752F3">
      <w:pPr>
        <w:pStyle w:val="HChG"/>
        <w:outlineLvl w:val="0"/>
      </w:pPr>
      <w:bookmarkStart w:id="55" w:name="_Toc534899842"/>
      <w:bookmarkEnd w:id="48"/>
      <w:bookmarkEnd w:id="49"/>
      <w:bookmarkEnd w:id="50"/>
      <w:r w:rsidRPr="00207141">
        <w:rPr>
          <w:bCs/>
        </w:rPr>
        <w:tab/>
      </w:r>
      <w:r>
        <w:rPr>
          <w:bCs/>
        </w:rPr>
        <w:t>III.</w:t>
      </w:r>
      <w:r>
        <w:tab/>
      </w:r>
      <w:r>
        <w:rPr>
          <w:bCs/>
        </w:rPr>
        <w:t>Посещения</w:t>
      </w:r>
      <w:bookmarkStart w:id="56" w:name="_Toc97717823"/>
      <w:bookmarkStart w:id="57" w:name="_Toc97795002"/>
      <w:bookmarkStart w:id="58" w:name="_Toc185542937"/>
      <w:bookmarkStart w:id="59" w:name="_Toc192081306"/>
      <w:bookmarkEnd w:id="55"/>
      <w:bookmarkEnd w:id="56"/>
      <w:bookmarkEnd w:id="57"/>
      <w:bookmarkEnd w:id="58"/>
      <w:bookmarkEnd w:id="59"/>
    </w:p>
    <w:p w14:paraId="22EF5BB9" w14:textId="77777777" w:rsidR="00F752F3" w:rsidRPr="00D60EFE" w:rsidRDefault="00F752F3" w:rsidP="00F752F3">
      <w:pPr>
        <w:pStyle w:val="H1G"/>
      </w:pPr>
      <w:r w:rsidRPr="00207141">
        <w:rPr>
          <w:bCs/>
        </w:rPr>
        <w:tab/>
      </w:r>
      <w:r>
        <w:rPr>
          <w:bCs/>
        </w:rPr>
        <w:t>A.</w:t>
      </w:r>
      <w:r>
        <w:tab/>
      </w:r>
      <w:r>
        <w:rPr>
          <w:bCs/>
        </w:rPr>
        <w:t>Посещения, проведенные за отчетный период</w:t>
      </w:r>
      <w:bookmarkStart w:id="60" w:name="_Toc185542938"/>
      <w:bookmarkStart w:id="61" w:name="_Toc192081307"/>
      <w:bookmarkEnd w:id="54"/>
      <w:bookmarkEnd w:id="60"/>
      <w:bookmarkEnd w:id="61"/>
    </w:p>
    <w:p w14:paraId="539E990E" w14:textId="271876B5" w:rsidR="00F752F3" w:rsidRPr="00D60EFE" w:rsidRDefault="00F752F3" w:rsidP="00F752F3">
      <w:pPr>
        <w:pStyle w:val="SingleTxtG"/>
      </w:pPr>
      <w:r>
        <w:t>18.</w:t>
      </w:r>
      <w:r>
        <w:tab/>
        <w:t xml:space="preserve">В соответствии со своим мандатом в рамках статьей 11 и 13 Факультативного протокола Подкомитет провел в 2024 году восемь посещений: Габон (10–16 марта), </w:t>
      </w:r>
      <w:r>
        <w:lastRenderedPageBreak/>
        <w:t>Албания (14–20 апреля), Гондурас (14–20 апреля), Монголия (5–16 мая),</w:t>
      </w:r>
      <w:r w:rsidR="00CA08F9" w:rsidRPr="00CA08F9">
        <w:br/>
      </w:r>
      <w:r>
        <w:t>Нигерия (8–19 сентября), Греция (6–17 октября), Демократическая Республика</w:t>
      </w:r>
      <w:r w:rsidR="00CA08F9" w:rsidRPr="00CA08F9">
        <w:br/>
      </w:r>
      <w:r>
        <w:t>Конго (1–7 декабря) и Многонациональное Государство Боливия (1–12 декабря)</w:t>
      </w:r>
      <w:r w:rsidRPr="00056ED7">
        <w:rPr>
          <w:rStyle w:val="aa"/>
        </w:rPr>
        <w:footnoteReference w:id="8"/>
      </w:r>
      <w:r>
        <w:t>.</w:t>
      </w:r>
    </w:p>
    <w:p w14:paraId="0662930E" w14:textId="6FC76932" w:rsidR="00F752F3" w:rsidRPr="00D60EFE" w:rsidRDefault="00F752F3" w:rsidP="00F752F3">
      <w:pPr>
        <w:pStyle w:val="SingleTxtG"/>
      </w:pPr>
      <w:r>
        <w:t>19.</w:t>
      </w:r>
      <w:r>
        <w:tab/>
        <w:t>В ходе этих посещений Подкомитет провел более 1400 индивидуальных</w:t>
      </w:r>
      <w:r w:rsidR="00CA08F9" w:rsidRPr="00CA08F9">
        <w:br/>
      </w:r>
      <w:r>
        <w:t>и коллективных опросов более чем 3800 человек, в основном лиц, лишенных свободы, а также должностных лиц, сотрудников правоохранительных органов и медицинского персонала. Он посетил более 170 мест лишения свободы: 58 тюрем, 9 мест содержания под стражей для женщин, 69 отделений полиции, 8 центров содержания под стражей для несовершеннолетних, 15 психиатрических и медицинских учреждений,</w:t>
      </w:r>
      <w:r w:rsidR="00CA08F9" w:rsidRPr="00CA08F9">
        <w:br/>
      </w:r>
      <w:r>
        <w:t xml:space="preserve">8 закрытых центров для недокументированных мигрантов, 5 наркологических реабилитационных центров, 1 военный объект, 1 камеру для лиц, пребывающих под охраной в суде, и 5 учреждений социального обеспечения. </w:t>
      </w:r>
      <w:bookmarkStart w:id="62" w:name="_Hlk158908921"/>
      <w:bookmarkStart w:id="63" w:name="_Hlk158909101"/>
      <w:bookmarkEnd w:id="62"/>
      <w:bookmarkEnd w:id="63"/>
    </w:p>
    <w:p w14:paraId="0EB03D88" w14:textId="77777777" w:rsidR="00F752F3" w:rsidRPr="00D60EFE" w:rsidRDefault="00F752F3" w:rsidP="00F752F3">
      <w:pPr>
        <w:pStyle w:val="SingleTxtG"/>
      </w:pPr>
      <w:r>
        <w:t>20.</w:t>
      </w:r>
      <w:r>
        <w:tab/>
        <w:t>После каждого посещения Подкомитет публикует пресс-релизы. Посетив Габон, Подкомитет выразил обеспокоенность по поводу незначительного прогресса, достигнутого в решении проблемы переполненности тюрем, плачевных условий содержания под стражей и безнаказанности применяющих пытки лиц и рекомендовал создать национальный превентивный механизм</w:t>
      </w:r>
      <w:r w:rsidRPr="00056ED7">
        <w:rPr>
          <w:rStyle w:val="aa"/>
        </w:rPr>
        <w:footnoteReference w:id="9"/>
      </w:r>
      <w:r>
        <w:t>. После посещения Албании Подкомитет выразил обеспокоенность по поводу большого числа лиц, содержащихся под стражей до суда, и недостаточного доступа к медицинской помощи</w:t>
      </w:r>
      <w:r w:rsidRPr="00056ED7">
        <w:rPr>
          <w:rStyle w:val="aa"/>
        </w:rPr>
        <w:footnoteReference w:id="10"/>
      </w:r>
      <w:r>
        <w:t>. В Гондурасе обеспокоенность вызвали милитаризация пенитенциарных учреждений и условия содержания под стражей и была подчеркнута необходимость укрепления национального превентивного механизма как в институциональном, так и в финансовом плане</w:t>
      </w:r>
      <w:r w:rsidRPr="00056ED7">
        <w:rPr>
          <w:rStyle w:val="aa"/>
        </w:rPr>
        <w:footnoteReference w:id="11"/>
      </w:r>
      <w:r>
        <w:t>. Посетив Монголию, Подкомитет подчеркнул, что для действенного предупреждения пыток необходимо изменить парадигму в сторону реабилитационного подхода</w:t>
      </w:r>
      <w:r w:rsidRPr="00056ED7">
        <w:rPr>
          <w:rStyle w:val="aa"/>
        </w:rPr>
        <w:footnoteReference w:id="12"/>
      </w:r>
      <w:r>
        <w:t>. В Нигерии Подкомитет выразил сожаление по поводу недостаточно развитого сотрудничества и призвал принять срочные меры по пресечению пыток, улучшению условий содержания под стражей и завершению процесса создания независимого работоспособного национального превентивного механизма</w:t>
      </w:r>
      <w:r w:rsidRPr="00056ED7">
        <w:rPr>
          <w:rStyle w:val="aa"/>
        </w:rPr>
        <w:footnoteReference w:id="13"/>
      </w:r>
      <w:r>
        <w:t>. После визита в Грецию была подчеркнута необходимость принятия действенных мер по предупреждению пыток и обеспечению того, чтобы национальный превентивный механизм мог играть значимую роль</w:t>
      </w:r>
      <w:r w:rsidRPr="00056ED7">
        <w:rPr>
          <w:rStyle w:val="aa"/>
        </w:rPr>
        <w:footnoteReference w:id="14"/>
      </w:r>
      <w:r>
        <w:t>. Что касается Демократической Республики Конго, то Подкомитет сделал акцент на необходимости принятия срочных мер по созданию национального превентивного механизма в целях решения проблемы плачевных условий содержания под стражей</w:t>
      </w:r>
      <w:r w:rsidRPr="00056ED7">
        <w:rPr>
          <w:rStyle w:val="aa"/>
        </w:rPr>
        <w:footnoteReference w:id="15"/>
      </w:r>
      <w:r>
        <w:t>. После посещения Многонационального Государства Боливия Подкомитетом была выражена обеспокоенность по поводу высоких показателей досудебного содержания под стражей в этой стране, что приводит к переполненности пенитенциарных учреждений, при этом работа национального превентивного механизма получила положительную оценку</w:t>
      </w:r>
      <w:r w:rsidRPr="00056ED7">
        <w:rPr>
          <w:rStyle w:val="aa"/>
        </w:rPr>
        <w:footnoteReference w:id="16"/>
      </w:r>
      <w:r>
        <w:t>.</w:t>
      </w:r>
      <w:bookmarkStart w:id="64" w:name="OLE_LINK5"/>
      <w:bookmarkStart w:id="65" w:name="OLE_LINK6"/>
      <w:bookmarkStart w:id="66" w:name="_Toc161321101"/>
      <w:bookmarkEnd w:id="64"/>
      <w:bookmarkEnd w:id="65"/>
    </w:p>
    <w:p w14:paraId="1A353BC9" w14:textId="77777777" w:rsidR="00F752F3" w:rsidRPr="00D60EFE" w:rsidRDefault="00F752F3" w:rsidP="00F752F3">
      <w:pPr>
        <w:pStyle w:val="H1G"/>
      </w:pPr>
      <w:r w:rsidRPr="00207141">
        <w:rPr>
          <w:bCs/>
        </w:rPr>
        <w:lastRenderedPageBreak/>
        <w:tab/>
      </w:r>
      <w:r>
        <w:rPr>
          <w:bCs/>
        </w:rPr>
        <w:t>B.</w:t>
      </w:r>
      <w:r>
        <w:tab/>
      </w:r>
      <w:r>
        <w:rPr>
          <w:bCs/>
        </w:rPr>
        <w:t>Доклады о посещениях</w:t>
      </w:r>
      <w:r w:rsidRPr="00056ED7">
        <w:rPr>
          <w:rStyle w:val="aa"/>
          <w:b w:val="0"/>
          <w:bCs/>
        </w:rPr>
        <w:footnoteReference w:id="17"/>
      </w:r>
      <w:bookmarkStart w:id="67" w:name="_Toc534899844"/>
      <w:bookmarkStart w:id="68" w:name="_Toc97717825"/>
      <w:bookmarkStart w:id="69" w:name="_Toc97795004"/>
      <w:bookmarkStart w:id="70" w:name="_Toc185542939"/>
      <w:bookmarkStart w:id="71" w:name="_Toc192081308"/>
      <w:bookmarkEnd w:id="66"/>
      <w:bookmarkEnd w:id="67"/>
      <w:bookmarkEnd w:id="68"/>
      <w:bookmarkEnd w:id="69"/>
      <w:bookmarkEnd w:id="70"/>
      <w:bookmarkEnd w:id="71"/>
    </w:p>
    <w:p w14:paraId="07435C66" w14:textId="6CDCD17B" w:rsidR="00F752F3" w:rsidRPr="00D60EFE" w:rsidRDefault="00F752F3" w:rsidP="00F752F3">
      <w:pPr>
        <w:pStyle w:val="SingleTxtG"/>
      </w:pPr>
      <w:r>
        <w:t>21.</w:t>
      </w:r>
      <w:r>
        <w:tab/>
        <w:t>В соответствии со статьей 16 Факультативного протокола существенные аспекты, которые проявляются в ходе посещений стан Подкомитетом, носят конфиденциальный характер. Доклады публикуются только по просьбе посещаемого государства-участника. По состоянию на 31 декабря 2024 года Подкомитет препроводил государствам-участникам 89 докладов о посещениях, в том числе 7</w:t>
      </w:r>
      <w:r w:rsidR="00CA08F9" w:rsidRPr="00CA08F9">
        <w:br/>
      </w:r>
      <w:r>
        <w:t>в течение отчетного периода: Гватемале, Гондурасу, Государству Палестина, Грузии, Казахстану, Филиппинам и Хорватии.</w:t>
      </w:r>
    </w:p>
    <w:p w14:paraId="3E3C6862" w14:textId="0A92F391" w:rsidR="00F752F3" w:rsidRPr="00D60EFE" w:rsidRDefault="00F752F3" w:rsidP="00F752F3">
      <w:pPr>
        <w:pStyle w:val="SingleTxtG"/>
      </w:pPr>
      <w:r>
        <w:t>22.</w:t>
      </w:r>
      <w:r>
        <w:tab/>
        <w:t>К 31 декабря 2024 года по просьбе государств-участников из 89 докладов о посещениях государств-участников было обнародовано 55, в том числе 3 в отчетный период: о посещениях Боснии и Герцеговины, Гватемалы и Грузии</w:t>
      </w:r>
      <w:r w:rsidRPr="00056ED7">
        <w:rPr>
          <w:rStyle w:val="aa"/>
        </w:rPr>
        <w:footnoteReference w:id="18"/>
      </w:r>
      <w:r>
        <w:t>. Полностью соблюдая принцип конфиденциальности и право на нее, как это предусматривается Факультативным протоколом, Подкомитет приветствует и поощряет опубликование докладов о своих посещениях, поскольку это отражает дух транспарентности, лежащий в основе превентивных посещений, способствует лучшему выполнению вынесенных рекомендаций и позволяет другим государствам-участникам</w:t>
      </w:r>
      <w:r w:rsidR="00CA08F9" w:rsidRPr="00CA08F9">
        <w:br/>
      </w:r>
      <w:r>
        <w:t>и национальным превентивным механизмам извлекать опыт из практических методов, проблем и достижений друг друга в области предупреждения пыток. Подкомитет настоятельно призывает государства-участники, которые со времени его первого посещения в 2007 году получили доклады о посещениях и по состоянию на конец 2024 года не обратились с просьбой об их опубликовании, сделать это в духе транспарентности. Подкомитет напоминает, что государства, запросившие публикацию докладов об их посещениях, получают доступ к Специальному фонду, учрежденному Факультативным протоколом, — важному ресурсу, способствующему осуществлению Факультативного протокола путем финансирования проектов, направленных на выполнение рекомендаций Подкомитета.</w:t>
      </w:r>
    </w:p>
    <w:p w14:paraId="2E7D3B57" w14:textId="77777777" w:rsidR="00F752F3" w:rsidRPr="00D60EFE" w:rsidRDefault="00F752F3" w:rsidP="00F752F3">
      <w:pPr>
        <w:pStyle w:val="H1G"/>
      </w:pPr>
      <w:r w:rsidRPr="00207141">
        <w:rPr>
          <w:bCs/>
        </w:rPr>
        <w:tab/>
      </w:r>
      <w:r>
        <w:rPr>
          <w:bCs/>
        </w:rPr>
        <w:t>C.</w:t>
      </w:r>
      <w:r>
        <w:tab/>
      </w:r>
      <w:r>
        <w:rPr>
          <w:bCs/>
        </w:rPr>
        <w:t>Ответы государств на доклады о посещениях и последующие диалоги</w:t>
      </w:r>
      <w:bookmarkStart w:id="72" w:name="_Toc534899845"/>
      <w:bookmarkStart w:id="73" w:name="_Toc97717826"/>
      <w:bookmarkStart w:id="74" w:name="_Toc97795005"/>
      <w:bookmarkStart w:id="75" w:name="_Toc185542940"/>
      <w:bookmarkStart w:id="76" w:name="_Toc192081309"/>
      <w:bookmarkEnd w:id="72"/>
      <w:bookmarkEnd w:id="73"/>
      <w:bookmarkEnd w:id="74"/>
      <w:bookmarkEnd w:id="75"/>
      <w:bookmarkEnd w:id="76"/>
    </w:p>
    <w:p w14:paraId="155A33E0" w14:textId="4D7AD9F4" w:rsidR="00F752F3" w:rsidRPr="00956DCB" w:rsidRDefault="00F752F3" w:rsidP="00F752F3">
      <w:pPr>
        <w:pStyle w:val="SingleTxtG"/>
      </w:pPr>
      <w:r>
        <w:t>23.</w:t>
      </w:r>
      <w:r>
        <w:tab/>
        <w:t>В соответствии со статьей 12 Факультативного протокола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мерах по выполнению рекомендаций Подкомитета. Своевременный и всесторонний ответ государства-участника является необходимой основой конструктивного диалога с Подкомитетом по вопросу о выполнении его рекомендаций, как это предусмотрено статьей 12 (пункт d) Факультативного протокола. За отчетный период Подкомитет получил четыре ответа — от Казахстана, Мозамбика, Турции и Эквадора, при этом публикация ни одного из них запрошена не была. Подкомитет призывает государства-участники запрашивать публикацию своих ответов, так как это само по себе является превентивным инструментом</w:t>
      </w:r>
      <w:r w:rsidR="00CA08F9" w:rsidRPr="00CA08F9">
        <w:br/>
      </w:r>
      <w:r>
        <w:t>и соответствует духу транспарентности.</w:t>
      </w:r>
      <w:bookmarkStart w:id="77" w:name="_Toc534899839"/>
      <w:bookmarkStart w:id="78" w:name="_Toc97717819"/>
      <w:bookmarkStart w:id="79" w:name="_Toc97794998"/>
    </w:p>
    <w:p w14:paraId="4084E5DA" w14:textId="747E7775" w:rsidR="00F752F3" w:rsidRPr="00D60EFE" w:rsidRDefault="00F752F3" w:rsidP="00F752F3">
      <w:pPr>
        <w:pStyle w:val="SingleTxtG"/>
      </w:pPr>
      <w:r>
        <w:t>24.</w:t>
      </w:r>
      <w:r>
        <w:tab/>
        <w:t>В соответствии с практикой Подкомитета и духом конструктивного диалога с государствами-участниками, который занимает центральное место в системе Факультативного протокола, Подкомитет продолжает обсуждать с государствами-участниками выполнение рекомендаций после получения их ответов в соответствии со статьей 12 (пункт d) Факультативного протокола. В 2024 году последующие диалоги были проведены с Австралией, Аргентиной, Болгарией и Эквадором.</w:t>
      </w:r>
    </w:p>
    <w:p w14:paraId="4572AEFE" w14:textId="77777777" w:rsidR="00F752F3" w:rsidRPr="00D60EFE" w:rsidRDefault="00F752F3" w:rsidP="00F752F3">
      <w:pPr>
        <w:pStyle w:val="SingleTxtG"/>
      </w:pPr>
      <w:r>
        <w:t>25.</w:t>
      </w:r>
      <w:r>
        <w:tab/>
        <w:t xml:space="preserve">В соответствии со сложившейся практикой Подкомитет не требует публикации докладов, адресованных национальным превентивным механизмам, укрепляя тем самым принцип конфиденциальности своего общения с ними. Однако, как и в случае </w:t>
      </w:r>
      <w:r>
        <w:lastRenderedPageBreak/>
        <w:t>с государствами-участниками, Подкомитет требует от всех национальных превентивных механизмов</w:t>
      </w:r>
      <w:r w:rsidRPr="00C52DEA">
        <w:t xml:space="preserve"> </w:t>
      </w:r>
      <w:r>
        <w:t>представлять ответы на эти доклады в целях поддержания диалога.</w:t>
      </w:r>
    </w:p>
    <w:p w14:paraId="5BB01519" w14:textId="0AD05792" w:rsidR="00F752F3" w:rsidRPr="00956DCB" w:rsidRDefault="00F752F3" w:rsidP="00F752F3">
      <w:pPr>
        <w:pStyle w:val="HChG"/>
        <w:outlineLvl w:val="0"/>
      </w:pPr>
      <w:bookmarkStart w:id="80" w:name="_Toc534899846"/>
      <w:bookmarkEnd w:id="77"/>
      <w:bookmarkEnd w:id="78"/>
      <w:bookmarkEnd w:id="79"/>
      <w:r w:rsidRPr="00207141">
        <w:rPr>
          <w:bCs/>
        </w:rPr>
        <w:tab/>
      </w:r>
      <w:r>
        <w:rPr>
          <w:bCs/>
        </w:rPr>
        <w:t>IV.</w:t>
      </w:r>
      <w:r>
        <w:tab/>
      </w:r>
      <w:r>
        <w:rPr>
          <w:bCs/>
        </w:rPr>
        <w:t>Национальные превентивные механизмы</w:t>
      </w:r>
      <w:bookmarkStart w:id="81" w:name="_Toc97717828"/>
      <w:bookmarkStart w:id="82" w:name="_Toc97795007"/>
      <w:bookmarkStart w:id="83" w:name="_Toc185542941"/>
      <w:bookmarkStart w:id="84" w:name="_Toc192081310"/>
      <w:bookmarkStart w:id="85" w:name="_Hlk184650539"/>
      <w:bookmarkEnd w:id="80"/>
      <w:bookmarkEnd w:id="81"/>
      <w:bookmarkEnd w:id="82"/>
      <w:bookmarkEnd w:id="83"/>
      <w:bookmarkEnd w:id="84"/>
    </w:p>
    <w:bookmarkEnd w:id="85"/>
    <w:p w14:paraId="0D263D39" w14:textId="77777777" w:rsidR="00F752F3" w:rsidRPr="00D60EFE" w:rsidRDefault="00F752F3" w:rsidP="00F752F3">
      <w:pPr>
        <w:pStyle w:val="H1G"/>
      </w:pPr>
      <w:r w:rsidRPr="00207141">
        <w:rPr>
          <w:bCs/>
        </w:rPr>
        <w:tab/>
      </w:r>
      <w:r>
        <w:rPr>
          <w:bCs/>
        </w:rPr>
        <w:t>A.</w:t>
      </w:r>
      <w:r>
        <w:tab/>
      </w:r>
      <w:r>
        <w:rPr>
          <w:bCs/>
        </w:rPr>
        <w:t>Обязательства государств относительно национальных превентивных механизмов</w:t>
      </w:r>
      <w:bookmarkStart w:id="86" w:name="_Toc192081311"/>
      <w:bookmarkEnd w:id="86"/>
    </w:p>
    <w:p w14:paraId="0F075EB8" w14:textId="1F09C3E9" w:rsidR="00F752F3" w:rsidRPr="00956DCB" w:rsidRDefault="00F752F3" w:rsidP="00F752F3">
      <w:pPr>
        <w:pStyle w:val="SingleTxtG"/>
      </w:pPr>
      <w:r>
        <w:t>26.</w:t>
      </w:r>
      <w:r>
        <w:tab/>
        <w:t>Подкомитет продолжает вести диалог с государствами-участниками</w:t>
      </w:r>
      <w:r w:rsidR="00CA08F9" w:rsidRPr="00CA08F9">
        <w:br/>
      </w:r>
      <w:r>
        <w:t>и подписавшими Протокол государствами по вопросам назначения и/или функционирования национальных превентивных механизмов и другим связанным вопросам. В 2024 году Подкомитет с признательностью принял уведомление Боснии и Герцеговины о создании ее национального превентивного механизма.</w:t>
      </w:r>
    </w:p>
    <w:p w14:paraId="28C9765D" w14:textId="54AD8155" w:rsidR="00F752F3" w:rsidRPr="00956DCB" w:rsidRDefault="00F752F3" w:rsidP="00F752F3">
      <w:pPr>
        <w:pStyle w:val="SingleTxtG"/>
      </w:pPr>
      <w:r>
        <w:t>27.</w:t>
      </w:r>
      <w:r>
        <w:tab/>
        <w:t>На своей двадцать седьмой сессии Подкомитет постановил составить список государств-участников, которые существенно запаздывают с созданием национальных превентивных механизмов. Чтобы уточнить критерии определения того, был ли, согласно статье 17 Факультативного протокола, в соответствующих обстоятельствах поддержан, назначен или создан национальный превентивный механизм, и для целей исключения государства-участника из вышеупомянутого списка Подкомитет приводит на своем веб-сайте сведения, которые государство-участник должно включить в свою вербальную ноту</w:t>
      </w:r>
      <w:r w:rsidRPr="00056ED7">
        <w:rPr>
          <w:rStyle w:val="aa"/>
        </w:rPr>
        <w:footnoteReference w:id="19"/>
      </w:r>
      <w:r>
        <w:t>. Подкомитет подчеркивает важность получения всей релевантной информации о создании национальных превентивных механизмов.</w:t>
      </w:r>
      <w:bookmarkStart w:id="87" w:name="_Hlk160119219"/>
    </w:p>
    <w:bookmarkEnd w:id="87"/>
    <w:p w14:paraId="53CE8621" w14:textId="1734CE42" w:rsidR="00F752F3" w:rsidRPr="00956DCB" w:rsidRDefault="00F752F3" w:rsidP="00F752F3">
      <w:pPr>
        <w:pStyle w:val="SingleTxtG"/>
      </w:pPr>
      <w:r>
        <w:t>28.</w:t>
      </w:r>
      <w:r>
        <w:tab/>
        <w:t>По состоянию на 31 декабря 2024 года среди не соблюдающих статью 17 числились следующие 15 государств-участников: Афганистан, Белиз, Бенин, Бурунди, Габон, Гана, Государство Палестина, Демократическая Республика Конго, Либерия, Мадагаскар, Науру, Нигерия, Филиппины, Центральноафриканская Республика</w:t>
      </w:r>
      <w:r w:rsidR="00CA08F9" w:rsidRPr="00CA08F9">
        <w:br/>
      </w:r>
      <w:r>
        <w:t>и Южный Судан. У Подкомитета по-прежнему вызывает чрезвычайную обеспокоенность тот факт, что у некоторых из включенных в список государств-участников прогресс в вопросе соблюдения ими своих обязательств с давно истекшим сроком выполнения, как представляется, является небольшим или вообще отсутствует. Некоторые из этих государств-участников фигурируют в списке уже более десяти лет.</w:t>
      </w:r>
    </w:p>
    <w:p w14:paraId="34FC909B" w14:textId="77777777" w:rsidR="00F752F3" w:rsidRPr="00D60EFE" w:rsidRDefault="00F752F3" w:rsidP="00F752F3">
      <w:pPr>
        <w:pStyle w:val="SingleTxtG"/>
      </w:pPr>
      <w:r>
        <w:t>29.</w:t>
      </w:r>
      <w:r>
        <w:tab/>
        <w:t>Подкомитет подчеркивает, что создание национального превентивного механизма и наделение его необходимым мандатом является одним из основных обязательств каждого государства-участника. Это также является важнейшим шагом на пути к выполнению государствами-участниками обязательств по предупреждению актов пыток и других видов жестокого обращения в рамках Конвенции против пыток и других жестоких, бесчеловечных или унижающих достоинство видов обращения и наказания.</w:t>
      </w:r>
    </w:p>
    <w:p w14:paraId="5844645F" w14:textId="77777777" w:rsidR="00F752F3" w:rsidRPr="00D60EFE" w:rsidRDefault="00F752F3" w:rsidP="00F752F3">
      <w:pPr>
        <w:pStyle w:val="H1G"/>
      </w:pPr>
      <w:bookmarkStart w:id="88" w:name="_Toc185542943"/>
      <w:r w:rsidRPr="00D207A3">
        <w:rPr>
          <w:bCs/>
        </w:rPr>
        <w:tab/>
      </w:r>
      <w:r>
        <w:rPr>
          <w:bCs/>
        </w:rPr>
        <w:t>B.</w:t>
      </w:r>
      <w:r>
        <w:tab/>
      </w:r>
      <w:r>
        <w:rPr>
          <w:bCs/>
        </w:rPr>
        <w:t>Совещания</w:t>
      </w:r>
      <w:bookmarkStart w:id="89" w:name="_Toc192081312"/>
      <w:bookmarkEnd w:id="88"/>
      <w:bookmarkEnd w:id="89"/>
    </w:p>
    <w:p w14:paraId="52CB7716" w14:textId="5FD98727" w:rsidR="00F752F3" w:rsidRPr="00956DCB" w:rsidRDefault="00F752F3" w:rsidP="00F752F3">
      <w:pPr>
        <w:pStyle w:val="H23G"/>
      </w:pPr>
      <w:r w:rsidRPr="00207141">
        <w:rPr>
          <w:bCs/>
        </w:rPr>
        <w:tab/>
      </w:r>
      <w:r>
        <w:rPr>
          <w:bCs/>
        </w:rPr>
        <w:t>1.</w:t>
      </w:r>
      <w:r>
        <w:tab/>
      </w:r>
      <w:r>
        <w:rPr>
          <w:bCs/>
        </w:rPr>
        <w:t>Ежегодные совещания с национальными превентивными механизмами</w:t>
      </w:r>
    </w:p>
    <w:p w14:paraId="62A47A61" w14:textId="1FE31E4F" w:rsidR="00F752F3" w:rsidRPr="00CA08F9" w:rsidRDefault="00F752F3" w:rsidP="00F752F3">
      <w:pPr>
        <w:pStyle w:val="SingleTxtG"/>
      </w:pPr>
      <w:r>
        <w:t>30.</w:t>
      </w:r>
      <w:r>
        <w:tab/>
        <w:t>В соответствии со своим мандатом в рамках статьи 11 (пункты b) i) и ii)) Факультативного протокола Подкомитет установил и поддерживал в ходе сессий</w:t>
      </w:r>
      <w:r w:rsidR="00CA08F9" w:rsidRPr="00CA08F9">
        <w:br/>
      </w:r>
      <w:r>
        <w:t>и в межсессионные периоды прямые контакты с национальными превентивными механизмами. Региональные группы проводили ежегодные онлайн-совещания</w:t>
      </w:r>
      <w:r w:rsidR="00CA08F9" w:rsidRPr="00CA08F9">
        <w:br/>
      </w:r>
      <w:r>
        <w:t>с национальными превентивными механизмами своих регионов.</w:t>
      </w:r>
    </w:p>
    <w:p w14:paraId="5AF7D0F3" w14:textId="77777777" w:rsidR="00F752F3" w:rsidRPr="00D60EFE" w:rsidRDefault="00F752F3" w:rsidP="00F752F3">
      <w:pPr>
        <w:pStyle w:val="H23G"/>
      </w:pPr>
      <w:r>
        <w:lastRenderedPageBreak/>
        <w:tab/>
      </w:r>
      <w:r>
        <w:tab/>
      </w:r>
      <w:r>
        <w:rPr>
          <w:bCs/>
        </w:rPr>
        <w:t>Региональная группа для Африки</w:t>
      </w:r>
      <w:bookmarkStart w:id="90" w:name="_Toc185542944"/>
      <w:bookmarkEnd w:id="90"/>
    </w:p>
    <w:p w14:paraId="7017E1D3" w14:textId="77777777" w:rsidR="00F752F3" w:rsidRPr="00D60EFE" w:rsidRDefault="00F752F3" w:rsidP="00F752F3">
      <w:pPr>
        <w:pStyle w:val="SingleTxtG"/>
      </w:pPr>
      <w:r>
        <w:t>31.</w:t>
      </w:r>
      <w:r>
        <w:tab/>
        <w:t>Региональная группа для Африки провела совещание для обсуждения ежегодных докладов национальных превентивных механизмов. Региональная группа подчеркнула важность ежегодной публикации доклада, содержащего обзор деятельности, а также замечания и рекомендации. Кроме того, региональная группа затронула вопрос об обязательстве государств публиковать и распространять ежегодные доклады и призвала национальные превентивные механизмы делиться своими докладами с Подкомитетом в качестве средства повышения уровня заметности учреждения, его важного мандата и его деятельности на протяжении года.</w:t>
      </w:r>
    </w:p>
    <w:p w14:paraId="5F3F5CE7" w14:textId="77777777" w:rsidR="00F752F3" w:rsidRPr="00D60EFE" w:rsidRDefault="00F752F3" w:rsidP="00F752F3">
      <w:pPr>
        <w:pStyle w:val="H23G"/>
      </w:pPr>
      <w:r>
        <w:tab/>
      </w:r>
      <w:r>
        <w:tab/>
      </w:r>
      <w:r>
        <w:rPr>
          <w:bCs/>
        </w:rPr>
        <w:t>Региональная группа для Северной и Южной Америки</w:t>
      </w:r>
      <w:bookmarkStart w:id="91" w:name="_Toc185542945"/>
      <w:bookmarkEnd w:id="91"/>
    </w:p>
    <w:p w14:paraId="1CDBF07F" w14:textId="49E7DAE2" w:rsidR="00F752F3" w:rsidRPr="00D60EFE" w:rsidRDefault="00F752F3" w:rsidP="00F752F3">
      <w:pPr>
        <w:pStyle w:val="SingleTxtG"/>
      </w:pPr>
      <w:r>
        <w:t>32.</w:t>
      </w:r>
      <w:r>
        <w:tab/>
        <w:t>Региональная группа для Северной и Южной Америки провела совещание с национальными превентивными механизмами региона, чтобы обсудить вопрос независимости механизмов. Перед началом вебинара национальным превентивным механизмам было предложено поделиться информацией о проблемах, препятствующих достижению независимости, а также о ресурсах и поддержке, получаемых ими для выполнения своего мандата. В ходе вебинара члены Подкомитета выступили с кратким сообщением о статье 18 Факультативного протокола. Представители национальных превентивных механизмов поделились своим опытом,</w:t>
      </w:r>
      <w:r w:rsidR="00FB0D83" w:rsidRPr="00FB0D83">
        <w:br/>
      </w:r>
      <w:r>
        <w:t>в том числе на тему правовых гарантий независимости, проблем, связанных с нехваткой ресурсов, и того, как увеличение автономии привело к более результативному выполнению их мандата.</w:t>
      </w:r>
    </w:p>
    <w:p w14:paraId="3CA6052A" w14:textId="77777777" w:rsidR="00F752F3" w:rsidRPr="00D60EFE" w:rsidRDefault="00F752F3" w:rsidP="00F752F3">
      <w:pPr>
        <w:pStyle w:val="H23G"/>
      </w:pPr>
      <w:r>
        <w:tab/>
      </w:r>
      <w:r>
        <w:tab/>
      </w:r>
      <w:r>
        <w:rPr>
          <w:bCs/>
        </w:rPr>
        <w:t>Региональная группа для Азии и Тихого океана</w:t>
      </w:r>
      <w:bookmarkStart w:id="92" w:name="_Toc185542946"/>
      <w:bookmarkEnd w:id="92"/>
    </w:p>
    <w:p w14:paraId="4820EB9B" w14:textId="670E6D8D" w:rsidR="00F752F3" w:rsidRPr="00956DCB" w:rsidRDefault="00F752F3" w:rsidP="00F752F3">
      <w:pPr>
        <w:pStyle w:val="SingleTxtG"/>
      </w:pPr>
      <w:r>
        <w:t>33.</w:t>
      </w:r>
      <w:r>
        <w:tab/>
        <w:t>Региональная группа для Азии и Тихого океана провела совещание с национальными превентивными механизмами региона, чтобы рассмотреть общие проблемы и устранить основные факторы риска применения пыток и жестокого обращения, включая меры по выявлению психологических пыток и их коренных причин; системные проблемы, такие как отсутствие подотчетности со стороны сотрудников правоохранительных органов или ее ограниченный характер и растущая безнаказанность; переполненность и плохие материальные условия; ограниченную медицинскую помощь, особенно психиатрическую; нехватку персонала и ее последствия для управления учреждениями, которые предназначены для лишенных свободы лиц и их лечения; коррупцию; криминальную субкультуру и неформальную иерархию среди заключенных; насилие среди заключенных; общий карательный подход систем уголовного правосудия при ограниченных усилиях по реабилитации и реинтеграции; а также факторы уязвимости и дискриминацию. Подкомитет вынес рекомендации относительно стратегий по решению вышеупомянутых проблем, подчеркнув важность превентивного подхода.</w:t>
      </w:r>
    </w:p>
    <w:p w14:paraId="31FB80DC" w14:textId="77777777" w:rsidR="00F752F3" w:rsidRPr="00D60EFE" w:rsidRDefault="00F752F3" w:rsidP="00F752F3">
      <w:pPr>
        <w:pStyle w:val="H23G"/>
      </w:pPr>
      <w:r>
        <w:tab/>
      </w:r>
      <w:r>
        <w:tab/>
      </w:r>
      <w:r>
        <w:rPr>
          <w:bCs/>
        </w:rPr>
        <w:t>Региональная группа для Европы</w:t>
      </w:r>
      <w:bookmarkStart w:id="93" w:name="_Toc185542947"/>
      <w:bookmarkEnd w:id="93"/>
    </w:p>
    <w:p w14:paraId="188B52D0" w14:textId="2F8DA48C" w:rsidR="00F752F3" w:rsidRPr="00956DCB" w:rsidRDefault="00F752F3" w:rsidP="00F752F3">
      <w:pPr>
        <w:pStyle w:val="SingleTxtG"/>
      </w:pPr>
      <w:r>
        <w:t>34.</w:t>
      </w:r>
      <w:r>
        <w:tab/>
        <w:t>Региональная группа для Европы провела с национальными превентивными механизмами региона</w:t>
      </w:r>
      <w:r w:rsidRPr="002D12EA">
        <w:t xml:space="preserve"> </w:t>
      </w:r>
      <w:r>
        <w:t>совещание, посвященное вопросу независимости механизмов. Согласно Факультативному протоколу, государства-участники обязаны создать независимые национальные превентивные механизмы и гарантировать их функциональную независимость, независимость их сотрудников и необходимые для их функционирования финансовые ресурсы. Участники обсудили проблемы нормативного и практического характера, которые мешают гарантировать независимость, включая ограничивающие ее «серые зоны», стремясь помочь национальным превентивным механизмам выполнить свой мандат на предупреждение пыток и жестокого обращения.</w:t>
      </w:r>
    </w:p>
    <w:p w14:paraId="33F4B5B4" w14:textId="77777777" w:rsidR="00F752F3" w:rsidRPr="00D60EFE" w:rsidRDefault="00F752F3" w:rsidP="00F752F3">
      <w:pPr>
        <w:pStyle w:val="H23G"/>
      </w:pPr>
      <w:r w:rsidRPr="00207141">
        <w:rPr>
          <w:bCs/>
        </w:rPr>
        <w:tab/>
      </w:r>
      <w:r>
        <w:rPr>
          <w:bCs/>
        </w:rPr>
        <w:t>2.</w:t>
      </w:r>
      <w:r>
        <w:tab/>
      </w:r>
      <w:r>
        <w:rPr>
          <w:bCs/>
        </w:rPr>
        <w:t>Участие в совещаниях, связанных с национальными превентивными механизмами</w:t>
      </w:r>
      <w:bookmarkStart w:id="94" w:name="_Toc185542948"/>
      <w:bookmarkEnd w:id="94"/>
    </w:p>
    <w:p w14:paraId="4DEB8073" w14:textId="77777777" w:rsidR="00F752F3" w:rsidRPr="00D60EFE" w:rsidRDefault="00F752F3" w:rsidP="00F752F3">
      <w:pPr>
        <w:pStyle w:val="SingleTxtG"/>
      </w:pPr>
      <w:r>
        <w:t>35.</w:t>
      </w:r>
      <w:r>
        <w:tab/>
        <w:t xml:space="preserve">Подкомитет продолжал получать приглашения на многочисленные национальные, региональные и международные совещания, посвященные назначению, созданию и развитию национальных превентивных механизмов, а также </w:t>
      </w:r>
      <w:r>
        <w:lastRenderedPageBreak/>
        <w:t>результативному выполнению их мандатов, и благодарит организаторов соответствующих мероприятий за эти приглашения.</w:t>
      </w:r>
    </w:p>
    <w:p w14:paraId="5EAB8F3F" w14:textId="67EE5F08" w:rsidR="00F752F3" w:rsidRPr="00956DCB" w:rsidRDefault="00F752F3" w:rsidP="00F752F3">
      <w:pPr>
        <w:pStyle w:val="SingleTxtG"/>
      </w:pPr>
      <w:r>
        <w:t>36.</w:t>
      </w:r>
      <w:r>
        <w:tab/>
        <w:t>Подкомитет приветствовал полученные от представителей правительств Колумбии и Таиланда (двух стран, начавших процесс ратификации Факультативного протокола) приглашения принять участие в диалогах с соответствующими заинтересованными сторонами и разъяснить обязательства государств-участников, включая обязательство создать национальный превентивный механизм.</w:t>
      </w:r>
    </w:p>
    <w:p w14:paraId="76A34B0F" w14:textId="2A335355" w:rsidR="00F752F3" w:rsidRPr="00956DCB" w:rsidRDefault="00F752F3" w:rsidP="00F752F3">
      <w:pPr>
        <w:pStyle w:val="SingleTxtG"/>
      </w:pPr>
      <w:r>
        <w:t>37.</w:t>
      </w:r>
      <w:r>
        <w:tab/>
        <w:t>В Африке Подкомитет оказал поддержку в проведении информационно-просветительских мероприятий и мероприятий по наращиванию потенциала, организованных в рамках программы УВКПЧ по наращиванию потенциала договорных органов и посвященных ратификации Факультативного протокола</w:t>
      </w:r>
      <w:r w:rsidR="00CA08F9" w:rsidRPr="00CA08F9">
        <w:br/>
      </w:r>
      <w:r>
        <w:t>и созданию национальных превентивных механизмов. В апреле</w:t>
      </w:r>
      <w:r w:rsidR="00CA08F9" w:rsidRPr="00CA08F9">
        <w:br/>
      </w:r>
      <w:r>
        <w:t>в Центральноафриканской Республике состоялся семинар, посвященный анализу и обмену опытом, в котором в том числе приняли участие члены национальных превентивных механизмов Сенегала и Туниса. На совещаниях с органами власти была подчеркнута настоятельная необходимость доработать законопроект о создании механизма. Поездка с информационно-просветительской целью в Бенин, состоявшаяся в мае, позволила организовать совещания с представителями парламента в поддержку принятия закона о создании национального превентивного механизма и провести семинар по наращиванию потенциала для гражданского общества и других субъектов, занимающихся проблематикой предупреждения пыток. В октябре в рамках миссии по наращиванию потенциала в Конго были рассмотрены последствия ратификации и вопросы поддержки в создании национального превентивного механизма.</w:t>
      </w:r>
      <w:bookmarkStart w:id="95" w:name="OLE_LINK49"/>
      <w:bookmarkStart w:id="96" w:name="OLE_LINK50"/>
    </w:p>
    <w:p w14:paraId="71838338" w14:textId="1E05BD18" w:rsidR="00F752F3" w:rsidRPr="00956DCB" w:rsidRDefault="00F752F3" w:rsidP="00F752F3">
      <w:pPr>
        <w:pStyle w:val="SingleTxtG"/>
      </w:pPr>
      <w:bookmarkStart w:id="97" w:name="OLE_LINK51"/>
      <w:bookmarkStart w:id="98" w:name="OLE_LINK52"/>
      <w:bookmarkEnd w:id="95"/>
      <w:bookmarkEnd w:id="96"/>
      <w:r>
        <w:t>38.</w:t>
      </w:r>
      <w:r>
        <w:tab/>
        <w:t>Подкомитет был представлен на двухдневной конференции по формированию Сети национальных превентивных механизмов Африки, которая была проведена Южно-Африканской комиссией по правам человека и Национальным советом Марокко по правам человека в Кейптауне (Южная Африка) 26–27 июня 2024 года.</w:t>
      </w:r>
      <w:r w:rsidR="00CA08F9" w:rsidRPr="00CA08F9">
        <w:br/>
      </w:r>
      <w:r>
        <w:t>На конференции был принят устав Сети и избран Руководящий комитет. Постоянный секретариат Сети будет находиться в Марокко.</w:t>
      </w:r>
    </w:p>
    <w:p w14:paraId="5D4DF673" w14:textId="77777777" w:rsidR="00F752F3" w:rsidRPr="00D60EFE" w:rsidRDefault="00F752F3" w:rsidP="00F752F3">
      <w:pPr>
        <w:pStyle w:val="SingleTxtG"/>
      </w:pPr>
      <w:r>
        <w:t>39.</w:t>
      </w:r>
      <w:r>
        <w:tab/>
        <w:t>Кроме того, Подкомитет был представлен на конференции для национальных превентивных механизмов стран Латинской Америки, которая была проведена и организована Ассоциацией за предотвращение пыток в Коста-Рике с 7 по 10 мая 2024</w:t>
      </w:r>
      <w:r>
        <w:rPr>
          <w:lang w:val="fr-CH"/>
        </w:rPr>
        <w:t> </w:t>
      </w:r>
      <w:r>
        <w:t>года. Участники обсудили общие проблемы национальных превентивных механизмов, уделив особое внимание вопросу независимости. Кроме того, конференция предоставила возможность лучше разъяснить работу Подкомитета применительно к каждому механизму и обязательства его страновых докладчиков по укреплению каналов связи.</w:t>
      </w:r>
      <w:bookmarkEnd w:id="97"/>
      <w:bookmarkEnd w:id="98"/>
    </w:p>
    <w:p w14:paraId="12F48467" w14:textId="5D341051" w:rsidR="00F752F3" w:rsidRPr="00956DCB" w:rsidRDefault="00F752F3" w:rsidP="00F752F3">
      <w:pPr>
        <w:pStyle w:val="H1G"/>
      </w:pPr>
      <w:r w:rsidRPr="00207141">
        <w:rPr>
          <w:bCs/>
        </w:rPr>
        <w:tab/>
      </w:r>
      <w:r>
        <w:rPr>
          <w:bCs/>
        </w:rPr>
        <w:t>C.</w:t>
      </w:r>
      <w:r>
        <w:tab/>
      </w:r>
      <w:r>
        <w:rPr>
          <w:bCs/>
        </w:rPr>
        <w:t>Рекомендации для национальных превентивных механизмов: влияние мер политики в области наркотиков на эффективное предупреждение пыток и жестокого обращения</w:t>
      </w:r>
      <w:bookmarkStart w:id="99" w:name="_Toc185542949"/>
      <w:bookmarkStart w:id="100" w:name="_Toc192081313"/>
      <w:bookmarkEnd w:id="99"/>
      <w:bookmarkEnd w:id="100"/>
    </w:p>
    <w:p w14:paraId="4988291A" w14:textId="3162E205" w:rsidR="00F752F3" w:rsidRPr="00956DCB" w:rsidRDefault="00F752F3" w:rsidP="00F752F3">
      <w:pPr>
        <w:pStyle w:val="SingleTxtG"/>
      </w:pPr>
      <w:r>
        <w:t>40.</w:t>
      </w:r>
      <w:r>
        <w:tab/>
        <w:t>Принимая во внимание многочисленные доклады правозащитной системы Организации Объединенных Наций о негативном влиянии мер политики в области наркотиков на полное осуществление прав человека</w:t>
      </w:r>
      <w:r w:rsidRPr="00056ED7">
        <w:rPr>
          <w:rStyle w:val="aa"/>
        </w:rPr>
        <w:footnoteReference w:id="20"/>
      </w:r>
      <w:r>
        <w:t xml:space="preserve">, Подкомитет считает целесообразным проанализировать собственный опыт в отношении влияния таких мер на эффективную реализацию стратегий по предупреждению пыток и других видов жестокого обращения. На протяжении двух десятилетий существования своего мандата Подкомитет рассматривал влияние мер политики в области наркотиков на стратегии предупреждения пыток и жестокого обращения и успешное соблюдение обязательств, взятых на себя государствами — участниками Факультативного </w:t>
      </w:r>
      <w:r>
        <w:lastRenderedPageBreak/>
        <w:t>протокола, а также на полное выполнение мандатов национальных превентивных механизмов во всем мире.</w:t>
      </w:r>
    </w:p>
    <w:p w14:paraId="079DA171" w14:textId="2BC6A4B0" w:rsidR="00F752F3" w:rsidRPr="00D60EFE" w:rsidRDefault="00F752F3" w:rsidP="00F752F3">
      <w:pPr>
        <w:pStyle w:val="SingleTxtG"/>
      </w:pPr>
      <w:r>
        <w:t>41.</w:t>
      </w:r>
      <w:r>
        <w:tab/>
        <w:t>Разнообразие подходов к борьбе с наркотиками, применяемых различными государствами, существенным образом сказывается на правах лишенных свободы лиц, включая свободу от пыток и других видов жестокого обращения, в различных контекстах лишения свободы. В контексте уголовного правосудия такие подходы включают политику абсолютной нетерпимости и политику «войны с наркотиками», реализуемые посредством широкомасштабных задержаний, обязательного досудебного заключения под стражу и назначения наказаний в виде лишения</w:t>
      </w:r>
      <w:r w:rsidR="00CA08F9" w:rsidRPr="00CA08F9">
        <w:br/>
      </w:r>
      <w:r>
        <w:t>свободы, — все эти меры в значительной степени способствуют переполненности мест содержания под стражей. Однако пенитенциарные учреждения наряду</w:t>
      </w:r>
      <w:r w:rsidR="00CA08F9" w:rsidRPr="00CA08F9">
        <w:br/>
      </w:r>
      <w:r>
        <w:t>с полицейскими участками и другими местами содержания под стражей в рамках системы уголовного правосудия, как правило, плохо оборудованы для оказания специализированных медицинских услуг, требующихся находящимся под стражей лицам, которые употребляют наркотики, включая медицинскую помощь при острых и крайне болезненных симптомах наркотической абстиненции</w:t>
      </w:r>
      <w:r w:rsidRPr="00056ED7">
        <w:rPr>
          <w:rStyle w:val="aa"/>
        </w:rPr>
        <w:footnoteReference w:id="21"/>
      </w:r>
      <w:r>
        <w:t>. Подкомитет задокументировал отсутствие эффективных программ детоксикации и лечения</w:t>
      </w:r>
      <w:r w:rsidR="00CA08F9" w:rsidRPr="00CA08F9">
        <w:br/>
      </w:r>
      <w:r>
        <w:t>в местах содержания под стражей</w:t>
      </w:r>
      <w:r w:rsidRPr="00056ED7">
        <w:rPr>
          <w:rStyle w:val="aa"/>
        </w:rPr>
        <w:footnoteReference w:id="22"/>
      </w:r>
      <w:r>
        <w:t>, отсутствие независимого</w:t>
      </w:r>
      <w:r w:rsidRPr="00056ED7">
        <w:rPr>
          <w:rStyle w:val="aa"/>
        </w:rPr>
        <w:footnoteReference w:id="23"/>
      </w:r>
      <w:r>
        <w:t xml:space="preserve"> и прошедшего специальную подготовку медицинского персонала, способного оказывать помощь находящимся под стражей лицам, которые употребляют наркотики</w:t>
      </w:r>
      <w:r w:rsidRPr="00056ED7">
        <w:rPr>
          <w:rStyle w:val="aa"/>
        </w:rPr>
        <w:footnoteReference w:id="24"/>
      </w:r>
      <w:r>
        <w:t>, особенно при абстинентном синдроме</w:t>
      </w:r>
      <w:r w:rsidRPr="00056ED7">
        <w:rPr>
          <w:rStyle w:val="aa"/>
        </w:rPr>
        <w:footnoteReference w:id="25"/>
      </w:r>
      <w:r>
        <w:t>, и даже случаи смерти во время содержания под стражей</w:t>
      </w:r>
      <w:r w:rsidR="00CA08F9" w:rsidRPr="00CA08F9">
        <w:br/>
      </w:r>
      <w:r>
        <w:t>в результате передозировки метадоном</w:t>
      </w:r>
      <w:r w:rsidRPr="00056ED7">
        <w:rPr>
          <w:rStyle w:val="aa"/>
        </w:rPr>
        <w:footnoteReference w:id="26"/>
      </w:r>
      <w:r>
        <w:t>.</w:t>
      </w:r>
    </w:p>
    <w:p w14:paraId="45471B1B" w14:textId="7EA8CE26" w:rsidR="00F752F3" w:rsidRPr="00956DCB" w:rsidRDefault="00F752F3" w:rsidP="00F752F3">
      <w:pPr>
        <w:pStyle w:val="SingleTxtG"/>
      </w:pPr>
      <w:r>
        <w:t>42.</w:t>
      </w:r>
      <w:r>
        <w:tab/>
        <w:t>Таким образом, настоятельно призвав государства бороться с негативным влиянием наркотиков в местах содержания под стражей, в частности со связанными с наркотиками насилием среди заключенных и коррупцией</w:t>
      </w:r>
      <w:r w:rsidRPr="00056ED7">
        <w:rPr>
          <w:rStyle w:val="aa"/>
        </w:rPr>
        <w:footnoteReference w:id="27"/>
      </w:r>
      <w:r>
        <w:t>, Подкомитет рекомендовал также обеспечить эффективное лечение находящихся под стражей лиц, которые употребляют наркотики. Эти рекомендации включают в себя обеспечение специализированных программ лечения, соответствующих стандартам, применяемым за пределами пенитенциарных учреждений, при соблюдении принципа эквивалентности ухода</w:t>
      </w:r>
      <w:r w:rsidRPr="00056ED7">
        <w:rPr>
          <w:rStyle w:val="aa"/>
        </w:rPr>
        <w:footnoteReference w:id="28"/>
      </w:r>
      <w:r>
        <w:t>, надлежащее тестирование, которое должно проводиться только медицинским персоналом</w:t>
      </w:r>
      <w:r w:rsidRPr="00056ED7">
        <w:rPr>
          <w:rStyle w:val="aa"/>
        </w:rPr>
        <w:footnoteReference w:id="29"/>
      </w:r>
      <w:r>
        <w:t>, программы детоксикации</w:t>
      </w:r>
      <w:r w:rsidRPr="00056ED7">
        <w:rPr>
          <w:rStyle w:val="aa"/>
        </w:rPr>
        <w:footnoteReference w:id="30"/>
      </w:r>
      <w:r>
        <w:t>, медикаментозную терапию и неотложную медицинскую помощь при симптомах абстиненции</w:t>
      </w:r>
      <w:r w:rsidRPr="00056ED7">
        <w:rPr>
          <w:rStyle w:val="aa"/>
        </w:rPr>
        <w:footnoteReference w:id="31"/>
      </w:r>
      <w:r>
        <w:t>, эффективные программы реинтеграции после освобождения для недопущения рецидивов</w:t>
      </w:r>
      <w:r w:rsidRPr="00056ED7">
        <w:rPr>
          <w:rStyle w:val="aa"/>
        </w:rPr>
        <w:footnoteReference w:id="32"/>
      </w:r>
      <w:r>
        <w:t>, а также оказание помощи в социальной реинтеграции</w:t>
      </w:r>
      <w:r w:rsidRPr="00056ED7">
        <w:rPr>
          <w:rStyle w:val="aa"/>
        </w:rPr>
        <w:footnoteReference w:id="33"/>
      </w:r>
      <w:r>
        <w:t>. Подкомитет подчеркнул необходимость перевода находящихся под стражей лиц с расстройствами, вызванными употреблением психоактивных веществ, в специализированные лечебные учреждения, где им может быть обеспечено соответствующее лечение</w:t>
      </w:r>
      <w:r w:rsidRPr="00056ED7">
        <w:rPr>
          <w:rStyle w:val="aa"/>
        </w:rPr>
        <w:footnoteReference w:id="34"/>
      </w:r>
      <w:r>
        <w:t>.</w:t>
      </w:r>
    </w:p>
    <w:p w14:paraId="53E7B758" w14:textId="761579CD" w:rsidR="00F752F3" w:rsidRPr="00D60EFE" w:rsidRDefault="00F752F3" w:rsidP="00F752F3">
      <w:pPr>
        <w:pStyle w:val="SingleTxtG"/>
      </w:pPr>
      <w:r>
        <w:t>43.</w:t>
      </w:r>
      <w:r>
        <w:tab/>
        <w:t xml:space="preserve">Подкомитет обратил также внимание на глобальную распространенность таких подходов к решению проблемы наркотиков, в основе которых лежит помещение </w:t>
      </w:r>
      <w:r>
        <w:lastRenderedPageBreak/>
        <w:t>страдающих наркозависимостью лиц в исправительные учреждения, и твердо выразил свою позицию, заключающуюся в том, что эффективные стратегии борьбы</w:t>
      </w:r>
      <w:r w:rsidR="00FB0D83" w:rsidRPr="00FB0D83">
        <w:br/>
      </w:r>
      <w:r>
        <w:t>с наркотиками должны включать в себя профилактику, в том числе снижение вреда,</w:t>
      </w:r>
      <w:r w:rsidR="00FB0D83" w:rsidRPr="00FB0D83">
        <w:br/>
      </w:r>
      <w:r>
        <w:t>и обеспечение качественного амбулаторного лечения с надлежащим последующим наблюдением, а также осуществление ухода и лечения в общинах</w:t>
      </w:r>
      <w:r w:rsidRPr="00056ED7">
        <w:rPr>
          <w:rStyle w:val="aa"/>
        </w:rPr>
        <w:footnoteReference w:id="35"/>
      </w:r>
      <w:r>
        <w:t>, чтобы свести к минимуму применение мер, связанных с лишением свободы, в рамках реагирования на проблему употребления наркотиков.</w:t>
      </w:r>
    </w:p>
    <w:p w14:paraId="7B719151" w14:textId="77777777" w:rsidR="00F752F3" w:rsidRPr="00D60EFE" w:rsidRDefault="00F752F3" w:rsidP="00F752F3">
      <w:pPr>
        <w:pStyle w:val="SingleTxtG"/>
      </w:pPr>
      <w:r>
        <w:t>44.</w:t>
      </w:r>
      <w:r>
        <w:tab/>
        <w:t>Ссылаясь на статью 4 Факультативного протокола, Подкомитет подчеркнул, что лишение свободы может иметь место при самых разных обстоятельствах, включая медицинскую помощь и лечение в связи с употреблением наркотиков</w:t>
      </w:r>
      <w:r w:rsidRPr="00056ED7">
        <w:rPr>
          <w:rStyle w:val="aa"/>
        </w:rPr>
        <w:footnoteReference w:id="36"/>
      </w:r>
      <w:r>
        <w:t>. В этой связи крайне важно признать, что наркологические центры, включая центры принудительного лечения наркомании и частные клиники, а также любые другие учреждения, в том числе неофициальные и/или оперируемые различными существующими на национальном уровне социальными, культурными и/или религиозными организациями и течениями, подпадают под действие мандата как Подкомитета, так и национальных превентивных механизмов. Аналогичным образом Подкомитет подчеркнул важность того, чтобы любое лечение в таких учреждениях носило научно обоснованный, целостный характер и проводилось исключительно специально подготовленным многопрофильным медицинским персоналом с упором на терапевтический и добровольный характер лечения</w:t>
      </w:r>
      <w:r w:rsidRPr="00056ED7">
        <w:rPr>
          <w:rStyle w:val="aa"/>
        </w:rPr>
        <w:footnoteReference w:id="37"/>
      </w:r>
      <w:r>
        <w:t xml:space="preserve"> и чтобы в отношении пациентов таких наркологических центров не применялись принудительные методы, телесные наказания и карательные режимы. Наконец, необходимо уделять первоочередное внимание вопросу социальной реинтеграции лиц, проходящих лечение от наркомании, в том числе путем предоставления реальной возможности получения образования и прохождения профессионально-технической подготовки</w:t>
      </w:r>
      <w:r w:rsidRPr="00056ED7">
        <w:rPr>
          <w:rStyle w:val="aa"/>
        </w:rPr>
        <w:footnoteReference w:id="38"/>
      </w:r>
      <w:r>
        <w:t>.</w:t>
      </w:r>
    </w:p>
    <w:p w14:paraId="4EE0D546" w14:textId="2CF97C52" w:rsidR="00F752F3" w:rsidRPr="00956DCB" w:rsidRDefault="00F752F3" w:rsidP="00F752F3">
      <w:pPr>
        <w:pStyle w:val="SingleTxtG"/>
      </w:pPr>
      <w:r>
        <w:t>45.</w:t>
      </w:r>
      <w:r>
        <w:tab/>
        <w:t>Продолжая выполнять свой мандат, как это требуется согласно статье 11 Факультативного протокола, Подкомитет будет и впредь изучать негативные последствия политики в области наркотиков для эффективной реализации стратегий по предупреждению пыток и жестокого обращения и заострять внимание на этих последствиях. Он настоятельно призывает все национальные превентивные механизмы обеспечить включение национальных мер политики в области наркотиков в свои мандаты по предупреждению пыток и жестокого обращения на национальном уровне и, в частности, отслеживать то, как практическая реализация любых таких мер влияет на права всех лиц, лишенных свободы, будь то в рамках системы уголовного правосудия, административной системы, системы здравоохранения или других контекстах.</w:t>
      </w:r>
    </w:p>
    <w:p w14:paraId="2262BA38" w14:textId="77777777" w:rsidR="00F752F3" w:rsidRPr="00D60EFE" w:rsidRDefault="00F752F3" w:rsidP="00CA08F9">
      <w:pPr>
        <w:pStyle w:val="HChG"/>
      </w:pPr>
      <w:r w:rsidRPr="00207141">
        <w:tab/>
      </w:r>
      <w:r>
        <w:t>V.</w:t>
      </w:r>
      <w:r>
        <w:tab/>
      </w:r>
      <w:r w:rsidRPr="00CA08F9">
        <w:t>Замечание</w:t>
      </w:r>
      <w:r>
        <w:t xml:space="preserve"> общего порядка № 1 (2024)</w:t>
      </w:r>
      <w:bookmarkStart w:id="101" w:name="_Toc534899849"/>
      <w:bookmarkStart w:id="102" w:name="_Toc97717831"/>
      <w:bookmarkStart w:id="103" w:name="_Toc97795010"/>
      <w:bookmarkStart w:id="104" w:name="_Toc185542950"/>
      <w:bookmarkStart w:id="105" w:name="_Toc192081314"/>
      <w:bookmarkStart w:id="106" w:name="_Toc161321108"/>
      <w:bookmarkEnd w:id="101"/>
      <w:bookmarkEnd w:id="102"/>
      <w:bookmarkEnd w:id="103"/>
      <w:bookmarkEnd w:id="104"/>
      <w:bookmarkEnd w:id="105"/>
    </w:p>
    <w:p w14:paraId="408EBD60" w14:textId="55764E11" w:rsidR="00F752F3" w:rsidRPr="00D60EFE" w:rsidRDefault="00F752F3" w:rsidP="00F752F3">
      <w:pPr>
        <w:pStyle w:val="SingleTxtG"/>
      </w:pPr>
      <w:bookmarkStart w:id="107" w:name="OLE_LINK23"/>
      <w:bookmarkStart w:id="108" w:name="OLE_LINK24"/>
      <w:bookmarkStart w:id="109" w:name="_Toc534899850"/>
      <w:r>
        <w:t>46.</w:t>
      </w:r>
      <w:r>
        <w:tab/>
        <w:t>На своей пятьдесят третьей сессии Подкомитет принял замечание общего порядка № 1 (2024), в котором он разъяснил термин «места лишения свободы». В этом юридическом руководстве Подкомитет настоятельно призвал государства-участники придерживаться всеобъемлющего определения таких мест, данного в Факультативном протоколе, чтобы гарантировать возможность реализации Подкомитетом</w:t>
      </w:r>
      <w:r w:rsidR="00CA08F9" w:rsidRPr="00CA08F9">
        <w:br/>
      </w:r>
      <w:r>
        <w:t>и национальными превентивными механизмами своих соответствующих мандатов в рамках Факультативного протокола. Неограниченный доступ Подкомитета</w:t>
      </w:r>
      <w:r w:rsidR="00CA08F9" w:rsidRPr="00CA08F9">
        <w:br/>
      </w:r>
      <w:r>
        <w:t>и национальных превентивных механизмов во все места лишения свободы имеет важнейшее значение для мониторинга условий содержания под стражей</w:t>
      </w:r>
      <w:r w:rsidR="00CA08F9" w:rsidRPr="00CA08F9">
        <w:br/>
      </w:r>
      <w:r>
        <w:t>и предупреждения пыток и жестокого обращения во всем мире.</w:t>
      </w:r>
    </w:p>
    <w:p w14:paraId="3F03ED35" w14:textId="77777777" w:rsidR="00F752F3" w:rsidRPr="00D60EFE" w:rsidRDefault="00F752F3" w:rsidP="00F752F3">
      <w:pPr>
        <w:pStyle w:val="SingleTxtG"/>
      </w:pPr>
      <w:bookmarkStart w:id="110" w:name="OLE_LINK29"/>
      <w:bookmarkStart w:id="111" w:name="OLE_LINK30"/>
      <w:r>
        <w:t>47.</w:t>
      </w:r>
      <w:r>
        <w:tab/>
        <w:t xml:space="preserve">Работа над замечанием общего порядка началась в 2020 году и включала в себя проведение обстоятельных консультаций с государствами-участниками, </w:t>
      </w:r>
      <w:r>
        <w:lastRenderedPageBreak/>
        <w:t>национальными превентивными механизмами, национальными правозащитными учреждениями, Организацией Объединенных Наций и региональными правозащитными органами, гражданским обществом, академическим сообществом и пострадавшими от пыток лицами. Подкомитет признает ценный вклад этих заинтересованных сторон в доработку замечания общего порядка.</w:t>
      </w:r>
      <w:bookmarkStart w:id="112" w:name="OLE_LINK31"/>
      <w:bookmarkStart w:id="113" w:name="OLE_LINK32"/>
      <w:bookmarkStart w:id="114" w:name="OLE_LINK33"/>
      <w:bookmarkStart w:id="115" w:name="OLE_LINK34"/>
      <w:bookmarkEnd w:id="112"/>
      <w:bookmarkEnd w:id="113"/>
      <w:bookmarkEnd w:id="114"/>
      <w:bookmarkEnd w:id="115"/>
    </w:p>
    <w:p w14:paraId="14AFE239" w14:textId="369DD352" w:rsidR="00F752F3" w:rsidRPr="00956DCB" w:rsidRDefault="00F752F3" w:rsidP="00F752F3">
      <w:pPr>
        <w:pStyle w:val="SingleTxtG"/>
      </w:pPr>
      <w:r>
        <w:t>48.</w:t>
      </w:r>
      <w:r>
        <w:tab/>
        <w:t>При подготовке проекта замечания общего порядка Подкомитет в значительной степени опирался на опыт своих регулярных посещений, междисциплинарные знания своих членов и свою роль в консультировании национальных превентивных механизмов по всему миру. Подкомитет признает, что национальные превентивные механизмы являются незаменимым источником информации о внутренних реалиях в их соответствующих юрисдикциях. Таким образом, в основе замечания общего порядка лежат фактические знания и практический опыт, и в нем Подкомитет вновь указал, что понятие «места лишения свободы» должно толковаться как можно шире, чтобы обеспечить полную реализацию потенциала системы Факультативного протокола в области предупреждения.</w:t>
      </w:r>
    </w:p>
    <w:p w14:paraId="3A8661A0" w14:textId="07102B1A" w:rsidR="00F752F3" w:rsidRPr="00956DCB" w:rsidRDefault="00F752F3" w:rsidP="00F752F3">
      <w:pPr>
        <w:pStyle w:val="SingleTxtG"/>
      </w:pPr>
      <w:r>
        <w:t>49.</w:t>
      </w:r>
      <w:r>
        <w:tab/>
        <w:t>Замечание общего порядка состоит из четырех разделов и начинается с рассмотрения вопроса о важности всеобъемлющего толкования понятия «места лишения свободы» с учетом предмета и цели Факультативного протокола и в соответствии с подходами других международных механизмов, включая договорные органы и специальные процедуры Организации Объединенных Наций, а также региональные органы по правам человека.</w:t>
      </w:r>
    </w:p>
    <w:p w14:paraId="505C0473" w14:textId="22C6C2E5" w:rsidR="00F752F3" w:rsidRPr="00956DCB" w:rsidRDefault="00F752F3" w:rsidP="00F752F3">
      <w:pPr>
        <w:pStyle w:val="SingleTxtG"/>
      </w:pPr>
      <w:r>
        <w:t>50.</w:t>
      </w:r>
      <w:r>
        <w:tab/>
        <w:t>Замечание общего порядка следует формулировке, используемой в статье 4 Факультативного протокола, и содержит анализ ее составных элементов, включая юрисдикцию или контроль, частные или государственные места содержания, а также молчаливое согласие государственных органов. В замечании общего порядка Подкомитет, основываясь на своей практике и на практике национальных превентивных механизмов, рассматривает практические проблемы, связанные с осуществлением статьи 4, и предлагает руководящие указания в соответствии с Факультативным протоколом.</w:t>
      </w:r>
    </w:p>
    <w:p w14:paraId="75239AFF" w14:textId="3E2F875C" w:rsidR="00F752F3" w:rsidRPr="00956DCB" w:rsidRDefault="00F752F3" w:rsidP="00F752F3">
      <w:pPr>
        <w:pStyle w:val="SingleTxtG"/>
      </w:pPr>
      <w:r>
        <w:t>51.</w:t>
      </w:r>
      <w:r>
        <w:tab/>
        <w:t>Наконец, в своем замечании общего порядка Подкомитет подчеркивает обязательства государств-участников по статье 4, утверждая, что термин «места лишения свободы» должен восприниматься как всеобъемлющее понятие, охватывающее все ситуации, и что только при таком подходе может быть выполнена основная задача Факультативного протокола — предупреждать пытки и другие жестокие, бесчеловечные или унижающие достоинство виды обращения и наказания путем посещения Подкомитетом и национальными превентивными механизмами всех мест лишения свободы</w:t>
      </w:r>
      <w:r w:rsidRPr="00056ED7">
        <w:rPr>
          <w:rStyle w:val="aa"/>
        </w:rPr>
        <w:footnoteReference w:id="39"/>
      </w:r>
      <w:r>
        <w:t>.</w:t>
      </w:r>
      <w:bookmarkEnd w:id="110"/>
      <w:bookmarkEnd w:id="111"/>
    </w:p>
    <w:bookmarkEnd w:id="107"/>
    <w:bookmarkEnd w:id="108"/>
    <w:p w14:paraId="71FE2610" w14:textId="77777777" w:rsidR="00F752F3" w:rsidRPr="00D60EFE" w:rsidRDefault="00F752F3" w:rsidP="00F752F3">
      <w:pPr>
        <w:pStyle w:val="HChG"/>
        <w:outlineLvl w:val="0"/>
      </w:pPr>
      <w:r w:rsidRPr="00207141">
        <w:rPr>
          <w:bCs/>
        </w:rPr>
        <w:tab/>
      </w:r>
      <w:r>
        <w:rPr>
          <w:bCs/>
        </w:rPr>
        <w:t>VI.</w:t>
      </w:r>
      <w:r>
        <w:tab/>
      </w:r>
      <w:r>
        <w:rPr>
          <w:bCs/>
        </w:rPr>
        <w:t>Взаимодействие с другими органами в области предупреждения пыток</w:t>
      </w:r>
      <w:bookmarkStart w:id="116" w:name="_Toc97717832"/>
      <w:bookmarkStart w:id="117" w:name="_Toc97795011"/>
      <w:bookmarkStart w:id="118" w:name="_Toc185542951"/>
      <w:bookmarkStart w:id="119" w:name="_Toc192081315"/>
      <w:bookmarkEnd w:id="106"/>
      <w:bookmarkEnd w:id="109"/>
      <w:bookmarkEnd w:id="116"/>
      <w:bookmarkEnd w:id="117"/>
      <w:bookmarkEnd w:id="118"/>
      <w:bookmarkEnd w:id="119"/>
    </w:p>
    <w:p w14:paraId="3E0736B6" w14:textId="77777777" w:rsidR="00F752F3" w:rsidRPr="00D60EFE" w:rsidRDefault="00F752F3" w:rsidP="00F752F3">
      <w:pPr>
        <w:pStyle w:val="H1G"/>
      </w:pPr>
      <w:bookmarkStart w:id="120" w:name="_Hlk184650882"/>
      <w:r w:rsidRPr="00207141">
        <w:rPr>
          <w:bCs/>
        </w:rPr>
        <w:tab/>
      </w:r>
      <w:r>
        <w:rPr>
          <w:bCs/>
        </w:rPr>
        <w:t>A.</w:t>
      </w:r>
      <w:r>
        <w:tab/>
      </w:r>
      <w:r>
        <w:rPr>
          <w:bCs/>
        </w:rPr>
        <w:t>Подкомитет как часть правозащитной системы Организации Объединенных Наций</w:t>
      </w:r>
      <w:bookmarkStart w:id="121" w:name="_Toc185542952"/>
      <w:bookmarkStart w:id="122" w:name="_Toc192081316"/>
      <w:bookmarkEnd w:id="121"/>
      <w:bookmarkEnd w:id="122"/>
    </w:p>
    <w:bookmarkEnd w:id="120"/>
    <w:p w14:paraId="35CACA8C" w14:textId="4068A8CB" w:rsidR="00F752F3" w:rsidRPr="00956DCB" w:rsidRDefault="00F752F3" w:rsidP="00F752F3">
      <w:pPr>
        <w:pStyle w:val="SingleTxtG"/>
      </w:pPr>
      <w:r>
        <w:t>52.</w:t>
      </w:r>
      <w:r>
        <w:tab/>
        <w:t xml:space="preserve">На </w:t>
      </w:r>
      <w:r w:rsidRPr="00FF61DC">
        <w:t>пленарном</w:t>
      </w:r>
      <w:r>
        <w:t xml:space="preserve"> заседании восьмидесятой сессии Комитета против пыток, состоявшемся 23 июля 2024 года, Председатель Подкомитета представила Комитету семнадцатый ежегодный доклад Подкомитета</w:t>
      </w:r>
      <w:r w:rsidRPr="00056ED7">
        <w:rPr>
          <w:rStyle w:val="aa"/>
        </w:rPr>
        <w:footnoteReference w:id="40"/>
      </w:r>
      <w:r>
        <w:t xml:space="preserve"> и обсудила </w:t>
      </w:r>
      <w:r w:rsidRPr="00413A21">
        <w:t>этот доклад</w:t>
      </w:r>
      <w:r>
        <w:t xml:space="preserve"> с </w:t>
      </w:r>
      <w:r w:rsidRPr="00413A21">
        <w:t>Комитетом</w:t>
      </w:r>
      <w:r>
        <w:t>. Кроме того, Председатель представила (в онлайн-режиме) ежегодный доклад Генеральной Ассамблее на ее семьдесят девятой сессии.</w:t>
      </w:r>
    </w:p>
    <w:p w14:paraId="3FC91BF3" w14:textId="5742BAA2" w:rsidR="00F752F3" w:rsidRPr="00610441" w:rsidRDefault="00F752F3" w:rsidP="00F752F3">
      <w:pPr>
        <w:pStyle w:val="SingleTxtG"/>
      </w:pPr>
      <w:r>
        <w:t>53.</w:t>
      </w:r>
      <w:r>
        <w:tab/>
        <w:t xml:space="preserve">Председатель Подкомитета представляла Подкомитет и председательствовала на тридцать шестом совещании председателей договорных органов по правам человека, прошедшем в Нью-Йорке 24–28 июня 2024 года, а также приняла участие в </w:t>
      </w:r>
      <w:r>
        <w:lastRenderedPageBreak/>
        <w:t>ряде неофициальных совещаний, которые проходили в течение года, для обсуждения процесса укрепления договорных органов и вопроса реализации выводов данного совещания. Председатели продолжили работу по внедрению восьмилетнего предсказуемого графика страновых обзоров, предложив согласовать методы работы. 9–10 декабря 2024 года в Женеве Председатель Подкомитета представила информацию от имени председателей на организованных Женевской академией неофициальном совещании по механизму гармонизации договорных органов</w:t>
      </w:r>
      <w:r w:rsidR="00610441" w:rsidRPr="00610441">
        <w:br/>
      </w:r>
      <w:r>
        <w:t>и обсуждениях с участием Координационного комитета специальных процедур.</w:t>
      </w:r>
    </w:p>
    <w:p w14:paraId="214210DF" w14:textId="77777777" w:rsidR="00F752F3" w:rsidRPr="00D60EFE" w:rsidRDefault="00F752F3" w:rsidP="00F752F3">
      <w:pPr>
        <w:pStyle w:val="SingleTxtG"/>
      </w:pPr>
      <w:r>
        <w:t>54.</w:t>
      </w:r>
      <w:r>
        <w:tab/>
        <w:t>По случаю Международного дня Организации Объединенных Наций в поддержку жертв пыток, прошедшего 26 июня, Подкомитет, Комитет против пыток, Специальный фонд, учрежденный Факультативным протоколом, Специальный докладчик по вопросу о пытках и других жестоких, бесчеловечных или унижающих достоинство видах обращения и наказания и Совет попечителей Фонда добровольных взносов Организации Объединенных Наций для жертв пыток опубликовали совместное заявление, в котором настоятельно призвали государства уделять приоритетное внимание вопросу подотчетности и отправления правосудия в интересах лиц, ставших жертвами пыток</w:t>
      </w:r>
      <w:r w:rsidRPr="00056ED7">
        <w:rPr>
          <w:rStyle w:val="aa"/>
        </w:rPr>
        <w:footnoteReference w:id="41"/>
      </w:r>
      <w:r>
        <w:t>. Абсолютный запрет пыток подчеркивался как императивная норма международного права (jus cogens), при этом были отмечены многочисленные нормативные и практические препятствия для проведения результативных расследований. Председатель Подкомитета призвала принять комплексные превентивные меры в дополнение к расследованиям в отношении применяющих пытки лиц, их судебному преследованию и вынесению им обвинительных приговоров, подчеркнув важность обеспечения доступа международных, региональных и национальных наблюдательных органов к местам лишения свободы и осуществления этими органами мониторинга таких мест.</w:t>
      </w:r>
    </w:p>
    <w:p w14:paraId="7E8DFB72" w14:textId="49547B50" w:rsidR="00F752F3" w:rsidRPr="00610441" w:rsidRDefault="00F752F3" w:rsidP="00F752F3">
      <w:pPr>
        <w:pStyle w:val="SingleTxtG"/>
      </w:pPr>
      <w:r>
        <w:t>55.</w:t>
      </w:r>
      <w:r>
        <w:tab/>
        <w:t>На совместном заседании Подкомитета и Комитета против пыток 11 ноября 2024 года Подкомитет представил свое замечание общего порядка № 1 (2024)</w:t>
      </w:r>
      <w:r w:rsidR="00610441" w:rsidRPr="00610441">
        <w:br/>
      </w:r>
      <w:r>
        <w:t>и приветствовал положительную реакцию Комитета и его заверения в готовности продвигать данное замечание. Кроме того, Подкомитет и Комитет обсудили практические аспекты сотрудничества и ограничения, которые связаны</w:t>
      </w:r>
      <w:r w:rsidR="00610441" w:rsidRPr="00610441">
        <w:br/>
      </w:r>
      <w:r>
        <w:t>с конфиденциальностью, в частности, выводов, формулируемых Подкомитетом в ходе посещений. Подкомитет подтвердил свою готовность и впредь делиться с Комитетом общедоступной информацией, например о создании национальных превентивных механизмов в государствах — участниках Факультативного протокола и об ожидающихся ответах на доклады о посещениях, а также сведениями, касающимися публикации докладов о посещениях, продолжая свою установившуюся практику в этом отношении. Вместе с тем в ходе своего диалога с государствами Подкомитет продолжит напоминать властям об их обязательствах по представлению Комитету докладов и акцентировать внимание на любых вызывающих обеспокоенность вопросах, которые были подняты Комитетом в связи с определением пыток</w:t>
      </w:r>
      <w:r w:rsidR="00610441" w:rsidRPr="00610441">
        <w:br/>
      </w:r>
      <w:r>
        <w:t>в национальном законодательстве.</w:t>
      </w:r>
    </w:p>
    <w:p w14:paraId="27F44CB6" w14:textId="2888BC8D" w:rsidR="00F752F3" w:rsidRPr="00956DCB" w:rsidRDefault="00F752F3" w:rsidP="00F752F3">
      <w:pPr>
        <w:pStyle w:val="SingleTxtG"/>
      </w:pPr>
      <w:r>
        <w:t>56.</w:t>
      </w:r>
      <w:r>
        <w:tab/>
        <w:t>В рамках мероприятий по случаю 40-й годовщины Конвенции против пыток, прошедших в Женеве 14 ноября 2024 года, был сделан акцент на тесных связях между Факультативным протоколом и Конвенцией против пыток и между двумя соответствующими договорными органами. В своем выступлении Председатель Подкомитета подчеркнула, что Факультативный протокол был разработан не для того, чтобы изменить международные рамки, установленные Конвенцией, а для того, чтобы укрепить ее и обеспечить применение закрепленных в ней стандартов на практике. Принятие Факультативного протокола, в соответствии с которым был учрежден Подкомитет и на основании которого впоследствии были созданы национальные превентивные механизмы, расширило влияние Комитета, обеспечив взаимодополняемость, усилившую способность обоих органов бороться с пытками везде, где они еще применяются.</w:t>
      </w:r>
    </w:p>
    <w:p w14:paraId="622FA52D" w14:textId="20B63814" w:rsidR="00F752F3" w:rsidRPr="00956DCB" w:rsidRDefault="00F752F3" w:rsidP="00F752F3">
      <w:pPr>
        <w:pStyle w:val="SingleTxtG"/>
      </w:pPr>
      <w:r>
        <w:lastRenderedPageBreak/>
        <w:t>57.</w:t>
      </w:r>
      <w:r>
        <w:tab/>
        <w:t>Подкомитет продолжал сотрудничать с региональными отделениями УВКПЧ, страновыми группами Организации Объединенных Наций и программой по наращиванию потенциала договорных органов, содействуя, в частности, работе национальных превентивных механизмов.</w:t>
      </w:r>
    </w:p>
    <w:p w14:paraId="58E09EFD" w14:textId="1FD2765D" w:rsidR="00F752F3" w:rsidRPr="00956DCB" w:rsidRDefault="00F752F3" w:rsidP="00F752F3">
      <w:pPr>
        <w:pStyle w:val="SingleTxtG"/>
      </w:pPr>
      <w:r>
        <w:t>58.</w:t>
      </w:r>
      <w:r>
        <w:tab/>
        <w:t>Подкомитет продолжал сотрудничать также с другими правозащитными механизмами Организации Объединенных Наций, в том числе путем направления письменных материалов в ответ на два призыва представить информацию:</w:t>
      </w:r>
      <w:r w:rsidR="00610441" w:rsidRPr="00610441">
        <w:br/>
      </w:r>
      <w:r>
        <w:t>от Комитета по правам ребенка</w:t>
      </w:r>
      <w:r w:rsidRPr="00056ED7">
        <w:rPr>
          <w:rStyle w:val="aa"/>
        </w:rPr>
        <w:footnoteReference w:id="42"/>
      </w:r>
      <w:r>
        <w:t xml:space="preserve"> и от Специального докладчика по вопросу о свободе религии или убеждений</w:t>
      </w:r>
      <w:r w:rsidRPr="00056ED7">
        <w:rPr>
          <w:rStyle w:val="aa"/>
        </w:rPr>
        <w:footnoteReference w:id="43"/>
      </w:r>
      <w:r>
        <w:t>. Поскольку, по мнению Подкомитета, содержание этих материалов представляет общий интерес, он включил оба эти представления в приложения к настоящему докладу.</w:t>
      </w:r>
    </w:p>
    <w:p w14:paraId="3C40427A" w14:textId="77777777" w:rsidR="00F752F3" w:rsidRPr="00D60EFE" w:rsidRDefault="00F752F3" w:rsidP="00F752F3">
      <w:pPr>
        <w:pStyle w:val="SingleTxtG"/>
      </w:pPr>
      <w:r>
        <w:t>59.</w:t>
      </w:r>
      <w:r>
        <w:tab/>
        <w:t xml:space="preserve">В своем материале, представленном Комитету по правам ребенка в качестве вклада в работу над его замечанием общего порядка № 27 о правах детей на доступ к правосудию и эффективным средствам правовой защиты, Подкомитет напомнил, что он рекомендовал государствам-участникам привести свое законодательство о системе ювенальной юстиции в соответствие с международными стандартами, обеспечив, чтобы дела детей в возрасте от 14 до 18 лет не рассматривались в системе отправления правосудия для совершеннолетних лиц, и принять специальное законодательство в отношении детей, вступивших в контакт с системой уголовного правосудия. Подкомитет сослался также на свое замечание общего порядка № 1 (2024), в котором он подчеркнул, что любое место, в котором дети, даже не находящиеся в конфликте с законом, могут содержаться, </w:t>
      </w:r>
      <w:r w:rsidRPr="00207141">
        <w:t xml:space="preserve">не имея возможности покинуть </w:t>
      </w:r>
      <w:r>
        <w:t>его</w:t>
      </w:r>
      <w:r w:rsidRPr="00207141">
        <w:t xml:space="preserve"> по собственной воле</w:t>
      </w:r>
      <w:r>
        <w:t>, представляет собой место лишения свободы. Наконец, он акцентировал внимание на конкретных проблемах, обозначенных в его докладах государствам (основные правовые гарантии, механизмы альтернативного разрешения споров и отправления правосудия на общинном уровне, судебный надзор, доступ к механизмам подачи жалоб и дисциплинарные наказания).</w:t>
      </w:r>
    </w:p>
    <w:p w14:paraId="084311BF" w14:textId="1C7B8236" w:rsidR="00F752F3" w:rsidRPr="00D60EFE" w:rsidRDefault="00F752F3" w:rsidP="00F752F3">
      <w:pPr>
        <w:pStyle w:val="SingleTxtG"/>
        <w:rPr>
          <w:color w:val="000000"/>
          <w:shd w:val="clear" w:color="auto" w:fill="FFFFFF"/>
        </w:rPr>
      </w:pPr>
      <w:r>
        <w:t>60.</w:t>
      </w:r>
      <w:r>
        <w:tab/>
        <w:t>В своем материале, представленном Специальному докладчику по вопросу о свободе религии или убеждений, Подкомитет подчеркнул опасность применения пыток и жестокого обращения в связи со следованием религиозным или иным убеждениям или их отрицанием, особенно в условиях, где такие убеждения вытесняются на обочину общества или подавляются. Лишение находящихся под стражей лиц возможности исповедовать свою религию или убеждения может представлять собой по меньшей мере жестокое, бесчеловечное или унижающее достоинство обращение и наказание и нарушать их основополагающее право на свободу религии или убеждений. Подкомитет подчеркнул, что в определении пыток в национальном законодательстве должны учитываться все формы дискриминации, включая религиозную дискриминацию, как указано в статье 1 Конвенции против пыток. Он напомнил, что, как подчеркивается в его замечании общего</w:t>
      </w:r>
      <w:r w:rsidR="00610441" w:rsidRPr="00610441">
        <w:br/>
      </w:r>
      <w:r>
        <w:t>порядка № 1 (2024), лишение свободы может происходить в различных условиях, включая религиозные учреждения и школы. Наконец, Подкомитет включил в материал конкретные замечания из своих докладов, касающиеся пыток и жестокого обращения в религиозных учреждениях, свободы религии или убеждений в местах содержания под стражей и традиционных систем правосудия. После направления своего материала Подкомитет принял участие в совещании, организованном Специальным докладчиком в декабре 2024 года для обсуждения ее предстоящего доклада Совету по правам человека.</w:t>
      </w:r>
    </w:p>
    <w:p w14:paraId="100C948C" w14:textId="493F06E4" w:rsidR="00F752F3" w:rsidRPr="00956DCB" w:rsidRDefault="00F752F3" w:rsidP="00F752F3">
      <w:pPr>
        <w:pStyle w:val="H1G"/>
      </w:pPr>
      <w:r w:rsidRPr="00207141">
        <w:rPr>
          <w:bCs/>
        </w:rPr>
        <w:tab/>
      </w:r>
      <w:r>
        <w:rPr>
          <w:bCs/>
        </w:rPr>
        <w:t>B.</w:t>
      </w:r>
      <w:r>
        <w:tab/>
      </w:r>
      <w:r>
        <w:rPr>
          <w:bCs/>
        </w:rPr>
        <w:t>Региональное сотрудничество</w:t>
      </w:r>
      <w:bookmarkStart w:id="123" w:name="_Toc192081317"/>
      <w:bookmarkEnd w:id="123"/>
    </w:p>
    <w:p w14:paraId="4DAB6F43" w14:textId="11F8384A" w:rsidR="00F752F3" w:rsidRPr="00956DCB" w:rsidRDefault="00F752F3" w:rsidP="00F752F3">
      <w:pPr>
        <w:pStyle w:val="SingleTxtG"/>
      </w:pPr>
      <w:r>
        <w:t>61.</w:t>
      </w:r>
      <w:r>
        <w:tab/>
        <w:t xml:space="preserve">Подкомитет продолжал сотрудничество с региональными организациями, в том числе с Европейским комитетом по предупреждению пыток и бесчеловечного или </w:t>
      </w:r>
      <w:r>
        <w:lastRenderedPageBreak/>
        <w:t>унижающего достоинство обращения или наказания на основе взаимного обмена письмами в целях введения в действие статьи 31 Факультативного протокола, стремясь способствовать взаимодополняемости и субсидиарности. В ходе пятьдесят третьей сессии Подкомитета бюро обоих органов провели совещание, на котором обсудили различные пути дальнейшего сотрудничества, включая назначение координаторов в секретариатах обоих органов.</w:t>
      </w:r>
    </w:p>
    <w:p w14:paraId="44D84437" w14:textId="77777777" w:rsidR="00F752F3" w:rsidRPr="00D60EFE" w:rsidRDefault="00F752F3" w:rsidP="00F752F3">
      <w:pPr>
        <w:pStyle w:val="H1G"/>
      </w:pPr>
      <w:r w:rsidRPr="00207141">
        <w:rPr>
          <w:bCs/>
        </w:rPr>
        <w:tab/>
      </w:r>
      <w:r>
        <w:rPr>
          <w:bCs/>
        </w:rPr>
        <w:t>C.</w:t>
      </w:r>
      <w:r>
        <w:tab/>
      </w:r>
      <w:r>
        <w:rPr>
          <w:bCs/>
        </w:rPr>
        <w:t>Сотрудничество с гражданским обществом и другими заинтересованными сторонами</w:t>
      </w:r>
      <w:bookmarkStart w:id="124" w:name="_Toc161321111"/>
      <w:bookmarkStart w:id="125" w:name="_Toc185542956"/>
      <w:bookmarkStart w:id="126" w:name="_Toc192081318"/>
      <w:bookmarkEnd w:id="124"/>
      <w:bookmarkEnd w:id="125"/>
      <w:bookmarkEnd w:id="126"/>
    </w:p>
    <w:p w14:paraId="37BDDAE2" w14:textId="58AB2ED1" w:rsidR="00F752F3" w:rsidRPr="00D60EFE" w:rsidRDefault="00F752F3" w:rsidP="00F752F3">
      <w:pPr>
        <w:pStyle w:val="SingleTxtG"/>
      </w:pPr>
      <w:r>
        <w:t>62.</w:t>
      </w:r>
      <w:r>
        <w:tab/>
        <w:t>Подкомитет продолжал извлекать значительную выгоду из поддержки, оказываемой гражданским обществом, в том числе Ассоциацией за предотвращение пыток и консорциумом «</w:t>
      </w:r>
      <w:r w:rsidRPr="00F976DA">
        <w:t>Объединение против пыток</w:t>
      </w:r>
      <w:r>
        <w:t>». Подкомитет получал ценную информацию от национальных и международных организаций гражданского общества до и во время посещений и благодарит эти организации за популяризацию</w:t>
      </w:r>
      <w:r w:rsidR="00610441" w:rsidRPr="00610441">
        <w:br/>
      </w:r>
      <w:r>
        <w:t>и поддержку Факультативного протокола.</w:t>
      </w:r>
    </w:p>
    <w:p w14:paraId="0982CEF8" w14:textId="77777777" w:rsidR="00F752F3" w:rsidRPr="00D60EFE" w:rsidRDefault="00F752F3" w:rsidP="00F752F3">
      <w:pPr>
        <w:pStyle w:val="HChG"/>
        <w:outlineLvl w:val="0"/>
      </w:pPr>
      <w:bookmarkStart w:id="127" w:name="_Toc97717829"/>
      <w:bookmarkStart w:id="128" w:name="_Toc97795008"/>
      <w:bookmarkStart w:id="129" w:name="_Toc161321113"/>
      <w:r w:rsidRPr="00207141">
        <w:rPr>
          <w:bCs/>
        </w:rPr>
        <w:tab/>
      </w:r>
      <w:r>
        <w:rPr>
          <w:bCs/>
        </w:rPr>
        <w:t>VII.</w:t>
      </w:r>
      <w:r>
        <w:tab/>
      </w:r>
      <w:r>
        <w:rPr>
          <w:bCs/>
        </w:rPr>
        <w:t>План работы на предстоящий год</w:t>
      </w:r>
      <w:bookmarkStart w:id="130" w:name="_Toc185542957"/>
      <w:bookmarkStart w:id="131" w:name="_Toc192081319"/>
      <w:bookmarkEnd w:id="130"/>
      <w:bookmarkEnd w:id="131"/>
    </w:p>
    <w:p w14:paraId="7A4AC2C7" w14:textId="77777777" w:rsidR="00F752F3" w:rsidRPr="00D60EFE" w:rsidRDefault="00F752F3" w:rsidP="00F752F3">
      <w:pPr>
        <w:pStyle w:val="H1G"/>
      </w:pPr>
      <w:r w:rsidRPr="00207141">
        <w:rPr>
          <w:bCs/>
        </w:rPr>
        <w:tab/>
      </w:r>
      <w:r>
        <w:rPr>
          <w:bCs/>
        </w:rPr>
        <w:t>A.</w:t>
      </w:r>
      <w:r>
        <w:tab/>
      </w:r>
      <w:r>
        <w:rPr>
          <w:bCs/>
        </w:rPr>
        <w:t>Сессии</w:t>
      </w:r>
      <w:bookmarkStart w:id="132" w:name="_Toc185542958"/>
      <w:bookmarkStart w:id="133" w:name="_Toc192081320"/>
      <w:bookmarkEnd w:id="132"/>
      <w:bookmarkEnd w:id="133"/>
    </w:p>
    <w:p w14:paraId="211F3F76" w14:textId="5D0E4A2E" w:rsidR="00F752F3" w:rsidRPr="00D60EFE" w:rsidRDefault="00F752F3" w:rsidP="00F752F3">
      <w:pPr>
        <w:pStyle w:val="SingleTxtG"/>
      </w:pPr>
      <w:r>
        <w:t>63.</w:t>
      </w:r>
      <w:r>
        <w:tab/>
        <w:t>В 2025 году Подкомитет проведет три сессии в Женеве: с 27 января</w:t>
      </w:r>
      <w:r w:rsidR="00610441" w:rsidRPr="00610441">
        <w:br/>
      </w:r>
      <w:r>
        <w:t xml:space="preserve">по 7 февраля, с 16 по 20 июня и с 10 по 14 ноября. </w:t>
      </w:r>
    </w:p>
    <w:p w14:paraId="46D24C63" w14:textId="77777777" w:rsidR="00F752F3" w:rsidRPr="00D60EFE" w:rsidRDefault="00F752F3" w:rsidP="00F752F3">
      <w:pPr>
        <w:pStyle w:val="H1G"/>
      </w:pPr>
      <w:r w:rsidRPr="00207141">
        <w:rPr>
          <w:bCs/>
        </w:rPr>
        <w:tab/>
      </w:r>
      <w:r>
        <w:rPr>
          <w:bCs/>
        </w:rPr>
        <w:t>B.</w:t>
      </w:r>
      <w:r>
        <w:tab/>
      </w:r>
      <w:r>
        <w:rPr>
          <w:bCs/>
        </w:rPr>
        <w:t>Посещения</w:t>
      </w:r>
      <w:bookmarkStart w:id="134" w:name="_Toc185542959"/>
      <w:bookmarkStart w:id="135" w:name="_Toc192081321"/>
      <w:bookmarkEnd w:id="127"/>
      <w:bookmarkEnd w:id="128"/>
      <w:bookmarkEnd w:id="134"/>
      <w:bookmarkEnd w:id="135"/>
    </w:p>
    <w:p w14:paraId="0CC9467D" w14:textId="0840AD97" w:rsidR="00F752F3" w:rsidRPr="00956DCB" w:rsidRDefault="00F752F3" w:rsidP="00F752F3">
      <w:pPr>
        <w:pStyle w:val="SingleTxtG"/>
      </w:pPr>
      <w:r>
        <w:t>64.</w:t>
      </w:r>
      <w:r>
        <w:tab/>
        <w:t>Подкомитет составил программу посещений на 2025 год, соответствующую требованиям Факультативного протокола и отражающую строгий характер работы Подкомитета, а также потребности государств-участников и национальных превентивных механизмов. В 2025 году Подкомитет планирует посетить Афганистан, Бурунди, Мексику, Мозамбик, Новую Зеландию, Перу, Сербию и Францию.</w:t>
      </w:r>
    </w:p>
    <w:p w14:paraId="20A1D8B1" w14:textId="77777777" w:rsidR="00F752F3" w:rsidRPr="00D60EFE" w:rsidRDefault="00F752F3" w:rsidP="00F752F3">
      <w:pPr>
        <w:pStyle w:val="H1G"/>
      </w:pPr>
      <w:r w:rsidRPr="00207141">
        <w:rPr>
          <w:bCs/>
        </w:rPr>
        <w:tab/>
      </w:r>
      <w:r>
        <w:rPr>
          <w:bCs/>
        </w:rPr>
        <w:t>C.</w:t>
      </w:r>
      <w:r>
        <w:tab/>
      </w:r>
      <w:r>
        <w:rPr>
          <w:bCs/>
        </w:rPr>
        <w:t>Прочие виды деятельности</w:t>
      </w:r>
      <w:bookmarkStart w:id="136" w:name="_Toc185542960"/>
      <w:bookmarkStart w:id="137" w:name="_Toc192081322"/>
      <w:bookmarkEnd w:id="136"/>
      <w:bookmarkEnd w:id="137"/>
    </w:p>
    <w:p w14:paraId="7C02C960" w14:textId="77777777" w:rsidR="00F752F3" w:rsidRPr="00D60EFE" w:rsidRDefault="00F752F3" w:rsidP="00F752F3">
      <w:pPr>
        <w:pStyle w:val="SingleTxtG"/>
      </w:pPr>
      <w:r>
        <w:t>65.</w:t>
      </w:r>
      <w:r>
        <w:tab/>
        <w:t>Члены Подкомитета продолжат участвовать в мероприятиях, связанных с мандатом Подкомитета в рамках Факультативного протокола, включая обучение персонала мониторинговых органов, конференции и события, касающиеся ратификации Факультативного протокола, — вся деятельность такого рода будет направлена на укрепление системы предупреждения пыток и жестокого обращения на глобальном уровне. Приглашения на официальные мероприятия следует направлять через секретариат Подкомитета.</w:t>
      </w:r>
    </w:p>
    <w:p w14:paraId="11F4683B" w14:textId="77777777" w:rsidR="00F752F3" w:rsidRPr="00D60EFE" w:rsidRDefault="00F752F3" w:rsidP="00F752F3">
      <w:pPr>
        <w:pStyle w:val="HChG"/>
        <w:outlineLvl w:val="0"/>
      </w:pPr>
      <w:r w:rsidRPr="00207141">
        <w:rPr>
          <w:bCs/>
        </w:rPr>
        <w:tab/>
      </w:r>
      <w:r>
        <w:rPr>
          <w:bCs/>
        </w:rPr>
        <w:t>VIII.</w:t>
      </w:r>
      <w:r>
        <w:tab/>
      </w:r>
      <w:r>
        <w:rPr>
          <w:bCs/>
        </w:rPr>
        <w:t>Задачи на будущее</w:t>
      </w:r>
      <w:bookmarkStart w:id="138" w:name="_Toc185542961"/>
      <w:bookmarkStart w:id="139" w:name="_Toc192081323"/>
      <w:bookmarkStart w:id="140" w:name="_Hlk184651610"/>
      <w:bookmarkEnd w:id="138"/>
      <w:bookmarkEnd w:id="139"/>
      <w:bookmarkEnd w:id="140"/>
    </w:p>
    <w:p w14:paraId="684F58C0" w14:textId="0529AD8F" w:rsidR="00F752F3" w:rsidRPr="00D60EFE" w:rsidRDefault="00F752F3" w:rsidP="00F752F3">
      <w:pPr>
        <w:pStyle w:val="SingleTxtG"/>
      </w:pPr>
      <w:r>
        <w:t>66.</w:t>
      </w:r>
      <w:r>
        <w:tab/>
        <w:t xml:space="preserve">В 2024 году Подкомитет приветствовал ратификацию Факультативного протокола Конго и создание национального превентивного механизма в Боснии и Герцеговине. Он выражает оптимизм по поводу будущей ратификации Факультативного протокола другими государствами и создания новых национальных превентивных механизмов. Подкомитет напоминает новым государствам-участникам, в частности, об их обязательстве по статье 17 Факультативного протокола не позднее чем через один год после его ратификации поддержать, назначить или создать один или несколько независимых национальных превентивных механизмов для предупреждения пыток. Он готов предоставлять консультации и оказывать содействие всем государствам-участникам, включая новые государства-участники и государства, </w:t>
      </w:r>
      <w:r>
        <w:lastRenderedPageBreak/>
        <w:t>которые включены в список государств-участников, не соблюдающих статью 17,</w:t>
      </w:r>
      <w:r w:rsidR="00610441" w:rsidRPr="00956DCB">
        <w:br/>
      </w:r>
      <w:r>
        <w:t>в их стремлении выполнять эти обязательства.</w:t>
      </w:r>
      <w:bookmarkEnd w:id="129"/>
    </w:p>
    <w:p w14:paraId="470CBC3B" w14:textId="6F227F04" w:rsidR="00F752F3" w:rsidRPr="00D60EFE" w:rsidRDefault="00F752F3" w:rsidP="00F752F3">
      <w:pPr>
        <w:pStyle w:val="SingleTxtG"/>
      </w:pPr>
      <w:r>
        <w:t>67.</w:t>
      </w:r>
      <w:r>
        <w:tab/>
        <w:t>Подкомитет считает принятие своего первого замечания общего порядка исторической и поворотной вехой как для системы Факультативного протокола, так и для глобального движения за предупреждение пыток. Замечание общего порядка было переведено на все шесть официальных языков Организации Объединенных Наций,</w:t>
      </w:r>
      <w:r w:rsidR="00610441" w:rsidRPr="00610441">
        <w:br/>
      </w:r>
      <w:r>
        <w:t>и Подкомитет призывает государства-участники, национальные превентивные механизмы и все другие заинтересованные стороны в полной мере следовать ему и содействовать его широкому распространению, с тем чтобы максимально усилить его воздействие.</w:t>
      </w:r>
    </w:p>
    <w:p w14:paraId="4E9DEE49" w14:textId="196F9D43" w:rsidR="00F752F3" w:rsidRPr="00956DCB" w:rsidRDefault="00F752F3" w:rsidP="00F752F3">
      <w:pPr>
        <w:pStyle w:val="SingleTxtG"/>
      </w:pPr>
      <w:r>
        <w:t>68.</w:t>
      </w:r>
      <w:r>
        <w:tab/>
        <w:t>В дальнейшем Подкомитет будет продолжать сотрудничать с государствами-участниками и национальными превентивными механизмами в целях обеспечения эффективного осуществления Факультативного протокола, опираясь, в частности, на замечание общего порядка № 1, которое в настоящее время является одним из ключевых элементов постоянного диалога Подкомитета с национальными превентивными механизмами и государствами-участниками. В частности, в 2025 году замечание общего порядка будет обсуждаться на ежегодных региональных совещаниях с национальными превентивными механизмами и государствами-участниками.</w:t>
      </w:r>
    </w:p>
    <w:p w14:paraId="1BCB51F8" w14:textId="621F8CF7" w:rsidR="00F752F3" w:rsidRPr="00D60EFE" w:rsidRDefault="00F752F3" w:rsidP="00F752F3">
      <w:pPr>
        <w:pStyle w:val="SingleTxtG"/>
      </w:pPr>
      <w:r>
        <w:t>69.</w:t>
      </w:r>
      <w:r>
        <w:tab/>
      </w:r>
      <w:r w:rsidRPr="00B86F3A">
        <w:t>Подкомитет</w:t>
      </w:r>
      <w:r>
        <w:t xml:space="preserve"> будет продолжать активно участвовать работе по укреплению договорных органов, о проведении которой</w:t>
      </w:r>
      <w:r w:rsidRPr="00243CD1">
        <w:t xml:space="preserve"> </w:t>
      </w:r>
      <w:r>
        <w:t xml:space="preserve">просила Генеральная Ассамблея в своей резолюции </w:t>
      </w:r>
      <w:hyperlink r:id="rId10" w:history="1">
        <w:r w:rsidRPr="00610441">
          <w:rPr>
            <w:rStyle w:val="af1"/>
          </w:rPr>
          <w:t>68/268</w:t>
        </w:r>
      </w:hyperlink>
      <w:r>
        <w:t xml:space="preserve">, на ее текущем этапе. В этой связи Подкомитет приветствует принятие главами государств и правительств Пакта во имя будущего на Саммите будущего, состоявшемся в Нью-Йорке 22 и 23 сентября 2024 года. Для договорных органов особенно важно, чтобы Пакт во имя будущего содержал ссылки на эффективное и действенное выполнение мандатов правозащитных механизмов и на их достаточное, предсказуемое, расширенное и устойчивое финансирование, чтобы они могли беспристрастно и объективно реагировать на проблемы в области прав человека. Подкомитет выражал надежду, что Генеральная Ассамблея в своей резолюции </w:t>
      </w:r>
      <w:hyperlink r:id="rId11" w:history="1">
        <w:r w:rsidRPr="00610441">
          <w:rPr>
            <w:rStyle w:val="af1"/>
          </w:rPr>
          <w:t>79/165</w:t>
        </w:r>
      </w:hyperlink>
      <w:r>
        <w:t xml:space="preserve"> о системе договорных органов выделит договорным органам дополнительные финансовые средства; он сожалеет, что этого не случилось.</w:t>
      </w:r>
    </w:p>
    <w:p w14:paraId="62145CB3" w14:textId="77777777" w:rsidR="00F752F3" w:rsidRPr="00D60EFE" w:rsidRDefault="00F752F3" w:rsidP="00F752F3">
      <w:pPr>
        <w:pStyle w:val="SingleTxtG"/>
      </w:pPr>
      <w:r>
        <w:t>70.</w:t>
      </w:r>
      <w:r>
        <w:tab/>
        <w:t xml:space="preserve">Подкомитет по-прежнему сталкивается с серьезными проблемами в плане оперативной деятельности </w:t>
      </w:r>
      <w:r w:rsidRPr="00207141">
        <w:t>—</w:t>
      </w:r>
      <w:r>
        <w:t xml:space="preserve"> в первую очередь из-за нехватки ресурсов, которая ограничивает его способность проводить необходимое количество посещений. Продолжающийся кризис ликвидности в Организации Объединенных Наций еще больше сузил оперативные возможности Подкомитета. В 2024 году впервые за более чем 60 лет своего существования договорные органы, включая Подкомитет, оказались под угрозой отмены сессий и посещений стран по финансовым причинам.</w:t>
      </w:r>
    </w:p>
    <w:p w14:paraId="4235356A" w14:textId="2B14BD3A" w:rsidR="00F752F3" w:rsidRPr="00D60EFE" w:rsidRDefault="00F752F3" w:rsidP="00F752F3">
      <w:pPr>
        <w:pStyle w:val="SingleTxtG"/>
      </w:pPr>
      <w:r>
        <w:t>71.</w:t>
      </w:r>
      <w:r>
        <w:tab/>
        <w:t>Посещение мест лишения свободы составляет основу Факультативного протокола. Подкомитет признателен национальным превентивным механизмам за выполнение ими своего превентивного мандата, поскольку имеющихся</w:t>
      </w:r>
      <w:r w:rsidR="00FB0D83" w:rsidRPr="00FB0D83">
        <w:br/>
      </w:r>
      <w:r>
        <w:t>в распоряжении Подкомитета ресурсов недостаточно для того, чтобы осуществлять то количество посещений, которое он считает необходимым для полноценной реализации своего мандата, как это предусмотрено Факультативным протоколом. Подкомитет подтверждает свою позицию, согласно которой его неспособность проводить как минимум 12 посещений в год</w:t>
      </w:r>
      <w:r w:rsidRPr="00056ED7">
        <w:rPr>
          <w:rStyle w:val="aa"/>
        </w:rPr>
        <w:footnoteReference w:id="44"/>
      </w:r>
      <w:r>
        <w:t xml:space="preserve"> препятствует полному и результативному выполнению превентивного мандата, предусмотренного Факультативным протоколом, и негативно сказывается на упреждающем характере созданной в рамках него системы предупреждения. Крайне важно, чтобы Подкомитет получал достаточные ресурсы, позволяющие ему иметь секретариат достаточной численности и возобновить полное осуществление программы посещений,</w:t>
      </w:r>
      <w:r w:rsidR="00FB0D83" w:rsidRPr="00FB0D83">
        <w:br/>
      </w:r>
      <w:r>
        <w:t>не допуская отмены сессий и запланированных посещений.</w:t>
      </w:r>
    </w:p>
    <w:p w14:paraId="0E4EFD0D" w14:textId="77777777" w:rsidR="00F752F3" w:rsidRPr="00D60EFE" w:rsidRDefault="00F752F3" w:rsidP="00F752F3">
      <w:pPr>
        <w:pStyle w:val="SingleTxtG"/>
        <w:rPr>
          <w:color w:val="222222"/>
        </w:rPr>
      </w:pPr>
      <w:r>
        <w:t>72.</w:t>
      </w:r>
      <w:r>
        <w:tab/>
        <w:t xml:space="preserve">На фоне острой потребности в дополнительных взносах для цикла предоставления грантов в 2025 году и на последующий период Подкомитет вновь </w:t>
      </w:r>
      <w:r>
        <w:lastRenderedPageBreak/>
        <w:t xml:space="preserve">призывает государства-участники оказать ему поддержку путем направления пожертвований в Специальный фонд, учрежденный Факультативным протоколом. Специальный фонд является жизненно важным инструментом поддержки и дополнения деятельности по выполнению рекомендаций Подкомитета и укрепления национальных превентивных механизмов. </w:t>
      </w:r>
    </w:p>
    <w:p w14:paraId="52D9271C" w14:textId="074E9186" w:rsidR="00F752F3" w:rsidRPr="00F752F3" w:rsidRDefault="00F752F3" w:rsidP="00F752F3">
      <w:pPr>
        <w:pStyle w:val="SingleTxtG"/>
      </w:pPr>
      <w:r>
        <w:t>73.</w:t>
      </w:r>
      <w:r>
        <w:tab/>
        <w:t>У 12 членов Подкомитета 31 декабря 2024 года истек срок полномочий. В ходе ежегодного совещания с государствами-участниками, состоявшегося 24 октября 2024 года, шесть членов были переизбраны на второй срок, а также были избраны шесть новых членов. Подкомитет с нетерпением ждет возможности поприветствовать новых членов и надеется на сотрудничество в ближайшие годы как с новыми, так и с вернувшимися коллегами.</w:t>
      </w:r>
    </w:p>
    <w:p w14:paraId="5329D8AD" w14:textId="77777777" w:rsidR="00C930F5" w:rsidRDefault="00C930F5" w:rsidP="00041407">
      <w:pPr>
        <w:sectPr w:rsidR="00C930F5" w:rsidSect="00F752F3">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pPr>
    </w:p>
    <w:p w14:paraId="79B44244" w14:textId="77777777" w:rsidR="00C930F5" w:rsidRPr="00C930F5" w:rsidRDefault="00C930F5" w:rsidP="00C930F5">
      <w:pPr>
        <w:keepNext/>
        <w:keepLines/>
        <w:tabs>
          <w:tab w:val="right" w:pos="851"/>
        </w:tabs>
        <w:spacing w:before="360" w:after="240" w:line="300" w:lineRule="exact"/>
        <w:ind w:left="1134" w:right="1134" w:hanging="1134"/>
        <w:outlineLvl w:val="1"/>
        <w:rPr>
          <w:rFonts w:eastAsia="Times New Roman" w:cs="Times New Roman"/>
          <w:b/>
          <w:sz w:val="28"/>
          <w:szCs w:val="20"/>
        </w:rPr>
      </w:pPr>
      <w:r w:rsidRPr="00C930F5">
        <w:rPr>
          <w:rFonts w:eastAsia="Times New Roman" w:cs="Times New Roman"/>
          <w:b/>
          <w:bCs/>
          <w:sz w:val="28"/>
          <w:szCs w:val="20"/>
        </w:rPr>
        <w:lastRenderedPageBreak/>
        <w:t>Приложение I</w:t>
      </w:r>
      <w:bookmarkStart w:id="141" w:name="_Toc192081324"/>
      <w:bookmarkEnd w:id="141"/>
    </w:p>
    <w:p w14:paraId="135F2A16" w14:textId="1B36DDDD" w:rsidR="00C930F5" w:rsidRPr="00C930F5" w:rsidRDefault="00C930F5" w:rsidP="00C930F5">
      <w:pPr>
        <w:keepNext/>
        <w:keepLines/>
        <w:tabs>
          <w:tab w:val="right" w:pos="851"/>
        </w:tabs>
        <w:spacing w:before="360" w:after="240" w:line="300" w:lineRule="exact"/>
        <w:ind w:left="1134" w:right="1134" w:hanging="1134"/>
        <w:outlineLvl w:val="1"/>
        <w:rPr>
          <w:rFonts w:eastAsia="Times New Roman" w:cs="Times New Roman"/>
          <w:b/>
          <w:sz w:val="28"/>
          <w:szCs w:val="20"/>
        </w:rPr>
      </w:pPr>
      <w:bookmarkStart w:id="142" w:name="_Toc185542953"/>
      <w:r w:rsidRPr="00C930F5">
        <w:rPr>
          <w:rFonts w:eastAsia="Times New Roman" w:cs="Times New Roman"/>
          <w:b/>
          <w:sz w:val="28"/>
          <w:szCs w:val="20"/>
        </w:rPr>
        <w:tab/>
      </w:r>
      <w:r w:rsidRPr="00C930F5">
        <w:rPr>
          <w:rFonts w:eastAsia="Times New Roman" w:cs="Times New Roman"/>
          <w:b/>
          <w:sz w:val="28"/>
          <w:szCs w:val="20"/>
        </w:rPr>
        <w:tab/>
      </w:r>
      <w:r w:rsidRPr="00C930F5">
        <w:rPr>
          <w:rFonts w:eastAsia="Times New Roman" w:cs="Times New Roman"/>
          <w:b/>
          <w:bCs/>
          <w:sz w:val="28"/>
          <w:szCs w:val="20"/>
        </w:rPr>
        <w:t>Материал, подготовленный для Комитета по правам ребенка в целях поддержки его работы над замечанием общего порядка № 27 о правах детей на доступ</w:t>
      </w:r>
      <w:r w:rsidR="0023729B" w:rsidRPr="0023729B">
        <w:rPr>
          <w:rFonts w:eastAsia="Times New Roman" w:cs="Times New Roman"/>
          <w:b/>
          <w:bCs/>
          <w:sz w:val="28"/>
          <w:szCs w:val="20"/>
        </w:rPr>
        <w:br/>
      </w:r>
      <w:r w:rsidRPr="00C930F5">
        <w:rPr>
          <w:rFonts w:eastAsia="Times New Roman" w:cs="Times New Roman"/>
          <w:b/>
          <w:bCs/>
          <w:sz w:val="28"/>
          <w:szCs w:val="20"/>
        </w:rPr>
        <w:t>к правосудию и эффективным средствам правовой защиты</w:t>
      </w:r>
      <w:bookmarkStart w:id="143" w:name="_Toc192081325"/>
      <w:bookmarkEnd w:id="142"/>
      <w:bookmarkEnd w:id="143"/>
    </w:p>
    <w:p w14:paraId="44DE3960" w14:textId="41CDE674"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1.</w:t>
      </w:r>
      <w:r w:rsidRPr="00C930F5">
        <w:rPr>
          <w:rFonts w:eastAsia="SimSun" w:cs="Times New Roman"/>
          <w:szCs w:val="20"/>
          <w:lang w:eastAsia="zh-CN"/>
        </w:rPr>
        <w:tab/>
        <w:t xml:space="preserve">Подкомитет приветствует инициативу Комитета по правам ребенка по разработке замечания общего порядка о правах детей на доступ к правосудию и </w:t>
      </w:r>
      <w:r w:rsidRPr="00C930F5">
        <w:rPr>
          <w:rFonts w:eastAsia="SimSun" w:cs="Times New Roman"/>
          <w:bCs/>
          <w:szCs w:val="20"/>
          <w:lang w:eastAsia="zh-CN"/>
        </w:rPr>
        <w:t xml:space="preserve">эффективным </w:t>
      </w:r>
      <w:r w:rsidRPr="00C930F5">
        <w:rPr>
          <w:rFonts w:eastAsia="SimSun" w:cs="Times New Roman"/>
          <w:szCs w:val="20"/>
          <w:lang w:eastAsia="zh-CN"/>
        </w:rPr>
        <w:t>средствам правовой защиты. Подкомитет рад возможности представить свои замечания в рамках этого важного консультационного процесса. В основу настоящего материала положены десятилетия работы Подкомитета в сфере предупреждения пыток и других видов жестокого обращения во всем мире.</w:t>
      </w:r>
    </w:p>
    <w:p w14:paraId="1C4BF83C" w14:textId="77777777" w:rsidR="00C930F5" w:rsidRPr="00C930F5" w:rsidRDefault="00C930F5" w:rsidP="00C930F5">
      <w:pPr>
        <w:keepNext/>
        <w:keepLines/>
        <w:tabs>
          <w:tab w:val="right" w:pos="851"/>
        </w:tabs>
        <w:spacing w:before="360" w:after="240" w:line="270" w:lineRule="exact"/>
        <w:ind w:left="1134" w:right="1134" w:hanging="1134"/>
        <w:outlineLvl w:val="2"/>
        <w:rPr>
          <w:rFonts w:eastAsia="Times New Roman" w:cs="Times New Roman"/>
          <w:b/>
          <w:sz w:val="24"/>
          <w:szCs w:val="20"/>
        </w:rPr>
      </w:pPr>
      <w:r w:rsidRPr="00C930F5">
        <w:rPr>
          <w:rFonts w:eastAsia="Times New Roman" w:cs="Times New Roman"/>
          <w:b/>
          <w:bCs/>
          <w:sz w:val="24"/>
          <w:szCs w:val="20"/>
        </w:rPr>
        <w:tab/>
        <w:t>A.</w:t>
      </w:r>
      <w:r w:rsidRPr="00C930F5">
        <w:rPr>
          <w:rFonts w:eastAsia="Times New Roman" w:cs="Times New Roman"/>
          <w:b/>
          <w:sz w:val="24"/>
          <w:szCs w:val="20"/>
        </w:rPr>
        <w:tab/>
      </w:r>
      <w:r w:rsidRPr="00C930F5">
        <w:rPr>
          <w:rFonts w:eastAsia="Times New Roman" w:cs="Times New Roman"/>
          <w:b/>
          <w:bCs/>
          <w:sz w:val="24"/>
          <w:szCs w:val="20"/>
        </w:rPr>
        <w:t>Справочная информация</w:t>
      </w:r>
      <w:bookmarkStart w:id="144" w:name="_Toc192081326"/>
      <w:bookmarkEnd w:id="144"/>
    </w:p>
    <w:p w14:paraId="297EDFE7" w14:textId="4773444B"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2.</w:t>
      </w:r>
      <w:r w:rsidRPr="00C930F5">
        <w:rPr>
          <w:rFonts w:eastAsia="SimSun" w:cs="Times New Roman"/>
          <w:szCs w:val="20"/>
          <w:lang w:eastAsia="zh-CN"/>
        </w:rPr>
        <w:tab/>
        <w:t>Подкомитет был создан в соответствии с Факультативным протоколом</w:t>
      </w:r>
      <w:r w:rsidR="0023729B" w:rsidRPr="0023729B">
        <w:rPr>
          <w:rFonts w:eastAsia="SimSun" w:cs="Times New Roman"/>
          <w:szCs w:val="20"/>
          <w:lang w:eastAsia="zh-CN"/>
        </w:rPr>
        <w:br/>
      </w:r>
      <w:r w:rsidRPr="00C930F5">
        <w:rPr>
          <w:rFonts w:eastAsia="SimSun" w:cs="Times New Roman"/>
          <w:szCs w:val="20"/>
          <w:lang w:eastAsia="zh-CN"/>
        </w:rPr>
        <w:t>к Конвенции против пыток и других жестоких, бесчеловечных или унижающих достоинство видов обращения и наказания и наделен мандатом на предупреждение пыток и жестокого обращения на основе инновационного, устойчивого и упреждающего подхода. Центральное место в мандате Подкомитета занимает его роль в посещении мест лишения свободы в государствах — участниках Факультативного протокола и его роль в качестве органа, консультирующего национальные превентивные механизмы. С 2007 года Подкомитет посещает места лишения свободы, в том числе те, где содержатся или могут содержаться лишенные свободы дети.</w:t>
      </w:r>
      <w:r w:rsidR="0023729B" w:rsidRPr="0023729B">
        <w:rPr>
          <w:rFonts w:eastAsia="SimSun" w:cs="Times New Roman"/>
          <w:szCs w:val="20"/>
          <w:lang w:eastAsia="zh-CN"/>
        </w:rPr>
        <w:br/>
      </w:r>
      <w:r w:rsidRPr="00C930F5">
        <w:rPr>
          <w:rFonts w:eastAsia="SimSun" w:cs="Times New Roman"/>
          <w:szCs w:val="20"/>
          <w:lang w:eastAsia="zh-CN"/>
        </w:rPr>
        <w:t>Во время посещений делегация Подкомитета проводит частные беседы с находящимися под стражей лицами вне пределов видимости и слышимости сотрудников пенитенциарных учреждений и государственных должностных лиц,</w:t>
      </w:r>
      <w:r w:rsidR="00FB0D83" w:rsidRPr="00FB0D83">
        <w:rPr>
          <w:rFonts w:eastAsia="SimSun" w:cs="Times New Roman"/>
          <w:szCs w:val="20"/>
          <w:lang w:eastAsia="zh-CN"/>
        </w:rPr>
        <w:br/>
      </w:r>
      <w:r w:rsidRPr="00C930F5">
        <w:rPr>
          <w:rFonts w:eastAsia="SimSun" w:cs="Times New Roman"/>
          <w:szCs w:val="20"/>
          <w:lang w:eastAsia="zh-CN"/>
        </w:rPr>
        <w:t>а также взаимодействует с представителями правительства, сотрудниками служб содержания под стражей, адвокатами, врачами и другими соответствующими заинтересованными сторонами. Подкомитет работает в условиях строгой конфиденциальности; доклады о его посещениях государств-участников остаются конфиденциальными до тех пор, пока государство-участник не запросит их публикацию. Подкомитет настоятельно рекомендует государствам-участникам публиковать доклады, поскольку, по его мнению, это способствует более эффективному предупреждению пыток и жестокого обращения.</w:t>
      </w:r>
    </w:p>
    <w:p w14:paraId="03606D0D" w14:textId="42A8B39C" w:rsidR="00C930F5" w:rsidRPr="00956DCB"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3.</w:t>
      </w:r>
      <w:r w:rsidRPr="00C930F5">
        <w:rPr>
          <w:rFonts w:eastAsia="SimSun" w:cs="Times New Roman"/>
          <w:szCs w:val="20"/>
          <w:lang w:eastAsia="zh-CN"/>
        </w:rPr>
        <w:tab/>
        <w:t>На национальном уровне Факультативный протокол наделяет национальные органы, а именно национальные превентивные механизмы, мандатом на посещение мест лишения свободы, аналогичным мандату Подкомитета, при этом Подкомитет играет важную консультативную роль в отношении того, как этим механизмам следует выполнять такие функции. Мандат механизмов включает в себя регулярное посещение мест, где содержатся или могут содержаться лишенные свободы дети. Несмотря на то, что в основу настоящего материала были положены преимущественно замечания и рекомендации Подкомитета, вынесенные по итогам посещений государств-участников и их мест лишения свободы его собственными сотрудниками, Подкомитет хотел бы подчеркнуть, что национальные превентивные механизмы, которые проводят все более частые и обстоятельные посещения всех типов учреждений в своих странах, располагают ценными сведениями о праве детей на доступ к правосудию</w:t>
      </w:r>
      <w:r w:rsidR="00BB7033" w:rsidRPr="00BB7033">
        <w:rPr>
          <w:rFonts w:eastAsia="SimSun" w:cs="Times New Roman"/>
          <w:szCs w:val="20"/>
          <w:lang w:eastAsia="zh-CN"/>
        </w:rPr>
        <w:br/>
      </w:r>
      <w:r w:rsidRPr="00C930F5">
        <w:rPr>
          <w:rFonts w:eastAsia="SimSun" w:cs="Times New Roman"/>
          <w:szCs w:val="20"/>
          <w:lang w:eastAsia="zh-CN"/>
        </w:rPr>
        <w:t>и эффективным средствам правовой защиты во всем мире</w:t>
      </w:r>
      <w:r w:rsidRPr="00C930F5">
        <w:rPr>
          <w:rFonts w:eastAsia="SimSun" w:cs="Times New Roman"/>
          <w:sz w:val="18"/>
          <w:szCs w:val="20"/>
          <w:vertAlign w:val="superscript"/>
          <w:lang w:eastAsia="zh-CN"/>
        </w:rPr>
        <w:footnoteReference w:id="45"/>
      </w:r>
      <w:r w:rsidRPr="00C930F5">
        <w:rPr>
          <w:rFonts w:eastAsia="SimSun" w:cs="Times New Roman"/>
          <w:szCs w:val="20"/>
          <w:lang w:eastAsia="zh-CN"/>
        </w:rPr>
        <w:t xml:space="preserve">. В этой связи необходимо </w:t>
      </w:r>
      <w:r w:rsidRPr="00C930F5">
        <w:rPr>
          <w:rFonts w:eastAsia="SimSun" w:cs="Times New Roman"/>
          <w:szCs w:val="20"/>
          <w:lang w:eastAsia="zh-CN"/>
        </w:rPr>
        <w:lastRenderedPageBreak/>
        <w:t>подчеркнуть, что Подкомитет считает свой собственный мандат на посещение всех мест, где содержатся или могут содержаться лишенные свободы дети, а также аналогичные мандаты национальных механизмов жизненно важной гарантией во всех системах ювенальной юстиции. Соответственно, Подкомитет придерживается мнения, что ратификация Факультативного протокола и создание независимого, надлежащим образом функционирующего, хорошо обеспеченного ресурсами и профессионального механизма является важным шагом для государств в деле обеспечения эффективно функционирующей системы ювенальной юстиции.</w:t>
      </w:r>
    </w:p>
    <w:p w14:paraId="25442DD1" w14:textId="771F6371"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4.</w:t>
      </w:r>
      <w:r w:rsidRPr="00C930F5">
        <w:rPr>
          <w:rFonts w:eastAsia="SimSun" w:cs="Times New Roman"/>
          <w:szCs w:val="20"/>
          <w:lang w:eastAsia="zh-CN"/>
        </w:rPr>
        <w:tab/>
        <w:t>В своем замечании общего порядка № 1 (2024) Подкомитет разъяснил вопросы, возникшие у государств, национальных превентивных механизмов и других заинтересованных сторон в связи с определением понятия «места лишения свободы». В соответствии со своей практикой он рекомендовал как можно шире толковать этот термин, с тем чтобы его работа и работа национальных механизмов имела максимальный эффект в плане предупреждения. Такой подход соответствует широкому толкованию термина «лишение свободы», взятому на вооружение другими органами Организации Объединенных Наций и региональными органами по правам человека. В замечании общего порядка Подкомитет упоминает места, в которых могут содержаться дети, в том числе не находящиеся в конфликте с законом, которым</w:t>
      </w:r>
      <w:r w:rsidR="00FB0D83" w:rsidRPr="00FB0D83">
        <w:rPr>
          <w:rFonts w:eastAsia="SimSun" w:cs="Times New Roman"/>
          <w:szCs w:val="20"/>
          <w:lang w:eastAsia="zh-CN"/>
        </w:rPr>
        <w:br/>
      </w:r>
      <w:r w:rsidRPr="00C930F5">
        <w:rPr>
          <w:rFonts w:eastAsia="SimSun" w:cs="Times New Roman"/>
          <w:szCs w:val="20"/>
          <w:lang w:eastAsia="zh-CN"/>
        </w:rPr>
        <w:t>де-юре или де-факто не позволяется покинуть эти места. Подкомитет подчеркнул, что все такие места представляют собой места лишения свободы. Соответственно, для целей защиты детей в таких местах также должны применяться превентивные меры, нацеленные на предупреждение пыток и жестокого обращения.</w:t>
      </w:r>
    </w:p>
    <w:p w14:paraId="439E7734" w14:textId="77777777" w:rsidR="00C930F5" w:rsidRPr="00C930F5" w:rsidRDefault="00C930F5" w:rsidP="00BB7033">
      <w:pPr>
        <w:pStyle w:val="H1G"/>
      </w:pPr>
      <w:r w:rsidRPr="00C930F5">
        <w:tab/>
        <w:t>B.</w:t>
      </w:r>
      <w:r w:rsidRPr="00C930F5">
        <w:tab/>
        <w:t>Содержательная часть</w:t>
      </w:r>
      <w:bookmarkStart w:id="145" w:name="_Toc192081327"/>
      <w:bookmarkEnd w:id="145"/>
    </w:p>
    <w:p w14:paraId="314FDC49" w14:textId="77777777"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5.</w:t>
      </w:r>
      <w:r w:rsidRPr="00C930F5">
        <w:rPr>
          <w:rFonts w:eastAsia="SimSun" w:cs="Times New Roman"/>
          <w:szCs w:val="20"/>
          <w:lang w:eastAsia="zh-CN"/>
        </w:rPr>
        <w:tab/>
        <w:t>Прежде всего следует напомнить, что дети, вступившие в конфликт с законом, имеют право на те же основные гарантии, что и совершеннолетние лица, в первую очередь право с момента задержания связаться с адвокатом по своему выбору, право уведомить третью сторону о своем заключении под стражу, право на независимое медицинское обследование, а в случае иностранцев — право связаться со своим дипломатическим или консульским представительством и получить соответствующие переводческие услуги. Эти гарантии имеют основополагающее значение не только для защиты от произвольного лишения свободы, но и для предупреждения пыток и других видов жестокого обращения. Кроме того, конкретно в отношении детей Подкомитет рекомендовал государствам-участникам привести свое законодательство о системе ювенальной юстиции в соответствие с международными стандартами, опираясь на Минимальные стандартные правила Организации Объединенных Наций, касающиеся отправления правосудия в отношении несовершеннолетних (Пекинские правила), Руководящие принципы Организации Объединенных Наций для предупреждения преступности среди несовершеннолетних (Эр-Риядские руководящие принципы), Правила Организации Объединенных Наций, касающиеся защиты несовершеннолетних, лишенных свободы, и замечания общего порядка Комитета по правам ребенка</w:t>
      </w:r>
      <w:r w:rsidRPr="00C930F5">
        <w:rPr>
          <w:rFonts w:eastAsia="SimSun" w:cs="Times New Roman"/>
          <w:sz w:val="18"/>
          <w:szCs w:val="20"/>
          <w:vertAlign w:val="superscript"/>
          <w:lang w:eastAsia="zh-CN"/>
        </w:rPr>
        <w:footnoteReference w:id="46"/>
      </w:r>
      <w:r w:rsidRPr="00C930F5">
        <w:rPr>
          <w:rFonts w:eastAsia="SimSun" w:cs="Times New Roman"/>
          <w:szCs w:val="20"/>
          <w:lang w:eastAsia="zh-CN"/>
        </w:rPr>
        <w:t>. Позиция Подкомитета состоит в том, что дела детей, в том числе в возрасте от 14 до 18 лет, не должны рассматриваться в системе отправления правосудия для совершеннолетних лиц независимо от характера совершенного ими преступления</w:t>
      </w:r>
      <w:r w:rsidRPr="00C930F5">
        <w:rPr>
          <w:rFonts w:eastAsia="SimSun" w:cs="Times New Roman"/>
          <w:sz w:val="18"/>
          <w:szCs w:val="20"/>
          <w:vertAlign w:val="superscript"/>
          <w:lang w:eastAsia="zh-CN"/>
        </w:rPr>
        <w:footnoteReference w:id="47"/>
      </w:r>
      <w:r w:rsidRPr="00C930F5">
        <w:rPr>
          <w:rFonts w:eastAsia="SimSun" w:cs="Times New Roman"/>
          <w:szCs w:val="20"/>
          <w:lang w:eastAsia="zh-CN"/>
        </w:rPr>
        <w:t>. Для соблюдения этих стандартов крайне важно, чтобы государства — участники Факультативного протокола приняли специальное национальное законодательство в отношении детей, вступивших в контакт с системой ювенальной юстиции</w:t>
      </w:r>
      <w:r w:rsidRPr="00C930F5">
        <w:rPr>
          <w:rFonts w:eastAsia="SimSun" w:cs="Times New Roman"/>
          <w:sz w:val="18"/>
          <w:szCs w:val="20"/>
          <w:vertAlign w:val="superscript"/>
          <w:lang w:eastAsia="zh-CN"/>
        </w:rPr>
        <w:footnoteReference w:id="48"/>
      </w:r>
      <w:r w:rsidRPr="00C930F5">
        <w:rPr>
          <w:rFonts w:eastAsia="SimSun" w:cs="Times New Roman"/>
          <w:szCs w:val="20"/>
          <w:lang w:eastAsia="zh-CN"/>
        </w:rPr>
        <w:t>.</w:t>
      </w:r>
    </w:p>
    <w:p w14:paraId="5FC2A08E" w14:textId="3C92D6AF"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6.</w:t>
      </w:r>
      <w:r w:rsidRPr="00C930F5">
        <w:rPr>
          <w:rFonts w:eastAsia="SimSun" w:cs="Times New Roman"/>
          <w:szCs w:val="20"/>
          <w:lang w:eastAsia="zh-CN"/>
        </w:rPr>
        <w:tab/>
        <w:t>Кроме того, Подкомитет однозначно указал, что заключение детей под стражу должно быть крайней мерой, применяемой только в исключительных случаях,</w:t>
      </w:r>
      <w:r w:rsidR="00BB7033" w:rsidRPr="00BB7033">
        <w:rPr>
          <w:rFonts w:eastAsia="SimSun" w:cs="Times New Roman"/>
          <w:szCs w:val="20"/>
          <w:lang w:eastAsia="zh-CN"/>
        </w:rPr>
        <w:br/>
      </w:r>
      <w:r w:rsidRPr="00C930F5">
        <w:rPr>
          <w:rFonts w:eastAsia="SimSun" w:cs="Times New Roman"/>
          <w:szCs w:val="20"/>
          <w:lang w:eastAsia="zh-CN"/>
        </w:rPr>
        <w:t xml:space="preserve">и настоятельно призвал государства-участники поощрять альтернативы заключению </w:t>
      </w:r>
      <w:r w:rsidRPr="00C930F5">
        <w:rPr>
          <w:rFonts w:eastAsia="SimSun" w:cs="Times New Roman"/>
          <w:szCs w:val="20"/>
          <w:lang w:eastAsia="zh-CN"/>
        </w:rPr>
        <w:lastRenderedPageBreak/>
        <w:t>детей под стражу и выводить детей из системы формального уголовного судопроизводства</w:t>
      </w:r>
      <w:r w:rsidRPr="00C930F5">
        <w:rPr>
          <w:rFonts w:eastAsia="SimSun" w:cs="Times New Roman"/>
          <w:sz w:val="18"/>
          <w:szCs w:val="20"/>
          <w:vertAlign w:val="superscript"/>
          <w:lang w:eastAsia="zh-CN"/>
        </w:rPr>
        <w:footnoteReference w:id="49"/>
      </w:r>
      <w:r w:rsidRPr="00C930F5">
        <w:rPr>
          <w:rFonts w:eastAsia="SimSun" w:cs="Times New Roman"/>
          <w:szCs w:val="20"/>
          <w:lang w:eastAsia="zh-CN"/>
        </w:rPr>
        <w:t>. В тех случаях, когда применяется заключение под стражу, Подкомитет рекомендовал государствам-участникам обеспечивать, чтобы все заключенные под стражу дети содержались отдельно от совершеннолетних лиц, чтобы к ним применялся режим, адаптированный к их потребностям в соответствии с наилучшими интересами ребенка, что требует, в частности, специально обученного персонала, и чтобы они имели доступ к возможностям получения образования и отдыха, аналогичным тем, какие доступны детям в обществе, в целях содействия их социальной реинтеграции</w:t>
      </w:r>
      <w:r w:rsidRPr="00C930F5">
        <w:rPr>
          <w:rFonts w:eastAsia="SimSun" w:cs="Times New Roman"/>
          <w:sz w:val="18"/>
          <w:szCs w:val="20"/>
          <w:vertAlign w:val="superscript"/>
          <w:lang w:eastAsia="zh-CN"/>
        </w:rPr>
        <w:footnoteReference w:id="50"/>
      </w:r>
      <w:r w:rsidRPr="00C930F5">
        <w:rPr>
          <w:rFonts w:eastAsia="SimSun" w:cs="Times New Roman"/>
          <w:szCs w:val="20"/>
          <w:lang w:eastAsia="zh-CN"/>
        </w:rPr>
        <w:t>. Кроме того, Подкомитет рекомендовал государствам-участникам изменить свой подход к детям, нарушившим закон, с карательного на превентивный, чтобы избежать дальнейшей стигматизации и криминализации</w:t>
      </w:r>
      <w:r w:rsidRPr="00C930F5">
        <w:rPr>
          <w:rFonts w:eastAsia="SimSun" w:cs="Times New Roman"/>
          <w:sz w:val="18"/>
          <w:szCs w:val="20"/>
          <w:vertAlign w:val="superscript"/>
          <w:lang w:eastAsia="zh-CN"/>
        </w:rPr>
        <w:footnoteReference w:id="51"/>
      </w:r>
      <w:r w:rsidRPr="00C930F5">
        <w:rPr>
          <w:rFonts w:eastAsia="SimSun" w:cs="Times New Roman"/>
          <w:szCs w:val="20"/>
          <w:lang w:eastAsia="zh-CN"/>
        </w:rPr>
        <w:t>.</w:t>
      </w:r>
    </w:p>
    <w:p w14:paraId="48963EBA" w14:textId="77777777" w:rsidR="00C930F5" w:rsidRPr="00C930F5" w:rsidRDefault="00C930F5" w:rsidP="00C930F5">
      <w:pPr>
        <w:tabs>
          <w:tab w:val="left" w:pos="1701"/>
          <w:tab w:val="left" w:pos="2268"/>
        </w:tabs>
        <w:spacing w:after="120"/>
        <w:ind w:left="1134" w:right="1134"/>
        <w:jc w:val="both"/>
        <w:rPr>
          <w:rFonts w:eastAsia="SimSun" w:cs="Times New Roman"/>
          <w:szCs w:val="20"/>
          <w:lang w:eastAsia="zh-CN"/>
        </w:rPr>
      </w:pPr>
      <w:r w:rsidRPr="00C930F5">
        <w:rPr>
          <w:rFonts w:eastAsia="SimSun" w:cs="Times New Roman"/>
          <w:szCs w:val="20"/>
          <w:lang w:eastAsia="zh-CN"/>
        </w:rPr>
        <w:t>7.</w:t>
      </w:r>
      <w:r w:rsidRPr="00C930F5">
        <w:rPr>
          <w:rFonts w:eastAsia="SimSun" w:cs="Times New Roman"/>
          <w:szCs w:val="20"/>
          <w:lang w:eastAsia="zh-CN"/>
        </w:rPr>
        <w:tab/>
        <w:t>Помимо этого, в своих рекомендациях государствам-участникам, касающихся детей, лишенных свободы, и их доступа к правосудию и эффективным средствам правовой защиты, Подкомитет затронул следующие вопросы:</w:t>
      </w:r>
    </w:p>
    <w:p w14:paraId="46F148ED" w14:textId="7A2B8B00" w:rsidR="00C930F5" w:rsidRPr="00C930F5" w:rsidRDefault="00BB7033" w:rsidP="00C930F5">
      <w:pPr>
        <w:tabs>
          <w:tab w:val="left" w:pos="1701"/>
          <w:tab w:val="left" w:pos="2268"/>
        </w:tabs>
        <w:spacing w:after="120"/>
        <w:ind w:left="1134" w:right="1134"/>
        <w:jc w:val="both"/>
        <w:rPr>
          <w:rFonts w:eastAsia="SimSun" w:cs="Times New Roman"/>
          <w:szCs w:val="20"/>
          <w:lang w:eastAsia="zh-CN"/>
        </w:rPr>
      </w:pPr>
      <w:r w:rsidRPr="00956DCB">
        <w:rPr>
          <w:rFonts w:eastAsia="SimSun" w:cs="Times New Roman"/>
          <w:szCs w:val="20"/>
          <w:lang w:eastAsia="zh-CN"/>
        </w:rPr>
        <w:tab/>
      </w:r>
      <w:r w:rsidR="00C930F5" w:rsidRPr="00C930F5">
        <w:rPr>
          <w:rFonts w:eastAsia="SimSun" w:cs="Times New Roman"/>
          <w:szCs w:val="20"/>
          <w:lang w:eastAsia="zh-CN"/>
        </w:rPr>
        <w:t>a)</w:t>
      </w:r>
      <w:r w:rsidR="00C930F5" w:rsidRPr="00C930F5">
        <w:rPr>
          <w:rFonts w:eastAsia="SimSun" w:cs="Times New Roman"/>
          <w:szCs w:val="20"/>
          <w:lang w:eastAsia="zh-CN"/>
        </w:rPr>
        <w:tab/>
      </w:r>
      <w:r w:rsidR="00C930F5" w:rsidRPr="00C930F5">
        <w:rPr>
          <w:rFonts w:eastAsia="SimSun" w:cs="Times New Roman"/>
          <w:i/>
          <w:iCs/>
          <w:szCs w:val="20"/>
          <w:lang w:eastAsia="zh-CN"/>
        </w:rPr>
        <w:t>основные правовые гарантии.</w:t>
      </w:r>
      <w:r w:rsidR="00C930F5" w:rsidRPr="00C930F5">
        <w:rPr>
          <w:rFonts w:eastAsia="SimSun" w:cs="Times New Roman"/>
          <w:szCs w:val="20"/>
          <w:lang w:eastAsia="zh-CN"/>
        </w:rPr>
        <w:t xml:space="preserve"> Они должны обеспечиваться с момента заключения под стражу, включая, помимо прочего, право быть информированным о своих правах и причинах заключения под стражу, право на представительство адвокатом, право на медицинский осмотр, право сообщить родственнику или третьему лицу по своему выбору о своем заключении под стражу, а также право быть заслушанным судьей в присутствии адвоката или доверенного совершеннолетнего лица</w:t>
      </w:r>
      <w:r w:rsidR="00C930F5" w:rsidRPr="00C930F5">
        <w:rPr>
          <w:rFonts w:eastAsia="SimSun" w:cs="Times New Roman"/>
          <w:sz w:val="18"/>
          <w:szCs w:val="20"/>
          <w:vertAlign w:val="superscript"/>
          <w:lang w:eastAsia="zh-CN"/>
        </w:rPr>
        <w:footnoteReference w:id="52"/>
      </w:r>
      <w:r w:rsidR="00C930F5" w:rsidRPr="00C930F5">
        <w:rPr>
          <w:rFonts w:eastAsia="SimSun" w:cs="Times New Roman"/>
          <w:szCs w:val="20"/>
          <w:lang w:eastAsia="zh-CN"/>
        </w:rPr>
        <w:t>. Дети должны быть проинформированы обо всех этих правах в доступной для их понимания форме, а учреждения и процедуры должны быть построены таким образом, чтобы дети могли воспользоваться этими правами. Кроме того, в соответствии с международными стандартами государства должны обеспечивать информирование родителей о задержании, переводе, освобождении, болезни, несчастном случае или смерти ребенка, находящегося под стражей</w:t>
      </w:r>
      <w:r w:rsidR="00C930F5" w:rsidRPr="00C930F5">
        <w:rPr>
          <w:rFonts w:eastAsia="SimSun" w:cs="Times New Roman"/>
          <w:sz w:val="18"/>
          <w:szCs w:val="20"/>
          <w:vertAlign w:val="superscript"/>
          <w:lang w:eastAsia="zh-CN"/>
        </w:rPr>
        <w:footnoteReference w:id="53"/>
      </w:r>
      <w:r w:rsidR="00C930F5" w:rsidRPr="00C930F5">
        <w:rPr>
          <w:rFonts w:eastAsia="SimSun" w:cs="Times New Roman"/>
          <w:szCs w:val="20"/>
          <w:lang w:eastAsia="zh-CN"/>
        </w:rPr>
        <w:t>;</w:t>
      </w:r>
    </w:p>
    <w:p w14:paraId="31878065" w14:textId="6E4391B0" w:rsidR="00C930F5" w:rsidRPr="00C930F5" w:rsidRDefault="00BB7033" w:rsidP="00C930F5">
      <w:pPr>
        <w:tabs>
          <w:tab w:val="left" w:pos="1701"/>
          <w:tab w:val="left" w:pos="2268"/>
        </w:tabs>
        <w:spacing w:after="120"/>
        <w:ind w:left="1134" w:right="1134"/>
        <w:jc w:val="both"/>
        <w:rPr>
          <w:rFonts w:eastAsia="SimSun" w:cs="Times New Roman"/>
          <w:szCs w:val="20"/>
          <w:lang w:eastAsia="zh-CN"/>
        </w:rPr>
      </w:pPr>
      <w:r w:rsidRPr="00956DCB">
        <w:rPr>
          <w:rFonts w:eastAsia="SimSun" w:cs="Times New Roman"/>
          <w:szCs w:val="20"/>
          <w:lang w:eastAsia="zh-CN"/>
        </w:rPr>
        <w:tab/>
      </w:r>
      <w:r w:rsidR="00C930F5" w:rsidRPr="00C930F5">
        <w:rPr>
          <w:rFonts w:eastAsia="SimSun" w:cs="Times New Roman"/>
          <w:szCs w:val="20"/>
          <w:lang w:eastAsia="zh-CN"/>
        </w:rPr>
        <w:t>b)</w:t>
      </w:r>
      <w:r w:rsidR="00C930F5" w:rsidRPr="00C930F5">
        <w:rPr>
          <w:rFonts w:eastAsia="SimSun" w:cs="Times New Roman"/>
          <w:szCs w:val="20"/>
          <w:lang w:eastAsia="zh-CN"/>
        </w:rPr>
        <w:tab/>
      </w:r>
      <w:r w:rsidR="00C930F5" w:rsidRPr="00C930F5">
        <w:rPr>
          <w:rFonts w:eastAsia="SimSun" w:cs="Times New Roman"/>
          <w:i/>
          <w:iCs/>
          <w:szCs w:val="20"/>
          <w:lang w:eastAsia="zh-CN"/>
        </w:rPr>
        <w:t>механизмы альтернативного разрешения споров и отправления правосудия на общинном уровне.</w:t>
      </w:r>
      <w:r w:rsidR="00C930F5" w:rsidRPr="00C930F5">
        <w:rPr>
          <w:rFonts w:eastAsia="SimSun" w:cs="Times New Roman"/>
          <w:szCs w:val="20"/>
          <w:lang w:eastAsia="zh-CN"/>
        </w:rPr>
        <w:t xml:space="preserve"> Реализацией таких механизмов должны заниматься только надлежащим образом подготовленные посредники, действующие в соответствии с наилучшими интересами ребенка при надлежащем надзоре, чтобы дети были защищены от любых форм пыток или жестокого обращения</w:t>
      </w:r>
      <w:r w:rsidR="00C930F5" w:rsidRPr="00C930F5">
        <w:rPr>
          <w:rFonts w:eastAsia="SimSun" w:cs="Times New Roman"/>
          <w:sz w:val="18"/>
          <w:szCs w:val="20"/>
          <w:vertAlign w:val="superscript"/>
          <w:lang w:eastAsia="zh-CN"/>
        </w:rPr>
        <w:footnoteReference w:id="54"/>
      </w:r>
      <w:r w:rsidR="00C930F5" w:rsidRPr="00C930F5">
        <w:rPr>
          <w:rFonts w:eastAsia="SimSun" w:cs="Times New Roman"/>
          <w:szCs w:val="20"/>
          <w:lang w:eastAsia="zh-CN"/>
        </w:rPr>
        <w:t>;</w:t>
      </w:r>
    </w:p>
    <w:p w14:paraId="3655636E" w14:textId="73A31C71" w:rsidR="00C930F5" w:rsidRPr="00956DCB" w:rsidRDefault="00BB7033" w:rsidP="00C930F5">
      <w:pPr>
        <w:tabs>
          <w:tab w:val="left" w:pos="1701"/>
          <w:tab w:val="left" w:pos="2268"/>
        </w:tabs>
        <w:spacing w:after="120"/>
        <w:ind w:left="1134" w:right="1134"/>
        <w:jc w:val="both"/>
        <w:rPr>
          <w:rFonts w:eastAsia="SimSun" w:cs="Times New Roman"/>
          <w:szCs w:val="20"/>
          <w:lang w:eastAsia="zh-CN"/>
        </w:rPr>
      </w:pPr>
      <w:r w:rsidRPr="00956DCB">
        <w:rPr>
          <w:rFonts w:eastAsia="SimSun" w:cs="Times New Roman"/>
          <w:szCs w:val="20"/>
          <w:lang w:eastAsia="zh-CN"/>
        </w:rPr>
        <w:tab/>
      </w:r>
      <w:r w:rsidR="00C930F5" w:rsidRPr="00C930F5">
        <w:rPr>
          <w:rFonts w:eastAsia="SimSun" w:cs="Times New Roman"/>
          <w:szCs w:val="20"/>
          <w:lang w:eastAsia="zh-CN"/>
        </w:rPr>
        <w:t>c)</w:t>
      </w:r>
      <w:r w:rsidR="00C930F5" w:rsidRPr="00C930F5">
        <w:rPr>
          <w:rFonts w:eastAsia="SimSun" w:cs="Times New Roman"/>
          <w:szCs w:val="20"/>
          <w:lang w:eastAsia="zh-CN"/>
        </w:rPr>
        <w:tab/>
      </w:r>
      <w:r w:rsidR="00C930F5" w:rsidRPr="00C930F5">
        <w:rPr>
          <w:rFonts w:eastAsia="SimSun" w:cs="Times New Roman"/>
          <w:i/>
          <w:iCs/>
          <w:szCs w:val="20"/>
          <w:lang w:eastAsia="zh-CN"/>
        </w:rPr>
        <w:t>судебный надзор.</w:t>
      </w:r>
      <w:r w:rsidR="00C930F5" w:rsidRPr="00C930F5">
        <w:rPr>
          <w:rFonts w:eastAsia="SimSun" w:cs="Times New Roman"/>
          <w:szCs w:val="20"/>
          <w:lang w:eastAsia="zh-CN"/>
        </w:rPr>
        <w:t xml:space="preserve"> Судьи и прокуроры должны проводить регулярные проверки мест лишения свободы</w:t>
      </w:r>
      <w:r w:rsidR="00C930F5" w:rsidRPr="00C930F5">
        <w:rPr>
          <w:rFonts w:eastAsia="SimSun" w:cs="Times New Roman"/>
          <w:sz w:val="18"/>
          <w:szCs w:val="20"/>
          <w:vertAlign w:val="superscript"/>
          <w:lang w:eastAsia="zh-CN"/>
        </w:rPr>
        <w:footnoteReference w:id="55"/>
      </w:r>
      <w:r w:rsidR="00C930F5" w:rsidRPr="00C930F5">
        <w:rPr>
          <w:rFonts w:eastAsia="SimSun" w:cs="Times New Roman"/>
          <w:szCs w:val="20"/>
          <w:lang w:eastAsia="zh-CN"/>
        </w:rPr>
        <w:t>;</w:t>
      </w:r>
    </w:p>
    <w:p w14:paraId="04D44A68" w14:textId="5387127C" w:rsidR="00C930F5" w:rsidRPr="00C930F5" w:rsidRDefault="00BB7033" w:rsidP="00C930F5">
      <w:pPr>
        <w:tabs>
          <w:tab w:val="left" w:pos="1701"/>
          <w:tab w:val="left" w:pos="2268"/>
        </w:tabs>
        <w:spacing w:after="120"/>
        <w:ind w:left="1134" w:right="1134"/>
        <w:jc w:val="both"/>
        <w:rPr>
          <w:rFonts w:eastAsia="SimSun" w:cs="Times New Roman"/>
          <w:szCs w:val="20"/>
          <w:lang w:eastAsia="zh-CN"/>
        </w:rPr>
      </w:pPr>
      <w:r w:rsidRPr="00956DCB">
        <w:rPr>
          <w:rFonts w:eastAsia="SimSun" w:cs="Times New Roman"/>
          <w:szCs w:val="20"/>
          <w:lang w:eastAsia="zh-CN"/>
        </w:rPr>
        <w:tab/>
      </w:r>
      <w:r w:rsidR="00C930F5" w:rsidRPr="00C930F5">
        <w:rPr>
          <w:rFonts w:eastAsia="SimSun" w:cs="Times New Roman"/>
          <w:szCs w:val="20"/>
          <w:lang w:eastAsia="zh-CN"/>
        </w:rPr>
        <w:t>d)</w:t>
      </w:r>
      <w:r w:rsidR="00C930F5" w:rsidRPr="00C930F5">
        <w:rPr>
          <w:rFonts w:eastAsia="SimSun" w:cs="Times New Roman"/>
          <w:szCs w:val="20"/>
          <w:lang w:eastAsia="zh-CN"/>
        </w:rPr>
        <w:tab/>
      </w:r>
      <w:r w:rsidR="00C930F5" w:rsidRPr="00C930F5">
        <w:rPr>
          <w:rFonts w:eastAsia="SimSun" w:cs="Times New Roman"/>
          <w:i/>
          <w:iCs/>
          <w:szCs w:val="20"/>
          <w:lang w:eastAsia="zh-CN"/>
        </w:rPr>
        <w:t>доступ к механизмам подачи жалоб.</w:t>
      </w:r>
      <w:r w:rsidR="00C930F5" w:rsidRPr="00C930F5">
        <w:rPr>
          <w:rFonts w:eastAsia="SimSun" w:cs="Times New Roman"/>
          <w:szCs w:val="20"/>
          <w:lang w:eastAsia="zh-CN"/>
        </w:rPr>
        <w:t xml:space="preserve"> Дети, лишенные свободы, должны иметь доступ к независимому и действенному механизму подачи жалоб в случае пыток или жестокого обращения, при этом им должна быть гарантирована защита от репрессий</w:t>
      </w:r>
      <w:r w:rsidR="00C930F5" w:rsidRPr="00C930F5">
        <w:rPr>
          <w:rFonts w:eastAsia="SimSun" w:cs="Times New Roman"/>
          <w:sz w:val="18"/>
          <w:szCs w:val="20"/>
          <w:vertAlign w:val="superscript"/>
          <w:lang w:eastAsia="zh-CN"/>
        </w:rPr>
        <w:footnoteReference w:id="56"/>
      </w:r>
      <w:r w:rsidR="00C930F5" w:rsidRPr="00C930F5">
        <w:rPr>
          <w:rFonts w:eastAsia="SimSun" w:cs="Times New Roman"/>
          <w:szCs w:val="20"/>
          <w:lang w:eastAsia="zh-CN"/>
        </w:rPr>
        <w:t>. Государства обязаны обеспечивать, чтобы процедуры подачи жалоб были адаптированы к потребностям детей и были удобными для них, доступными и надежными</w:t>
      </w:r>
      <w:r w:rsidR="00C930F5" w:rsidRPr="00C930F5">
        <w:rPr>
          <w:rFonts w:eastAsia="SimSun" w:cs="Times New Roman"/>
          <w:sz w:val="18"/>
          <w:szCs w:val="20"/>
          <w:vertAlign w:val="superscript"/>
          <w:lang w:eastAsia="zh-CN"/>
        </w:rPr>
        <w:footnoteReference w:id="57"/>
      </w:r>
      <w:r w:rsidR="00C930F5" w:rsidRPr="00C930F5">
        <w:rPr>
          <w:rFonts w:eastAsia="SimSun" w:cs="Times New Roman"/>
          <w:szCs w:val="20"/>
          <w:lang w:eastAsia="zh-CN"/>
        </w:rPr>
        <w:t>;</w:t>
      </w:r>
    </w:p>
    <w:p w14:paraId="6B439537" w14:textId="625AB813" w:rsidR="00381C24" w:rsidRDefault="00BB7033" w:rsidP="00C930F5">
      <w:pPr>
        <w:tabs>
          <w:tab w:val="left" w:pos="1701"/>
          <w:tab w:val="left" w:pos="2268"/>
        </w:tabs>
        <w:spacing w:after="120"/>
        <w:ind w:left="1134" w:right="1134"/>
        <w:jc w:val="both"/>
      </w:pPr>
      <w:r w:rsidRPr="00956DCB">
        <w:rPr>
          <w:rFonts w:eastAsia="Times New Roman" w:cs="Times New Roman"/>
          <w:szCs w:val="20"/>
        </w:rPr>
        <w:tab/>
      </w:r>
      <w:r w:rsidR="00C930F5" w:rsidRPr="00C930F5">
        <w:rPr>
          <w:rFonts w:eastAsia="Times New Roman" w:cs="Times New Roman"/>
          <w:szCs w:val="20"/>
        </w:rPr>
        <w:t>e)</w:t>
      </w:r>
      <w:r w:rsidR="00C930F5" w:rsidRPr="00C930F5">
        <w:rPr>
          <w:rFonts w:eastAsia="Times New Roman" w:cs="Times New Roman"/>
          <w:szCs w:val="20"/>
        </w:rPr>
        <w:tab/>
      </w:r>
      <w:r w:rsidR="00C930F5" w:rsidRPr="00C930F5">
        <w:rPr>
          <w:rFonts w:eastAsia="Times New Roman" w:cs="Times New Roman"/>
          <w:i/>
          <w:iCs/>
          <w:szCs w:val="20"/>
        </w:rPr>
        <w:t>дисциплинарные наказания.</w:t>
      </w:r>
      <w:r w:rsidR="00C930F5" w:rsidRPr="00C930F5">
        <w:rPr>
          <w:rFonts w:eastAsia="Times New Roman" w:cs="Times New Roman"/>
          <w:szCs w:val="20"/>
        </w:rPr>
        <w:t xml:space="preserve"> Дети, в отношении которых было применено дисциплинарное наказание, должны быть проинформированы о вмененном нарушении в доступной для их полного понимания форме, им должна быть предоставлена надлежащая возможность защищать себя, включая право подачи апелляции в компетентный беспристрастный орган, и они должны быть </w:t>
      </w:r>
      <w:r w:rsidR="00C930F5" w:rsidRPr="00C930F5">
        <w:rPr>
          <w:rFonts w:eastAsia="SimSun" w:cs="Times New Roman"/>
          <w:szCs w:val="20"/>
          <w:lang w:eastAsia="zh-CN"/>
        </w:rPr>
        <w:t>осведомлены</w:t>
      </w:r>
      <w:r w:rsidR="00C930F5" w:rsidRPr="00C930F5">
        <w:rPr>
          <w:rFonts w:eastAsia="Times New Roman" w:cs="Times New Roman"/>
          <w:szCs w:val="20"/>
        </w:rPr>
        <w:t xml:space="preserve"> </w:t>
      </w:r>
      <w:r w:rsidR="00C930F5" w:rsidRPr="00C930F5">
        <w:rPr>
          <w:rFonts w:eastAsia="Times New Roman" w:cs="Times New Roman"/>
          <w:szCs w:val="20"/>
        </w:rPr>
        <w:lastRenderedPageBreak/>
        <w:t>о виде и продолжительности назначенного наказания</w:t>
      </w:r>
      <w:r w:rsidR="00C930F5" w:rsidRPr="00C930F5">
        <w:rPr>
          <w:rFonts w:eastAsia="Times New Roman" w:cs="Times New Roman"/>
          <w:sz w:val="18"/>
          <w:szCs w:val="20"/>
          <w:vertAlign w:val="superscript"/>
        </w:rPr>
        <w:footnoteReference w:id="58"/>
      </w:r>
      <w:r w:rsidR="00C930F5" w:rsidRPr="00C930F5">
        <w:rPr>
          <w:rFonts w:eastAsia="Times New Roman" w:cs="Times New Roman"/>
          <w:szCs w:val="20"/>
        </w:rPr>
        <w:t>. Ссылаясь на правило 45 Минимальных стандартных правил Организации Объединенных Наций в отношении обращения с заключенными (Правила Нельсона Манделы) и правило 67 Правил Организации Объединенных Наций, касающихся защиты несовершеннолетних, лишенных свободы, Подкомитет рекомендует никогда не подвергать лиц моложе</w:t>
      </w:r>
      <w:r w:rsidRPr="00956DCB">
        <w:rPr>
          <w:rFonts w:eastAsia="Times New Roman" w:cs="Times New Roman"/>
          <w:szCs w:val="20"/>
        </w:rPr>
        <w:br/>
      </w:r>
      <w:r w:rsidR="00C930F5" w:rsidRPr="00C930F5">
        <w:rPr>
          <w:rFonts w:eastAsia="Times New Roman" w:cs="Times New Roman"/>
          <w:szCs w:val="20"/>
        </w:rPr>
        <w:t>18 лет одиночному заключению, поскольку это представляет собой одну из форм жестокого обращения и в некоторых случаях может быть приравнено к пыткам</w:t>
      </w:r>
      <w:r w:rsidR="00C930F5" w:rsidRPr="00C930F5">
        <w:rPr>
          <w:rFonts w:eastAsia="Times New Roman" w:cs="Times New Roman"/>
          <w:sz w:val="18"/>
          <w:szCs w:val="20"/>
          <w:vertAlign w:val="superscript"/>
        </w:rPr>
        <w:footnoteReference w:id="59"/>
      </w:r>
      <w:r w:rsidR="00C930F5" w:rsidRPr="00C930F5">
        <w:rPr>
          <w:rFonts w:eastAsia="Times New Roman" w:cs="Times New Roman"/>
          <w:szCs w:val="20"/>
        </w:rPr>
        <w:t>.</w:t>
      </w:r>
    </w:p>
    <w:p w14:paraId="5EC99E98" w14:textId="77777777" w:rsidR="009F6458" w:rsidRDefault="009F6458" w:rsidP="00C930F5">
      <w:pPr>
        <w:suppressAutoHyphens w:val="0"/>
        <w:spacing w:line="240" w:lineRule="auto"/>
        <w:sectPr w:rsidR="009F6458" w:rsidSect="00C930F5">
          <w:headerReference w:type="even" r:id="rId17"/>
          <w:footerReference w:type="even" r:id="rId18"/>
          <w:headerReference w:type="first" r:id="rId19"/>
          <w:footerReference w:type="first" r:id="rId20"/>
          <w:footnotePr>
            <w:numRestart w:val="eachSect"/>
          </w:footnotePr>
          <w:endnotePr>
            <w:numFmt w:val="decimal"/>
          </w:endnotePr>
          <w:pgSz w:w="11906" w:h="16838" w:code="9"/>
          <w:pgMar w:top="1417" w:right="1134" w:bottom="1134" w:left="1134" w:header="850" w:footer="567" w:gutter="0"/>
          <w:cols w:space="708"/>
          <w:docGrid w:linePitch="360"/>
        </w:sectPr>
      </w:pPr>
    </w:p>
    <w:p w14:paraId="1BA27C23" w14:textId="77777777" w:rsidR="009F6458" w:rsidRPr="009F6458" w:rsidRDefault="009F6458" w:rsidP="00BB7033">
      <w:pPr>
        <w:pStyle w:val="HChG"/>
      </w:pPr>
      <w:r w:rsidRPr="009F6458">
        <w:lastRenderedPageBreak/>
        <w:t>Приложение II</w:t>
      </w:r>
      <w:bookmarkStart w:id="146" w:name="_Toc192081328"/>
      <w:bookmarkEnd w:id="146"/>
    </w:p>
    <w:p w14:paraId="438113B2" w14:textId="24DEA9DB" w:rsidR="009F6458" w:rsidRPr="009F6458" w:rsidRDefault="009F6458" w:rsidP="00BB7033">
      <w:pPr>
        <w:pStyle w:val="HChG"/>
      </w:pPr>
      <w:r w:rsidRPr="009F6458">
        <w:tab/>
      </w:r>
      <w:r w:rsidRPr="009F6458">
        <w:tab/>
        <w:t>Материал, подготовленный для Специального докладчика по вопросу о свободе религии или убеждений в ответ на просьбу представить информацию</w:t>
      </w:r>
      <w:r w:rsidR="00BB7033" w:rsidRPr="00BB7033">
        <w:br/>
      </w:r>
      <w:r w:rsidRPr="009F6458">
        <w:t xml:space="preserve">для доклада о </w:t>
      </w:r>
      <w:r w:rsidRPr="009F6458">
        <w:rPr>
          <w:rFonts w:eastAsia="DengXian"/>
          <w:lang w:eastAsia="zh-CN"/>
        </w:rPr>
        <w:t xml:space="preserve">свободе </w:t>
      </w:r>
      <w:r w:rsidRPr="009F6458">
        <w:t>религии или убеждений и запрете на применение пыток и других жестоких, бесчеловечных или унижающих достоинство видов обращения</w:t>
      </w:r>
      <w:r w:rsidR="00BB7033" w:rsidRPr="00BB7033">
        <w:br/>
      </w:r>
      <w:r w:rsidRPr="009F6458">
        <w:t>и наказания</w:t>
      </w:r>
      <w:bookmarkStart w:id="147" w:name="_Toc185542954"/>
      <w:bookmarkStart w:id="148" w:name="_Toc192081329"/>
      <w:bookmarkEnd w:id="147"/>
      <w:bookmarkEnd w:id="148"/>
    </w:p>
    <w:p w14:paraId="49DD6A5B" w14:textId="0D26ECA9" w:rsidR="009F6458" w:rsidRPr="00956DCB"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t>1.</w:t>
      </w:r>
      <w:r w:rsidRPr="009F6458">
        <w:rPr>
          <w:rFonts w:eastAsia="SimSun" w:cs="Times New Roman"/>
          <w:szCs w:val="20"/>
          <w:lang w:eastAsia="zh-CN"/>
        </w:rPr>
        <w:tab/>
        <w:t>Подкомитет приветствует инициативу Специального докладчика по вопросу о свободе религии или убеждений подготовить доклад о свободе религии или убеждений и запрете на применение пыток и других жестоких, бесчеловечных или унижающих достоинство видов обращения и наказания. Подкомитет рад возможности откликнуться на призыв Специального докладчика представить информацию по этому актуальному вопросу. В основу настоящего материала положены два десятилетия работы Подкомитета в сфере предупреждения пыток и других видов жестокого обращения во всем мире.</w:t>
      </w:r>
    </w:p>
    <w:p w14:paraId="4E4604F7" w14:textId="77777777" w:rsidR="009F6458" w:rsidRPr="009F6458" w:rsidRDefault="009F6458" w:rsidP="00BB7033">
      <w:pPr>
        <w:pStyle w:val="H1G"/>
      </w:pPr>
      <w:r w:rsidRPr="009F6458">
        <w:tab/>
        <w:t>A.</w:t>
      </w:r>
      <w:r w:rsidRPr="009F6458">
        <w:tab/>
        <w:t>Справочная информация</w:t>
      </w:r>
      <w:bookmarkStart w:id="149" w:name="_Toc192081330"/>
      <w:bookmarkEnd w:id="149"/>
    </w:p>
    <w:p w14:paraId="6F3964C0" w14:textId="24B02F0F" w:rsidR="009F6458" w:rsidRPr="00956DCB" w:rsidRDefault="009F6458" w:rsidP="009F6458">
      <w:pPr>
        <w:tabs>
          <w:tab w:val="left" w:pos="1701"/>
          <w:tab w:val="left" w:pos="2268"/>
        </w:tabs>
        <w:spacing w:after="120"/>
        <w:ind w:left="1134" w:right="1134"/>
        <w:jc w:val="both"/>
        <w:rPr>
          <w:rFonts w:eastAsia="DengXian Light" w:cs="Times New Roman"/>
          <w:color w:val="000000"/>
          <w:spacing w:val="4"/>
          <w:szCs w:val="20"/>
          <w:lang w:eastAsia="zh-CN"/>
        </w:rPr>
      </w:pPr>
      <w:r w:rsidRPr="009F6458">
        <w:rPr>
          <w:rFonts w:eastAsia="SimSun" w:cs="Times New Roman"/>
          <w:szCs w:val="20"/>
          <w:lang w:eastAsia="zh-CN"/>
        </w:rPr>
        <w:t>2.</w:t>
      </w:r>
      <w:r w:rsidRPr="009F6458">
        <w:rPr>
          <w:rFonts w:eastAsia="SimSun" w:cs="Times New Roman"/>
          <w:szCs w:val="20"/>
          <w:lang w:eastAsia="zh-CN"/>
        </w:rPr>
        <w:tab/>
        <w:t>Подкомитет является договорным органом, учрежденным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и наделенным мандатом на предупреждение пыток и жестокого обращения на основе инновационного, устойчивого и упреждающего подхода. Центральное место в мандате Подкомитета занимает его роль в посещении мест лишения свободы в государствах — участниках Факультативного протокола и его роль в качестве органа, консультирующего национальные превентивные механизмы. Подкомитет посещает места лишения свободы с 2007 года. Во время посещений делегация Подкомитета проводит частные беседы с находящимися под стражей лицами вне пределов видимости и слышимости сотрудников пенитенциарных учреждений и государственных должностных лиц, а также взаимодействует с представителями правительства, сотрудниками служб содержания под стражей, адвокатами, врачами и другими соответствующими заинтересованными сторонами. Подкомитет работает в условиях строгой конфиденциальности; доклады о его посещениях государств-участников остаются конфиденциальными до тех пор, пока государство-участник не запросит их публикацию. Подкомитет настоятельно рекомендует государствам-участникам публиковать доклады, поскольку, по его мнению, это способствует более эффективному предупреждению пыток и жестокого обращения.</w:t>
      </w:r>
    </w:p>
    <w:p w14:paraId="07DAFE9B" w14:textId="77777777" w:rsidR="009F6458" w:rsidRPr="009F6458"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t>3.</w:t>
      </w:r>
      <w:r w:rsidRPr="009F6458">
        <w:rPr>
          <w:rFonts w:eastAsia="SimSun" w:cs="Times New Roman"/>
          <w:szCs w:val="20"/>
          <w:lang w:eastAsia="zh-CN"/>
        </w:rPr>
        <w:tab/>
        <w:t xml:space="preserve">На национальном уровне Факультативный протокол наделяет национальные органы, а именно национальные превентивные механизмы, мандатом на посещение мест лишения свободы, аналогичным мандату Подкомитета, при этом Подкомитет играет важную консультативную роль в отношении того, как этим механизмам следует выполнять такие функции. Мандат механизмов включает в себя регулярное посещение мест, где содержатся лишенные свободы лица. Несмотря на то, что в основу настоящего материала были положены преимущественно замечания и рекомендации Подкомитета, вынесенные по итогам посещений государств-участников и их мест лишения свободы его собственными сотрудниками, Подкомитет хотел бы подчеркнуть, что национальные превентивные механизмы, которые проводят все более частые и обстоятельные посещения всех типов учреждений в своих странах, располагают ценными сведениями о свободе религии и убеждений и о пытках и других жестоких, бесчеловечных или унижающих достоинство видах обращения и наказания </w:t>
      </w:r>
      <w:r w:rsidRPr="009F6458">
        <w:rPr>
          <w:rFonts w:eastAsia="SimSun" w:cs="Times New Roman"/>
          <w:szCs w:val="20"/>
          <w:lang w:eastAsia="zh-CN"/>
        </w:rPr>
        <w:lastRenderedPageBreak/>
        <w:t>во всем мире</w:t>
      </w:r>
      <w:r w:rsidRPr="009F6458">
        <w:rPr>
          <w:rFonts w:eastAsia="DengXian Light" w:cs="Times New Roman"/>
          <w:sz w:val="18"/>
          <w:szCs w:val="20"/>
          <w:vertAlign w:val="superscript"/>
          <w:lang w:eastAsia="zh-CN"/>
        </w:rPr>
        <w:footnoteReference w:id="60"/>
      </w:r>
      <w:r w:rsidRPr="009F6458">
        <w:rPr>
          <w:rFonts w:eastAsia="SimSun" w:cs="Times New Roman"/>
          <w:szCs w:val="20"/>
          <w:lang w:eastAsia="zh-CN"/>
        </w:rPr>
        <w:t>. Подкомитет с удовлетворением отмечает, что в своем призыве представить информацию Специальный докладчик признает важность национальных превентивных механизмов в этой связи. Однако это справедливо только в отношении государств, имеющих такие механизмы: Подкомитет отмечает, что ратификация Факультативного протокола и создание независимого, надлежащим образом функционирующего, хорошо обеспеченного ресурсами и профессионального национального превентивного механизма является важным шагом для государств в деле предупреждения пыток и жестокого обращения в связи со свободой религии или убеждений.</w:t>
      </w:r>
    </w:p>
    <w:p w14:paraId="776646AA" w14:textId="77777777" w:rsidR="009F6458" w:rsidRPr="009F6458" w:rsidRDefault="009F6458" w:rsidP="00BB7033">
      <w:pPr>
        <w:pStyle w:val="H1G"/>
      </w:pPr>
      <w:r w:rsidRPr="009F6458">
        <w:tab/>
        <w:t>B.</w:t>
      </w:r>
      <w:r w:rsidRPr="009F6458">
        <w:tab/>
      </w:r>
      <w:bookmarkStart w:id="150" w:name="_Toc192081331"/>
      <w:bookmarkEnd w:id="150"/>
      <w:r w:rsidRPr="009F6458">
        <w:t>Содержательная часть</w:t>
      </w:r>
    </w:p>
    <w:p w14:paraId="29B1D71A" w14:textId="5AB97CAA" w:rsidR="009F6458" w:rsidRPr="00956DCB" w:rsidRDefault="009F6458" w:rsidP="00BB7033">
      <w:pPr>
        <w:pStyle w:val="SingleTxtG"/>
        <w:rPr>
          <w:rFonts w:eastAsia="SimSun"/>
          <w:lang w:eastAsia="zh-CN"/>
        </w:rPr>
      </w:pPr>
      <w:r w:rsidRPr="009F6458">
        <w:rPr>
          <w:rFonts w:eastAsia="SimSun"/>
          <w:lang w:eastAsia="zh-CN"/>
        </w:rPr>
        <w:t>4.</w:t>
      </w:r>
      <w:r w:rsidRPr="009F6458">
        <w:rPr>
          <w:rFonts w:eastAsia="SimSun"/>
          <w:lang w:eastAsia="zh-CN"/>
        </w:rPr>
        <w:tab/>
        <w:t>Подкомитет признает, что следование религиозным или иным убеждениям может подвергать людей риску пыток и жестокого обращения, особенно в условиях, где определенные религии или убеждения вытесняются на обочину общества или подавляются. Кроме того, лишение возможности исповедовать религию или убеждения в местах содержания под стражей может представлять собой по меньшей мере жестокое, бесчеловечное или унижающее достоинство обращение или наказание, особенно для тех лиц, для которых вера является ключевым элементом идентичности, что нарушает основополагающее право на свободу религии или убеждений, которым обладают все люди.</w:t>
      </w:r>
    </w:p>
    <w:p w14:paraId="2695D74A" w14:textId="77777777" w:rsidR="009F6458" w:rsidRPr="009F6458" w:rsidRDefault="009F6458" w:rsidP="00BB7033">
      <w:pPr>
        <w:pStyle w:val="H23G"/>
      </w:pPr>
      <w:r w:rsidRPr="009F6458">
        <w:rPr>
          <w:bCs/>
        </w:rPr>
        <w:tab/>
        <w:t>1.</w:t>
      </w:r>
      <w:r w:rsidRPr="009F6458">
        <w:tab/>
        <w:t>Национальное законодательство</w:t>
      </w:r>
    </w:p>
    <w:p w14:paraId="5D70F95D" w14:textId="0B78A941" w:rsidR="009F6458" w:rsidRPr="00956DCB" w:rsidRDefault="009F6458" w:rsidP="00BB7033">
      <w:pPr>
        <w:pStyle w:val="SingleTxtG"/>
        <w:rPr>
          <w:rFonts w:eastAsia="SimSun"/>
          <w:lang w:eastAsia="zh-CN"/>
        </w:rPr>
      </w:pPr>
      <w:r w:rsidRPr="009F6458">
        <w:rPr>
          <w:rFonts w:eastAsia="SimSun"/>
          <w:lang w:eastAsia="zh-CN"/>
        </w:rPr>
        <w:t>5.</w:t>
      </w:r>
      <w:r w:rsidRPr="009F6458">
        <w:rPr>
          <w:rFonts w:eastAsia="SimSun"/>
          <w:lang w:eastAsia="zh-CN"/>
        </w:rPr>
        <w:tab/>
        <w:t>Что касается национального законодательства, то Подкомитет обратил внимание на то, что используемое государствами юридическое определение пытки должно включать в себя все формы дискриминации, как это предусмотрено в статье 1 Конвенции против пыток и других жестоких, бесчеловечных или унижающих достоинство видов обращения и наказания; это включает в себя дискриминацию на почве религии или убеждений. По мнению Подкомитета, законодательство, в котором определение пытки содержит ссылку только на расовую дискриминацию, является неполным и не соответствует требованиям, потому что оно не позволяет защитить людей, подвергающихся насилию из-за их предполагаемых религиозных убеждений и практики, будь то в местах лишения свободы или за их пределами. В этой связи Подкомитет учитывает, что пытки и другие виды жестокого обращения могут осуществляться, среди прочего, путем лишения человека возможности исповедовать религию, отказа ему в предметах культа и других символах, имеющих ключевое значение для его веры, и в других религиозных обрядах, включая время молитв и особые требования к питанию, или посредством действий против них.</w:t>
      </w:r>
    </w:p>
    <w:p w14:paraId="521B4990" w14:textId="77777777" w:rsidR="009F6458" w:rsidRPr="009F6458" w:rsidRDefault="009F6458" w:rsidP="00BB7033">
      <w:pPr>
        <w:pStyle w:val="H23G"/>
      </w:pPr>
      <w:r w:rsidRPr="009F6458">
        <w:tab/>
        <w:t>2.</w:t>
      </w:r>
      <w:r w:rsidRPr="009F6458">
        <w:tab/>
        <w:t>Места лишения свободы в соответствии со статьей 4 Факультативного протокола</w:t>
      </w:r>
    </w:p>
    <w:p w14:paraId="7BE1FEE9" w14:textId="14B13659" w:rsidR="009F6458" w:rsidRPr="00956DCB" w:rsidRDefault="009F6458" w:rsidP="00BB7033">
      <w:pPr>
        <w:pStyle w:val="SingleTxtG"/>
        <w:rPr>
          <w:rFonts w:eastAsia="SimSun"/>
          <w:shd w:val="clear" w:color="auto" w:fill="FFFFFF"/>
          <w:lang w:eastAsia="zh-CN"/>
        </w:rPr>
      </w:pPr>
      <w:r w:rsidRPr="009F6458">
        <w:rPr>
          <w:rFonts w:eastAsia="SimSun"/>
          <w:lang w:eastAsia="zh-CN"/>
        </w:rPr>
        <w:t>6.</w:t>
      </w:r>
      <w:r w:rsidRPr="009F6458">
        <w:rPr>
          <w:rFonts w:eastAsia="SimSun"/>
          <w:lang w:eastAsia="zh-CN"/>
        </w:rPr>
        <w:tab/>
        <w:t>В своем замечании общего порядка № 1 (2024) Подкомитет разъяснил вопросы, возникшие у государств, национальных превентивных механизмов и других заинтересованных сторон в связи с определением понятия «места лишения свободы». В соответствии со своей практикой он рекомендовал как можно шире толковать этот термин, с тем чтобы его работа и работа национальных механизмов имела максимальный эффект в плане предупреждения. Такой подход соответствует широкому толкованию термина «лишение свободы», взятому на вооружение другими органами Организации Объединенных Наций и региональными органами по правам человека.</w:t>
      </w:r>
    </w:p>
    <w:p w14:paraId="27FD3C8A" w14:textId="7DDE52A9" w:rsidR="009F6458" w:rsidRPr="00956DCB" w:rsidRDefault="009F6458" w:rsidP="00BB7033">
      <w:pPr>
        <w:pStyle w:val="SingleTxtG"/>
        <w:rPr>
          <w:rFonts w:eastAsia="SimSun"/>
          <w:lang w:eastAsia="zh-CN"/>
        </w:rPr>
      </w:pPr>
      <w:r w:rsidRPr="009F6458">
        <w:rPr>
          <w:rFonts w:eastAsia="SimSun"/>
          <w:lang w:eastAsia="zh-CN"/>
        </w:rPr>
        <w:t>7.</w:t>
      </w:r>
      <w:r w:rsidRPr="009F6458">
        <w:rPr>
          <w:rFonts w:eastAsia="SimSun"/>
          <w:lang w:eastAsia="zh-CN"/>
        </w:rPr>
        <w:tab/>
        <w:t xml:space="preserve">В своем замечании общего порядка № 1 (2024) Подкомитет подчеркнул, что лишение свободы может происходить в самых разных контекстах, включая систему уголовного правосудия, административную систему, систему здравоохранения, </w:t>
      </w:r>
      <w:r w:rsidRPr="009F6458">
        <w:rPr>
          <w:rFonts w:eastAsia="SimSun"/>
          <w:lang w:eastAsia="zh-CN"/>
        </w:rPr>
        <w:lastRenderedPageBreak/>
        <w:t>социального обеспечения и образования, будь то государственные или частные учреждения, в том числе религиозные. Подкомитет рассмотрел также вопрос о лишении свободы по причине инвалидности, касающийся случаев, в которых отсутствует юридическое или административное распоряжение о помещении людей с инвалидностью в определенное учреждение, но недостаточная степень поддержки вынуждает их оставаться в условиях, где они лишены свободы и могут стать жертвами вредных практик. Такая форма лишения свободы по причине инвалидности может иметь место как в семье, так и в учреждениях, включая религиозные общины и молитвенные лагеря</w:t>
      </w:r>
      <w:r w:rsidRPr="009F6458">
        <w:rPr>
          <w:rFonts w:eastAsia="SimSun"/>
          <w:sz w:val="18"/>
          <w:vertAlign w:val="superscript"/>
          <w:lang w:eastAsia="zh-CN"/>
        </w:rPr>
        <w:footnoteReference w:id="61"/>
      </w:r>
      <w:r w:rsidRPr="009F6458">
        <w:rPr>
          <w:rFonts w:eastAsia="SimSun"/>
          <w:lang w:eastAsia="zh-CN"/>
        </w:rPr>
        <w:t>.</w:t>
      </w:r>
    </w:p>
    <w:p w14:paraId="39083268" w14:textId="71BD1132" w:rsidR="009F6458" w:rsidRPr="00956DCB" w:rsidRDefault="009F6458" w:rsidP="00BB7033">
      <w:pPr>
        <w:pStyle w:val="SingleTxtG"/>
        <w:rPr>
          <w:rFonts w:eastAsia="SimSun"/>
          <w:lang w:eastAsia="zh-CN"/>
        </w:rPr>
      </w:pPr>
      <w:r w:rsidRPr="009F6458">
        <w:rPr>
          <w:rFonts w:eastAsia="SimSun"/>
          <w:lang w:eastAsia="zh-CN"/>
        </w:rPr>
        <w:t>8.</w:t>
      </w:r>
      <w:r w:rsidRPr="009F6458">
        <w:rPr>
          <w:rFonts w:eastAsia="SimSun"/>
          <w:lang w:eastAsia="zh-CN"/>
        </w:rPr>
        <w:tab/>
        <w:t>Кроме того, в своем замечании общего порядка № 1 (2024) Подкомитет упомянул специальные школы-интернаты или религиозные школы, которые могут представлять собой места лишения свободы</w:t>
      </w:r>
      <w:r w:rsidRPr="009F6458">
        <w:rPr>
          <w:rFonts w:eastAsia="SimSun"/>
          <w:sz w:val="18"/>
          <w:vertAlign w:val="superscript"/>
          <w:lang w:eastAsia="zh-CN"/>
        </w:rPr>
        <w:footnoteReference w:id="62"/>
      </w:r>
      <w:r w:rsidRPr="009F6458">
        <w:rPr>
          <w:rFonts w:eastAsia="SimSun"/>
          <w:lang w:eastAsia="zh-CN"/>
        </w:rPr>
        <w:t>. Например, Подкомитет посещал «даары» (традиционные школы по изучению Корана), поскольку считает, что они являются местами, где люди (в частности, маленькие дети) лишены или могут быть лишены свободы с молчаливого согласия государства-участника.</w:t>
      </w:r>
    </w:p>
    <w:p w14:paraId="0A828312" w14:textId="77777777" w:rsidR="009F6458" w:rsidRPr="009F6458" w:rsidRDefault="009F6458" w:rsidP="00BB7033">
      <w:pPr>
        <w:pStyle w:val="H23G"/>
      </w:pPr>
      <w:r w:rsidRPr="009F6458">
        <w:tab/>
        <w:t>3.</w:t>
      </w:r>
      <w:r w:rsidRPr="009F6458">
        <w:tab/>
        <w:t>Замечания, касающиеся пыток и жестокого обращения в религиозных учреждениях</w:t>
      </w:r>
    </w:p>
    <w:p w14:paraId="4BEB015C" w14:textId="71680BDD" w:rsidR="009F6458" w:rsidRPr="009F6458" w:rsidRDefault="009F6458" w:rsidP="00BB7033">
      <w:pPr>
        <w:pStyle w:val="SingleTxtG"/>
        <w:rPr>
          <w:rFonts w:eastAsia="SimSun"/>
          <w:b/>
          <w:bCs/>
          <w:lang w:eastAsia="zh-CN"/>
        </w:rPr>
      </w:pPr>
      <w:r w:rsidRPr="009F6458">
        <w:rPr>
          <w:rFonts w:eastAsia="SimSun"/>
          <w:lang w:eastAsia="zh-CN"/>
        </w:rPr>
        <w:t>9.</w:t>
      </w:r>
      <w:r w:rsidRPr="009F6458">
        <w:rPr>
          <w:rFonts w:eastAsia="SimSun"/>
          <w:lang w:eastAsia="zh-CN"/>
        </w:rPr>
        <w:tab/>
        <w:t>В своем докладе, направленном национальному превентивному механизму Сенегала после посещения этой страны в 2019 году, Подкомитет отметил,</w:t>
      </w:r>
      <w:r w:rsidR="00BB7033" w:rsidRPr="00BB7033">
        <w:rPr>
          <w:rFonts w:eastAsia="SimSun"/>
          <w:lang w:eastAsia="zh-CN"/>
        </w:rPr>
        <w:br/>
      </w:r>
      <w:r w:rsidRPr="009F6458">
        <w:rPr>
          <w:rFonts w:eastAsia="SimSun"/>
          <w:lang w:eastAsia="zh-CN"/>
        </w:rPr>
        <w:t>что, согласно полученным им сведениям, в некоторых «даарах» с детьми жестоко обращаются и заставляют их попрошайничать, при этом в открытых источниках имеются сообщения о зафиксированных властями случаях жестокого обращения в нескольких «даарах» и пытках, изнасилованиях и даже насильственной смерти в ряде других «дааров»</w:t>
      </w:r>
      <w:r w:rsidRPr="009F6458">
        <w:rPr>
          <w:rFonts w:eastAsia="SimSun"/>
          <w:sz w:val="18"/>
          <w:vertAlign w:val="superscript"/>
          <w:lang w:eastAsia="zh-CN"/>
        </w:rPr>
        <w:footnoteReference w:id="63"/>
      </w:r>
      <w:r w:rsidRPr="009F6458">
        <w:rPr>
          <w:rFonts w:eastAsia="SimSun"/>
          <w:lang w:eastAsia="zh-CN"/>
        </w:rPr>
        <w:t>. Подкомитет установил, что в закрытых «даарах» дети содержались под присмотром религиозного наставника ради возможности получить бесплатное образование и были обязаны просить милостыню, чтобы приносить деньги или еду для нужд школы. Национальные превентивные механизмы сообщили делегации Подкомитета, что они не посещают «даары», поскольку не считают, что эти учреждения входят в сферу охвата их мандата. Подкомитет выразил глубокую обеспокоенность в связи с замечаниями делегации и разъяснил механизмам, что «даары» относятся к их юрисдикции и мандату. Впоследствии это было разъяснено Подкомитетом в его замечании общего порядка № 1 (2024). Подкомитет рекомендовал механизмам посещать эти учреждения в рамках выполнения своего превентивного мандата и в целях оказания государству-участнику помощи в виде адресных субстантивных рекомендаций, направленных на предупреждение всех видов жестокого обращения, включая принудительное попрошайничество</w:t>
      </w:r>
      <w:r w:rsidRPr="009F6458">
        <w:rPr>
          <w:rFonts w:eastAsia="SimSun"/>
          <w:sz w:val="18"/>
          <w:vertAlign w:val="superscript"/>
          <w:lang w:eastAsia="zh-CN"/>
        </w:rPr>
        <w:footnoteReference w:id="64"/>
      </w:r>
      <w:r w:rsidRPr="009F6458">
        <w:rPr>
          <w:rFonts w:eastAsia="SimSun"/>
          <w:lang w:eastAsia="zh-CN"/>
        </w:rPr>
        <w:t>. Кроме того,</w:t>
      </w:r>
      <w:r w:rsidR="00FB0D83" w:rsidRPr="00FB0D83">
        <w:rPr>
          <w:rFonts w:eastAsia="SimSun"/>
          <w:lang w:eastAsia="zh-CN"/>
        </w:rPr>
        <w:br/>
      </w:r>
      <w:r w:rsidRPr="009F6458">
        <w:rPr>
          <w:rFonts w:eastAsia="SimSun"/>
          <w:lang w:eastAsia="zh-CN"/>
        </w:rPr>
        <w:t>в этой связи Подкомитет напоминает о вынесенных Сенегалу в 2019 году рекомендациях Комитета против пыток, которые касались более эффективного применения национального законодательства и проведения объективных</w:t>
      </w:r>
      <w:r w:rsidR="00FB0D83" w:rsidRPr="00FB0D83">
        <w:rPr>
          <w:rFonts w:eastAsia="SimSun"/>
          <w:lang w:eastAsia="zh-CN"/>
        </w:rPr>
        <w:br/>
      </w:r>
      <w:r w:rsidRPr="009F6458">
        <w:rPr>
          <w:rFonts w:eastAsia="SimSun"/>
          <w:lang w:eastAsia="zh-CN"/>
        </w:rPr>
        <w:t>и тщательных расследований случав торговли детьми, жестокого обращения</w:t>
      </w:r>
      <w:r w:rsidR="00FB0D83" w:rsidRPr="00FB0D83">
        <w:rPr>
          <w:rFonts w:eastAsia="SimSun"/>
          <w:lang w:eastAsia="zh-CN"/>
        </w:rPr>
        <w:br/>
      </w:r>
      <w:r w:rsidRPr="009F6458">
        <w:rPr>
          <w:rFonts w:eastAsia="SimSun"/>
          <w:lang w:eastAsia="zh-CN"/>
        </w:rPr>
        <w:t>и сексуального надругательства в отношении детей в «даарах» и других школах, а также обеспечения того, чтобы виновные лица, включая представителей государства, которые не расследуют заявления о таких предполагаемых случаях, привлекались к ответственности и в случае вынесения обвинительного приговора несли соответствующее наказание</w:t>
      </w:r>
      <w:r w:rsidRPr="009F6458">
        <w:rPr>
          <w:rFonts w:eastAsia="SimSun"/>
          <w:sz w:val="18"/>
          <w:vertAlign w:val="superscript"/>
          <w:lang w:eastAsia="zh-CN"/>
        </w:rPr>
        <w:footnoteReference w:id="65"/>
      </w:r>
      <w:r w:rsidRPr="009F6458">
        <w:rPr>
          <w:rFonts w:eastAsia="SimSun"/>
          <w:lang w:eastAsia="zh-CN"/>
        </w:rPr>
        <w:t>.</w:t>
      </w:r>
    </w:p>
    <w:p w14:paraId="11A00CA1" w14:textId="5C38D805" w:rsidR="009F6458" w:rsidRPr="009F6458"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lastRenderedPageBreak/>
        <w:t>10.</w:t>
      </w:r>
      <w:r w:rsidRPr="009F6458">
        <w:rPr>
          <w:rFonts w:eastAsia="SimSun" w:cs="Times New Roman"/>
          <w:szCs w:val="20"/>
          <w:lang w:eastAsia="zh-CN"/>
        </w:rPr>
        <w:tab/>
        <w:t>По итогам других посещений Подкомитет выразил серьезную обеспокоенность также в связи с видами практики, равносильными пыткам и другим жестоким, бесчеловечным или унижающим достоинство видам обращения и наказания, применяемыми в учреждениях или структурах религиозной направленности, которые позиционируются как предоставляющие убежище людям с психосоциальной инвалидностью, бездомным, потребителям наркотиков, ЛГБТИК+ и другим людям,</w:t>
      </w:r>
      <w:r w:rsidR="00BB7033" w:rsidRPr="00BB7033">
        <w:rPr>
          <w:rFonts w:eastAsia="SimSun" w:cs="Times New Roman"/>
          <w:szCs w:val="20"/>
          <w:lang w:eastAsia="zh-CN"/>
        </w:rPr>
        <w:br/>
      </w:r>
      <w:r w:rsidRPr="009F6458">
        <w:rPr>
          <w:rFonts w:eastAsia="SimSun" w:cs="Times New Roman"/>
          <w:szCs w:val="20"/>
          <w:lang w:eastAsia="zh-CN"/>
        </w:rPr>
        <w:t>в том числе брошенным своими семьями, или как учреждения для «лечения» таких людей. Согласно наблюдениям Подкомитета, в некоторых учреждениях людей могли лишать воды и пищи, избивать, связывать или содержать в одиночном заключении в темноте, при этом надлежащая психиатрическая помощи лицам с психосоциальной инвалидностью совсем не оказывалась. Подкомитет подчеркнул важность того, чтобы государства на законодательном уровне регулировали деятельность любых учреждений, где могут содержаться лишенные свободы</w:t>
      </w:r>
      <w:r w:rsidRPr="009F6458" w:rsidDel="00765617">
        <w:rPr>
          <w:rFonts w:eastAsia="SimSun" w:cs="Times New Roman"/>
          <w:szCs w:val="20"/>
          <w:lang w:eastAsia="zh-CN"/>
        </w:rPr>
        <w:t xml:space="preserve"> </w:t>
      </w:r>
      <w:r w:rsidRPr="009F6458">
        <w:rPr>
          <w:rFonts w:eastAsia="SimSun" w:cs="Times New Roman"/>
          <w:szCs w:val="20"/>
          <w:lang w:eastAsia="zh-CN"/>
        </w:rPr>
        <w:t>люди, осуществляли регулярный мониторинг таких учреждений, внедрили гарантии защиты от произвольного задержания и пресекали жестокое обращение, которому могут подвергаться лица, проживающие в таких учреждениях, а также принимали меры по его предупреждению.</w:t>
      </w:r>
    </w:p>
    <w:p w14:paraId="441126AC" w14:textId="77777777" w:rsidR="009F6458" w:rsidRPr="009F6458" w:rsidRDefault="009F6458" w:rsidP="00BB7033">
      <w:pPr>
        <w:pStyle w:val="H23G"/>
      </w:pPr>
      <w:r w:rsidRPr="009F6458">
        <w:tab/>
        <w:t>4.</w:t>
      </w:r>
      <w:r w:rsidRPr="009F6458">
        <w:tab/>
        <w:t>Свобода религии или убеждений в местах лишения свободы</w:t>
      </w:r>
    </w:p>
    <w:p w14:paraId="61057870" w14:textId="700C4D80" w:rsidR="009F6458" w:rsidRPr="009F6458"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t>11.</w:t>
      </w:r>
      <w:r w:rsidRPr="009F6458">
        <w:rPr>
          <w:rFonts w:eastAsia="SimSun" w:cs="Times New Roman"/>
          <w:szCs w:val="20"/>
          <w:lang w:eastAsia="zh-CN"/>
        </w:rPr>
        <w:tab/>
        <w:t>В ходе своих посещений Подкомитет подчеркивал, что свобода религии и убеждений должна соблюдаться во всех местах лишения свободы</w:t>
      </w:r>
      <w:r w:rsidRPr="009F6458">
        <w:rPr>
          <w:rFonts w:eastAsia="SimSun" w:cs="Times New Roman"/>
          <w:sz w:val="18"/>
          <w:szCs w:val="20"/>
          <w:vertAlign w:val="superscript"/>
          <w:lang w:eastAsia="zh-CN"/>
        </w:rPr>
        <w:footnoteReference w:id="66"/>
      </w:r>
      <w:r w:rsidRPr="009F6458">
        <w:rPr>
          <w:rFonts w:eastAsia="SimSun" w:cs="Times New Roman"/>
          <w:szCs w:val="20"/>
          <w:lang w:eastAsia="zh-CN"/>
        </w:rPr>
        <w:t>, и выносил государствам-участникам различные рекомендации в этой связи, в том числе в отношении режима дня и реабилитации содержащихся под стражей лиц. Например,</w:t>
      </w:r>
      <w:r w:rsidR="00FB0D83" w:rsidRPr="00FB0D83">
        <w:rPr>
          <w:rFonts w:eastAsia="SimSun" w:cs="Times New Roman"/>
          <w:szCs w:val="20"/>
          <w:lang w:eastAsia="zh-CN"/>
        </w:rPr>
        <w:br/>
      </w:r>
      <w:r w:rsidRPr="009F6458">
        <w:rPr>
          <w:rFonts w:eastAsia="SimSun" w:cs="Times New Roman"/>
          <w:szCs w:val="20"/>
          <w:lang w:eastAsia="zh-CN"/>
        </w:rPr>
        <w:t>в Белизе он рекомендовал, чтобы в реабилитационных программах и системах вещания пенитенциарных учреждений учитывалось культурное и религиозное разнообразие заключенных</w:t>
      </w:r>
      <w:r w:rsidRPr="009F6458">
        <w:rPr>
          <w:rFonts w:eastAsia="SimSun" w:cs="Times New Roman"/>
          <w:sz w:val="18"/>
          <w:szCs w:val="20"/>
          <w:vertAlign w:val="superscript"/>
          <w:lang w:eastAsia="zh-CN"/>
        </w:rPr>
        <w:footnoteReference w:id="67"/>
      </w:r>
      <w:r w:rsidRPr="009F6458">
        <w:rPr>
          <w:rFonts w:eastAsia="SimSun" w:cs="Times New Roman"/>
          <w:szCs w:val="20"/>
          <w:lang w:eastAsia="zh-CN"/>
        </w:rPr>
        <w:t>. В Казахстане Подкомитет рекомендовал предоставить заключенным в пенитенциарных учреждениях возможность участвовать</w:t>
      </w:r>
      <w:r w:rsidR="00FB0D83" w:rsidRPr="00FB0D83">
        <w:rPr>
          <w:rFonts w:eastAsia="SimSun" w:cs="Times New Roman"/>
          <w:szCs w:val="20"/>
          <w:lang w:eastAsia="zh-CN"/>
        </w:rPr>
        <w:br/>
      </w:r>
      <w:r w:rsidRPr="009F6458">
        <w:rPr>
          <w:rFonts w:eastAsia="SimSun" w:cs="Times New Roman"/>
          <w:szCs w:val="20"/>
          <w:lang w:eastAsia="zh-CN"/>
        </w:rPr>
        <w:t>в богослужениях и доступ к религиозной литературе и религиозному образованию в соответствии с международными нормами, в частности с правилом 66 Минимальных стандартных правил Организации Объединенных Наций в отношении обращения с заключенными (Правила Нельсона Манделы)</w:t>
      </w:r>
      <w:r w:rsidRPr="009F6458">
        <w:rPr>
          <w:rFonts w:eastAsia="SimSun" w:cs="Times New Roman"/>
          <w:sz w:val="18"/>
          <w:szCs w:val="20"/>
          <w:vertAlign w:val="superscript"/>
          <w:lang w:eastAsia="zh-CN"/>
        </w:rPr>
        <w:footnoteReference w:id="68"/>
      </w:r>
      <w:r w:rsidRPr="009F6458">
        <w:rPr>
          <w:rFonts w:eastAsia="SimSun" w:cs="Times New Roman"/>
          <w:szCs w:val="20"/>
          <w:lang w:eastAsia="zh-CN"/>
        </w:rPr>
        <w:t>. Подкомитет учитывал также, уделяют ли государства внимание религиозным соображениям при организации питания</w:t>
      </w:r>
      <w:r w:rsidRPr="009F6458">
        <w:rPr>
          <w:rFonts w:eastAsia="SimSun" w:cs="Times New Roman"/>
          <w:sz w:val="18"/>
          <w:szCs w:val="20"/>
          <w:vertAlign w:val="superscript"/>
          <w:lang w:eastAsia="zh-CN"/>
        </w:rPr>
        <w:footnoteReference w:id="69"/>
      </w:r>
      <w:r w:rsidRPr="009F6458">
        <w:rPr>
          <w:rFonts w:eastAsia="SimSun" w:cs="Times New Roman"/>
          <w:szCs w:val="20"/>
          <w:lang w:eastAsia="zh-CN"/>
        </w:rPr>
        <w:t>.</w:t>
      </w:r>
    </w:p>
    <w:p w14:paraId="29EA465E" w14:textId="7CE25D96" w:rsidR="009F6458" w:rsidRPr="00956DCB"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t>12.</w:t>
      </w:r>
      <w:r w:rsidRPr="009F6458">
        <w:rPr>
          <w:rFonts w:eastAsia="SimSun" w:cs="Times New Roman"/>
          <w:szCs w:val="20"/>
          <w:lang w:eastAsia="zh-CN"/>
        </w:rPr>
        <w:tab/>
        <w:t>В ходе посещений Подкомитета особое внимание уделялось также принципу недискриминации при осуществлении свободы религии и убеждений. В Чили Подкомитет рекомендовал принять необходимые меры для обеспечения того, чтобы представители народа мапуче могли соблюдать свои культурные традиции и обычаи в соответствии с международными стандартами в этой области</w:t>
      </w:r>
      <w:r w:rsidRPr="009F6458">
        <w:rPr>
          <w:rFonts w:eastAsia="SimSun" w:cs="Times New Roman"/>
          <w:sz w:val="18"/>
          <w:szCs w:val="20"/>
          <w:vertAlign w:val="superscript"/>
          <w:lang w:eastAsia="zh-CN"/>
        </w:rPr>
        <w:footnoteReference w:id="70"/>
      </w:r>
      <w:r w:rsidRPr="009F6458">
        <w:rPr>
          <w:rFonts w:eastAsia="SimSun" w:cs="Times New Roman"/>
          <w:szCs w:val="20"/>
          <w:lang w:eastAsia="zh-CN"/>
        </w:rPr>
        <w:t>, так же как и другие конкретные группы содержащихся под стражей лиц, которым разрешено свободно исповедовать свои религии. Кроме того, Подкомитет рекомендовал адаптировать протоколы оказания медицинской помощи и учреждения здравоохранения таким образом, чтобы находящимся под стражей мапуче, желающим использовать традиционные знания и медицину в качестве альтернативы или дополнения к обычному лечению, обеспечивалась такая возможность</w:t>
      </w:r>
      <w:r w:rsidRPr="009F6458">
        <w:rPr>
          <w:rFonts w:eastAsia="SimSun" w:cs="Times New Roman"/>
          <w:sz w:val="18"/>
          <w:szCs w:val="20"/>
          <w:vertAlign w:val="superscript"/>
          <w:lang w:eastAsia="zh-CN"/>
        </w:rPr>
        <w:footnoteReference w:id="71"/>
      </w:r>
      <w:r w:rsidRPr="009F6458">
        <w:rPr>
          <w:rFonts w:eastAsia="SimSun" w:cs="Times New Roman"/>
          <w:szCs w:val="20"/>
          <w:lang w:eastAsia="zh-CN"/>
        </w:rPr>
        <w:t>. На Кипре Подкомитет рекомендовал, чтобы возможность посещения женщин, содержащихся в местах лишения свободы, как женщинами, так и мужчинами, предоставляемая во время христианских праздников, в соответствующих случаях обеспечивалась также и во время праздников других религий</w:t>
      </w:r>
      <w:r w:rsidRPr="009F6458">
        <w:rPr>
          <w:rFonts w:eastAsia="SimSun" w:cs="Times New Roman"/>
          <w:sz w:val="18"/>
          <w:szCs w:val="20"/>
          <w:vertAlign w:val="superscript"/>
          <w:lang w:eastAsia="zh-CN"/>
        </w:rPr>
        <w:footnoteReference w:id="72"/>
      </w:r>
      <w:r w:rsidRPr="009F6458">
        <w:rPr>
          <w:rFonts w:eastAsia="SimSun" w:cs="Times New Roman"/>
          <w:szCs w:val="20"/>
          <w:lang w:eastAsia="zh-CN"/>
        </w:rPr>
        <w:t>.</w:t>
      </w:r>
    </w:p>
    <w:p w14:paraId="1B9A4A49" w14:textId="77777777" w:rsidR="009F6458" w:rsidRPr="009F6458" w:rsidRDefault="009F6458" w:rsidP="00BB7033">
      <w:pPr>
        <w:pStyle w:val="H23G"/>
      </w:pPr>
      <w:r w:rsidRPr="009F6458">
        <w:lastRenderedPageBreak/>
        <w:tab/>
        <w:t>5.</w:t>
      </w:r>
      <w:r w:rsidRPr="009F6458">
        <w:tab/>
        <w:t>Традиционные системы правосудия</w:t>
      </w:r>
    </w:p>
    <w:p w14:paraId="09208699" w14:textId="2E396C74" w:rsidR="009F6458" w:rsidRPr="009F6458" w:rsidRDefault="009F6458" w:rsidP="009F6458">
      <w:pPr>
        <w:tabs>
          <w:tab w:val="left" w:pos="1701"/>
          <w:tab w:val="left" w:pos="2268"/>
        </w:tabs>
        <w:spacing w:after="120"/>
        <w:ind w:left="1134" w:right="1134"/>
        <w:jc w:val="both"/>
        <w:rPr>
          <w:rFonts w:eastAsia="SimSun" w:cs="Times New Roman"/>
          <w:szCs w:val="20"/>
          <w:lang w:eastAsia="zh-CN"/>
        </w:rPr>
      </w:pPr>
      <w:r w:rsidRPr="009F6458">
        <w:rPr>
          <w:rFonts w:eastAsia="SimSun" w:cs="Times New Roman"/>
          <w:szCs w:val="20"/>
          <w:lang w:eastAsia="zh-CN"/>
        </w:rPr>
        <w:t>13.</w:t>
      </w:r>
      <w:r w:rsidRPr="009F6458">
        <w:rPr>
          <w:rFonts w:eastAsia="SimSun" w:cs="Times New Roman"/>
          <w:szCs w:val="20"/>
          <w:lang w:eastAsia="zh-CN"/>
        </w:rPr>
        <w:tab/>
        <w:t>Во время посещения Либерии в 2010 году Подкомитет отметил,</w:t>
      </w:r>
      <w:r w:rsidR="00BB7033" w:rsidRPr="00BB7033">
        <w:rPr>
          <w:rFonts w:eastAsia="SimSun" w:cs="Times New Roman"/>
          <w:szCs w:val="20"/>
          <w:lang w:eastAsia="zh-CN"/>
        </w:rPr>
        <w:br/>
      </w:r>
      <w:r w:rsidRPr="009F6458">
        <w:rPr>
          <w:rFonts w:eastAsia="SimSun" w:cs="Times New Roman"/>
          <w:szCs w:val="20"/>
          <w:lang w:eastAsia="zh-CN"/>
        </w:rPr>
        <w:t>что отправление традиционного «уголовного» правосудия может приводить к незаконному заключению под стражу или произвольному задержанию, а также быть сопряжено с пытками или жестоким обращением, например с поркой, причинением ожогов и принуждением к принятию отравляющих веществ (в ряде случаев такие наказания приводили к смерти). Подкомитет подчеркнул, что государства-участники обязаны поощрять и защищать все права человека и основные свободы, особенно те, которые изложены в их международных обязательствах, независимо от своего социального и культурного строя. Подкомитет признал, что социальные, культурные и религиозные традиции могут лежать в основе развития национальных механизмов правосудия, однако эти традиции не должны подрывать или ставить под угрозу соблюдение международного права прав человека. Подкомитет рекомендовал государствам-участникам привести свои специфические традиции в соответствие со взятыми на себя международными обязательствами и обеспечить, чтобы любые системы традиционного правосудия подлежали контролю и надзору со стороны официальных судебных органов в целях предотвращения незаконного заключения под стражу и пыток или жестокого обращения</w:t>
      </w:r>
      <w:r w:rsidRPr="009F6458">
        <w:rPr>
          <w:rFonts w:eastAsia="SimSun" w:cs="Times New Roman"/>
          <w:sz w:val="18"/>
          <w:szCs w:val="20"/>
          <w:vertAlign w:val="superscript"/>
          <w:lang w:eastAsia="zh-CN"/>
        </w:rPr>
        <w:footnoteReference w:id="73"/>
      </w:r>
      <w:r w:rsidRPr="009F6458">
        <w:rPr>
          <w:rFonts w:eastAsia="SimSun" w:cs="Times New Roman"/>
          <w:szCs w:val="20"/>
          <w:lang w:eastAsia="zh-CN"/>
        </w:rPr>
        <w:t>.</w:t>
      </w:r>
    </w:p>
    <w:p w14:paraId="7D64E278" w14:textId="6F0BF966" w:rsidR="00C930F5" w:rsidRPr="009F6458" w:rsidRDefault="009F6458" w:rsidP="009F6458">
      <w:pPr>
        <w:suppressAutoHyphens w:val="0"/>
        <w:spacing w:before="240" w:line="240" w:lineRule="auto"/>
        <w:jc w:val="center"/>
        <w:rPr>
          <w:u w:val="single"/>
        </w:rPr>
      </w:pPr>
      <w:r>
        <w:rPr>
          <w:u w:val="single"/>
        </w:rPr>
        <w:tab/>
      </w:r>
      <w:r>
        <w:rPr>
          <w:u w:val="single"/>
        </w:rPr>
        <w:tab/>
      </w:r>
      <w:r>
        <w:rPr>
          <w:u w:val="single"/>
        </w:rPr>
        <w:tab/>
      </w:r>
    </w:p>
    <w:sectPr w:rsidR="00C930F5" w:rsidRPr="009F6458" w:rsidSect="009F6458">
      <w:headerReference w:type="even" r:id="rId21"/>
      <w:headerReference w:type="default" r:id="rId22"/>
      <w:footerReference w:type="even" r:id="rId23"/>
      <w:footerReference w:type="default" r:id="rId24"/>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9AC3B" w14:textId="77777777" w:rsidR="001C4289" w:rsidRPr="00A312BC" w:rsidRDefault="001C4289" w:rsidP="00A312BC"/>
  </w:endnote>
  <w:endnote w:type="continuationSeparator" w:id="0">
    <w:p w14:paraId="3945EDA6" w14:textId="77777777" w:rsidR="001C4289" w:rsidRPr="00A312BC" w:rsidRDefault="001C428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5C50E" w14:textId="016317FE" w:rsidR="00F752F3" w:rsidRPr="00F752F3" w:rsidRDefault="00F752F3">
    <w:pPr>
      <w:pStyle w:val="a8"/>
    </w:pPr>
    <w:r w:rsidRPr="00F752F3">
      <w:rPr>
        <w:b/>
        <w:sz w:val="18"/>
      </w:rPr>
      <w:fldChar w:fldCharType="begin"/>
    </w:r>
    <w:r w:rsidRPr="00F752F3">
      <w:rPr>
        <w:b/>
        <w:sz w:val="18"/>
      </w:rPr>
      <w:instrText xml:space="preserve"> PAGE  \* MERGEFORMAT </w:instrText>
    </w:r>
    <w:r w:rsidRPr="00F752F3">
      <w:rPr>
        <w:b/>
        <w:sz w:val="18"/>
      </w:rPr>
      <w:fldChar w:fldCharType="separate"/>
    </w:r>
    <w:r w:rsidRPr="00F752F3">
      <w:rPr>
        <w:b/>
        <w:noProof/>
        <w:sz w:val="18"/>
      </w:rPr>
      <w:t>2</w:t>
    </w:r>
    <w:r w:rsidRPr="00F752F3">
      <w:rPr>
        <w:b/>
        <w:sz w:val="18"/>
      </w:rPr>
      <w:fldChar w:fldCharType="end"/>
    </w:r>
    <w:r>
      <w:rPr>
        <w:b/>
        <w:sz w:val="18"/>
      </w:rPr>
      <w:tab/>
    </w:r>
    <w:r>
      <w:t>GE.25-02902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8AD7B" w14:textId="129D96BF" w:rsidR="00F752F3" w:rsidRPr="00C930F5" w:rsidRDefault="00C930F5" w:rsidP="00C930F5">
    <w:pPr>
      <w:pStyle w:val="a8"/>
      <w:rPr>
        <w:b/>
        <w:sz w:val="18"/>
      </w:rPr>
    </w:pPr>
    <w:r>
      <w:t>GE.</w:t>
    </w:r>
    <w:r w:rsidRPr="00C930F5">
      <w:t>25</w:t>
    </w:r>
    <w:r>
      <w:t>-</w:t>
    </w:r>
    <w:r w:rsidRPr="00C930F5">
      <w:t>02902</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699D" w14:textId="369F5D92" w:rsidR="00042B72" w:rsidRPr="00F752F3" w:rsidRDefault="00F752F3" w:rsidP="00F752F3">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3ABD79C4" wp14:editId="4A695CE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25-02902  (R)</w:t>
    </w:r>
    <w:r>
      <w:rPr>
        <w:noProof/>
      </w:rPr>
      <w:drawing>
        <wp:anchor distT="0" distB="0" distL="114300" distR="114300" simplePos="0" relativeHeight="251659264" behindDoc="0" locked="0" layoutInCell="1" allowOverlap="1" wp14:anchorId="6B6A6696" wp14:editId="18BAD8A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190325  200325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E76F" w14:textId="260D6C20" w:rsidR="00C930F5" w:rsidRPr="00C930F5" w:rsidRDefault="00C930F5" w:rsidP="00C930F5">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rsidRPr="00C930F5">
      <w:t>GE.25-02902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995A6" w14:textId="77777777" w:rsidR="00C930F5" w:rsidRPr="00F752F3" w:rsidRDefault="00C930F5" w:rsidP="00F752F3">
    <w:pPr>
      <w:spacing w:before="120" w:line="240" w:lineRule="auto"/>
      <w:rPr>
        <w:lang w:val="fr-CH"/>
      </w:rPr>
    </w:pPr>
    <w:r>
      <w:t>GE.</w:t>
    </w:r>
    <w:r>
      <w:rPr>
        <w:b/>
        <w:noProof/>
        <w:lang w:val="fr-CH" w:eastAsia="fr-CH"/>
      </w:rPr>
      <w:drawing>
        <wp:anchor distT="0" distB="0" distL="114300" distR="114300" simplePos="0" relativeHeight="251661312" behindDoc="0" locked="0" layoutInCell="1" allowOverlap="1" wp14:anchorId="27FED65A" wp14:editId="7671F463">
          <wp:simplePos x="0" y="0"/>
          <wp:positionH relativeFrom="margin">
            <wp:posOffset>2699385</wp:posOffset>
          </wp:positionH>
          <wp:positionV relativeFrom="margin">
            <wp:posOffset>9179560</wp:posOffset>
          </wp:positionV>
          <wp:extent cx="2656800" cy="277200"/>
          <wp:effectExtent l="0" t="0" r="0" b="8890"/>
          <wp:wrapNone/>
          <wp:docPr id="347869870"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25-02902  (R)</w:t>
    </w:r>
    <w:r>
      <w:rPr>
        <w:noProof/>
      </w:rPr>
      <w:drawing>
        <wp:anchor distT="0" distB="0" distL="114300" distR="114300" simplePos="0" relativeHeight="251662336" behindDoc="0" locked="0" layoutInCell="1" allowOverlap="1" wp14:anchorId="0CB974ED" wp14:editId="41C75E6C">
          <wp:simplePos x="0" y="0"/>
          <wp:positionH relativeFrom="margin">
            <wp:posOffset>5489575</wp:posOffset>
          </wp:positionH>
          <wp:positionV relativeFrom="margin">
            <wp:posOffset>8855710</wp:posOffset>
          </wp:positionV>
          <wp:extent cx="628650" cy="628650"/>
          <wp:effectExtent l="0" t="0" r="0" b="0"/>
          <wp:wrapNone/>
          <wp:docPr id="1113980877" name="Рисунок 1113980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190325  200325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24623" w14:textId="4FDE3BF7" w:rsidR="009F6458" w:rsidRPr="009F6458" w:rsidRDefault="009F6458" w:rsidP="009F6458">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9F6458">
      <w:t>GE.25-02902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3DC0" w14:textId="70007A3A" w:rsidR="009F6458" w:rsidRPr="009F6458" w:rsidRDefault="009F6458" w:rsidP="009F6458">
    <w:pPr>
      <w:pStyle w:val="a8"/>
      <w:rPr>
        <w:b/>
        <w:sz w:val="18"/>
      </w:rPr>
    </w:pPr>
    <w:r>
      <w:t>GE.</w:t>
    </w:r>
    <w:r w:rsidRPr="009F6458">
      <w:t>25</w:t>
    </w:r>
    <w:r>
      <w:t>-</w:t>
    </w:r>
    <w:r w:rsidRPr="009F6458">
      <w:t>02902</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90DE4" w14:textId="77777777" w:rsidR="001C4289" w:rsidRPr="001075E9" w:rsidRDefault="001C4289" w:rsidP="001075E9">
      <w:pPr>
        <w:tabs>
          <w:tab w:val="right" w:pos="2155"/>
        </w:tabs>
        <w:spacing w:after="80" w:line="240" w:lineRule="auto"/>
        <w:ind w:left="680"/>
        <w:rPr>
          <w:u w:val="single"/>
        </w:rPr>
      </w:pPr>
      <w:r>
        <w:rPr>
          <w:u w:val="single"/>
        </w:rPr>
        <w:tab/>
      </w:r>
    </w:p>
  </w:footnote>
  <w:footnote w:type="continuationSeparator" w:id="0">
    <w:p w14:paraId="704A93E5" w14:textId="77777777" w:rsidR="001C4289" w:rsidRDefault="001C4289" w:rsidP="00407B78">
      <w:pPr>
        <w:tabs>
          <w:tab w:val="right" w:pos="2155"/>
        </w:tabs>
        <w:spacing w:after="80"/>
        <w:ind w:left="680"/>
        <w:rPr>
          <w:u w:val="single"/>
        </w:rPr>
      </w:pPr>
      <w:r>
        <w:rPr>
          <w:u w:val="single"/>
        </w:rPr>
        <w:tab/>
      </w:r>
    </w:p>
  </w:footnote>
  <w:footnote w:id="1">
    <w:p w14:paraId="6C318530" w14:textId="77777777" w:rsidR="00F752F3" w:rsidRPr="00D60EFE" w:rsidRDefault="00F752F3" w:rsidP="00240ABF">
      <w:pPr>
        <w:pStyle w:val="ad"/>
        <w:spacing w:after="120"/>
        <w:rPr>
          <w:szCs w:val="18"/>
        </w:rPr>
      </w:pPr>
      <w:r>
        <w:tab/>
        <w:t>*</w:t>
      </w:r>
      <w:r>
        <w:tab/>
      </w:r>
      <w:r w:rsidRPr="00207141">
        <w:t>На основании достигнутой договоренности настоящий документ издается позднее предусмотренного срока его публикации в связи с обстоятельствами, не зависящими от</w:t>
      </w:r>
      <w:r w:rsidRPr="00467C66">
        <w:t> </w:t>
      </w:r>
      <w:r w:rsidRPr="00207141">
        <w:t>представляющей стороны</w:t>
      </w:r>
      <w:r>
        <w:t>.</w:t>
      </w:r>
    </w:p>
  </w:footnote>
  <w:footnote w:id="2">
    <w:p w14:paraId="42CF7587" w14:textId="52252DA4" w:rsidR="00F752F3" w:rsidRPr="00D60EFE" w:rsidRDefault="00F752F3" w:rsidP="00F752F3">
      <w:pPr>
        <w:pStyle w:val="ad"/>
        <w:rPr>
          <w:szCs w:val="18"/>
        </w:rPr>
      </w:pPr>
      <w:r w:rsidRPr="00056ED7">
        <w:rPr>
          <w:szCs w:val="18"/>
        </w:rPr>
        <w:tab/>
      </w:r>
      <w:r w:rsidRPr="00056ED7">
        <w:rPr>
          <w:rStyle w:val="aa"/>
          <w:szCs w:val="18"/>
        </w:rPr>
        <w:footnoteRef/>
      </w:r>
      <w:r>
        <w:tab/>
      </w:r>
      <w:hyperlink r:id="rId1" w:history="1">
        <w:r w:rsidRPr="009F6458">
          <w:rPr>
            <w:rStyle w:val="af1"/>
          </w:rPr>
          <w:t>CAT/OP/54/R.2</w:t>
        </w:r>
      </w:hyperlink>
      <w:r>
        <w:t>, приложение II.</w:t>
      </w:r>
    </w:p>
  </w:footnote>
  <w:footnote w:id="3">
    <w:p w14:paraId="2BDC95E2" w14:textId="76709A6C" w:rsidR="00F752F3" w:rsidRPr="00F752F3" w:rsidRDefault="00F752F3" w:rsidP="00F752F3">
      <w:pPr>
        <w:pStyle w:val="ad"/>
        <w:rPr>
          <w:szCs w:val="18"/>
          <w:lang w:val="en-US"/>
        </w:rPr>
      </w:pPr>
      <w:r w:rsidRPr="00056ED7">
        <w:rPr>
          <w:color w:val="000000" w:themeColor="text1"/>
          <w:szCs w:val="18"/>
        </w:rPr>
        <w:tab/>
      </w:r>
      <w:r w:rsidRPr="00056ED7">
        <w:rPr>
          <w:rStyle w:val="aa"/>
          <w:szCs w:val="18"/>
        </w:rPr>
        <w:footnoteRef/>
      </w:r>
      <w:r>
        <w:tab/>
        <w:t>По состоянию на 31 декабря 2024 года в число 11 подписавших Протокол государств входили Ангола, Бельгия, Венесуэла (Боливарианская Республика), Гвинея, Гвинея-Бисау, Замбия, Ирландия, Камерун, Сьерра-Леоне, Тимор-Лешти и Чад.</w:t>
      </w:r>
      <w:r w:rsidR="00A05D3E" w:rsidRPr="00A05D3E">
        <w:br/>
      </w:r>
      <w:r w:rsidR="0018338F">
        <w:t>См</w:t>
      </w:r>
      <w:r w:rsidR="00A05D3E">
        <w:t xml:space="preserve">. </w:t>
      </w:r>
      <w:r w:rsidRPr="00D60EFE">
        <w:rPr>
          <w:lang w:val="en-US"/>
        </w:rPr>
        <w:t xml:space="preserve">URL: </w:t>
      </w:r>
      <w:r w:rsidR="00E66900">
        <w:fldChar w:fldCharType="begin"/>
      </w:r>
      <w:r w:rsidR="00E66900" w:rsidRPr="00956DCB">
        <w:rPr>
          <w:lang w:val="en-US"/>
        </w:rPr>
        <w:instrText>HYPERLINK "https://treaties.un.org/Pages/ViewDetails.aspx?src=TREATY&amp;mtdsg_no=IV-9-b&amp;chapter=4&amp;clang=_en"</w:instrText>
      </w:r>
      <w:r w:rsidR="00E66900">
        <w:fldChar w:fldCharType="separate"/>
      </w:r>
      <w:r w:rsidR="007C3A1A" w:rsidRPr="00A114F7">
        <w:rPr>
          <w:rStyle w:val="af1"/>
          <w:lang w:val="en-US"/>
        </w:rPr>
        <w:t>https://treaties.un.org/Pages/ViewDetails.aspx?src=TREATY&amp;mtdsg_no=IV-9-b&amp;chapter=4&amp;clang=_en</w:t>
      </w:r>
      <w:r w:rsidR="00E66900">
        <w:rPr>
          <w:rStyle w:val="af1"/>
          <w:lang w:val="en-US"/>
        </w:rPr>
        <w:fldChar w:fldCharType="end"/>
      </w:r>
      <w:r w:rsidRPr="00D60EFE">
        <w:rPr>
          <w:lang w:val="en-US"/>
        </w:rPr>
        <w:t>.</w:t>
      </w:r>
    </w:p>
  </w:footnote>
  <w:footnote w:id="4">
    <w:p w14:paraId="486ED0C6" w14:textId="767597D7" w:rsidR="00F752F3" w:rsidRPr="00F752F3" w:rsidRDefault="00F752F3" w:rsidP="00F752F3">
      <w:pPr>
        <w:pStyle w:val="ad"/>
        <w:rPr>
          <w:color w:val="000000" w:themeColor="text1"/>
          <w:szCs w:val="18"/>
          <w:lang w:val="en-US"/>
        </w:rPr>
      </w:pPr>
      <w:r w:rsidRPr="00D60EFE">
        <w:rPr>
          <w:color w:val="000000" w:themeColor="text1"/>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"https://webtv.un.org/en/asset/k18/k18ulkqk60"</w:instrText>
      </w:r>
      <w:r w:rsidR="00E66900">
        <w:fldChar w:fldCharType="separate"/>
      </w:r>
      <w:r w:rsidR="007C3A1A" w:rsidRPr="00A114F7">
        <w:rPr>
          <w:rStyle w:val="af1"/>
          <w:lang w:val="en-US"/>
        </w:rPr>
        <w:t>https://webtv.un.org/en/asset/k18/k18ulkqk60</w:t>
      </w:r>
      <w:r w:rsidR="00E66900">
        <w:rPr>
          <w:rStyle w:val="af1"/>
          <w:lang w:val="en-US"/>
        </w:rPr>
        <w:fldChar w:fldCharType="end"/>
      </w:r>
      <w:r w:rsidRPr="00D60EFE">
        <w:rPr>
          <w:lang w:val="en-US"/>
        </w:rPr>
        <w:t>.</w:t>
      </w:r>
    </w:p>
  </w:footnote>
  <w:footnote w:id="5">
    <w:p w14:paraId="5E4C1551" w14:textId="74937F55" w:rsidR="00F752F3" w:rsidRPr="00D60EFE" w:rsidRDefault="00F752F3" w:rsidP="00F752F3">
      <w:pPr>
        <w:pStyle w:val="ad"/>
        <w:rPr>
          <w:szCs w:val="18"/>
        </w:rPr>
      </w:pPr>
      <w:r w:rsidRPr="00D60EFE">
        <w:rPr>
          <w:szCs w:val="18"/>
          <w:lang w:val="en-US"/>
        </w:rPr>
        <w:tab/>
      </w:r>
      <w:r w:rsidRPr="00056ED7">
        <w:rPr>
          <w:rStyle w:val="aa"/>
          <w:szCs w:val="18"/>
        </w:rPr>
        <w:footnoteRef/>
      </w:r>
      <w:r>
        <w:tab/>
        <w:t>Консорциум «</w:t>
      </w:r>
      <w:r w:rsidRPr="00F976DA">
        <w:t>Объединение против пыток</w:t>
      </w:r>
      <w:r>
        <w:t>» объединяет международных членов Всемирной организации против пыток, Международного совета по реабилитации жертв пыток</w:t>
      </w:r>
      <w:r w:rsidR="007C3A1A" w:rsidRPr="007C3A1A">
        <w:br/>
      </w:r>
      <w:r>
        <w:t>и Международной федерации «Действия христиан за отмену пыток», а также Ассоциации</w:t>
      </w:r>
      <w:r w:rsidR="007C3A1A" w:rsidRPr="007C3A1A">
        <w:br/>
      </w:r>
      <w:r>
        <w:t>за предотвращение пыток, исследовательского фонда «Омега» и организации «Редрес траст».</w:t>
      </w:r>
    </w:p>
  </w:footnote>
  <w:footnote w:id="6">
    <w:p w14:paraId="27DAB904" w14:textId="21D1418C" w:rsidR="00F752F3" w:rsidRPr="0018338F" w:rsidRDefault="00F752F3" w:rsidP="00F752F3">
      <w:pPr>
        <w:pStyle w:val="ad"/>
        <w:rPr>
          <w:szCs w:val="18"/>
          <w:lang w:val="en-US"/>
        </w:rPr>
      </w:pPr>
      <w:r w:rsidRPr="00056ED7">
        <w:rPr>
          <w:color w:val="000000" w:themeColor="text1"/>
          <w:szCs w:val="18"/>
        </w:rPr>
        <w:tab/>
      </w:r>
      <w:r w:rsidRPr="00056ED7">
        <w:rPr>
          <w:rStyle w:val="aa"/>
          <w:szCs w:val="18"/>
        </w:rPr>
        <w:footnoteRef/>
      </w:r>
      <w:r w:rsidRPr="0018338F">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"https://www.ohchr.org/en/treaty-bodies/spt/membership"</w:instrText>
      </w:r>
      <w:r w:rsidR="00E66900">
        <w:fldChar w:fldCharType="separate"/>
      </w:r>
      <w:r w:rsidR="007C3A1A" w:rsidRPr="00A114F7">
        <w:rPr>
          <w:rStyle w:val="af1"/>
          <w:lang w:val="en-US"/>
        </w:rPr>
        <w:t>https</w:t>
      </w:r>
      <w:r w:rsidR="007C3A1A" w:rsidRPr="0018338F">
        <w:rPr>
          <w:rStyle w:val="af1"/>
          <w:lang w:val="en-US"/>
        </w:rPr>
        <w:t>://</w:t>
      </w:r>
      <w:r w:rsidR="007C3A1A" w:rsidRPr="00A114F7">
        <w:rPr>
          <w:rStyle w:val="af1"/>
          <w:lang w:val="en-US"/>
        </w:rPr>
        <w:t>www</w:t>
      </w:r>
      <w:r w:rsidR="007C3A1A" w:rsidRPr="0018338F">
        <w:rPr>
          <w:rStyle w:val="af1"/>
          <w:lang w:val="en-US"/>
        </w:rPr>
        <w:t>.</w:t>
      </w:r>
      <w:r w:rsidR="007C3A1A" w:rsidRPr="00A114F7">
        <w:rPr>
          <w:rStyle w:val="af1"/>
          <w:lang w:val="en-US"/>
        </w:rPr>
        <w:t>ohchr</w:t>
      </w:r>
      <w:r w:rsidR="007C3A1A" w:rsidRPr="0018338F">
        <w:rPr>
          <w:rStyle w:val="af1"/>
          <w:lang w:val="en-US"/>
        </w:rPr>
        <w:t>.</w:t>
      </w:r>
      <w:r w:rsidR="007C3A1A" w:rsidRPr="00A114F7">
        <w:rPr>
          <w:rStyle w:val="af1"/>
          <w:lang w:val="en-US"/>
        </w:rPr>
        <w:t>org</w:t>
      </w:r>
      <w:r w:rsidR="007C3A1A" w:rsidRPr="0018338F">
        <w:rPr>
          <w:rStyle w:val="af1"/>
          <w:lang w:val="en-US"/>
        </w:rPr>
        <w:t>/</w:t>
      </w:r>
      <w:r w:rsidR="007C3A1A" w:rsidRPr="00A114F7">
        <w:rPr>
          <w:rStyle w:val="af1"/>
          <w:lang w:val="en-US"/>
        </w:rPr>
        <w:t>en</w:t>
      </w:r>
      <w:r w:rsidR="007C3A1A" w:rsidRPr="0018338F">
        <w:rPr>
          <w:rStyle w:val="af1"/>
          <w:lang w:val="en-US"/>
        </w:rPr>
        <w:t>/</w:t>
      </w:r>
      <w:r w:rsidR="007C3A1A" w:rsidRPr="00A114F7">
        <w:rPr>
          <w:rStyle w:val="af1"/>
          <w:lang w:val="en-US"/>
        </w:rPr>
        <w:t>treaty</w:t>
      </w:r>
      <w:r w:rsidR="007C3A1A" w:rsidRPr="0018338F">
        <w:rPr>
          <w:rStyle w:val="af1"/>
          <w:lang w:val="en-US"/>
        </w:rPr>
        <w:t>-</w:t>
      </w:r>
      <w:r w:rsidR="007C3A1A" w:rsidRPr="00A114F7">
        <w:rPr>
          <w:rStyle w:val="af1"/>
          <w:lang w:val="en-US"/>
        </w:rPr>
        <w:t>bodies</w:t>
      </w:r>
      <w:r w:rsidR="007C3A1A" w:rsidRPr="0018338F">
        <w:rPr>
          <w:rStyle w:val="af1"/>
          <w:lang w:val="en-US"/>
        </w:rPr>
        <w:t>/</w:t>
      </w:r>
      <w:r w:rsidR="007C3A1A" w:rsidRPr="00A114F7">
        <w:rPr>
          <w:rStyle w:val="af1"/>
          <w:lang w:val="en-US"/>
        </w:rPr>
        <w:t>spt</w:t>
      </w:r>
      <w:r w:rsidR="007C3A1A" w:rsidRPr="0018338F">
        <w:rPr>
          <w:rStyle w:val="af1"/>
          <w:lang w:val="en-US"/>
        </w:rPr>
        <w:t>/</w:t>
      </w:r>
      <w:r w:rsidR="007C3A1A" w:rsidRPr="00A114F7">
        <w:rPr>
          <w:rStyle w:val="af1"/>
          <w:lang w:val="en-US"/>
        </w:rPr>
        <w:t>membership</w:t>
      </w:r>
      <w:r w:rsidR="00E66900">
        <w:rPr>
          <w:rStyle w:val="af1"/>
          <w:lang w:val="en-US"/>
        </w:rPr>
        <w:fldChar w:fldCharType="end"/>
      </w:r>
      <w:r w:rsidRPr="0018338F">
        <w:rPr>
          <w:lang w:val="en-US"/>
        </w:rPr>
        <w:t>.</w:t>
      </w:r>
    </w:p>
  </w:footnote>
  <w:footnote w:id="7">
    <w:p w14:paraId="0CF89A36" w14:textId="63E813BD" w:rsidR="00F752F3" w:rsidRPr="00F752F3" w:rsidRDefault="00F752F3" w:rsidP="00F752F3">
      <w:pPr>
        <w:pStyle w:val="ad"/>
        <w:rPr>
          <w:color w:val="000000" w:themeColor="text1"/>
          <w:szCs w:val="18"/>
          <w:lang w:val="en-US"/>
        </w:rPr>
      </w:pPr>
      <w:r w:rsidRPr="0018338F">
        <w:rPr>
          <w:color w:val="000000" w:themeColor="text1"/>
          <w:szCs w:val="18"/>
          <w:lang w:val="en-US"/>
        </w:rPr>
        <w:tab/>
      </w:r>
      <w:r w:rsidRPr="00056ED7">
        <w:rPr>
          <w:rStyle w:val="aa"/>
          <w:szCs w:val="18"/>
        </w:rPr>
        <w:footnoteRef/>
      </w:r>
      <w:r w:rsidRPr="00D60EFE">
        <w:rPr>
          <w:lang w:val="en-US"/>
        </w:rPr>
        <w:tab/>
      </w:r>
      <w:r w:rsidR="0018338F">
        <w:t>См</w:t>
      </w:r>
      <w:r w:rsidR="0018338F" w:rsidRPr="0018338F">
        <w:rPr>
          <w:lang w:val="en-US"/>
        </w:rPr>
        <w:t xml:space="preserve">. </w:t>
      </w:r>
      <w:r w:rsidRPr="00D60EFE">
        <w:rPr>
          <w:lang w:val="en-US"/>
        </w:rPr>
        <w:t xml:space="preserve">URL: </w:t>
      </w:r>
      <w:r w:rsidR="00E66900">
        <w:fldChar w:fldCharType="begin"/>
      </w:r>
      <w:r w:rsidR="00E66900" w:rsidRPr="00956DCB">
        <w:rPr>
          <w:lang w:val="en-US"/>
        </w:rPr>
        <w:instrText>HYPERLINK "https://www.ohchr.org/en/treaty-bodies/spt/regional-teams"</w:instrText>
      </w:r>
      <w:r w:rsidR="00E66900">
        <w:fldChar w:fldCharType="separate"/>
      </w:r>
      <w:r w:rsidR="007C3A1A" w:rsidRPr="00A114F7">
        <w:rPr>
          <w:rStyle w:val="af1"/>
          <w:lang w:val="en-US"/>
        </w:rPr>
        <w:t>https://www.ohchr.org/en/treaty-bodies/spt/regional-teams</w:t>
      </w:r>
      <w:r w:rsidR="00E66900">
        <w:rPr>
          <w:rStyle w:val="af1"/>
          <w:lang w:val="en-US"/>
        </w:rPr>
        <w:fldChar w:fldCharType="end"/>
      </w:r>
      <w:r w:rsidRPr="00D60EFE">
        <w:rPr>
          <w:lang w:val="en-US"/>
        </w:rPr>
        <w:t>.</w:t>
      </w:r>
    </w:p>
  </w:footnote>
  <w:footnote w:id="8">
    <w:p w14:paraId="3840AF3B" w14:textId="7FAC7153" w:rsidR="00F752F3" w:rsidRPr="00F752F3" w:rsidRDefault="00F752F3" w:rsidP="00F752F3">
      <w:pPr>
        <w:pStyle w:val="ad"/>
        <w:rPr>
          <w:szCs w:val="18"/>
          <w:lang w:val="en-US"/>
        </w:rPr>
      </w:pPr>
      <w:r w:rsidRPr="00D60EFE">
        <w:rPr>
          <w:color w:val="000000" w:themeColor="text1"/>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"https://www.ohchr.org/en/treaty-bodies/spt/visits"</w:instrText>
      </w:r>
      <w:r w:rsidR="00E66900">
        <w:fldChar w:fldCharType="separate"/>
      </w:r>
      <w:r w:rsidR="007C3A1A" w:rsidRPr="00A114F7">
        <w:rPr>
          <w:rStyle w:val="af1"/>
          <w:lang w:val="en-US"/>
        </w:rPr>
        <w:t>https://www.ohchr.org/en/treaty-bodies/spt/visits</w:t>
      </w:r>
      <w:r w:rsidR="00E66900">
        <w:rPr>
          <w:rStyle w:val="af1"/>
          <w:lang w:val="en-US"/>
        </w:rPr>
        <w:fldChar w:fldCharType="end"/>
      </w:r>
      <w:r w:rsidRPr="00D60EFE">
        <w:rPr>
          <w:lang w:val="en-US"/>
        </w:rPr>
        <w:t>.</w:t>
      </w:r>
    </w:p>
  </w:footnote>
  <w:footnote w:id="9">
    <w:p w14:paraId="248F4B51" w14:textId="7779A397" w:rsidR="00F752F3" w:rsidRPr="0018338F" w:rsidRDefault="00F752F3" w:rsidP="00F752F3">
      <w:pPr>
        <w:pStyle w:val="ad"/>
        <w:rPr>
          <w:szCs w:val="18"/>
          <w:lang w:val="en-US"/>
        </w:rPr>
      </w:pPr>
      <w:r w:rsidRPr="00D60EFE">
        <w:rPr>
          <w:color w:val="000000"/>
          <w:szCs w:val="18"/>
          <w:lang w:val="en-US"/>
        </w:rPr>
        <w:tab/>
      </w:r>
      <w:r w:rsidRPr="00056ED7">
        <w:rPr>
          <w:rStyle w:val="aa"/>
          <w:szCs w:val="18"/>
        </w:rPr>
        <w:footnoteRef/>
      </w:r>
      <w:r w:rsidRPr="00D60EFE">
        <w:rPr>
          <w:lang w:val="en-US"/>
        </w:rPr>
        <w:tab/>
      </w:r>
      <w:r w:rsidR="0018338F">
        <w:t>См</w:t>
      </w:r>
      <w:r w:rsidR="0018338F" w:rsidRPr="0018338F">
        <w:rPr>
          <w:lang w:val="en-US"/>
        </w:rPr>
        <w:t xml:space="preserve">. </w:t>
      </w:r>
      <w:r w:rsidRPr="00D60EFE">
        <w:rPr>
          <w:lang w:val="en-US"/>
        </w:rPr>
        <w:t xml:space="preserve">URL: </w:t>
      </w:r>
      <w:r w:rsidR="00E66900">
        <w:fldChar w:fldCharType="begin"/>
      </w:r>
      <w:r w:rsidR="00E66900" w:rsidRPr="00956DCB">
        <w:rPr>
          <w:lang w:val="en-US"/>
        </w:rPr>
        <w:instrText>HYPERLINK "https://www.ohchr.org/en/press-releases/2024/03/gabon-little-progress-addressing-overcrowding-and-deplorable-detention"</w:instrText>
      </w:r>
      <w:r w:rsidR="00E66900">
        <w:fldChar w:fldCharType="separate"/>
      </w:r>
      <w:r w:rsidR="007C3A1A" w:rsidRPr="00A114F7">
        <w:rPr>
          <w:rStyle w:val="af1"/>
          <w:lang w:val="en-US"/>
        </w:rPr>
        <w:t>https://www.ohchr.org/en/press-releases/2024/03/gabon-little-progress-addressing-overcrowding-and-deplorable-detention</w:t>
      </w:r>
      <w:r w:rsidR="00E66900">
        <w:rPr>
          <w:rStyle w:val="af1"/>
          <w:lang w:val="en-US"/>
        </w:rPr>
        <w:fldChar w:fldCharType="end"/>
      </w:r>
      <w:r w:rsidRPr="00D60EFE">
        <w:rPr>
          <w:lang w:val="en-US"/>
        </w:rPr>
        <w:t>.</w:t>
      </w:r>
    </w:p>
  </w:footnote>
  <w:footnote w:id="10">
    <w:p w14:paraId="284936F2" w14:textId="15E3E828"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"https://www.ohchr.org/en/press-releases/2024/04/albania-high-number-pre-trial-detainees-access-healthcare-matters-concern-un"</w:instrText>
      </w:r>
      <w:r w:rsidR="00E66900">
        <w:fldChar w:fldCharType="separate"/>
      </w:r>
      <w:r w:rsidR="007C3A1A" w:rsidRPr="00A114F7">
        <w:rPr>
          <w:rStyle w:val="af1"/>
          <w:lang w:val="en-US"/>
        </w:rPr>
        <w:t>https://www.ohchr.org/en/press-releases/2024/04/albania-high-number-pre-trial-detainees-access-healthcare-matters-concern-un</w:t>
      </w:r>
      <w:r w:rsidR="00E66900">
        <w:rPr>
          <w:rStyle w:val="af1"/>
          <w:lang w:val="en-US"/>
        </w:rPr>
        <w:fldChar w:fldCharType="end"/>
      </w:r>
      <w:r w:rsidRPr="00D60EFE">
        <w:rPr>
          <w:lang w:val="en-US"/>
        </w:rPr>
        <w:t>.</w:t>
      </w:r>
    </w:p>
  </w:footnote>
  <w:footnote w:id="11">
    <w:p w14:paraId="1BCDB78F" w14:textId="3F5CB015"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18338F">
        <w:t>См</w:t>
      </w:r>
      <w:r w:rsidR="0018338F" w:rsidRPr="0018338F">
        <w:rPr>
          <w:lang w:val="en-US"/>
        </w:rPr>
        <w:t xml:space="preserve">. </w:t>
      </w:r>
      <w:r w:rsidRPr="00D60EFE">
        <w:rPr>
          <w:lang w:val="en-US"/>
        </w:rPr>
        <w:t xml:space="preserve">URL: </w:t>
      </w:r>
      <w:r w:rsidR="00E66900">
        <w:fldChar w:fldCharType="begin"/>
      </w:r>
      <w:r w:rsidR="00E66900" w:rsidRPr="00956DCB">
        <w:rPr>
          <w:lang w:val="en-US"/>
        </w:rPr>
        <w:instrText>HYPERLINK "https://www.ohchr.org/en/press-releases/2024/04/honduras-militarisation-prisons-and-detention-conditions-raise-concerns-un"</w:instrText>
      </w:r>
      <w:r w:rsidR="00E66900">
        <w:fldChar w:fldCharType="separate"/>
      </w:r>
      <w:r w:rsidR="007C3A1A" w:rsidRPr="00A114F7">
        <w:rPr>
          <w:rStyle w:val="af1"/>
          <w:lang w:val="en-US"/>
        </w:rPr>
        <w:t>https://www.ohchr.org/en/press-releases/2024/04/honduras-militarisation-prisons-and-detention-conditions-raise-concerns-un</w:t>
      </w:r>
      <w:r w:rsidR="00E66900">
        <w:rPr>
          <w:rStyle w:val="af1"/>
          <w:lang w:val="en-US"/>
        </w:rPr>
        <w:fldChar w:fldCharType="end"/>
      </w:r>
      <w:r w:rsidRPr="00D60EFE">
        <w:rPr>
          <w:lang w:val="en-US"/>
        </w:rPr>
        <w:t>.</w:t>
      </w:r>
    </w:p>
  </w:footnote>
  <w:footnote w:id="12">
    <w:p w14:paraId="3E07B407" w14:textId="4A98C51B"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"https://www.ohchr.org/en/press-releases/2024/05/mongolia-paradigm-shift-towards-rehabilitative-approach-needed-effective"</w:instrText>
      </w:r>
      <w:r w:rsidR="00E66900">
        <w:fldChar w:fldCharType="separate"/>
      </w:r>
      <w:r w:rsidR="007C3A1A" w:rsidRPr="00A114F7">
        <w:rPr>
          <w:rStyle w:val="af1"/>
          <w:lang w:val="en-US"/>
        </w:rPr>
        <w:t>https://www.ohchr.org/en/press-releases/2024/05/mongolia-paradigm-shift-towards-rehabilitative-approach-needed-effective</w:t>
      </w:r>
      <w:r w:rsidR="00E66900">
        <w:rPr>
          <w:rStyle w:val="af1"/>
          <w:lang w:val="en-US"/>
        </w:rPr>
        <w:fldChar w:fldCharType="end"/>
      </w:r>
      <w:r w:rsidRPr="00D60EFE">
        <w:rPr>
          <w:lang w:val="en-US"/>
        </w:rPr>
        <w:t>.</w:t>
      </w:r>
    </w:p>
  </w:footnote>
  <w:footnote w:id="13">
    <w:p w14:paraId="48924A88" w14:textId="31BC5BEA"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18338F">
        <w:t>См</w:t>
      </w:r>
      <w:r w:rsidR="0018338F" w:rsidRPr="0018338F">
        <w:rPr>
          <w:lang w:val="en-US"/>
        </w:rPr>
        <w:t xml:space="preserve">. </w:t>
      </w:r>
      <w:r w:rsidRPr="00D60EFE">
        <w:rPr>
          <w:lang w:val="en-US"/>
        </w:rPr>
        <w:t xml:space="preserve">URL: </w:t>
      </w:r>
      <w:r w:rsidR="00E66900">
        <w:fldChar w:fldCharType="begin"/>
      </w:r>
      <w:r w:rsidR="00E66900" w:rsidRPr="00956DCB">
        <w:rPr>
          <w:lang w:val="en-US"/>
        </w:rPr>
        <w:instrText>HYPERLINK "https://www.ohchr.org/en/press-releases/2024/09/nigeria-urgent-measures-needed-end-torture-and-ill-treatment-say-experts"</w:instrText>
      </w:r>
      <w:r w:rsidR="00E66900">
        <w:fldChar w:fldCharType="separate"/>
      </w:r>
      <w:r w:rsidR="007C3A1A" w:rsidRPr="00A114F7">
        <w:rPr>
          <w:rStyle w:val="af1"/>
          <w:lang w:val="en-US"/>
        </w:rPr>
        <w:t>https://www.ohchr.org/en/press-releases/2024/09/nigeria-urgent-measures-needed-end-torture-and-ill-treatment-say-experts</w:t>
      </w:r>
      <w:r w:rsidR="00E66900">
        <w:rPr>
          <w:rStyle w:val="af1"/>
          <w:lang w:val="en-US"/>
        </w:rPr>
        <w:fldChar w:fldCharType="end"/>
      </w:r>
      <w:r w:rsidRPr="00D60EFE">
        <w:rPr>
          <w:lang w:val="en-US"/>
        </w:rPr>
        <w:t>.</w:t>
      </w:r>
    </w:p>
  </w:footnote>
  <w:footnote w:id="14">
    <w:p w14:paraId="2F422304" w14:textId="4021200C"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"https://www.ohchr.org/en/press-releases/2024/10/greece-needs-strengthen-effective-torture-prevention-measures-un-torture"</w:instrText>
      </w:r>
      <w:r w:rsidR="00E66900">
        <w:fldChar w:fldCharType="separate"/>
      </w:r>
      <w:r w:rsidR="007C3A1A" w:rsidRPr="00A114F7">
        <w:rPr>
          <w:rStyle w:val="af1"/>
          <w:lang w:val="en-US"/>
        </w:rPr>
        <w:t>https://www.ohchr.org/en/press-releases/2024/10/greece-needs-strengthen-effective-torture-prevention-measures-un-torture</w:t>
      </w:r>
      <w:r w:rsidR="00E66900">
        <w:rPr>
          <w:rStyle w:val="af1"/>
          <w:lang w:val="en-US"/>
        </w:rPr>
        <w:fldChar w:fldCharType="end"/>
      </w:r>
      <w:r w:rsidRPr="00D60EFE">
        <w:rPr>
          <w:lang w:val="en-US"/>
        </w:rPr>
        <w:t>.</w:t>
      </w:r>
    </w:p>
  </w:footnote>
  <w:footnote w:id="15">
    <w:p w14:paraId="1746219A" w14:textId="72728865" w:rsidR="00F752F3" w:rsidRPr="00F752F3" w:rsidRDefault="00F752F3" w:rsidP="00F752F3">
      <w:pPr>
        <w:pStyle w:val="ad"/>
        <w:rPr>
          <w:szCs w:val="18"/>
          <w:lang w:val="en-US"/>
        </w:rPr>
      </w:pPr>
      <w:r w:rsidRPr="00D60EFE">
        <w:rPr>
          <w:color w:val="000000"/>
          <w:szCs w:val="18"/>
          <w:lang w:val="en-US"/>
        </w:rPr>
        <w:tab/>
      </w:r>
      <w:r w:rsidRPr="00056ED7">
        <w:rPr>
          <w:rStyle w:val="aa"/>
          <w:szCs w:val="18"/>
        </w:rPr>
        <w:footnoteRef/>
      </w:r>
      <w:r w:rsidRPr="00D60EFE">
        <w:rPr>
          <w:lang w:val="en-US"/>
        </w:rPr>
        <w:tab/>
      </w:r>
      <w:r w:rsidR="0018338F">
        <w:t>См</w:t>
      </w:r>
      <w:r w:rsidR="0018338F" w:rsidRPr="0018338F">
        <w:rPr>
          <w:lang w:val="en-US"/>
        </w:rPr>
        <w:t xml:space="preserve">. </w:t>
      </w:r>
      <w:r w:rsidRPr="00D60EFE">
        <w:rPr>
          <w:lang w:val="en-US"/>
        </w:rPr>
        <w:t xml:space="preserve">URL: </w:t>
      </w:r>
      <w:r w:rsidR="00E66900">
        <w:fldChar w:fldCharType="begin"/>
      </w:r>
      <w:r w:rsidR="00E66900" w:rsidRPr="00956DCB">
        <w:rPr>
          <w:lang w:val="en-US"/>
        </w:rPr>
        <w:instrText>HYPERLINK "https://www.ohchr.org/en/press-releases/2024/12/drc-torture-prevention-mechanism-urgently-needed-amid-inhuman-prison"</w:instrText>
      </w:r>
      <w:r w:rsidR="00E66900">
        <w:fldChar w:fldCharType="separate"/>
      </w:r>
      <w:r w:rsidR="007C3A1A" w:rsidRPr="00A114F7">
        <w:rPr>
          <w:rStyle w:val="af1"/>
          <w:lang w:val="en-US"/>
        </w:rPr>
        <w:t>https://www.ohchr.org/en/press-releases/2024/12/drc-torture-prevention-mechanism-urgently-needed-amid-inhuman-prison</w:t>
      </w:r>
      <w:r w:rsidR="00E66900">
        <w:rPr>
          <w:rStyle w:val="af1"/>
          <w:lang w:val="en-US"/>
        </w:rPr>
        <w:fldChar w:fldCharType="end"/>
      </w:r>
      <w:r w:rsidRPr="00D60EFE">
        <w:rPr>
          <w:lang w:val="en-US"/>
        </w:rPr>
        <w:t>.</w:t>
      </w:r>
    </w:p>
  </w:footnote>
  <w:footnote w:id="16">
    <w:p w14:paraId="7883DFEB" w14:textId="472C412D" w:rsidR="00F752F3" w:rsidRPr="00F752F3" w:rsidRDefault="00F752F3" w:rsidP="00F752F3">
      <w:pPr>
        <w:pStyle w:val="ad"/>
        <w:rPr>
          <w:color w:val="000000"/>
          <w:szCs w:val="18"/>
          <w:lang w:val="en-US"/>
        </w:rPr>
      </w:pPr>
      <w:r w:rsidRPr="00D60EFE">
        <w:rPr>
          <w:color w:val="000000"/>
          <w:szCs w:val="18"/>
          <w:lang w:val="en-US"/>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"https://www.ohchr.org/en/press-releases/2024/12/bolivia-despite-progress-tackling-overcrowding-prisons-remains-pressing"</w:instrText>
      </w:r>
      <w:r w:rsidR="00E66900">
        <w:fldChar w:fldCharType="separate"/>
      </w:r>
      <w:r w:rsidR="007C3A1A" w:rsidRPr="00A114F7">
        <w:rPr>
          <w:rStyle w:val="af1"/>
          <w:lang w:val="en-US"/>
        </w:rPr>
        <w:t>https://www.ohchr.org/en/press-releases/2024/12/bolivia-despite-progress-tackling-overcrowding-prisons-remains-pressing</w:t>
      </w:r>
      <w:r w:rsidR="00E66900">
        <w:rPr>
          <w:rStyle w:val="af1"/>
          <w:lang w:val="en-US"/>
        </w:rPr>
        <w:fldChar w:fldCharType="end"/>
      </w:r>
      <w:r w:rsidRPr="00D60EFE">
        <w:rPr>
          <w:lang w:val="en-US"/>
        </w:rPr>
        <w:t>.</w:t>
      </w:r>
    </w:p>
  </w:footnote>
  <w:footnote w:id="17">
    <w:p w14:paraId="76322571" w14:textId="353B89D1" w:rsidR="00F752F3" w:rsidRPr="00D60EFE" w:rsidRDefault="00F752F3" w:rsidP="00F752F3">
      <w:pPr>
        <w:pStyle w:val="ad"/>
        <w:rPr>
          <w:szCs w:val="18"/>
        </w:rPr>
      </w:pPr>
      <w:r w:rsidRPr="00D60EFE">
        <w:rPr>
          <w:szCs w:val="18"/>
          <w:lang w:val="en-US"/>
        </w:rPr>
        <w:tab/>
      </w:r>
      <w:r w:rsidRPr="00056ED7">
        <w:rPr>
          <w:rStyle w:val="aa"/>
          <w:szCs w:val="18"/>
        </w:rPr>
        <w:footnoteRef/>
      </w:r>
      <w:r>
        <w:tab/>
        <w:t xml:space="preserve">Данные, касающееся докладов о посещениях, в том числе тех, которые были опубликованы, размещены по адресу: </w:t>
      </w:r>
      <w:hyperlink r:id="rId2" w:history="1">
        <w:r w:rsidR="007C3A1A" w:rsidRPr="00A114F7">
          <w:rPr>
            <w:rStyle w:val="af1"/>
          </w:rPr>
          <w:t>https://tbinternet.ohchr.org/_layouts/15/TreatyBodyExternal/CountryVisits.aspx</w:t>
        </w:r>
      </w:hyperlink>
      <w:r>
        <w:t>.</w:t>
      </w:r>
    </w:p>
  </w:footnote>
  <w:footnote w:id="18">
    <w:p w14:paraId="7CD34F9E" w14:textId="31FE5649" w:rsidR="00F752F3" w:rsidRPr="00F752F3" w:rsidRDefault="00F752F3" w:rsidP="00F752F3">
      <w:pPr>
        <w:pStyle w:val="ad"/>
        <w:rPr>
          <w:szCs w:val="18"/>
          <w:lang w:val="en-US"/>
        </w:rPr>
      </w:pPr>
      <w:r w:rsidRPr="00056ED7">
        <w:rPr>
          <w:color w:val="000000" w:themeColor="text1"/>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"http://undocs.org/en/CAT/OP/BIH/ROSP/1"</w:instrText>
      </w:r>
      <w:r w:rsidR="00E66900">
        <w:fldChar w:fldCharType="separate"/>
      </w:r>
      <w:r w:rsidRPr="009F6458">
        <w:rPr>
          <w:rStyle w:val="af1"/>
          <w:lang w:val="en-US"/>
        </w:rPr>
        <w:t>CAT/OP/BIH/ROSP/1</w:t>
      </w:r>
      <w:r w:rsidR="00E66900">
        <w:rPr>
          <w:rStyle w:val="af1"/>
          <w:lang w:val="en-US"/>
        </w:rPr>
        <w:fldChar w:fldCharType="end"/>
      </w:r>
      <w:r w:rsidRPr="00D60EFE">
        <w:rPr>
          <w:lang w:val="en-US"/>
        </w:rPr>
        <w:t xml:space="preserve">, </w:t>
      </w:r>
      <w:hyperlink r:id="rId3" w:history="1">
        <w:r w:rsidRPr="009F6458">
          <w:rPr>
            <w:rStyle w:val="af1"/>
            <w:lang w:val="en-US"/>
          </w:rPr>
          <w:t>CAT/OP/GEO/ROSP/1</w:t>
        </w:r>
      </w:hyperlink>
      <w:r w:rsidRPr="00D60EFE">
        <w:rPr>
          <w:lang w:val="en-US"/>
        </w:rPr>
        <w:t xml:space="preserve"> </w:t>
      </w:r>
      <w:r>
        <w:t>и</w:t>
      </w:r>
      <w:r w:rsidRPr="00D60EFE">
        <w:rPr>
          <w:lang w:val="en-US"/>
        </w:rPr>
        <w:t xml:space="preserve"> </w:t>
      </w:r>
      <w:hyperlink r:id="rId4" w:history="1">
        <w:r w:rsidRPr="009F6458">
          <w:rPr>
            <w:rStyle w:val="af1"/>
            <w:lang w:val="en-US"/>
          </w:rPr>
          <w:t>CAT/OP/GTM/ROSP/1</w:t>
        </w:r>
      </w:hyperlink>
      <w:r w:rsidRPr="00D60EFE">
        <w:rPr>
          <w:lang w:val="en-US"/>
        </w:rPr>
        <w:t>.</w:t>
      </w:r>
    </w:p>
  </w:footnote>
  <w:footnote w:id="19">
    <w:p w14:paraId="51A24C12" w14:textId="2C3F4258"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F27778">
        <w:t>См</w:t>
      </w:r>
      <w:r w:rsidR="00F27778" w:rsidRPr="00F27778">
        <w:rPr>
          <w:lang w:val="en-US"/>
        </w:rPr>
        <w:t xml:space="preserve">. </w:t>
      </w:r>
      <w:r w:rsidRPr="00D60EFE">
        <w:rPr>
          <w:lang w:val="en-US"/>
        </w:rPr>
        <w:t xml:space="preserve">URL: </w:t>
      </w:r>
      <w:r w:rsidR="00E66900">
        <w:fldChar w:fldCharType="begin"/>
      </w:r>
      <w:r w:rsidR="00E66900" w:rsidRPr="00956DCB">
        <w:rPr>
          <w:lang w:val="en-US"/>
        </w:rPr>
        <w:instrText>HYPERLINK "https://www.ohchr.org/en/treaty-bodies/spt/non-compliance-article-17"</w:instrText>
      </w:r>
      <w:r w:rsidR="00E66900">
        <w:fldChar w:fldCharType="separate"/>
      </w:r>
      <w:r w:rsidR="00F27778" w:rsidRPr="00A114F7">
        <w:rPr>
          <w:rStyle w:val="af1"/>
          <w:lang w:val="en-US"/>
        </w:rPr>
        <w:t>https://www.ohchr.org/en/treaty-bodies/spt/non-compliance-article-17</w:t>
      </w:r>
      <w:r w:rsidR="00E66900">
        <w:rPr>
          <w:rStyle w:val="af1"/>
          <w:lang w:val="en-US"/>
        </w:rPr>
        <w:fldChar w:fldCharType="end"/>
      </w:r>
      <w:r w:rsidR="00F27778">
        <w:rPr>
          <w:lang w:val="en-US"/>
        </w:rPr>
        <w:t>.</w:t>
      </w:r>
    </w:p>
  </w:footnote>
  <w:footnote w:id="20">
    <w:p w14:paraId="5A4D2920" w14:textId="5CDBA13F"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t>См</w:t>
      </w:r>
      <w:r w:rsidRPr="00D60EFE">
        <w:rPr>
          <w:lang w:val="en-US"/>
        </w:rPr>
        <w:t xml:space="preserve">., </w:t>
      </w:r>
      <w:r>
        <w:t>например</w:t>
      </w:r>
      <w:r w:rsidRPr="00D60EFE">
        <w:rPr>
          <w:lang w:val="en-US"/>
        </w:rPr>
        <w:t xml:space="preserve">, </w:t>
      </w:r>
      <w:r w:rsidR="00E66900">
        <w:fldChar w:fldCharType="begin"/>
      </w:r>
      <w:r w:rsidR="00E66900" w:rsidRPr="00956DCB">
        <w:rPr>
          <w:lang w:val="en-US"/>
        </w:rPr>
        <w:instrText>HYPERLINK "http://undocs.org/ru/A/HRC/39/39"</w:instrText>
      </w:r>
      <w:r w:rsidR="00E66900">
        <w:fldChar w:fldCharType="separate"/>
      </w:r>
      <w:r w:rsidRPr="009F6458">
        <w:rPr>
          <w:rStyle w:val="af1"/>
          <w:lang w:val="en-US"/>
        </w:rPr>
        <w:t>A/HRC/39/39</w:t>
      </w:r>
      <w:r w:rsidR="00E66900">
        <w:rPr>
          <w:rStyle w:val="af1"/>
          <w:lang w:val="en-US"/>
        </w:rPr>
        <w:fldChar w:fldCharType="end"/>
      </w:r>
      <w:r w:rsidRPr="00D60EFE">
        <w:rPr>
          <w:lang w:val="en-US"/>
        </w:rPr>
        <w:t xml:space="preserve">, </w:t>
      </w:r>
      <w:hyperlink r:id="rId5" w:history="1">
        <w:r w:rsidRPr="009F6458">
          <w:rPr>
            <w:rStyle w:val="af1"/>
            <w:lang w:val="en-US"/>
          </w:rPr>
          <w:t>A/HRC/47/40</w:t>
        </w:r>
      </w:hyperlink>
      <w:r w:rsidRPr="00D60EFE">
        <w:rPr>
          <w:lang w:val="en-US"/>
        </w:rPr>
        <w:t xml:space="preserve">, </w:t>
      </w:r>
      <w:hyperlink r:id="rId6" w:history="1">
        <w:r w:rsidRPr="009F6458">
          <w:rPr>
            <w:rStyle w:val="af1"/>
            <w:lang w:val="en-US"/>
          </w:rPr>
          <w:t>A/HRC/54/53</w:t>
        </w:r>
      </w:hyperlink>
      <w:r w:rsidRPr="00D60EFE">
        <w:rPr>
          <w:lang w:val="en-US"/>
        </w:rPr>
        <w:t xml:space="preserve"> </w:t>
      </w:r>
      <w:r>
        <w:t>и</w:t>
      </w:r>
      <w:r w:rsidRPr="00D60EFE">
        <w:rPr>
          <w:lang w:val="en-US"/>
        </w:rPr>
        <w:t xml:space="preserve"> </w:t>
      </w:r>
      <w:hyperlink r:id="rId7" w:history="1">
        <w:r w:rsidRPr="009F6458">
          <w:rPr>
            <w:rStyle w:val="af1"/>
            <w:lang w:val="en-US"/>
          </w:rPr>
          <w:t>A/HRC/56/52</w:t>
        </w:r>
      </w:hyperlink>
      <w:r w:rsidRPr="00D60EFE">
        <w:rPr>
          <w:lang w:val="en-US"/>
        </w:rPr>
        <w:t>.</w:t>
      </w:r>
    </w:p>
  </w:footnote>
  <w:footnote w:id="21">
    <w:p w14:paraId="5D2FA19E" w14:textId="78516522"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"http://undocs.org/ru/CAT/OP/MDV/1"</w:instrText>
      </w:r>
      <w:r w:rsidR="00E66900">
        <w:fldChar w:fldCharType="separate"/>
      </w:r>
      <w:r w:rsidRPr="009F6458">
        <w:rPr>
          <w:rStyle w:val="af1"/>
          <w:lang w:val="en-US"/>
        </w:rPr>
        <w:t>CAT/OP/MDV/1</w:t>
      </w:r>
      <w:r w:rsidR="00E66900">
        <w:rPr>
          <w:rStyle w:val="af1"/>
          <w:lang w:val="en-US"/>
        </w:rPr>
        <w:fldChar w:fldCharType="end"/>
      </w:r>
      <w:r w:rsidRPr="00D60EFE">
        <w:rPr>
          <w:lang w:val="en-US"/>
        </w:rPr>
        <w:t xml:space="preserve">, </w:t>
      </w:r>
      <w:r>
        <w:t>п</w:t>
      </w:r>
      <w:r w:rsidRPr="00D60EFE">
        <w:rPr>
          <w:lang w:val="en-US"/>
        </w:rPr>
        <w:t xml:space="preserve">. 181; </w:t>
      </w:r>
      <w:hyperlink r:id="rId8" w:history="1">
        <w:r w:rsidRPr="009F6458">
          <w:rPr>
            <w:rStyle w:val="af1"/>
            <w:lang w:val="en-US"/>
          </w:rPr>
          <w:t>CAT/OP/ROU/1</w:t>
        </w:r>
      </w:hyperlink>
      <w:r w:rsidRPr="00D60EFE">
        <w:rPr>
          <w:lang w:val="en-US"/>
        </w:rPr>
        <w:t xml:space="preserve">, </w:t>
      </w:r>
      <w:r>
        <w:t>п</w:t>
      </w:r>
      <w:r w:rsidRPr="00D60EFE">
        <w:rPr>
          <w:lang w:val="en-US"/>
        </w:rPr>
        <w:t xml:space="preserve">. 67; </w:t>
      </w:r>
      <w:hyperlink r:id="rId9" w:history="1">
        <w:r w:rsidRPr="009F6458">
          <w:rPr>
            <w:rStyle w:val="af1"/>
            <w:lang w:val="en-US"/>
          </w:rPr>
          <w:t>CAT/OP/MDV/ROSP/2</w:t>
        </w:r>
      </w:hyperlink>
      <w:r w:rsidRPr="00D60EFE">
        <w:rPr>
          <w:lang w:val="en-US"/>
        </w:rPr>
        <w:t xml:space="preserve">, </w:t>
      </w:r>
      <w:r>
        <w:t>п</w:t>
      </w:r>
      <w:r w:rsidRPr="00D60EFE">
        <w:rPr>
          <w:lang w:val="en-US"/>
        </w:rPr>
        <w:t>. 63;</w:t>
      </w:r>
      <w:r w:rsidR="007C3A1A">
        <w:rPr>
          <w:lang w:val="en-US"/>
        </w:rPr>
        <w:br/>
      </w:r>
      <w:hyperlink r:id="rId10" w:history="1">
        <w:r w:rsidRPr="009F6458">
          <w:rPr>
            <w:rStyle w:val="af1"/>
            <w:lang w:val="en-US"/>
          </w:rPr>
          <w:t>CAT/OP/UKR/1</w:t>
        </w:r>
      </w:hyperlink>
      <w:r w:rsidRPr="00D60EFE">
        <w:rPr>
          <w:lang w:val="en-US"/>
        </w:rPr>
        <w:t xml:space="preserve">, </w:t>
      </w:r>
      <w:r>
        <w:t>п</w:t>
      </w:r>
      <w:r w:rsidRPr="00D60EFE">
        <w:rPr>
          <w:lang w:val="en-US"/>
        </w:rPr>
        <w:t>. 84.</w:t>
      </w:r>
    </w:p>
  </w:footnote>
  <w:footnote w:id="22">
    <w:p w14:paraId="075800F2" w14:textId="72B4CED6"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"http://undocs.org/en/CAT/OP/GAB/1"</w:instrText>
      </w:r>
      <w:r w:rsidR="00E66900">
        <w:fldChar w:fldCharType="separate"/>
      </w:r>
      <w:r w:rsidRPr="009F6458">
        <w:rPr>
          <w:rStyle w:val="af1"/>
          <w:lang w:val="en-US"/>
        </w:rPr>
        <w:t>CAT/OP/GAB/1</w:t>
      </w:r>
      <w:r w:rsidR="00E66900">
        <w:rPr>
          <w:rStyle w:val="af1"/>
          <w:lang w:val="en-US"/>
        </w:rPr>
        <w:fldChar w:fldCharType="end"/>
      </w:r>
      <w:r w:rsidRPr="00D60EFE">
        <w:rPr>
          <w:lang w:val="en-US"/>
        </w:rPr>
        <w:t xml:space="preserve">, </w:t>
      </w:r>
      <w:r>
        <w:t>п</w:t>
      </w:r>
      <w:r w:rsidRPr="00D60EFE">
        <w:rPr>
          <w:lang w:val="en-US"/>
        </w:rPr>
        <w:t xml:space="preserve">. 90; </w:t>
      </w:r>
      <w:hyperlink r:id="rId11" w:history="1">
        <w:r w:rsidRPr="009F6458">
          <w:rPr>
            <w:rStyle w:val="af1"/>
            <w:lang w:val="en-US"/>
          </w:rPr>
          <w:t>CAT/OP/PRY/1</w:t>
        </w:r>
      </w:hyperlink>
      <w:r w:rsidRPr="00D60EFE">
        <w:rPr>
          <w:lang w:val="en-US"/>
        </w:rPr>
        <w:t xml:space="preserve">, </w:t>
      </w:r>
      <w:r>
        <w:t>п</w:t>
      </w:r>
      <w:r w:rsidRPr="00D60EFE">
        <w:rPr>
          <w:lang w:val="en-US"/>
        </w:rPr>
        <w:t xml:space="preserve">. 167; </w:t>
      </w:r>
      <w:hyperlink r:id="rId12" w:history="1">
        <w:r w:rsidRPr="009F6458">
          <w:rPr>
            <w:rStyle w:val="af1"/>
            <w:lang w:val="en-US"/>
          </w:rPr>
          <w:t>CAT/OP/PRY/2</w:t>
        </w:r>
      </w:hyperlink>
      <w:r w:rsidRPr="00D60EFE">
        <w:rPr>
          <w:lang w:val="en-US"/>
        </w:rPr>
        <w:t xml:space="preserve">, </w:t>
      </w:r>
      <w:r>
        <w:t>п</w:t>
      </w:r>
      <w:r w:rsidRPr="00D60EFE">
        <w:rPr>
          <w:lang w:val="en-US"/>
        </w:rPr>
        <w:t xml:space="preserve">. 67; </w:t>
      </w:r>
      <w:hyperlink r:id="rId13" w:history="1">
        <w:r w:rsidRPr="009F6458">
          <w:rPr>
            <w:rStyle w:val="af1"/>
            <w:lang w:val="en-US"/>
          </w:rPr>
          <w:t>CAT/OP/UKR/1</w:t>
        </w:r>
      </w:hyperlink>
      <w:r w:rsidRPr="00D60EFE">
        <w:rPr>
          <w:lang w:val="en-US"/>
        </w:rPr>
        <w:t xml:space="preserve">, </w:t>
      </w:r>
      <w:r>
        <w:t>п</w:t>
      </w:r>
      <w:r w:rsidRPr="00D60EFE">
        <w:rPr>
          <w:lang w:val="en-US"/>
        </w:rPr>
        <w:t xml:space="preserve">. 85. </w:t>
      </w:r>
    </w:p>
  </w:footnote>
  <w:footnote w:id="23">
    <w:p w14:paraId="5628EF85" w14:textId="1D6FDC2F"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"http://undocs.org/en/CAT/OP/MNG/1"</w:instrText>
      </w:r>
      <w:r w:rsidR="00E66900">
        <w:fldChar w:fldCharType="separate"/>
      </w:r>
      <w:r w:rsidRPr="009F6458">
        <w:rPr>
          <w:rStyle w:val="af1"/>
          <w:lang w:val="en-US"/>
        </w:rPr>
        <w:t>CAT/OP/MNG/1</w:t>
      </w:r>
      <w:r w:rsidR="00E66900">
        <w:rPr>
          <w:rStyle w:val="af1"/>
          <w:lang w:val="en-US"/>
        </w:rPr>
        <w:fldChar w:fldCharType="end"/>
      </w:r>
      <w:r w:rsidRPr="00D60EFE">
        <w:rPr>
          <w:lang w:val="en-US"/>
        </w:rPr>
        <w:t xml:space="preserve">, </w:t>
      </w:r>
      <w:r>
        <w:t>п</w:t>
      </w:r>
      <w:r w:rsidRPr="00D60EFE">
        <w:rPr>
          <w:lang w:val="en-US"/>
        </w:rPr>
        <w:t>. 90.</w:t>
      </w:r>
    </w:p>
  </w:footnote>
  <w:footnote w:id="24">
    <w:p w14:paraId="7B79B693" w14:textId="73683F34"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"http://undocs.org/en/CAT/OP/MKD/1"</w:instrText>
      </w:r>
      <w:r w:rsidR="00E66900">
        <w:fldChar w:fldCharType="separate"/>
      </w:r>
      <w:r w:rsidRPr="009F6458">
        <w:rPr>
          <w:rStyle w:val="af1"/>
          <w:lang w:val="en-US"/>
        </w:rPr>
        <w:t>CAT/OP/MKD/1</w:t>
      </w:r>
      <w:r w:rsidR="00E66900">
        <w:rPr>
          <w:rStyle w:val="af1"/>
          <w:lang w:val="en-US"/>
        </w:rPr>
        <w:fldChar w:fldCharType="end"/>
      </w:r>
      <w:r w:rsidRPr="00D60EFE">
        <w:rPr>
          <w:lang w:val="en-US"/>
        </w:rPr>
        <w:t xml:space="preserve">, </w:t>
      </w:r>
      <w:r>
        <w:t>п</w:t>
      </w:r>
      <w:r w:rsidRPr="00D60EFE">
        <w:rPr>
          <w:lang w:val="en-US"/>
        </w:rPr>
        <w:t>. 28.</w:t>
      </w:r>
    </w:p>
  </w:footnote>
  <w:footnote w:id="25">
    <w:p w14:paraId="075E2FE0" w14:textId="23733F97"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"http://undocs.org/ru/CAT/OP/MDV/1"</w:instrText>
      </w:r>
      <w:r w:rsidR="00E66900">
        <w:fldChar w:fldCharType="separate"/>
      </w:r>
      <w:r w:rsidRPr="009F6458">
        <w:rPr>
          <w:rStyle w:val="af1"/>
          <w:lang w:val="en-US"/>
        </w:rPr>
        <w:t>CAT/OP/MDV/1</w:t>
      </w:r>
      <w:r w:rsidR="00E66900">
        <w:rPr>
          <w:rStyle w:val="af1"/>
          <w:lang w:val="en-US"/>
        </w:rPr>
        <w:fldChar w:fldCharType="end"/>
      </w:r>
      <w:r w:rsidRPr="00D60EFE">
        <w:rPr>
          <w:lang w:val="en-US"/>
        </w:rPr>
        <w:t xml:space="preserve">, </w:t>
      </w:r>
      <w:r>
        <w:t>п</w:t>
      </w:r>
      <w:r w:rsidRPr="00D60EFE">
        <w:rPr>
          <w:lang w:val="en-US"/>
        </w:rPr>
        <w:t xml:space="preserve">. 181; </w:t>
      </w:r>
      <w:hyperlink r:id="rId14" w:history="1">
        <w:r w:rsidRPr="009F6458">
          <w:rPr>
            <w:rStyle w:val="af1"/>
            <w:lang w:val="en-US"/>
          </w:rPr>
          <w:t>CAT/OP/ROU/1</w:t>
        </w:r>
      </w:hyperlink>
      <w:r w:rsidRPr="00D60EFE">
        <w:rPr>
          <w:lang w:val="en-US"/>
        </w:rPr>
        <w:t xml:space="preserve">, </w:t>
      </w:r>
      <w:r>
        <w:t>п</w:t>
      </w:r>
      <w:r w:rsidRPr="00D60EFE">
        <w:rPr>
          <w:lang w:val="en-US"/>
        </w:rPr>
        <w:t xml:space="preserve">. 67; </w:t>
      </w:r>
      <w:hyperlink r:id="rId15" w:history="1">
        <w:r w:rsidRPr="009F6458">
          <w:rPr>
            <w:rStyle w:val="af1"/>
            <w:lang w:val="en-US"/>
          </w:rPr>
          <w:t>CAT/OP/MDV/ROSP/2</w:t>
        </w:r>
      </w:hyperlink>
      <w:r w:rsidRPr="00D60EFE">
        <w:rPr>
          <w:lang w:val="en-US"/>
        </w:rPr>
        <w:t xml:space="preserve">, </w:t>
      </w:r>
      <w:r>
        <w:t>п</w:t>
      </w:r>
      <w:r w:rsidRPr="00D60EFE">
        <w:rPr>
          <w:lang w:val="en-US"/>
        </w:rPr>
        <w:t>. 63;</w:t>
      </w:r>
      <w:r w:rsidR="007C3A1A">
        <w:rPr>
          <w:lang w:val="en-US"/>
        </w:rPr>
        <w:br/>
      </w:r>
      <w:hyperlink r:id="rId16" w:history="1">
        <w:r w:rsidRPr="009F6458">
          <w:rPr>
            <w:rStyle w:val="af1"/>
            <w:lang w:val="en-US"/>
          </w:rPr>
          <w:t>CAT/OP/UKR/1</w:t>
        </w:r>
      </w:hyperlink>
      <w:r w:rsidRPr="00D60EFE">
        <w:rPr>
          <w:lang w:val="en-US"/>
        </w:rPr>
        <w:t xml:space="preserve">, </w:t>
      </w:r>
      <w:r>
        <w:t>п</w:t>
      </w:r>
      <w:r w:rsidRPr="00D60EFE">
        <w:rPr>
          <w:lang w:val="en-US"/>
        </w:rPr>
        <w:t xml:space="preserve">. 84. </w:t>
      </w:r>
    </w:p>
  </w:footnote>
  <w:footnote w:id="26">
    <w:p w14:paraId="435F4B43" w14:textId="24480F07" w:rsidR="00F752F3" w:rsidRPr="00F752F3" w:rsidRDefault="00F752F3" w:rsidP="00F752F3">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"http://undocs.org/en/CAT/OP/MKD/1"</w:instrText>
      </w:r>
      <w:r w:rsidR="00E66900">
        <w:fldChar w:fldCharType="separate"/>
      </w:r>
      <w:r w:rsidR="007C3A1A" w:rsidRPr="009F6458">
        <w:rPr>
          <w:rStyle w:val="af1"/>
          <w:lang w:val="en-US"/>
        </w:rPr>
        <w:t>CAT/OP/MKD/1</w:t>
      </w:r>
      <w:r w:rsidR="00E66900">
        <w:rPr>
          <w:rStyle w:val="af1"/>
          <w:lang w:val="en-US"/>
        </w:rPr>
        <w:fldChar w:fldCharType="end"/>
      </w:r>
      <w:r w:rsidRPr="00D60EFE">
        <w:rPr>
          <w:lang w:val="en-US"/>
        </w:rPr>
        <w:t xml:space="preserve">, </w:t>
      </w:r>
      <w:r>
        <w:t>п</w:t>
      </w:r>
      <w:r w:rsidRPr="00D60EFE">
        <w:rPr>
          <w:lang w:val="en-US"/>
        </w:rPr>
        <w:t>. 28.</w:t>
      </w:r>
    </w:p>
  </w:footnote>
  <w:footnote w:id="27">
    <w:p w14:paraId="39D72D98" w14:textId="5D9FD10B" w:rsidR="00F752F3" w:rsidRPr="00F752F3" w:rsidRDefault="00F752F3" w:rsidP="00F752F3">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"http://undocs.org/ru/CAT/OP/BEN/1"</w:instrText>
      </w:r>
      <w:r w:rsidR="00E66900">
        <w:fldChar w:fldCharType="separate"/>
      </w:r>
      <w:r w:rsidRPr="009F6458">
        <w:rPr>
          <w:rStyle w:val="af1"/>
          <w:lang w:val="en-US"/>
        </w:rPr>
        <w:t>CAT/OP/BEN/1</w:t>
      </w:r>
      <w:r w:rsidR="00E66900">
        <w:rPr>
          <w:rStyle w:val="af1"/>
          <w:lang w:val="en-US"/>
        </w:rPr>
        <w:fldChar w:fldCharType="end"/>
      </w:r>
      <w:r w:rsidRPr="00D60EFE">
        <w:rPr>
          <w:lang w:val="en-US"/>
        </w:rPr>
        <w:t xml:space="preserve">, </w:t>
      </w:r>
      <w:r>
        <w:t>п</w:t>
      </w:r>
      <w:r w:rsidRPr="00D60EFE">
        <w:rPr>
          <w:lang w:val="en-US"/>
        </w:rPr>
        <w:t xml:space="preserve">. 286; </w:t>
      </w:r>
      <w:hyperlink r:id="rId17" w:history="1">
        <w:r w:rsidRPr="009F6458">
          <w:rPr>
            <w:rStyle w:val="af1"/>
            <w:lang w:val="en-US"/>
          </w:rPr>
          <w:t>CAT/OP/MEX/1</w:t>
        </w:r>
      </w:hyperlink>
      <w:r w:rsidRPr="00D60EFE">
        <w:rPr>
          <w:lang w:val="en-US"/>
        </w:rPr>
        <w:t xml:space="preserve">, </w:t>
      </w:r>
      <w:r>
        <w:t>п</w:t>
      </w:r>
      <w:r w:rsidRPr="00D60EFE">
        <w:rPr>
          <w:lang w:val="en-US"/>
        </w:rPr>
        <w:t xml:space="preserve">. 178; </w:t>
      </w:r>
      <w:hyperlink r:id="rId18" w:history="1">
        <w:r w:rsidRPr="009F6458">
          <w:rPr>
            <w:rStyle w:val="af1"/>
            <w:lang w:val="en-US"/>
          </w:rPr>
          <w:t>CAT/OP/PRY/2</w:t>
        </w:r>
      </w:hyperlink>
      <w:r w:rsidRPr="00D60EFE">
        <w:rPr>
          <w:lang w:val="en-US"/>
        </w:rPr>
        <w:t xml:space="preserve">, </w:t>
      </w:r>
      <w:r>
        <w:t>пп</w:t>
      </w:r>
      <w:r w:rsidRPr="00D60EFE">
        <w:rPr>
          <w:lang w:val="en-US"/>
        </w:rPr>
        <w:t xml:space="preserve">. 65 </w:t>
      </w:r>
      <w:r>
        <w:t>и</w:t>
      </w:r>
      <w:r w:rsidRPr="00D60EFE">
        <w:rPr>
          <w:lang w:val="en-US"/>
        </w:rPr>
        <w:t xml:space="preserve"> 66;</w:t>
      </w:r>
      <w:r w:rsidR="007C3A1A">
        <w:rPr>
          <w:lang w:val="en-US"/>
        </w:rPr>
        <w:br/>
      </w:r>
      <w:hyperlink r:id="rId19" w:history="1">
        <w:r w:rsidRPr="009F6458">
          <w:rPr>
            <w:rStyle w:val="af1"/>
            <w:lang w:val="en-US"/>
          </w:rPr>
          <w:t>CAT/OP/ARG/1</w:t>
        </w:r>
      </w:hyperlink>
      <w:r w:rsidRPr="00D60EFE">
        <w:rPr>
          <w:lang w:val="en-US"/>
        </w:rPr>
        <w:t xml:space="preserve">, </w:t>
      </w:r>
      <w:r>
        <w:t>п</w:t>
      </w:r>
      <w:r w:rsidRPr="00D60EFE">
        <w:rPr>
          <w:lang w:val="en-US"/>
        </w:rPr>
        <w:t>. 74.</w:t>
      </w:r>
    </w:p>
  </w:footnote>
  <w:footnote w:id="28">
    <w:p w14:paraId="0EFCFB69" w14:textId="181D2D1B" w:rsidR="00F752F3" w:rsidRPr="00D60EFE" w:rsidRDefault="00F752F3" w:rsidP="00F752F3">
      <w:pPr>
        <w:pStyle w:val="ad"/>
        <w:rPr>
          <w:szCs w:val="18"/>
        </w:rPr>
      </w:pPr>
      <w:r w:rsidRPr="00D60EFE">
        <w:rPr>
          <w:szCs w:val="18"/>
          <w:lang w:val="en-US"/>
        </w:rPr>
        <w:tab/>
      </w:r>
      <w:r w:rsidRPr="00056ED7">
        <w:rPr>
          <w:rStyle w:val="aa"/>
          <w:szCs w:val="18"/>
        </w:rPr>
        <w:footnoteRef/>
      </w:r>
      <w:r>
        <w:tab/>
      </w:r>
      <w:hyperlink r:id="rId20" w:history="1">
        <w:r w:rsidRPr="009F6458">
          <w:rPr>
            <w:rStyle w:val="af1"/>
          </w:rPr>
          <w:t>CAT/OP/KAZ/1</w:t>
        </w:r>
      </w:hyperlink>
      <w:r>
        <w:t>, п. 114. См. также Минимальные стандартные правила Организации Объединенных Наций в отношении обращения с заключенными (Правила Нельсона Манделы), правило 24.</w:t>
      </w:r>
    </w:p>
  </w:footnote>
  <w:footnote w:id="29">
    <w:p w14:paraId="1A45A0CC" w14:textId="10CEE9EF" w:rsidR="00F752F3" w:rsidRPr="00F752F3" w:rsidRDefault="00F752F3" w:rsidP="00F752F3">
      <w:pPr>
        <w:pStyle w:val="ad"/>
        <w:tabs>
          <w:tab w:val="center" w:pos="993"/>
        </w:tabs>
        <w:rPr>
          <w:szCs w:val="18"/>
          <w:highlight w:val="yellow"/>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"http://undocs.org/en/CAT/OP/MNG/1"</w:instrText>
      </w:r>
      <w:r w:rsidR="00E66900">
        <w:fldChar w:fldCharType="separate"/>
      </w:r>
      <w:r w:rsidRPr="009F6458">
        <w:rPr>
          <w:rStyle w:val="af1"/>
          <w:lang w:val="en-US"/>
        </w:rPr>
        <w:t>CAT/OP/MNG/1</w:t>
      </w:r>
      <w:r w:rsidR="00E66900">
        <w:rPr>
          <w:rStyle w:val="af1"/>
          <w:lang w:val="en-US"/>
        </w:rPr>
        <w:fldChar w:fldCharType="end"/>
      </w:r>
      <w:r w:rsidRPr="00D60EFE">
        <w:rPr>
          <w:lang w:val="en-US"/>
        </w:rPr>
        <w:t xml:space="preserve">, </w:t>
      </w:r>
      <w:r>
        <w:t>п</w:t>
      </w:r>
      <w:r w:rsidRPr="00D60EFE">
        <w:rPr>
          <w:lang w:val="en-US"/>
        </w:rPr>
        <w:t>. 105.</w:t>
      </w:r>
    </w:p>
  </w:footnote>
  <w:footnote w:id="30">
    <w:p w14:paraId="7C3667AE" w14:textId="6CF137C2" w:rsidR="00F752F3" w:rsidRPr="00F752F3" w:rsidRDefault="00F752F3" w:rsidP="00F752F3">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"http://undocs.org/ru/CAT/OP/PRY/1"</w:instrText>
      </w:r>
      <w:r w:rsidR="00E66900">
        <w:fldChar w:fldCharType="separate"/>
      </w:r>
      <w:r w:rsidRPr="009F6458">
        <w:rPr>
          <w:rStyle w:val="af1"/>
          <w:lang w:val="en-US"/>
        </w:rPr>
        <w:t>CAT/OP/PRY/1</w:t>
      </w:r>
      <w:r w:rsidR="00E66900">
        <w:rPr>
          <w:rStyle w:val="af1"/>
          <w:lang w:val="en-US"/>
        </w:rPr>
        <w:fldChar w:fldCharType="end"/>
      </w:r>
      <w:r w:rsidRPr="00D60EFE">
        <w:rPr>
          <w:lang w:val="en-US"/>
        </w:rPr>
        <w:t xml:space="preserve">, </w:t>
      </w:r>
      <w:r>
        <w:t>п</w:t>
      </w:r>
      <w:r w:rsidRPr="00D60EFE">
        <w:rPr>
          <w:lang w:val="en-US"/>
        </w:rPr>
        <w:t xml:space="preserve">. 167; </w:t>
      </w:r>
      <w:hyperlink r:id="rId21" w:history="1">
        <w:r w:rsidRPr="009F6458">
          <w:rPr>
            <w:rStyle w:val="af1"/>
            <w:lang w:val="en-US"/>
          </w:rPr>
          <w:t>CAT/OP/PRY/2</w:t>
        </w:r>
      </w:hyperlink>
      <w:r w:rsidRPr="00D60EFE">
        <w:rPr>
          <w:lang w:val="en-US"/>
        </w:rPr>
        <w:t xml:space="preserve">, </w:t>
      </w:r>
      <w:r>
        <w:t>п</w:t>
      </w:r>
      <w:r w:rsidRPr="00D60EFE">
        <w:rPr>
          <w:lang w:val="en-US"/>
        </w:rPr>
        <w:t>. 67.</w:t>
      </w:r>
    </w:p>
  </w:footnote>
  <w:footnote w:id="31">
    <w:p w14:paraId="4E34798B" w14:textId="7CF507AE"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"http://undocs.org/ru/CAT/OP/UKR/1"</w:instrText>
      </w:r>
      <w:r w:rsidR="00E66900">
        <w:fldChar w:fldCharType="separate"/>
      </w:r>
      <w:r w:rsidRPr="009F6458">
        <w:rPr>
          <w:rStyle w:val="af1"/>
          <w:lang w:val="en-US"/>
        </w:rPr>
        <w:t>CAT/OP/UKR/1</w:t>
      </w:r>
      <w:r w:rsidR="00E66900">
        <w:rPr>
          <w:rStyle w:val="af1"/>
          <w:lang w:val="en-US"/>
        </w:rPr>
        <w:fldChar w:fldCharType="end"/>
      </w:r>
      <w:r w:rsidRPr="00D60EFE">
        <w:rPr>
          <w:lang w:val="en-US"/>
        </w:rPr>
        <w:t xml:space="preserve">, </w:t>
      </w:r>
      <w:r>
        <w:t>п</w:t>
      </w:r>
      <w:r w:rsidRPr="00D60EFE">
        <w:rPr>
          <w:lang w:val="en-US"/>
        </w:rPr>
        <w:t>. 85.</w:t>
      </w:r>
    </w:p>
  </w:footnote>
  <w:footnote w:id="32">
    <w:p w14:paraId="4E27A2BC" w14:textId="6A3D9B68"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"http://undocs.org/en/CAT/OP/URY/1"</w:instrText>
      </w:r>
      <w:r w:rsidR="00E66900">
        <w:fldChar w:fldCharType="separate"/>
      </w:r>
      <w:r w:rsidRPr="009F6458">
        <w:rPr>
          <w:rStyle w:val="af1"/>
          <w:lang w:val="en-US"/>
        </w:rPr>
        <w:t>CAT/OP/URY/1</w:t>
      </w:r>
      <w:r w:rsidR="00E66900">
        <w:rPr>
          <w:rStyle w:val="af1"/>
          <w:lang w:val="en-US"/>
        </w:rPr>
        <w:fldChar w:fldCharType="end"/>
      </w:r>
      <w:r w:rsidRPr="00D60EFE">
        <w:rPr>
          <w:lang w:val="en-US"/>
        </w:rPr>
        <w:t xml:space="preserve">, </w:t>
      </w:r>
      <w:r>
        <w:t>п</w:t>
      </w:r>
      <w:r w:rsidRPr="00D60EFE">
        <w:rPr>
          <w:lang w:val="en-US"/>
        </w:rPr>
        <w:t>. 100.</w:t>
      </w:r>
    </w:p>
  </w:footnote>
  <w:footnote w:id="33">
    <w:p w14:paraId="619AECF2" w14:textId="26EAE35E"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"http://undocs.org/en/CAT/OP/MDV/ROSP/2"</w:instrText>
      </w:r>
      <w:r w:rsidR="00E66900">
        <w:fldChar w:fldCharType="separate"/>
      </w:r>
      <w:r w:rsidRPr="009F6458">
        <w:rPr>
          <w:rStyle w:val="af1"/>
          <w:lang w:val="en-US"/>
        </w:rPr>
        <w:t>CAT/OP/MDV/ROSP/2</w:t>
      </w:r>
      <w:r w:rsidR="00E66900">
        <w:rPr>
          <w:rStyle w:val="af1"/>
          <w:lang w:val="en-US"/>
        </w:rPr>
        <w:fldChar w:fldCharType="end"/>
      </w:r>
      <w:r w:rsidRPr="00D60EFE">
        <w:rPr>
          <w:lang w:val="en-US"/>
        </w:rPr>
        <w:t xml:space="preserve">, </w:t>
      </w:r>
      <w:r>
        <w:t>п</w:t>
      </w:r>
      <w:r w:rsidRPr="00D60EFE">
        <w:rPr>
          <w:lang w:val="en-US"/>
        </w:rPr>
        <w:t>. 84.</w:t>
      </w:r>
    </w:p>
  </w:footnote>
  <w:footnote w:id="34">
    <w:p w14:paraId="0F80FA46" w14:textId="0E80A98B" w:rsidR="00F752F3" w:rsidRPr="00F752F3" w:rsidRDefault="00F752F3" w:rsidP="00F752F3">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"http://undocs.org/ru/CAT/OP/BRA/1"</w:instrText>
      </w:r>
      <w:r w:rsidR="00E66900">
        <w:fldChar w:fldCharType="separate"/>
      </w:r>
      <w:r w:rsidRPr="009F6458">
        <w:rPr>
          <w:rStyle w:val="af1"/>
          <w:lang w:val="en-US"/>
        </w:rPr>
        <w:t>CAT/OP/BRA/1</w:t>
      </w:r>
      <w:r w:rsidR="00E66900">
        <w:rPr>
          <w:rStyle w:val="af1"/>
          <w:lang w:val="en-US"/>
        </w:rPr>
        <w:fldChar w:fldCharType="end"/>
      </w:r>
      <w:r w:rsidRPr="00D60EFE">
        <w:rPr>
          <w:lang w:val="en-US"/>
        </w:rPr>
        <w:t xml:space="preserve">, </w:t>
      </w:r>
      <w:r>
        <w:t>п</w:t>
      </w:r>
      <w:r w:rsidRPr="00D60EFE">
        <w:rPr>
          <w:lang w:val="en-US"/>
        </w:rPr>
        <w:t>. 154.</w:t>
      </w:r>
    </w:p>
  </w:footnote>
  <w:footnote w:id="35">
    <w:p w14:paraId="620E1AA8" w14:textId="79DB199D" w:rsidR="00F752F3" w:rsidRPr="00F752F3" w:rsidRDefault="00F752F3" w:rsidP="00F752F3">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"http://undocs.org/en/CAT/OP/URY/1"</w:instrText>
      </w:r>
      <w:r w:rsidR="00E66900">
        <w:fldChar w:fldCharType="separate"/>
      </w:r>
      <w:r w:rsidR="00C90FE4" w:rsidRPr="009F6458">
        <w:rPr>
          <w:rStyle w:val="af1"/>
          <w:lang w:val="en-US"/>
        </w:rPr>
        <w:t>CAT/OP/URY/1</w:t>
      </w:r>
      <w:r w:rsidR="00E66900">
        <w:rPr>
          <w:rStyle w:val="af1"/>
          <w:lang w:val="en-US"/>
        </w:rPr>
        <w:fldChar w:fldCharType="end"/>
      </w:r>
      <w:r w:rsidRPr="00D60EFE">
        <w:rPr>
          <w:lang w:val="en-US"/>
        </w:rPr>
        <w:t xml:space="preserve">, </w:t>
      </w:r>
      <w:r>
        <w:t>п</w:t>
      </w:r>
      <w:r w:rsidRPr="00D60EFE">
        <w:rPr>
          <w:lang w:val="en-US"/>
        </w:rPr>
        <w:t xml:space="preserve">. 101; </w:t>
      </w:r>
      <w:hyperlink r:id="rId22" w:history="1">
        <w:r w:rsidR="00C90FE4" w:rsidRPr="009F6458">
          <w:rPr>
            <w:rStyle w:val="af1"/>
            <w:lang w:val="en-US"/>
          </w:rPr>
          <w:t>CAT/OP/MNG/1</w:t>
        </w:r>
      </w:hyperlink>
      <w:r w:rsidRPr="00D60EFE">
        <w:rPr>
          <w:lang w:val="en-US"/>
        </w:rPr>
        <w:t xml:space="preserve">, </w:t>
      </w:r>
      <w:r>
        <w:t>п</w:t>
      </w:r>
      <w:r w:rsidRPr="00D60EFE">
        <w:rPr>
          <w:lang w:val="en-US"/>
        </w:rPr>
        <w:t xml:space="preserve">. 108 a); </w:t>
      </w:r>
      <w:hyperlink r:id="rId23" w:history="1">
        <w:r w:rsidRPr="009F6458">
          <w:rPr>
            <w:rStyle w:val="af1"/>
            <w:lang w:val="en-US"/>
          </w:rPr>
          <w:t>CAT/OP/BRA/1</w:t>
        </w:r>
      </w:hyperlink>
      <w:r w:rsidRPr="00D60EFE">
        <w:rPr>
          <w:lang w:val="en-US"/>
        </w:rPr>
        <w:t xml:space="preserve">, </w:t>
      </w:r>
      <w:r>
        <w:t>п</w:t>
      </w:r>
      <w:r w:rsidRPr="00D60EFE">
        <w:rPr>
          <w:lang w:val="en-US"/>
        </w:rPr>
        <w:t xml:space="preserve">. 152; </w:t>
      </w:r>
      <w:hyperlink r:id="rId24" w:history="1">
        <w:r w:rsidRPr="009F6458">
          <w:rPr>
            <w:rStyle w:val="af1"/>
            <w:lang w:val="en-US"/>
          </w:rPr>
          <w:t>CAT/OP/AUS/ROSP/1</w:t>
        </w:r>
      </w:hyperlink>
      <w:r w:rsidRPr="00D60EFE">
        <w:rPr>
          <w:lang w:val="en-US"/>
        </w:rPr>
        <w:t xml:space="preserve">, </w:t>
      </w:r>
      <w:r>
        <w:t>п</w:t>
      </w:r>
      <w:r w:rsidRPr="00D60EFE">
        <w:rPr>
          <w:lang w:val="en-US"/>
        </w:rPr>
        <w:t>. 67.</w:t>
      </w:r>
    </w:p>
  </w:footnote>
  <w:footnote w:id="36">
    <w:p w14:paraId="522186F5" w14:textId="6572A813" w:rsidR="00F752F3" w:rsidRPr="00867E5F" w:rsidRDefault="00F752F3" w:rsidP="00F752F3">
      <w:pPr>
        <w:pStyle w:val="ad"/>
        <w:rPr>
          <w:szCs w:val="18"/>
          <w:highlight w:val="yellow"/>
        </w:rPr>
      </w:pPr>
      <w:r w:rsidRPr="00D60EFE">
        <w:rPr>
          <w:szCs w:val="18"/>
          <w:lang w:val="en-US"/>
        </w:rPr>
        <w:tab/>
      </w:r>
      <w:r w:rsidRPr="00056ED7">
        <w:rPr>
          <w:rStyle w:val="aa"/>
          <w:szCs w:val="18"/>
        </w:rPr>
        <w:footnoteRef/>
      </w:r>
      <w:r>
        <w:tab/>
        <w:t>Замечание общего порядка № 1 (2024), пп. 53 и 56.</w:t>
      </w:r>
    </w:p>
  </w:footnote>
  <w:footnote w:id="37">
    <w:p w14:paraId="6B433C5E" w14:textId="32F7447F" w:rsidR="00F752F3" w:rsidRPr="00D60EFE" w:rsidRDefault="00F752F3" w:rsidP="00F752F3">
      <w:pPr>
        <w:pStyle w:val="ad"/>
        <w:rPr>
          <w:szCs w:val="18"/>
        </w:rPr>
      </w:pPr>
      <w:r w:rsidRPr="00056ED7">
        <w:rPr>
          <w:szCs w:val="18"/>
        </w:rPr>
        <w:tab/>
      </w:r>
      <w:r w:rsidRPr="00056ED7">
        <w:rPr>
          <w:rStyle w:val="aa"/>
          <w:szCs w:val="18"/>
        </w:rPr>
        <w:footnoteRef/>
      </w:r>
      <w:r>
        <w:tab/>
      </w:r>
      <w:hyperlink r:id="rId25" w:history="1">
        <w:r w:rsidRPr="009F6458">
          <w:rPr>
            <w:rStyle w:val="af1"/>
          </w:rPr>
          <w:t>CAT/OP/BRA/1</w:t>
        </w:r>
      </w:hyperlink>
      <w:r>
        <w:t>, п. 154.</w:t>
      </w:r>
    </w:p>
  </w:footnote>
  <w:footnote w:id="38">
    <w:p w14:paraId="0D6FDA69" w14:textId="2E620582" w:rsidR="00F752F3" w:rsidRPr="00D60EFE" w:rsidRDefault="00F752F3" w:rsidP="00F752F3">
      <w:pPr>
        <w:pStyle w:val="ad"/>
        <w:rPr>
          <w:szCs w:val="18"/>
        </w:rPr>
      </w:pPr>
      <w:r w:rsidRPr="00056ED7">
        <w:rPr>
          <w:szCs w:val="18"/>
        </w:rPr>
        <w:tab/>
      </w:r>
      <w:r w:rsidRPr="00056ED7">
        <w:rPr>
          <w:rStyle w:val="aa"/>
          <w:szCs w:val="18"/>
        </w:rPr>
        <w:footnoteRef/>
      </w:r>
      <w:r>
        <w:tab/>
        <w:t xml:space="preserve">Там же, пп. 151, 152 и 154; </w:t>
      </w:r>
      <w:hyperlink r:id="rId26" w:history="1">
        <w:r w:rsidRPr="009F6458">
          <w:rPr>
            <w:rStyle w:val="af1"/>
          </w:rPr>
          <w:t>CAT/OP/MDV/ROSP/2</w:t>
        </w:r>
      </w:hyperlink>
      <w:r>
        <w:t>, п. 84.</w:t>
      </w:r>
    </w:p>
  </w:footnote>
  <w:footnote w:id="39">
    <w:p w14:paraId="171AB627" w14:textId="77777777" w:rsidR="00F752F3" w:rsidRPr="00D60EFE" w:rsidRDefault="00F752F3" w:rsidP="00F752F3">
      <w:pPr>
        <w:pStyle w:val="ad"/>
        <w:rPr>
          <w:szCs w:val="18"/>
        </w:rPr>
      </w:pPr>
      <w:r w:rsidRPr="00056ED7">
        <w:rPr>
          <w:szCs w:val="18"/>
        </w:rPr>
        <w:tab/>
      </w:r>
      <w:r w:rsidRPr="00056ED7">
        <w:rPr>
          <w:rStyle w:val="aa"/>
          <w:szCs w:val="18"/>
        </w:rPr>
        <w:footnoteRef/>
      </w:r>
      <w:r>
        <w:tab/>
        <w:t>Замечание общего порядка № 1 (2024), п. 59.</w:t>
      </w:r>
    </w:p>
  </w:footnote>
  <w:footnote w:id="40">
    <w:p w14:paraId="76CABEFF" w14:textId="25D6D8E9" w:rsidR="00F752F3" w:rsidRPr="00867E5F" w:rsidRDefault="00F752F3" w:rsidP="00F752F3">
      <w:pPr>
        <w:pStyle w:val="ad"/>
        <w:rPr>
          <w:szCs w:val="18"/>
        </w:rPr>
      </w:pPr>
      <w:r w:rsidRPr="00056ED7">
        <w:rPr>
          <w:szCs w:val="18"/>
        </w:rPr>
        <w:tab/>
      </w:r>
      <w:r w:rsidRPr="00056ED7">
        <w:rPr>
          <w:rStyle w:val="aa"/>
          <w:szCs w:val="18"/>
        </w:rPr>
        <w:footnoteRef/>
      </w:r>
      <w:r w:rsidRPr="00867E5F">
        <w:tab/>
      </w:r>
      <w:hyperlink r:id="rId27" w:history="1">
        <w:r w:rsidRPr="00C90FE4">
          <w:rPr>
            <w:rStyle w:val="af1"/>
            <w:lang w:val="en-US"/>
          </w:rPr>
          <w:t>CAT</w:t>
        </w:r>
        <w:r w:rsidRPr="00867E5F">
          <w:rPr>
            <w:rStyle w:val="af1"/>
          </w:rPr>
          <w:t>/</w:t>
        </w:r>
        <w:r w:rsidRPr="00C90FE4">
          <w:rPr>
            <w:rStyle w:val="af1"/>
            <w:lang w:val="en-US"/>
          </w:rPr>
          <w:t>C</w:t>
        </w:r>
        <w:r w:rsidRPr="00867E5F">
          <w:rPr>
            <w:rStyle w:val="af1"/>
          </w:rPr>
          <w:t>/79/2</w:t>
        </w:r>
      </w:hyperlink>
      <w:r w:rsidRPr="00867E5F">
        <w:t>.</w:t>
      </w:r>
    </w:p>
  </w:footnote>
  <w:footnote w:id="41">
    <w:p w14:paraId="5B0E2BC1" w14:textId="681391DF" w:rsidR="00F752F3" w:rsidRPr="00F752F3" w:rsidRDefault="00F752F3" w:rsidP="00F752F3">
      <w:pPr>
        <w:pStyle w:val="ad"/>
        <w:rPr>
          <w:szCs w:val="18"/>
          <w:lang w:val="en-US"/>
        </w:rPr>
      </w:pPr>
      <w:r w:rsidRPr="00867E5F">
        <w:rPr>
          <w:color w:val="000000"/>
          <w:szCs w:val="18"/>
        </w:rPr>
        <w:tab/>
      </w:r>
      <w:r w:rsidRPr="00056ED7">
        <w:rPr>
          <w:rStyle w:val="aa"/>
          <w:szCs w:val="18"/>
        </w:rPr>
        <w:footnoteRef/>
      </w:r>
      <w:r w:rsidRPr="00D60EFE">
        <w:rPr>
          <w:lang w:val="en-US"/>
        </w:rPr>
        <w:tab/>
      </w:r>
      <w:r w:rsidR="0018338F">
        <w:rPr>
          <w:lang w:val="en-US"/>
        </w:rPr>
        <w:t>С</w:t>
      </w:r>
      <w:r w:rsidR="0018338F">
        <w:t>м</w:t>
      </w:r>
      <w:r w:rsidR="0018338F">
        <w:rPr>
          <w:lang w:val="en-US"/>
        </w:rPr>
        <w:t>. URL:</w:t>
      </w:r>
      <w:r w:rsidRPr="00D60EFE">
        <w:rPr>
          <w:lang w:val="en-US"/>
        </w:rPr>
        <w:t xml:space="preserve"> </w:t>
      </w:r>
      <w:r w:rsidR="00E66900">
        <w:fldChar w:fldCharType="begin"/>
      </w:r>
      <w:r w:rsidR="00E66900" w:rsidRPr="00956DCB">
        <w:rPr>
          <w:lang w:val="en-US"/>
        </w:rPr>
        <w:instrText>HYPERLINK "https://www.ohchr.org/en/statements-and-speeches/2024/06/accountability-and-justice-torture-victims-central-commemorations"</w:instrText>
      </w:r>
      <w:r w:rsidR="00E66900">
        <w:fldChar w:fldCharType="separate"/>
      </w:r>
      <w:r w:rsidR="00C90FE4" w:rsidRPr="00A114F7">
        <w:rPr>
          <w:rStyle w:val="af1"/>
          <w:lang w:val="en-US"/>
        </w:rPr>
        <w:t>https://www.ohchr.org/en/statements-and-speeches/2024/06/accountability-and-justice-torture-victims-central-commemorations</w:t>
      </w:r>
      <w:r w:rsidR="00E66900">
        <w:rPr>
          <w:rStyle w:val="af1"/>
          <w:lang w:val="en-US"/>
        </w:rPr>
        <w:fldChar w:fldCharType="end"/>
      </w:r>
      <w:r w:rsidRPr="00D60EFE">
        <w:rPr>
          <w:lang w:val="en-US"/>
        </w:rPr>
        <w:t>.</w:t>
      </w:r>
    </w:p>
  </w:footnote>
  <w:footnote w:id="42">
    <w:p w14:paraId="49B17357" w14:textId="7525F8B0" w:rsidR="00F752F3" w:rsidRPr="00F752F3" w:rsidRDefault="00F752F3" w:rsidP="00F752F3">
      <w:pPr>
        <w:pStyle w:val="ad"/>
        <w:rPr>
          <w:szCs w:val="18"/>
          <w:lang w:val="en-US"/>
        </w:rPr>
      </w:pPr>
      <w:r w:rsidRPr="00D60EFE">
        <w:rPr>
          <w:szCs w:val="18"/>
          <w:lang w:val="en-US"/>
        </w:rPr>
        <w:tab/>
      </w:r>
      <w:r w:rsidRPr="00056ED7">
        <w:rPr>
          <w:rStyle w:val="aa"/>
          <w:szCs w:val="18"/>
        </w:rPr>
        <w:footnoteRef/>
      </w:r>
      <w:r w:rsidRPr="00D60EFE">
        <w:rPr>
          <w:lang w:val="en-US"/>
        </w:rPr>
        <w:tab/>
      </w:r>
      <w:r w:rsidR="003356EC">
        <w:t>См</w:t>
      </w:r>
      <w:r w:rsidR="003356EC" w:rsidRPr="003356EC">
        <w:rPr>
          <w:lang w:val="en-US"/>
        </w:rPr>
        <w:t xml:space="preserve">. </w:t>
      </w:r>
      <w:r w:rsidRPr="00D60EFE">
        <w:rPr>
          <w:lang w:val="en-US"/>
        </w:rPr>
        <w:t xml:space="preserve">URL: </w:t>
      </w:r>
      <w:r w:rsidR="00E66900">
        <w:fldChar w:fldCharType="begin"/>
      </w:r>
      <w:r w:rsidR="00E66900" w:rsidRPr="00956DCB">
        <w:rPr>
          <w:lang w:val="en-US"/>
        </w:rPr>
        <w:instrText>HYPERLINK "https://www.ohchr.org/en/calls-for-input/2024/call-submissions-draft-general-comment-no-27-childrens-rights-access-justice"</w:instrText>
      </w:r>
      <w:r w:rsidR="00E66900">
        <w:fldChar w:fldCharType="separate"/>
      </w:r>
      <w:r w:rsidR="00C90FE4" w:rsidRPr="00A114F7">
        <w:rPr>
          <w:rStyle w:val="af1"/>
          <w:lang w:val="en-US"/>
        </w:rPr>
        <w:t>https://www.ohchr.org/en/calls-for-input/2024/call-submissions-draft-general-comment-no-27-childrens-rights-access-justice</w:t>
      </w:r>
      <w:r w:rsidR="00E66900">
        <w:rPr>
          <w:rStyle w:val="af1"/>
          <w:lang w:val="en-US"/>
        </w:rPr>
        <w:fldChar w:fldCharType="end"/>
      </w:r>
      <w:r w:rsidRPr="00D60EFE">
        <w:rPr>
          <w:lang w:val="en-US"/>
        </w:rPr>
        <w:t>.</w:t>
      </w:r>
    </w:p>
  </w:footnote>
  <w:footnote w:id="43">
    <w:p w14:paraId="37A29D7C" w14:textId="07C5A0D5" w:rsidR="00F752F3" w:rsidRPr="00FB0D83" w:rsidRDefault="00F752F3" w:rsidP="00F752F3">
      <w:pPr>
        <w:pStyle w:val="ad"/>
        <w:rPr>
          <w:szCs w:val="18"/>
          <w:lang w:val="en-US"/>
        </w:rPr>
      </w:pPr>
      <w:r w:rsidRPr="00D60EFE">
        <w:rPr>
          <w:szCs w:val="18"/>
          <w:lang w:val="en-US"/>
        </w:rPr>
        <w:tab/>
      </w:r>
      <w:r w:rsidRPr="00056ED7">
        <w:rPr>
          <w:rStyle w:val="aa"/>
          <w:szCs w:val="18"/>
        </w:rPr>
        <w:footnoteRef/>
      </w:r>
      <w:r w:rsidRPr="00FB0D83">
        <w:rPr>
          <w:lang w:val="en-US"/>
        </w:rPr>
        <w:tab/>
      </w:r>
      <w:r w:rsidR="003356EC">
        <w:t>См</w:t>
      </w:r>
      <w:r w:rsidR="003356EC" w:rsidRPr="00FB0D83">
        <w:rPr>
          <w:lang w:val="en-US"/>
        </w:rPr>
        <w:t>.</w:t>
      </w:r>
      <w:r w:rsidR="0018338F" w:rsidRPr="00FB0D83">
        <w:rPr>
          <w:lang w:val="en-US"/>
        </w:rPr>
        <w:t xml:space="preserve"> </w:t>
      </w:r>
      <w:r w:rsidR="0018338F">
        <w:rPr>
          <w:lang w:val="en-US"/>
        </w:rPr>
        <w:t>URL</w:t>
      </w:r>
      <w:r w:rsidR="0018338F" w:rsidRPr="00FB0D83">
        <w:rPr>
          <w:lang w:val="en-US"/>
        </w:rPr>
        <w:t>:</w:t>
      </w:r>
      <w:r w:rsidRPr="00FB0D83">
        <w:rPr>
          <w:lang w:val="en-US"/>
        </w:rPr>
        <w:t xml:space="preserve"> </w:t>
      </w:r>
      <w:r w:rsidR="00E66900">
        <w:fldChar w:fldCharType="begin"/>
      </w:r>
      <w:r w:rsidR="00E66900" w:rsidRPr="00956DCB">
        <w:rPr>
          <w:lang w:val="en-US"/>
        </w:rPr>
        <w:instrText>HYPERLINK "https://www.ohchr.org/en/calls-for-input/2024/call-input-report-religion-or-belief-and-torture-and-other-cruel-inhuman-or"</w:instrText>
      </w:r>
      <w:r w:rsidR="00E66900">
        <w:fldChar w:fldCharType="separate"/>
      </w:r>
      <w:r w:rsidR="00C90FE4" w:rsidRPr="00A114F7">
        <w:rPr>
          <w:rStyle w:val="af1"/>
          <w:lang w:val="en-US"/>
        </w:rPr>
        <w:t>https</w:t>
      </w:r>
      <w:r w:rsidR="00C90FE4" w:rsidRPr="00FB0D83">
        <w:rPr>
          <w:rStyle w:val="af1"/>
          <w:lang w:val="en-US"/>
        </w:rPr>
        <w:t>://</w:t>
      </w:r>
      <w:r w:rsidR="00C90FE4" w:rsidRPr="00A114F7">
        <w:rPr>
          <w:rStyle w:val="af1"/>
          <w:lang w:val="en-US"/>
        </w:rPr>
        <w:t>www</w:t>
      </w:r>
      <w:r w:rsidR="00C90FE4" w:rsidRPr="00FB0D83">
        <w:rPr>
          <w:rStyle w:val="af1"/>
          <w:lang w:val="en-US"/>
        </w:rPr>
        <w:t>.</w:t>
      </w:r>
      <w:r w:rsidR="00C90FE4" w:rsidRPr="00A114F7">
        <w:rPr>
          <w:rStyle w:val="af1"/>
          <w:lang w:val="en-US"/>
        </w:rPr>
        <w:t>ohchr</w:t>
      </w:r>
      <w:r w:rsidR="00C90FE4" w:rsidRPr="00FB0D83">
        <w:rPr>
          <w:rStyle w:val="af1"/>
          <w:lang w:val="en-US"/>
        </w:rPr>
        <w:t>.</w:t>
      </w:r>
      <w:r w:rsidR="00C90FE4" w:rsidRPr="00A114F7">
        <w:rPr>
          <w:rStyle w:val="af1"/>
          <w:lang w:val="en-US"/>
        </w:rPr>
        <w:t>org</w:t>
      </w:r>
      <w:r w:rsidR="00C90FE4" w:rsidRPr="00FB0D83">
        <w:rPr>
          <w:rStyle w:val="af1"/>
          <w:lang w:val="en-US"/>
        </w:rPr>
        <w:t>/</w:t>
      </w:r>
      <w:r w:rsidR="00C90FE4" w:rsidRPr="00A114F7">
        <w:rPr>
          <w:rStyle w:val="af1"/>
          <w:lang w:val="en-US"/>
        </w:rPr>
        <w:t>en</w:t>
      </w:r>
      <w:r w:rsidR="00C90FE4" w:rsidRPr="00FB0D83">
        <w:rPr>
          <w:rStyle w:val="af1"/>
          <w:lang w:val="en-US"/>
        </w:rPr>
        <w:t>/</w:t>
      </w:r>
      <w:r w:rsidR="00C90FE4" w:rsidRPr="00A114F7">
        <w:rPr>
          <w:rStyle w:val="af1"/>
          <w:lang w:val="en-US"/>
        </w:rPr>
        <w:t>calls</w:t>
      </w:r>
      <w:r w:rsidR="00C90FE4" w:rsidRPr="00FB0D83">
        <w:rPr>
          <w:rStyle w:val="af1"/>
          <w:lang w:val="en-US"/>
        </w:rPr>
        <w:t>-</w:t>
      </w:r>
      <w:r w:rsidR="00C90FE4" w:rsidRPr="00A114F7">
        <w:rPr>
          <w:rStyle w:val="af1"/>
          <w:lang w:val="en-US"/>
        </w:rPr>
        <w:t>for</w:t>
      </w:r>
      <w:r w:rsidR="00C90FE4" w:rsidRPr="00FB0D83">
        <w:rPr>
          <w:rStyle w:val="af1"/>
          <w:lang w:val="en-US"/>
        </w:rPr>
        <w:t>-</w:t>
      </w:r>
      <w:r w:rsidR="00C90FE4" w:rsidRPr="00A114F7">
        <w:rPr>
          <w:rStyle w:val="af1"/>
          <w:lang w:val="en-US"/>
        </w:rPr>
        <w:t>input</w:t>
      </w:r>
      <w:r w:rsidR="00C90FE4" w:rsidRPr="00FB0D83">
        <w:rPr>
          <w:rStyle w:val="af1"/>
          <w:lang w:val="en-US"/>
        </w:rPr>
        <w:t>/2024/</w:t>
      </w:r>
      <w:r w:rsidR="00C90FE4" w:rsidRPr="00A114F7">
        <w:rPr>
          <w:rStyle w:val="af1"/>
          <w:lang w:val="en-US"/>
        </w:rPr>
        <w:t>call</w:t>
      </w:r>
      <w:r w:rsidR="00C90FE4" w:rsidRPr="00FB0D83">
        <w:rPr>
          <w:rStyle w:val="af1"/>
          <w:lang w:val="en-US"/>
        </w:rPr>
        <w:t>-</w:t>
      </w:r>
      <w:r w:rsidR="00C90FE4" w:rsidRPr="00A114F7">
        <w:rPr>
          <w:rStyle w:val="af1"/>
          <w:lang w:val="en-US"/>
        </w:rPr>
        <w:t>input</w:t>
      </w:r>
      <w:r w:rsidR="00C90FE4" w:rsidRPr="00FB0D83">
        <w:rPr>
          <w:rStyle w:val="af1"/>
          <w:lang w:val="en-US"/>
        </w:rPr>
        <w:t>-</w:t>
      </w:r>
      <w:r w:rsidR="00C90FE4" w:rsidRPr="00A114F7">
        <w:rPr>
          <w:rStyle w:val="af1"/>
          <w:lang w:val="en-US"/>
        </w:rPr>
        <w:t>report</w:t>
      </w:r>
      <w:r w:rsidR="00C90FE4" w:rsidRPr="00FB0D83">
        <w:rPr>
          <w:rStyle w:val="af1"/>
          <w:lang w:val="en-US"/>
        </w:rPr>
        <w:t>-</w:t>
      </w:r>
      <w:r w:rsidR="00C90FE4" w:rsidRPr="00A114F7">
        <w:rPr>
          <w:rStyle w:val="af1"/>
          <w:lang w:val="en-US"/>
        </w:rPr>
        <w:t>religion</w:t>
      </w:r>
      <w:r w:rsidR="00C90FE4" w:rsidRPr="00FB0D83">
        <w:rPr>
          <w:rStyle w:val="af1"/>
          <w:lang w:val="en-US"/>
        </w:rPr>
        <w:t>-</w:t>
      </w:r>
      <w:r w:rsidR="00C90FE4" w:rsidRPr="00A114F7">
        <w:rPr>
          <w:rStyle w:val="af1"/>
          <w:lang w:val="en-US"/>
        </w:rPr>
        <w:t>or</w:t>
      </w:r>
      <w:r w:rsidR="00C90FE4" w:rsidRPr="00FB0D83">
        <w:rPr>
          <w:rStyle w:val="af1"/>
          <w:lang w:val="en-US"/>
        </w:rPr>
        <w:t>-</w:t>
      </w:r>
      <w:r w:rsidR="00C90FE4" w:rsidRPr="00A114F7">
        <w:rPr>
          <w:rStyle w:val="af1"/>
          <w:lang w:val="en-US"/>
        </w:rPr>
        <w:t>belief</w:t>
      </w:r>
      <w:r w:rsidR="00C90FE4" w:rsidRPr="00FB0D83">
        <w:rPr>
          <w:rStyle w:val="af1"/>
          <w:lang w:val="en-US"/>
        </w:rPr>
        <w:t>-</w:t>
      </w:r>
      <w:r w:rsidR="00C90FE4" w:rsidRPr="00A114F7">
        <w:rPr>
          <w:rStyle w:val="af1"/>
          <w:lang w:val="en-US"/>
        </w:rPr>
        <w:t>and</w:t>
      </w:r>
      <w:r w:rsidR="00C90FE4" w:rsidRPr="00FB0D83">
        <w:rPr>
          <w:rStyle w:val="af1"/>
          <w:lang w:val="en-US"/>
        </w:rPr>
        <w:t>-</w:t>
      </w:r>
      <w:r w:rsidR="00C90FE4" w:rsidRPr="00A114F7">
        <w:rPr>
          <w:rStyle w:val="af1"/>
          <w:lang w:val="en-US"/>
        </w:rPr>
        <w:t>torture</w:t>
      </w:r>
      <w:r w:rsidR="00C90FE4" w:rsidRPr="00FB0D83">
        <w:rPr>
          <w:rStyle w:val="af1"/>
          <w:lang w:val="en-US"/>
        </w:rPr>
        <w:t>-</w:t>
      </w:r>
      <w:r w:rsidR="00C90FE4" w:rsidRPr="00A114F7">
        <w:rPr>
          <w:rStyle w:val="af1"/>
          <w:lang w:val="en-US"/>
        </w:rPr>
        <w:t>and</w:t>
      </w:r>
      <w:r w:rsidR="00C90FE4" w:rsidRPr="00FB0D83">
        <w:rPr>
          <w:rStyle w:val="af1"/>
          <w:lang w:val="en-US"/>
        </w:rPr>
        <w:t>-</w:t>
      </w:r>
      <w:r w:rsidR="00C90FE4" w:rsidRPr="00A114F7">
        <w:rPr>
          <w:rStyle w:val="af1"/>
          <w:lang w:val="en-US"/>
        </w:rPr>
        <w:t>other</w:t>
      </w:r>
      <w:r w:rsidR="00C90FE4" w:rsidRPr="00FB0D83">
        <w:rPr>
          <w:rStyle w:val="af1"/>
          <w:lang w:val="en-US"/>
        </w:rPr>
        <w:t>-</w:t>
      </w:r>
      <w:r w:rsidR="00C90FE4" w:rsidRPr="00A114F7">
        <w:rPr>
          <w:rStyle w:val="af1"/>
          <w:lang w:val="en-US"/>
        </w:rPr>
        <w:t>cruel</w:t>
      </w:r>
      <w:r w:rsidR="00C90FE4" w:rsidRPr="00FB0D83">
        <w:rPr>
          <w:rStyle w:val="af1"/>
          <w:lang w:val="en-US"/>
        </w:rPr>
        <w:t>-</w:t>
      </w:r>
      <w:r w:rsidR="00C90FE4" w:rsidRPr="00A114F7">
        <w:rPr>
          <w:rStyle w:val="af1"/>
          <w:lang w:val="en-US"/>
        </w:rPr>
        <w:t>inhuman</w:t>
      </w:r>
      <w:r w:rsidR="00C90FE4" w:rsidRPr="00FB0D83">
        <w:rPr>
          <w:rStyle w:val="af1"/>
          <w:lang w:val="en-US"/>
        </w:rPr>
        <w:t>-</w:t>
      </w:r>
      <w:r w:rsidR="00C90FE4" w:rsidRPr="00A114F7">
        <w:rPr>
          <w:rStyle w:val="af1"/>
          <w:lang w:val="en-US"/>
        </w:rPr>
        <w:t>or</w:t>
      </w:r>
      <w:r w:rsidR="00E66900">
        <w:rPr>
          <w:rStyle w:val="af1"/>
          <w:lang w:val="en-US"/>
        </w:rPr>
        <w:fldChar w:fldCharType="end"/>
      </w:r>
      <w:r w:rsidRPr="00FB0D83">
        <w:rPr>
          <w:lang w:val="en-US"/>
        </w:rPr>
        <w:t>.</w:t>
      </w:r>
    </w:p>
  </w:footnote>
  <w:footnote w:id="44">
    <w:p w14:paraId="74805F75" w14:textId="373018E8" w:rsidR="00F752F3" w:rsidRPr="00D60EFE" w:rsidRDefault="00F752F3" w:rsidP="00F752F3">
      <w:pPr>
        <w:pStyle w:val="ad"/>
        <w:rPr>
          <w:szCs w:val="18"/>
        </w:rPr>
      </w:pPr>
      <w:r w:rsidRPr="00FB0D83">
        <w:rPr>
          <w:szCs w:val="18"/>
          <w:lang w:val="en-US"/>
        </w:rPr>
        <w:tab/>
      </w:r>
      <w:r w:rsidRPr="00056ED7">
        <w:rPr>
          <w:rStyle w:val="aa"/>
          <w:szCs w:val="18"/>
        </w:rPr>
        <w:footnoteRef/>
      </w:r>
      <w:r>
        <w:tab/>
      </w:r>
      <w:hyperlink r:id="rId28" w:history="1">
        <w:r w:rsidRPr="009F6458">
          <w:rPr>
            <w:rStyle w:val="af1"/>
          </w:rPr>
          <w:t>CAT/C/73/2</w:t>
        </w:r>
      </w:hyperlink>
      <w:r>
        <w:t>, приложение, п. 15.</w:t>
      </w:r>
    </w:p>
  </w:footnote>
  <w:footnote w:id="45">
    <w:p w14:paraId="625DF654" w14:textId="7BE09DFA" w:rsidR="00C930F5" w:rsidRPr="00D60EFE" w:rsidRDefault="00C930F5" w:rsidP="00C930F5">
      <w:pPr>
        <w:pStyle w:val="ad"/>
        <w:rPr>
          <w:szCs w:val="18"/>
        </w:rPr>
      </w:pPr>
      <w:r w:rsidRPr="00056ED7">
        <w:rPr>
          <w:szCs w:val="18"/>
        </w:rPr>
        <w:tab/>
      </w:r>
      <w:r w:rsidRPr="00056ED7">
        <w:rPr>
          <w:rStyle w:val="aa"/>
          <w:szCs w:val="18"/>
        </w:rPr>
        <w:footnoteRef/>
      </w:r>
      <w:r>
        <w:tab/>
        <w:t xml:space="preserve">Подборка имеющихся ежегодных докладов, которые были получены от национальных превентивных механизмов, размещена по адресу: </w:t>
      </w:r>
      <w:hyperlink r:id="rId29" w:history="1">
        <w:r w:rsidR="003356EC" w:rsidRPr="00A114F7">
          <w:rPr>
            <w:rStyle w:val="af1"/>
          </w:rPr>
          <w:t>https://www.ohchr.org/en/treaty-bodies/spt/annual-reports-received-subcommittee-national-preventive-mechanisms</w:t>
        </w:r>
      </w:hyperlink>
      <w:r>
        <w:t>.</w:t>
      </w:r>
    </w:p>
  </w:footnote>
  <w:footnote w:id="46">
    <w:p w14:paraId="49BFDD1E" w14:textId="3A34BB5D" w:rsidR="00C930F5" w:rsidRPr="00C930F5" w:rsidRDefault="00C930F5" w:rsidP="00C930F5">
      <w:pPr>
        <w:pStyle w:val="ad"/>
        <w:rPr>
          <w:szCs w:val="18"/>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"http://undocs.org/en/CAT/OP/PAN/1"</w:instrText>
      </w:r>
      <w:r w:rsidR="00E66900">
        <w:fldChar w:fldCharType="separate"/>
      </w:r>
      <w:r w:rsidRPr="009F6458">
        <w:rPr>
          <w:rStyle w:val="af1"/>
          <w:lang w:val="en-US"/>
        </w:rPr>
        <w:t>CAT/OP/PAN/1</w:t>
      </w:r>
      <w:r w:rsidR="00E66900">
        <w:rPr>
          <w:rStyle w:val="af1"/>
          <w:lang w:val="en-US"/>
        </w:rPr>
        <w:fldChar w:fldCharType="end"/>
      </w:r>
      <w:r w:rsidRPr="00D60EFE">
        <w:rPr>
          <w:lang w:val="en-US"/>
        </w:rPr>
        <w:t xml:space="preserve">, </w:t>
      </w:r>
      <w:r>
        <w:t>п</w:t>
      </w:r>
      <w:r w:rsidRPr="00D60EFE">
        <w:rPr>
          <w:lang w:val="en-US"/>
        </w:rPr>
        <w:t xml:space="preserve">. 108; </w:t>
      </w:r>
      <w:hyperlink r:id="rId30" w:history="1">
        <w:r w:rsidRPr="009F6458">
          <w:rPr>
            <w:rStyle w:val="af1"/>
            <w:lang w:val="en-US"/>
          </w:rPr>
          <w:t>CAT/OP/ESP/1</w:t>
        </w:r>
      </w:hyperlink>
      <w:r w:rsidRPr="00D60EFE">
        <w:rPr>
          <w:lang w:val="en-US"/>
        </w:rPr>
        <w:t xml:space="preserve">, </w:t>
      </w:r>
      <w:r>
        <w:t>п</w:t>
      </w:r>
      <w:r w:rsidRPr="00D60EFE">
        <w:rPr>
          <w:lang w:val="en-US"/>
        </w:rPr>
        <w:t>. 101.</w:t>
      </w:r>
    </w:p>
  </w:footnote>
  <w:footnote w:id="47">
    <w:p w14:paraId="60929140" w14:textId="4C522F75" w:rsidR="00C930F5" w:rsidRPr="00867E5F" w:rsidRDefault="00C930F5" w:rsidP="00C930F5">
      <w:pPr>
        <w:pStyle w:val="ad"/>
        <w:rPr>
          <w:szCs w:val="18"/>
          <w:highlight w:val="yellow"/>
        </w:rPr>
      </w:pPr>
      <w:r w:rsidRPr="00D60EFE">
        <w:rPr>
          <w:szCs w:val="18"/>
          <w:lang w:val="en-US"/>
        </w:rPr>
        <w:tab/>
      </w:r>
      <w:r w:rsidRPr="00056ED7">
        <w:rPr>
          <w:rStyle w:val="aa"/>
          <w:szCs w:val="18"/>
        </w:rPr>
        <w:footnoteRef/>
      </w:r>
      <w:r>
        <w:tab/>
      </w:r>
      <w:hyperlink r:id="rId31" w:history="1">
        <w:r w:rsidRPr="009F6458">
          <w:rPr>
            <w:rStyle w:val="af1"/>
          </w:rPr>
          <w:t>CAT/OP/CYP/1</w:t>
        </w:r>
      </w:hyperlink>
      <w:r>
        <w:t>, п. 37.</w:t>
      </w:r>
    </w:p>
  </w:footnote>
  <w:footnote w:id="48">
    <w:p w14:paraId="71DB3DC8" w14:textId="1C197045" w:rsidR="00C930F5" w:rsidRPr="00867E5F" w:rsidRDefault="00C930F5" w:rsidP="00C930F5">
      <w:pPr>
        <w:pStyle w:val="ad"/>
        <w:rPr>
          <w:szCs w:val="18"/>
          <w:highlight w:val="yellow"/>
        </w:rPr>
      </w:pPr>
      <w:r w:rsidRPr="00056ED7">
        <w:rPr>
          <w:szCs w:val="18"/>
        </w:rPr>
        <w:tab/>
      </w:r>
      <w:r w:rsidRPr="00056ED7">
        <w:rPr>
          <w:rStyle w:val="aa"/>
          <w:szCs w:val="18"/>
        </w:rPr>
        <w:footnoteRef/>
      </w:r>
      <w:r>
        <w:tab/>
        <w:t>Пекинские правила, правило 2.3; Комитет по правам ребенка, замечание общего</w:t>
      </w:r>
      <w:r w:rsidR="00C90FE4" w:rsidRPr="00C90FE4">
        <w:br/>
      </w:r>
      <w:r>
        <w:t>порядка № 24 (2019), п. 41.</w:t>
      </w:r>
    </w:p>
  </w:footnote>
  <w:footnote w:id="49">
    <w:p w14:paraId="02DE1354" w14:textId="4460C01A" w:rsidR="00C930F5" w:rsidRPr="00C930F5" w:rsidRDefault="00C930F5" w:rsidP="00C930F5">
      <w:pPr>
        <w:pStyle w:val="ad"/>
        <w:rPr>
          <w:szCs w:val="18"/>
          <w:highlight w:val="yellow"/>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"http://undocs.org/en/CAT/OP/BEN/3"</w:instrText>
      </w:r>
      <w:r w:rsidR="00E66900">
        <w:fldChar w:fldCharType="separate"/>
      </w:r>
      <w:r w:rsidRPr="009F6458">
        <w:rPr>
          <w:rStyle w:val="af1"/>
          <w:lang w:val="en-US"/>
        </w:rPr>
        <w:t>CAT/OP/BEN/3</w:t>
      </w:r>
      <w:r w:rsidR="00E66900">
        <w:rPr>
          <w:rStyle w:val="af1"/>
          <w:lang w:val="en-US"/>
        </w:rPr>
        <w:fldChar w:fldCharType="end"/>
      </w:r>
      <w:r w:rsidRPr="00D60EFE">
        <w:rPr>
          <w:lang w:val="en-US"/>
        </w:rPr>
        <w:t xml:space="preserve">, </w:t>
      </w:r>
      <w:r>
        <w:t>п</w:t>
      </w:r>
      <w:r w:rsidRPr="00D60EFE">
        <w:rPr>
          <w:lang w:val="en-US"/>
        </w:rPr>
        <w:t xml:space="preserve">. 81; </w:t>
      </w:r>
      <w:hyperlink r:id="rId32" w:history="1">
        <w:r w:rsidRPr="009F6458">
          <w:rPr>
            <w:rStyle w:val="af1"/>
            <w:lang w:val="en-US"/>
          </w:rPr>
          <w:t>CAT/OP/PRT/1</w:t>
        </w:r>
      </w:hyperlink>
      <w:r w:rsidRPr="00D60EFE">
        <w:rPr>
          <w:lang w:val="en-US"/>
        </w:rPr>
        <w:t xml:space="preserve">, </w:t>
      </w:r>
      <w:r>
        <w:t>п</w:t>
      </w:r>
      <w:r w:rsidRPr="00D60EFE">
        <w:rPr>
          <w:lang w:val="en-US"/>
        </w:rPr>
        <w:t xml:space="preserve">. 40. </w:t>
      </w:r>
    </w:p>
  </w:footnote>
  <w:footnote w:id="50">
    <w:p w14:paraId="1C981FC3" w14:textId="3796AB97" w:rsidR="00C930F5" w:rsidRPr="00C930F5" w:rsidRDefault="00C930F5" w:rsidP="00C930F5">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"http://undocs.org/en/CAT/OP/MKD/1"</w:instrText>
      </w:r>
      <w:r w:rsidR="00E66900">
        <w:fldChar w:fldCharType="separate"/>
      </w:r>
      <w:r w:rsidRPr="009F6458">
        <w:rPr>
          <w:rStyle w:val="af1"/>
          <w:lang w:val="en-US"/>
        </w:rPr>
        <w:t>CAT/OP/MKD/1</w:t>
      </w:r>
      <w:r w:rsidR="00E66900">
        <w:rPr>
          <w:rStyle w:val="af1"/>
          <w:lang w:val="en-US"/>
        </w:rPr>
        <w:fldChar w:fldCharType="end"/>
      </w:r>
      <w:r w:rsidRPr="00D60EFE">
        <w:rPr>
          <w:lang w:val="en-US"/>
        </w:rPr>
        <w:t xml:space="preserve">, </w:t>
      </w:r>
      <w:r>
        <w:t>п</w:t>
      </w:r>
      <w:r w:rsidRPr="00D60EFE">
        <w:rPr>
          <w:lang w:val="en-US"/>
        </w:rPr>
        <w:t xml:space="preserve">. 53; </w:t>
      </w:r>
      <w:hyperlink r:id="rId33" w:history="1">
        <w:r w:rsidRPr="009F6458">
          <w:rPr>
            <w:rStyle w:val="af1"/>
            <w:lang w:val="en-US"/>
          </w:rPr>
          <w:t>CAT/OP/LBR/ROSP/1</w:t>
        </w:r>
      </w:hyperlink>
      <w:r w:rsidRPr="00D60EFE">
        <w:rPr>
          <w:lang w:val="en-US"/>
        </w:rPr>
        <w:t xml:space="preserve">, </w:t>
      </w:r>
      <w:r>
        <w:t>п</w:t>
      </w:r>
      <w:r w:rsidRPr="00D60EFE">
        <w:rPr>
          <w:lang w:val="en-US"/>
        </w:rPr>
        <w:t xml:space="preserve">. 77; </w:t>
      </w:r>
      <w:hyperlink r:id="rId34" w:history="1">
        <w:r w:rsidRPr="009F6458">
          <w:rPr>
            <w:rStyle w:val="af1"/>
            <w:lang w:val="en-US"/>
          </w:rPr>
          <w:t>CAT/OP/MEX/2</w:t>
        </w:r>
      </w:hyperlink>
      <w:r w:rsidRPr="00D60EFE">
        <w:rPr>
          <w:lang w:val="en-US"/>
        </w:rPr>
        <w:t xml:space="preserve">, </w:t>
      </w:r>
      <w:r>
        <w:t>п</w:t>
      </w:r>
      <w:r w:rsidRPr="00D60EFE">
        <w:rPr>
          <w:lang w:val="en-US"/>
        </w:rPr>
        <w:t>. 76.</w:t>
      </w:r>
    </w:p>
  </w:footnote>
  <w:footnote w:id="51">
    <w:p w14:paraId="13072FB2" w14:textId="4F8A614A" w:rsidR="00C930F5" w:rsidRPr="00C930F5" w:rsidRDefault="00C930F5" w:rsidP="00C930F5">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"http://undocs.org/ru/CAT/OP/BRA/1"</w:instrText>
      </w:r>
      <w:r w:rsidR="00E66900">
        <w:fldChar w:fldCharType="separate"/>
      </w:r>
      <w:r w:rsidRPr="009F6458">
        <w:rPr>
          <w:rStyle w:val="af1"/>
          <w:lang w:val="en-US"/>
        </w:rPr>
        <w:t>CAT/OP/BRA/1</w:t>
      </w:r>
      <w:r w:rsidR="00E66900">
        <w:rPr>
          <w:rStyle w:val="af1"/>
          <w:lang w:val="en-US"/>
        </w:rPr>
        <w:fldChar w:fldCharType="end"/>
      </w:r>
      <w:r w:rsidRPr="00D60EFE">
        <w:rPr>
          <w:lang w:val="en-US"/>
        </w:rPr>
        <w:t xml:space="preserve">, </w:t>
      </w:r>
      <w:r>
        <w:t>п</w:t>
      </w:r>
      <w:r w:rsidRPr="00D60EFE">
        <w:rPr>
          <w:lang w:val="en-US"/>
        </w:rPr>
        <w:t xml:space="preserve">. 132 b); </w:t>
      </w:r>
      <w:hyperlink r:id="rId35" w:history="1">
        <w:r w:rsidRPr="009F6458">
          <w:rPr>
            <w:rStyle w:val="af1"/>
            <w:lang w:val="en-US"/>
          </w:rPr>
          <w:t>CAT/OP/NIC/ROSP/1</w:t>
        </w:r>
      </w:hyperlink>
      <w:r w:rsidRPr="00D60EFE">
        <w:rPr>
          <w:lang w:val="en-US"/>
        </w:rPr>
        <w:t xml:space="preserve">, </w:t>
      </w:r>
      <w:r>
        <w:t>п</w:t>
      </w:r>
      <w:r w:rsidRPr="00D60EFE">
        <w:rPr>
          <w:lang w:val="en-US"/>
        </w:rPr>
        <w:t>. 91 2) a).</w:t>
      </w:r>
    </w:p>
  </w:footnote>
  <w:footnote w:id="52">
    <w:p w14:paraId="15BD7E75" w14:textId="10FBE7A6" w:rsidR="00C930F5" w:rsidRPr="00C930F5" w:rsidRDefault="00C930F5" w:rsidP="00C930F5">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"http://undocs.org/en/CAT/OP/BEN/3"</w:instrText>
      </w:r>
      <w:r w:rsidR="00E66900">
        <w:fldChar w:fldCharType="separate"/>
      </w:r>
      <w:r w:rsidRPr="009F6458">
        <w:rPr>
          <w:rStyle w:val="af1"/>
          <w:lang w:val="en-US"/>
        </w:rPr>
        <w:t>CAT/OP/BEN/3</w:t>
      </w:r>
      <w:r w:rsidR="00E66900">
        <w:rPr>
          <w:rStyle w:val="af1"/>
          <w:lang w:val="en-US"/>
        </w:rPr>
        <w:fldChar w:fldCharType="end"/>
      </w:r>
      <w:r w:rsidRPr="00D60EFE">
        <w:rPr>
          <w:lang w:val="en-US"/>
        </w:rPr>
        <w:t xml:space="preserve">, </w:t>
      </w:r>
      <w:r>
        <w:t>п</w:t>
      </w:r>
      <w:r w:rsidRPr="00D60EFE">
        <w:rPr>
          <w:lang w:val="en-US"/>
        </w:rPr>
        <w:t xml:space="preserve">. 81; </w:t>
      </w:r>
      <w:hyperlink r:id="rId36" w:history="1">
        <w:r w:rsidRPr="009F6458">
          <w:rPr>
            <w:rStyle w:val="af1"/>
            <w:lang w:val="en-US"/>
          </w:rPr>
          <w:t>CAT/OP/LBR/ROSP/1</w:t>
        </w:r>
      </w:hyperlink>
      <w:r w:rsidRPr="00D60EFE">
        <w:rPr>
          <w:lang w:val="en-US"/>
        </w:rPr>
        <w:t xml:space="preserve">, </w:t>
      </w:r>
      <w:r>
        <w:t>п</w:t>
      </w:r>
      <w:r w:rsidRPr="00D60EFE">
        <w:rPr>
          <w:lang w:val="en-US"/>
        </w:rPr>
        <w:t xml:space="preserve">. 58; </w:t>
      </w:r>
      <w:hyperlink r:id="rId37" w:history="1">
        <w:r w:rsidRPr="009F6458">
          <w:rPr>
            <w:rStyle w:val="af1"/>
            <w:lang w:val="en-US"/>
          </w:rPr>
          <w:t>CAT/OP/NIC/ROSP/1</w:t>
        </w:r>
      </w:hyperlink>
      <w:r w:rsidRPr="00D60EFE">
        <w:rPr>
          <w:lang w:val="en-US"/>
        </w:rPr>
        <w:t xml:space="preserve">, </w:t>
      </w:r>
      <w:r>
        <w:t>п</w:t>
      </w:r>
      <w:r w:rsidRPr="00D60EFE">
        <w:rPr>
          <w:lang w:val="en-US"/>
        </w:rPr>
        <w:t>. 89.</w:t>
      </w:r>
    </w:p>
  </w:footnote>
  <w:footnote w:id="53">
    <w:p w14:paraId="21A90A39" w14:textId="430BFDFD" w:rsidR="00C930F5" w:rsidRPr="00D60EFE" w:rsidRDefault="00C930F5" w:rsidP="00C930F5">
      <w:pPr>
        <w:pStyle w:val="ad"/>
        <w:tabs>
          <w:tab w:val="clear" w:pos="1021"/>
          <w:tab w:val="right" w:pos="1020"/>
        </w:tabs>
        <w:rPr>
          <w:szCs w:val="18"/>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"http://undocs.org/ru/CAT/OP/MEX/1"</w:instrText>
      </w:r>
      <w:r w:rsidR="00E66900">
        <w:fldChar w:fldCharType="separate"/>
      </w:r>
      <w:r w:rsidRPr="009F6458">
        <w:rPr>
          <w:rStyle w:val="af1"/>
          <w:lang w:val="en-US"/>
        </w:rPr>
        <w:t>CAT/OP/MEX/1</w:t>
      </w:r>
      <w:r w:rsidR="00E66900">
        <w:rPr>
          <w:rStyle w:val="af1"/>
          <w:lang w:val="en-US"/>
        </w:rPr>
        <w:fldChar w:fldCharType="end"/>
      </w:r>
      <w:r w:rsidRPr="00D60EFE">
        <w:rPr>
          <w:lang w:val="en-US"/>
        </w:rPr>
        <w:t xml:space="preserve">, </w:t>
      </w:r>
      <w:r>
        <w:t>пп</w:t>
      </w:r>
      <w:r w:rsidRPr="00D60EFE">
        <w:rPr>
          <w:lang w:val="en-US"/>
        </w:rPr>
        <w:t xml:space="preserve">. 245 </w:t>
      </w:r>
      <w:r>
        <w:t>и</w:t>
      </w:r>
      <w:r w:rsidRPr="00D60EFE">
        <w:rPr>
          <w:lang w:val="en-US"/>
        </w:rPr>
        <w:t xml:space="preserve"> 254. </w:t>
      </w:r>
      <w:r>
        <w:t>См. также Конвенцию о правах ребенка, ст. 37 с) и 40 2) b); Пекинские правила, правила 10.1 и 26.5; Правила Организации Объединенных Наций, касающиеся защиты несовершеннолетних, лишенных свободы, пп. 56 и 57.</w:t>
      </w:r>
    </w:p>
  </w:footnote>
  <w:footnote w:id="54">
    <w:p w14:paraId="6CF9FDA1" w14:textId="437051DB" w:rsidR="00C930F5" w:rsidRPr="00C930F5" w:rsidRDefault="00C930F5" w:rsidP="00C930F5">
      <w:pPr>
        <w:pStyle w:val="ad"/>
        <w:rPr>
          <w:szCs w:val="18"/>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"http://undocs.org/en/CAT/OP/LBR/ROSP/1"</w:instrText>
      </w:r>
      <w:r w:rsidR="00E66900">
        <w:fldChar w:fldCharType="separate"/>
      </w:r>
      <w:r w:rsidR="00C90FE4" w:rsidRPr="009F6458">
        <w:rPr>
          <w:rStyle w:val="af1"/>
          <w:lang w:val="en-US"/>
        </w:rPr>
        <w:t>CAT/OP/LBR/ROSP/1</w:t>
      </w:r>
      <w:r w:rsidR="00E66900">
        <w:rPr>
          <w:rStyle w:val="af1"/>
          <w:lang w:val="en-US"/>
        </w:rPr>
        <w:fldChar w:fldCharType="end"/>
      </w:r>
      <w:r w:rsidRPr="00D60EFE">
        <w:rPr>
          <w:lang w:val="en-US"/>
        </w:rPr>
        <w:t xml:space="preserve">, </w:t>
      </w:r>
      <w:r>
        <w:t>п</w:t>
      </w:r>
      <w:r w:rsidRPr="00D60EFE">
        <w:rPr>
          <w:lang w:val="en-US"/>
        </w:rPr>
        <w:t>. 41.</w:t>
      </w:r>
    </w:p>
  </w:footnote>
  <w:footnote w:id="55">
    <w:p w14:paraId="4D83E9EC" w14:textId="59DA2332" w:rsidR="00C930F5" w:rsidRPr="00C930F5" w:rsidRDefault="00C930F5" w:rsidP="00C930F5">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"http://undocs.org/en/CAT/OP/NIC/ROSP/1"</w:instrText>
      </w:r>
      <w:r w:rsidR="00E66900">
        <w:fldChar w:fldCharType="separate"/>
      </w:r>
      <w:r w:rsidR="00C90FE4" w:rsidRPr="009F6458">
        <w:rPr>
          <w:rStyle w:val="af1"/>
          <w:lang w:val="en-US"/>
        </w:rPr>
        <w:t>CAT/OP/NIC/ROSP/1</w:t>
      </w:r>
      <w:r w:rsidR="00E66900">
        <w:rPr>
          <w:rStyle w:val="af1"/>
          <w:lang w:val="en-US"/>
        </w:rPr>
        <w:fldChar w:fldCharType="end"/>
      </w:r>
      <w:r w:rsidRPr="00D60EFE">
        <w:rPr>
          <w:lang w:val="en-US"/>
        </w:rPr>
        <w:t xml:space="preserve">, </w:t>
      </w:r>
      <w:r>
        <w:t>п</w:t>
      </w:r>
      <w:r w:rsidRPr="00D60EFE">
        <w:rPr>
          <w:lang w:val="en-US"/>
        </w:rPr>
        <w:t>. 89.</w:t>
      </w:r>
    </w:p>
  </w:footnote>
  <w:footnote w:id="56">
    <w:p w14:paraId="58B1D3E1" w14:textId="340994CA" w:rsidR="00C930F5" w:rsidRPr="00D60EFE" w:rsidRDefault="00C930F5" w:rsidP="00C930F5">
      <w:pPr>
        <w:pStyle w:val="ad"/>
        <w:rPr>
          <w:szCs w:val="18"/>
        </w:rPr>
      </w:pPr>
      <w:r w:rsidRPr="00D60EFE">
        <w:rPr>
          <w:szCs w:val="18"/>
          <w:lang w:val="en-US"/>
        </w:rPr>
        <w:tab/>
      </w:r>
      <w:r w:rsidRPr="00056ED7">
        <w:rPr>
          <w:rStyle w:val="aa"/>
          <w:szCs w:val="18"/>
        </w:rPr>
        <w:footnoteRef/>
      </w:r>
      <w:r>
        <w:tab/>
        <w:t xml:space="preserve">Там же; </w:t>
      </w:r>
      <w:hyperlink r:id="rId38" w:history="1">
        <w:r w:rsidRPr="009F6458">
          <w:rPr>
            <w:rStyle w:val="af1"/>
          </w:rPr>
          <w:t>CAT/OP/BRA/1</w:t>
        </w:r>
      </w:hyperlink>
      <w:r>
        <w:t>, п. 142.</w:t>
      </w:r>
    </w:p>
  </w:footnote>
  <w:footnote w:id="57">
    <w:p w14:paraId="391A5414" w14:textId="41B3DA2D" w:rsidR="00C930F5" w:rsidRPr="00C930F5" w:rsidRDefault="00C930F5" w:rsidP="00C930F5">
      <w:pPr>
        <w:pStyle w:val="ad"/>
        <w:rPr>
          <w:szCs w:val="18"/>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"http://undocs.org/en/CAT/OP/ROU/1"</w:instrText>
      </w:r>
      <w:r w:rsidR="00E66900">
        <w:fldChar w:fldCharType="separate"/>
      </w:r>
      <w:r w:rsidRPr="009F6458">
        <w:rPr>
          <w:rStyle w:val="af1"/>
          <w:lang w:val="en-US"/>
        </w:rPr>
        <w:t>CAT/OP/ROU/1</w:t>
      </w:r>
      <w:r w:rsidR="00E66900">
        <w:rPr>
          <w:rStyle w:val="af1"/>
          <w:lang w:val="en-US"/>
        </w:rPr>
        <w:fldChar w:fldCharType="end"/>
      </w:r>
      <w:r w:rsidRPr="00D60EFE">
        <w:rPr>
          <w:lang w:val="en-US"/>
        </w:rPr>
        <w:t xml:space="preserve">, </w:t>
      </w:r>
      <w:r>
        <w:t>п</w:t>
      </w:r>
      <w:r w:rsidRPr="00D60EFE">
        <w:rPr>
          <w:lang w:val="en-US"/>
        </w:rPr>
        <w:t>. 54 d).</w:t>
      </w:r>
    </w:p>
  </w:footnote>
  <w:footnote w:id="58">
    <w:p w14:paraId="421847FA" w14:textId="1ECEC5BF" w:rsidR="00C930F5" w:rsidRPr="00C930F5" w:rsidRDefault="00C930F5" w:rsidP="00C930F5">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"http://undocs.org/en/CAT/OP/AUS/ROSP/1"</w:instrText>
      </w:r>
      <w:r w:rsidR="00E66900">
        <w:fldChar w:fldCharType="separate"/>
      </w:r>
      <w:r w:rsidRPr="009F6458">
        <w:rPr>
          <w:rStyle w:val="af1"/>
          <w:lang w:val="en-US"/>
        </w:rPr>
        <w:t>CAT/OP/AUS/ROSP/1</w:t>
      </w:r>
      <w:r w:rsidR="00E66900">
        <w:rPr>
          <w:rStyle w:val="af1"/>
          <w:lang w:val="en-US"/>
        </w:rPr>
        <w:fldChar w:fldCharType="end"/>
      </w:r>
      <w:r w:rsidRPr="00D60EFE">
        <w:rPr>
          <w:lang w:val="en-US"/>
        </w:rPr>
        <w:t xml:space="preserve">, </w:t>
      </w:r>
      <w:r>
        <w:t>п</w:t>
      </w:r>
      <w:r w:rsidRPr="00D60EFE">
        <w:rPr>
          <w:lang w:val="en-US"/>
        </w:rPr>
        <w:t>. 101.</w:t>
      </w:r>
    </w:p>
  </w:footnote>
  <w:footnote w:id="59">
    <w:p w14:paraId="388E0AF3" w14:textId="4DDCFDB8" w:rsidR="00C930F5" w:rsidRPr="00C930F5" w:rsidRDefault="00C930F5" w:rsidP="00C930F5">
      <w:pPr>
        <w:pStyle w:val="ad"/>
        <w:rPr>
          <w:szCs w:val="18"/>
          <w:lang w:val="en-US"/>
        </w:rPr>
      </w:pPr>
      <w:r w:rsidRPr="00D60EFE">
        <w:rPr>
          <w:szCs w:val="18"/>
          <w:lang w:val="en-US"/>
        </w:rPr>
        <w:tab/>
      </w:r>
      <w:r w:rsidRPr="00056ED7">
        <w:rPr>
          <w:rStyle w:val="aa"/>
          <w:szCs w:val="18"/>
        </w:rPr>
        <w:footnoteRef/>
      </w:r>
      <w:r w:rsidRPr="00D60EFE">
        <w:rPr>
          <w:lang w:val="en-US"/>
        </w:rPr>
        <w:tab/>
      </w:r>
      <w:r>
        <w:t>Там</w:t>
      </w:r>
      <w:r w:rsidRPr="00D60EFE">
        <w:rPr>
          <w:lang w:val="en-US"/>
        </w:rPr>
        <w:t xml:space="preserve"> </w:t>
      </w:r>
      <w:r>
        <w:t>же</w:t>
      </w:r>
      <w:r w:rsidRPr="00D60EFE">
        <w:rPr>
          <w:lang w:val="en-US"/>
        </w:rPr>
        <w:t xml:space="preserve">, </w:t>
      </w:r>
      <w:r>
        <w:t>п</w:t>
      </w:r>
      <w:r w:rsidRPr="00D60EFE">
        <w:rPr>
          <w:lang w:val="en-US"/>
        </w:rPr>
        <w:t xml:space="preserve">. 74; </w:t>
      </w:r>
      <w:r w:rsidR="00E66900">
        <w:fldChar w:fldCharType="begin"/>
      </w:r>
      <w:r w:rsidR="00E66900" w:rsidRPr="00956DCB">
        <w:rPr>
          <w:lang w:val="en-US"/>
        </w:rPr>
        <w:instrText>HYPERLINK "http://undocs.org/ru/CAT/OP/PRY/1"</w:instrText>
      </w:r>
      <w:r w:rsidR="00E66900">
        <w:fldChar w:fldCharType="separate"/>
      </w:r>
      <w:r w:rsidRPr="009F6458">
        <w:rPr>
          <w:rStyle w:val="af1"/>
          <w:lang w:val="en-US"/>
        </w:rPr>
        <w:t>CAT/OP/PRY/1</w:t>
      </w:r>
      <w:r w:rsidR="00E66900">
        <w:rPr>
          <w:rStyle w:val="af1"/>
          <w:lang w:val="en-US"/>
        </w:rPr>
        <w:fldChar w:fldCharType="end"/>
      </w:r>
      <w:r w:rsidRPr="00D60EFE">
        <w:rPr>
          <w:lang w:val="en-US"/>
        </w:rPr>
        <w:t xml:space="preserve">, </w:t>
      </w:r>
      <w:r>
        <w:t>п</w:t>
      </w:r>
      <w:r w:rsidRPr="00D60EFE">
        <w:rPr>
          <w:lang w:val="en-US"/>
        </w:rPr>
        <w:t xml:space="preserve">. 185; </w:t>
      </w:r>
      <w:hyperlink r:id="rId39" w:history="1">
        <w:r w:rsidRPr="009F6458">
          <w:rPr>
            <w:rStyle w:val="af1"/>
            <w:lang w:val="en-US"/>
          </w:rPr>
          <w:t>CAT/OP/POL/ROSP/1</w:t>
        </w:r>
      </w:hyperlink>
      <w:r w:rsidRPr="00D60EFE">
        <w:rPr>
          <w:lang w:val="en-US"/>
        </w:rPr>
        <w:t xml:space="preserve">, </w:t>
      </w:r>
      <w:r>
        <w:t>п</w:t>
      </w:r>
      <w:r w:rsidRPr="00D60EFE">
        <w:rPr>
          <w:lang w:val="en-US"/>
        </w:rPr>
        <w:t xml:space="preserve">. 126. </w:t>
      </w:r>
    </w:p>
  </w:footnote>
  <w:footnote w:id="60">
    <w:p w14:paraId="69BF5436" w14:textId="0FDD218B" w:rsidR="009F6458" w:rsidRPr="00D60EFE" w:rsidRDefault="009F6458" w:rsidP="009F6458">
      <w:pPr>
        <w:pStyle w:val="ad"/>
        <w:rPr>
          <w:szCs w:val="18"/>
        </w:rPr>
      </w:pPr>
      <w:r w:rsidRPr="00D60EFE">
        <w:rPr>
          <w:szCs w:val="18"/>
          <w:lang w:val="en-US"/>
        </w:rPr>
        <w:tab/>
      </w:r>
      <w:r w:rsidRPr="00056ED7">
        <w:rPr>
          <w:rStyle w:val="aa"/>
          <w:szCs w:val="18"/>
        </w:rPr>
        <w:footnoteRef/>
      </w:r>
      <w:r>
        <w:tab/>
        <w:t xml:space="preserve">Подборка имеющихся ежегодных докладов, которые были получены от национальных превентивных механизмов, размещена по адресу: </w:t>
      </w:r>
      <w:hyperlink r:id="rId40" w:history="1">
        <w:r w:rsidRPr="00A114F7">
          <w:rPr>
            <w:rStyle w:val="af1"/>
          </w:rPr>
          <w:t>https://www.ohchr.org/en/treaty-bodies/spt/annual-reports-received-subcommittee-national-preventive-mechanisms</w:t>
        </w:r>
      </w:hyperlink>
      <w:r>
        <w:t>.</w:t>
      </w:r>
    </w:p>
  </w:footnote>
  <w:footnote w:id="61">
    <w:p w14:paraId="6C0E9333" w14:textId="77777777" w:rsidR="009F6458" w:rsidRPr="00D60EFE" w:rsidRDefault="009F6458" w:rsidP="009F6458">
      <w:pPr>
        <w:pStyle w:val="ad"/>
        <w:rPr>
          <w:szCs w:val="18"/>
        </w:rPr>
      </w:pPr>
      <w:r w:rsidRPr="00056ED7">
        <w:rPr>
          <w:szCs w:val="18"/>
        </w:rPr>
        <w:tab/>
      </w:r>
      <w:r w:rsidRPr="00056ED7">
        <w:rPr>
          <w:rStyle w:val="aa"/>
          <w:szCs w:val="18"/>
        </w:rPr>
        <w:footnoteRef/>
      </w:r>
      <w:r>
        <w:tab/>
        <w:t>Замечание общего порядка № 1 (2024), п. 57.</w:t>
      </w:r>
    </w:p>
  </w:footnote>
  <w:footnote w:id="62">
    <w:p w14:paraId="063207D6" w14:textId="11304D92" w:rsidR="009F6458" w:rsidRPr="00D60EFE" w:rsidRDefault="009F6458" w:rsidP="009F6458">
      <w:pPr>
        <w:pStyle w:val="ad"/>
        <w:rPr>
          <w:szCs w:val="18"/>
        </w:rPr>
      </w:pPr>
      <w:r w:rsidRPr="00056ED7">
        <w:rPr>
          <w:szCs w:val="18"/>
        </w:rPr>
        <w:tab/>
      </w:r>
      <w:r w:rsidRPr="00056ED7">
        <w:rPr>
          <w:rStyle w:val="aa"/>
          <w:szCs w:val="18"/>
        </w:rPr>
        <w:footnoteRef/>
      </w:r>
      <w:r>
        <w:tab/>
        <w:t xml:space="preserve">Там же, п. 51. См. также </w:t>
      </w:r>
      <w:hyperlink r:id="rId41" w:history="1">
        <w:r w:rsidRPr="009F6458">
          <w:rPr>
            <w:rStyle w:val="af1"/>
          </w:rPr>
          <w:t>CAT/OP/KGZ/2</w:t>
        </w:r>
      </w:hyperlink>
      <w:r>
        <w:t>, п. 40.</w:t>
      </w:r>
    </w:p>
  </w:footnote>
  <w:footnote w:id="63">
    <w:p w14:paraId="48635D68" w14:textId="609BFE1D" w:rsidR="009F6458" w:rsidRPr="009F6458" w:rsidRDefault="009F6458" w:rsidP="009F6458">
      <w:pPr>
        <w:pStyle w:val="ad"/>
        <w:rPr>
          <w:szCs w:val="18"/>
          <w:lang w:val="en-US"/>
        </w:rPr>
      </w:pPr>
      <w:r w:rsidRPr="00056ED7">
        <w:rPr>
          <w:szCs w:val="18"/>
        </w:rPr>
        <w:tab/>
      </w:r>
      <w:r w:rsidRPr="00056ED7">
        <w:rPr>
          <w:rStyle w:val="aa"/>
          <w:szCs w:val="18"/>
        </w:rPr>
        <w:footnoteRef/>
      </w:r>
      <w:r w:rsidRPr="00D60EFE">
        <w:rPr>
          <w:lang w:val="en-US"/>
        </w:rPr>
        <w:tab/>
      </w:r>
      <w:r>
        <w:t>См</w:t>
      </w:r>
      <w:r w:rsidRPr="00D60EFE">
        <w:rPr>
          <w:lang w:val="en-US"/>
        </w:rPr>
        <w:t xml:space="preserve">., </w:t>
      </w:r>
      <w:r>
        <w:t>в</w:t>
      </w:r>
      <w:r w:rsidRPr="00D60EFE">
        <w:rPr>
          <w:lang w:val="en-US"/>
        </w:rPr>
        <w:t xml:space="preserve"> </w:t>
      </w:r>
      <w:r>
        <w:t>частности</w:t>
      </w:r>
      <w:r w:rsidRPr="00D60EFE">
        <w:rPr>
          <w:lang w:val="en-US"/>
        </w:rPr>
        <w:t xml:space="preserve">, BFM TV, </w:t>
      </w:r>
      <w:r w:rsidR="00A05D3E" w:rsidRPr="00A05D3E">
        <w:rPr>
          <w:lang w:val="en-US"/>
        </w:rPr>
        <w:t>«</w:t>
      </w:r>
      <w:r w:rsidRPr="00D60EFE">
        <w:rPr>
          <w:lang w:val="en-US"/>
        </w:rPr>
        <w:t>Sénégal : le sort d’un élève battu à mort dans une école coranique scandalise le pays</w:t>
      </w:r>
      <w:r w:rsidR="00A05D3E" w:rsidRPr="00A05D3E">
        <w:rPr>
          <w:lang w:val="en-US"/>
        </w:rPr>
        <w:t>»</w:t>
      </w:r>
      <w:r w:rsidRPr="00D60EFE">
        <w:rPr>
          <w:lang w:val="en-US"/>
        </w:rPr>
        <w:t xml:space="preserve">, 31 January 2020; Lucie Sarr, </w:t>
      </w:r>
      <w:r w:rsidR="00A05D3E" w:rsidRPr="00A05D3E">
        <w:rPr>
          <w:lang w:val="en-US"/>
        </w:rPr>
        <w:t>«</w:t>
      </w:r>
      <w:r w:rsidRPr="00D60EFE">
        <w:rPr>
          <w:lang w:val="en-US"/>
        </w:rPr>
        <w:t>Sénégal : un maître d’école coranique condamné pour avoir enchaîné ses élèves</w:t>
      </w:r>
      <w:r w:rsidR="00A05D3E" w:rsidRPr="00A05D3E">
        <w:rPr>
          <w:lang w:val="en-US"/>
        </w:rPr>
        <w:t>»</w:t>
      </w:r>
      <w:r w:rsidRPr="00D60EFE">
        <w:rPr>
          <w:lang w:val="en-US"/>
        </w:rPr>
        <w:t xml:space="preserve">, La Croix, 5 December 2019; Human Rights Watch, </w:t>
      </w:r>
      <w:r w:rsidR="00A05D3E" w:rsidRPr="00A05D3E">
        <w:rPr>
          <w:lang w:val="en-US"/>
        </w:rPr>
        <w:t>«</w:t>
      </w:r>
      <w:r w:rsidRPr="00D60EFE">
        <w:rPr>
          <w:lang w:val="en-US"/>
        </w:rPr>
        <w:t>Off the backs of children: forced begging and other ill-treatment against talibés in Senegal</w:t>
      </w:r>
      <w:r w:rsidR="00A05D3E" w:rsidRPr="00A05D3E">
        <w:rPr>
          <w:lang w:val="en-US"/>
        </w:rPr>
        <w:t>»</w:t>
      </w:r>
      <w:r w:rsidRPr="00D60EFE">
        <w:rPr>
          <w:lang w:val="en-US"/>
        </w:rPr>
        <w:t>, 15 April 2010;</w:t>
      </w:r>
      <w:r w:rsidR="00A05D3E" w:rsidRPr="00A05D3E">
        <w:rPr>
          <w:lang w:val="en-US"/>
        </w:rPr>
        <w:br/>
      </w:r>
      <w:r w:rsidRPr="00D60EFE">
        <w:rPr>
          <w:lang w:val="en-US"/>
        </w:rPr>
        <w:t xml:space="preserve">The Economist, </w:t>
      </w:r>
      <w:r w:rsidR="00A05D3E" w:rsidRPr="00A05D3E">
        <w:rPr>
          <w:lang w:val="en-US"/>
        </w:rPr>
        <w:t>«</w:t>
      </w:r>
      <w:r w:rsidRPr="00D60EFE">
        <w:rPr>
          <w:lang w:val="en-US"/>
        </w:rPr>
        <w:t>Thousands of children are abused in Senegal’s religious schools</w:t>
      </w:r>
      <w:r w:rsidR="00A05D3E" w:rsidRPr="00A05D3E">
        <w:rPr>
          <w:lang w:val="en-US"/>
        </w:rPr>
        <w:t>»</w:t>
      </w:r>
      <w:r w:rsidRPr="00D60EFE">
        <w:rPr>
          <w:lang w:val="en-US"/>
        </w:rPr>
        <w:t xml:space="preserve">, 13 June 2019; Understanding Children’s Work, </w:t>
      </w:r>
      <w:r w:rsidRPr="00D60EFE">
        <w:rPr>
          <w:i/>
          <w:iCs/>
          <w:lang w:val="en-US"/>
        </w:rPr>
        <w:t>Enfants mendiants dans la région de Dakar</w:t>
      </w:r>
      <w:r w:rsidRPr="00D60EFE">
        <w:rPr>
          <w:lang w:val="en-US"/>
        </w:rPr>
        <w:t>, Project Working Paper Series (2007).</w:t>
      </w:r>
    </w:p>
  </w:footnote>
  <w:footnote w:id="64">
    <w:p w14:paraId="27032F42" w14:textId="649502AA" w:rsidR="009F6458" w:rsidRPr="009F6458" w:rsidRDefault="009F6458" w:rsidP="009F6458">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"http://undocs.org/en/CAT/OP/SEN/RONPM/1"</w:instrText>
      </w:r>
      <w:r w:rsidR="00E66900">
        <w:fldChar w:fldCharType="separate"/>
      </w:r>
      <w:r w:rsidRPr="009F6458">
        <w:rPr>
          <w:rStyle w:val="af1"/>
          <w:lang w:val="en-US"/>
        </w:rPr>
        <w:t>CAT/OP/SEN/RONPM/1</w:t>
      </w:r>
      <w:r w:rsidR="00E66900">
        <w:rPr>
          <w:rStyle w:val="af1"/>
          <w:lang w:val="en-US"/>
        </w:rPr>
        <w:fldChar w:fldCharType="end"/>
      </w:r>
      <w:r w:rsidRPr="00D60EFE">
        <w:rPr>
          <w:lang w:val="en-US"/>
        </w:rPr>
        <w:t xml:space="preserve">, </w:t>
      </w:r>
      <w:r>
        <w:t>пп</w:t>
      </w:r>
      <w:r w:rsidRPr="00D60EFE">
        <w:rPr>
          <w:lang w:val="en-US"/>
        </w:rPr>
        <w:t xml:space="preserve">. 30 </w:t>
      </w:r>
      <w:r>
        <w:t>и</w:t>
      </w:r>
      <w:r w:rsidRPr="00D60EFE">
        <w:rPr>
          <w:lang w:val="en-US"/>
        </w:rPr>
        <w:t xml:space="preserve"> 31.</w:t>
      </w:r>
    </w:p>
  </w:footnote>
  <w:footnote w:id="65">
    <w:p w14:paraId="4038AD99" w14:textId="2CBA57CA" w:rsidR="009F6458" w:rsidRPr="009F6458" w:rsidRDefault="009F6458" w:rsidP="009F6458">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"http://undocs.org/ru/CAT/C/SEN/CO/4"</w:instrText>
      </w:r>
      <w:r w:rsidR="00E66900">
        <w:fldChar w:fldCharType="separate"/>
      </w:r>
      <w:r w:rsidRPr="009F6458">
        <w:rPr>
          <w:rStyle w:val="af1"/>
          <w:lang w:val="en-US"/>
        </w:rPr>
        <w:t>CAT/C/SEN/CO/4</w:t>
      </w:r>
      <w:r w:rsidR="00E66900">
        <w:rPr>
          <w:rStyle w:val="af1"/>
          <w:lang w:val="en-US"/>
        </w:rPr>
        <w:fldChar w:fldCharType="end"/>
      </w:r>
      <w:r w:rsidRPr="00D60EFE">
        <w:rPr>
          <w:lang w:val="en-US"/>
        </w:rPr>
        <w:t xml:space="preserve">, </w:t>
      </w:r>
      <w:r>
        <w:t>п</w:t>
      </w:r>
      <w:r w:rsidRPr="00D60EFE">
        <w:rPr>
          <w:lang w:val="en-US"/>
        </w:rPr>
        <w:t>. 32 b).</w:t>
      </w:r>
    </w:p>
  </w:footnote>
  <w:footnote w:id="66">
    <w:p w14:paraId="5968B061" w14:textId="05433998" w:rsidR="009F6458" w:rsidRPr="009F6458" w:rsidRDefault="009F6458" w:rsidP="009F6458">
      <w:pPr>
        <w:pStyle w:val="ad"/>
        <w:rPr>
          <w:szCs w:val="18"/>
          <w:u w:val="single"/>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"http://undocs.org/ru/CAT/OP/KAZ/1"</w:instrText>
      </w:r>
      <w:r w:rsidR="00E66900">
        <w:fldChar w:fldCharType="separate"/>
      </w:r>
      <w:r w:rsidRPr="009F6458">
        <w:rPr>
          <w:rStyle w:val="af1"/>
          <w:lang w:val="en-US"/>
        </w:rPr>
        <w:t>CAT/OP/KAZ/1</w:t>
      </w:r>
      <w:r w:rsidR="00E66900">
        <w:rPr>
          <w:rStyle w:val="af1"/>
          <w:lang w:val="en-US"/>
        </w:rPr>
        <w:fldChar w:fldCharType="end"/>
      </w:r>
      <w:r w:rsidRPr="00D60EFE">
        <w:rPr>
          <w:lang w:val="en-US"/>
        </w:rPr>
        <w:t xml:space="preserve">, </w:t>
      </w:r>
      <w:r>
        <w:t>пп</w:t>
      </w:r>
      <w:r w:rsidRPr="00D60EFE">
        <w:rPr>
          <w:lang w:val="en-US"/>
        </w:rPr>
        <w:t xml:space="preserve">. 76 </w:t>
      </w:r>
      <w:r>
        <w:t>и</w:t>
      </w:r>
      <w:r w:rsidRPr="00D60EFE">
        <w:rPr>
          <w:lang w:val="en-US"/>
        </w:rPr>
        <w:t xml:space="preserve"> 99; </w:t>
      </w:r>
      <w:hyperlink r:id="rId42" w:history="1">
        <w:r w:rsidRPr="009F6458">
          <w:rPr>
            <w:rStyle w:val="af1"/>
            <w:lang w:val="en-US"/>
          </w:rPr>
          <w:t>CAT/OP/ARG/1</w:t>
        </w:r>
      </w:hyperlink>
      <w:r w:rsidRPr="00D60EFE">
        <w:rPr>
          <w:lang w:val="en-US"/>
        </w:rPr>
        <w:t xml:space="preserve">, </w:t>
      </w:r>
      <w:r>
        <w:t>п</w:t>
      </w:r>
      <w:r w:rsidRPr="00D60EFE">
        <w:rPr>
          <w:lang w:val="en-US"/>
        </w:rPr>
        <w:t>. 40.</w:t>
      </w:r>
    </w:p>
  </w:footnote>
  <w:footnote w:id="67">
    <w:p w14:paraId="2043655D" w14:textId="56721CB2" w:rsidR="009F6458" w:rsidRPr="009F6458" w:rsidRDefault="009F6458" w:rsidP="009F6458">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"http://undocs.org/en/CAT/OP/BLZ/ROSP/1"</w:instrText>
      </w:r>
      <w:r w:rsidR="00E66900">
        <w:fldChar w:fldCharType="separate"/>
      </w:r>
      <w:r w:rsidRPr="009F6458">
        <w:rPr>
          <w:rStyle w:val="af1"/>
          <w:lang w:val="en-US"/>
        </w:rPr>
        <w:t>CAT/OP/BLZ/ROSP/1</w:t>
      </w:r>
      <w:r w:rsidR="00E66900">
        <w:rPr>
          <w:rStyle w:val="af1"/>
          <w:lang w:val="en-US"/>
        </w:rPr>
        <w:fldChar w:fldCharType="end"/>
      </w:r>
      <w:r w:rsidRPr="00D60EFE">
        <w:rPr>
          <w:lang w:val="en-US"/>
        </w:rPr>
        <w:t xml:space="preserve">, </w:t>
      </w:r>
      <w:r>
        <w:t>п</w:t>
      </w:r>
      <w:r w:rsidRPr="00D60EFE">
        <w:rPr>
          <w:lang w:val="en-US"/>
        </w:rPr>
        <w:t>. 93.</w:t>
      </w:r>
    </w:p>
  </w:footnote>
  <w:footnote w:id="68">
    <w:p w14:paraId="54945862" w14:textId="6DC611FD" w:rsidR="009F6458" w:rsidRPr="009F6458" w:rsidRDefault="009F6458" w:rsidP="009F6458">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"http://undocs.org/ru/CAT/OP/KAZ/1"</w:instrText>
      </w:r>
      <w:r w:rsidR="00E66900">
        <w:fldChar w:fldCharType="separate"/>
      </w:r>
      <w:r w:rsidRPr="009F6458">
        <w:rPr>
          <w:rStyle w:val="af1"/>
          <w:lang w:val="en-US"/>
        </w:rPr>
        <w:t>CAT/OP/KAZ/1</w:t>
      </w:r>
      <w:r w:rsidR="00E66900">
        <w:rPr>
          <w:rStyle w:val="af1"/>
          <w:lang w:val="en-US"/>
        </w:rPr>
        <w:fldChar w:fldCharType="end"/>
      </w:r>
      <w:r w:rsidRPr="00D60EFE">
        <w:rPr>
          <w:lang w:val="en-US"/>
        </w:rPr>
        <w:t xml:space="preserve">, </w:t>
      </w:r>
      <w:r>
        <w:t>п</w:t>
      </w:r>
      <w:r w:rsidRPr="00D60EFE">
        <w:rPr>
          <w:lang w:val="en-US"/>
        </w:rPr>
        <w:t xml:space="preserve">. 99. </w:t>
      </w:r>
      <w:r>
        <w:t>См</w:t>
      </w:r>
      <w:r w:rsidRPr="00D60EFE">
        <w:rPr>
          <w:lang w:val="en-US"/>
        </w:rPr>
        <w:t xml:space="preserve">. </w:t>
      </w:r>
      <w:r>
        <w:t>также</w:t>
      </w:r>
      <w:r w:rsidRPr="00D60EFE">
        <w:rPr>
          <w:lang w:val="en-US"/>
        </w:rPr>
        <w:t xml:space="preserve"> </w:t>
      </w:r>
      <w:hyperlink r:id="rId43" w:history="1">
        <w:r w:rsidRPr="009F6458">
          <w:rPr>
            <w:rStyle w:val="af1"/>
            <w:lang w:val="en-US"/>
          </w:rPr>
          <w:t>CAT/OP/MDV/ROSP/2</w:t>
        </w:r>
      </w:hyperlink>
      <w:r w:rsidRPr="00D60EFE">
        <w:rPr>
          <w:lang w:val="en-US"/>
        </w:rPr>
        <w:t xml:space="preserve">, </w:t>
      </w:r>
      <w:r>
        <w:t>п</w:t>
      </w:r>
      <w:r w:rsidRPr="00D60EFE">
        <w:rPr>
          <w:lang w:val="en-US"/>
        </w:rPr>
        <w:t>. 61.</w:t>
      </w:r>
    </w:p>
  </w:footnote>
  <w:footnote w:id="69">
    <w:p w14:paraId="5A0F78E6" w14:textId="7ABFF9E7" w:rsidR="009F6458" w:rsidRPr="009F6458" w:rsidRDefault="009F6458" w:rsidP="009F6458">
      <w:pPr>
        <w:pStyle w:val="ad"/>
        <w:rPr>
          <w:szCs w:val="18"/>
          <w:highlight w:val="yellow"/>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"http://undocs.org/en/CAT/OP/MKD/1"</w:instrText>
      </w:r>
      <w:r w:rsidR="00E66900">
        <w:fldChar w:fldCharType="separate"/>
      </w:r>
      <w:r w:rsidRPr="009F6458">
        <w:rPr>
          <w:rStyle w:val="af1"/>
          <w:lang w:val="en-US"/>
        </w:rPr>
        <w:t>CAT/OP/MKD/1</w:t>
      </w:r>
      <w:r w:rsidR="00E66900">
        <w:rPr>
          <w:rStyle w:val="af1"/>
          <w:lang w:val="en-US"/>
        </w:rPr>
        <w:fldChar w:fldCharType="end"/>
      </w:r>
      <w:r w:rsidRPr="00D60EFE">
        <w:rPr>
          <w:lang w:val="en-US"/>
        </w:rPr>
        <w:t xml:space="preserve">, </w:t>
      </w:r>
      <w:r>
        <w:t>п</w:t>
      </w:r>
      <w:r w:rsidRPr="00D60EFE">
        <w:rPr>
          <w:lang w:val="en-US"/>
        </w:rPr>
        <w:t xml:space="preserve">. 46; </w:t>
      </w:r>
      <w:hyperlink r:id="rId44" w:history="1">
        <w:r w:rsidRPr="009F6458">
          <w:rPr>
            <w:rStyle w:val="af1"/>
            <w:lang w:val="en-US"/>
          </w:rPr>
          <w:t>CAT/OP/NZL/1</w:t>
        </w:r>
      </w:hyperlink>
      <w:r w:rsidRPr="00D60EFE">
        <w:rPr>
          <w:lang w:val="en-US"/>
        </w:rPr>
        <w:t xml:space="preserve">, </w:t>
      </w:r>
      <w:r>
        <w:t>п</w:t>
      </w:r>
      <w:r w:rsidRPr="00D60EFE">
        <w:rPr>
          <w:lang w:val="en-US"/>
        </w:rPr>
        <w:t xml:space="preserve">. 76. </w:t>
      </w:r>
    </w:p>
  </w:footnote>
  <w:footnote w:id="70">
    <w:p w14:paraId="1E9DEC78" w14:textId="191C576F" w:rsidR="009F6458" w:rsidRPr="00D60EFE" w:rsidRDefault="009F6458" w:rsidP="009F6458">
      <w:pPr>
        <w:pStyle w:val="ad"/>
        <w:rPr>
          <w:szCs w:val="18"/>
        </w:rPr>
      </w:pPr>
      <w:r w:rsidRPr="00D60EFE">
        <w:rPr>
          <w:szCs w:val="18"/>
          <w:lang w:val="en-US"/>
        </w:rPr>
        <w:tab/>
      </w:r>
      <w:r w:rsidRPr="00056ED7">
        <w:rPr>
          <w:rStyle w:val="aa"/>
          <w:szCs w:val="18"/>
        </w:rPr>
        <w:footnoteRef/>
      </w:r>
      <w:r>
        <w:tab/>
        <w:t>Международный пакт о гражданских и политических правах, ст. 27; Международная организация труда (МОТ), Конвенция 1989 года о коренных народах и народах, ведущих племенной образ жизни (№ 169), ст. 5; Декларация Организации Объединенных Наций</w:t>
      </w:r>
      <w:r w:rsidR="00A05D3E" w:rsidRPr="00A05D3E">
        <w:br/>
      </w:r>
      <w:r>
        <w:t>о правах коренных народов, ст. 11, 12, 31 и 34.</w:t>
      </w:r>
    </w:p>
  </w:footnote>
  <w:footnote w:id="71">
    <w:p w14:paraId="2B857410" w14:textId="1B680A06" w:rsidR="009F6458" w:rsidRPr="009F6458" w:rsidRDefault="009F6458" w:rsidP="009F6458">
      <w:pPr>
        <w:pStyle w:val="ad"/>
        <w:rPr>
          <w:szCs w:val="18"/>
          <w:lang w:val="en-US"/>
        </w:rPr>
      </w:pPr>
      <w:r w:rsidRPr="00056ED7">
        <w:rPr>
          <w:szCs w:val="18"/>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"http://undocs.org/en/CAT/OP/CHL/1"</w:instrText>
      </w:r>
      <w:r w:rsidR="00E66900">
        <w:fldChar w:fldCharType="separate"/>
      </w:r>
      <w:r w:rsidRPr="009F6458">
        <w:rPr>
          <w:rStyle w:val="af1"/>
          <w:lang w:val="en-US"/>
        </w:rPr>
        <w:t>CAT/OP/CHL/1</w:t>
      </w:r>
      <w:r w:rsidR="00E66900">
        <w:rPr>
          <w:rStyle w:val="af1"/>
          <w:lang w:val="en-US"/>
        </w:rPr>
        <w:fldChar w:fldCharType="end"/>
      </w:r>
      <w:r w:rsidRPr="00D60EFE">
        <w:rPr>
          <w:lang w:val="en-US"/>
        </w:rPr>
        <w:t xml:space="preserve">, </w:t>
      </w:r>
      <w:r>
        <w:t>пп</w:t>
      </w:r>
      <w:r w:rsidRPr="00D60EFE">
        <w:rPr>
          <w:lang w:val="en-US"/>
        </w:rPr>
        <w:t xml:space="preserve">. 121 </w:t>
      </w:r>
      <w:r>
        <w:t>и</w:t>
      </w:r>
      <w:r w:rsidRPr="00D60EFE">
        <w:rPr>
          <w:lang w:val="en-US"/>
        </w:rPr>
        <w:t xml:space="preserve"> 122.</w:t>
      </w:r>
    </w:p>
  </w:footnote>
  <w:footnote w:id="72">
    <w:p w14:paraId="39C253B1" w14:textId="3E3B7425" w:rsidR="009F6458" w:rsidRPr="00207141" w:rsidRDefault="009F6458" w:rsidP="009F6458">
      <w:pPr>
        <w:pStyle w:val="ad"/>
        <w:rPr>
          <w:szCs w:val="18"/>
          <w:lang w:val="en-US"/>
        </w:rPr>
      </w:pPr>
      <w:r w:rsidRPr="00D60EFE">
        <w:rPr>
          <w:szCs w:val="18"/>
          <w:lang w:val="en-US"/>
        </w:rPr>
        <w:tab/>
      </w:r>
      <w:r w:rsidRPr="00056ED7">
        <w:rPr>
          <w:rStyle w:val="aa"/>
          <w:szCs w:val="18"/>
        </w:rPr>
        <w:footnoteRef/>
      </w:r>
      <w:r w:rsidRPr="00D60EFE">
        <w:rPr>
          <w:lang w:val="en-US"/>
        </w:rPr>
        <w:tab/>
      </w:r>
      <w:r w:rsidR="00E66900">
        <w:fldChar w:fldCharType="begin"/>
      </w:r>
      <w:r w:rsidR="00E66900" w:rsidRPr="00956DCB">
        <w:rPr>
          <w:lang w:val="en-US"/>
        </w:rPr>
        <w:instrText>HYPERLINK "http://undocs.org/en/CAT/OP/CYP/1"</w:instrText>
      </w:r>
      <w:r w:rsidR="00E66900">
        <w:fldChar w:fldCharType="separate"/>
      </w:r>
      <w:r w:rsidRPr="009F6458">
        <w:rPr>
          <w:rStyle w:val="af1"/>
          <w:lang w:val="en-US"/>
        </w:rPr>
        <w:t>CAT/OP/CYP/1</w:t>
      </w:r>
      <w:r w:rsidR="00E66900">
        <w:rPr>
          <w:rStyle w:val="af1"/>
          <w:lang w:val="en-US"/>
        </w:rPr>
        <w:fldChar w:fldCharType="end"/>
      </w:r>
      <w:r w:rsidRPr="00D60EFE">
        <w:rPr>
          <w:lang w:val="en-US"/>
        </w:rPr>
        <w:t xml:space="preserve">, </w:t>
      </w:r>
      <w:r>
        <w:t>пп</w:t>
      </w:r>
      <w:r w:rsidRPr="00D60EFE">
        <w:rPr>
          <w:lang w:val="en-US"/>
        </w:rPr>
        <w:t xml:space="preserve">. 44 </w:t>
      </w:r>
      <w:r>
        <w:t>и</w:t>
      </w:r>
      <w:r w:rsidRPr="00D60EFE">
        <w:rPr>
          <w:lang w:val="en-US"/>
        </w:rPr>
        <w:t xml:space="preserve"> 45.</w:t>
      </w:r>
    </w:p>
  </w:footnote>
  <w:footnote w:id="73">
    <w:p w14:paraId="6F118AE2" w14:textId="4D962F81" w:rsidR="009F6458" w:rsidRPr="00056ED7" w:rsidRDefault="009F6458" w:rsidP="009F6458">
      <w:pPr>
        <w:pStyle w:val="ad"/>
        <w:rPr>
          <w:szCs w:val="18"/>
        </w:rPr>
      </w:pPr>
      <w:r w:rsidRPr="00D60EFE">
        <w:rPr>
          <w:szCs w:val="18"/>
          <w:lang w:val="en-US"/>
        </w:rPr>
        <w:tab/>
      </w:r>
      <w:r w:rsidRPr="00056ED7">
        <w:rPr>
          <w:rStyle w:val="aa"/>
          <w:szCs w:val="18"/>
        </w:rPr>
        <w:footnoteRef/>
      </w:r>
      <w:r>
        <w:tab/>
      </w:r>
      <w:hyperlink r:id="rId45" w:history="1">
        <w:r w:rsidRPr="009F6458">
          <w:rPr>
            <w:rStyle w:val="af1"/>
          </w:rPr>
          <w:t>CAT/OP/LBR/1</w:t>
        </w:r>
      </w:hyperlink>
      <w:r>
        <w:t>, пп. 95–97.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71A16" w14:textId="4F33B333" w:rsidR="00F752F3" w:rsidRPr="00F752F3" w:rsidRDefault="006305ED">
    <w:pPr>
      <w:pStyle w:val="a5"/>
    </w:pPr>
    <w:fldSimple w:instr=" TITLE  \* MERGEFORMAT ">
      <w:r w:rsidR="00E66900">
        <w:t>CAT/C/82/2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FC67" w14:textId="6604B88B" w:rsidR="00F752F3" w:rsidRPr="00F752F3" w:rsidRDefault="006305ED" w:rsidP="00F752F3">
    <w:pPr>
      <w:pStyle w:val="a5"/>
      <w:jc w:val="right"/>
    </w:pPr>
    <w:fldSimple w:instr=" TITLE  \* MERGEFORMAT ">
      <w:r w:rsidR="00E66900">
        <w:t>CAT/C/82/2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F713F" w14:textId="561AA75E" w:rsidR="00C930F5" w:rsidRPr="00C930F5" w:rsidRDefault="006305ED" w:rsidP="00C930F5">
    <w:pPr>
      <w:pStyle w:val="a5"/>
    </w:pPr>
    <w:fldSimple w:instr=" TITLE  \* MERGEFORMAT ">
      <w:r w:rsidR="00E66900">
        <w:t>CAT/C/82/2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F3F1" w14:textId="554BC678" w:rsidR="00C930F5" w:rsidRPr="00C930F5" w:rsidRDefault="006305ED" w:rsidP="00C930F5">
    <w:pPr>
      <w:pStyle w:val="a5"/>
      <w:jc w:val="right"/>
    </w:pPr>
    <w:fldSimple w:instr=" TITLE  \* MERGEFORMAT ">
      <w:r w:rsidR="00E66900">
        <w:t>CAT/C/82/2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BBCE" w14:textId="2D1125B2" w:rsidR="009F6458" w:rsidRPr="009F6458" w:rsidRDefault="006305ED" w:rsidP="009F6458">
    <w:pPr>
      <w:pStyle w:val="a5"/>
    </w:pPr>
    <w:fldSimple w:instr=" TITLE  \* MERGEFORMAT ">
      <w:r w:rsidR="00E66900">
        <w:t>CAT/C/82/2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878BB" w14:textId="79C29D14" w:rsidR="009F6458" w:rsidRPr="009F6458" w:rsidRDefault="006305ED" w:rsidP="009F6458">
    <w:pPr>
      <w:pStyle w:val="a5"/>
      <w:jc w:val="right"/>
    </w:pPr>
    <w:fldSimple w:instr=" TITLE  \* MERGEFORMAT ">
      <w:r w:rsidR="00E66900">
        <w:t>CAT/C/82/2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89"/>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338F"/>
    <w:rsid w:val="0018649F"/>
    <w:rsid w:val="00196389"/>
    <w:rsid w:val="001B3EF6"/>
    <w:rsid w:val="001C4289"/>
    <w:rsid w:val="001C7A89"/>
    <w:rsid w:val="001E11F4"/>
    <w:rsid w:val="00204BB6"/>
    <w:rsid w:val="0023729B"/>
    <w:rsid w:val="00240ABF"/>
    <w:rsid w:val="002A2EFC"/>
    <w:rsid w:val="002C0E18"/>
    <w:rsid w:val="002D525E"/>
    <w:rsid w:val="002D5AAC"/>
    <w:rsid w:val="002E5067"/>
    <w:rsid w:val="002F405F"/>
    <w:rsid w:val="002F7EEC"/>
    <w:rsid w:val="00301299"/>
    <w:rsid w:val="00307FB6"/>
    <w:rsid w:val="00315ED6"/>
    <w:rsid w:val="00317339"/>
    <w:rsid w:val="00322004"/>
    <w:rsid w:val="003269FF"/>
    <w:rsid w:val="003356EC"/>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3039"/>
    <w:rsid w:val="00526683"/>
    <w:rsid w:val="0052750F"/>
    <w:rsid w:val="00550706"/>
    <w:rsid w:val="005709E0"/>
    <w:rsid w:val="00570A37"/>
    <w:rsid w:val="00572E19"/>
    <w:rsid w:val="0058663C"/>
    <w:rsid w:val="005961C8"/>
    <w:rsid w:val="005D7914"/>
    <w:rsid w:val="005E2B41"/>
    <w:rsid w:val="005F0B42"/>
    <w:rsid w:val="00610441"/>
    <w:rsid w:val="006305ED"/>
    <w:rsid w:val="00636C68"/>
    <w:rsid w:val="00681A10"/>
    <w:rsid w:val="006A1ED8"/>
    <w:rsid w:val="006C2031"/>
    <w:rsid w:val="006D461A"/>
    <w:rsid w:val="006F35EE"/>
    <w:rsid w:val="007021FF"/>
    <w:rsid w:val="00712895"/>
    <w:rsid w:val="00757357"/>
    <w:rsid w:val="0077717C"/>
    <w:rsid w:val="007C3A1A"/>
    <w:rsid w:val="0081072A"/>
    <w:rsid w:val="00825F8D"/>
    <w:rsid w:val="00834B71"/>
    <w:rsid w:val="00834CC0"/>
    <w:rsid w:val="008522C1"/>
    <w:rsid w:val="0086445C"/>
    <w:rsid w:val="00866430"/>
    <w:rsid w:val="00867E5F"/>
    <w:rsid w:val="00894693"/>
    <w:rsid w:val="008A08D7"/>
    <w:rsid w:val="008B6909"/>
    <w:rsid w:val="00906890"/>
    <w:rsid w:val="00911BE4"/>
    <w:rsid w:val="00951972"/>
    <w:rsid w:val="00953B7A"/>
    <w:rsid w:val="009569AF"/>
    <w:rsid w:val="00956DCB"/>
    <w:rsid w:val="009608F3"/>
    <w:rsid w:val="009A24AC"/>
    <w:rsid w:val="009E58EC"/>
    <w:rsid w:val="009F6458"/>
    <w:rsid w:val="00A05D3E"/>
    <w:rsid w:val="00A312BC"/>
    <w:rsid w:val="00A478EF"/>
    <w:rsid w:val="00A5066C"/>
    <w:rsid w:val="00A66C5E"/>
    <w:rsid w:val="00A74D9D"/>
    <w:rsid w:val="00A84021"/>
    <w:rsid w:val="00A84D35"/>
    <w:rsid w:val="00A917B3"/>
    <w:rsid w:val="00AB4B51"/>
    <w:rsid w:val="00AB5FB2"/>
    <w:rsid w:val="00B10CC7"/>
    <w:rsid w:val="00B20CB2"/>
    <w:rsid w:val="00B539E7"/>
    <w:rsid w:val="00B62458"/>
    <w:rsid w:val="00BB7033"/>
    <w:rsid w:val="00BC18B2"/>
    <w:rsid w:val="00BD33EE"/>
    <w:rsid w:val="00C106D6"/>
    <w:rsid w:val="00C23549"/>
    <w:rsid w:val="00C60F0C"/>
    <w:rsid w:val="00C805C9"/>
    <w:rsid w:val="00C838C6"/>
    <w:rsid w:val="00C90FE4"/>
    <w:rsid w:val="00C92939"/>
    <w:rsid w:val="00C930F5"/>
    <w:rsid w:val="00CA08F9"/>
    <w:rsid w:val="00CA1679"/>
    <w:rsid w:val="00CB151C"/>
    <w:rsid w:val="00CE5A1A"/>
    <w:rsid w:val="00CF55F6"/>
    <w:rsid w:val="00D33D63"/>
    <w:rsid w:val="00D6392D"/>
    <w:rsid w:val="00D7263B"/>
    <w:rsid w:val="00D90028"/>
    <w:rsid w:val="00D90138"/>
    <w:rsid w:val="00DA7AD7"/>
    <w:rsid w:val="00DC2E0A"/>
    <w:rsid w:val="00DD1D1E"/>
    <w:rsid w:val="00DF71B9"/>
    <w:rsid w:val="00E20C9C"/>
    <w:rsid w:val="00E21169"/>
    <w:rsid w:val="00E25141"/>
    <w:rsid w:val="00E528D1"/>
    <w:rsid w:val="00E66900"/>
    <w:rsid w:val="00E67F73"/>
    <w:rsid w:val="00E73F76"/>
    <w:rsid w:val="00EA2C9F"/>
    <w:rsid w:val="00ED0BDA"/>
    <w:rsid w:val="00EF1360"/>
    <w:rsid w:val="00EF3220"/>
    <w:rsid w:val="00F21B00"/>
    <w:rsid w:val="00F27778"/>
    <w:rsid w:val="00F752F3"/>
    <w:rsid w:val="00F82DE6"/>
    <w:rsid w:val="00F90E40"/>
    <w:rsid w:val="00F94155"/>
    <w:rsid w:val="00F9783F"/>
    <w:rsid w:val="00FB0D8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ADE1D"/>
  <w15:docId w15:val="{C58938AD-2276-427A-B1C3-9AFBC513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F752F3"/>
    <w:rPr>
      <w:lang w:val="ru-RU" w:eastAsia="en-US"/>
    </w:rPr>
  </w:style>
  <w:style w:type="character" w:styleId="af3">
    <w:name w:val="Unresolved Mention"/>
    <w:basedOn w:val="a0"/>
    <w:uiPriority w:val="99"/>
    <w:semiHidden/>
    <w:unhideWhenUsed/>
    <w:rsid w:val="00F277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A/RES/79/165" TargetMode="Externa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hyperlink" Target="http://undocs.org/ru/A/RES/68/268"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docs.un.org/ru/CAT/OP/54/R.2" TargetMode="Externa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ROU/1" TargetMode="External"/><Relationship Id="rId13" Type="http://schemas.openxmlformats.org/officeDocument/2006/relationships/hyperlink" Target="http://undocs.org/ru/CAT/OP/UKR/1" TargetMode="External"/><Relationship Id="rId18" Type="http://schemas.openxmlformats.org/officeDocument/2006/relationships/hyperlink" Target="http://undocs.org/ru/CAT/OP/PRY/2" TargetMode="External"/><Relationship Id="rId26" Type="http://schemas.openxmlformats.org/officeDocument/2006/relationships/hyperlink" Target="http://undocs.org/en/CAT/OP/MDV/ROSP/2" TargetMode="External"/><Relationship Id="rId39" Type="http://schemas.openxmlformats.org/officeDocument/2006/relationships/hyperlink" Target="http://undocs.org/en/CAT/OP/POL/ROSP/1" TargetMode="External"/><Relationship Id="rId3" Type="http://schemas.openxmlformats.org/officeDocument/2006/relationships/hyperlink" Target="http://undocs.org/en/CAT/OP/GEO/ROSP/1" TargetMode="External"/><Relationship Id="rId21" Type="http://schemas.openxmlformats.org/officeDocument/2006/relationships/hyperlink" Target="http://undocs.org/ru/CAT/OP/PRY/2" TargetMode="External"/><Relationship Id="rId34" Type="http://schemas.openxmlformats.org/officeDocument/2006/relationships/hyperlink" Target="http://undocs.org/en/CAT/OP/MEX/2" TargetMode="External"/><Relationship Id="rId42" Type="http://schemas.openxmlformats.org/officeDocument/2006/relationships/hyperlink" Target="http://undocs.org/ru/CAT/OP/ARG/1" TargetMode="External"/><Relationship Id="rId7" Type="http://schemas.openxmlformats.org/officeDocument/2006/relationships/hyperlink" Target="http://undocs.org/ru/A/HRC/56/52" TargetMode="External"/><Relationship Id="rId12" Type="http://schemas.openxmlformats.org/officeDocument/2006/relationships/hyperlink" Target="http://undocs.org/ru/CAT/OP/PRY/2" TargetMode="External"/><Relationship Id="rId17" Type="http://schemas.openxmlformats.org/officeDocument/2006/relationships/hyperlink" Target="http://undocs.org/ru/CAT/OP/MEX/1" TargetMode="External"/><Relationship Id="rId25" Type="http://schemas.openxmlformats.org/officeDocument/2006/relationships/hyperlink" Target="http://undocs.org/ru/CAT/OP/BRA/1" TargetMode="External"/><Relationship Id="rId33" Type="http://schemas.openxmlformats.org/officeDocument/2006/relationships/hyperlink" Target="http://undocs.org/en/CAT/OP/LBR/ROSP/1" TargetMode="External"/><Relationship Id="rId38" Type="http://schemas.openxmlformats.org/officeDocument/2006/relationships/hyperlink" Target="http://undocs.org/ru/CAT/OP/BRA/1" TargetMode="External"/><Relationship Id="rId2" Type="http://schemas.openxmlformats.org/officeDocument/2006/relationships/hyperlink" Target="https://tbinternet.ohchr.org/_layouts/15/TreatyBodyExternal/CountryVisits.aspx" TargetMode="External"/><Relationship Id="rId16" Type="http://schemas.openxmlformats.org/officeDocument/2006/relationships/hyperlink" Target="http://undocs.org/ru/CAT/OP/UKR/1" TargetMode="External"/><Relationship Id="rId20" Type="http://schemas.openxmlformats.org/officeDocument/2006/relationships/hyperlink" Target="http://undocs.org/ru/CAT/OP/KAZ/1" TargetMode="External"/><Relationship Id="rId29" Type="http://schemas.openxmlformats.org/officeDocument/2006/relationships/hyperlink" Target="https://www.ohchr.org/en/treaty-bodies/spt/annual-reports-received-subcommittee-national-preventive-mechanisms" TargetMode="External"/><Relationship Id="rId41" Type="http://schemas.openxmlformats.org/officeDocument/2006/relationships/hyperlink" Target="http://undocs.org/ru/CAT/OP/KGZ/2" TargetMode="External"/><Relationship Id="rId1" Type="http://schemas.openxmlformats.org/officeDocument/2006/relationships/hyperlink" Target="http://undocs.org/ru/CAT/OP/54/R.2" TargetMode="External"/><Relationship Id="rId6" Type="http://schemas.openxmlformats.org/officeDocument/2006/relationships/hyperlink" Target="http://undocs.org/ru/A/HRC/54/53" TargetMode="External"/><Relationship Id="rId11" Type="http://schemas.openxmlformats.org/officeDocument/2006/relationships/hyperlink" Target="http://undocs.org/ru/CAT/OP/PRY/1" TargetMode="External"/><Relationship Id="rId24" Type="http://schemas.openxmlformats.org/officeDocument/2006/relationships/hyperlink" Target="http://undocs.org/en/CAT/OP/AUS/ROSP/1" TargetMode="External"/><Relationship Id="rId32" Type="http://schemas.openxmlformats.org/officeDocument/2006/relationships/hyperlink" Target="http://undocs.org/en/CAT/OP/PRT/1" TargetMode="External"/><Relationship Id="rId37" Type="http://schemas.openxmlformats.org/officeDocument/2006/relationships/hyperlink" Target="http://undocs.org/en/CAT/OP/NIC/ROSP/1" TargetMode="External"/><Relationship Id="rId40" Type="http://schemas.openxmlformats.org/officeDocument/2006/relationships/hyperlink" Target="https://www.ohchr.org/en/treaty-bodies/spt/annual-reports-received-subcommittee-national-preventive-mechanisms" TargetMode="External"/><Relationship Id="rId45" Type="http://schemas.openxmlformats.org/officeDocument/2006/relationships/hyperlink" Target="http://undocs.org/en/CAT/OP/LBR/1" TargetMode="External"/><Relationship Id="rId5" Type="http://schemas.openxmlformats.org/officeDocument/2006/relationships/hyperlink" Target="http://undocs.org/ru/A/HRC/47/40" TargetMode="External"/><Relationship Id="rId15" Type="http://schemas.openxmlformats.org/officeDocument/2006/relationships/hyperlink" Target="http://undocs.org/en/CAT/OP/MDV/ROSP/2" TargetMode="External"/><Relationship Id="rId23" Type="http://schemas.openxmlformats.org/officeDocument/2006/relationships/hyperlink" Target="http://undocs.org/ru/CAT/OP/BRA/1" TargetMode="External"/><Relationship Id="rId28" Type="http://schemas.openxmlformats.org/officeDocument/2006/relationships/hyperlink" Target="http://undocs.org/ru/CAT/C/73/2" TargetMode="External"/><Relationship Id="rId36" Type="http://schemas.openxmlformats.org/officeDocument/2006/relationships/hyperlink" Target="http://undocs.org/en/CAT/OP/LBR/ROSP/1" TargetMode="External"/><Relationship Id="rId10" Type="http://schemas.openxmlformats.org/officeDocument/2006/relationships/hyperlink" Target="http://undocs.org/ru/CAT/OP/UKR/1" TargetMode="External"/><Relationship Id="rId19" Type="http://schemas.openxmlformats.org/officeDocument/2006/relationships/hyperlink" Target="http://undocs.org/ru/CAT/OP/ARG/1" TargetMode="External"/><Relationship Id="rId31" Type="http://schemas.openxmlformats.org/officeDocument/2006/relationships/hyperlink" Target="http://undocs.org/en/CAT/OP/CYP/1" TargetMode="External"/><Relationship Id="rId44" Type="http://schemas.openxmlformats.org/officeDocument/2006/relationships/hyperlink" Target="http://undocs.org/en/CAT/OP/NZL/1" TargetMode="External"/><Relationship Id="rId4" Type="http://schemas.openxmlformats.org/officeDocument/2006/relationships/hyperlink" Target="http://undocs.org/en/CAT/OP/GTM/ROSP/1" TargetMode="External"/><Relationship Id="rId9" Type="http://schemas.openxmlformats.org/officeDocument/2006/relationships/hyperlink" Target="http://undocs.org/en/CAT/OP/MDV/ROSP/2" TargetMode="External"/><Relationship Id="rId14" Type="http://schemas.openxmlformats.org/officeDocument/2006/relationships/hyperlink" Target="http://undocs.org/en/CAT/OP/ROU/1" TargetMode="External"/><Relationship Id="rId22" Type="http://schemas.openxmlformats.org/officeDocument/2006/relationships/hyperlink" Target="http://undocs.org/en/CAT/OP/MNG/1" TargetMode="External"/><Relationship Id="rId27" Type="http://schemas.openxmlformats.org/officeDocument/2006/relationships/hyperlink" Target="http://undocs.org/ru/CAT/C/79/2" TargetMode="External"/><Relationship Id="rId30" Type="http://schemas.openxmlformats.org/officeDocument/2006/relationships/hyperlink" Target="http://undocs.org/en/CAT/OP/ESP/1" TargetMode="External"/><Relationship Id="rId35" Type="http://schemas.openxmlformats.org/officeDocument/2006/relationships/hyperlink" Target="http://undocs.org/en/CAT/OP/NIC/ROSP/1" TargetMode="External"/><Relationship Id="rId43" Type="http://schemas.openxmlformats.org/officeDocument/2006/relationships/hyperlink" Target="http://undocs.org/en/CAT/OP/MDV/ROSP/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E2FA2-87C4-45F4-8562-A6C2419E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43</TotalTime>
  <Pages>27</Pages>
  <Words>9680</Words>
  <Characters>67773</Characters>
  <Application>Microsoft Office Word</Application>
  <DocSecurity>0</DocSecurity>
  <Lines>1163</Lines>
  <Paragraphs>206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CAT/C/82/2</vt:lpstr>
      <vt:lpstr>A/</vt:lpstr>
      <vt:lpstr>A/</vt:lpstr>
      <vt:lpstr>A/</vt:lpstr>
    </vt:vector>
  </TitlesOfParts>
  <Company>DCM</Company>
  <LinksUpToDate>false</LinksUpToDate>
  <CharactersWithSpaces>77349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
  <dc:creator>Anna KISSELEVA</dc:creator>
  <cp:keywords/>
  <cp:lastModifiedBy>Anna Kisseleva</cp:lastModifiedBy>
  <cp:revision>3</cp:revision>
  <cp:lastPrinted>2025-03-20T15:45:00Z</cp:lastPrinted>
  <dcterms:created xsi:type="dcterms:W3CDTF">2025-03-20T15:45:00Z</dcterms:created>
  <dcterms:modified xsi:type="dcterms:W3CDTF">2025-03-20T15:50:00Z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