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62902C" w14:textId="77777777" w:rsidR="008A3EE6" w:rsidRDefault="008A3EE6" w:rsidP="008A3EE6">
      <w:pPr>
        <w:spacing w:line="60" w:lineRule="exact"/>
        <w:rPr>
          <w:sz w:val="2"/>
        </w:rPr>
        <w:sectPr w:rsidR="008A3EE6" w:rsidSect="00144104">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04" w:gutter="0"/>
          <w:cols w:space="720"/>
          <w:titlePg/>
          <w:docGrid w:linePitch="360"/>
        </w:sectPr>
      </w:pPr>
      <w:commentRangeStart w:id="0"/>
      <w:commentRangeEnd w:id="0"/>
      <w:r>
        <w:rPr>
          <w:rStyle w:val="af2"/>
        </w:rPr>
        <w:commentReference w:id="0"/>
      </w:r>
    </w:p>
    <w:p w14:paraId="6738772E" w14:textId="77777777" w:rsidR="00144104" w:rsidRDefault="00144104" w:rsidP="001441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360"/>
        <w:ind w:left="1267" w:right="1260" w:hanging="1267"/>
      </w:pPr>
      <w:r>
        <w:rPr>
          <w:rFonts w:hint="eastAsia"/>
        </w:rPr>
        <w:t>消除对妇女歧视委员会</w:t>
      </w:r>
    </w:p>
    <w:p w14:paraId="7C41151F" w14:textId="77777777" w:rsidR="00144104" w:rsidRDefault="00144104" w:rsidP="00144104">
      <w:pPr>
        <w:pStyle w:val="TitleHCH"/>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240"/>
        <w:ind w:left="1267" w:right="1260" w:hanging="1267"/>
      </w:pPr>
      <w:r>
        <w:rPr>
          <w:rFonts w:hint="eastAsia"/>
        </w:rPr>
        <w:tab/>
      </w:r>
      <w:r>
        <w:rPr>
          <w:rFonts w:hint="eastAsia"/>
        </w:rPr>
        <w:tab/>
      </w:r>
      <w:r>
        <w:rPr>
          <w:rFonts w:hint="eastAsia"/>
        </w:rPr>
        <w:t>关于新西兰第九次定期报告的结论性意见</w:t>
      </w:r>
      <w:r>
        <w:rPr>
          <w:rFonts w:hint="eastAsia"/>
        </w:rPr>
        <w:t>*</w:t>
      </w:r>
    </w:p>
    <w:p w14:paraId="67D4384D" w14:textId="43CF7E68" w:rsidR="00144104" w:rsidRDefault="00144104" w:rsidP="00FD418E">
      <w:pPr>
        <w:pStyle w:val="SingleTxt"/>
        <w:spacing w:line="340" w:lineRule="exact"/>
      </w:pPr>
      <w:r>
        <w:rPr>
          <w:rFonts w:hint="eastAsia"/>
        </w:rPr>
        <w:t>1.</w:t>
      </w:r>
      <w:r>
        <w:rPr>
          <w:rFonts w:hint="eastAsia"/>
        </w:rPr>
        <w:tab/>
      </w:r>
      <w:r>
        <w:rPr>
          <w:rFonts w:hint="eastAsia"/>
        </w:rPr>
        <w:t>委员会在</w:t>
      </w:r>
      <w:r>
        <w:rPr>
          <w:rFonts w:hint="eastAsia"/>
        </w:rPr>
        <w:t>2024</w:t>
      </w:r>
      <w:r>
        <w:rPr>
          <w:rFonts w:hint="eastAsia"/>
        </w:rPr>
        <w:t>年</w:t>
      </w:r>
      <w:r>
        <w:rPr>
          <w:rFonts w:hint="eastAsia"/>
        </w:rPr>
        <w:t>10</w:t>
      </w:r>
      <w:r>
        <w:rPr>
          <w:rFonts w:hint="eastAsia"/>
        </w:rPr>
        <w:t>月</w:t>
      </w:r>
      <w:r>
        <w:rPr>
          <w:rFonts w:hint="eastAsia"/>
        </w:rPr>
        <w:t>10</w:t>
      </w:r>
      <w:r>
        <w:rPr>
          <w:rFonts w:hint="eastAsia"/>
        </w:rPr>
        <w:t>日举行的第</w:t>
      </w:r>
      <w:r>
        <w:rPr>
          <w:rFonts w:hint="eastAsia"/>
        </w:rPr>
        <w:t>2095</w:t>
      </w:r>
      <w:r>
        <w:rPr>
          <w:rFonts w:hint="eastAsia"/>
        </w:rPr>
        <w:t>和</w:t>
      </w:r>
      <w:r>
        <w:rPr>
          <w:rFonts w:hint="eastAsia"/>
        </w:rPr>
        <w:t>2096</w:t>
      </w:r>
      <w:r>
        <w:rPr>
          <w:rFonts w:hint="eastAsia"/>
        </w:rPr>
        <w:t>次会议</w:t>
      </w:r>
      <w:r w:rsidR="00BF7097">
        <w:rPr>
          <w:rFonts w:hint="eastAsia"/>
        </w:rPr>
        <w:t>(</w:t>
      </w:r>
      <w:r>
        <w:rPr>
          <w:rFonts w:hint="eastAsia"/>
        </w:rPr>
        <w:t>见</w:t>
      </w:r>
      <w:hyperlink r:id="rId20" w:history="1">
        <w:r w:rsidRPr="00620FB1">
          <w:rPr>
            <w:rStyle w:val="af7"/>
            <w:rFonts w:hint="eastAsia"/>
          </w:rPr>
          <w:t>CEDAW/C/SR.2095</w:t>
        </w:r>
      </w:hyperlink>
      <w:r>
        <w:rPr>
          <w:rFonts w:hint="eastAsia"/>
        </w:rPr>
        <w:t>和</w:t>
      </w:r>
      <w:hyperlink r:id="rId21" w:history="1">
        <w:r w:rsidRPr="00620FB1">
          <w:rPr>
            <w:rStyle w:val="af7"/>
            <w:rFonts w:hint="eastAsia"/>
          </w:rPr>
          <w:t>CEDAW/C/SR.2096</w:t>
        </w:r>
      </w:hyperlink>
      <w:r w:rsidR="00BF7097">
        <w:rPr>
          <w:rFonts w:hint="eastAsia"/>
        </w:rPr>
        <w:t>)</w:t>
      </w:r>
      <w:r>
        <w:rPr>
          <w:rFonts w:hint="eastAsia"/>
        </w:rPr>
        <w:t>上审议了新西兰根据简化报告程序提交的第九次定期报告</w:t>
      </w:r>
      <w:r w:rsidR="00BF7097">
        <w:rPr>
          <w:rFonts w:hint="eastAsia"/>
        </w:rPr>
        <w:t>(</w:t>
      </w:r>
      <w:hyperlink r:id="rId22" w:history="1">
        <w:r w:rsidRPr="00620FB1">
          <w:rPr>
            <w:rStyle w:val="af7"/>
            <w:rFonts w:hint="eastAsia"/>
          </w:rPr>
          <w:t>CEDAW/C/NZL/9</w:t>
        </w:r>
      </w:hyperlink>
      <w:r w:rsidR="00BF7097">
        <w:rPr>
          <w:rFonts w:hint="eastAsia"/>
        </w:rPr>
        <w:t>)</w:t>
      </w:r>
      <w:r>
        <w:rPr>
          <w:rFonts w:hint="eastAsia"/>
        </w:rPr>
        <w:t>。</w:t>
      </w:r>
    </w:p>
    <w:p w14:paraId="5380CD7E" w14:textId="77777777" w:rsidR="00144104" w:rsidRDefault="00144104" w:rsidP="00FD41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40" w:lineRule="exact"/>
        <w:ind w:left="1267" w:right="1260" w:hanging="1267"/>
      </w:pPr>
      <w:r>
        <w:rPr>
          <w:rFonts w:hint="eastAsia"/>
        </w:rPr>
        <w:tab/>
        <w:t>A.</w:t>
      </w:r>
      <w:r>
        <w:rPr>
          <w:rFonts w:hint="eastAsia"/>
        </w:rPr>
        <w:tab/>
      </w:r>
      <w:r>
        <w:rPr>
          <w:rFonts w:hint="eastAsia"/>
        </w:rPr>
        <w:t>导言</w:t>
      </w:r>
    </w:p>
    <w:p w14:paraId="0F584DB7" w14:textId="3EC35188" w:rsidR="00144104" w:rsidRDefault="00144104" w:rsidP="00FD418E">
      <w:pPr>
        <w:pStyle w:val="SingleTxt"/>
        <w:spacing w:line="340" w:lineRule="exact"/>
      </w:pPr>
      <w:r>
        <w:rPr>
          <w:rFonts w:hint="eastAsia"/>
        </w:rPr>
        <w:t>2.</w:t>
      </w:r>
      <w:r>
        <w:rPr>
          <w:rFonts w:hint="eastAsia"/>
        </w:rPr>
        <w:tab/>
      </w:r>
      <w:r>
        <w:rPr>
          <w:rFonts w:hint="eastAsia"/>
        </w:rPr>
        <w:t>委员会赞赏缔约国提交第九次定期报告，该报告是根据报告前的议题和问题清单</w:t>
      </w:r>
      <w:r w:rsidR="00BF7097">
        <w:rPr>
          <w:rFonts w:hint="eastAsia"/>
        </w:rPr>
        <w:t>(</w:t>
      </w:r>
      <w:hyperlink r:id="rId23" w:history="1">
        <w:r w:rsidRPr="00620FB1">
          <w:rPr>
            <w:rStyle w:val="af7"/>
            <w:rFonts w:hint="eastAsia"/>
          </w:rPr>
          <w:t>CEDAW/C/NZL/QPR/9</w:t>
        </w:r>
      </w:hyperlink>
      <w:r w:rsidR="00BF7097">
        <w:rPr>
          <w:rFonts w:hint="eastAsia"/>
        </w:rPr>
        <w:t>)</w:t>
      </w:r>
      <w:r>
        <w:rPr>
          <w:rFonts w:hint="eastAsia"/>
        </w:rPr>
        <w:t>编写的。委员会还感谢缔约国针对委员会前一份结论性意见提出后续报告</w:t>
      </w:r>
      <w:r w:rsidR="00BF7097">
        <w:rPr>
          <w:rFonts w:hint="eastAsia"/>
        </w:rPr>
        <w:t>(</w:t>
      </w:r>
      <w:hyperlink r:id="rId24" w:history="1">
        <w:r w:rsidRPr="00620FB1">
          <w:rPr>
            <w:rStyle w:val="af7"/>
            <w:rFonts w:hint="eastAsia"/>
          </w:rPr>
          <w:t>CEDAW/C/NZL/FCO/8</w:t>
        </w:r>
      </w:hyperlink>
      <w:r w:rsidR="00BF7097">
        <w:rPr>
          <w:rFonts w:hint="eastAsia"/>
        </w:rPr>
        <w:t>)</w:t>
      </w:r>
      <w:r>
        <w:rPr>
          <w:rFonts w:hint="eastAsia"/>
        </w:rPr>
        <w:t>，感谢新西兰代表团在对话期间作出口头介绍并对委员会口头提问作出进一步说明。</w:t>
      </w:r>
    </w:p>
    <w:p w14:paraId="49AA3162" w14:textId="77777777" w:rsidR="00144104" w:rsidRDefault="00144104" w:rsidP="00FD418E">
      <w:pPr>
        <w:pStyle w:val="SingleTxt"/>
        <w:spacing w:line="340" w:lineRule="exact"/>
      </w:pPr>
      <w:r>
        <w:rPr>
          <w:rFonts w:hint="eastAsia"/>
        </w:rPr>
        <w:t>3.</w:t>
      </w:r>
      <w:r>
        <w:rPr>
          <w:rFonts w:hint="eastAsia"/>
        </w:rPr>
        <w:tab/>
      </w:r>
      <w:r>
        <w:rPr>
          <w:rFonts w:hint="eastAsia"/>
        </w:rPr>
        <w:t>委员会赞扬缔约国派出由妇女事务秘书兼妇女部首席执行官</w:t>
      </w:r>
      <w:r>
        <w:rPr>
          <w:rFonts w:hint="eastAsia"/>
        </w:rPr>
        <w:t>Kellie Coombes</w:t>
      </w:r>
      <w:r>
        <w:rPr>
          <w:rFonts w:hint="eastAsia"/>
        </w:rPr>
        <w:t>率领的杰出代表团，代表团成员包括妇女部、消除家庭暴力和性暴力执行委员会和毛利发展部代表，以及代理常驻代表</w:t>
      </w:r>
      <w:r>
        <w:rPr>
          <w:rFonts w:hint="eastAsia"/>
        </w:rPr>
        <w:t>Nathan Glassey</w:t>
      </w:r>
      <w:r>
        <w:rPr>
          <w:rFonts w:hint="eastAsia"/>
        </w:rPr>
        <w:t>和新西兰常驻联合国日内瓦办事处和其他国际组织代表团的其他代表。</w:t>
      </w:r>
    </w:p>
    <w:p w14:paraId="21355685" w14:textId="77777777" w:rsidR="00144104" w:rsidRDefault="00144104" w:rsidP="00FD418E">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line="340" w:lineRule="exact"/>
        <w:ind w:left="1267" w:right="1260" w:hanging="1267"/>
      </w:pPr>
      <w:r>
        <w:rPr>
          <w:rFonts w:hint="eastAsia"/>
        </w:rPr>
        <w:tab/>
        <w:t>B.</w:t>
      </w:r>
      <w:r>
        <w:rPr>
          <w:rFonts w:hint="eastAsia"/>
        </w:rPr>
        <w:tab/>
      </w:r>
      <w:r>
        <w:rPr>
          <w:rFonts w:hint="eastAsia"/>
        </w:rPr>
        <w:t>积极方面</w:t>
      </w:r>
    </w:p>
    <w:p w14:paraId="1644DE99" w14:textId="4CF5B75D" w:rsidR="00144104" w:rsidRDefault="00144104" w:rsidP="00FD418E">
      <w:pPr>
        <w:pStyle w:val="SingleTxt"/>
        <w:spacing w:line="340" w:lineRule="exact"/>
      </w:pPr>
      <w:r>
        <w:rPr>
          <w:rFonts w:hint="eastAsia"/>
        </w:rPr>
        <w:t>4.</w:t>
      </w:r>
      <w:r>
        <w:rPr>
          <w:rFonts w:hint="eastAsia"/>
        </w:rPr>
        <w:tab/>
      </w:r>
      <w:r>
        <w:rPr>
          <w:rFonts w:hint="eastAsia"/>
        </w:rPr>
        <w:t>委员会欢迎缔约国自</w:t>
      </w:r>
      <w:r>
        <w:rPr>
          <w:rFonts w:hint="eastAsia"/>
        </w:rPr>
        <w:t>2018</w:t>
      </w:r>
      <w:r>
        <w:rPr>
          <w:rFonts w:hint="eastAsia"/>
        </w:rPr>
        <w:t>年其上一次报告</w:t>
      </w:r>
      <w:r w:rsidR="00BF7097">
        <w:rPr>
          <w:rFonts w:hint="eastAsia"/>
        </w:rPr>
        <w:t>(</w:t>
      </w:r>
      <w:hyperlink r:id="rId25" w:history="1">
        <w:r w:rsidRPr="00620FB1">
          <w:rPr>
            <w:rStyle w:val="af7"/>
            <w:rFonts w:hint="eastAsia"/>
          </w:rPr>
          <w:t>CEDAW/C/NZL/8</w:t>
        </w:r>
      </w:hyperlink>
      <w:r w:rsidR="00BF7097">
        <w:rPr>
          <w:rFonts w:hint="eastAsia"/>
        </w:rPr>
        <w:t>)</w:t>
      </w:r>
      <w:r>
        <w:rPr>
          <w:rFonts w:hint="eastAsia"/>
        </w:rPr>
        <w:t>接受审议以来在开展立法改革方面取得的进展，特别是通过了以下立法</w:t>
      </w:r>
      <w:r w:rsidR="00BF7097">
        <w:rPr>
          <w:rFonts w:ascii="宋体" w:hAnsi="宋体" w:hint="eastAsia"/>
        </w:rPr>
        <w:t>：</w:t>
      </w:r>
    </w:p>
    <w:p w14:paraId="6B1C427C" w14:textId="2C1C37CD" w:rsidR="00144104" w:rsidRDefault="00144104" w:rsidP="00FD418E">
      <w:pPr>
        <w:pStyle w:val="SingleTxt"/>
        <w:spacing w:line="340" w:lineRule="exact"/>
      </w:pPr>
      <w:r>
        <w:rPr>
          <w:rFonts w:hint="eastAsia"/>
        </w:rPr>
        <w:tab/>
      </w:r>
      <w:r w:rsidR="00BF7097">
        <w:rPr>
          <w:rFonts w:hint="eastAsia"/>
        </w:rPr>
        <w:t>(</w:t>
      </w:r>
      <w:r>
        <w:rPr>
          <w:rFonts w:hint="eastAsia"/>
        </w:rPr>
        <w:t>a</w:t>
      </w:r>
      <w:r w:rsidR="00BF7097">
        <w:rPr>
          <w:rFonts w:hint="eastAsia"/>
        </w:rPr>
        <w:t>)</w:t>
      </w:r>
      <w:r>
        <w:rPr>
          <w:rFonts w:hint="eastAsia"/>
        </w:rPr>
        <w:tab/>
      </w:r>
      <w:r>
        <w:rPr>
          <w:rFonts w:hint="eastAsia"/>
        </w:rPr>
        <w:t>《</w:t>
      </w:r>
      <w:r>
        <w:rPr>
          <w:rFonts w:hint="eastAsia"/>
        </w:rPr>
        <w:t>2020</w:t>
      </w:r>
      <w:r>
        <w:rPr>
          <w:rFonts w:hint="eastAsia"/>
        </w:rPr>
        <w:t>年堕胎立法法》，允许在怀孕</w:t>
      </w:r>
      <w:r>
        <w:rPr>
          <w:rFonts w:hint="eastAsia"/>
        </w:rPr>
        <w:t>20</w:t>
      </w:r>
      <w:r>
        <w:rPr>
          <w:rFonts w:hint="eastAsia"/>
        </w:rPr>
        <w:t>周内应要求堕胎，在</w:t>
      </w:r>
      <w:r>
        <w:rPr>
          <w:rFonts w:hint="eastAsia"/>
        </w:rPr>
        <w:t>20</w:t>
      </w:r>
      <w:r>
        <w:rPr>
          <w:rFonts w:hint="eastAsia"/>
        </w:rPr>
        <w:t>周过后如医疗人员认为在临床上适当则也允许堕胎</w:t>
      </w:r>
      <w:r w:rsidR="00B92669">
        <w:rPr>
          <w:rFonts w:hint="eastAsia"/>
        </w:rPr>
        <w:t>；</w:t>
      </w:r>
    </w:p>
    <w:p w14:paraId="362F8403" w14:textId="170696EC" w:rsidR="00844CEF" w:rsidRDefault="00144104" w:rsidP="00FD418E">
      <w:pPr>
        <w:pStyle w:val="SingleTxt"/>
        <w:spacing w:line="340" w:lineRule="exact"/>
      </w:pPr>
      <w:r>
        <w:rPr>
          <w:rFonts w:hint="eastAsia"/>
        </w:rPr>
        <w:tab/>
      </w:r>
      <w:r w:rsidR="00BF7097">
        <w:rPr>
          <w:rFonts w:hint="eastAsia"/>
        </w:rPr>
        <w:t>(</w:t>
      </w:r>
      <w:r>
        <w:rPr>
          <w:rFonts w:hint="eastAsia"/>
        </w:rPr>
        <w:t>b</w:t>
      </w:r>
      <w:r w:rsidR="00BF7097">
        <w:rPr>
          <w:rFonts w:hint="eastAsia"/>
        </w:rPr>
        <w:t>)</w:t>
      </w:r>
      <w:r>
        <w:rPr>
          <w:rFonts w:hint="eastAsia"/>
        </w:rPr>
        <w:tab/>
      </w:r>
      <w:r>
        <w:rPr>
          <w:rFonts w:hint="eastAsia"/>
        </w:rPr>
        <w:t>《</w:t>
      </w:r>
      <w:r>
        <w:rPr>
          <w:rFonts w:hint="eastAsia"/>
        </w:rPr>
        <w:t>2022</w:t>
      </w:r>
      <w:r>
        <w:rPr>
          <w:rFonts w:hint="eastAsia"/>
        </w:rPr>
        <w:t>年法律服务修正条例》，引入改革，增加妇女获得法律援助的机会，取消支付费用，并取消了未偿债务利息。</w:t>
      </w:r>
    </w:p>
    <w:bookmarkStart w:id="1" w:name="ManualFootLeft"/>
    <w:bookmarkEnd w:id="1"/>
    <w:p w14:paraId="11DAC3A6" w14:textId="0CFD6D06" w:rsidR="00844CEF" w:rsidRPr="00844CEF" w:rsidRDefault="00844CEF" w:rsidP="00844CE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z w:val="18"/>
        </w:rPr>
      </w:pPr>
      <w:r>
        <w:rPr>
          <w:noProof/>
        </w:rPr>
        <mc:AlternateContent>
          <mc:Choice Requires="wps">
            <w:drawing>
              <wp:anchor distT="0" distB="0" distL="114300" distR="114300" simplePos="0" relativeHeight="251661312" behindDoc="0" locked="0" layoutInCell="1" allowOverlap="1" wp14:anchorId="50AC4EC2" wp14:editId="71B68989">
                <wp:simplePos x="0" y="0"/>
                <wp:positionH relativeFrom="column">
                  <wp:posOffset>548640</wp:posOffset>
                </wp:positionH>
                <wp:positionV relativeFrom="paragraph">
                  <wp:posOffset>-12700</wp:posOffset>
                </wp:positionV>
                <wp:extent cx="914400" cy="0"/>
                <wp:effectExtent l="0" t="0" r="0" b="0"/>
                <wp:wrapNone/>
                <wp:docPr id="1396576576" name="直接连接符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1582F8D" id="直接连接符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z w:val="18"/>
        </w:rPr>
        <w:tab/>
        <w:t>*</w:t>
      </w:r>
      <w:r>
        <w:rPr>
          <w:sz w:val="18"/>
        </w:rPr>
        <w:tab/>
      </w:r>
      <w:r w:rsidRPr="00844CEF">
        <w:rPr>
          <w:rFonts w:hint="eastAsia"/>
          <w:sz w:val="18"/>
        </w:rPr>
        <w:t>委员会第八十九届会议</w:t>
      </w:r>
      <w:r w:rsidRPr="00844CEF">
        <w:rPr>
          <w:rFonts w:hint="eastAsia"/>
          <w:sz w:val="18"/>
        </w:rPr>
        <w:t>(2024</w:t>
      </w:r>
      <w:r w:rsidRPr="00844CEF">
        <w:rPr>
          <w:rFonts w:hint="eastAsia"/>
          <w:sz w:val="18"/>
        </w:rPr>
        <w:t>年</w:t>
      </w:r>
      <w:r w:rsidRPr="00844CEF">
        <w:rPr>
          <w:rFonts w:hint="eastAsia"/>
          <w:sz w:val="18"/>
        </w:rPr>
        <w:t>10</w:t>
      </w:r>
      <w:r w:rsidRPr="00844CEF">
        <w:rPr>
          <w:rFonts w:hint="eastAsia"/>
          <w:sz w:val="18"/>
        </w:rPr>
        <w:t>月</w:t>
      </w:r>
      <w:r w:rsidRPr="00844CEF">
        <w:rPr>
          <w:rFonts w:hint="eastAsia"/>
          <w:sz w:val="18"/>
        </w:rPr>
        <w:t>7</w:t>
      </w:r>
      <w:r w:rsidRPr="00844CEF">
        <w:rPr>
          <w:rFonts w:hint="eastAsia"/>
          <w:sz w:val="18"/>
        </w:rPr>
        <w:t>日至</w:t>
      </w:r>
      <w:r w:rsidRPr="00844CEF">
        <w:rPr>
          <w:rFonts w:hint="eastAsia"/>
          <w:sz w:val="18"/>
        </w:rPr>
        <w:t>25</w:t>
      </w:r>
      <w:r w:rsidRPr="00844CEF">
        <w:rPr>
          <w:rFonts w:hint="eastAsia"/>
          <w:sz w:val="18"/>
        </w:rPr>
        <w:t>日</w:t>
      </w:r>
      <w:r w:rsidRPr="00844CEF">
        <w:rPr>
          <w:rFonts w:hint="eastAsia"/>
          <w:sz w:val="18"/>
        </w:rPr>
        <w:t>)</w:t>
      </w:r>
      <w:r w:rsidRPr="00844CEF">
        <w:rPr>
          <w:rFonts w:hint="eastAsia"/>
          <w:sz w:val="18"/>
        </w:rPr>
        <w:t>通过。</w:t>
      </w:r>
    </w:p>
    <w:p w14:paraId="72D8A4C9" w14:textId="77777777" w:rsidR="00844CEF" w:rsidRDefault="00844CEF" w:rsidP="00844CEF">
      <w:pPr>
        <w:pStyle w:val="SingleTxt"/>
      </w:pPr>
      <w:r>
        <w:br w:type="page"/>
      </w:r>
    </w:p>
    <w:p w14:paraId="57E82F65" w14:textId="3E7E66B4" w:rsidR="00144104" w:rsidRDefault="00144104" w:rsidP="00144104">
      <w:pPr>
        <w:pStyle w:val="SingleTxt"/>
      </w:pPr>
      <w:r>
        <w:rPr>
          <w:rFonts w:hint="eastAsia"/>
        </w:rPr>
        <w:lastRenderedPageBreak/>
        <w:t>5.</w:t>
      </w:r>
      <w:r>
        <w:rPr>
          <w:rFonts w:hint="eastAsia"/>
        </w:rPr>
        <w:tab/>
      </w:r>
      <w:r>
        <w:rPr>
          <w:rFonts w:hint="eastAsia"/>
        </w:rPr>
        <w:t>委员会欢迎缔约国努力改善旨在加速消除对妇女的歧视和促进性别平等的体制和政策框架，例如通过或制定了</w:t>
      </w:r>
      <w:r w:rsidR="00BF7097">
        <w:rPr>
          <w:rFonts w:ascii="宋体" w:hAnsi="宋体" w:hint="eastAsia"/>
        </w:rPr>
        <w:t>：</w:t>
      </w:r>
    </w:p>
    <w:p w14:paraId="016F1A66" w14:textId="6D3EF711" w:rsidR="00144104" w:rsidRDefault="00144104" w:rsidP="00230138">
      <w:pPr>
        <w:pStyle w:val="SingleTxt"/>
      </w:pPr>
      <w:r w:rsidRPr="00230138">
        <w:rPr>
          <w:rFonts w:hint="eastAsia"/>
          <w:sz w:val="20"/>
        </w:rPr>
        <w:tab/>
      </w:r>
      <w:r w:rsidR="00BF7097">
        <w:rPr>
          <w:rFonts w:hint="eastAsia"/>
        </w:rPr>
        <w:t>(</w:t>
      </w:r>
      <w:r>
        <w:rPr>
          <w:rFonts w:hint="eastAsia"/>
        </w:rPr>
        <w:t>a</w:t>
      </w:r>
      <w:r w:rsidR="00BF7097">
        <w:rPr>
          <w:rFonts w:hint="eastAsia"/>
        </w:rPr>
        <w:t>)</w:t>
      </w:r>
      <w:r>
        <w:rPr>
          <w:rFonts w:hint="eastAsia"/>
        </w:rPr>
        <w:tab/>
      </w:r>
      <w:r>
        <w:rPr>
          <w:rFonts w:hint="eastAsia"/>
        </w:rPr>
        <w:t>《消除家庭暴力和性暴力国家战略》，支持更广泛的努力，消除对妇女和女童的性别暴力</w:t>
      </w:r>
      <w:r w:rsidR="00B92669">
        <w:rPr>
          <w:rFonts w:hint="eastAsia"/>
        </w:rPr>
        <w:t>；</w:t>
      </w:r>
    </w:p>
    <w:p w14:paraId="1E547354" w14:textId="3F56D3D4" w:rsidR="00144104" w:rsidRDefault="00144104" w:rsidP="00144104">
      <w:pPr>
        <w:pStyle w:val="SingleTxt"/>
      </w:pPr>
      <w:r>
        <w:rPr>
          <w:rFonts w:hint="eastAsia"/>
        </w:rPr>
        <w:tab/>
      </w:r>
      <w:r w:rsidR="00BF7097">
        <w:rPr>
          <w:rFonts w:hint="eastAsia"/>
        </w:rPr>
        <w:t>(</w:t>
      </w:r>
      <w:r>
        <w:rPr>
          <w:rFonts w:hint="eastAsia"/>
        </w:rPr>
        <w:t>b</w:t>
      </w:r>
      <w:r w:rsidR="00BF7097">
        <w:rPr>
          <w:rFonts w:hint="eastAsia"/>
        </w:rPr>
        <w:t>)</w:t>
      </w:r>
      <w:r>
        <w:rPr>
          <w:rFonts w:hint="eastAsia"/>
        </w:rPr>
        <w:tab/>
      </w:r>
      <w:r>
        <w:rPr>
          <w:rFonts w:hint="eastAsia"/>
        </w:rPr>
        <w:t>促进性别平等的预算编制试点方案，对</w:t>
      </w:r>
      <w:r>
        <w:rPr>
          <w:rFonts w:hint="eastAsia"/>
        </w:rPr>
        <w:t>2022</w:t>
      </w:r>
      <w:r>
        <w:rPr>
          <w:rFonts w:hint="eastAsia"/>
        </w:rPr>
        <w:t>年预算试行，并在</w:t>
      </w:r>
      <w:r>
        <w:rPr>
          <w:rFonts w:hint="eastAsia"/>
        </w:rPr>
        <w:t>2023</w:t>
      </w:r>
      <w:r>
        <w:rPr>
          <w:rFonts w:hint="eastAsia"/>
        </w:rPr>
        <w:t>年扩大，反映了对促进性别平等的财政规划的承诺</w:t>
      </w:r>
      <w:r w:rsidR="00B92669">
        <w:rPr>
          <w:rFonts w:hint="eastAsia"/>
        </w:rPr>
        <w:t>；</w:t>
      </w:r>
    </w:p>
    <w:p w14:paraId="28D920CE" w14:textId="6008127B" w:rsidR="00144104" w:rsidRDefault="00144104" w:rsidP="00144104">
      <w:pPr>
        <w:pStyle w:val="SingleTxt"/>
      </w:pPr>
      <w:r>
        <w:rPr>
          <w:rFonts w:hint="eastAsia"/>
        </w:rPr>
        <w:tab/>
      </w:r>
      <w:r w:rsidR="00BF7097">
        <w:rPr>
          <w:rFonts w:hint="eastAsia"/>
        </w:rPr>
        <w:t>(</w:t>
      </w:r>
      <w:r>
        <w:rPr>
          <w:rFonts w:hint="eastAsia"/>
        </w:rPr>
        <w:t>c</w:t>
      </w:r>
      <w:r w:rsidR="00BF7097">
        <w:rPr>
          <w:rFonts w:hint="eastAsia"/>
        </w:rPr>
        <w:t>)</w:t>
      </w:r>
      <w:r>
        <w:rPr>
          <w:rFonts w:hint="eastAsia"/>
        </w:rPr>
        <w:tab/>
      </w:r>
      <w:r>
        <w:rPr>
          <w:rFonts w:hint="eastAsia"/>
        </w:rPr>
        <w:t>《</w:t>
      </w:r>
      <w:r>
        <w:rPr>
          <w:rFonts w:hint="eastAsia"/>
        </w:rPr>
        <w:t>2022-2024</w:t>
      </w:r>
      <w:r>
        <w:rPr>
          <w:rFonts w:hint="eastAsia"/>
        </w:rPr>
        <w:t>年公共服务行动计划》，是一项公共部门倡议，其目标是在《</w:t>
      </w:r>
      <w:r>
        <w:rPr>
          <w:rFonts w:hint="eastAsia"/>
        </w:rPr>
        <w:t>2018-2021</w:t>
      </w:r>
      <w:r>
        <w:rPr>
          <w:rFonts w:hint="eastAsia"/>
        </w:rPr>
        <w:t>年消除性别工资差距行动计划》的基础上缩小性别、毛利人、太平洋岛国裔和族裔工资差距</w:t>
      </w:r>
      <w:r w:rsidR="00B92669">
        <w:rPr>
          <w:rFonts w:hint="eastAsia"/>
        </w:rPr>
        <w:t>；</w:t>
      </w:r>
    </w:p>
    <w:p w14:paraId="2CCC4229" w14:textId="670A0B1B" w:rsidR="00144104" w:rsidRDefault="00144104" w:rsidP="00144104">
      <w:pPr>
        <w:pStyle w:val="SingleTxt"/>
      </w:pPr>
      <w:r>
        <w:rPr>
          <w:rFonts w:hint="eastAsia"/>
        </w:rPr>
        <w:tab/>
      </w:r>
      <w:r w:rsidR="00BF7097">
        <w:rPr>
          <w:rFonts w:hint="eastAsia"/>
        </w:rPr>
        <w:t>(</w:t>
      </w:r>
      <w:r>
        <w:rPr>
          <w:rFonts w:hint="eastAsia"/>
        </w:rPr>
        <w:t>d</w:t>
      </w:r>
      <w:r w:rsidR="00BF7097">
        <w:rPr>
          <w:rFonts w:hint="eastAsia"/>
        </w:rPr>
        <w:t>)</w:t>
      </w:r>
      <w:r>
        <w:rPr>
          <w:rFonts w:hint="eastAsia"/>
        </w:rPr>
        <w:tab/>
      </w:r>
      <w:r>
        <w:rPr>
          <w:rFonts w:hint="eastAsia"/>
        </w:rPr>
        <w:t>《妇女就业行动计划》，旨在改善边缘化妇女的就业途径，包括毛利妇女、太平洋岛国裔妇女、残疾妇女以及女同性恋、跨性别和间性雇员</w:t>
      </w:r>
      <w:r w:rsidR="00B92669">
        <w:rPr>
          <w:rFonts w:hint="eastAsia"/>
        </w:rPr>
        <w:t>；</w:t>
      </w:r>
    </w:p>
    <w:p w14:paraId="3312ED62" w14:textId="7893429C" w:rsidR="00144104" w:rsidRDefault="00144104" w:rsidP="00144104">
      <w:pPr>
        <w:pStyle w:val="SingleTxt"/>
      </w:pPr>
      <w:r>
        <w:rPr>
          <w:rFonts w:hint="eastAsia"/>
        </w:rPr>
        <w:tab/>
      </w:r>
      <w:r w:rsidR="00BF7097">
        <w:rPr>
          <w:rFonts w:hint="eastAsia"/>
        </w:rPr>
        <w:t>(</w:t>
      </w:r>
      <w:r>
        <w:rPr>
          <w:rFonts w:hint="eastAsia"/>
        </w:rPr>
        <w:t>e</w:t>
      </w:r>
      <w:r w:rsidR="00BF7097">
        <w:rPr>
          <w:rFonts w:hint="eastAsia"/>
        </w:rPr>
        <w:t>)</w:t>
      </w:r>
      <w:r>
        <w:rPr>
          <w:rFonts w:hint="eastAsia"/>
        </w:rPr>
        <w:tab/>
        <w:t>Ikura</w:t>
      </w:r>
      <w:r>
        <w:rPr>
          <w:rFonts w:hint="eastAsia"/>
        </w:rPr>
        <w:t>方案，在该方案下在学校提供月经用品，解决经期贫困问题，确保行经学生获得教育。</w:t>
      </w:r>
    </w:p>
    <w:p w14:paraId="7829998F" w14:textId="77777777" w:rsidR="00144104" w:rsidRDefault="00144104" w:rsidP="001441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C.</w:t>
      </w:r>
      <w:r>
        <w:rPr>
          <w:rFonts w:hint="eastAsia"/>
        </w:rPr>
        <w:tab/>
      </w:r>
      <w:r>
        <w:rPr>
          <w:rFonts w:hint="eastAsia"/>
        </w:rPr>
        <w:t>可持续发展目标</w:t>
      </w:r>
    </w:p>
    <w:p w14:paraId="6EF4FA0C" w14:textId="6F956242" w:rsidR="00144104" w:rsidRPr="00144104" w:rsidRDefault="00144104" w:rsidP="00144104">
      <w:pPr>
        <w:pStyle w:val="SingleTxt"/>
        <w:rPr>
          <w:rFonts w:eastAsia="黑体"/>
        </w:rPr>
      </w:pPr>
      <w:r w:rsidRPr="00144104">
        <w:rPr>
          <w:rFonts w:eastAsia="黑体"/>
        </w:rPr>
        <w:t>6.</w:t>
      </w:r>
      <w:r w:rsidRPr="00144104">
        <w:rPr>
          <w:rFonts w:eastAsia="黑体"/>
        </w:rPr>
        <w:tab/>
      </w:r>
      <w:r w:rsidRPr="00144104">
        <w:rPr>
          <w:rFonts w:eastAsia="黑体"/>
        </w:rPr>
        <w:t>委员会欢迎国际社会对可持续发展目标的支持，并呼吁在执行《</w:t>
      </w:r>
      <w:r w:rsidRPr="00144104">
        <w:rPr>
          <w:rFonts w:eastAsia="黑体"/>
        </w:rPr>
        <w:t>2030</w:t>
      </w:r>
      <w:r w:rsidRPr="00144104">
        <w:rPr>
          <w:rFonts w:eastAsia="黑体"/>
        </w:rPr>
        <w:t>年可持续发展议程》的整个进程中，根据《公约》条款实现法律上</w:t>
      </w:r>
      <w:r w:rsidR="00BF7097">
        <w:rPr>
          <w:rFonts w:eastAsia="黑体"/>
        </w:rPr>
        <w:t>(</w:t>
      </w:r>
      <w:r w:rsidRPr="00144104">
        <w:rPr>
          <w:rFonts w:eastAsia="黑体"/>
        </w:rPr>
        <w:t>依法</w:t>
      </w:r>
      <w:r w:rsidR="00BF7097">
        <w:rPr>
          <w:rFonts w:eastAsia="黑体"/>
        </w:rPr>
        <w:t>)</w:t>
      </w:r>
      <w:r w:rsidRPr="00144104">
        <w:rPr>
          <w:rFonts w:eastAsia="黑体"/>
        </w:rPr>
        <w:t>和事实上</w:t>
      </w:r>
      <w:r w:rsidR="00BF7097">
        <w:rPr>
          <w:rFonts w:eastAsia="黑体"/>
        </w:rPr>
        <w:t>(</w:t>
      </w:r>
      <w:r w:rsidRPr="00144104">
        <w:rPr>
          <w:rFonts w:eastAsia="黑体"/>
        </w:rPr>
        <w:t>实质性</w:t>
      </w:r>
      <w:r w:rsidR="00BF7097">
        <w:rPr>
          <w:rFonts w:eastAsia="黑体"/>
        </w:rPr>
        <w:t>)</w:t>
      </w:r>
      <w:r w:rsidRPr="00144104">
        <w:rPr>
          <w:rFonts w:eastAsia="黑体"/>
        </w:rPr>
        <w:t>的性别平等。委员会回顾了可持续发展目标</w:t>
      </w:r>
      <w:r w:rsidRPr="00144104">
        <w:rPr>
          <w:rFonts w:eastAsia="黑体"/>
        </w:rPr>
        <w:t>5</w:t>
      </w:r>
      <w:r w:rsidRPr="00144104">
        <w:rPr>
          <w:rFonts w:eastAsia="黑体"/>
        </w:rPr>
        <w:t>的重要性，以及将平等和不歧视原则纳入所有</w:t>
      </w:r>
      <w:r w:rsidRPr="00144104">
        <w:rPr>
          <w:rFonts w:eastAsia="黑体"/>
        </w:rPr>
        <w:t>17</w:t>
      </w:r>
      <w:r w:rsidRPr="00144104">
        <w:rPr>
          <w:rFonts w:eastAsia="黑体"/>
        </w:rPr>
        <w:t>项目标主流的重要性。委员会敦促缔约国承认妇女是缔约国实现可持续发展的推动力，并为此采取相关政策和战略。</w:t>
      </w:r>
    </w:p>
    <w:p w14:paraId="47298097" w14:textId="77777777" w:rsidR="00144104" w:rsidRPr="00144104" w:rsidRDefault="00144104" w:rsidP="001441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144104">
        <w:tab/>
        <w:t>D.</w:t>
      </w:r>
      <w:r w:rsidRPr="00144104">
        <w:tab/>
      </w:r>
      <w:r w:rsidRPr="00144104">
        <w:t>议会</w:t>
      </w:r>
    </w:p>
    <w:p w14:paraId="1E36FFCB" w14:textId="4992B8C2" w:rsidR="00144104" w:rsidRPr="00144104" w:rsidRDefault="00144104" w:rsidP="00144104">
      <w:pPr>
        <w:pStyle w:val="SingleTxt"/>
        <w:rPr>
          <w:rFonts w:eastAsia="黑体"/>
        </w:rPr>
      </w:pPr>
      <w:r w:rsidRPr="00144104">
        <w:rPr>
          <w:rFonts w:eastAsia="黑体"/>
        </w:rPr>
        <w:t>7.</w:t>
      </w:r>
      <w:r w:rsidRPr="00144104">
        <w:rPr>
          <w:rFonts w:eastAsia="黑体"/>
        </w:rPr>
        <w:tab/>
      </w:r>
      <w:r w:rsidRPr="00144104">
        <w:rPr>
          <w:rFonts w:eastAsia="黑体"/>
        </w:rPr>
        <w:t>委员会强调立法权在确保充分执行《公约》方面的关键作用</w:t>
      </w:r>
      <w:r w:rsidR="00BF7097">
        <w:rPr>
          <w:rFonts w:eastAsia="黑体"/>
        </w:rPr>
        <w:t>(</w:t>
      </w:r>
      <w:r w:rsidRPr="00144104">
        <w:rPr>
          <w:rFonts w:eastAsia="黑体"/>
        </w:rPr>
        <w:t>见</w:t>
      </w:r>
      <w:hyperlink r:id="rId26" w:history="1">
        <w:r w:rsidRPr="00620FB1">
          <w:rPr>
            <w:rStyle w:val="af7"/>
            <w:rFonts w:eastAsia="黑体" w:hint="eastAsia"/>
          </w:rPr>
          <w:t>A/65/38</w:t>
        </w:r>
      </w:hyperlink>
      <w:r w:rsidRPr="00144104">
        <w:rPr>
          <w:rFonts w:eastAsia="黑体"/>
        </w:rPr>
        <w:t>，第二部分，附件六</w:t>
      </w:r>
      <w:r w:rsidR="00BF7097">
        <w:rPr>
          <w:rFonts w:eastAsia="黑体"/>
        </w:rPr>
        <w:t>)</w:t>
      </w:r>
      <w:r w:rsidRPr="00144104">
        <w:rPr>
          <w:rFonts w:eastAsia="黑体"/>
        </w:rPr>
        <w:t>。委员会邀请新西兰议会根据其任务授权，在从现在起到根据《公约》提交下一次定期报告期间采取必要措施落实本结论性意见。</w:t>
      </w:r>
    </w:p>
    <w:p w14:paraId="3EFFC78B" w14:textId="77777777" w:rsidR="00144104" w:rsidRDefault="00144104" w:rsidP="0014410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t>E.</w:t>
      </w:r>
      <w:r>
        <w:rPr>
          <w:rFonts w:hint="eastAsia"/>
        </w:rPr>
        <w:tab/>
      </w:r>
      <w:r>
        <w:rPr>
          <w:rFonts w:hint="eastAsia"/>
        </w:rPr>
        <w:t>主要关切领域和建议</w:t>
      </w:r>
    </w:p>
    <w:p w14:paraId="7596ED32"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国内法律框架</w:t>
      </w:r>
    </w:p>
    <w:p w14:paraId="3A167EDE" w14:textId="1E01623C" w:rsidR="00144104" w:rsidRDefault="00144104" w:rsidP="00144104">
      <w:pPr>
        <w:pStyle w:val="SingleTxt"/>
      </w:pPr>
      <w:r>
        <w:rPr>
          <w:rFonts w:hint="eastAsia"/>
        </w:rPr>
        <w:t>8.</w:t>
      </w:r>
      <w:r>
        <w:rPr>
          <w:rFonts w:hint="eastAsia"/>
        </w:rPr>
        <w:tab/>
      </w:r>
      <w:r>
        <w:rPr>
          <w:rFonts w:hint="eastAsia"/>
        </w:rPr>
        <w:t>委员会积极地注意到，自</w:t>
      </w:r>
      <w:r>
        <w:rPr>
          <w:rFonts w:hint="eastAsia"/>
        </w:rPr>
        <w:t>2018</w:t>
      </w:r>
      <w:r>
        <w:rPr>
          <w:rFonts w:hint="eastAsia"/>
        </w:rPr>
        <w:t>年以来，已在最高法院的</w:t>
      </w:r>
      <w:r>
        <w:rPr>
          <w:rFonts w:hint="eastAsia"/>
        </w:rPr>
        <w:t>6</w:t>
      </w:r>
      <w:r>
        <w:rPr>
          <w:rFonts w:hint="eastAsia"/>
        </w:rPr>
        <w:t>起案件中援引《公约》，妇女部针对《公约》启动了一个跟踪工具。委员会还注意到，正在对跨性别、非二元性别和间性妇女的法律保护是否充分进行审查，将于</w:t>
      </w:r>
      <w:r>
        <w:rPr>
          <w:rFonts w:hint="eastAsia"/>
        </w:rPr>
        <w:t>2025</w:t>
      </w:r>
      <w:r>
        <w:rPr>
          <w:rFonts w:hint="eastAsia"/>
        </w:rPr>
        <w:t>年</w:t>
      </w:r>
      <w:r>
        <w:rPr>
          <w:rFonts w:hint="eastAsia"/>
        </w:rPr>
        <w:t>6</w:t>
      </w:r>
      <w:r>
        <w:rPr>
          <w:rFonts w:hint="eastAsia"/>
        </w:rPr>
        <w:t>月发布一份报告。然而，委员会关切地注意到，法律委员会将重点放在性特征上，而不是放在自我认同上，并重申其先前的关切，即《</w:t>
      </w:r>
      <w:r>
        <w:rPr>
          <w:rFonts w:hint="eastAsia"/>
        </w:rPr>
        <w:t>1993</w:t>
      </w:r>
      <w:r>
        <w:rPr>
          <w:rFonts w:hint="eastAsia"/>
        </w:rPr>
        <w:t>年新西兰人权法》没有提供明确保护，以防止基于性别认同、性别表达或性特征的歧视。</w:t>
      </w:r>
    </w:p>
    <w:p w14:paraId="0C0DCD1D" w14:textId="5D923D92" w:rsidR="00FD418E" w:rsidRDefault="00144104" w:rsidP="00144104">
      <w:pPr>
        <w:pStyle w:val="SingleTxt"/>
        <w:rPr>
          <w:rFonts w:eastAsia="黑体"/>
        </w:rPr>
      </w:pPr>
      <w:r w:rsidRPr="00144104">
        <w:rPr>
          <w:rFonts w:eastAsia="黑体"/>
        </w:rPr>
        <w:t>9.</w:t>
      </w:r>
      <w:r w:rsidRPr="00144104">
        <w:rPr>
          <w:rFonts w:eastAsia="黑体"/>
        </w:rPr>
        <w:tab/>
      </w:r>
      <w:r w:rsidRPr="00144104">
        <w:rPr>
          <w:rFonts w:eastAsia="黑体"/>
        </w:rPr>
        <w:t>委员会重申其先前的建议，即修订《</w:t>
      </w:r>
      <w:r w:rsidRPr="00144104">
        <w:rPr>
          <w:rFonts w:eastAsia="黑体"/>
        </w:rPr>
        <w:t>1993</w:t>
      </w:r>
      <w:r w:rsidRPr="00144104">
        <w:rPr>
          <w:rFonts w:eastAsia="黑体"/>
        </w:rPr>
        <w:t>年新西兰人权法》，以期提供明确的保护以防止基于性别认同、性别表达或性特征的歧视，并确保所有不同类型的妇女以及妇女社区代表和公共服务提供者切实有效地参加未来协商。</w:t>
      </w:r>
    </w:p>
    <w:p w14:paraId="4E50E407" w14:textId="77777777" w:rsidR="00FD418E" w:rsidRDefault="00FD418E">
      <w:pPr>
        <w:spacing w:after="160" w:line="259" w:lineRule="auto"/>
        <w:jc w:val="left"/>
        <w:rPr>
          <w:rFonts w:eastAsia="黑体"/>
        </w:rPr>
      </w:pPr>
      <w:r>
        <w:rPr>
          <w:rFonts w:eastAsia="黑体"/>
        </w:rPr>
        <w:br w:type="page"/>
      </w:r>
    </w:p>
    <w:p w14:paraId="0882896F" w14:textId="35621E22"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妇女获得司法救助</w:t>
      </w:r>
    </w:p>
    <w:p w14:paraId="12DF2E22" w14:textId="622F88B9" w:rsidR="00144104" w:rsidRDefault="00144104" w:rsidP="00144104">
      <w:pPr>
        <w:pStyle w:val="SingleTxt"/>
      </w:pPr>
      <w:r>
        <w:rPr>
          <w:rFonts w:hint="eastAsia"/>
        </w:rPr>
        <w:t>10.</w:t>
      </w:r>
      <w:r>
        <w:rPr>
          <w:rFonts w:hint="eastAsia"/>
        </w:rPr>
        <w:tab/>
      </w:r>
      <w:r>
        <w:rPr>
          <w:rFonts w:hint="eastAsia"/>
        </w:rPr>
        <w:t>委员会积极地注意到，获得法律援助的资格门槛提高，拨款</w:t>
      </w:r>
      <w:r>
        <w:rPr>
          <w:rFonts w:hint="eastAsia"/>
        </w:rPr>
        <w:t>1.4</w:t>
      </w:r>
      <w:r>
        <w:rPr>
          <w:rFonts w:hint="eastAsia"/>
        </w:rPr>
        <w:t>亿新西兰元用于支持毛利妇女、太平洋岛裔妇女和残疾妇女获得法律援助。委员会关切地注意到，</w:t>
      </w:r>
      <w:r>
        <w:rPr>
          <w:rFonts w:hint="eastAsia"/>
        </w:rPr>
        <w:t>67%</w:t>
      </w:r>
      <w:r>
        <w:rPr>
          <w:rFonts w:hint="eastAsia"/>
        </w:rPr>
        <w:t>的女囚犯是毛利妇女，尽管毛利妇女仅占妇女总人口的</w:t>
      </w:r>
      <w:r>
        <w:rPr>
          <w:rFonts w:hint="eastAsia"/>
        </w:rPr>
        <w:t>20%</w:t>
      </w:r>
      <w:r>
        <w:rPr>
          <w:rFonts w:hint="eastAsia"/>
        </w:rPr>
        <w:t>。委员会还关切地注意到，削减了向法官和司法官员提供文化报告以支持法庭诉讼的预算，这给参与国内法院民事和刑事诉讼的毛利妇女和其他少数群体妇女带来了额外的障碍</w:t>
      </w:r>
      <w:r w:rsidR="00B92669">
        <w:rPr>
          <w:rFonts w:hint="eastAsia"/>
        </w:rPr>
        <w:t>；</w:t>
      </w:r>
      <w:r>
        <w:rPr>
          <w:rFonts w:hint="eastAsia"/>
        </w:rPr>
        <w:t>原有的障碍包括妇女对司法机构缺乏信心，对自己获得公正审判的权利和保护自己及其可诉性的现行法律的认识有限，以及当局不关注她们或缺乏对性别问题的敏感性。</w:t>
      </w:r>
    </w:p>
    <w:p w14:paraId="16F99AC8" w14:textId="7FD0518B" w:rsidR="00144104" w:rsidRPr="00144104" w:rsidRDefault="00144104" w:rsidP="00144104">
      <w:pPr>
        <w:pStyle w:val="SingleTxt"/>
        <w:rPr>
          <w:rFonts w:eastAsia="黑体"/>
        </w:rPr>
      </w:pPr>
      <w:r w:rsidRPr="00144104">
        <w:rPr>
          <w:rFonts w:eastAsia="黑体"/>
        </w:rPr>
        <w:t>11.</w:t>
      </w:r>
      <w:r w:rsidRPr="00144104">
        <w:rPr>
          <w:rFonts w:eastAsia="黑体"/>
        </w:rPr>
        <w:tab/>
      </w:r>
      <w:r w:rsidRPr="00144104">
        <w:rPr>
          <w:rFonts w:eastAsia="黑体"/>
        </w:rPr>
        <w:t>委员会重申其先前建议，即解决毛利妇女面临的交叉歧视形式，这是导致她们在监狱中占比过高的原因，并提供拘留的替代办法。委员会回顾关于妇女获得司法救助的第</w:t>
      </w:r>
      <w:r w:rsidRPr="00144104">
        <w:rPr>
          <w:rFonts w:eastAsia="黑体"/>
        </w:rPr>
        <w:t>33</w:t>
      </w:r>
      <w:r w:rsidRPr="00144104">
        <w:rPr>
          <w:rFonts w:eastAsia="黑体"/>
        </w:rPr>
        <w:t>号一般性建议</w:t>
      </w:r>
      <w:r w:rsidR="00BF7097">
        <w:rPr>
          <w:rFonts w:eastAsia="黑体"/>
        </w:rPr>
        <w:t>(</w:t>
      </w:r>
      <w:r w:rsidRPr="00144104">
        <w:rPr>
          <w:rFonts w:eastAsia="黑体"/>
        </w:rPr>
        <w:t>2015</w:t>
      </w:r>
      <w:r w:rsidRPr="00144104">
        <w:rPr>
          <w:rFonts w:eastAsia="黑体"/>
        </w:rPr>
        <w:t>年</w:t>
      </w:r>
      <w:r w:rsidR="00BF7097">
        <w:rPr>
          <w:rFonts w:eastAsia="黑体"/>
        </w:rPr>
        <w:t>)</w:t>
      </w:r>
      <w:r w:rsidRPr="00144104">
        <w:rPr>
          <w:rFonts w:eastAsia="黑体"/>
        </w:rPr>
        <w:t>，建议缔约国继续改善弱势妇女群体</w:t>
      </w:r>
      <w:r w:rsidR="00BF7097">
        <w:rPr>
          <w:rFonts w:eastAsia="黑体"/>
        </w:rPr>
        <w:t>(</w:t>
      </w:r>
      <w:r w:rsidRPr="00144104">
        <w:rPr>
          <w:rFonts w:eastAsia="黑体"/>
        </w:rPr>
        <w:t>如毛利妇女和其他少数群体妇女</w:t>
      </w:r>
      <w:r w:rsidR="00BF7097">
        <w:rPr>
          <w:rFonts w:eastAsia="黑体"/>
        </w:rPr>
        <w:t>)</w:t>
      </w:r>
      <w:r w:rsidRPr="00144104">
        <w:rPr>
          <w:rFonts w:eastAsia="黑体"/>
        </w:rPr>
        <w:t>获得法律援助的机会，包括恢复为提供文化报告提供资金。委员会还重申其先前的建议，即传播有关妇女可利用哪些法律补救方法来主张其权利的信息，特别是在农村地区，并通过培训和增加女性代表来加强司法部门对性别的敏感认识。</w:t>
      </w:r>
    </w:p>
    <w:p w14:paraId="00B3A8A0"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提高妇女地位国家机构</w:t>
      </w:r>
    </w:p>
    <w:p w14:paraId="0758BDEC" w14:textId="549CFFD7" w:rsidR="00144104" w:rsidRDefault="00144104" w:rsidP="00144104">
      <w:pPr>
        <w:pStyle w:val="SingleTxt"/>
      </w:pPr>
      <w:r>
        <w:rPr>
          <w:rFonts w:hint="eastAsia"/>
        </w:rPr>
        <w:t>12.</w:t>
      </w:r>
      <w:r>
        <w:rPr>
          <w:rFonts w:hint="eastAsia"/>
        </w:rPr>
        <w:tab/>
      </w:r>
      <w:r>
        <w:rPr>
          <w:rFonts w:hint="eastAsia"/>
        </w:rPr>
        <w:t>委员会积极地注意到缔约国支持国际和区域性别主流化举措，包括支持联合国关于同工同酬和消除孕产妇死亡现象的决议。然而，委员会感到关切的是，最近分配给妇女部、少数族裔社区部、太平洋民族部和残疾人事务部的核心资金减少了</w:t>
      </w:r>
      <w:r>
        <w:rPr>
          <w:rFonts w:hint="eastAsia"/>
        </w:rPr>
        <w:t>7.5%</w:t>
      </w:r>
      <w:r w:rsidR="00B92669">
        <w:rPr>
          <w:rFonts w:hint="eastAsia"/>
        </w:rPr>
        <w:t>；</w:t>
      </w:r>
      <w:r>
        <w:rPr>
          <w:rFonts w:hint="eastAsia"/>
        </w:rPr>
        <w:t>尽管各部之间开展了合作，但这削弱了提高妇女地位国家机构。</w:t>
      </w:r>
    </w:p>
    <w:p w14:paraId="727AB843" w14:textId="5EDC3243" w:rsidR="00144104" w:rsidRPr="00144104" w:rsidRDefault="00144104" w:rsidP="00144104">
      <w:pPr>
        <w:pStyle w:val="SingleTxt"/>
        <w:rPr>
          <w:rFonts w:eastAsia="黑体"/>
        </w:rPr>
      </w:pPr>
      <w:r w:rsidRPr="00144104">
        <w:rPr>
          <w:rFonts w:eastAsia="黑体"/>
        </w:rPr>
        <w:t>13</w:t>
      </w:r>
      <w:r w:rsidR="00B92669">
        <w:rPr>
          <w:rFonts w:eastAsia="黑体"/>
        </w:rPr>
        <w:t>.</w:t>
      </w:r>
      <w:r w:rsidR="00B92669">
        <w:rPr>
          <w:rFonts w:eastAsia="黑体"/>
        </w:rPr>
        <w:tab/>
      </w:r>
      <w:r w:rsidRPr="00B92669">
        <w:rPr>
          <w:rFonts w:eastAsia="黑体"/>
          <w:spacing w:val="6"/>
        </w:rPr>
        <w:t>委员会建议缔约国恢复并在可能的情况下增加对妇女部、少数族裔社区部、</w:t>
      </w:r>
      <w:r w:rsidRPr="00144104">
        <w:rPr>
          <w:rFonts w:eastAsia="黑体"/>
        </w:rPr>
        <w:t>太平洋民族部和残疾人事务部的核心资金，确保有效促进性别平等和交织性。委员会还建议缔约国加强部际合作，提供足够资源来实施促进性别平等的政策。</w:t>
      </w:r>
    </w:p>
    <w:p w14:paraId="68FBCA27"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国家人权机构</w:t>
      </w:r>
    </w:p>
    <w:p w14:paraId="1E871A4E" w14:textId="77777777" w:rsidR="00144104" w:rsidRDefault="00144104" w:rsidP="00144104">
      <w:pPr>
        <w:pStyle w:val="SingleTxt"/>
      </w:pPr>
      <w:r>
        <w:rPr>
          <w:rFonts w:hint="eastAsia"/>
        </w:rPr>
        <w:t>14.</w:t>
      </w:r>
      <w:r>
        <w:rPr>
          <w:rFonts w:hint="eastAsia"/>
        </w:rPr>
        <w:tab/>
      </w:r>
      <w:r>
        <w:rPr>
          <w:rFonts w:hint="eastAsia"/>
        </w:rPr>
        <w:t>委员会对最近削减拨给新西兰人权委员会的资金以及随后推出的针对前工作人员的自愿裁员计划表示关切。委员会承认人权委员会在缔约国就人权提供咨询和加强问责方面发挥着至关重要的作用。</w:t>
      </w:r>
    </w:p>
    <w:p w14:paraId="4008D789" w14:textId="10ADE8B5" w:rsidR="00144104" w:rsidRPr="00144104" w:rsidRDefault="00144104" w:rsidP="00144104">
      <w:pPr>
        <w:pStyle w:val="SingleTxt"/>
        <w:rPr>
          <w:rFonts w:eastAsia="黑体"/>
        </w:rPr>
      </w:pPr>
      <w:r w:rsidRPr="00144104">
        <w:rPr>
          <w:rFonts w:eastAsia="黑体"/>
        </w:rPr>
        <w:t>15.</w:t>
      </w:r>
      <w:r>
        <w:rPr>
          <w:rFonts w:eastAsia="黑体"/>
        </w:rPr>
        <w:tab/>
      </w:r>
      <w:r w:rsidRPr="00144104">
        <w:rPr>
          <w:rFonts w:eastAsia="黑体"/>
        </w:rPr>
        <w:t>根据《关于促进和保护人权的国家机构的地位的原则》</w:t>
      </w:r>
      <w:r w:rsidR="00BF7097">
        <w:rPr>
          <w:rFonts w:eastAsia="黑体"/>
        </w:rPr>
        <w:t>(</w:t>
      </w:r>
      <w:r w:rsidRPr="00144104">
        <w:rPr>
          <w:rFonts w:eastAsia="黑体"/>
        </w:rPr>
        <w:t>《巴黎原则》</w:t>
      </w:r>
      <w:r w:rsidR="00BF7097">
        <w:rPr>
          <w:rFonts w:eastAsia="黑体"/>
        </w:rPr>
        <w:t>)</w:t>
      </w:r>
      <w:r w:rsidRPr="00144104">
        <w:rPr>
          <w:rFonts w:eastAsia="黑体"/>
        </w:rPr>
        <w:t>，委员会建议缔约国拨出充足的人力、技术和财政资源，确保新西兰人权委员会能够有效地继续履行其促进和保护妇女权利的任务。</w:t>
      </w:r>
    </w:p>
    <w:p w14:paraId="2E417B43"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暂行特别措施</w:t>
      </w:r>
    </w:p>
    <w:p w14:paraId="212280AC" w14:textId="3A4D6CAB" w:rsidR="00144104" w:rsidRDefault="00144104" w:rsidP="00144104">
      <w:pPr>
        <w:pStyle w:val="SingleTxt"/>
      </w:pPr>
      <w:r>
        <w:rPr>
          <w:rFonts w:hint="eastAsia"/>
        </w:rPr>
        <w:t>16.</w:t>
      </w:r>
      <w:r>
        <w:rPr>
          <w:rFonts w:hint="eastAsia"/>
        </w:rPr>
        <w:tab/>
      </w:r>
      <w:r>
        <w:rPr>
          <w:rFonts w:hint="eastAsia"/>
        </w:rPr>
        <w:t>委员会赞赏地注意到新西兰工党和奥特亚罗瓦新西兰绿党已经采用自愿性别配额。然而，委员会对公众言论中将暂行特别措施错误地描述为歧视性措施感到关切。委员会还对</w:t>
      </w:r>
      <w:r>
        <w:rPr>
          <w:rFonts w:hint="eastAsia"/>
        </w:rPr>
        <w:t>2023</w:t>
      </w:r>
      <w:r>
        <w:rPr>
          <w:rFonts w:hint="eastAsia"/>
        </w:rPr>
        <w:t>年的上次大选后议会中妇女代表人数减少感到遗憾。委员会还关切地注意到，妇女在私营部门决策职位中的代表性不足，在新西兰</w:t>
      </w:r>
      <w:r>
        <w:rPr>
          <w:rFonts w:hint="eastAsia"/>
        </w:rPr>
        <w:lastRenderedPageBreak/>
        <w:t>证券交易所上市的公司董事会董事职位中妇女占</w:t>
      </w:r>
      <w:r>
        <w:rPr>
          <w:rFonts w:hint="eastAsia"/>
        </w:rPr>
        <w:t>29%</w:t>
      </w:r>
      <w:r>
        <w:rPr>
          <w:rFonts w:hint="eastAsia"/>
        </w:rPr>
        <w:t>，高级管理职位中妇女占</w:t>
      </w:r>
      <w:r>
        <w:rPr>
          <w:rFonts w:hint="eastAsia"/>
        </w:rPr>
        <w:t>26%</w:t>
      </w:r>
      <w:r>
        <w:rPr>
          <w:rFonts w:hint="eastAsia"/>
        </w:rPr>
        <w:t>。委员会还关切地注意到，在传统上以女性为主的服务业，特别是医疗保健和旅游业，女性占雇员总数的</w:t>
      </w:r>
      <w:r>
        <w:rPr>
          <w:rFonts w:hint="eastAsia"/>
        </w:rPr>
        <w:t>85%</w:t>
      </w:r>
      <w:r>
        <w:rPr>
          <w:rFonts w:hint="eastAsia"/>
        </w:rPr>
        <w:t>，而在信息和通信技术、创新和可再生能源等新兴行业中，女性代表不足。</w:t>
      </w:r>
    </w:p>
    <w:p w14:paraId="43AF1D54" w14:textId="76F77500" w:rsidR="00144104" w:rsidRPr="00144104" w:rsidRDefault="00144104" w:rsidP="00144104">
      <w:pPr>
        <w:pStyle w:val="SingleTxt"/>
        <w:rPr>
          <w:rFonts w:eastAsia="黑体"/>
        </w:rPr>
      </w:pPr>
      <w:r w:rsidRPr="00144104">
        <w:rPr>
          <w:rFonts w:eastAsia="黑体"/>
        </w:rPr>
        <w:t>17.</w:t>
      </w:r>
      <w:r>
        <w:rPr>
          <w:rFonts w:eastAsia="黑体"/>
        </w:rPr>
        <w:tab/>
      </w:r>
      <w:r w:rsidRPr="00144104">
        <w:rPr>
          <w:rFonts w:eastAsia="黑体"/>
        </w:rPr>
        <w:t>委员会回顾其关于暂行特别措施的第</w:t>
      </w:r>
      <w:r w:rsidRPr="00144104">
        <w:rPr>
          <w:rFonts w:eastAsia="黑体"/>
        </w:rPr>
        <w:t>25</w:t>
      </w:r>
      <w:r w:rsidRPr="00144104">
        <w:rPr>
          <w:rFonts w:eastAsia="黑体"/>
        </w:rPr>
        <w:t>号一般性建议</w:t>
      </w:r>
      <w:r w:rsidR="00BF7097">
        <w:rPr>
          <w:rFonts w:eastAsia="黑体"/>
        </w:rPr>
        <w:t>(</w:t>
      </w:r>
      <w:r w:rsidRPr="00144104">
        <w:rPr>
          <w:rFonts w:eastAsia="黑体"/>
        </w:rPr>
        <w:t>2004</w:t>
      </w:r>
      <w:r w:rsidRPr="00144104">
        <w:rPr>
          <w:rFonts w:eastAsia="黑体"/>
        </w:rPr>
        <w:t>年</w:t>
      </w:r>
      <w:r w:rsidR="00BF7097">
        <w:rPr>
          <w:rFonts w:eastAsia="黑体"/>
        </w:rPr>
        <w:t>)</w:t>
      </w:r>
      <w:r w:rsidRPr="00144104">
        <w:rPr>
          <w:rFonts w:eastAsia="黑体"/>
        </w:rPr>
        <w:t>，建议缔约国提高公众对暂行特别措施的非歧视性质和重要性的认识。委员会还建议缔约国依循《公约》第四条第</w:t>
      </w:r>
      <w:r w:rsidRPr="00144104">
        <w:rPr>
          <w:rFonts w:eastAsia="黑体"/>
        </w:rPr>
        <w:t>1</w:t>
      </w:r>
      <w:r w:rsidRPr="00144104">
        <w:rPr>
          <w:rFonts w:eastAsia="黑体"/>
        </w:rPr>
        <w:t>款和第</w:t>
      </w:r>
      <w:r w:rsidRPr="00144104">
        <w:rPr>
          <w:rFonts w:eastAsia="黑体"/>
        </w:rPr>
        <w:t>25</w:t>
      </w:r>
      <w:r w:rsidRPr="00144104">
        <w:rPr>
          <w:rFonts w:eastAsia="黑体"/>
        </w:rPr>
        <w:t>号一般性建议，考虑采取额外的暂行特别措施，在妇女传统上代表性不足或处于不利地位的所有领域，包括在政治、公共和经济生活以及就业领域，特别是在信息和通信技术、创新和可再生能源等新兴领域，加速实现男女实质平等。</w:t>
      </w:r>
    </w:p>
    <w:p w14:paraId="3004E700"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性别成见</w:t>
      </w:r>
    </w:p>
    <w:p w14:paraId="471EA96A" w14:textId="3D90362D" w:rsidR="00144104" w:rsidRDefault="00144104" w:rsidP="00144104">
      <w:pPr>
        <w:pStyle w:val="SingleTxt"/>
      </w:pPr>
      <w:r>
        <w:rPr>
          <w:rFonts w:hint="eastAsia"/>
        </w:rPr>
        <w:t>18.</w:t>
      </w:r>
      <w:r>
        <w:rPr>
          <w:rFonts w:hint="eastAsia"/>
        </w:rPr>
        <w:tab/>
      </w:r>
      <w:r>
        <w:rPr>
          <w:rFonts w:hint="eastAsia"/>
        </w:rPr>
        <w:t>委员会欢迎缔约国为促进体育领域性别平等所作的努力，包括为此增加媒体对女子体育的报道，以及在体育组织决策职位中强制执行女性代表配额。委员会还积极指出，</w:t>
      </w:r>
      <w:r>
        <w:rPr>
          <w:rFonts w:hint="eastAsia"/>
        </w:rPr>
        <w:t>2023</w:t>
      </w:r>
      <w:r>
        <w:rPr>
          <w:rFonts w:hint="eastAsia"/>
        </w:rPr>
        <w:t>年国际足联女足世界杯为新西兰带来了超过</w:t>
      </w:r>
      <w:r>
        <w:rPr>
          <w:rFonts w:hint="eastAsia"/>
        </w:rPr>
        <w:t>1</w:t>
      </w:r>
      <w:r>
        <w:rPr>
          <w:rFonts w:hint="eastAsia"/>
        </w:rPr>
        <w:t>亿新西兰元的净经济效益。然而，委员会关切的是，有害的性别成见仍然普遍存在，正如</w:t>
      </w:r>
      <w:r>
        <w:rPr>
          <w:rFonts w:hint="eastAsia"/>
        </w:rPr>
        <w:t>2023</w:t>
      </w:r>
      <w:r>
        <w:rPr>
          <w:rFonts w:hint="eastAsia"/>
        </w:rPr>
        <w:t>年性别态度调查所揭示的那样。调查结果显示，</w:t>
      </w:r>
      <w:r>
        <w:rPr>
          <w:rFonts w:hint="eastAsia"/>
        </w:rPr>
        <w:t>30%</w:t>
      </w:r>
      <w:r>
        <w:rPr>
          <w:rFonts w:hint="eastAsia"/>
        </w:rPr>
        <w:t>的男性受访者认为性别平等“走得太远”，</w:t>
      </w:r>
      <w:r>
        <w:rPr>
          <w:rFonts w:hint="eastAsia"/>
        </w:rPr>
        <w:t>21%</w:t>
      </w:r>
      <w:r>
        <w:rPr>
          <w:rFonts w:hint="eastAsia"/>
        </w:rPr>
        <w:t>的男性受访者认为女性比男性更适合做饭。</w:t>
      </w:r>
    </w:p>
    <w:p w14:paraId="7E562D1B" w14:textId="19F0347E" w:rsidR="00144104" w:rsidRPr="00144104" w:rsidRDefault="00144104" w:rsidP="00144104">
      <w:pPr>
        <w:pStyle w:val="SingleTxt"/>
        <w:rPr>
          <w:rFonts w:eastAsia="黑体"/>
        </w:rPr>
      </w:pPr>
      <w:r w:rsidRPr="00144104">
        <w:rPr>
          <w:rFonts w:eastAsia="黑体"/>
        </w:rPr>
        <w:t>19.</w:t>
      </w:r>
      <w:r>
        <w:rPr>
          <w:rFonts w:eastAsia="黑体"/>
        </w:rPr>
        <w:tab/>
      </w:r>
      <w:r w:rsidRPr="00144104">
        <w:rPr>
          <w:rFonts w:eastAsia="黑体"/>
        </w:rPr>
        <w:t>委员会建议缔约国继续促进体育领域性别平等，确保遵守领导职位中的女性代表配额。委员会还建议缔约国评估</w:t>
      </w:r>
      <w:r w:rsidRPr="00144104">
        <w:rPr>
          <w:rFonts w:eastAsia="黑体"/>
        </w:rPr>
        <w:t>2023</w:t>
      </w:r>
      <w:r w:rsidRPr="00144104">
        <w:rPr>
          <w:rFonts w:eastAsia="黑体"/>
        </w:rPr>
        <w:t>年性别态度调查的结果，以制定有根有据的政策，为</w:t>
      </w:r>
      <w:r w:rsidRPr="00144104">
        <w:rPr>
          <w:rFonts w:eastAsia="黑体"/>
        </w:rPr>
        <w:t>2025</w:t>
      </w:r>
      <w:r w:rsidRPr="00144104">
        <w:rPr>
          <w:rFonts w:eastAsia="黑体"/>
        </w:rPr>
        <w:t>年性别态度调查分配充足的人力、技术和财政资源，并在下一次定期报告中提供基于</w:t>
      </w:r>
      <w:r w:rsidRPr="00144104">
        <w:rPr>
          <w:rFonts w:eastAsia="黑体"/>
        </w:rPr>
        <w:t>2025</w:t>
      </w:r>
      <w:r w:rsidRPr="00144104">
        <w:rPr>
          <w:rFonts w:eastAsia="黑体"/>
        </w:rPr>
        <w:t>年调查的统计数据。</w:t>
      </w:r>
    </w:p>
    <w:p w14:paraId="4B0D70B3"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对妇女的性别暴力</w:t>
      </w:r>
    </w:p>
    <w:p w14:paraId="5DA961A9" w14:textId="5E38C95E" w:rsidR="00144104" w:rsidRDefault="00144104" w:rsidP="00144104">
      <w:pPr>
        <w:pStyle w:val="SingleTxt"/>
      </w:pPr>
      <w:r>
        <w:rPr>
          <w:rFonts w:hint="eastAsia"/>
        </w:rPr>
        <w:t>20.</w:t>
      </w:r>
      <w:r>
        <w:rPr>
          <w:rFonts w:hint="eastAsia"/>
        </w:rPr>
        <w:tab/>
      </w:r>
      <w:r>
        <w:rPr>
          <w:rFonts w:hint="eastAsia"/>
        </w:rPr>
        <w:t>委员会积极地注意到缔约国每季度编写公开报告，说明针对妇女的性别暴力发生率，以及为处理肇事者而采取措施的情况，比如“她不是你的康复中心”方案，该方案侧重于应对男子的创伤、让男子更多参与家庭生活并改善男子的人际关系。委员会还注意到，已提出一项法案，将盯梢骚扰定为犯罪。然而，委员会严重关切的是，委员会收到的信息显示，过去五年来，家庭暴力和亲密伴侣间暴力事件有所增加，毛利妇女和太平洋岛国裔妇女、少数族裔和少数宗教妇女以及残疾妇女遭受暴力的比例最高。委员会还关切地注意到，</w:t>
      </w:r>
      <w:r>
        <w:rPr>
          <w:rFonts w:hint="eastAsia"/>
        </w:rPr>
        <w:t>2023</w:t>
      </w:r>
      <w:r>
        <w:rPr>
          <w:rFonts w:hint="eastAsia"/>
        </w:rPr>
        <w:t>年新西兰犯罪和受害者调查的结果表明，</w:t>
      </w:r>
      <w:r>
        <w:rPr>
          <w:rFonts w:hint="eastAsia"/>
        </w:rPr>
        <w:t>93%</w:t>
      </w:r>
      <w:r>
        <w:rPr>
          <w:rFonts w:hint="eastAsia"/>
        </w:rPr>
        <w:t>的性侵犯案件没有报告。</w:t>
      </w:r>
    </w:p>
    <w:p w14:paraId="46147A0B" w14:textId="5E124A1D" w:rsidR="00144104" w:rsidRPr="00144104" w:rsidRDefault="00144104" w:rsidP="00144104">
      <w:pPr>
        <w:pStyle w:val="SingleTxt"/>
        <w:rPr>
          <w:rFonts w:eastAsia="黑体"/>
        </w:rPr>
      </w:pPr>
      <w:r w:rsidRPr="00144104">
        <w:rPr>
          <w:rFonts w:eastAsia="黑体"/>
        </w:rPr>
        <w:t>21.</w:t>
      </w:r>
      <w:r w:rsidRPr="00144104">
        <w:rPr>
          <w:rFonts w:eastAsia="黑体"/>
        </w:rPr>
        <w:tab/>
      </w:r>
      <w:r w:rsidRPr="00144104">
        <w:rPr>
          <w:rFonts w:eastAsia="黑体"/>
        </w:rPr>
        <w:t>委员会回顾其关于基于性别的暴力侵害妇女行为的第</w:t>
      </w:r>
      <w:r w:rsidRPr="00144104">
        <w:rPr>
          <w:rFonts w:eastAsia="黑体"/>
        </w:rPr>
        <w:t>35</w:t>
      </w:r>
      <w:r w:rsidRPr="00144104">
        <w:rPr>
          <w:rFonts w:eastAsia="黑体"/>
        </w:rPr>
        <w:t>号一般性建议</w:t>
      </w:r>
      <w:r w:rsidR="00BF7097">
        <w:rPr>
          <w:rFonts w:eastAsia="黑体"/>
        </w:rPr>
        <w:t>(</w:t>
      </w:r>
      <w:r w:rsidRPr="00144104">
        <w:rPr>
          <w:rFonts w:eastAsia="黑体"/>
        </w:rPr>
        <w:t>2017</w:t>
      </w:r>
      <w:r w:rsidRPr="00144104">
        <w:rPr>
          <w:rFonts w:eastAsia="黑体"/>
        </w:rPr>
        <w:t>年，更新第</w:t>
      </w:r>
      <w:r w:rsidRPr="00144104">
        <w:rPr>
          <w:rFonts w:eastAsia="黑体"/>
        </w:rPr>
        <w:t>19</w:t>
      </w:r>
      <w:r w:rsidRPr="00144104">
        <w:rPr>
          <w:rFonts w:eastAsia="黑体"/>
        </w:rPr>
        <w:t>号一般性建议</w:t>
      </w:r>
      <w:r w:rsidR="00BF7097">
        <w:rPr>
          <w:rFonts w:eastAsia="黑体"/>
        </w:rPr>
        <w:t>)</w:t>
      </w:r>
      <w:r w:rsidRPr="00144104">
        <w:rPr>
          <w:rFonts w:eastAsia="黑体"/>
        </w:rPr>
        <w:t>，建议缔约国</w:t>
      </w:r>
      <w:r w:rsidR="00BF7097">
        <w:rPr>
          <w:rFonts w:ascii="宋体" w:hAnsi="宋体"/>
        </w:rPr>
        <w:t>：</w:t>
      </w:r>
    </w:p>
    <w:p w14:paraId="1A9AD62F" w14:textId="70DEB247"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a</w:t>
      </w:r>
      <w:r w:rsidR="00BF7097">
        <w:rPr>
          <w:rFonts w:eastAsia="黑体"/>
        </w:rPr>
        <w:t>)</w:t>
      </w:r>
      <w:r w:rsidRPr="00144104">
        <w:rPr>
          <w:rFonts w:eastAsia="黑体"/>
        </w:rPr>
        <w:tab/>
      </w:r>
      <w:r w:rsidRPr="00144104">
        <w:rPr>
          <w:rFonts w:eastAsia="黑体"/>
        </w:rPr>
        <w:t>评估和制定政策，消除对妇女的性别暴力，包括经济暴力的根源和复杂因素</w:t>
      </w:r>
      <w:r w:rsidR="00B92669">
        <w:rPr>
          <w:rFonts w:eastAsia="黑体"/>
        </w:rPr>
        <w:t>；</w:t>
      </w:r>
    </w:p>
    <w:p w14:paraId="411788EA" w14:textId="0FAD0125"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b</w:t>
      </w:r>
      <w:r w:rsidR="00BF7097">
        <w:rPr>
          <w:rFonts w:eastAsia="黑体"/>
        </w:rPr>
        <w:t>)</w:t>
      </w:r>
      <w:r w:rsidRPr="00144104">
        <w:rPr>
          <w:rFonts w:eastAsia="黑体"/>
        </w:rPr>
        <w:tab/>
      </w:r>
      <w:r w:rsidRPr="00144104">
        <w:rPr>
          <w:rFonts w:eastAsia="黑体"/>
        </w:rPr>
        <w:t>通过并执行立法，将盯梢骚扰具体定为刑事犯罪</w:t>
      </w:r>
      <w:r w:rsidR="00B92669">
        <w:rPr>
          <w:rFonts w:ascii="宋体" w:hAnsi="宋体" w:hint="eastAsia"/>
        </w:rPr>
        <w:t>；</w:t>
      </w:r>
    </w:p>
    <w:p w14:paraId="3EEC498E" w14:textId="2339A598" w:rsidR="00144104" w:rsidRPr="00144104" w:rsidRDefault="00144104" w:rsidP="00144104">
      <w:pPr>
        <w:pStyle w:val="SingleTxt"/>
        <w:rPr>
          <w:rFonts w:eastAsia="黑体"/>
        </w:rPr>
      </w:pPr>
      <w:r w:rsidRPr="00144104">
        <w:rPr>
          <w:rFonts w:eastAsia="黑体"/>
        </w:rPr>
        <w:lastRenderedPageBreak/>
        <w:tab/>
      </w:r>
      <w:r w:rsidR="00BF7097">
        <w:rPr>
          <w:rFonts w:eastAsia="黑体"/>
        </w:rPr>
        <w:t>(</w:t>
      </w:r>
      <w:r w:rsidRPr="00144104">
        <w:rPr>
          <w:rFonts w:eastAsia="黑体"/>
        </w:rPr>
        <w:t>c</w:t>
      </w:r>
      <w:r w:rsidR="00BF7097">
        <w:rPr>
          <w:rFonts w:eastAsia="黑体"/>
        </w:rPr>
        <w:t>)</w:t>
      </w:r>
      <w:r w:rsidRPr="00144104">
        <w:rPr>
          <w:rFonts w:eastAsia="黑体"/>
        </w:rPr>
        <w:tab/>
      </w:r>
      <w:r w:rsidRPr="00144104">
        <w:rPr>
          <w:rFonts w:eastAsia="黑体"/>
        </w:rPr>
        <w:t>继续采取基于系统数据收集和分析的措施，加强预防对妇女的性别暴力，降低再次受害和再次犯罪率</w:t>
      </w:r>
      <w:r w:rsidR="00B92669">
        <w:rPr>
          <w:rFonts w:eastAsia="黑体"/>
        </w:rPr>
        <w:t>；</w:t>
      </w:r>
    </w:p>
    <w:p w14:paraId="09CEB08B" w14:textId="14347FC6" w:rsidR="00144104" w:rsidRPr="00711917" w:rsidRDefault="00144104" w:rsidP="00144104">
      <w:pPr>
        <w:pStyle w:val="SingleTxt"/>
        <w:rPr>
          <w:rFonts w:eastAsia="黑体"/>
          <w:spacing w:val="6"/>
        </w:rPr>
      </w:pPr>
      <w:r w:rsidRPr="00144104">
        <w:rPr>
          <w:rFonts w:eastAsia="黑体"/>
        </w:rPr>
        <w:tab/>
      </w:r>
      <w:r w:rsidR="00BF7097">
        <w:rPr>
          <w:rFonts w:eastAsia="黑体"/>
        </w:rPr>
        <w:t>(</w:t>
      </w:r>
      <w:r w:rsidRPr="00144104">
        <w:rPr>
          <w:rFonts w:eastAsia="黑体"/>
        </w:rPr>
        <w:t>d</w:t>
      </w:r>
      <w:r w:rsidR="00BF7097">
        <w:rPr>
          <w:rFonts w:eastAsia="黑体"/>
        </w:rPr>
        <w:t>)</w:t>
      </w:r>
      <w:r w:rsidRPr="00144104">
        <w:rPr>
          <w:rFonts w:eastAsia="黑体"/>
        </w:rPr>
        <w:tab/>
      </w:r>
      <w:r w:rsidRPr="00144104">
        <w:rPr>
          <w:rFonts w:eastAsia="黑体"/>
        </w:rPr>
        <w:t>为</w:t>
      </w:r>
      <w:r w:rsidRPr="00711917">
        <w:rPr>
          <w:rFonts w:eastAsia="黑体"/>
          <w:spacing w:val="6"/>
        </w:rPr>
        <w:t>提供受害者支助服务划拨充足人力、技术和财政资源，并确保民间社会、受害者代表和社会工作者有效参与关于提供保护、社会和康复服务的决策</w:t>
      </w:r>
      <w:r w:rsidR="00B92669" w:rsidRPr="00711917">
        <w:rPr>
          <w:rFonts w:eastAsia="黑体"/>
          <w:spacing w:val="6"/>
        </w:rPr>
        <w:t>；</w:t>
      </w:r>
    </w:p>
    <w:p w14:paraId="595783CF" w14:textId="50FA9363"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e</w:t>
      </w:r>
      <w:r w:rsidR="00BF7097">
        <w:rPr>
          <w:rFonts w:eastAsia="黑体"/>
        </w:rPr>
        <w:t>)</w:t>
      </w:r>
      <w:r w:rsidRPr="00144104">
        <w:rPr>
          <w:rFonts w:eastAsia="黑体"/>
        </w:rPr>
        <w:tab/>
      </w:r>
      <w:r w:rsidRPr="00144104">
        <w:rPr>
          <w:rFonts w:eastAsia="黑体"/>
        </w:rPr>
        <w:t>加强保护，让妇女免遭性别暴力侵害，包括加强执法，保护弱势妇女群体，包括毛利和太平洋岛国裔妇女、少数族裔和少数宗教妇女以及残疾妇女。</w:t>
      </w:r>
    </w:p>
    <w:p w14:paraId="0D6888B3"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贩运人口和利用卖淫营利</w:t>
      </w:r>
    </w:p>
    <w:p w14:paraId="7E50EF19" w14:textId="387E481E" w:rsidR="00144104" w:rsidRDefault="00144104" w:rsidP="00144104">
      <w:pPr>
        <w:pStyle w:val="SingleTxt"/>
      </w:pPr>
      <w:r>
        <w:rPr>
          <w:rFonts w:hint="eastAsia"/>
        </w:rPr>
        <w:t>22.</w:t>
      </w:r>
      <w:r>
        <w:rPr>
          <w:rFonts w:hint="eastAsia"/>
        </w:rPr>
        <w:tab/>
      </w:r>
      <w:r>
        <w:rPr>
          <w:rFonts w:hint="eastAsia"/>
        </w:rPr>
        <w:t>委员会关切地注意到，自</w:t>
      </w:r>
      <w:r>
        <w:rPr>
          <w:rFonts w:hint="eastAsia"/>
        </w:rPr>
        <w:t>2015</w:t>
      </w:r>
      <w:r>
        <w:rPr>
          <w:rFonts w:hint="eastAsia"/>
        </w:rPr>
        <w:t>年修订关于贩运的法律以来，贩运妇女和女童案件起诉率和定罪率很低。委员会还关切地注意到，尽管</w:t>
      </w:r>
      <w:r>
        <w:rPr>
          <w:rFonts w:hint="eastAsia"/>
        </w:rPr>
        <w:t>2022</w:t>
      </w:r>
      <w:r>
        <w:rPr>
          <w:rFonts w:hint="eastAsia"/>
        </w:rPr>
        <w:t>年进行了公开协商，讨论可能通过新立法解决多个供应链中现代奴役问题，但当代形式奴隶制领导咨询小组已被解散。</w:t>
      </w:r>
    </w:p>
    <w:p w14:paraId="01F19B81" w14:textId="52AF1A81" w:rsidR="00144104" w:rsidRPr="00711917" w:rsidRDefault="00144104" w:rsidP="00144104">
      <w:pPr>
        <w:pStyle w:val="SingleTxt"/>
        <w:rPr>
          <w:rFonts w:eastAsia="黑体"/>
          <w:spacing w:val="4"/>
        </w:rPr>
      </w:pPr>
      <w:r w:rsidRPr="00144104">
        <w:rPr>
          <w:rFonts w:eastAsia="黑体"/>
        </w:rPr>
        <w:t>23.</w:t>
      </w:r>
      <w:r w:rsidR="00127EC2">
        <w:rPr>
          <w:rFonts w:eastAsia="黑体"/>
        </w:rPr>
        <w:tab/>
      </w:r>
      <w:r w:rsidRPr="00711917">
        <w:rPr>
          <w:rFonts w:eastAsia="黑体"/>
          <w:spacing w:val="4"/>
        </w:rPr>
        <w:t>委员会回顾关于全球移民背景下贩运妇女和女童问题的第</w:t>
      </w:r>
      <w:r w:rsidRPr="00711917">
        <w:rPr>
          <w:rFonts w:eastAsia="黑体"/>
          <w:spacing w:val="4"/>
        </w:rPr>
        <w:t>38</w:t>
      </w:r>
      <w:r w:rsidRPr="00711917">
        <w:rPr>
          <w:rFonts w:eastAsia="黑体"/>
          <w:spacing w:val="4"/>
        </w:rPr>
        <w:t>号一般性建议</w:t>
      </w:r>
      <w:r w:rsidR="00BF7097" w:rsidRPr="00711917">
        <w:rPr>
          <w:rFonts w:eastAsia="黑体"/>
          <w:spacing w:val="4"/>
        </w:rPr>
        <w:t>(</w:t>
      </w:r>
      <w:r w:rsidRPr="00711917">
        <w:rPr>
          <w:rFonts w:eastAsia="黑体"/>
          <w:spacing w:val="4"/>
        </w:rPr>
        <w:t>2020</w:t>
      </w:r>
      <w:r w:rsidRPr="00711917">
        <w:rPr>
          <w:rFonts w:eastAsia="黑体"/>
          <w:spacing w:val="4"/>
        </w:rPr>
        <w:t>年</w:t>
      </w:r>
      <w:r w:rsidR="00BF7097" w:rsidRPr="00711917">
        <w:rPr>
          <w:rFonts w:eastAsia="黑体"/>
          <w:spacing w:val="4"/>
        </w:rPr>
        <w:t>)</w:t>
      </w:r>
      <w:r w:rsidRPr="00711917">
        <w:rPr>
          <w:rFonts w:eastAsia="黑体"/>
          <w:spacing w:val="4"/>
        </w:rPr>
        <w:t>，建议缔约国加强其反贩运框架，考虑恢复当代形式奴隶制领导咨询小组。委员会敦促缔约国加强对贩运妇女和女童行为人的调查和起诉，确保早期识别和将贩运受害者转介到适当服务部门，包括法律援助和康复方案。委员会还建议缔约国通过立法，按照国际标准消除当代形式奴隶制和类似奴隶制的做法。</w:t>
      </w:r>
    </w:p>
    <w:p w14:paraId="2CE75C70" w14:textId="53DA640B" w:rsidR="00144104" w:rsidRDefault="00144104" w:rsidP="00144104">
      <w:pPr>
        <w:pStyle w:val="SingleTxt"/>
      </w:pPr>
      <w:r>
        <w:rPr>
          <w:rFonts w:hint="eastAsia"/>
        </w:rPr>
        <w:t>24.</w:t>
      </w:r>
      <w:r>
        <w:rPr>
          <w:rFonts w:hint="eastAsia"/>
        </w:rPr>
        <w:tab/>
      </w:r>
      <w:r>
        <w:rPr>
          <w:rFonts w:hint="eastAsia"/>
        </w:rPr>
        <w:t>委员会重申对《</w:t>
      </w:r>
      <w:r>
        <w:rPr>
          <w:rFonts w:hint="eastAsia"/>
        </w:rPr>
        <w:t>2003</w:t>
      </w:r>
      <w:r>
        <w:rPr>
          <w:rFonts w:hint="eastAsia"/>
        </w:rPr>
        <w:t>年卖淫改革法》第</w:t>
      </w:r>
      <w:r>
        <w:rPr>
          <w:rFonts w:hint="eastAsia"/>
        </w:rPr>
        <w:t>19</w:t>
      </w:r>
      <w:r>
        <w:rPr>
          <w:rFonts w:hint="eastAsia"/>
        </w:rPr>
        <w:t>条导致普遍存在法律和事实上的歧视表示关切，该法将新西兰公民和永久居民的卖淫行为广泛非刑罪化，但将卖淫移民妇女排除在外。委员会关切地注意到，这种排除增加了卖淫移民妇女面临的性别暴力和剥削风险，破坏了反贩运努力，因为受害者由于害怕被驱逐出境而不愿向当局举报犯罪行为。</w:t>
      </w:r>
    </w:p>
    <w:p w14:paraId="42D1ED7C" w14:textId="75116623" w:rsidR="00144104" w:rsidRPr="00144104" w:rsidRDefault="00144104" w:rsidP="00144104">
      <w:pPr>
        <w:pStyle w:val="SingleTxt"/>
        <w:rPr>
          <w:rFonts w:eastAsia="黑体"/>
        </w:rPr>
      </w:pPr>
      <w:r>
        <w:rPr>
          <w:rFonts w:hint="eastAsia"/>
        </w:rPr>
        <w:t>25.</w:t>
      </w:r>
      <w:r>
        <w:tab/>
      </w:r>
      <w:r w:rsidRPr="00144104">
        <w:rPr>
          <w:rFonts w:eastAsia="黑体"/>
        </w:rPr>
        <w:t>委员会回顾其先前的建议，呼吁缔约国审查其法律框架，特别是《</w:t>
      </w:r>
      <w:r w:rsidRPr="00144104">
        <w:rPr>
          <w:rFonts w:eastAsia="黑体"/>
        </w:rPr>
        <w:t>2003</w:t>
      </w:r>
      <w:r w:rsidRPr="00144104">
        <w:rPr>
          <w:rFonts w:eastAsia="黑体"/>
        </w:rPr>
        <w:t>年卖淫改革法》第</w:t>
      </w:r>
      <w:r w:rsidRPr="00144104">
        <w:rPr>
          <w:rFonts w:eastAsia="黑体"/>
        </w:rPr>
        <w:t>19</w:t>
      </w:r>
      <w:r w:rsidRPr="00144104">
        <w:rPr>
          <w:rFonts w:eastAsia="黑体"/>
        </w:rPr>
        <w:t>条，以确保卖淫移民妇女与身为新西兰公民或永久居民的卖淫妇女享有同样的权利和保护。它还建议缔约国加强努力，打击针对卖淫移民妇女的性别暴力和剥削，包括提供安全的渠道举报虐待行为，而不必担心被驱逐出境。</w:t>
      </w:r>
    </w:p>
    <w:p w14:paraId="0A9092C1"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ab/>
      </w:r>
      <w:r>
        <w:rPr>
          <w:rFonts w:hint="eastAsia"/>
        </w:rPr>
        <w:t>平等参与政治和公共生活</w:t>
      </w:r>
    </w:p>
    <w:p w14:paraId="675AAE62" w14:textId="77777777" w:rsidR="00144104" w:rsidRDefault="00144104" w:rsidP="00144104">
      <w:pPr>
        <w:pStyle w:val="SingleTxt"/>
      </w:pPr>
      <w:r>
        <w:rPr>
          <w:rFonts w:hint="eastAsia"/>
        </w:rPr>
        <w:t>26.</w:t>
      </w:r>
      <w:r>
        <w:rPr>
          <w:rFonts w:hint="eastAsia"/>
        </w:rPr>
        <w:tab/>
      </w:r>
      <w:r>
        <w:rPr>
          <w:rFonts w:hint="eastAsia"/>
        </w:rPr>
        <w:t>委员会关切地注意到，有报告称，担任政治领导和决策职位的妇女，包括前总理、女议员和警务专员，受到网络和身体骚扰、恐吓和威胁。</w:t>
      </w:r>
    </w:p>
    <w:p w14:paraId="6B4434EE" w14:textId="0B7CEFF1" w:rsidR="00B92669" w:rsidRDefault="00144104" w:rsidP="00711917">
      <w:pPr>
        <w:pStyle w:val="SingleTxt"/>
        <w:rPr>
          <w:rFonts w:eastAsia="黑体"/>
        </w:rPr>
      </w:pPr>
      <w:r>
        <w:rPr>
          <w:rFonts w:hint="eastAsia"/>
        </w:rPr>
        <w:t>27.</w:t>
      </w:r>
      <w:r>
        <w:tab/>
      </w:r>
      <w:r w:rsidRPr="00144104">
        <w:rPr>
          <w:rFonts w:eastAsia="黑体"/>
        </w:rPr>
        <w:t>委员会回顾其关于妇女在决策系统中的平等和包容性代表权的第</w:t>
      </w:r>
      <w:r w:rsidRPr="00144104">
        <w:rPr>
          <w:rFonts w:eastAsia="黑体"/>
        </w:rPr>
        <w:t>40</w:t>
      </w:r>
      <w:r w:rsidRPr="00144104">
        <w:rPr>
          <w:rFonts w:eastAsia="黑体"/>
        </w:rPr>
        <w:t>号一般性建议</w:t>
      </w:r>
      <w:r w:rsidR="00BF7097">
        <w:rPr>
          <w:rFonts w:eastAsia="黑体"/>
        </w:rPr>
        <w:t>(</w:t>
      </w:r>
      <w:r w:rsidRPr="00144104">
        <w:rPr>
          <w:rFonts w:eastAsia="黑体"/>
        </w:rPr>
        <w:t>2024</w:t>
      </w:r>
      <w:r w:rsidRPr="00144104">
        <w:rPr>
          <w:rFonts w:eastAsia="黑体"/>
        </w:rPr>
        <w:t>年</w:t>
      </w:r>
      <w:r w:rsidR="00BF7097">
        <w:rPr>
          <w:rFonts w:eastAsia="黑体"/>
        </w:rPr>
        <w:t>)</w:t>
      </w:r>
      <w:r w:rsidRPr="00144104">
        <w:rPr>
          <w:rFonts w:eastAsia="黑体"/>
        </w:rPr>
        <w:t>，建议缔约国加强对参与政治和公共生活的妇女的个人和隐私保护。还建议缔约国有效调查并酌情起诉和惩罚所有针对女性政治家和女性公职人员发布仇恨言论和实施仇恨犯罪的肇事者，并确保公职人员公开谴责此类言论或犯罪。</w:t>
      </w:r>
      <w:r w:rsidR="00B92669">
        <w:rPr>
          <w:rFonts w:eastAsia="黑体"/>
        </w:rPr>
        <w:br w:type="page"/>
      </w:r>
    </w:p>
    <w:p w14:paraId="777BA86F"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国籍</w:t>
      </w:r>
    </w:p>
    <w:p w14:paraId="5DF99086" w14:textId="1EF40E17" w:rsidR="00144104" w:rsidRDefault="00144104" w:rsidP="00144104">
      <w:pPr>
        <w:pStyle w:val="SingleTxt"/>
      </w:pPr>
      <w:r>
        <w:rPr>
          <w:rFonts w:hint="eastAsia"/>
        </w:rPr>
        <w:t>28.</w:t>
      </w:r>
      <w:r>
        <w:rPr>
          <w:rFonts w:hint="eastAsia"/>
        </w:rPr>
        <w:tab/>
      </w:r>
      <w:r>
        <w:rPr>
          <w:rFonts w:hint="eastAsia"/>
        </w:rPr>
        <w:t>委员会注意到最近废除《</w:t>
      </w:r>
      <w:r>
        <w:rPr>
          <w:rFonts w:hint="eastAsia"/>
        </w:rPr>
        <w:t>1982</w:t>
      </w:r>
      <w:r>
        <w:rPr>
          <w:rFonts w:hint="eastAsia"/>
        </w:rPr>
        <w:t>年西萨摩亚公民法》的法案，该法案取消了萨摩亚儿童基于血统获得新西兰国籍的权利。然而，委员会关切地注意到，自</w:t>
      </w:r>
      <w:r>
        <w:rPr>
          <w:rFonts w:hint="eastAsia"/>
        </w:rPr>
        <w:t>2006</w:t>
      </w:r>
      <w:r>
        <w:rPr>
          <w:rFonts w:hint="eastAsia"/>
        </w:rPr>
        <w:t>年以来，在新西兰出生的妇女和女童不再有权获得国籍，除非其父母一方拥有澳大利亚、库克群岛、新西兰、纽埃或托克劳公民身份或永久居留权</w:t>
      </w:r>
      <w:r w:rsidR="00B92669">
        <w:rPr>
          <w:rFonts w:hint="eastAsia"/>
        </w:rPr>
        <w:t>；</w:t>
      </w:r>
      <w:r>
        <w:rPr>
          <w:rFonts w:hint="eastAsia"/>
        </w:rPr>
        <w:t>这限制了她们获得国籍的机会。委员会还关切的是，《</w:t>
      </w:r>
      <w:r>
        <w:rPr>
          <w:rFonts w:hint="eastAsia"/>
        </w:rPr>
        <w:t>1977</w:t>
      </w:r>
      <w:r>
        <w:rPr>
          <w:rFonts w:hint="eastAsia"/>
        </w:rPr>
        <w:t>年公民法》第</w:t>
      </w:r>
      <w:r>
        <w:rPr>
          <w:rFonts w:hint="eastAsia"/>
        </w:rPr>
        <w:t>9</w:t>
      </w:r>
      <w:r>
        <w:rPr>
          <w:rFonts w:hint="eastAsia"/>
        </w:rPr>
        <w:t>条没有为申请国籍规定法定时限，该条赋予内政部长在此类案件中有自由裁量权。委员会还关切地注意到，缺乏明确的无国籍状态认定程序框架。</w:t>
      </w:r>
    </w:p>
    <w:p w14:paraId="4A2A5B97" w14:textId="20917D1E" w:rsidR="00144104" w:rsidRPr="00144104" w:rsidRDefault="00144104" w:rsidP="00144104">
      <w:pPr>
        <w:pStyle w:val="SingleTxt"/>
        <w:rPr>
          <w:rFonts w:eastAsia="黑体"/>
        </w:rPr>
      </w:pPr>
      <w:r w:rsidRPr="00144104">
        <w:rPr>
          <w:rFonts w:eastAsia="黑体"/>
        </w:rPr>
        <w:t>29.</w:t>
      </w:r>
      <w:r>
        <w:rPr>
          <w:rFonts w:eastAsia="黑体"/>
        </w:rPr>
        <w:tab/>
      </w:r>
      <w:r w:rsidRPr="00B92669">
        <w:rPr>
          <w:rFonts w:eastAsia="黑体"/>
          <w:spacing w:val="4"/>
        </w:rPr>
        <w:t>委员会建议缔约国加快废除《</w:t>
      </w:r>
      <w:r w:rsidRPr="00B92669">
        <w:rPr>
          <w:rFonts w:eastAsia="黑体"/>
          <w:spacing w:val="4"/>
        </w:rPr>
        <w:t>1982</w:t>
      </w:r>
      <w:r w:rsidRPr="00B92669">
        <w:rPr>
          <w:rFonts w:eastAsia="黑体"/>
          <w:spacing w:val="4"/>
        </w:rPr>
        <w:t>年西萨摩亚公民法》，使父母为萨摩亚人、</w:t>
      </w:r>
      <w:r w:rsidRPr="00144104">
        <w:rPr>
          <w:rFonts w:eastAsia="黑体"/>
        </w:rPr>
        <w:t>在新西兰出生的妇女和儿童能够基于血统申请新西兰国籍。委员会还呼吁缔约国确保受影响的萨摩亚妇女有效参与制定补救所造成伤害的机制。委员会还建议缔约国根据《</w:t>
      </w:r>
      <w:r w:rsidRPr="00144104">
        <w:rPr>
          <w:rFonts w:eastAsia="黑体"/>
        </w:rPr>
        <w:t>1977</w:t>
      </w:r>
      <w:r w:rsidRPr="00144104">
        <w:rPr>
          <w:rFonts w:eastAsia="黑体"/>
        </w:rPr>
        <w:t>年公民法》第</w:t>
      </w:r>
      <w:r w:rsidRPr="00144104">
        <w:rPr>
          <w:rFonts w:eastAsia="黑体"/>
        </w:rPr>
        <w:t>9</w:t>
      </w:r>
      <w:r w:rsidRPr="00144104">
        <w:rPr>
          <w:rFonts w:eastAsia="黑体"/>
        </w:rPr>
        <w:t>条为国籍申请设定法定时限，以避免不必要的拖延。此外，委员会敦促缔约国根据国际人权标准采用无国籍状态认定程序，并考虑加入</w:t>
      </w:r>
      <w:r w:rsidRPr="00144104">
        <w:rPr>
          <w:rFonts w:eastAsia="黑体"/>
        </w:rPr>
        <w:t>1954</w:t>
      </w:r>
      <w:r w:rsidRPr="00144104">
        <w:rPr>
          <w:rFonts w:eastAsia="黑体"/>
        </w:rPr>
        <w:t>年《关于无国籍人地位的公约》，以防止无国籍状态。</w:t>
      </w:r>
    </w:p>
    <w:p w14:paraId="560893CF"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教育</w:t>
      </w:r>
    </w:p>
    <w:p w14:paraId="221B51E1" w14:textId="66F77258" w:rsidR="00144104" w:rsidRDefault="00144104" w:rsidP="00144104">
      <w:pPr>
        <w:pStyle w:val="SingleTxt"/>
      </w:pPr>
      <w:r>
        <w:rPr>
          <w:rFonts w:hint="eastAsia"/>
        </w:rPr>
        <w:t>30.</w:t>
      </w:r>
      <w:r>
        <w:rPr>
          <w:rFonts w:hint="eastAsia"/>
        </w:rPr>
        <w:tab/>
      </w:r>
      <w:r w:rsidRPr="00301758">
        <w:rPr>
          <w:rFonts w:hint="eastAsia"/>
          <w:spacing w:val="-4"/>
        </w:rPr>
        <w:t>委员会关切地注意到，近期主要教育方案资金减少，包括</w:t>
      </w:r>
      <w:r w:rsidRPr="00301758">
        <w:rPr>
          <w:rFonts w:hint="eastAsia"/>
          <w:spacing w:val="-4"/>
        </w:rPr>
        <w:t>Ka Ora,</w:t>
      </w:r>
      <w:r w:rsidR="005F3BA2" w:rsidRPr="00301758">
        <w:rPr>
          <w:spacing w:val="-4"/>
        </w:rPr>
        <w:t xml:space="preserve"> </w:t>
      </w:r>
      <w:r w:rsidRPr="00301758">
        <w:rPr>
          <w:rFonts w:hint="eastAsia"/>
          <w:spacing w:val="-4"/>
        </w:rPr>
        <w:t xml:space="preserve">Ka </w:t>
      </w:r>
      <w:r>
        <w:rPr>
          <w:rFonts w:hint="eastAsia"/>
        </w:rPr>
        <w:t>Ako</w:t>
      </w:r>
      <w:r w:rsidR="00BF7097">
        <w:rPr>
          <w:rFonts w:hint="eastAsia"/>
        </w:rPr>
        <w:t>(</w:t>
      </w:r>
      <w:r>
        <w:rPr>
          <w:rFonts w:hint="eastAsia"/>
        </w:rPr>
        <w:t>健康学校午餐方案</w:t>
      </w:r>
      <w:r w:rsidR="00BF7097">
        <w:rPr>
          <w:rFonts w:hint="eastAsia"/>
        </w:rPr>
        <w:t>)</w:t>
      </w:r>
      <w:r>
        <w:rPr>
          <w:rFonts w:hint="eastAsia"/>
        </w:rPr>
        <w:t>的资金被削减了</w:t>
      </w:r>
      <w:r>
        <w:rPr>
          <w:rFonts w:hint="eastAsia"/>
        </w:rPr>
        <w:t>1.07</w:t>
      </w:r>
      <w:r>
        <w:rPr>
          <w:rFonts w:hint="eastAsia"/>
        </w:rPr>
        <w:t>亿新西兰元。委员会还关切残疾妇女和女童在接受教育方面面临重大障碍，</w:t>
      </w:r>
      <w:r>
        <w:rPr>
          <w:rFonts w:hint="eastAsia"/>
        </w:rPr>
        <w:t>34%</w:t>
      </w:r>
      <w:r>
        <w:rPr>
          <w:rFonts w:hint="eastAsia"/>
        </w:rPr>
        <w:t>的残疾妇女无资格证书，而非残疾妇女的这一比例仅为</w:t>
      </w:r>
      <w:r>
        <w:rPr>
          <w:rFonts w:hint="eastAsia"/>
        </w:rPr>
        <w:t>15%</w:t>
      </w:r>
      <w:r>
        <w:rPr>
          <w:rFonts w:hint="eastAsia"/>
        </w:rPr>
        <w:t>，言语治疗师和教师助理等基本支持人员短缺又加剧了这一障碍。尽管在改善农村宽带接入方面取得了进展，但农村和偏远农村学校以及毛利语学校的女生仍然面临性别数字差距和毛利语教师短缺问题。</w:t>
      </w:r>
    </w:p>
    <w:p w14:paraId="0D20EAE0" w14:textId="4C6901CF" w:rsidR="00144104" w:rsidRPr="00144104" w:rsidRDefault="00144104" w:rsidP="00144104">
      <w:pPr>
        <w:pStyle w:val="SingleTxt"/>
        <w:rPr>
          <w:rFonts w:eastAsia="黑体"/>
        </w:rPr>
      </w:pPr>
      <w:r w:rsidRPr="00144104">
        <w:rPr>
          <w:rFonts w:eastAsia="黑体"/>
        </w:rPr>
        <w:t>31.</w:t>
      </w:r>
      <w:r w:rsidR="00B92669">
        <w:rPr>
          <w:rFonts w:eastAsia="黑体"/>
        </w:rPr>
        <w:tab/>
      </w:r>
      <w:r w:rsidRPr="00144104">
        <w:rPr>
          <w:rFonts w:eastAsia="黑体"/>
        </w:rPr>
        <w:t>委员会回顾其关于女童和妇女受教育权的第</w:t>
      </w:r>
      <w:r w:rsidRPr="00144104">
        <w:rPr>
          <w:rFonts w:eastAsia="黑体"/>
        </w:rPr>
        <w:t>36</w:t>
      </w:r>
      <w:r w:rsidRPr="00144104">
        <w:rPr>
          <w:rFonts w:eastAsia="黑体"/>
        </w:rPr>
        <w:t>号一般性建议</w:t>
      </w:r>
      <w:r w:rsidR="00BF7097">
        <w:rPr>
          <w:rFonts w:eastAsia="黑体"/>
        </w:rPr>
        <w:t>(</w:t>
      </w:r>
      <w:r w:rsidRPr="00144104">
        <w:rPr>
          <w:rFonts w:eastAsia="黑体"/>
        </w:rPr>
        <w:t>2017</w:t>
      </w:r>
      <w:r w:rsidRPr="00144104">
        <w:rPr>
          <w:rFonts w:eastAsia="黑体"/>
        </w:rPr>
        <w:t>年</w:t>
      </w:r>
      <w:r w:rsidR="00BF7097">
        <w:rPr>
          <w:rFonts w:eastAsia="黑体"/>
        </w:rPr>
        <w:t>)</w:t>
      </w:r>
      <w:r w:rsidRPr="00144104">
        <w:rPr>
          <w:rFonts w:eastAsia="黑体"/>
        </w:rPr>
        <w:t>，建议缔约国宣传妇女和女童接受各级教育的重要性，作为增强其权能的基础，并</w:t>
      </w:r>
      <w:r w:rsidR="00BF7097">
        <w:rPr>
          <w:rFonts w:ascii="宋体" w:hAnsi="宋体"/>
        </w:rPr>
        <w:t>：</w:t>
      </w:r>
    </w:p>
    <w:p w14:paraId="42DF4773" w14:textId="2DF9E5F3"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a</w:t>
      </w:r>
      <w:r w:rsidR="00BF7097">
        <w:rPr>
          <w:rFonts w:eastAsia="黑体"/>
        </w:rPr>
        <w:t>)</w:t>
      </w:r>
      <w:r w:rsidRPr="00144104">
        <w:rPr>
          <w:rFonts w:eastAsia="黑体"/>
        </w:rPr>
        <w:tab/>
      </w:r>
      <w:r w:rsidRPr="00144104">
        <w:rPr>
          <w:rFonts w:eastAsia="黑体"/>
        </w:rPr>
        <w:t>确保分配充足的人力、技术和财政资源，用于关键的教育方案，包括</w:t>
      </w:r>
      <w:r w:rsidRPr="00144104">
        <w:rPr>
          <w:rFonts w:eastAsia="黑体"/>
        </w:rPr>
        <w:t>Ka Ora,</w:t>
      </w:r>
      <w:r w:rsidR="005F3BA2">
        <w:rPr>
          <w:rFonts w:eastAsia="黑体"/>
        </w:rPr>
        <w:t xml:space="preserve"> </w:t>
      </w:r>
      <w:r w:rsidRPr="00144104">
        <w:rPr>
          <w:rFonts w:eastAsia="黑体"/>
        </w:rPr>
        <w:t>Ka Ako</w:t>
      </w:r>
      <w:r w:rsidR="00BF7097">
        <w:rPr>
          <w:rFonts w:eastAsia="黑体"/>
        </w:rPr>
        <w:t>(</w:t>
      </w:r>
      <w:r w:rsidRPr="00144104">
        <w:rPr>
          <w:rFonts w:eastAsia="黑体"/>
        </w:rPr>
        <w:t>健康学校午餐方案</w:t>
      </w:r>
      <w:r w:rsidR="00BF7097">
        <w:rPr>
          <w:rFonts w:eastAsia="黑体"/>
        </w:rPr>
        <w:t>)</w:t>
      </w:r>
      <w:r w:rsidRPr="00144104">
        <w:rPr>
          <w:rFonts w:eastAsia="黑体"/>
        </w:rPr>
        <w:t>，并用于为毛利语学校和农村地区妇女和女童提供交通援助</w:t>
      </w:r>
      <w:r w:rsidR="00B92669">
        <w:rPr>
          <w:rFonts w:eastAsia="黑体"/>
        </w:rPr>
        <w:t>；</w:t>
      </w:r>
    </w:p>
    <w:p w14:paraId="0AC4E9D6" w14:textId="06F63098"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b</w:t>
      </w:r>
      <w:r w:rsidR="00BF7097">
        <w:rPr>
          <w:rFonts w:eastAsia="黑体"/>
        </w:rPr>
        <w:t>)</w:t>
      </w:r>
      <w:r w:rsidRPr="00144104">
        <w:rPr>
          <w:rFonts w:eastAsia="黑体"/>
        </w:rPr>
        <w:tab/>
      </w:r>
      <w:r w:rsidRPr="00144104">
        <w:rPr>
          <w:rFonts w:eastAsia="黑体"/>
        </w:rPr>
        <w:t>分配更多资源，改善无障碍环境，提供包容性教育，增加言语治疗师和教师助理人数，从而消除残疾女童和妇女受教育的障碍</w:t>
      </w:r>
      <w:r w:rsidR="00B92669">
        <w:rPr>
          <w:rFonts w:eastAsia="黑体"/>
        </w:rPr>
        <w:t>；</w:t>
      </w:r>
    </w:p>
    <w:p w14:paraId="3F4B6F2A" w14:textId="7846A02C"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c</w:t>
      </w:r>
      <w:r w:rsidR="00BF7097">
        <w:rPr>
          <w:rFonts w:eastAsia="黑体"/>
        </w:rPr>
        <w:t>)</w:t>
      </w:r>
      <w:r w:rsidRPr="00144104">
        <w:rPr>
          <w:rFonts w:eastAsia="黑体"/>
        </w:rPr>
        <w:tab/>
      </w:r>
      <w:r w:rsidRPr="00144104">
        <w:rPr>
          <w:rFonts w:eastAsia="黑体"/>
        </w:rPr>
        <w:t>弥合性别数字鸿沟，改善妇女和女童，特别是农村和土著妇女和女童平等获得可靠和负担得起的互联网服务、宽带和在线学习设备以及获得科学、技术、工程、数学教育的机会</w:t>
      </w:r>
      <w:r w:rsidR="00B92669">
        <w:rPr>
          <w:rFonts w:eastAsia="黑体"/>
        </w:rPr>
        <w:t>；</w:t>
      </w:r>
    </w:p>
    <w:p w14:paraId="4BF46F7B" w14:textId="487BB2DE"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d</w:t>
      </w:r>
      <w:r w:rsidR="00BF7097">
        <w:rPr>
          <w:rFonts w:eastAsia="黑体"/>
        </w:rPr>
        <w:t>)</w:t>
      </w:r>
      <w:r w:rsidRPr="00144104">
        <w:rPr>
          <w:rFonts w:eastAsia="黑体"/>
        </w:rPr>
        <w:tab/>
      </w:r>
      <w:r w:rsidRPr="00144104">
        <w:rPr>
          <w:rFonts w:eastAsia="黑体"/>
        </w:rPr>
        <w:t>大力执行关于保护受教育妇女和女生</w:t>
      </w:r>
      <w:r w:rsidR="00BF7097">
        <w:rPr>
          <w:rFonts w:eastAsia="黑体"/>
        </w:rPr>
        <w:t>(</w:t>
      </w:r>
      <w:r w:rsidRPr="00144104">
        <w:rPr>
          <w:rFonts w:eastAsia="黑体"/>
        </w:rPr>
        <w:t>包括国际学生</w:t>
      </w:r>
      <w:r w:rsidR="00BF7097">
        <w:rPr>
          <w:rFonts w:eastAsia="黑体"/>
        </w:rPr>
        <w:t>)</w:t>
      </w:r>
      <w:r w:rsidRPr="00144104">
        <w:rPr>
          <w:rFonts w:eastAsia="黑体"/>
        </w:rPr>
        <w:t>免受骚扰、虚假信息、网络暴力和欺凌的法律和法规并监测其执行情况，提高学生、家长、教师和公众对欺凌和暴力风险的认识</w:t>
      </w:r>
      <w:r w:rsidR="00B92669">
        <w:rPr>
          <w:rFonts w:eastAsia="黑体"/>
        </w:rPr>
        <w:t>；</w:t>
      </w:r>
    </w:p>
    <w:p w14:paraId="7B65979F" w14:textId="1774CE94"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e</w:t>
      </w:r>
      <w:r w:rsidR="00BF7097">
        <w:rPr>
          <w:rFonts w:eastAsia="黑体"/>
        </w:rPr>
        <w:t>)</w:t>
      </w:r>
      <w:r w:rsidRPr="00144104">
        <w:rPr>
          <w:rFonts w:eastAsia="黑体"/>
        </w:rPr>
        <w:tab/>
      </w:r>
      <w:r w:rsidRPr="00144104">
        <w:rPr>
          <w:rFonts w:eastAsia="黑体"/>
        </w:rPr>
        <w:t>采取措施促进太平洋岛国裔语言和土著语言的教学，解决各级教育中毛利语教师短缺的问题。</w:t>
      </w:r>
    </w:p>
    <w:p w14:paraId="0376BC15" w14:textId="77777777" w:rsidR="00144104" w:rsidRDefault="00144104" w:rsidP="00144104">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lastRenderedPageBreak/>
        <w:tab/>
      </w:r>
      <w:r>
        <w:rPr>
          <w:rFonts w:hint="eastAsia"/>
        </w:rPr>
        <w:tab/>
      </w:r>
      <w:r>
        <w:rPr>
          <w:rFonts w:hint="eastAsia"/>
        </w:rPr>
        <w:t>就业</w:t>
      </w:r>
    </w:p>
    <w:p w14:paraId="7D1A14EB" w14:textId="544C9265" w:rsidR="00144104" w:rsidRDefault="00144104" w:rsidP="00144104">
      <w:pPr>
        <w:pStyle w:val="SingleTxt"/>
      </w:pPr>
      <w:r>
        <w:rPr>
          <w:rFonts w:hint="eastAsia"/>
        </w:rPr>
        <w:t>32.</w:t>
      </w:r>
      <w:r>
        <w:rPr>
          <w:rFonts w:hint="eastAsia"/>
        </w:rPr>
        <w:tab/>
      </w:r>
      <w:r>
        <w:rPr>
          <w:rFonts w:hint="eastAsia"/>
        </w:rPr>
        <w:t>委员会关切地注意到</w:t>
      </w:r>
      <w:r w:rsidR="00BF7097">
        <w:rPr>
          <w:rFonts w:ascii="宋体" w:hAnsi="宋体" w:hint="eastAsia"/>
        </w:rPr>
        <w:t>：</w:t>
      </w:r>
    </w:p>
    <w:p w14:paraId="6CA16A6A" w14:textId="4C89C44B" w:rsidR="00144104" w:rsidRDefault="00144104" w:rsidP="00144104">
      <w:pPr>
        <w:pStyle w:val="SingleTxt"/>
      </w:pPr>
      <w:r>
        <w:rPr>
          <w:rFonts w:hint="eastAsia"/>
        </w:rPr>
        <w:tab/>
      </w:r>
      <w:r w:rsidR="00BF7097">
        <w:rPr>
          <w:rFonts w:hint="eastAsia"/>
        </w:rPr>
        <w:t>(</w:t>
      </w:r>
      <w:r>
        <w:rPr>
          <w:rFonts w:hint="eastAsia"/>
        </w:rPr>
        <w:t>a</w:t>
      </w:r>
      <w:r w:rsidR="00BF7097">
        <w:rPr>
          <w:rFonts w:hint="eastAsia"/>
        </w:rPr>
        <w:t>)</w:t>
      </w:r>
      <w:r>
        <w:rPr>
          <w:rFonts w:hint="eastAsia"/>
        </w:rPr>
        <w:tab/>
      </w:r>
      <w:r>
        <w:rPr>
          <w:rFonts w:hint="eastAsia"/>
        </w:rPr>
        <w:t>性别工资差距持续存在，特别是对于毛利妇女、太平洋岛国裔妇女和移民妇女而言，毛利妇女的性别工资差距高达</w:t>
      </w:r>
      <w:r>
        <w:rPr>
          <w:rFonts w:hint="eastAsia"/>
        </w:rPr>
        <w:t>20%</w:t>
      </w:r>
      <w:r w:rsidR="00B92669">
        <w:rPr>
          <w:rFonts w:hint="eastAsia"/>
        </w:rPr>
        <w:t>；</w:t>
      </w:r>
    </w:p>
    <w:p w14:paraId="077C45D8" w14:textId="2A5DEA0B" w:rsidR="00144104" w:rsidRDefault="00B92669" w:rsidP="00144104">
      <w:pPr>
        <w:pStyle w:val="SingleTxt"/>
      </w:pPr>
      <w:r>
        <w:tab/>
      </w:r>
      <w:r w:rsidR="00BF7097">
        <w:rPr>
          <w:rFonts w:hint="eastAsia"/>
        </w:rPr>
        <w:t>(</w:t>
      </w:r>
      <w:r w:rsidR="00144104">
        <w:rPr>
          <w:rFonts w:hint="eastAsia"/>
        </w:rPr>
        <w:t>b</w:t>
      </w:r>
      <w:r w:rsidR="00BF7097">
        <w:rPr>
          <w:rFonts w:hint="eastAsia"/>
        </w:rPr>
        <w:t>)</w:t>
      </w:r>
      <w:r>
        <w:tab/>
      </w:r>
      <w:r w:rsidR="00144104">
        <w:rPr>
          <w:rFonts w:hint="eastAsia"/>
        </w:rPr>
        <w:t>缔约国为改善妇女就业而采取的措施仅限于育儿假和产后护理，而没有解决更广泛的系统性问题，包括交叉形式歧视</w:t>
      </w:r>
      <w:r>
        <w:rPr>
          <w:rFonts w:hint="eastAsia"/>
        </w:rPr>
        <w:t>；</w:t>
      </w:r>
    </w:p>
    <w:p w14:paraId="45902125" w14:textId="5BD542AF" w:rsidR="00144104" w:rsidRDefault="00B92669" w:rsidP="00144104">
      <w:pPr>
        <w:pStyle w:val="SingleTxt"/>
      </w:pPr>
      <w:r>
        <w:tab/>
      </w:r>
      <w:r w:rsidR="00BF7097">
        <w:rPr>
          <w:rFonts w:hint="eastAsia"/>
        </w:rPr>
        <w:t>(</w:t>
      </w:r>
      <w:r w:rsidR="00144104">
        <w:rPr>
          <w:rFonts w:hint="eastAsia"/>
        </w:rPr>
        <w:t>c</w:t>
      </w:r>
      <w:r w:rsidR="00BF7097">
        <w:rPr>
          <w:rFonts w:hint="eastAsia"/>
        </w:rPr>
        <w:t>)</w:t>
      </w:r>
      <w:r>
        <w:tab/>
      </w:r>
      <w:r w:rsidR="00144104">
        <w:rPr>
          <w:rFonts w:hint="eastAsia"/>
        </w:rPr>
        <w:t>38%</w:t>
      </w:r>
      <w:r w:rsidR="00144104">
        <w:rPr>
          <w:rFonts w:hint="eastAsia"/>
        </w:rPr>
        <w:t>的劳动女性报告在工作场所遭受过性骚扰，弱势妇女群体遭受性骚扰的比例更高。</w:t>
      </w:r>
    </w:p>
    <w:p w14:paraId="455472B1" w14:textId="36EDBFEA" w:rsidR="00144104" w:rsidRPr="00144104" w:rsidRDefault="00144104" w:rsidP="00144104">
      <w:pPr>
        <w:pStyle w:val="SingleTxt"/>
        <w:rPr>
          <w:rFonts w:eastAsia="黑体"/>
        </w:rPr>
      </w:pPr>
      <w:r w:rsidRPr="00144104">
        <w:rPr>
          <w:rFonts w:eastAsia="黑体"/>
        </w:rPr>
        <w:t>33</w:t>
      </w:r>
      <w:r w:rsidR="00251304">
        <w:rPr>
          <w:rFonts w:eastAsia="黑体"/>
        </w:rPr>
        <w:t>.</w:t>
      </w:r>
      <w:r w:rsidRPr="00144104">
        <w:rPr>
          <w:rFonts w:eastAsia="黑体"/>
        </w:rPr>
        <w:tab/>
      </w:r>
      <w:r w:rsidRPr="00144104">
        <w:rPr>
          <w:rFonts w:eastAsia="黑体"/>
        </w:rPr>
        <w:t>委员会建议缔约国</w:t>
      </w:r>
      <w:r w:rsidR="00BF7097">
        <w:rPr>
          <w:rFonts w:ascii="宋体" w:hAnsi="宋体"/>
        </w:rPr>
        <w:t>：</w:t>
      </w:r>
    </w:p>
    <w:p w14:paraId="53C0B981" w14:textId="3BF354DE"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a</w:t>
      </w:r>
      <w:r w:rsidR="00BF7097">
        <w:rPr>
          <w:rFonts w:eastAsia="黑体"/>
        </w:rPr>
        <w:t>)</w:t>
      </w:r>
      <w:r w:rsidRPr="00144104">
        <w:rPr>
          <w:rFonts w:eastAsia="黑体"/>
        </w:rPr>
        <w:tab/>
      </w:r>
      <w:r w:rsidRPr="00144104">
        <w:rPr>
          <w:rFonts w:eastAsia="黑体"/>
        </w:rPr>
        <w:t>有效执行同工同酬原则，缩小并最终消除性别工资差距，包括针对毛利妇女、太平洋岛国裔妇女和移民妇女，具体做法包括</w:t>
      </w:r>
      <w:r w:rsidR="00BF7097">
        <w:rPr>
          <w:rFonts w:ascii="宋体" w:hAnsi="宋体"/>
        </w:rPr>
        <w:t>：</w:t>
      </w:r>
      <w:r w:rsidR="00BF7097" w:rsidRPr="001C3472">
        <w:rPr>
          <w:rFonts w:eastAsia="黑体" w:hint="eastAsia"/>
        </w:rPr>
        <w:t>㈠</w:t>
      </w:r>
      <w:r w:rsidR="00BF7097">
        <w:rPr>
          <w:rFonts w:eastAsia="黑体" w:hint="eastAsia"/>
        </w:rPr>
        <w:t xml:space="preserve"> </w:t>
      </w:r>
      <w:r w:rsidRPr="00144104">
        <w:rPr>
          <w:rFonts w:eastAsia="黑体"/>
        </w:rPr>
        <w:t>定期进行劳动监察</w:t>
      </w:r>
      <w:r w:rsidR="00B92669">
        <w:rPr>
          <w:rFonts w:eastAsia="黑体"/>
        </w:rPr>
        <w:t>；</w:t>
      </w:r>
      <w:r w:rsidR="00BF7097" w:rsidRPr="001C3472">
        <w:rPr>
          <w:rFonts w:eastAsia="黑体" w:hint="eastAsia"/>
        </w:rPr>
        <w:t>㈡</w:t>
      </w:r>
      <w:r w:rsidRPr="00144104">
        <w:rPr>
          <w:rFonts w:eastAsia="黑体"/>
        </w:rPr>
        <w:t xml:space="preserve"> </w:t>
      </w:r>
      <w:r w:rsidRPr="00144104">
        <w:rPr>
          <w:rFonts w:eastAsia="黑体"/>
        </w:rPr>
        <w:t>采用不分性别的分析性职务分类和评价方法</w:t>
      </w:r>
      <w:r w:rsidR="00B92669">
        <w:rPr>
          <w:rFonts w:eastAsia="黑体"/>
        </w:rPr>
        <w:t>；</w:t>
      </w:r>
      <w:r w:rsidR="00BF7097" w:rsidRPr="001C3472">
        <w:rPr>
          <w:rFonts w:eastAsia="黑体" w:hint="eastAsia"/>
        </w:rPr>
        <w:t>㈢</w:t>
      </w:r>
      <w:r w:rsidRPr="00144104">
        <w:rPr>
          <w:rFonts w:eastAsia="黑体"/>
        </w:rPr>
        <w:t xml:space="preserve"> </w:t>
      </w:r>
      <w:r w:rsidRPr="00144104">
        <w:rPr>
          <w:rFonts w:eastAsia="黑体"/>
        </w:rPr>
        <w:t>定期进行工资调查</w:t>
      </w:r>
      <w:r w:rsidR="00B92669">
        <w:rPr>
          <w:rFonts w:eastAsia="黑体"/>
        </w:rPr>
        <w:t>；</w:t>
      </w:r>
      <w:r w:rsidR="00885EC0" w:rsidRPr="00885EC0">
        <w:rPr>
          <w:rFonts w:eastAsia="黑体" w:hint="eastAsia"/>
        </w:rPr>
        <w:t>㈣</w:t>
      </w:r>
      <w:r w:rsidRPr="00144104">
        <w:rPr>
          <w:rFonts w:eastAsia="黑体"/>
        </w:rPr>
        <w:t xml:space="preserve"> </w:t>
      </w:r>
      <w:r w:rsidRPr="00144104">
        <w:rPr>
          <w:rFonts w:eastAsia="黑体"/>
        </w:rPr>
        <w:t>鼓励雇主在公布性别工资差距数据时附上一份说明，以便使人们更好地了解性别工资差距背后的原因，并采取适当补救措施</w:t>
      </w:r>
      <w:r w:rsidR="00B92669">
        <w:rPr>
          <w:rFonts w:eastAsia="黑体"/>
        </w:rPr>
        <w:t>；</w:t>
      </w:r>
    </w:p>
    <w:p w14:paraId="23997576" w14:textId="4CA685A3" w:rsidR="00144104" w:rsidRPr="00144104" w:rsidRDefault="00144104" w:rsidP="00144104">
      <w:pPr>
        <w:pStyle w:val="SingleTxt"/>
        <w:rPr>
          <w:rFonts w:eastAsia="黑体"/>
        </w:rPr>
      </w:pPr>
      <w:r>
        <w:rPr>
          <w:rFonts w:eastAsia="黑体"/>
        </w:rPr>
        <w:tab/>
      </w:r>
      <w:r w:rsidR="00BF7097">
        <w:rPr>
          <w:rFonts w:eastAsia="黑体"/>
        </w:rPr>
        <w:t>(</w:t>
      </w:r>
      <w:r w:rsidRPr="00144104">
        <w:rPr>
          <w:rFonts w:eastAsia="黑体"/>
        </w:rPr>
        <w:t>b</w:t>
      </w:r>
      <w:r w:rsidR="00BF7097">
        <w:rPr>
          <w:rFonts w:eastAsia="黑体"/>
        </w:rPr>
        <w:t>)</w:t>
      </w:r>
      <w:r>
        <w:rPr>
          <w:rFonts w:eastAsia="黑体"/>
        </w:rPr>
        <w:tab/>
      </w:r>
      <w:r w:rsidRPr="00144104">
        <w:rPr>
          <w:rFonts w:eastAsia="黑体"/>
        </w:rPr>
        <w:t>继续改善育儿假和产后护理，包括为此批准国际劳工组织《</w:t>
      </w:r>
      <w:r w:rsidRPr="00144104">
        <w:rPr>
          <w:rFonts w:eastAsia="黑体"/>
        </w:rPr>
        <w:t>2000</w:t>
      </w:r>
      <w:r w:rsidRPr="00144104">
        <w:rPr>
          <w:rFonts w:eastAsia="黑体"/>
        </w:rPr>
        <w:t>年保护生育公约》</w:t>
      </w:r>
      <w:r w:rsidR="00BF7097">
        <w:rPr>
          <w:rFonts w:eastAsia="黑体"/>
        </w:rPr>
        <w:t>(</w:t>
      </w:r>
      <w:r w:rsidRPr="00144104">
        <w:rPr>
          <w:rFonts w:eastAsia="黑体"/>
        </w:rPr>
        <w:t>第</w:t>
      </w:r>
      <w:r w:rsidRPr="00144104">
        <w:rPr>
          <w:rFonts w:eastAsia="黑体"/>
        </w:rPr>
        <w:t>183</w:t>
      </w:r>
      <w:r w:rsidRPr="00144104">
        <w:rPr>
          <w:rFonts w:eastAsia="黑体"/>
        </w:rPr>
        <w:t>号</w:t>
      </w:r>
      <w:r w:rsidR="00BF7097">
        <w:rPr>
          <w:rFonts w:eastAsia="黑体"/>
        </w:rPr>
        <w:t>)</w:t>
      </w:r>
      <w:r w:rsidRPr="00144104">
        <w:rPr>
          <w:rFonts w:eastAsia="黑体"/>
        </w:rPr>
        <w:t>，同时解决交叉形式歧视对妇女就业造成的复合不利影响，比如医疗保健机会有限，对工作出勤率造成的不利影响</w:t>
      </w:r>
      <w:r w:rsidR="00B92669">
        <w:rPr>
          <w:rFonts w:eastAsia="黑体"/>
        </w:rPr>
        <w:t>；</w:t>
      </w:r>
    </w:p>
    <w:p w14:paraId="513C0369" w14:textId="01B57232" w:rsidR="00144104" w:rsidRPr="00144104" w:rsidRDefault="00144104" w:rsidP="00144104">
      <w:pPr>
        <w:pStyle w:val="SingleTxt"/>
        <w:rPr>
          <w:rFonts w:eastAsia="黑体"/>
        </w:rPr>
      </w:pPr>
      <w:r w:rsidRPr="00144104">
        <w:rPr>
          <w:rFonts w:eastAsia="黑体"/>
        </w:rPr>
        <w:tab/>
      </w:r>
      <w:r w:rsidR="00BF7097">
        <w:rPr>
          <w:rFonts w:eastAsia="黑体"/>
        </w:rPr>
        <w:t>(</w:t>
      </w:r>
      <w:r w:rsidRPr="00144104">
        <w:rPr>
          <w:rFonts w:eastAsia="黑体"/>
        </w:rPr>
        <w:t>c</w:t>
      </w:r>
      <w:r w:rsidR="00BF7097">
        <w:rPr>
          <w:rFonts w:eastAsia="黑体"/>
        </w:rPr>
        <w:t>)</w:t>
      </w:r>
      <w:r w:rsidRPr="00144104">
        <w:rPr>
          <w:rFonts w:eastAsia="黑体"/>
        </w:rPr>
        <w:tab/>
      </w:r>
      <w:r w:rsidRPr="00BF7097">
        <w:rPr>
          <w:rFonts w:eastAsia="黑体"/>
          <w:spacing w:val="6"/>
        </w:rPr>
        <w:t>加强解决工作场所性别暴力问题的机制，特别关注弱势妇女群体，包括</w:t>
      </w:r>
      <w:r w:rsidR="00BF7097" w:rsidRPr="00BF7097">
        <w:rPr>
          <w:rFonts w:ascii="宋体" w:hAnsi="宋体"/>
          <w:spacing w:val="6"/>
        </w:rPr>
        <w:t>：</w:t>
      </w:r>
      <w:r w:rsidR="001C3472" w:rsidRPr="00BF7097">
        <w:rPr>
          <w:rFonts w:eastAsia="黑体" w:hint="eastAsia"/>
          <w:spacing w:val="6"/>
        </w:rPr>
        <w:t>㈠</w:t>
      </w:r>
      <w:r w:rsidR="001C3472" w:rsidRPr="00BF7097">
        <w:rPr>
          <w:rFonts w:eastAsia="黑体" w:hint="eastAsia"/>
          <w:spacing w:val="6"/>
        </w:rPr>
        <w:t xml:space="preserve"> </w:t>
      </w:r>
      <w:r w:rsidRPr="00BF7097">
        <w:rPr>
          <w:rFonts w:eastAsia="黑体"/>
          <w:spacing w:val="6"/>
        </w:rPr>
        <w:t>制定保密和便利的报告机制指南，供员工报告性别暴力和骚扰事件</w:t>
      </w:r>
      <w:r w:rsidR="00B92669">
        <w:rPr>
          <w:rFonts w:eastAsia="黑体"/>
          <w:spacing w:val="6"/>
        </w:rPr>
        <w:t>；</w:t>
      </w:r>
      <w:r w:rsidR="001C3472" w:rsidRPr="00BF7097">
        <w:rPr>
          <w:rFonts w:eastAsia="黑体" w:hint="eastAsia"/>
          <w:spacing w:val="6"/>
        </w:rPr>
        <w:t>㈡</w:t>
      </w:r>
      <w:r w:rsidR="001C3472" w:rsidRPr="00BF7097">
        <w:rPr>
          <w:rFonts w:eastAsia="黑体" w:hint="eastAsia"/>
          <w:spacing w:val="6"/>
        </w:rPr>
        <w:t xml:space="preserve"> </w:t>
      </w:r>
      <w:r w:rsidRPr="00144104">
        <w:rPr>
          <w:rFonts w:eastAsia="黑体"/>
        </w:rPr>
        <w:t>鼓励为所有员工</w:t>
      </w:r>
      <w:r w:rsidR="00BF7097">
        <w:rPr>
          <w:rFonts w:eastAsia="黑体"/>
        </w:rPr>
        <w:t>(</w:t>
      </w:r>
      <w:r w:rsidRPr="00144104">
        <w:rPr>
          <w:rFonts w:eastAsia="黑体"/>
        </w:rPr>
        <w:t>包括经理和主管</w:t>
      </w:r>
      <w:r w:rsidR="00BF7097">
        <w:rPr>
          <w:rFonts w:eastAsia="黑体"/>
        </w:rPr>
        <w:t>)</w:t>
      </w:r>
      <w:r w:rsidRPr="00144104">
        <w:rPr>
          <w:rFonts w:eastAsia="黑体"/>
        </w:rPr>
        <w:t>制定系统培训计划，内容涉及如何识别、预防和应对性别暴力和骚扰</w:t>
      </w:r>
      <w:r w:rsidR="00B92669">
        <w:rPr>
          <w:rFonts w:eastAsia="黑体"/>
        </w:rPr>
        <w:t>；</w:t>
      </w:r>
      <w:r w:rsidR="001C3472" w:rsidRPr="001C3472">
        <w:rPr>
          <w:rFonts w:eastAsia="黑体" w:hint="eastAsia"/>
        </w:rPr>
        <w:t>㈢</w:t>
      </w:r>
      <w:r w:rsidR="001C3472">
        <w:rPr>
          <w:rFonts w:eastAsia="黑体" w:hint="eastAsia"/>
        </w:rPr>
        <w:t xml:space="preserve"> </w:t>
      </w:r>
      <w:r w:rsidRPr="00144104">
        <w:rPr>
          <w:rFonts w:eastAsia="黑体"/>
        </w:rPr>
        <w:t>提供合理便利，确保所有员工都能平等获得机会和资源</w:t>
      </w:r>
      <w:r w:rsidR="00B92669">
        <w:rPr>
          <w:rFonts w:eastAsia="黑体"/>
        </w:rPr>
        <w:t>；</w:t>
      </w:r>
    </w:p>
    <w:p w14:paraId="065BC14B" w14:textId="7E2E5EF6" w:rsidR="00144104" w:rsidRPr="00144104" w:rsidRDefault="00BF7097" w:rsidP="00144104">
      <w:pPr>
        <w:pStyle w:val="SingleTxt"/>
        <w:rPr>
          <w:rFonts w:eastAsia="黑体"/>
        </w:rPr>
      </w:pPr>
      <w:r>
        <w:rPr>
          <w:rFonts w:eastAsia="黑体"/>
        </w:rPr>
        <w:tab/>
        <w:t>(</w:t>
      </w:r>
      <w:r w:rsidR="00144104" w:rsidRPr="00144104">
        <w:rPr>
          <w:rFonts w:eastAsia="黑体"/>
        </w:rPr>
        <w:t>d</w:t>
      </w:r>
      <w:r>
        <w:rPr>
          <w:rFonts w:eastAsia="黑体"/>
        </w:rPr>
        <w:t>)</w:t>
      </w:r>
      <w:r>
        <w:rPr>
          <w:rFonts w:eastAsia="黑体"/>
        </w:rPr>
        <w:tab/>
      </w:r>
      <w:r w:rsidR="00144104" w:rsidRPr="00144104">
        <w:rPr>
          <w:rFonts w:eastAsia="黑体"/>
        </w:rPr>
        <w:t>引入工作场所性骚扰的法律定义，批准国际劳工组织《</w:t>
      </w:r>
      <w:r w:rsidR="00144104" w:rsidRPr="00144104">
        <w:rPr>
          <w:rFonts w:eastAsia="黑体"/>
        </w:rPr>
        <w:t>2019</w:t>
      </w:r>
      <w:r w:rsidR="00144104" w:rsidRPr="00144104">
        <w:rPr>
          <w:rFonts w:eastAsia="黑体"/>
        </w:rPr>
        <w:t>年暴力和骚扰公约》</w:t>
      </w:r>
      <w:r>
        <w:rPr>
          <w:rFonts w:eastAsia="黑体"/>
        </w:rPr>
        <w:t>(</w:t>
      </w:r>
      <w:r w:rsidR="00144104" w:rsidRPr="00144104">
        <w:rPr>
          <w:rFonts w:eastAsia="黑体"/>
        </w:rPr>
        <w:t>第</w:t>
      </w:r>
      <w:r w:rsidR="00144104" w:rsidRPr="00144104">
        <w:rPr>
          <w:rFonts w:eastAsia="黑体"/>
        </w:rPr>
        <w:t>190</w:t>
      </w:r>
      <w:r w:rsidR="00144104" w:rsidRPr="00144104">
        <w:rPr>
          <w:rFonts w:eastAsia="黑体"/>
        </w:rPr>
        <w:t>号</w:t>
      </w:r>
      <w:r>
        <w:rPr>
          <w:rFonts w:eastAsia="黑体"/>
        </w:rPr>
        <w:t>)</w:t>
      </w:r>
      <w:r w:rsidR="00144104" w:rsidRPr="00144104">
        <w:rPr>
          <w:rFonts w:eastAsia="黑体"/>
        </w:rPr>
        <w:t>。</w:t>
      </w:r>
    </w:p>
    <w:p w14:paraId="09130E2D" w14:textId="77777777" w:rsidR="00144104" w:rsidRDefault="00144104" w:rsidP="00C36430">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保健</w:t>
      </w:r>
    </w:p>
    <w:p w14:paraId="3B13831B" w14:textId="7AA41F96" w:rsidR="00144104" w:rsidRDefault="00144104" w:rsidP="00144104">
      <w:pPr>
        <w:pStyle w:val="SingleTxt"/>
      </w:pPr>
      <w:r>
        <w:rPr>
          <w:rFonts w:hint="eastAsia"/>
        </w:rPr>
        <w:t>34.</w:t>
      </w:r>
      <w:r>
        <w:rPr>
          <w:rFonts w:hint="eastAsia"/>
        </w:rPr>
        <w:tab/>
      </w:r>
      <w:r>
        <w:rPr>
          <w:rFonts w:hint="eastAsia"/>
        </w:rPr>
        <w:t>委员会赞赏地注意到，缔约国已将堕胎合法化，扩大了乳腺癌和子宫颈癌筛查范围，建立了远程医疗服务，提高农村妇女获得安全堕胎的机会。委员会还注意到缔约国为促进前助产士重返执业而采取的措施。然而，委员会关切地注意到</w:t>
      </w:r>
      <w:r w:rsidR="00BF7097">
        <w:rPr>
          <w:rFonts w:ascii="宋体" w:hAnsi="宋体" w:hint="eastAsia"/>
        </w:rPr>
        <w:t>：</w:t>
      </w:r>
    </w:p>
    <w:p w14:paraId="76996378" w14:textId="0F2A6C3C" w:rsidR="00144104" w:rsidRDefault="00144104" w:rsidP="00144104">
      <w:pPr>
        <w:pStyle w:val="SingleTxt"/>
      </w:pPr>
      <w:r>
        <w:rPr>
          <w:rFonts w:hint="eastAsia"/>
        </w:rPr>
        <w:tab/>
      </w:r>
      <w:r w:rsidR="00BF7097">
        <w:rPr>
          <w:rFonts w:hint="eastAsia"/>
        </w:rPr>
        <w:t>(</w:t>
      </w:r>
      <w:r>
        <w:rPr>
          <w:rFonts w:hint="eastAsia"/>
        </w:rPr>
        <w:t>a</w:t>
      </w:r>
      <w:r w:rsidR="00BF7097">
        <w:rPr>
          <w:rFonts w:hint="eastAsia"/>
        </w:rPr>
        <w:t>)</w:t>
      </w:r>
      <w:r>
        <w:rPr>
          <w:rFonts w:hint="eastAsia"/>
        </w:rPr>
        <w:tab/>
      </w:r>
      <w:r>
        <w:rPr>
          <w:rFonts w:hint="eastAsia"/>
        </w:rPr>
        <w:t>子宫内膜异位症的诊断平均延误</w:t>
      </w:r>
      <w:r>
        <w:rPr>
          <w:rFonts w:hint="eastAsia"/>
        </w:rPr>
        <w:t>8</w:t>
      </w:r>
      <w:r>
        <w:rPr>
          <w:rFonts w:hint="eastAsia"/>
        </w:rPr>
        <w:t>年，影响了</w:t>
      </w:r>
      <w:r>
        <w:rPr>
          <w:rFonts w:hint="eastAsia"/>
        </w:rPr>
        <w:t>10%</w:t>
      </w:r>
      <w:r>
        <w:rPr>
          <w:rFonts w:hint="eastAsia"/>
        </w:rPr>
        <w:t>的妇女，占缔约国报告的所有慢性疼痛病例的</w:t>
      </w:r>
      <w:r>
        <w:rPr>
          <w:rFonts w:hint="eastAsia"/>
        </w:rPr>
        <w:t>20%</w:t>
      </w:r>
      <w:r w:rsidR="00B92669">
        <w:rPr>
          <w:rFonts w:hint="eastAsia"/>
        </w:rPr>
        <w:t>；</w:t>
      </w:r>
    </w:p>
    <w:p w14:paraId="7589E96D" w14:textId="4B11DFFE" w:rsidR="00144104" w:rsidRDefault="00C36430" w:rsidP="00144104">
      <w:pPr>
        <w:pStyle w:val="SingleTxt"/>
      </w:pPr>
      <w:r>
        <w:tab/>
      </w:r>
      <w:r w:rsidR="00BF7097">
        <w:rPr>
          <w:rFonts w:hint="eastAsia"/>
        </w:rPr>
        <w:t>(</w:t>
      </w:r>
      <w:r w:rsidR="00144104">
        <w:rPr>
          <w:rFonts w:hint="eastAsia"/>
        </w:rPr>
        <w:t>b</w:t>
      </w:r>
      <w:r w:rsidR="00BF7097">
        <w:rPr>
          <w:rFonts w:hint="eastAsia"/>
        </w:rPr>
        <w:t>)</w:t>
      </w:r>
      <w:r>
        <w:tab/>
      </w:r>
      <w:r w:rsidR="00144104">
        <w:rPr>
          <w:rFonts w:hint="eastAsia"/>
        </w:rPr>
        <w:t>现行的《残疾人行动计划》没有包括针对智力残疾和社会心理残疾妇女的措施</w:t>
      </w:r>
      <w:r w:rsidR="00B92669">
        <w:rPr>
          <w:rFonts w:hint="eastAsia"/>
        </w:rPr>
        <w:t>；</w:t>
      </w:r>
    </w:p>
    <w:p w14:paraId="46CCFE19" w14:textId="206DDF00" w:rsidR="00144104" w:rsidRDefault="00C36430" w:rsidP="00144104">
      <w:pPr>
        <w:pStyle w:val="SingleTxt"/>
      </w:pPr>
      <w:r>
        <w:tab/>
      </w:r>
      <w:r w:rsidR="00BF7097">
        <w:rPr>
          <w:rFonts w:hint="eastAsia"/>
        </w:rPr>
        <w:t>(</w:t>
      </w:r>
      <w:r w:rsidR="00144104">
        <w:rPr>
          <w:rFonts w:hint="eastAsia"/>
        </w:rPr>
        <w:t>c</w:t>
      </w:r>
      <w:r w:rsidR="00BF7097">
        <w:rPr>
          <w:rFonts w:hint="eastAsia"/>
        </w:rPr>
        <w:t>)</w:t>
      </w:r>
      <w:r>
        <w:tab/>
      </w:r>
      <w:r w:rsidR="00144104">
        <w:rPr>
          <w:rFonts w:hint="eastAsia"/>
        </w:rPr>
        <w:t>毛利卫生局的关闭可能会限制毛利妇女获得文化上适当的保健服务</w:t>
      </w:r>
      <w:r w:rsidR="00B92669">
        <w:rPr>
          <w:rFonts w:hint="eastAsia"/>
        </w:rPr>
        <w:t>；</w:t>
      </w:r>
    </w:p>
    <w:p w14:paraId="413CD688" w14:textId="6986F510" w:rsidR="00144104" w:rsidRDefault="00C36430" w:rsidP="00144104">
      <w:pPr>
        <w:pStyle w:val="SingleTxt"/>
      </w:pPr>
      <w:r>
        <w:lastRenderedPageBreak/>
        <w:tab/>
      </w:r>
      <w:r w:rsidR="00BF7097">
        <w:rPr>
          <w:rFonts w:hint="eastAsia"/>
        </w:rPr>
        <w:t>(</w:t>
      </w:r>
      <w:r w:rsidR="00144104">
        <w:rPr>
          <w:rFonts w:hint="eastAsia"/>
        </w:rPr>
        <w:t>d</w:t>
      </w:r>
      <w:r w:rsidR="00BF7097">
        <w:rPr>
          <w:rFonts w:hint="eastAsia"/>
        </w:rPr>
        <w:t>)</w:t>
      </w:r>
      <w:r>
        <w:tab/>
      </w:r>
      <w:r w:rsidR="00144104">
        <w:rPr>
          <w:rFonts w:hint="eastAsia"/>
        </w:rPr>
        <w:t>《避孕、绝育和堕胎法》</w:t>
      </w:r>
      <w:r w:rsidR="00BF7097">
        <w:rPr>
          <w:rFonts w:hint="eastAsia"/>
        </w:rPr>
        <w:t>(</w:t>
      </w:r>
      <w:r w:rsidR="00144104">
        <w:rPr>
          <w:rFonts w:hint="eastAsia"/>
        </w:rPr>
        <w:t>1977</w:t>
      </w:r>
      <w:r w:rsidR="00144104">
        <w:rPr>
          <w:rFonts w:hint="eastAsia"/>
        </w:rPr>
        <w:t>年</w:t>
      </w:r>
      <w:r w:rsidR="00BF7097">
        <w:rPr>
          <w:rFonts w:hint="eastAsia"/>
        </w:rPr>
        <w:t>)</w:t>
      </w:r>
      <w:r w:rsidR="00144104">
        <w:rPr>
          <w:rFonts w:hint="eastAsia"/>
        </w:rPr>
        <w:t>和《卫生和残疾人服务消费者权利法》没有保护残疾妇女的隐私权和获取信息的权利，而且这些立法没有系统地要求对残疾妇女进行医疗干预须获得其自由和知情同意。</w:t>
      </w:r>
    </w:p>
    <w:p w14:paraId="55FEE3E4" w14:textId="79745AA6" w:rsidR="00144104" w:rsidRPr="00C36430" w:rsidRDefault="00144104" w:rsidP="00144104">
      <w:pPr>
        <w:pStyle w:val="SingleTxt"/>
        <w:rPr>
          <w:rFonts w:eastAsia="黑体"/>
        </w:rPr>
      </w:pPr>
      <w:r w:rsidRPr="00C36430">
        <w:rPr>
          <w:rFonts w:eastAsia="黑体"/>
        </w:rPr>
        <w:t>35.</w:t>
      </w:r>
      <w:r w:rsidRPr="00C36430">
        <w:rPr>
          <w:rFonts w:eastAsia="黑体"/>
        </w:rPr>
        <w:tab/>
      </w:r>
      <w:r w:rsidRPr="00C36430">
        <w:rPr>
          <w:rFonts w:eastAsia="黑体"/>
        </w:rPr>
        <w:t>委员会分别回顾其关于残疾妇女的第</w:t>
      </w:r>
      <w:r w:rsidRPr="00C36430">
        <w:rPr>
          <w:rFonts w:eastAsia="黑体"/>
        </w:rPr>
        <w:t>18</w:t>
      </w:r>
      <w:r w:rsidRPr="00C36430">
        <w:rPr>
          <w:rFonts w:eastAsia="黑体"/>
        </w:rPr>
        <w:t>号一般性建议</w:t>
      </w:r>
      <w:r w:rsidR="00BF7097">
        <w:rPr>
          <w:rFonts w:eastAsia="黑体"/>
        </w:rPr>
        <w:t>(</w:t>
      </w:r>
      <w:r w:rsidRPr="00C36430">
        <w:rPr>
          <w:rFonts w:eastAsia="黑体"/>
        </w:rPr>
        <w:t>1991</w:t>
      </w:r>
      <w:r w:rsidRPr="00C36430">
        <w:rPr>
          <w:rFonts w:eastAsia="黑体"/>
        </w:rPr>
        <w:t>年</w:t>
      </w:r>
      <w:r w:rsidR="00BF7097">
        <w:rPr>
          <w:rFonts w:eastAsia="黑体"/>
        </w:rPr>
        <w:t>)</w:t>
      </w:r>
      <w:r w:rsidRPr="00C36430">
        <w:rPr>
          <w:rFonts w:eastAsia="黑体"/>
        </w:rPr>
        <w:t>和关于土著妇女和女童权利的第</w:t>
      </w:r>
      <w:r w:rsidRPr="00C36430">
        <w:rPr>
          <w:rFonts w:eastAsia="黑体"/>
        </w:rPr>
        <w:t>39</w:t>
      </w:r>
      <w:r w:rsidRPr="00C36430">
        <w:rPr>
          <w:rFonts w:eastAsia="黑体"/>
        </w:rPr>
        <w:t>号一般性建议</w:t>
      </w:r>
      <w:r w:rsidR="00BF7097">
        <w:rPr>
          <w:rFonts w:eastAsia="黑体"/>
        </w:rPr>
        <w:t>(</w:t>
      </w:r>
      <w:r w:rsidRPr="00C36430">
        <w:rPr>
          <w:rFonts w:eastAsia="黑体"/>
        </w:rPr>
        <w:t>2022</w:t>
      </w:r>
      <w:r w:rsidRPr="00C36430">
        <w:rPr>
          <w:rFonts w:eastAsia="黑体"/>
        </w:rPr>
        <w:t>年</w:t>
      </w:r>
      <w:r w:rsidR="00BF7097">
        <w:rPr>
          <w:rFonts w:eastAsia="黑体"/>
        </w:rPr>
        <w:t>)</w:t>
      </w:r>
      <w:r w:rsidRPr="00C36430">
        <w:rPr>
          <w:rFonts w:eastAsia="黑体"/>
        </w:rPr>
        <w:t>，建议缔约国</w:t>
      </w:r>
      <w:r w:rsidR="00BF7097">
        <w:rPr>
          <w:rFonts w:ascii="宋体" w:hAnsi="宋体"/>
        </w:rPr>
        <w:t>：</w:t>
      </w:r>
    </w:p>
    <w:p w14:paraId="2E797C6B" w14:textId="6BD15F4A" w:rsidR="00144104" w:rsidRPr="00C36430" w:rsidRDefault="00144104" w:rsidP="00144104">
      <w:pPr>
        <w:pStyle w:val="SingleTxt"/>
        <w:rPr>
          <w:rFonts w:eastAsia="黑体"/>
        </w:rPr>
      </w:pPr>
      <w:r w:rsidRPr="00C36430">
        <w:rPr>
          <w:rFonts w:eastAsia="黑体"/>
        </w:rPr>
        <w:tab/>
      </w:r>
      <w:r w:rsidR="00BF7097">
        <w:rPr>
          <w:rFonts w:eastAsia="黑体"/>
        </w:rPr>
        <w:t>(</w:t>
      </w:r>
      <w:r w:rsidRPr="00C36430">
        <w:rPr>
          <w:rFonts w:eastAsia="黑体"/>
        </w:rPr>
        <w:t>a</w:t>
      </w:r>
      <w:r w:rsidR="00BF7097">
        <w:rPr>
          <w:rFonts w:eastAsia="黑体"/>
        </w:rPr>
        <w:t>)</w:t>
      </w:r>
      <w:r w:rsidRPr="00C36430">
        <w:rPr>
          <w:rFonts w:eastAsia="黑体"/>
        </w:rPr>
        <w:tab/>
      </w:r>
      <w:r w:rsidRPr="00C36430">
        <w:rPr>
          <w:rFonts w:eastAsia="黑体"/>
        </w:rPr>
        <w:t>继续针对那些最可能无法获得保健服务或最可能受到医疗机构和服务提供者污名化和歧视的少数群体妇女，尤其是针对农村妇女、移民妇女和毛利妇女，扩大获得保健服务的机会，包括恢复专门的保健服务</w:t>
      </w:r>
      <w:r w:rsidR="00B92669">
        <w:rPr>
          <w:rFonts w:eastAsia="黑体"/>
        </w:rPr>
        <w:t>；</w:t>
      </w:r>
    </w:p>
    <w:p w14:paraId="05A6DF81" w14:textId="08BB8AAA" w:rsidR="00144104" w:rsidRPr="00C36430" w:rsidRDefault="00C36430" w:rsidP="00144104">
      <w:pPr>
        <w:pStyle w:val="SingleTxt"/>
        <w:rPr>
          <w:rFonts w:eastAsia="黑体"/>
        </w:rPr>
      </w:pPr>
      <w:r>
        <w:rPr>
          <w:rFonts w:eastAsia="黑体"/>
        </w:rPr>
        <w:tab/>
      </w:r>
      <w:r w:rsidR="00BF7097">
        <w:rPr>
          <w:rFonts w:eastAsia="黑体"/>
        </w:rPr>
        <w:t>(</w:t>
      </w:r>
      <w:r w:rsidR="00144104" w:rsidRPr="00C36430">
        <w:rPr>
          <w:rFonts w:eastAsia="黑体"/>
        </w:rPr>
        <w:t>b</w:t>
      </w:r>
      <w:r w:rsidR="00BF7097">
        <w:rPr>
          <w:rFonts w:eastAsia="黑体"/>
        </w:rPr>
        <w:t>)</w:t>
      </w:r>
      <w:r>
        <w:rPr>
          <w:rFonts w:eastAsia="黑体"/>
        </w:rPr>
        <w:tab/>
      </w:r>
      <w:r w:rsidR="00144104" w:rsidRPr="00C36430">
        <w:rPr>
          <w:rFonts w:eastAsia="黑体"/>
        </w:rPr>
        <w:t>制定诊断和治疗子宫内膜异位症的正式临床指南，以减少延误和改善医疗保健结果，确保不同地区和年龄组的妇女有效参与，并代表不同的少数群体妇女</w:t>
      </w:r>
      <w:r w:rsidR="00B92669">
        <w:rPr>
          <w:rFonts w:eastAsia="黑体"/>
        </w:rPr>
        <w:t>；</w:t>
      </w:r>
    </w:p>
    <w:p w14:paraId="6DD9080A" w14:textId="7FC68B76" w:rsidR="00144104" w:rsidRPr="00C36430" w:rsidRDefault="00144104" w:rsidP="00144104">
      <w:pPr>
        <w:pStyle w:val="SingleTxt"/>
        <w:rPr>
          <w:rFonts w:eastAsia="黑体"/>
        </w:rPr>
      </w:pPr>
      <w:r w:rsidRPr="00C36430">
        <w:rPr>
          <w:rFonts w:eastAsia="黑体"/>
        </w:rPr>
        <w:tab/>
      </w:r>
      <w:r w:rsidR="00BF7097">
        <w:rPr>
          <w:rFonts w:eastAsia="黑体"/>
        </w:rPr>
        <w:t>(</w:t>
      </w:r>
      <w:r w:rsidRPr="00C36430">
        <w:rPr>
          <w:rFonts w:eastAsia="黑体"/>
        </w:rPr>
        <w:t>c</w:t>
      </w:r>
      <w:r w:rsidR="00BF7097">
        <w:rPr>
          <w:rFonts w:eastAsia="黑体"/>
        </w:rPr>
        <w:t>)</w:t>
      </w:r>
      <w:r w:rsidRPr="00C36430">
        <w:rPr>
          <w:rFonts w:eastAsia="黑体"/>
        </w:rPr>
        <w:tab/>
      </w:r>
      <w:r w:rsidRPr="00C36430">
        <w:rPr>
          <w:rFonts w:eastAsia="黑体"/>
        </w:rPr>
        <w:t>审查针对智力和社会心理残疾妇女的政策和服务交付框架，包括当前的《残疾人行动计划》，以涵盖智力和心理残疾的妇女和女童</w:t>
      </w:r>
      <w:r w:rsidR="00B92669">
        <w:rPr>
          <w:rFonts w:eastAsia="黑体"/>
        </w:rPr>
        <w:t>；</w:t>
      </w:r>
    </w:p>
    <w:p w14:paraId="3A165FF8" w14:textId="16962384" w:rsidR="00144104" w:rsidRPr="00C36430" w:rsidRDefault="00C36430" w:rsidP="00144104">
      <w:pPr>
        <w:pStyle w:val="SingleTxt"/>
        <w:rPr>
          <w:rFonts w:eastAsia="黑体"/>
        </w:rPr>
      </w:pPr>
      <w:r>
        <w:rPr>
          <w:rFonts w:eastAsia="黑体"/>
        </w:rPr>
        <w:tab/>
      </w:r>
      <w:r w:rsidR="00BF7097">
        <w:rPr>
          <w:rFonts w:eastAsia="黑体"/>
        </w:rPr>
        <w:t>(</w:t>
      </w:r>
      <w:r w:rsidR="00144104" w:rsidRPr="00C36430">
        <w:rPr>
          <w:rFonts w:eastAsia="黑体"/>
        </w:rPr>
        <w:t>d</w:t>
      </w:r>
      <w:r w:rsidR="00BF7097">
        <w:rPr>
          <w:rFonts w:eastAsia="黑体"/>
        </w:rPr>
        <w:t>)</w:t>
      </w:r>
      <w:r>
        <w:rPr>
          <w:rFonts w:eastAsia="黑体"/>
        </w:rPr>
        <w:tab/>
      </w:r>
      <w:r w:rsidR="00144104" w:rsidRPr="00C36430">
        <w:rPr>
          <w:rFonts w:eastAsia="黑体"/>
        </w:rPr>
        <w:t>制定正式的临床指南，确保医疗保健在文化上适当，符合国际标准，确保在医疗保健环境中面临种族歧视风险的弱势妇女群体</w:t>
      </w:r>
      <w:r w:rsidR="00BF7097">
        <w:rPr>
          <w:rFonts w:eastAsia="黑体"/>
        </w:rPr>
        <w:t>(</w:t>
      </w:r>
      <w:r w:rsidR="00144104" w:rsidRPr="00C36430">
        <w:rPr>
          <w:rFonts w:eastAsia="黑体"/>
        </w:rPr>
        <w:t>包括毛利妇女、太平洋岛国裔妇女和移民妇女</w:t>
      </w:r>
      <w:r w:rsidR="00BF7097">
        <w:rPr>
          <w:rFonts w:eastAsia="黑体"/>
        </w:rPr>
        <w:t>)</w:t>
      </w:r>
      <w:r w:rsidR="00144104" w:rsidRPr="00C36430">
        <w:rPr>
          <w:rFonts w:eastAsia="黑体"/>
        </w:rPr>
        <w:t>有效参与制定和实施此类指南</w:t>
      </w:r>
      <w:r w:rsidR="00B92669">
        <w:rPr>
          <w:rFonts w:eastAsia="黑体"/>
        </w:rPr>
        <w:t>；</w:t>
      </w:r>
    </w:p>
    <w:p w14:paraId="076C7C26" w14:textId="7EE12320" w:rsidR="00144104" w:rsidRPr="00C36430" w:rsidRDefault="00C36430" w:rsidP="00144104">
      <w:pPr>
        <w:pStyle w:val="SingleTxt"/>
        <w:rPr>
          <w:rFonts w:eastAsia="黑体"/>
        </w:rPr>
      </w:pPr>
      <w:r>
        <w:rPr>
          <w:rFonts w:eastAsia="黑体"/>
        </w:rPr>
        <w:tab/>
      </w:r>
      <w:r w:rsidR="00BF7097">
        <w:rPr>
          <w:rFonts w:eastAsia="黑体"/>
        </w:rPr>
        <w:t>(</w:t>
      </w:r>
      <w:r w:rsidR="00144104" w:rsidRPr="00C36430">
        <w:rPr>
          <w:rFonts w:eastAsia="黑体"/>
        </w:rPr>
        <w:t>e</w:t>
      </w:r>
      <w:r w:rsidR="00BF7097">
        <w:rPr>
          <w:rFonts w:eastAsia="黑体"/>
        </w:rPr>
        <w:t>)</w:t>
      </w:r>
      <w:r>
        <w:rPr>
          <w:rFonts w:eastAsia="黑体"/>
        </w:rPr>
        <w:tab/>
      </w:r>
      <w:r w:rsidR="00144104" w:rsidRPr="00C36430">
        <w:rPr>
          <w:rFonts w:eastAsia="黑体"/>
        </w:rPr>
        <w:t>修订《避孕、绝育和堕胎法》</w:t>
      </w:r>
      <w:r w:rsidR="00BF7097">
        <w:rPr>
          <w:rFonts w:eastAsia="黑体"/>
        </w:rPr>
        <w:t>(</w:t>
      </w:r>
      <w:r w:rsidR="00144104" w:rsidRPr="00C36430">
        <w:rPr>
          <w:rFonts w:eastAsia="黑体"/>
        </w:rPr>
        <w:t>1977</w:t>
      </w:r>
      <w:r w:rsidR="00144104" w:rsidRPr="00C36430">
        <w:rPr>
          <w:rFonts w:eastAsia="黑体"/>
        </w:rPr>
        <w:t>年</w:t>
      </w:r>
      <w:r w:rsidR="00BF7097">
        <w:rPr>
          <w:rFonts w:eastAsia="黑体"/>
        </w:rPr>
        <w:t>)</w:t>
      </w:r>
      <w:r w:rsidR="00144104" w:rsidRPr="00C36430">
        <w:rPr>
          <w:rFonts w:eastAsia="黑体"/>
        </w:rPr>
        <w:t>和《卫生和残疾人服务消费者权利法》，保护残疾妇女的隐私权和获取信息的权利，并要求对残疾妇女进行任何医疗干预均须获得其自由和知情同意。</w:t>
      </w:r>
    </w:p>
    <w:p w14:paraId="67E3631E" w14:textId="77777777" w:rsidR="00144104" w:rsidRDefault="00144104"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妇女的经济赋权</w:t>
      </w:r>
    </w:p>
    <w:p w14:paraId="195E6146" w14:textId="2880201F" w:rsidR="00144104" w:rsidRDefault="00144104" w:rsidP="00144104">
      <w:pPr>
        <w:pStyle w:val="SingleTxt"/>
      </w:pPr>
      <w:r>
        <w:rPr>
          <w:rFonts w:hint="eastAsia"/>
        </w:rPr>
        <w:t>36.</w:t>
      </w:r>
      <w:r>
        <w:rPr>
          <w:rFonts w:hint="eastAsia"/>
        </w:rPr>
        <w:tab/>
      </w:r>
      <w:r w:rsidRPr="0039711E">
        <w:rPr>
          <w:rFonts w:hint="eastAsia"/>
          <w:spacing w:val="6"/>
        </w:rPr>
        <w:t>委员会积极地注意到缔约国为应对冠状病毒病</w:t>
      </w:r>
      <w:r w:rsidR="00BF7097">
        <w:rPr>
          <w:rFonts w:hint="eastAsia"/>
          <w:spacing w:val="6"/>
        </w:rPr>
        <w:t>(</w:t>
      </w:r>
      <w:r w:rsidRPr="0039711E">
        <w:rPr>
          <w:rFonts w:hint="eastAsia"/>
          <w:spacing w:val="6"/>
        </w:rPr>
        <w:t>COVID-19</w:t>
      </w:r>
      <w:r w:rsidR="00BF7097">
        <w:rPr>
          <w:rFonts w:hint="eastAsia"/>
          <w:spacing w:val="6"/>
        </w:rPr>
        <w:t>)</w:t>
      </w:r>
      <w:r w:rsidRPr="0039711E">
        <w:rPr>
          <w:rFonts w:hint="eastAsia"/>
          <w:spacing w:val="6"/>
        </w:rPr>
        <w:t>疫情采取的措施，</w:t>
      </w:r>
      <w:r>
        <w:rPr>
          <w:rFonts w:hint="eastAsia"/>
        </w:rPr>
        <w:t>包括</w:t>
      </w:r>
      <w:r>
        <w:rPr>
          <w:rFonts w:hint="eastAsia"/>
        </w:rPr>
        <w:t>FamilyBoost</w:t>
      </w:r>
      <w:r>
        <w:rPr>
          <w:rFonts w:hint="eastAsia"/>
        </w:rPr>
        <w:t>付款，付款额相当于退还</w:t>
      </w:r>
      <w:r>
        <w:rPr>
          <w:rFonts w:hint="eastAsia"/>
        </w:rPr>
        <w:t>25%</w:t>
      </w:r>
      <w:r>
        <w:rPr>
          <w:rFonts w:hint="eastAsia"/>
        </w:rPr>
        <w:t>的幼儿教育费用</w:t>
      </w:r>
      <w:r w:rsidR="00BF7097">
        <w:rPr>
          <w:rFonts w:hint="eastAsia"/>
        </w:rPr>
        <w:t>(</w:t>
      </w:r>
      <w:r>
        <w:rPr>
          <w:rFonts w:hint="eastAsia"/>
        </w:rPr>
        <w:t>最多可达到每月最高金额</w:t>
      </w:r>
      <w:r w:rsidR="00BF7097">
        <w:rPr>
          <w:rFonts w:hint="eastAsia"/>
        </w:rPr>
        <w:t>)</w:t>
      </w:r>
      <w:r>
        <w:rPr>
          <w:rFonts w:hint="eastAsia"/>
        </w:rPr>
        <w:t>。然而，委员会关切地注意到，妇女在</w:t>
      </w:r>
      <w:r>
        <w:rPr>
          <w:rFonts w:hint="eastAsia"/>
        </w:rPr>
        <w:t>2020</w:t>
      </w:r>
      <w:r>
        <w:rPr>
          <w:rFonts w:hint="eastAsia"/>
        </w:rPr>
        <w:t>年</w:t>
      </w:r>
      <w:r>
        <w:rPr>
          <w:rFonts w:hint="eastAsia"/>
        </w:rPr>
        <w:t>COVID-19</w:t>
      </w:r>
      <w:r>
        <w:rPr>
          <w:rFonts w:hint="eastAsia"/>
        </w:rPr>
        <w:t>疫情后裁员人数中占</w:t>
      </w:r>
      <w:r>
        <w:rPr>
          <w:rFonts w:hint="eastAsia"/>
        </w:rPr>
        <w:t>90%</w:t>
      </w:r>
      <w:r>
        <w:rPr>
          <w:rFonts w:hint="eastAsia"/>
        </w:rPr>
        <w:t>，而且缔约国最近的复苏措施与</w:t>
      </w:r>
      <w:r>
        <w:rPr>
          <w:rFonts w:hint="eastAsia"/>
        </w:rPr>
        <w:t>COVID-19</w:t>
      </w:r>
      <w:r>
        <w:rPr>
          <w:rFonts w:hint="eastAsia"/>
        </w:rPr>
        <w:t>对妇女和经济的持久影响不充分匹配。委员会注意到一些积极举措，比如全球妇女和变革倡导者方案，其目的是实现领导层中有</w:t>
      </w:r>
      <w:r>
        <w:rPr>
          <w:rFonts w:hint="eastAsia"/>
        </w:rPr>
        <w:t>40%</w:t>
      </w:r>
      <w:r>
        <w:rPr>
          <w:rFonts w:hint="eastAsia"/>
        </w:rPr>
        <w:t>为妇女，</w:t>
      </w:r>
      <w:r>
        <w:rPr>
          <w:rFonts w:hint="eastAsia"/>
        </w:rPr>
        <w:t>40%</w:t>
      </w:r>
      <w:r>
        <w:rPr>
          <w:rFonts w:hint="eastAsia"/>
        </w:rPr>
        <w:t>为男子，</w:t>
      </w:r>
      <w:r>
        <w:rPr>
          <w:rFonts w:hint="eastAsia"/>
        </w:rPr>
        <w:t>20%</w:t>
      </w:r>
      <w:r>
        <w:rPr>
          <w:rFonts w:hint="eastAsia"/>
        </w:rPr>
        <w:t>男女均可，但委员会仍然关切缺乏关于各经济部门性别平等和妇女交叉代表性的分类数据。委员会还关切地注意到毛利妇女和太平洋岛国裔妇女、残疾妇女以及非国民和少数族裔妇女的贫困率较高，老年妇女尤其有可能陷入贫困，目前的养老金性别差距平均为</w:t>
      </w:r>
      <w:r>
        <w:rPr>
          <w:rFonts w:hint="eastAsia"/>
        </w:rPr>
        <w:t>25%</w:t>
      </w:r>
      <w:r>
        <w:rPr>
          <w:rFonts w:hint="eastAsia"/>
        </w:rPr>
        <w:t>。</w:t>
      </w:r>
    </w:p>
    <w:p w14:paraId="54C67912" w14:textId="25F7E89D" w:rsidR="00144104" w:rsidRPr="0039711E" w:rsidRDefault="00144104" w:rsidP="00144104">
      <w:pPr>
        <w:pStyle w:val="SingleTxt"/>
        <w:rPr>
          <w:rFonts w:eastAsia="黑体"/>
        </w:rPr>
      </w:pPr>
      <w:r w:rsidRPr="0039711E">
        <w:rPr>
          <w:rFonts w:eastAsia="黑体"/>
        </w:rPr>
        <w:t>37.</w:t>
      </w:r>
      <w:r w:rsidRPr="0039711E">
        <w:rPr>
          <w:rFonts w:eastAsia="黑体"/>
        </w:rPr>
        <w:tab/>
      </w:r>
      <w:r w:rsidRPr="0039711E">
        <w:rPr>
          <w:rFonts w:eastAsia="黑体"/>
        </w:rPr>
        <w:t>委员会建议缔约国</w:t>
      </w:r>
      <w:r w:rsidR="00BF7097">
        <w:rPr>
          <w:rFonts w:ascii="宋体" w:hAnsi="宋体"/>
        </w:rPr>
        <w:t>：</w:t>
      </w:r>
    </w:p>
    <w:p w14:paraId="5D1F7BAF" w14:textId="4C9BE455" w:rsidR="00144104" w:rsidRPr="0039711E" w:rsidRDefault="00144104" w:rsidP="00144104">
      <w:pPr>
        <w:pStyle w:val="SingleTxt"/>
        <w:rPr>
          <w:rFonts w:eastAsia="黑体"/>
        </w:rPr>
      </w:pPr>
      <w:r w:rsidRPr="0039711E">
        <w:rPr>
          <w:rFonts w:eastAsia="黑体"/>
        </w:rPr>
        <w:tab/>
      </w:r>
      <w:r w:rsidR="00BF7097">
        <w:rPr>
          <w:rFonts w:eastAsia="黑体"/>
        </w:rPr>
        <w:t>(</w:t>
      </w:r>
      <w:r w:rsidRPr="0039711E">
        <w:rPr>
          <w:rFonts w:eastAsia="黑体"/>
        </w:rPr>
        <w:t>a</w:t>
      </w:r>
      <w:r w:rsidR="00BF7097">
        <w:rPr>
          <w:rFonts w:eastAsia="黑体"/>
        </w:rPr>
        <w:t>)</w:t>
      </w:r>
      <w:r w:rsidRPr="0039711E">
        <w:rPr>
          <w:rFonts w:eastAsia="黑体"/>
        </w:rPr>
        <w:tab/>
      </w:r>
      <w:r w:rsidRPr="0039711E">
        <w:rPr>
          <w:rFonts w:eastAsia="黑体"/>
        </w:rPr>
        <w:t>运用交叉视角分析为确保妇女平等享受经济和社会福利而采取的应对</w:t>
      </w:r>
      <w:r w:rsidRPr="0039711E">
        <w:rPr>
          <w:rFonts w:eastAsia="黑体"/>
        </w:rPr>
        <w:t>COVID-19</w:t>
      </w:r>
      <w:r w:rsidRPr="0039711E">
        <w:rPr>
          <w:rFonts w:eastAsia="黑体"/>
        </w:rPr>
        <w:t>疫情措施的实施结果，承认基于年龄、残疾、偏远程度、族裔或血统的交叉形式歧视对妇女经济赋权的不利影响</w:t>
      </w:r>
      <w:r w:rsidR="00B92669">
        <w:rPr>
          <w:rFonts w:eastAsia="黑体"/>
        </w:rPr>
        <w:t>；</w:t>
      </w:r>
    </w:p>
    <w:p w14:paraId="1BD8C1BE" w14:textId="138835DB" w:rsidR="00144104" w:rsidRPr="0039711E" w:rsidRDefault="00B92669" w:rsidP="00144104">
      <w:pPr>
        <w:pStyle w:val="SingleTxt"/>
        <w:rPr>
          <w:rFonts w:eastAsia="黑体"/>
        </w:rPr>
      </w:pPr>
      <w:r>
        <w:rPr>
          <w:rFonts w:eastAsia="黑体"/>
        </w:rPr>
        <w:tab/>
      </w:r>
      <w:r w:rsidR="00BF7097">
        <w:rPr>
          <w:rFonts w:eastAsia="黑体"/>
        </w:rPr>
        <w:t>(</w:t>
      </w:r>
      <w:r w:rsidR="00144104" w:rsidRPr="0039711E">
        <w:rPr>
          <w:rFonts w:eastAsia="黑体"/>
        </w:rPr>
        <w:t>b</w:t>
      </w:r>
      <w:r w:rsidR="00BF7097">
        <w:rPr>
          <w:rFonts w:eastAsia="黑体"/>
        </w:rPr>
        <w:t>)</w:t>
      </w:r>
      <w:r>
        <w:rPr>
          <w:rFonts w:eastAsia="黑体"/>
        </w:rPr>
        <w:tab/>
      </w:r>
      <w:r w:rsidR="00144104" w:rsidRPr="0039711E">
        <w:rPr>
          <w:rFonts w:eastAsia="黑体"/>
        </w:rPr>
        <w:t>采取有针对性的措施缩小养老金性别差距，包括承认和计算妇女从事的无偿护理工作，争取让她们获得养老金和社会福利，将社会保护，如最低工</w:t>
      </w:r>
      <w:r w:rsidR="00144104" w:rsidRPr="0039711E">
        <w:rPr>
          <w:rFonts w:eastAsia="黑体"/>
        </w:rPr>
        <w:lastRenderedPageBreak/>
        <w:t>资、带薪休假和产假的覆盖范围扩大到非正规经济中的妇女和自营职业妇女，并让妇女和男子享有灵活工作安排</w:t>
      </w:r>
      <w:r>
        <w:rPr>
          <w:rFonts w:eastAsia="黑体"/>
        </w:rPr>
        <w:t>；</w:t>
      </w:r>
    </w:p>
    <w:p w14:paraId="658D4F57" w14:textId="6B731D88" w:rsidR="00144104" w:rsidRPr="0039711E" w:rsidRDefault="00B92669" w:rsidP="00144104">
      <w:pPr>
        <w:pStyle w:val="SingleTxt"/>
        <w:rPr>
          <w:rFonts w:eastAsia="黑体"/>
        </w:rPr>
      </w:pPr>
      <w:r>
        <w:rPr>
          <w:rFonts w:eastAsia="黑体"/>
        </w:rPr>
        <w:tab/>
      </w:r>
      <w:r w:rsidR="00BF7097">
        <w:rPr>
          <w:rFonts w:eastAsia="黑体"/>
        </w:rPr>
        <w:t>(</w:t>
      </w:r>
      <w:r w:rsidR="00144104" w:rsidRPr="0039711E">
        <w:rPr>
          <w:rFonts w:eastAsia="黑体"/>
        </w:rPr>
        <w:t>c</w:t>
      </w:r>
      <w:r w:rsidR="00BF7097">
        <w:rPr>
          <w:rFonts w:eastAsia="黑体"/>
        </w:rPr>
        <w:t>)</w:t>
      </w:r>
      <w:r>
        <w:rPr>
          <w:rFonts w:eastAsia="黑体"/>
        </w:rPr>
        <w:tab/>
      </w:r>
      <w:r w:rsidR="00144104" w:rsidRPr="0039711E">
        <w:rPr>
          <w:rFonts w:eastAsia="黑体"/>
        </w:rPr>
        <w:t>增加预算拨款，用于实施增强老年妇女、残疾妇女、农村妇女、毛利和太平洋岛国裔妇女以及非国民和少数族裔妇女经济权能的政策和方案，包括采取措施解决贫困、文盲、无偿工作、获得医疗保健、住房以及社会和经济福利等问题。</w:t>
      </w:r>
    </w:p>
    <w:p w14:paraId="7929BB15" w14:textId="70A3165A" w:rsidR="00144104" w:rsidRDefault="00144104"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sidR="0039711E">
        <w:tab/>
      </w:r>
      <w:r w:rsidR="0039711E">
        <w:tab/>
      </w:r>
      <w:r>
        <w:rPr>
          <w:rFonts w:hint="eastAsia"/>
        </w:rPr>
        <w:t>气候变化与减少灾害风险</w:t>
      </w:r>
    </w:p>
    <w:p w14:paraId="50FB05D8" w14:textId="28CABF6F" w:rsidR="00144104" w:rsidRDefault="00144104" w:rsidP="00144104">
      <w:pPr>
        <w:pStyle w:val="SingleTxt"/>
      </w:pPr>
      <w:r>
        <w:rPr>
          <w:rFonts w:hint="eastAsia"/>
        </w:rPr>
        <w:t>38.</w:t>
      </w:r>
      <w:r>
        <w:rPr>
          <w:rFonts w:hint="eastAsia"/>
        </w:rPr>
        <w:tab/>
      </w:r>
      <w:r w:rsidRPr="0039711E">
        <w:rPr>
          <w:rFonts w:hint="eastAsia"/>
          <w:spacing w:val="6"/>
        </w:rPr>
        <w:t>委员会注意到，最高法院最近允许对据称七家采掘业造成的损害提起诉讼。</w:t>
      </w:r>
      <w:r>
        <w:rPr>
          <w:rFonts w:hint="eastAsia"/>
        </w:rPr>
        <w:t>委员会还赞赏地注意到缔约国继续提供海外发展援助，在太平洋区域实施适应气候变化和减少灾害风险战略。然而，委员会关切地注意到，气候变化和自然灾害对缔约国妇女的影响尤为严重，特别是农村妇女和贫困妇女，她们面临的粮食不安全、流离失所和资源有限的风险更大。</w:t>
      </w:r>
    </w:p>
    <w:p w14:paraId="491C1AFE" w14:textId="75929E44" w:rsidR="00144104" w:rsidRPr="00FA7B5C" w:rsidRDefault="00144104" w:rsidP="00144104">
      <w:pPr>
        <w:pStyle w:val="SingleTxt"/>
        <w:rPr>
          <w:rFonts w:eastAsia="黑体"/>
        </w:rPr>
      </w:pPr>
      <w:r w:rsidRPr="00FA7B5C">
        <w:rPr>
          <w:rFonts w:eastAsia="黑体"/>
        </w:rPr>
        <w:t>39.</w:t>
      </w:r>
      <w:r w:rsidR="0039711E" w:rsidRPr="00FA7B5C">
        <w:rPr>
          <w:rFonts w:eastAsia="黑体"/>
        </w:rPr>
        <w:tab/>
      </w:r>
      <w:r w:rsidRPr="00FA7B5C">
        <w:rPr>
          <w:rFonts w:eastAsia="黑体"/>
        </w:rPr>
        <w:t>委员会回顾其关于气候变化背景下减少灾害风险所涉性别方面的第</w:t>
      </w:r>
      <w:r w:rsidRPr="00FA7B5C">
        <w:rPr>
          <w:rFonts w:eastAsia="黑体"/>
        </w:rPr>
        <w:t>37</w:t>
      </w:r>
      <w:r w:rsidRPr="00FA7B5C">
        <w:rPr>
          <w:rFonts w:eastAsia="黑体"/>
        </w:rPr>
        <w:t>号一般性建议</w:t>
      </w:r>
      <w:r w:rsidR="00BF7097" w:rsidRPr="00FA7B5C">
        <w:rPr>
          <w:rFonts w:eastAsia="黑体"/>
        </w:rPr>
        <w:t>(</w:t>
      </w:r>
      <w:r w:rsidRPr="00FA7B5C">
        <w:rPr>
          <w:rFonts w:eastAsia="黑体"/>
        </w:rPr>
        <w:t>2018</w:t>
      </w:r>
      <w:r w:rsidRPr="00FA7B5C">
        <w:rPr>
          <w:rFonts w:eastAsia="黑体"/>
        </w:rPr>
        <w:t>年</w:t>
      </w:r>
      <w:r w:rsidR="00BF7097" w:rsidRPr="00FA7B5C">
        <w:rPr>
          <w:rFonts w:eastAsia="黑体"/>
        </w:rPr>
        <w:t>)</w:t>
      </w:r>
      <w:r w:rsidRPr="00FA7B5C">
        <w:rPr>
          <w:rFonts w:eastAsia="黑体"/>
        </w:rPr>
        <w:t>，建议缔约国制定一项全面的国家战略，以应对气候变化对具体性别的影响，满足妇女和女童在减少灾害风险方面的具体独特的需求。委员会敦促缔约国确保最可能受气候变化和自然灾害不利影响的妇女，包括农村妇女和贫困妇女，有效参与关于制定和执行减缓气候变化和减少灾害风险的政策和方案的决策，同时提高妇女对如何减缓气候变化和减轻灾害风险的了解。</w:t>
      </w:r>
    </w:p>
    <w:p w14:paraId="56444ED9" w14:textId="77777777" w:rsidR="00144104" w:rsidRDefault="00144104"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移民女工和临时女工</w:t>
      </w:r>
    </w:p>
    <w:p w14:paraId="1591CD1A" w14:textId="3959437C" w:rsidR="00144104" w:rsidRDefault="00144104" w:rsidP="00144104">
      <w:pPr>
        <w:pStyle w:val="SingleTxt"/>
      </w:pPr>
      <w:r>
        <w:rPr>
          <w:rFonts w:hint="eastAsia"/>
        </w:rPr>
        <w:t>40.</w:t>
      </w:r>
      <w:r>
        <w:rPr>
          <w:rFonts w:hint="eastAsia"/>
        </w:rPr>
        <w:tab/>
      </w:r>
      <w:r>
        <w:rPr>
          <w:rFonts w:hint="eastAsia"/>
        </w:rPr>
        <w:t>委员会欢迎在新西兰居民或公民对临时签证持有人实施的家庭暴力中成为受害者的妇女可延长工作签证期限。委员会还注意到，即将于</w:t>
      </w:r>
      <w:r>
        <w:rPr>
          <w:rFonts w:hint="eastAsia"/>
        </w:rPr>
        <w:t>2025</w:t>
      </w:r>
      <w:r>
        <w:rPr>
          <w:rFonts w:hint="eastAsia"/>
        </w:rPr>
        <w:t>年对保护移民的立法条款进行审查。尽管工商、创新和就业部对公认季节性雇主计划进行的审查得出了结论，委员会仍对季节性就业计划下移民工人的福利和保护感到关切，特别是住宿费用增加以及家庭成员缺乏签证支持。尽管司法部监测了对</w:t>
      </w:r>
      <w:r>
        <w:rPr>
          <w:rFonts w:hint="eastAsia"/>
        </w:rPr>
        <w:t>16</w:t>
      </w:r>
      <w:r>
        <w:rPr>
          <w:rFonts w:hint="eastAsia"/>
        </w:rPr>
        <w:t>岁和</w:t>
      </w:r>
      <w:r>
        <w:rPr>
          <w:rFonts w:hint="eastAsia"/>
        </w:rPr>
        <w:t>17</w:t>
      </w:r>
      <w:r>
        <w:rPr>
          <w:rFonts w:hint="eastAsia"/>
        </w:rPr>
        <w:t>岁少女例外未遵守最低结婚年龄规定的情况，但委员会仍感到关切的是，缔约国没有采取足够措施防止移民女童童婚和移民妇女强迫婚姻。</w:t>
      </w:r>
    </w:p>
    <w:p w14:paraId="15761200" w14:textId="66E85AD4" w:rsidR="00144104" w:rsidRPr="0039711E" w:rsidRDefault="00144104" w:rsidP="00144104">
      <w:pPr>
        <w:pStyle w:val="SingleTxt"/>
        <w:rPr>
          <w:rFonts w:eastAsia="黑体"/>
        </w:rPr>
      </w:pPr>
      <w:r w:rsidRPr="0039711E">
        <w:rPr>
          <w:rFonts w:eastAsia="黑体"/>
        </w:rPr>
        <w:t>41.</w:t>
      </w:r>
      <w:r w:rsidR="00B92669">
        <w:rPr>
          <w:rFonts w:eastAsia="黑体"/>
        </w:rPr>
        <w:tab/>
      </w:r>
      <w:r w:rsidRPr="0039711E">
        <w:rPr>
          <w:rFonts w:eastAsia="黑体"/>
        </w:rPr>
        <w:t>委员会建议缔约国落实工商、创新和就业部对公认季节性雇主计划的审查报告所载建议，从而加强对移民女工的保护，包括确保住宿经济适用、公平工资和充分的牧灵关怀。委员会还建议缔约国加强对移民女工的支持，包括应对她们的住宿费用不断增加的情况，为其家庭成员提供签证支持，确保她们能够以可承受的价格或免费获得法律援助服务。</w:t>
      </w:r>
    </w:p>
    <w:p w14:paraId="6D9D3C46" w14:textId="307EC3A4" w:rsidR="00144104" w:rsidRDefault="00144104"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毛利妇女</w:t>
      </w:r>
    </w:p>
    <w:p w14:paraId="441E4510" w14:textId="77777777" w:rsidR="00144104" w:rsidRDefault="00144104" w:rsidP="00144104">
      <w:pPr>
        <w:pStyle w:val="SingleTxt"/>
      </w:pPr>
      <w:r>
        <w:rPr>
          <w:rFonts w:hint="eastAsia"/>
        </w:rPr>
        <w:t>42.</w:t>
      </w:r>
      <w:r>
        <w:rPr>
          <w:rFonts w:hint="eastAsia"/>
        </w:rPr>
        <w:tab/>
      </w:r>
      <w:r>
        <w:rPr>
          <w:rFonts w:hint="eastAsia"/>
        </w:rPr>
        <w:t>委员会关切地注意到，缔约国撤回了对《联合国土著人民权利宣言》的支持，也撤回了为执行《怀唐伊条约》所采取的步骤，这可能被视为对《宣言》条款的重新解释。</w:t>
      </w:r>
    </w:p>
    <w:p w14:paraId="584C4590" w14:textId="5877A032" w:rsidR="00144104" w:rsidRPr="0039711E" w:rsidRDefault="00144104" w:rsidP="00144104">
      <w:pPr>
        <w:pStyle w:val="SingleTxt"/>
        <w:rPr>
          <w:rFonts w:eastAsia="黑体"/>
        </w:rPr>
      </w:pPr>
      <w:r w:rsidRPr="0039711E">
        <w:rPr>
          <w:rFonts w:eastAsia="黑体"/>
        </w:rPr>
        <w:t>43.</w:t>
      </w:r>
      <w:r w:rsidR="0039711E" w:rsidRPr="0039711E">
        <w:rPr>
          <w:rFonts w:eastAsia="黑体"/>
        </w:rPr>
        <w:tab/>
      </w:r>
      <w:r w:rsidRPr="0039711E">
        <w:rPr>
          <w:rFonts w:eastAsia="黑体"/>
        </w:rPr>
        <w:t>委员会回顾其第</w:t>
      </w:r>
      <w:r w:rsidRPr="0039711E">
        <w:rPr>
          <w:rFonts w:eastAsia="黑体"/>
        </w:rPr>
        <w:t>39</w:t>
      </w:r>
      <w:r w:rsidRPr="0039711E">
        <w:rPr>
          <w:rFonts w:eastAsia="黑体"/>
        </w:rPr>
        <w:t>号一般性建议，呼吁缔约国重申对《联合国土著人民权利宣言》的承诺，并确保其国家政策和立法符合《宣言》的原则和规定并纳入</w:t>
      </w:r>
      <w:r w:rsidRPr="0039711E">
        <w:rPr>
          <w:rFonts w:eastAsia="黑体"/>
        </w:rPr>
        <w:lastRenderedPageBreak/>
        <w:t>性别平等视角。委员会建议缔约国确保在批准任何影响土著妇女土地、领土和资源的项目或立法措施之前，获得土著妇女的自由、事先和知情同意，包括为此通过她们自己的代表机构进行有意义的协商和参与决策过程。委员会还建议缔约国承认土著妇女作为土著文化守护者的作用，促进土著妇女的文化权利和身份，保护其权利，使其能够保持和加强同其传统上拥有或以其他方式占有和使用的土地、领土、水域和近海之间的独特精神联系。</w:t>
      </w:r>
    </w:p>
    <w:p w14:paraId="01157B7C" w14:textId="0A242B05" w:rsidR="00144104" w:rsidRDefault="00144104"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婚姻与家庭关系</w:t>
      </w:r>
    </w:p>
    <w:p w14:paraId="302EF32E" w14:textId="77777777" w:rsidR="00144104" w:rsidRDefault="00144104" w:rsidP="00144104">
      <w:pPr>
        <w:pStyle w:val="SingleTxt"/>
      </w:pPr>
      <w:r>
        <w:rPr>
          <w:rFonts w:hint="eastAsia"/>
        </w:rPr>
        <w:t>44.</w:t>
      </w:r>
      <w:r>
        <w:rPr>
          <w:rFonts w:hint="eastAsia"/>
        </w:rPr>
        <w:tab/>
      </w:r>
      <w:r>
        <w:rPr>
          <w:rFonts w:hint="eastAsia"/>
        </w:rPr>
        <w:t>委员会欢迎缔约国努力审查立法，以改善离婚诉讼期间法院对妇女和家庭暴力受害者的保护，包括为防止滥用程序或司法骚扰而提供的保护。然而，委员会关切地注意到，法院在关于子女监护权和探视权的裁决中往往不考虑性别暴力，妇女在离婚诉讼中获得法律援助的机会有限。</w:t>
      </w:r>
    </w:p>
    <w:p w14:paraId="1433E8DB" w14:textId="28931A63" w:rsidR="00144104" w:rsidRPr="0039711E" w:rsidRDefault="00144104" w:rsidP="00144104">
      <w:pPr>
        <w:pStyle w:val="SingleTxt"/>
        <w:rPr>
          <w:rFonts w:eastAsia="黑体"/>
        </w:rPr>
      </w:pPr>
      <w:r w:rsidRPr="0039711E">
        <w:rPr>
          <w:rFonts w:eastAsia="黑体"/>
        </w:rPr>
        <w:t>45.</w:t>
      </w:r>
      <w:r w:rsidR="0039711E" w:rsidRPr="0039711E">
        <w:rPr>
          <w:rFonts w:eastAsia="黑体"/>
        </w:rPr>
        <w:tab/>
      </w:r>
      <w:r w:rsidRPr="0039711E">
        <w:rPr>
          <w:rFonts w:eastAsia="黑体"/>
        </w:rPr>
        <w:t>委员会建议缔约国修订立法，为法官提供能力建设，确保法院在关于儿童监护权和探视权的裁决中充分考虑到性别暴力。委员会还建议缔约国加强妇女在离婚诉讼中获得法律援助的机会，法律援助在必要时应免费提供，特别是在农村地区。</w:t>
      </w:r>
    </w:p>
    <w:p w14:paraId="2678E0EE" w14:textId="77777777" w:rsidR="00144104" w:rsidRDefault="00144104"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Pr>
          <w:rFonts w:hint="eastAsia"/>
        </w:rPr>
        <w:tab/>
      </w:r>
      <w:r>
        <w:rPr>
          <w:rFonts w:hint="eastAsia"/>
        </w:rPr>
        <w:tab/>
      </w:r>
      <w:r>
        <w:rPr>
          <w:rFonts w:hint="eastAsia"/>
        </w:rPr>
        <w:t>数据收集和分析</w:t>
      </w:r>
    </w:p>
    <w:p w14:paraId="0659D19C" w14:textId="035A04F8" w:rsidR="00144104" w:rsidRDefault="00144104" w:rsidP="00144104">
      <w:pPr>
        <w:pStyle w:val="SingleTxt"/>
      </w:pPr>
      <w:r>
        <w:rPr>
          <w:rFonts w:hint="eastAsia"/>
        </w:rPr>
        <w:t>46.</w:t>
      </w:r>
      <w:r>
        <w:rPr>
          <w:rFonts w:hint="eastAsia"/>
        </w:rPr>
        <w:tab/>
      </w:r>
      <w:r>
        <w:rPr>
          <w:rFonts w:hint="eastAsia"/>
        </w:rPr>
        <w:t>委员会注意到《</w:t>
      </w:r>
      <w:r>
        <w:rPr>
          <w:rFonts w:hint="eastAsia"/>
        </w:rPr>
        <w:t>2022</w:t>
      </w:r>
      <w:r>
        <w:rPr>
          <w:rFonts w:hint="eastAsia"/>
        </w:rPr>
        <w:t>年数据和统计法》的通过，确认缔约国有责任坚持《怀唐伊条约》的原则，并确保不同群体的妇女对有关数据收集和分析的决策做出贡献。然而，委员会对缺乏关于妇女</w:t>
      </w:r>
      <w:r w:rsidR="00BF7097">
        <w:rPr>
          <w:rFonts w:hint="eastAsia"/>
        </w:rPr>
        <w:t>(</w:t>
      </w:r>
      <w:r>
        <w:rPr>
          <w:rFonts w:hint="eastAsia"/>
        </w:rPr>
        <w:t>特别是弱势妇女群体</w:t>
      </w:r>
      <w:r w:rsidR="00BF7097">
        <w:rPr>
          <w:rFonts w:hint="eastAsia"/>
        </w:rPr>
        <w:t>)</w:t>
      </w:r>
      <w:r>
        <w:rPr>
          <w:rFonts w:hint="eastAsia"/>
        </w:rPr>
        <w:t>在某些私人和公共领域、包括在政治、经济、社会和文化生活中的状况的可靠数据感到关切。委员会确认怀唐伊法庭保健服务和结果调查</w:t>
      </w:r>
      <w:r w:rsidR="00BF7097">
        <w:rPr>
          <w:rFonts w:hint="eastAsia"/>
        </w:rPr>
        <w:t>(</w:t>
      </w:r>
      <w:r>
        <w:rPr>
          <w:rFonts w:hint="eastAsia"/>
        </w:rPr>
        <w:t>Wai 2575</w:t>
      </w:r>
      <w:r w:rsidR="00BF7097">
        <w:rPr>
          <w:rFonts w:hint="eastAsia"/>
        </w:rPr>
        <w:t>)</w:t>
      </w:r>
      <w:r>
        <w:rPr>
          <w:rFonts w:hint="eastAsia"/>
        </w:rPr>
        <w:t>得出的结论，这是对政府应对毛利人所经历的卫生健康不公平现象的措施开展的调查，并确认数据是土著人民的文化和经济资源</w:t>
      </w:r>
      <w:r w:rsidR="00B92669">
        <w:rPr>
          <w:rFonts w:hint="eastAsia"/>
        </w:rPr>
        <w:t>；</w:t>
      </w:r>
      <w:r>
        <w:rPr>
          <w:rFonts w:hint="eastAsia"/>
        </w:rPr>
        <w:t>现有的数据和数据基础设施不能满足土著人民的需求，并且没有采取足够的措施保护分享个人数据的妇女免受与电子商务和跨境数据流动有关的风险的影响。</w:t>
      </w:r>
    </w:p>
    <w:p w14:paraId="3ECAFFE9" w14:textId="74113255" w:rsidR="00144104" w:rsidRPr="0039711E" w:rsidRDefault="00144104" w:rsidP="00144104">
      <w:pPr>
        <w:pStyle w:val="SingleTxt"/>
        <w:rPr>
          <w:rFonts w:eastAsia="黑体"/>
        </w:rPr>
      </w:pPr>
      <w:r w:rsidRPr="0039711E">
        <w:rPr>
          <w:rFonts w:eastAsia="黑体"/>
        </w:rPr>
        <w:t>47.</w:t>
      </w:r>
      <w:r w:rsidR="003472D7">
        <w:rPr>
          <w:rFonts w:eastAsia="黑体"/>
        </w:rPr>
        <w:tab/>
      </w:r>
      <w:r w:rsidRPr="0039711E">
        <w:rPr>
          <w:rFonts w:eastAsia="黑体"/>
        </w:rPr>
        <w:t>委员会回顾其关于妇女状况统计资料的第</w:t>
      </w:r>
      <w:r w:rsidRPr="0039711E">
        <w:rPr>
          <w:rFonts w:eastAsia="黑体"/>
        </w:rPr>
        <w:t>9</w:t>
      </w:r>
      <w:r w:rsidRPr="0039711E">
        <w:rPr>
          <w:rFonts w:eastAsia="黑体"/>
        </w:rPr>
        <w:t>号一般性建议</w:t>
      </w:r>
      <w:r w:rsidR="00BF7097">
        <w:rPr>
          <w:rFonts w:eastAsia="黑体"/>
        </w:rPr>
        <w:t>(</w:t>
      </w:r>
      <w:r w:rsidRPr="0039711E">
        <w:rPr>
          <w:rFonts w:eastAsia="黑体"/>
        </w:rPr>
        <w:t>1989</w:t>
      </w:r>
      <w:r w:rsidRPr="0039711E">
        <w:rPr>
          <w:rFonts w:eastAsia="黑体"/>
        </w:rPr>
        <w:t>年</w:t>
      </w:r>
      <w:r w:rsidR="00BF7097">
        <w:rPr>
          <w:rFonts w:eastAsia="黑体"/>
        </w:rPr>
        <w:t>)</w:t>
      </w:r>
      <w:r w:rsidRPr="0039711E">
        <w:rPr>
          <w:rFonts w:eastAsia="黑体"/>
        </w:rPr>
        <w:t>，建议缔约国评估其数据收集工具，采取措施解决数据收集中的任何薄弱环节，改进数据核查，使数据收集多样化，并允许个人根据自我认同原则匿名报告。根据《怀唐伊条约》的原则和数据主权原则，委员会还建议缔约国采取措施，确保毛利妇女有效参与数据收集和制作，确保她们有机会获取个人数据，确保数据治理和安全。委员会还建议缔约国保证土著妇女以及少数族裔和讲少数族裔语言的妇女有效参与制定和实施在跨境和电子商务交易中为个人数据提供知识产权和隐私保护的措施。</w:t>
      </w:r>
    </w:p>
    <w:p w14:paraId="0CC8729D" w14:textId="52C4D240" w:rsidR="00144104" w:rsidRPr="0039711E" w:rsidRDefault="00144104"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9711E">
        <w:tab/>
      </w:r>
      <w:r w:rsidRPr="0039711E">
        <w:tab/>
      </w:r>
      <w:r w:rsidRPr="0039711E">
        <w:t>《北京宣言》和《行动纲要》</w:t>
      </w:r>
    </w:p>
    <w:p w14:paraId="00E1AE7B" w14:textId="51080375" w:rsidR="00B92669" w:rsidRDefault="00144104" w:rsidP="00144104">
      <w:pPr>
        <w:pStyle w:val="SingleTxt"/>
        <w:rPr>
          <w:rFonts w:eastAsia="黑体"/>
        </w:rPr>
      </w:pPr>
      <w:r w:rsidRPr="0039711E">
        <w:rPr>
          <w:rFonts w:eastAsia="黑体"/>
        </w:rPr>
        <w:t>48.</w:t>
      </w:r>
      <w:r w:rsidRPr="0039711E">
        <w:rPr>
          <w:rFonts w:eastAsia="黑体"/>
        </w:rPr>
        <w:tab/>
      </w:r>
      <w:r w:rsidRPr="0039711E">
        <w:rPr>
          <w:rFonts w:eastAsia="黑体"/>
          <w:spacing w:val="6"/>
        </w:rPr>
        <w:t>委员会促请缔约国利用《北京宣言》和《行动纲要》，并进一步评价《公约》</w:t>
      </w:r>
      <w:r w:rsidRPr="0039711E">
        <w:rPr>
          <w:rFonts w:eastAsia="黑体"/>
        </w:rPr>
        <w:t>所载各项权利的实现情况，以实现男女实质平等。</w:t>
      </w:r>
    </w:p>
    <w:p w14:paraId="3B79779F" w14:textId="77777777" w:rsidR="00B92669" w:rsidRDefault="00B92669">
      <w:pPr>
        <w:spacing w:after="160" w:line="259" w:lineRule="auto"/>
        <w:jc w:val="left"/>
        <w:rPr>
          <w:rFonts w:eastAsia="黑体"/>
        </w:rPr>
      </w:pPr>
      <w:r>
        <w:rPr>
          <w:rFonts w:eastAsia="黑体"/>
        </w:rPr>
        <w:br w:type="page"/>
      </w:r>
    </w:p>
    <w:p w14:paraId="6CEF560F" w14:textId="63C2C654" w:rsidR="00144104" w:rsidRPr="0039711E" w:rsidRDefault="00144104"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rsidRPr="0039711E">
        <w:lastRenderedPageBreak/>
        <w:tab/>
      </w:r>
      <w:r w:rsidRPr="0039711E">
        <w:tab/>
      </w:r>
      <w:r w:rsidRPr="0039711E">
        <w:t>传播</w:t>
      </w:r>
    </w:p>
    <w:p w14:paraId="34C57231" w14:textId="499D6495" w:rsidR="00144104" w:rsidRPr="0039711E" w:rsidRDefault="00144104" w:rsidP="00144104">
      <w:pPr>
        <w:pStyle w:val="SingleTxt"/>
        <w:rPr>
          <w:rFonts w:eastAsia="黑体"/>
        </w:rPr>
      </w:pPr>
      <w:r w:rsidRPr="0039711E">
        <w:rPr>
          <w:rFonts w:eastAsia="黑体"/>
        </w:rPr>
        <w:t>49.</w:t>
      </w:r>
      <w:r w:rsidRPr="0039711E">
        <w:rPr>
          <w:rFonts w:eastAsia="黑体"/>
        </w:rPr>
        <w:tab/>
      </w:r>
      <w:r w:rsidRPr="0039711E">
        <w:rPr>
          <w:rFonts w:eastAsia="黑体"/>
        </w:rPr>
        <w:t>委员会请缔约国确保以缔约国的官方语言向各级</w:t>
      </w:r>
      <w:r w:rsidR="00BF7097">
        <w:rPr>
          <w:rFonts w:eastAsia="黑体"/>
        </w:rPr>
        <w:t>(</w:t>
      </w:r>
      <w:r w:rsidRPr="0039711E">
        <w:rPr>
          <w:rFonts w:eastAsia="黑体"/>
        </w:rPr>
        <w:t>国家、地区和地方</w:t>
      </w:r>
      <w:r w:rsidR="00BF7097">
        <w:rPr>
          <w:rFonts w:eastAsia="黑体"/>
        </w:rPr>
        <w:t>)</w:t>
      </w:r>
      <w:r w:rsidRPr="0039711E">
        <w:rPr>
          <w:rFonts w:eastAsia="黑体"/>
        </w:rPr>
        <w:t>相关国家机构，特别是政府、新西兰议会和司法机构及时传播本结论性意见，使这些意见得到充分落实。</w:t>
      </w:r>
    </w:p>
    <w:p w14:paraId="15BA80AB" w14:textId="7933A8E5" w:rsidR="00144104" w:rsidRPr="0039711E" w:rsidRDefault="0039711E"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44104" w:rsidRPr="0039711E">
        <w:t>落实结论性意见的后续行动</w:t>
      </w:r>
    </w:p>
    <w:p w14:paraId="2EE6E2CF" w14:textId="13CB7B91" w:rsidR="00144104" w:rsidRPr="0039711E" w:rsidRDefault="00144104" w:rsidP="00144104">
      <w:pPr>
        <w:pStyle w:val="SingleTxt"/>
        <w:rPr>
          <w:rFonts w:eastAsia="黑体"/>
        </w:rPr>
      </w:pPr>
      <w:r w:rsidRPr="0039711E">
        <w:rPr>
          <w:rFonts w:eastAsia="黑体"/>
        </w:rPr>
        <w:t>50.</w:t>
      </w:r>
      <w:r w:rsidRPr="0039711E">
        <w:rPr>
          <w:rFonts w:eastAsia="黑体"/>
        </w:rPr>
        <w:tab/>
      </w:r>
      <w:r w:rsidRPr="0039711E">
        <w:rPr>
          <w:rFonts w:eastAsia="黑体"/>
        </w:rPr>
        <w:t>委员会请缔约国在两年内提供书面资料，说明为执行上文</w:t>
      </w:r>
      <w:r w:rsidRPr="0039711E">
        <w:rPr>
          <w:rFonts w:eastAsia="黑体"/>
        </w:rPr>
        <w:t>21</w:t>
      </w:r>
      <w:r w:rsidR="00BF7097">
        <w:rPr>
          <w:rFonts w:eastAsia="黑体"/>
        </w:rPr>
        <w:t>(</w:t>
      </w:r>
      <w:r w:rsidRPr="0039711E">
        <w:rPr>
          <w:rFonts w:eastAsia="黑体"/>
        </w:rPr>
        <w:t>b</w:t>
      </w:r>
      <w:r w:rsidR="00BF7097">
        <w:rPr>
          <w:rFonts w:eastAsia="黑体"/>
        </w:rPr>
        <w:t>)</w:t>
      </w:r>
      <w:r w:rsidRPr="0039711E">
        <w:rPr>
          <w:rFonts w:eastAsia="黑体"/>
        </w:rPr>
        <w:t>、</w:t>
      </w:r>
      <w:r w:rsidRPr="0039711E">
        <w:rPr>
          <w:rFonts w:eastAsia="黑体"/>
        </w:rPr>
        <w:t>35</w:t>
      </w:r>
      <w:r w:rsidR="00BF7097">
        <w:rPr>
          <w:rFonts w:eastAsia="黑体"/>
        </w:rPr>
        <w:t>(</w:t>
      </w:r>
      <w:r w:rsidRPr="0039711E">
        <w:rPr>
          <w:rFonts w:eastAsia="黑体"/>
        </w:rPr>
        <w:t>d</w:t>
      </w:r>
      <w:r w:rsidR="00BF7097">
        <w:rPr>
          <w:rFonts w:eastAsia="黑体"/>
        </w:rPr>
        <w:t>)</w:t>
      </w:r>
      <w:r w:rsidRPr="0039711E">
        <w:rPr>
          <w:rFonts w:eastAsia="黑体"/>
        </w:rPr>
        <w:t>、</w:t>
      </w:r>
      <w:r w:rsidRPr="0039711E">
        <w:rPr>
          <w:rFonts w:eastAsia="黑体"/>
        </w:rPr>
        <w:t>37</w:t>
      </w:r>
      <w:r w:rsidR="00BF7097">
        <w:rPr>
          <w:rFonts w:eastAsia="黑体"/>
        </w:rPr>
        <w:t>(</w:t>
      </w:r>
      <w:r w:rsidRPr="0039711E">
        <w:rPr>
          <w:rFonts w:eastAsia="黑体"/>
        </w:rPr>
        <w:t>a</w:t>
      </w:r>
      <w:r w:rsidR="00BF7097">
        <w:rPr>
          <w:rFonts w:eastAsia="黑体"/>
        </w:rPr>
        <w:t>)</w:t>
      </w:r>
      <w:r w:rsidRPr="0039711E">
        <w:rPr>
          <w:rFonts w:eastAsia="黑体"/>
        </w:rPr>
        <w:t>和</w:t>
      </w:r>
      <w:r w:rsidRPr="0039711E">
        <w:rPr>
          <w:rFonts w:eastAsia="黑体"/>
        </w:rPr>
        <w:t>43</w:t>
      </w:r>
      <w:r w:rsidRPr="0039711E">
        <w:rPr>
          <w:rFonts w:eastAsia="黑体"/>
        </w:rPr>
        <w:t>段所载建议而采取的步骤。</w:t>
      </w:r>
    </w:p>
    <w:p w14:paraId="6A97EC00" w14:textId="00502639" w:rsidR="00144104" w:rsidRPr="0039711E" w:rsidRDefault="0039711E" w:rsidP="0039711E">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20"/>
        <w:ind w:left="1267" w:right="1260" w:hanging="1267"/>
      </w:pPr>
      <w:r>
        <w:tab/>
      </w:r>
      <w:r>
        <w:tab/>
      </w:r>
      <w:r w:rsidR="00144104" w:rsidRPr="0039711E">
        <w:t>编写下次报告</w:t>
      </w:r>
    </w:p>
    <w:p w14:paraId="61459CCE" w14:textId="73693F5E" w:rsidR="00144104" w:rsidRPr="0039711E" w:rsidRDefault="00144104" w:rsidP="00144104">
      <w:pPr>
        <w:pStyle w:val="SingleTxt"/>
        <w:rPr>
          <w:rFonts w:eastAsia="黑体"/>
        </w:rPr>
      </w:pPr>
      <w:r w:rsidRPr="0039711E">
        <w:rPr>
          <w:rFonts w:eastAsia="黑体"/>
        </w:rPr>
        <w:t>51.</w:t>
      </w:r>
      <w:r w:rsidRPr="0039711E">
        <w:rPr>
          <w:rFonts w:eastAsia="黑体"/>
        </w:rPr>
        <w:tab/>
      </w:r>
      <w:r w:rsidRPr="0039711E">
        <w:rPr>
          <w:rFonts w:eastAsia="黑体"/>
        </w:rPr>
        <w:t>委员会将根据基于八年审议周期的未来可预测的报告日历，并在通过缔约国报告前议题和问题清单后</w:t>
      </w:r>
      <w:r w:rsidR="00BF7097">
        <w:rPr>
          <w:rFonts w:eastAsia="黑体"/>
        </w:rPr>
        <w:t>(</w:t>
      </w:r>
      <w:r w:rsidRPr="0039711E">
        <w:rPr>
          <w:rFonts w:eastAsia="黑体"/>
        </w:rPr>
        <w:t>如适用</w:t>
      </w:r>
      <w:r w:rsidR="00BF7097">
        <w:rPr>
          <w:rFonts w:eastAsia="黑体"/>
        </w:rPr>
        <w:t>)</w:t>
      </w:r>
      <w:r w:rsidRPr="0039711E">
        <w:rPr>
          <w:rFonts w:eastAsia="黑体"/>
        </w:rPr>
        <w:t>，确定并通报缔约国第十次定期报告的到期日。报告应涵盖截至提交之时的整个时期。</w:t>
      </w:r>
    </w:p>
    <w:p w14:paraId="469D7EC0" w14:textId="0ECB1B98" w:rsidR="00144104" w:rsidRDefault="00144104" w:rsidP="00144104">
      <w:pPr>
        <w:pStyle w:val="SingleTxt"/>
        <w:rPr>
          <w:rFonts w:eastAsia="黑体"/>
        </w:rPr>
      </w:pPr>
      <w:r w:rsidRPr="0039711E">
        <w:rPr>
          <w:rFonts w:eastAsia="黑体"/>
        </w:rPr>
        <w:t>52.</w:t>
      </w:r>
      <w:r w:rsidRPr="0039711E">
        <w:rPr>
          <w:rFonts w:eastAsia="黑体"/>
        </w:rPr>
        <w:tab/>
      </w:r>
      <w:r w:rsidRPr="0039711E">
        <w:rPr>
          <w:rFonts w:eastAsia="黑体"/>
        </w:rPr>
        <w:t>委员会请缔约国遵守《包括共同核心文件和条约专要文件准则在内的根据国际人权条约提交报告的协调准则》</w:t>
      </w:r>
      <w:r w:rsidR="00BF7097">
        <w:rPr>
          <w:rFonts w:eastAsia="黑体"/>
        </w:rPr>
        <w:t>(</w:t>
      </w:r>
      <w:hyperlink r:id="rId27" w:history="1">
        <w:r w:rsidRPr="00620FB1">
          <w:rPr>
            <w:rStyle w:val="af7"/>
            <w:rFonts w:eastAsia="黑体" w:hint="eastAsia"/>
          </w:rPr>
          <w:t>HRI/GEN/2/Rev.6</w:t>
        </w:r>
      </w:hyperlink>
      <w:r w:rsidR="00127EC2">
        <w:rPr>
          <w:rFonts w:eastAsia="黑体"/>
        </w:rPr>
        <w:t>，</w:t>
      </w:r>
      <w:r w:rsidRPr="0039711E">
        <w:rPr>
          <w:rFonts w:eastAsia="黑体"/>
        </w:rPr>
        <w:t>第一章</w:t>
      </w:r>
      <w:r w:rsidR="00BF7097">
        <w:rPr>
          <w:rFonts w:eastAsia="黑体"/>
        </w:rPr>
        <w:t>)</w:t>
      </w:r>
      <w:r w:rsidRPr="0039711E">
        <w:rPr>
          <w:rFonts w:eastAsia="黑体"/>
        </w:rPr>
        <w:t>。</w:t>
      </w:r>
    </w:p>
    <w:p w14:paraId="2F54232D" w14:textId="097D51B1" w:rsidR="00333781" w:rsidRPr="008A3EE6" w:rsidRDefault="0039711E" w:rsidP="0039711E">
      <w:pPr>
        <w:pStyle w:val="SingleTxt"/>
        <w:spacing w:after="0" w:line="240" w:lineRule="auto"/>
      </w:pPr>
      <w:r>
        <w:rPr>
          <w:rFonts w:hint="eastAsia"/>
          <w:noProof/>
          <w:sz w:val="20"/>
        </w:rPr>
        <mc:AlternateContent>
          <mc:Choice Requires="wps">
            <w:drawing>
              <wp:anchor distT="0" distB="0" distL="114300" distR="114300" simplePos="0" relativeHeight="251659264" behindDoc="0" locked="0" layoutInCell="1" allowOverlap="1" wp14:anchorId="71E6E167" wp14:editId="4B3DD786">
                <wp:simplePos x="0" y="0"/>
                <wp:positionH relativeFrom="column">
                  <wp:align>center</wp:align>
                </wp:positionH>
                <wp:positionV relativeFrom="paragraph">
                  <wp:posOffset>381000</wp:posOffset>
                </wp:positionV>
                <wp:extent cx="914400" cy="0"/>
                <wp:effectExtent l="0" t="0" r="0" b="0"/>
                <wp:wrapNone/>
                <wp:docPr id="380676206"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BCCEA1" id="直接连接符 4" o:spid="_x0000_s1026" style="position:absolute;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" strokecolor="#010000" strokeweight=".25pt">
                <v:stroke joinstyle="miter"/>
              </v:line>
            </w:pict>
          </mc:Fallback>
        </mc:AlternateContent>
      </w:r>
    </w:p>
    <w:sectPr w:rsidR="00333781" w:rsidRPr="008A3EE6" w:rsidSect="00844CEF">
      <w:type w:val="continuous"/>
      <w:pgSz w:w="12240" w:h="15840"/>
      <w:pgMar w:top="1440" w:right="1200" w:bottom="1151"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08T09:39:00Z" w:initials="Start">
    <w:p w14:paraId="533D5B39" w14:textId="77777777" w:rsidR="008A3EE6" w:rsidRDefault="008A3EE6">
      <w:pPr>
        <w:pStyle w:val="ae"/>
      </w:pPr>
      <w:r>
        <w:rPr>
          <w:rStyle w:val="af2"/>
        </w:rPr>
        <w:annotationRef/>
      </w:r>
      <w:r>
        <w:t>&lt;&lt;ODS JOB NO&gt;&gt;N2432181C&lt;&lt;ODS JOB NO&gt;&gt;</w:t>
      </w:r>
    </w:p>
    <w:p w14:paraId="2DEEF2F1" w14:textId="77777777" w:rsidR="008A3EE6" w:rsidRDefault="008A3EE6">
      <w:pPr>
        <w:pStyle w:val="ae"/>
      </w:pPr>
      <w:r>
        <w:t>&lt;&lt;ODS DOC SYMBOL1&gt;&gt;CEDAW/C/NZL/CO/9&lt;&lt;ODS DOC SYMBOL1&gt;&gt;</w:t>
      </w:r>
    </w:p>
    <w:p w14:paraId="779CA283" w14:textId="42EADE65" w:rsidR="008A3EE6" w:rsidRDefault="008A3EE6">
      <w:pPr>
        <w:pStyle w:val="ae"/>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79CA28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418217F" w16cex:dateUtc="2024-11-08T14: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79CA283" w16cid:durableId="7418217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7D3EC" w14:textId="77777777" w:rsidR="00C7256C" w:rsidRDefault="00C7256C" w:rsidP="00E3371C">
      <w:pPr>
        <w:spacing w:line="240" w:lineRule="auto"/>
      </w:pPr>
      <w:r>
        <w:separator/>
      </w:r>
    </w:p>
  </w:endnote>
  <w:endnote w:type="continuationSeparator" w:id="0">
    <w:p w14:paraId="0C0A4D3F" w14:textId="77777777" w:rsidR="00C7256C" w:rsidRDefault="00C7256C" w:rsidP="00E3371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楷体">
    <w:altName w:val="KaiT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楷体_GB2312">
    <w:altName w:val="微软雅黑"/>
    <w:panose1 w:val="02010609030101010101"/>
    <w:charset w:val="86"/>
    <w:family w:val="modern"/>
    <w:pitch w:val="fixed"/>
    <w:sig w:usb0="00000003" w:usb1="080E0000" w:usb2="00000010"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A3EE6" w14:paraId="246C340B" w14:textId="77777777" w:rsidTr="008A3EE6">
      <w:tc>
        <w:tcPr>
          <w:tcW w:w="4920" w:type="dxa"/>
          <w:shd w:val="clear" w:color="auto" w:fill="auto"/>
        </w:tcPr>
        <w:p w14:paraId="28E11C1C" w14:textId="64C41E11" w:rsidR="008A3EE6" w:rsidRPr="008A3EE6" w:rsidRDefault="008A3EE6" w:rsidP="008A3EE6">
          <w:pPr>
            <w:pStyle w:val="a5"/>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52EE">
            <w:rPr>
              <w:b w:val="0"/>
              <w:w w:val="103"/>
              <w:sz w:val="14"/>
            </w:rPr>
            <w:t>24-19942</w:t>
          </w:r>
          <w:r>
            <w:rPr>
              <w:b w:val="0"/>
              <w:w w:val="103"/>
              <w:sz w:val="14"/>
            </w:rPr>
            <w:fldChar w:fldCharType="end"/>
          </w:r>
        </w:p>
      </w:tc>
      <w:tc>
        <w:tcPr>
          <w:tcW w:w="4920" w:type="dxa"/>
          <w:shd w:val="clear" w:color="auto" w:fill="auto"/>
        </w:tcPr>
        <w:p w14:paraId="5F002A86" w14:textId="4F45D6E1" w:rsidR="008A3EE6" w:rsidRPr="008A3EE6" w:rsidRDefault="008A3EE6" w:rsidP="008A3EE6">
          <w:pPr>
            <w:pStyle w:val="a5"/>
            <w:jc w:val="left"/>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9F663E5" w14:textId="77777777" w:rsidR="008A3EE6" w:rsidRPr="008A3EE6" w:rsidRDefault="008A3EE6" w:rsidP="008A3EE6">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A3EE6" w14:paraId="609AC936" w14:textId="77777777" w:rsidTr="008A3EE6">
      <w:tc>
        <w:tcPr>
          <w:tcW w:w="4920" w:type="dxa"/>
          <w:shd w:val="clear" w:color="auto" w:fill="auto"/>
        </w:tcPr>
        <w:p w14:paraId="4A1A6EBE" w14:textId="3207F794" w:rsidR="008A3EE6" w:rsidRPr="008A3EE6" w:rsidRDefault="008A3EE6" w:rsidP="008A3EE6">
          <w:pPr>
            <w:pStyle w:val="a5"/>
            <w:jc w:val="right"/>
          </w:pPr>
          <w:r>
            <w:fldChar w:fldCharType="begin"/>
          </w:r>
          <w:r>
            <w:instrText xml:space="preserve"> PAGE  \* Arabic  \* MERGEFORMAT </w:instrText>
          </w:r>
          <w:r>
            <w:fldChar w:fldCharType="separate"/>
          </w:r>
          <w:r>
            <w:t>2</w:t>
          </w:r>
          <w:r>
            <w:fldChar w:fldCharType="end"/>
          </w:r>
          <w:r>
            <w:t>/</w:t>
          </w:r>
          <w:fldSimple w:instr=" NUMPAGES  \* Arabic  \* MERGEFORMAT ">
            <w:r>
              <w:t>3</w:t>
            </w:r>
          </w:fldSimple>
        </w:p>
      </w:tc>
      <w:tc>
        <w:tcPr>
          <w:tcW w:w="4920" w:type="dxa"/>
          <w:shd w:val="clear" w:color="auto" w:fill="auto"/>
        </w:tcPr>
        <w:p w14:paraId="73175167" w14:textId="06FE782F" w:rsidR="008A3EE6" w:rsidRPr="008A3EE6" w:rsidRDefault="008A3EE6" w:rsidP="008A3EE6">
          <w:pPr>
            <w:pStyle w:val="a5"/>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2E52EE">
            <w:rPr>
              <w:b w:val="0"/>
              <w:w w:val="103"/>
              <w:sz w:val="14"/>
            </w:rPr>
            <w:t>24-19942</w:t>
          </w:r>
          <w:r>
            <w:rPr>
              <w:b w:val="0"/>
              <w:w w:val="103"/>
              <w:sz w:val="14"/>
            </w:rPr>
            <w:fldChar w:fldCharType="end"/>
          </w:r>
        </w:p>
      </w:tc>
    </w:tr>
  </w:tbl>
  <w:p w14:paraId="065858BB" w14:textId="77777777" w:rsidR="008A3EE6" w:rsidRPr="008A3EE6" w:rsidRDefault="008A3EE6" w:rsidP="008A3EE6">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CellMar>
        <w:left w:w="0" w:type="dxa"/>
        <w:right w:w="0" w:type="dxa"/>
      </w:tblCellMar>
      <w:tblLook w:val="0000" w:firstRow="0" w:lastRow="0" w:firstColumn="0" w:lastColumn="0" w:noHBand="0" w:noVBand="0"/>
    </w:tblPr>
    <w:tblGrid>
      <w:gridCol w:w="3744"/>
      <w:gridCol w:w="4920"/>
    </w:tblGrid>
    <w:tr w:rsidR="008A3EE6" w14:paraId="44B6B7DF" w14:textId="77777777" w:rsidTr="008A3EE6">
      <w:tc>
        <w:tcPr>
          <w:tcW w:w="3744" w:type="dxa"/>
          <w:shd w:val="clear" w:color="auto" w:fill="auto"/>
        </w:tcPr>
        <w:p w14:paraId="646E205C" w14:textId="43DD9148" w:rsidR="008A3EE6" w:rsidRDefault="008A3EE6" w:rsidP="008A3EE6">
          <w:pPr>
            <w:pStyle w:val="Release"/>
          </w:pPr>
          <w:r>
            <w:rPr>
              <w:noProof/>
            </w:rPr>
            <w:drawing>
              <wp:anchor distT="0" distB="0" distL="114300" distR="114300" simplePos="0" relativeHeight="251658240" behindDoc="0" locked="0" layoutInCell="1" allowOverlap="1" wp14:anchorId="2A462B0A" wp14:editId="461D92FC">
                <wp:simplePos x="0" y="0"/>
                <wp:positionH relativeFrom="column">
                  <wp:posOffset>5522595</wp:posOffset>
                </wp:positionH>
                <wp:positionV relativeFrom="paragraph">
                  <wp:posOffset>-356235</wp:posOffset>
                </wp:positionV>
                <wp:extent cx="694690" cy="694690"/>
                <wp:effectExtent l="0" t="0" r="0" b="0"/>
                <wp:wrapNone/>
                <wp:docPr id="208036594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2E52EE">
              <w:t>24-19942 (C)</w:t>
            </w:r>
          </w:fldSimple>
          <w:r>
            <w:t xml:space="preserve">    081124    </w:t>
          </w:r>
          <w:r w:rsidR="00144104">
            <w:t>25</w:t>
          </w:r>
          <w:r>
            <w:t>1124</w:t>
          </w:r>
        </w:p>
        <w:p w14:paraId="1AFC6F46" w14:textId="6FDC6580" w:rsidR="008A3EE6" w:rsidRPr="008A3EE6" w:rsidRDefault="008A3EE6" w:rsidP="008A3EE6">
          <w:pPr>
            <w:spacing w:before="80" w:line="210" w:lineRule="exact"/>
            <w:rPr>
              <w:rFonts w:ascii="Barcode 3 of 9 by request" w:hAnsi="Barcode 3 of 9 by request"/>
              <w:sz w:val="24"/>
            </w:rPr>
          </w:pPr>
          <w:r>
            <w:rPr>
              <w:rFonts w:ascii="Barcode 3 of 9 by request" w:hAnsi="Barcode 3 of 9 by request"/>
              <w:b/>
              <w:sz w:val="24"/>
            </w:rPr>
            <w:t>*2419942*</w:t>
          </w:r>
        </w:p>
      </w:tc>
      <w:tc>
        <w:tcPr>
          <w:tcW w:w="4920" w:type="dxa"/>
          <w:shd w:val="clear" w:color="auto" w:fill="auto"/>
          <w:vAlign w:val="center"/>
        </w:tcPr>
        <w:p w14:paraId="6145901E" w14:textId="211DDB97" w:rsidR="008A3EE6" w:rsidRDefault="008A3EE6" w:rsidP="008A3EE6">
          <w:pPr>
            <w:jc w:val="right"/>
          </w:pPr>
          <w:r>
            <w:rPr>
              <w:noProof/>
            </w:rPr>
            <w:drawing>
              <wp:inline distT="0" distB="0" distL="0" distR="0" wp14:anchorId="117DF086" wp14:editId="1855985F">
                <wp:extent cx="618745" cy="231648"/>
                <wp:effectExtent l="0" t="0" r="0" b="0"/>
                <wp:docPr id="434299702" name="图片 2"/>
                <wp:cNvGraphicFramePr/>
                <a:graphic xmlns:a="http://schemas.openxmlformats.org/drawingml/2006/main">
                  <a:graphicData uri="http://schemas.openxmlformats.org/drawingml/2006/picture">
                    <pic:pic xmlns:pic="http://schemas.openxmlformats.org/drawingml/2006/picture">
                      <pic:nvPicPr>
                        <pic:cNvPr id="434299702" name=""/>
                        <pic:cNvPicPr/>
                      </pic:nvPicPr>
                      <pic:blipFill>
                        <a:blip r:embed="rId2">
                          <a:extLst>
                            <a:ext uri="{28A0092B-C50C-407E-A947-70E740481C1C}">
                              <a14:useLocalDpi xmlns:a14="http://schemas.microsoft.com/office/drawing/2010/main" val="0"/>
                            </a:ext>
                          </a:extLst>
                        </a:blip>
                        <a:stretch>
                          <a:fillRect/>
                        </a:stretch>
                      </pic:blipFill>
                      <pic:spPr>
                        <a:xfrm>
                          <a:off x="0" y="0"/>
                          <a:ext cx="618745" cy="231648"/>
                        </a:xfrm>
                        <a:prstGeom prst="rect">
                          <a:avLst/>
                        </a:prstGeom>
                      </pic:spPr>
                    </pic:pic>
                  </a:graphicData>
                </a:graphic>
              </wp:inline>
            </w:drawing>
          </w:r>
        </w:p>
      </w:tc>
    </w:tr>
  </w:tbl>
  <w:p w14:paraId="489E476D" w14:textId="77777777" w:rsidR="008A3EE6" w:rsidRPr="008A3EE6" w:rsidRDefault="008A3EE6" w:rsidP="008A3EE6">
    <w:pPr>
      <w:spacing w:line="56" w:lineRule="exact"/>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A76BA2" w14:textId="77777777" w:rsidR="00C7256C" w:rsidRDefault="00C7256C" w:rsidP="00E3371C">
      <w:pPr>
        <w:spacing w:line="240" w:lineRule="auto"/>
      </w:pPr>
      <w:r>
        <w:separator/>
      </w:r>
    </w:p>
  </w:footnote>
  <w:footnote w:type="continuationSeparator" w:id="0">
    <w:p w14:paraId="75B6055F" w14:textId="77777777" w:rsidR="00C7256C" w:rsidRDefault="00C7256C" w:rsidP="00E3371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A3EE6" w14:paraId="17FD2555" w14:textId="77777777" w:rsidTr="008A3EE6">
      <w:trPr>
        <w:trHeight w:hRule="exact" w:val="864"/>
      </w:trPr>
      <w:tc>
        <w:tcPr>
          <w:tcW w:w="4925" w:type="dxa"/>
          <w:shd w:val="clear" w:color="auto" w:fill="auto"/>
          <w:vAlign w:val="bottom"/>
        </w:tcPr>
        <w:p w14:paraId="10D8268B" w14:textId="0932FBE5" w:rsidR="008A3EE6" w:rsidRPr="008A3EE6" w:rsidRDefault="008A3EE6" w:rsidP="008A3EE6">
          <w:pPr>
            <w:pStyle w:val="a3"/>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2E52EE">
            <w:rPr>
              <w:b/>
              <w:sz w:val="17"/>
            </w:rPr>
            <w:t>CEDAW/C/NZL/CO/9</w:t>
          </w:r>
          <w:r>
            <w:rPr>
              <w:b/>
              <w:sz w:val="17"/>
            </w:rPr>
            <w:fldChar w:fldCharType="end"/>
          </w:r>
        </w:p>
      </w:tc>
      <w:tc>
        <w:tcPr>
          <w:tcW w:w="4920" w:type="dxa"/>
          <w:shd w:val="clear" w:color="auto" w:fill="auto"/>
          <w:vAlign w:val="bottom"/>
        </w:tcPr>
        <w:p w14:paraId="4F4B54B3" w14:textId="77777777" w:rsidR="008A3EE6" w:rsidRDefault="008A3EE6" w:rsidP="008A3EE6">
          <w:pPr>
            <w:pStyle w:val="a3"/>
          </w:pPr>
        </w:p>
      </w:tc>
    </w:tr>
  </w:tbl>
  <w:p w14:paraId="33B9BF22" w14:textId="77777777" w:rsidR="008A3EE6" w:rsidRPr="008A3EE6" w:rsidRDefault="008A3EE6" w:rsidP="008A3EE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45"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4920"/>
    </w:tblGrid>
    <w:tr w:rsidR="008A3EE6" w14:paraId="1F21F35F" w14:textId="77777777" w:rsidTr="008A3EE6">
      <w:trPr>
        <w:trHeight w:hRule="exact" w:val="864"/>
      </w:trPr>
      <w:tc>
        <w:tcPr>
          <w:tcW w:w="4925" w:type="dxa"/>
          <w:shd w:val="clear" w:color="auto" w:fill="auto"/>
          <w:vAlign w:val="bottom"/>
        </w:tcPr>
        <w:p w14:paraId="50EAFB42" w14:textId="77777777" w:rsidR="008A3EE6" w:rsidRDefault="008A3EE6" w:rsidP="008A3EE6">
          <w:pPr>
            <w:pStyle w:val="a3"/>
          </w:pPr>
        </w:p>
      </w:tc>
      <w:tc>
        <w:tcPr>
          <w:tcW w:w="4920" w:type="dxa"/>
          <w:shd w:val="clear" w:color="auto" w:fill="auto"/>
          <w:vAlign w:val="bottom"/>
        </w:tcPr>
        <w:p w14:paraId="61B60670" w14:textId="187F0968" w:rsidR="008A3EE6" w:rsidRPr="008A3EE6" w:rsidRDefault="008A3EE6" w:rsidP="008A3EE6">
          <w:pPr>
            <w:pStyle w:val="a3"/>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2E52EE">
            <w:rPr>
              <w:b/>
              <w:sz w:val="17"/>
            </w:rPr>
            <w:t>CEDAW/C/NZL/CO/9</w:t>
          </w:r>
          <w:r>
            <w:rPr>
              <w:b/>
              <w:sz w:val="17"/>
            </w:rPr>
            <w:fldChar w:fldCharType="end"/>
          </w:r>
        </w:p>
      </w:tc>
    </w:tr>
  </w:tbl>
  <w:p w14:paraId="286FD714" w14:textId="77777777" w:rsidR="008A3EE6" w:rsidRPr="008A3EE6" w:rsidRDefault="008A3EE6" w:rsidP="008A3EE6">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21"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82"/>
    </w:tblGrid>
    <w:tr w:rsidR="008A3EE6" w14:paraId="36940DF7" w14:textId="77777777" w:rsidTr="008A3EE6">
      <w:trPr>
        <w:trHeight w:hRule="exact" w:val="864"/>
      </w:trPr>
      <w:tc>
        <w:tcPr>
          <w:tcW w:w="1267" w:type="dxa"/>
          <w:tcBorders>
            <w:bottom w:val="single" w:sz="4" w:space="0" w:color="auto"/>
          </w:tcBorders>
          <w:shd w:val="clear" w:color="auto" w:fill="auto"/>
          <w:vAlign w:val="bottom"/>
        </w:tcPr>
        <w:p w14:paraId="607B5118" w14:textId="77777777" w:rsidR="008A3EE6" w:rsidRDefault="008A3EE6" w:rsidP="008A3EE6">
          <w:pPr>
            <w:pStyle w:val="a3"/>
            <w:spacing w:after="120"/>
          </w:pPr>
        </w:p>
      </w:tc>
      <w:tc>
        <w:tcPr>
          <w:tcW w:w="1872" w:type="dxa"/>
          <w:tcBorders>
            <w:bottom w:val="single" w:sz="4" w:space="0" w:color="auto"/>
          </w:tcBorders>
          <w:shd w:val="clear" w:color="auto" w:fill="auto"/>
          <w:vAlign w:val="bottom"/>
        </w:tcPr>
        <w:p w14:paraId="75E2F609" w14:textId="2BBA5DF9" w:rsidR="008A3EE6" w:rsidRPr="008A3EE6" w:rsidRDefault="008A3EE6" w:rsidP="008A3EE6">
          <w:pPr>
            <w:pStyle w:val="HCh"/>
            <w:spacing w:after="80"/>
            <w:ind w:right="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1F059BD3" w14:textId="77777777" w:rsidR="008A3EE6" w:rsidRDefault="008A3EE6" w:rsidP="008A3EE6">
          <w:pPr>
            <w:pStyle w:val="a3"/>
            <w:spacing w:after="120"/>
          </w:pPr>
        </w:p>
      </w:tc>
      <w:tc>
        <w:tcPr>
          <w:tcW w:w="6437" w:type="dxa"/>
          <w:gridSpan w:val="3"/>
          <w:tcBorders>
            <w:bottom w:val="single" w:sz="4" w:space="0" w:color="auto"/>
          </w:tcBorders>
          <w:shd w:val="clear" w:color="auto" w:fill="auto"/>
          <w:vAlign w:val="bottom"/>
        </w:tcPr>
        <w:p w14:paraId="3537BE80" w14:textId="38AFB427" w:rsidR="008A3EE6" w:rsidRPr="008A3EE6" w:rsidRDefault="008A3EE6" w:rsidP="008A3EE6">
          <w:pPr>
            <w:spacing w:after="80" w:line="240" w:lineRule="auto"/>
            <w:jc w:val="right"/>
            <w:rPr>
              <w:position w:val="-4"/>
            </w:rPr>
          </w:pPr>
          <w:r>
            <w:rPr>
              <w:position w:val="-4"/>
              <w:sz w:val="40"/>
            </w:rPr>
            <w:t>CEDAW</w:t>
          </w:r>
          <w:r>
            <w:rPr>
              <w:position w:val="-4"/>
            </w:rPr>
            <w:t>/C/NZL/CO/9</w:t>
          </w:r>
        </w:p>
      </w:tc>
    </w:tr>
    <w:tr w:rsidR="008A3EE6" w:rsidRPr="008A3EE6" w14:paraId="0B17D105" w14:textId="77777777" w:rsidTr="008A3EE6">
      <w:trPr>
        <w:trHeight w:hRule="exact" w:val="2880"/>
      </w:trPr>
      <w:tc>
        <w:tcPr>
          <w:tcW w:w="1267" w:type="dxa"/>
          <w:tcBorders>
            <w:top w:val="single" w:sz="4" w:space="0" w:color="auto"/>
            <w:bottom w:val="single" w:sz="12" w:space="0" w:color="auto"/>
          </w:tcBorders>
          <w:shd w:val="clear" w:color="auto" w:fill="auto"/>
        </w:tcPr>
        <w:p w14:paraId="68E891EC" w14:textId="71361456" w:rsidR="008A3EE6" w:rsidRPr="008A3EE6" w:rsidRDefault="008A3EE6" w:rsidP="008A3EE6">
          <w:pPr>
            <w:pStyle w:val="a3"/>
            <w:spacing w:before="109"/>
          </w:pPr>
          <w:r>
            <w:t xml:space="preserve"> </w:t>
          </w:r>
          <w:r>
            <w:drawing>
              <wp:inline distT="0" distB="0" distL="0" distR="0" wp14:anchorId="42B71AC8" wp14:editId="2EFE1698">
                <wp:extent cx="711200" cy="597103"/>
                <wp:effectExtent l="0" t="0" r="0" b="0"/>
                <wp:docPr id="630917280" name="图片 1"/>
                <wp:cNvGraphicFramePr/>
                <a:graphic xmlns:a="http://schemas.openxmlformats.org/drawingml/2006/main">
                  <a:graphicData uri="http://schemas.openxmlformats.org/drawingml/2006/picture">
                    <pic:pic xmlns:pic="http://schemas.openxmlformats.org/drawingml/2006/picture">
                      <pic:nvPicPr>
                        <pic:cNvPr id="630917280" name=""/>
                        <pic:cNvPicPr/>
                      </pic:nvPicPr>
                      <pic:blipFill>
                        <a:blip r:embed="rId1">
                          <a:extLst>
                            <a:ext uri="{28A0092B-C50C-407E-A947-70E740481C1C}">
                              <a14:useLocalDpi xmlns:a14="http://schemas.microsoft.com/office/drawing/2010/main" val="0"/>
                            </a:ext>
                          </a:extLst>
                        </a:blip>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D32F8BB" w14:textId="64B58595" w:rsidR="008A3EE6" w:rsidRPr="008A3EE6" w:rsidRDefault="008A3EE6" w:rsidP="008A3EE6">
          <w:pPr>
            <w:pStyle w:val="XLarge"/>
            <w:spacing w:before="109" w:after="140" w:line="400" w:lineRule="exact"/>
            <w:ind w:left="0" w:firstLine="0"/>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677CEA49" w14:textId="77777777" w:rsidR="008A3EE6" w:rsidRPr="008A3EE6" w:rsidRDefault="008A3EE6" w:rsidP="008A3EE6">
          <w:pPr>
            <w:pStyle w:val="a3"/>
            <w:spacing w:before="109"/>
          </w:pPr>
        </w:p>
      </w:tc>
      <w:tc>
        <w:tcPr>
          <w:tcW w:w="3080" w:type="dxa"/>
          <w:tcBorders>
            <w:top w:val="single" w:sz="4" w:space="0" w:color="auto"/>
            <w:bottom w:val="single" w:sz="12" w:space="0" w:color="auto"/>
          </w:tcBorders>
          <w:shd w:val="clear" w:color="auto" w:fill="auto"/>
        </w:tcPr>
        <w:p w14:paraId="6F5C297C" w14:textId="77777777" w:rsidR="008A3EE6" w:rsidRDefault="008A3EE6" w:rsidP="008A3EE6">
          <w:pPr>
            <w:pStyle w:val="Distr"/>
          </w:pPr>
          <w:r>
            <w:t>Distr.: General</w:t>
          </w:r>
        </w:p>
        <w:p w14:paraId="05D41EF0" w14:textId="77777777" w:rsidR="008A3EE6" w:rsidRDefault="008A3EE6" w:rsidP="008A3EE6">
          <w:pPr>
            <w:pStyle w:val="Publication"/>
          </w:pPr>
          <w:r>
            <w:t>30 October 2024</w:t>
          </w:r>
        </w:p>
        <w:p w14:paraId="177418BA" w14:textId="77777777" w:rsidR="008A3EE6" w:rsidRDefault="008A3EE6" w:rsidP="008A3EE6">
          <w:pPr>
            <w:spacing w:line="240" w:lineRule="exact"/>
          </w:pPr>
          <w:r>
            <w:t>Chinese</w:t>
          </w:r>
        </w:p>
        <w:p w14:paraId="34FA42AB" w14:textId="77777777" w:rsidR="008A3EE6" w:rsidRDefault="008A3EE6" w:rsidP="008A3EE6">
          <w:pPr>
            <w:pStyle w:val="Original"/>
          </w:pPr>
          <w:r>
            <w:t>Original: English</w:t>
          </w:r>
        </w:p>
        <w:p w14:paraId="3E34CFE1" w14:textId="084028BB" w:rsidR="008A3EE6" w:rsidRPr="008A3EE6" w:rsidRDefault="008A3EE6" w:rsidP="008A3EE6"/>
      </w:tc>
    </w:tr>
  </w:tbl>
  <w:p w14:paraId="5F12A825" w14:textId="77777777" w:rsidR="008A3EE6" w:rsidRPr="008A3EE6" w:rsidRDefault="008A3EE6" w:rsidP="008A3EE6">
    <w:pPr>
      <w:pStyle w:val="a3"/>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1" w15:restartNumberingAfterBreak="0">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2" w15:restartNumberingAfterBreak="0">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num w:numId="1" w16cid:durableId="1950310562">
    <w:abstractNumId w:val="0"/>
  </w:num>
  <w:num w:numId="2" w16cid:durableId="5521853">
    <w:abstractNumId w:val="1"/>
  </w:num>
  <w:num w:numId="3" w16cid:durableId="665010017">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6"/>
  <w:bordersDoNotSurroundHeader/>
  <w:bordersDoNotSurroundFooter/>
  <w:defaultTabStop w:val="431"/>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19942*"/>
    <w:docVar w:name="CreationDt" w:val="08/11/2024 09:39:01"/>
    <w:docVar w:name="DocCategory" w:val="Doc"/>
    <w:docVar w:name="DocType" w:val="Final"/>
    <w:docVar w:name="DutyStation" w:val="New York"/>
    <w:docVar w:name="FooterJN" w:val="24-19942"/>
    <w:docVar w:name="jobn" w:val="24-19942 (C)"/>
    <w:docVar w:name="jobnDT" w:val="24-19942 (C)   081124"/>
    <w:docVar w:name="jobnDTDT" w:val="24-19942 (C)   081124   081124"/>
    <w:docVar w:name="JobNo" w:val="2419942C"/>
    <w:docVar w:name="LocalDrive" w:val="-1"/>
    <w:docVar w:name="OandT" w:val="jyf"/>
    <w:docVar w:name="sss1" w:val="CEDAW/C/NZL/CO/9"/>
    <w:docVar w:name="sss2" w:val="-"/>
    <w:docVar w:name="Symbol1" w:val="CEDAW/C/NZL/CO/9"/>
    <w:docVar w:name="Symbol2" w:val="-"/>
    <w:docVar w:name="Title1" w:val="_x0009__x0009_关于新西兰第九次定期报告的结论性意见*_x000d_"/>
  </w:docVars>
  <w:rsids>
    <w:rsidRoot w:val="00AC28BE"/>
    <w:rsid w:val="00003E22"/>
    <w:rsid w:val="00011A74"/>
    <w:rsid w:val="00127EC2"/>
    <w:rsid w:val="00144104"/>
    <w:rsid w:val="001C3472"/>
    <w:rsid w:val="001E0C94"/>
    <w:rsid w:val="001F42DE"/>
    <w:rsid w:val="00206975"/>
    <w:rsid w:val="00230138"/>
    <w:rsid w:val="00251304"/>
    <w:rsid w:val="002E52EE"/>
    <w:rsid w:val="00301758"/>
    <w:rsid w:val="00306444"/>
    <w:rsid w:val="003201A0"/>
    <w:rsid w:val="00320F8B"/>
    <w:rsid w:val="00333781"/>
    <w:rsid w:val="003472D7"/>
    <w:rsid w:val="0039711E"/>
    <w:rsid w:val="0046474A"/>
    <w:rsid w:val="00484F2E"/>
    <w:rsid w:val="00563833"/>
    <w:rsid w:val="0057503F"/>
    <w:rsid w:val="005F3BA2"/>
    <w:rsid w:val="006143CE"/>
    <w:rsid w:val="00620FB1"/>
    <w:rsid w:val="0067392C"/>
    <w:rsid w:val="00711917"/>
    <w:rsid w:val="007316FE"/>
    <w:rsid w:val="00832312"/>
    <w:rsid w:val="00844CEF"/>
    <w:rsid w:val="00885EC0"/>
    <w:rsid w:val="008A15A1"/>
    <w:rsid w:val="008A3EE6"/>
    <w:rsid w:val="009141A3"/>
    <w:rsid w:val="00987032"/>
    <w:rsid w:val="009B20A4"/>
    <w:rsid w:val="00A21540"/>
    <w:rsid w:val="00A542FF"/>
    <w:rsid w:val="00AC28BE"/>
    <w:rsid w:val="00AE136E"/>
    <w:rsid w:val="00B92669"/>
    <w:rsid w:val="00BB693A"/>
    <w:rsid w:val="00BF7097"/>
    <w:rsid w:val="00C36430"/>
    <w:rsid w:val="00C64E6E"/>
    <w:rsid w:val="00C7256C"/>
    <w:rsid w:val="00CC362A"/>
    <w:rsid w:val="00D600FB"/>
    <w:rsid w:val="00DD703D"/>
    <w:rsid w:val="00DF4DDF"/>
    <w:rsid w:val="00E3371C"/>
    <w:rsid w:val="00EC42D5"/>
    <w:rsid w:val="00F527B3"/>
    <w:rsid w:val="00FA7B5C"/>
    <w:rsid w:val="00FD418E"/>
    <w:rsid w:val="00FD6F1C"/>
    <w:rsid w:val="00FE499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73B97"/>
  <w15:chartTrackingRefBased/>
  <w15:docId w15:val="{12A75553-3226-499E-B61F-B8D9EC023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21540"/>
    <w:pPr>
      <w:spacing w:after="0" w:line="320" w:lineRule="exact"/>
      <w:jc w:val="both"/>
    </w:pPr>
    <w:rPr>
      <w:rFonts w:ascii="Times New Roman" w:eastAsia="宋体" w:hAnsi="Times New Roman" w:cs="Times New Roman"/>
      <w:kern w:val="14"/>
      <w:sz w:val="21"/>
      <w:szCs w:val="20"/>
    </w:rPr>
  </w:style>
  <w:style w:type="paragraph" w:styleId="1">
    <w:name w:val="heading 1"/>
    <w:basedOn w:val="a"/>
    <w:next w:val="HCh"/>
    <w:link w:val="10"/>
    <w:qFormat/>
    <w:rsid w:val="00A21540"/>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0"/>
    <w:qFormat/>
    <w:rsid w:val="00A21540"/>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0"/>
    <w:qFormat/>
    <w:rsid w:val="00A21540"/>
    <w:pPr>
      <w:keepNext/>
      <w:keepLines/>
      <w:spacing w:before="260" w:after="260" w:line="416" w:lineRule="atLeast"/>
      <w:outlineLvl w:val="2"/>
    </w:pPr>
    <w:rPr>
      <w:rFonts w:asciiTheme="minorEastAsia" w:eastAsiaTheme="majorEastAsia" w:hAnsiTheme="minorEastAsia" w:cstheme="majorBidi"/>
      <w:b/>
      <w:bCs/>
      <w:sz w:val="32"/>
    </w:rPr>
  </w:style>
  <w:style w:type="paragraph" w:styleId="4">
    <w:name w:val="heading 4"/>
    <w:basedOn w:val="a"/>
    <w:next w:val="a"/>
    <w:link w:val="40"/>
    <w:uiPriority w:val="9"/>
    <w:semiHidden/>
    <w:unhideWhenUsed/>
    <w:qFormat/>
    <w:rsid w:val="00AC28BE"/>
    <w:pPr>
      <w:keepNext/>
      <w:keepLines/>
      <w:spacing w:before="80" w:after="40"/>
      <w:outlineLvl w:val="3"/>
    </w:pPr>
    <w:rPr>
      <w:rFonts w:asciiTheme="minorHAnsi" w:hAnsiTheme="minorHAnsi" w:cstheme="majorBidi"/>
      <w:color w:val="2F5496" w:themeColor="accent1" w:themeShade="BF"/>
      <w:sz w:val="28"/>
      <w:szCs w:val="28"/>
    </w:rPr>
  </w:style>
  <w:style w:type="paragraph" w:styleId="5">
    <w:name w:val="heading 5"/>
    <w:basedOn w:val="a"/>
    <w:next w:val="a"/>
    <w:link w:val="50"/>
    <w:uiPriority w:val="9"/>
    <w:semiHidden/>
    <w:unhideWhenUsed/>
    <w:qFormat/>
    <w:rsid w:val="00AC28BE"/>
    <w:pPr>
      <w:keepNext/>
      <w:keepLines/>
      <w:spacing w:before="80" w:after="40"/>
      <w:outlineLvl w:val="4"/>
    </w:pPr>
    <w:rPr>
      <w:rFonts w:asciiTheme="minorHAnsi" w:hAnsiTheme="minorHAnsi" w:cstheme="majorBidi"/>
      <w:color w:val="2F5496" w:themeColor="accent1" w:themeShade="BF"/>
      <w:sz w:val="24"/>
      <w:szCs w:val="24"/>
    </w:rPr>
  </w:style>
  <w:style w:type="paragraph" w:styleId="6">
    <w:name w:val="heading 6"/>
    <w:basedOn w:val="a"/>
    <w:next w:val="a"/>
    <w:link w:val="60"/>
    <w:uiPriority w:val="9"/>
    <w:semiHidden/>
    <w:unhideWhenUsed/>
    <w:qFormat/>
    <w:rsid w:val="00AC28BE"/>
    <w:pPr>
      <w:keepNext/>
      <w:keepLines/>
      <w:spacing w:before="40"/>
      <w:outlineLvl w:val="5"/>
    </w:pPr>
    <w:rPr>
      <w:rFonts w:asciiTheme="minorHAnsi" w:hAnsiTheme="minorHAnsi" w:cstheme="majorBidi"/>
      <w:b/>
      <w:bCs/>
      <w:color w:val="2F5496" w:themeColor="accent1" w:themeShade="BF"/>
    </w:rPr>
  </w:style>
  <w:style w:type="paragraph" w:styleId="7">
    <w:name w:val="heading 7"/>
    <w:basedOn w:val="a"/>
    <w:next w:val="a"/>
    <w:link w:val="70"/>
    <w:uiPriority w:val="9"/>
    <w:semiHidden/>
    <w:unhideWhenUsed/>
    <w:qFormat/>
    <w:rsid w:val="00AC28BE"/>
    <w:pPr>
      <w:keepNext/>
      <w:keepLines/>
      <w:spacing w:before="40"/>
      <w:outlineLvl w:val="6"/>
    </w:pPr>
    <w:rPr>
      <w:rFonts w:asciiTheme="minorHAnsi" w:hAnsiTheme="minorHAnsi" w:cstheme="majorBidi"/>
      <w:b/>
      <w:bCs/>
      <w:color w:val="595959" w:themeColor="text1" w:themeTint="A6"/>
    </w:rPr>
  </w:style>
  <w:style w:type="paragraph" w:styleId="8">
    <w:name w:val="heading 8"/>
    <w:basedOn w:val="a"/>
    <w:next w:val="a"/>
    <w:link w:val="80"/>
    <w:uiPriority w:val="9"/>
    <w:semiHidden/>
    <w:unhideWhenUsed/>
    <w:qFormat/>
    <w:rsid w:val="00AC28BE"/>
    <w:pPr>
      <w:keepNext/>
      <w:keepLines/>
      <w:outlineLvl w:val="7"/>
    </w:pPr>
    <w:rPr>
      <w:rFonts w:asciiTheme="minorHAnsi" w:hAnsiTheme="minorHAnsi" w:cstheme="majorBidi"/>
      <w:color w:val="595959" w:themeColor="text1" w:themeTint="A6"/>
    </w:rPr>
  </w:style>
  <w:style w:type="paragraph" w:styleId="9">
    <w:name w:val="heading 9"/>
    <w:basedOn w:val="a"/>
    <w:next w:val="a"/>
    <w:link w:val="90"/>
    <w:uiPriority w:val="9"/>
    <w:semiHidden/>
    <w:unhideWhenUsed/>
    <w:qFormat/>
    <w:rsid w:val="00AC28BE"/>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link w:val="a4"/>
    <w:rsid w:val="00A21540"/>
    <w:pPr>
      <w:tabs>
        <w:tab w:val="center" w:pos="4320"/>
        <w:tab w:val="right" w:pos="8640"/>
      </w:tabs>
      <w:spacing w:after="0" w:line="240" w:lineRule="auto"/>
      <w:jc w:val="both"/>
    </w:pPr>
    <w:rPr>
      <w:rFonts w:ascii="Times New Roman" w:hAnsi="Times New Roman" w:cs="Times New Roman"/>
      <w:noProof/>
      <w:sz w:val="18"/>
      <w:szCs w:val="20"/>
    </w:rPr>
  </w:style>
  <w:style w:type="character" w:customStyle="1" w:styleId="a4">
    <w:name w:val="页眉 字符"/>
    <w:basedOn w:val="a0"/>
    <w:link w:val="a3"/>
    <w:rsid w:val="00A21540"/>
    <w:rPr>
      <w:rFonts w:ascii="Times New Roman" w:hAnsi="Times New Roman" w:cs="Times New Roman"/>
      <w:noProof/>
      <w:sz w:val="18"/>
      <w:szCs w:val="20"/>
    </w:rPr>
  </w:style>
  <w:style w:type="paragraph" w:styleId="a5">
    <w:name w:val="footer"/>
    <w:link w:val="a6"/>
    <w:rsid w:val="00A21540"/>
    <w:pPr>
      <w:tabs>
        <w:tab w:val="center" w:pos="4320"/>
        <w:tab w:val="right" w:pos="8640"/>
      </w:tabs>
      <w:spacing w:after="0" w:line="240" w:lineRule="auto"/>
      <w:jc w:val="both"/>
    </w:pPr>
    <w:rPr>
      <w:rFonts w:ascii="Times New Roman" w:hAnsi="Times New Roman" w:cs="Times New Roman"/>
      <w:b/>
      <w:noProof/>
      <w:sz w:val="18"/>
      <w:szCs w:val="18"/>
    </w:rPr>
  </w:style>
  <w:style w:type="character" w:customStyle="1" w:styleId="a6">
    <w:name w:val="页脚 字符"/>
    <w:basedOn w:val="a0"/>
    <w:link w:val="a5"/>
    <w:rsid w:val="00A21540"/>
    <w:rPr>
      <w:rFonts w:ascii="Times New Roman" w:hAnsi="Times New Roman" w:cs="Times New Roman"/>
      <w:b/>
      <w:noProof/>
      <w:sz w:val="18"/>
      <w:szCs w:val="18"/>
    </w:rPr>
  </w:style>
  <w:style w:type="paragraph" w:customStyle="1" w:styleId="H1">
    <w:name w:val="_ H_1"/>
    <w:basedOn w:val="a"/>
    <w:next w:val="SingleTxt"/>
    <w:qFormat/>
    <w:rsid w:val="00A21540"/>
    <w:pPr>
      <w:keepNext/>
      <w:keepLines/>
      <w:suppressAutoHyphens/>
      <w:ind w:left="1264" w:right="1264" w:hanging="1264"/>
      <w:outlineLvl w:val="0"/>
    </w:pPr>
    <w:rPr>
      <w:rFonts w:eastAsia="黑体"/>
      <w:sz w:val="24"/>
    </w:rPr>
  </w:style>
  <w:style w:type="paragraph" w:customStyle="1" w:styleId="HCh">
    <w:name w:val="_ H _Ch"/>
    <w:basedOn w:val="H1"/>
    <w:next w:val="a"/>
    <w:qFormat/>
    <w:rsid w:val="00A21540"/>
    <w:pPr>
      <w:tabs>
        <w:tab w:val="left" w:pos="57"/>
      </w:tabs>
      <w:spacing w:line="400" w:lineRule="exact"/>
    </w:pPr>
    <w:rPr>
      <w:sz w:val="28"/>
    </w:rPr>
  </w:style>
  <w:style w:type="paragraph" w:customStyle="1" w:styleId="HM">
    <w:name w:val="_ H __M"/>
    <w:basedOn w:val="HCh"/>
    <w:next w:val="a"/>
    <w:autoRedefine/>
    <w:qFormat/>
    <w:rsid w:val="00A21540"/>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a"/>
    <w:next w:val="SingleTxt"/>
    <w:qFormat/>
    <w:rsid w:val="00A21540"/>
    <w:pPr>
      <w:ind w:left="1264" w:right="1264" w:hanging="1264"/>
      <w:outlineLvl w:val="1"/>
    </w:pPr>
    <w:rPr>
      <w:rFonts w:eastAsia="黑体"/>
      <w:szCs w:val="21"/>
    </w:rPr>
  </w:style>
  <w:style w:type="paragraph" w:customStyle="1" w:styleId="H4">
    <w:name w:val="_ H_4"/>
    <w:basedOn w:val="a"/>
    <w:next w:val="a"/>
    <w:qFormat/>
    <w:rsid w:val="00A21540"/>
    <w:pPr>
      <w:keepNext/>
      <w:keepLines/>
      <w:tabs>
        <w:tab w:val="left" w:pos="431"/>
      </w:tabs>
      <w:suppressAutoHyphens/>
      <w:ind w:left="1264" w:right="1264" w:hanging="1264"/>
      <w:outlineLvl w:val="3"/>
    </w:pPr>
    <w:rPr>
      <w:rFonts w:eastAsia="楷体"/>
      <w:noProof/>
    </w:rPr>
  </w:style>
  <w:style w:type="paragraph" w:customStyle="1" w:styleId="H56">
    <w:name w:val="_ H_5/6"/>
    <w:basedOn w:val="a"/>
    <w:next w:val="a"/>
    <w:qFormat/>
    <w:rsid w:val="00A21540"/>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A21540"/>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A21540"/>
    <w:pPr>
      <w:keepNext/>
      <w:keepLines/>
      <w:tabs>
        <w:tab w:val="right" w:leader="dot" w:pos="360"/>
      </w:tabs>
      <w:suppressAutoHyphens/>
      <w:spacing w:line="500" w:lineRule="exact"/>
      <w:ind w:left="1264" w:right="1264"/>
      <w:outlineLvl w:val="0"/>
    </w:pPr>
    <w:rPr>
      <w:rFonts w:eastAsia="黑体"/>
      <w:noProof/>
      <w:spacing w:val="-4"/>
      <w:w w:val="98"/>
      <w:sz w:val="40"/>
    </w:rPr>
  </w:style>
  <w:style w:type="paragraph" w:customStyle="1" w:styleId="SL">
    <w:name w:val="__S_L"/>
    <w:basedOn w:val="SM"/>
    <w:next w:val="a"/>
    <w:qFormat/>
    <w:rsid w:val="00A21540"/>
    <w:pPr>
      <w:spacing w:line="640" w:lineRule="exact"/>
    </w:pPr>
    <w:rPr>
      <w:spacing w:val="-8"/>
      <w:w w:val="96"/>
      <w:sz w:val="57"/>
    </w:rPr>
  </w:style>
  <w:style w:type="paragraph" w:customStyle="1" w:styleId="SS">
    <w:name w:val="__S_S"/>
    <w:basedOn w:val="HCh"/>
    <w:next w:val="a"/>
    <w:qFormat/>
    <w:rsid w:val="00A21540"/>
  </w:style>
  <w:style w:type="paragraph" w:customStyle="1" w:styleId="SingleTxt">
    <w:name w:val="__Single Txt"/>
    <w:basedOn w:val="a"/>
    <w:qFormat/>
    <w:rsid w:val="00A21540"/>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styleId="a7">
    <w:name w:val="Normal (Web)"/>
    <w:basedOn w:val="a"/>
    <w:rsid w:val="00A21540"/>
    <w:rPr>
      <w:sz w:val="24"/>
      <w:szCs w:val="24"/>
    </w:rPr>
  </w:style>
  <w:style w:type="paragraph" w:customStyle="1" w:styleId="AgendaItemNormal">
    <w:name w:val="Agenda_Item_Normal"/>
    <w:basedOn w:val="a7"/>
    <w:qFormat/>
    <w:rsid w:val="00A21540"/>
    <w:pPr>
      <w:spacing w:after="60"/>
    </w:pPr>
    <w:rPr>
      <w:sz w:val="21"/>
    </w:rPr>
  </w:style>
  <w:style w:type="paragraph" w:customStyle="1" w:styleId="AgendaItemNumber">
    <w:name w:val="Agenda_Item_Number"/>
    <w:basedOn w:val="a"/>
    <w:next w:val="AgendaItemNormal"/>
    <w:qFormat/>
    <w:rsid w:val="00A21540"/>
    <w:pPr>
      <w:spacing w:after="60"/>
    </w:pPr>
  </w:style>
  <w:style w:type="paragraph" w:customStyle="1" w:styleId="AgendaItemTitle">
    <w:name w:val="Agenda_Item_Title"/>
    <w:basedOn w:val="a"/>
    <w:next w:val="a"/>
    <w:qFormat/>
    <w:rsid w:val="00A21540"/>
    <w:pPr>
      <w:ind w:right="1985"/>
      <w:outlineLvl w:val="1"/>
    </w:pPr>
  </w:style>
  <w:style w:type="paragraph" w:customStyle="1" w:styleId="AgendaTitleH2">
    <w:name w:val="Agenda_Title_H2"/>
    <w:basedOn w:val="a"/>
    <w:next w:val="a"/>
    <w:qFormat/>
    <w:rsid w:val="00A21540"/>
    <w:pPr>
      <w:adjustRightInd w:val="0"/>
      <w:ind w:right="1985"/>
      <w:outlineLvl w:val="1"/>
    </w:pPr>
    <w:rPr>
      <w:rFonts w:ascii="黑体" w:eastAsia="黑体" w:hAnsi="黑体"/>
      <w:szCs w:val="21"/>
    </w:rPr>
  </w:style>
  <w:style w:type="paragraph" w:customStyle="1" w:styleId="Bullet1">
    <w:name w:val="Bullet 1"/>
    <w:basedOn w:val="a"/>
    <w:qFormat/>
    <w:rsid w:val="00A21540"/>
    <w:pPr>
      <w:numPr>
        <w:numId w:val="1"/>
      </w:numPr>
      <w:spacing w:after="120" w:line="240" w:lineRule="exact"/>
      <w:ind w:right="1267"/>
    </w:pPr>
    <w:rPr>
      <w:spacing w:val="4"/>
      <w:w w:val="103"/>
      <w:sz w:val="20"/>
    </w:rPr>
  </w:style>
  <w:style w:type="paragraph" w:customStyle="1" w:styleId="Bullet2">
    <w:name w:val="Bullet 2"/>
    <w:basedOn w:val="a"/>
    <w:qFormat/>
    <w:rsid w:val="00A21540"/>
    <w:pPr>
      <w:numPr>
        <w:numId w:val="2"/>
      </w:numPr>
      <w:spacing w:after="120" w:line="240" w:lineRule="exact"/>
      <w:ind w:right="1267"/>
    </w:pPr>
    <w:rPr>
      <w:snapToGrid w:val="0"/>
      <w:spacing w:val="4"/>
      <w:w w:val="103"/>
      <w:sz w:val="20"/>
    </w:rPr>
  </w:style>
  <w:style w:type="paragraph" w:customStyle="1" w:styleId="Bullet3">
    <w:name w:val="Bullet 3"/>
    <w:basedOn w:val="SingleTxt"/>
    <w:qFormat/>
    <w:rsid w:val="00A21540"/>
    <w:pPr>
      <w:numPr>
        <w:numId w:val="3"/>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right="1267"/>
    </w:pPr>
  </w:style>
  <w:style w:type="paragraph" w:customStyle="1" w:styleId="Committee">
    <w:name w:val="Committee 委员会"/>
    <w:basedOn w:val="H1"/>
    <w:qFormat/>
    <w:rsid w:val="00A21540"/>
    <w:pPr>
      <w:spacing w:line="240" w:lineRule="exact"/>
    </w:pPr>
  </w:style>
  <w:style w:type="paragraph" w:customStyle="1" w:styleId="DecisionNumber">
    <w:name w:val="DecisionNumber"/>
    <w:basedOn w:val="a"/>
    <w:next w:val="a"/>
    <w:qFormat/>
    <w:rsid w:val="00A21540"/>
    <w:pPr>
      <w:ind w:right="1985"/>
      <w:outlineLvl w:val="1"/>
    </w:pPr>
  </w:style>
  <w:style w:type="paragraph" w:customStyle="1" w:styleId="DecisionTitle">
    <w:name w:val="DecisionTitle"/>
    <w:basedOn w:val="a"/>
    <w:next w:val="a"/>
    <w:qFormat/>
    <w:rsid w:val="00A21540"/>
    <w:pPr>
      <w:ind w:right="1985"/>
      <w:outlineLvl w:val="1"/>
    </w:pPr>
  </w:style>
  <w:style w:type="paragraph" w:customStyle="1" w:styleId="Distr">
    <w:name w:val="Distr 分发种类"/>
    <w:next w:val="a"/>
    <w:qFormat/>
    <w:rsid w:val="00A21540"/>
    <w:pPr>
      <w:spacing w:before="240" w:after="0" w:line="240" w:lineRule="exact"/>
    </w:pPr>
    <w:rPr>
      <w:rFonts w:ascii="Times New Roman" w:hAnsi="Times New Roman" w:cs="Times New Roman"/>
      <w:kern w:val="14"/>
      <w:sz w:val="20"/>
      <w:szCs w:val="20"/>
    </w:rPr>
  </w:style>
  <w:style w:type="paragraph" w:customStyle="1" w:styleId="MeetingNumber">
    <w:name w:val="MeetingNumber"/>
    <w:basedOn w:val="a"/>
    <w:next w:val="a"/>
    <w:qFormat/>
    <w:rsid w:val="00A21540"/>
    <w:pPr>
      <w:ind w:right="1985"/>
      <w:outlineLvl w:val="1"/>
    </w:pPr>
  </w:style>
  <w:style w:type="paragraph" w:customStyle="1" w:styleId="Original">
    <w:name w:val="Original 原件种类"/>
    <w:next w:val="a"/>
    <w:qFormat/>
    <w:rsid w:val="00A21540"/>
    <w:pPr>
      <w:spacing w:after="0" w:line="240" w:lineRule="exact"/>
    </w:pPr>
    <w:rPr>
      <w:rFonts w:ascii="Times New Roman" w:hAnsi="Times New Roman" w:cs="Times New Roman"/>
      <w:kern w:val="14"/>
      <w:sz w:val="20"/>
      <w:szCs w:val="20"/>
    </w:rPr>
  </w:style>
  <w:style w:type="paragraph" w:customStyle="1" w:styleId="Publication">
    <w:name w:val="Publication 印发日期"/>
    <w:next w:val="a"/>
    <w:qFormat/>
    <w:rsid w:val="00A21540"/>
    <w:pPr>
      <w:spacing w:after="0" w:line="240" w:lineRule="exact"/>
    </w:pPr>
    <w:rPr>
      <w:rFonts w:ascii="Times New Roman" w:hAnsi="Times New Roman" w:cs="Times New Roman"/>
      <w:kern w:val="14"/>
      <w:sz w:val="20"/>
      <w:szCs w:val="20"/>
    </w:rPr>
  </w:style>
  <w:style w:type="paragraph" w:customStyle="1" w:styleId="Release">
    <w:name w:val="Release 送印日期"/>
    <w:next w:val="a"/>
    <w:qFormat/>
    <w:rsid w:val="00A21540"/>
    <w:pPr>
      <w:spacing w:after="0" w:line="240" w:lineRule="exact"/>
    </w:pPr>
    <w:rPr>
      <w:rFonts w:ascii="Times New Roman" w:hAnsi="Times New Roman" w:cs="Times New Roman"/>
      <w:kern w:val="14"/>
      <w:sz w:val="20"/>
      <w:szCs w:val="21"/>
    </w:rPr>
  </w:style>
  <w:style w:type="paragraph" w:customStyle="1" w:styleId="STitleL">
    <w:name w:val="S_Title_L"/>
    <w:basedOn w:val="SM"/>
    <w:next w:val="a"/>
    <w:qFormat/>
    <w:rsid w:val="00A21540"/>
    <w:pPr>
      <w:spacing w:line="640" w:lineRule="exact"/>
    </w:pPr>
    <w:rPr>
      <w:spacing w:val="-8"/>
      <w:w w:val="96"/>
      <w:sz w:val="57"/>
    </w:rPr>
  </w:style>
  <w:style w:type="paragraph" w:customStyle="1" w:styleId="STitleM">
    <w:name w:val="S_Title_M"/>
    <w:basedOn w:val="a"/>
    <w:next w:val="a"/>
    <w:qFormat/>
    <w:rsid w:val="00A21540"/>
    <w:pPr>
      <w:keepNext/>
      <w:keepLines/>
      <w:tabs>
        <w:tab w:val="right" w:leader="dot" w:pos="357"/>
      </w:tabs>
      <w:suppressAutoHyphens/>
      <w:spacing w:line="500" w:lineRule="exact"/>
      <w:ind w:left="1264" w:right="1264"/>
      <w:outlineLvl w:val="0"/>
    </w:pPr>
    <w:rPr>
      <w:rFonts w:ascii="黑体" w:eastAsia="黑体" w:hAnsi="黑体"/>
      <w:spacing w:val="-4"/>
      <w:w w:val="98"/>
      <w:sz w:val="40"/>
      <w:lang w:eastAsia="en-US"/>
    </w:rPr>
  </w:style>
  <w:style w:type="paragraph" w:customStyle="1" w:styleId="STitleS">
    <w:name w:val="S_Title_S"/>
    <w:basedOn w:val="HCh"/>
    <w:next w:val="a"/>
    <w:qFormat/>
    <w:rsid w:val="00A21540"/>
    <w:pPr>
      <w:ind w:firstLine="0"/>
    </w:pPr>
    <w:rPr>
      <w:lang w:eastAsia="en-US"/>
    </w:rPr>
  </w:style>
  <w:style w:type="paragraph" w:customStyle="1" w:styleId="Session">
    <w:name w:val="Session"/>
    <w:basedOn w:val="H23"/>
    <w:qFormat/>
    <w:rsid w:val="00A21540"/>
    <w:pPr>
      <w:spacing w:after="60"/>
    </w:pPr>
  </w:style>
  <w:style w:type="paragraph" w:customStyle="1" w:styleId="Small">
    <w:name w:val="Small"/>
    <w:basedOn w:val="a"/>
    <w:next w:val="a"/>
    <w:rsid w:val="00A21540"/>
    <w:pPr>
      <w:tabs>
        <w:tab w:val="right" w:pos="9965"/>
      </w:tabs>
      <w:spacing w:line="210" w:lineRule="exact"/>
    </w:pPr>
    <w:rPr>
      <w:noProof/>
      <w:spacing w:val="5"/>
      <w:w w:val="104"/>
      <w:sz w:val="17"/>
    </w:rPr>
  </w:style>
  <w:style w:type="paragraph" w:customStyle="1" w:styleId="SmallX">
    <w:name w:val="SmallX"/>
    <w:basedOn w:val="Small"/>
    <w:next w:val="a"/>
    <w:rsid w:val="00A21540"/>
    <w:pPr>
      <w:spacing w:line="180" w:lineRule="exact"/>
      <w:jc w:val="right"/>
    </w:pPr>
    <w:rPr>
      <w:spacing w:val="6"/>
      <w:w w:val="106"/>
      <w:sz w:val="14"/>
    </w:rPr>
  </w:style>
  <w:style w:type="paragraph" w:customStyle="1" w:styleId="Sponsors">
    <w:name w:val="Sponsors"/>
    <w:basedOn w:val="H23"/>
    <w:qFormat/>
    <w:rsid w:val="00A21540"/>
    <w:pPr>
      <w:tabs>
        <w:tab w:val="right" w:pos="1021"/>
        <w:tab w:val="left" w:pos="1264"/>
        <w:tab w:val="left" w:pos="1695"/>
        <w:tab w:val="left" w:pos="2126"/>
        <w:tab w:val="left" w:pos="2557"/>
      </w:tabs>
      <w:ind w:left="1267" w:right="1267" w:hanging="1267"/>
    </w:pPr>
  </w:style>
  <w:style w:type="paragraph" w:customStyle="1" w:styleId="SRContents">
    <w:name w:val="SR_Contents"/>
    <w:basedOn w:val="a"/>
    <w:qFormat/>
    <w:rsid w:val="00A21540"/>
    <w:pPr>
      <w:tabs>
        <w:tab w:val="left" w:pos="1267"/>
        <w:tab w:val="left" w:pos="1699"/>
        <w:tab w:val="left" w:pos="2131"/>
        <w:tab w:val="left" w:pos="2563"/>
        <w:tab w:val="left" w:pos="2995"/>
        <w:tab w:val="left" w:pos="3413"/>
        <w:tab w:val="left" w:pos="3845"/>
        <w:tab w:val="left" w:pos="4277"/>
        <w:tab w:val="left" w:pos="4709"/>
        <w:tab w:val="left" w:pos="5141"/>
        <w:tab w:val="left" w:pos="5573"/>
        <w:tab w:val="left" w:pos="6005"/>
        <w:tab w:val="left" w:pos="6437"/>
      </w:tabs>
      <w:spacing w:after="140"/>
      <w:ind w:left="1267" w:right="1267"/>
    </w:pPr>
  </w:style>
  <w:style w:type="paragraph" w:customStyle="1" w:styleId="SRMeetingInfo">
    <w:name w:val="SR_Meeting_Info"/>
    <w:basedOn w:val="a7"/>
    <w:next w:val="AgendaItemNormal"/>
    <w:qFormat/>
    <w:rsid w:val="00A21540"/>
    <w:rPr>
      <w:sz w:val="21"/>
    </w:rPr>
  </w:style>
  <w:style w:type="paragraph" w:customStyle="1" w:styleId="SummaryRecord">
    <w:name w:val="SummaryRecord"/>
    <w:basedOn w:val="H23"/>
    <w:next w:val="Session"/>
    <w:qFormat/>
    <w:rsid w:val="00A21540"/>
  </w:style>
  <w:style w:type="paragraph" w:customStyle="1" w:styleId="TitleHCH">
    <w:name w:val="Title_H_CH"/>
    <w:basedOn w:val="H1"/>
    <w:next w:val="a"/>
    <w:link w:val="TitleHCHChar"/>
    <w:qFormat/>
    <w:rsid w:val="00A21540"/>
    <w:pPr>
      <w:spacing w:line="400" w:lineRule="exact"/>
    </w:pPr>
    <w:rPr>
      <w:sz w:val="28"/>
    </w:rPr>
  </w:style>
  <w:style w:type="character" w:customStyle="1" w:styleId="TitleHCHChar">
    <w:name w:val="Title_H_CH Char"/>
    <w:basedOn w:val="a0"/>
    <w:link w:val="TitleHCH"/>
    <w:rsid w:val="00A21540"/>
    <w:rPr>
      <w:rFonts w:ascii="Times New Roman" w:eastAsia="黑体" w:hAnsi="Times New Roman" w:cs="Times New Roman"/>
      <w:kern w:val="14"/>
      <w:sz w:val="28"/>
      <w:szCs w:val="20"/>
    </w:rPr>
  </w:style>
  <w:style w:type="paragraph" w:customStyle="1" w:styleId="TitleH1">
    <w:name w:val="Title_H1"/>
    <w:basedOn w:val="a"/>
    <w:next w:val="a"/>
    <w:link w:val="TitleH1Char"/>
    <w:qFormat/>
    <w:rsid w:val="00A21540"/>
    <w:pPr>
      <w:keepNext/>
      <w:keepLines/>
      <w:ind w:left="1264" w:right="1264" w:hanging="1264"/>
      <w:outlineLvl w:val="0"/>
    </w:pPr>
    <w:rPr>
      <w:rFonts w:eastAsia="黑体"/>
      <w:sz w:val="24"/>
    </w:rPr>
  </w:style>
  <w:style w:type="character" w:customStyle="1" w:styleId="TitleH1Char">
    <w:name w:val="Title_H1 Char"/>
    <w:basedOn w:val="a0"/>
    <w:link w:val="TitleH1"/>
    <w:rsid w:val="00A21540"/>
    <w:rPr>
      <w:rFonts w:ascii="Times New Roman" w:eastAsia="黑体" w:hAnsi="Times New Roman" w:cs="Times New Roman"/>
      <w:kern w:val="14"/>
      <w:sz w:val="24"/>
      <w:szCs w:val="20"/>
    </w:rPr>
  </w:style>
  <w:style w:type="paragraph" w:customStyle="1" w:styleId="TitleH2">
    <w:name w:val="Title_H2"/>
    <w:basedOn w:val="a"/>
    <w:next w:val="a"/>
    <w:link w:val="TitleH2Char"/>
    <w:qFormat/>
    <w:rsid w:val="00A21540"/>
    <w:pPr>
      <w:ind w:left="1264" w:right="1264" w:hanging="1264"/>
      <w:outlineLvl w:val="1"/>
    </w:pPr>
    <w:rPr>
      <w:rFonts w:eastAsia="黑体"/>
      <w:spacing w:val="2"/>
    </w:rPr>
  </w:style>
  <w:style w:type="character" w:customStyle="1" w:styleId="TitleH2Char">
    <w:name w:val="Title_H2 Char"/>
    <w:basedOn w:val="a0"/>
    <w:link w:val="TitleH2"/>
    <w:rsid w:val="00A21540"/>
    <w:rPr>
      <w:rFonts w:ascii="Times New Roman" w:eastAsia="黑体" w:hAnsi="Times New Roman" w:cs="Times New Roman"/>
      <w:spacing w:val="2"/>
      <w:kern w:val="14"/>
      <w:sz w:val="21"/>
      <w:szCs w:val="20"/>
    </w:rPr>
  </w:style>
  <w:style w:type="paragraph" w:customStyle="1" w:styleId="Type">
    <w:name w:val="Type 种类"/>
    <w:basedOn w:val="H23"/>
    <w:qFormat/>
    <w:rsid w:val="00A21540"/>
    <w:pPr>
      <w:tabs>
        <w:tab w:val="right" w:pos="1021"/>
        <w:tab w:val="left" w:pos="1264"/>
        <w:tab w:val="left" w:pos="1695"/>
        <w:tab w:val="left" w:pos="2126"/>
        <w:tab w:val="left" w:pos="2557"/>
      </w:tabs>
      <w:spacing w:line="240" w:lineRule="exact"/>
    </w:pPr>
  </w:style>
  <w:style w:type="paragraph" w:customStyle="1" w:styleId="XLarge">
    <w:name w:val="XLarge"/>
    <w:basedOn w:val="HM"/>
    <w:qFormat/>
    <w:rsid w:val="00A21540"/>
    <w:pPr>
      <w:tabs>
        <w:tab w:val="right" w:leader="dot" w:pos="360"/>
      </w:tabs>
      <w:spacing w:line="390" w:lineRule="exact"/>
    </w:pPr>
    <w:rPr>
      <w:sz w:val="40"/>
    </w:rPr>
  </w:style>
  <w:style w:type="character" w:styleId="a8">
    <w:name w:val="footnote reference"/>
    <w:basedOn w:val="a0"/>
    <w:semiHidden/>
    <w:rsid w:val="00A21540"/>
    <w:rPr>
      <w:color w:val="auto"/>
      <w:spacing w:val="0"/>
      <w:w w:val="100"/>
      <w:position w:val="0"/>
      <w:vertAlign w:val="superscript"/>
    </w:rPr>
  </w:style>
  <w:style w:type="character" w:styleId="a9">
    <w:name w:val="endnote reference"/>
    <w:basedOn w:val="a8"/>
    <w:rsid w:val="00A21540"/>
    <w:rPr>
      <w:color w:val="auto"/>
      <w:spacing w:val="0"/>
      <w:w w:val="150"/>
      <w:position w:val="0"/>
      <w:vertAlign w:val="superscript"/>
    </w:rPr>
  </w:style>
  <w:style w:type="paragraph" w:styleId="aa">
    <w:name w:val="footnote text"/>
    <w:basedOn w:val="a"/>
    <w:link w:val="ab"/>
    <w:semiHidden/>
    <w:rsid w:val="00A21540"/>
    <w:pPr>
      <w:tabs>
        <w:tab w:val="right" w:pos="418"/>
      </w:tabs>
      <w:spacing w:after="120" w:line="240" w:lineRule="exact"/>
      <w:ind w:left="170" w:hanging="170"/>
    </w:pPr>
    <w:rPr>
      <w:noProof/>
      <w:sz w:val="18"/>
    </w:rPr>
  </w:style>
  <w:style w:type="character" w:customStyle="1" w:styleId="ab">
    <w:name w:val="脚注文本 字符"/>
    <w:basedOn w:val="a0"/>
    <w:link w:val="aa"/>
    <w:semiHidden/>
    <w:rsid w:val="00A21540"/>
    <w:rPr>
      <w:rFonts w:ascii="Times New Roman" w:hAnsi="Times New Roman" w:cs="Times New Roman"/>
      <w:noProof/>
      <w:kern w:val="14"/>
      <w:sz w:val="18"/>
      <w:szCs w:val="20"/>
    </w:rPr>
  </w:style>
  <w:style w:type="paragraph" w:styleId="ac">
    <w:name w:val="endnote text"/>
    <w:basedOn w:val="aa"/>
    <w:link w:val="ad"/>
    <w:semiHidden/>
    <w:rsid w:val="00A21540"/>
  </w:style>
  <w:style w:type="character" w:customStyle="1" w:styleId="ad">
    <w:name w:val="尾注文本 字符"/>
    <w:basedOn w:val="a0"/>
    <w:link w:val="ac"/>
    <w:semiHidden/>
    <w:rsid w:val="00A21540"/>
    <w:rPr>
      <w:rFonts w:ascii="Times New Roman" w:hAnsi="Times New Roman" w:cs="Times New Roman"/>
      <w:noProof/>
      <w:kern w:val="14"/>
      <w:sz w:val="18"/>
      <w:szCs w:val="20"/>
    </w:rPr>
  </w:style>
  <w:style w:type="paragraph" w:styleId="ae">
    <w:name w:val="annotation text"/>
    <w:basedOn w:val="a"/>
    <w:link w:val="af"/>
    <w:semiHidden/>
    <w:rsid w:val="00A21540"/>
  </w:style>
  <w:style w:type="character" w:customStyle="1" w:styleId="af">
    <w:name w:val="批注文字 字符"/>
    <w:basedOn w:val="a0"/>
    <w:link w:val="ae"/>
    <w:semiHidden/>
    <w:rsid w:val="00A21540"/>
    <w:rPr>
      <w:rFonts w:ascii="Times New Roman" w:hAnsi="Times New Roman" w:cs="Times New Roman"/>
      <w:kern w:val="14"/>
      <w:sz w:val="21"/>
      <w:szCs w:val="20"/>
    </w:rPr>
  </w:style>
  <w:style w:type="paragraph" w:styleId="af0">
    <w:name w:val="annotation subject"/>
    <w:basedOn w:val="ae"/>
    <w:next w:val="ae"/>
    <w:link w:val="af1"/>
    <w:semiHidden/>
    <w:rsid w:val="00A21540"/>
    <w:rPr>
      <w:b/>
      <w:bCs/>
    </w:rPr>
  </w:style>
  <w:style w:type="character" w:customStyle="1" w:styleId="af1">
    <w:name w:val="批注主题 字符"/>
    <w:basedOn w:val="af"/>
    <w:link w:val="af0"/>
    <w:semiHidden/>
    <w:rsid w:val="00A21540"/>
    <w:rPr>
      <w:rFonts w:ascii="Times New Roman" w:hAnsi="Times New Roman" w:cs="Times New Roman"/>
      <w:b/>
      <w:bCs/>
      <w:kern w:val="14"/>
      <w:sz w:val="21"/>
      <w:szCs w:val="20"/>
    </w:rPr>
  </w:style>
  <w:style w:type="character" w:styleId="af2">
    <w:name w:val="annotation reference"/>
    <w:basedOn w:val="a0"/>
    <w:semiHidden/>
    <w:rsid w:val="00A21540"/>
    <w:rPr>
      <w:sz w:val="21"/>
      <w:szCs w:val="21"/>
    </w:rPr>
  </w:style>
  <w:style w:type="paragraph" w:styleId="af3">
    <w:name w:val="Balloon Text"/>
    <w:basedOn w:val="a"/>
    <w:link w:val="af4"/>
    <w:semiHidden/>
    <w:rsid w:val="00A21540"/>
    <w:rPr>
      <w:sz w:val="18"/>
      <w:szCs w:val="18"/>
    </w:rPr>
  </w:style>
  <w:style w:type="character" w:customStyle="1" w:styleId="af4">
    <w:name w:val="批注框文本 字符"/>
    <w:basedOn w:val="a0"/>
    <w:link w:val="af3"/>
    <w:semiHidden/>
    <w:rsid w:val="00A21540"/>
    <w:rPr>
      <w:rFonts w:ascii="Times New Roman" w:hAnsi="Times New Roman" w:cs="Times New Roman"/>
      <w:kern w:val="14"/>
      <w:sz w:val="18"/>
      <w:szCs w:val="18"/>
    </w:rPr>
  </w:style>
  <w:style w:type="paragraph" w:customStyle="1" w:styleId="11">
    <w:name w:val="日刊标题1"/>
    <w:basedOn w:val="a"/>
    <w:qFormat/>
    <w:rsid w:val="00A21540"/>
    <w:pPr>
      <w:spacing w:line="560" w:lineRule="exact"/>
    </w:pPr>
    <w:rPr>
      <w:rFonts w:ascii="黑体" w:eastAsia="黑体" w:hAnsi="黑体"/>
      <w:sz w:val="36"/>
    </w:rPr>
  </w:style>
  <w:style w:type="paragraph" w:customStyle="1" w:styleId="21">
    <w:name w:val="日刊标题2"/>
    <w:basedOn w:val="a"/>
    <w:next w:val="a"/>
    <w:qFormat/>
    <w:rsid w:val="00A21540"/>
    <w:pPr>
      <w:spacing w:line="400" w:lineRule="exact"/>
    </w:pPr>
    <w:rPr>
      <w:rFonts w:ascii="黑体" w:hAnsi="黑体"/>
      <w:sz w:val="28"/>
    </w:rPr>
  </w:style>
  <w:style w:type="paragraph" w:customStyle="1" w:styleId="31">
    <w:name w:val="日刊标题3"/>
    <w:basedOn w:val="a"/>
    <w:next w:val="a"/>
    <w:qFormat/>
    <w:rsid w:val="00A21540"/>
    <w:pPr>
      <w:spacing w:line="360" w:lineRule="exact"/>
    </w:pPr>
    <w:rPr>
      <w:rFonts w:ascii="黑体" w:eastAsia="黑体" w:hAnsi="黑体"/>
      <w:sz w:val="24"/>
    </w:rPr>
  </w:style>
  <w:style w:type="paragraph" w:customStyle="1" w:styleId="41">
    <w:name w:val="日刊标题4"/>
    <w:basedOn w:val="a"/>
    <w:next w:val="a"/>
    <w:qFormat/>
    <w:rsid w:val="00A21540"/>
    <w:rPr>
      <w:rFonts w:ascii="黑体" w:eastAsia="黑体" w:hAnsi="黑体"/>
      <w:sz w:val="24"/>
    </w:rPr>
  </w:style>
  <w:style w:type="character" w:styleId="af5">
    <w:name w:val="Unresolved Mention"/>
    <w:basedOn w:val="a0"/>
    <w:uiPriority w:val="99"/>
    <w:semiHidden/>
    <w:unhideWhenUsed/>
    <w:rsid w:val="00A21540"/>
    <w:rPr>
      <w:color w:val="605E5C"/>
      <w:shd w:val="clear" w:color="auto" w:fill="E1DFDD"/>
    </w:rPr>
  </w:style>
  <w:style w:type="character" w:customStyle="1" w:styleId="10">
    <w:name w:val="标题 1 字符"/>
    <w:basedOn w:val="a0"/>
    <w:link w:val="1"/>
    <w:rsid w:val="00A21540"/>
    <w:rPr>
      <w:rFonts w:ascii="Times New Roman" w:eastAsia="黑体" w:hAnsi="Times New Roman" w:cstheme="majorBidi"/>
      <w:bCs/>
      <w:kern w:val="14"/>
      <w:sz w:val="28"/>
      <w:szCs w:val="28"/>
    </w:rPr>
  </w:style>
  <w:style w:type="character" w:customStyle="1" w:styleId="20">
    <w:name w:val="标题 2 字符"/>
    <w:basedOn w:val="a0"/>
    <w:link w:val="2"/>
    <w:rsid w:val="00A21540"/>
    <w:rPr>
      <w:rFonts w:ascii="黑体" w:eastAsiaTheme="majorEastAsia" w:hAnsi="黑体" w:cstheme="majorBidi"/>
      <w:b/>
      <w:bCs/>
      <w:kern w:val="14"/>
      <w:sz w:val="28"/>
      <w:szCs w:val="26"/>
    </w:rPr>
  </w:style>
  <w:style w:type="character" w:customStyle="1" w:styleId="30">
    <w:name w:val="标题 3 字符"/>
    <w:basedOn w:val="a0"/>
    <w:link w:val="3"/>
    <w:rsid w:val="00A21540"/>
    <w:rPr>
      <w:rFonts w:asciiTheme="minorEastAsia" w:eastAsiaTheme="majorEastAsia" w:hAnsiTheme="minorEastAsia" w:cstheme="majorBidi"/>
      <w:b/>
      <w:bCs/>
      <w:kern w:val="14"/>
      <w:sz w:val="32"/>
      <w:szCs w:val="20"/>
    </w:rPr>
  </w:style>
  <w:style w:type="paragraph" w:customStyle="1" w:styleId="GB23126">
    <w:name w:val="样式 (中文) 楷体_GB2312 六号 蓝色 右 段后: 6 磅 行距: 单倍行距"/>
    <w:basedOn w:val="a"/>
    <w:rsid w:val="00A21540"/>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A21540"/>
    <w:pPr>
      <w:spacing w:after="120"/>
      <w:jc w:val="left"/>
    </w:pPr>
    <w:rPr>
      <w:rFonts w:eastAsia="宋体" w:cs="宋体"/>
    </w:rPr>
  </w:style>
  <w:style w:type="paragraph" w:customStyle="1" w:styleId="1211022234">
    <w:name w:val="样式 尾注文本 + 左侧:  1.21 厘米 悬挂缩进: 1.02 厘米 右侧:  2.23 厘米 段后: 4 磅"/>
    <w:basedOn w:val="ac"/>
    <w:rsid w:val="00A21540"/>
    <w:pPr>
      <w:ind w:left="1264" w:right="1264" w:hanging="578"/>
    </w:pPr>
    <w:rPr>
      <w:rFonts w:cs="宋体"/>
    </w:rPr>
  </w:style>
  <w:style w:type="paragraph" w:customStyle="1" w:styleId="12110222341">
    <w:name w:val="样式 尾注文本 + 左侧:  1.21 厘米 悬挂缩进: 1.02 厘米 右侧:  2.23 厘米 段后: 4 磅1"/>
    <w:basedOn w:val="ac"/>
    <w:rsid w:val="00A21540"/>
    <w:pPr>
      <w:ind w:left="1264" w:right="1264" w:hanging="578"/>
    </w:pPr>
    <w:rPr>
      <w:rFonts w:cs="宋体"/>
    </w:rPr>
  </w:style>
  <w:style w:type="character" w:styleId="af6">
    <w:name w:val="FollowedHyperlink"/>
    <w:basedOn w:val="a0"/>
    <w:qFormat/>
    <w:rsid w:val="00A21540"/>
    <w:rPr>
      <w:color w:val="0000FF"/>
      <w:u w:val="none"/>
    </w:rPr>
  </w:style>
  <w:style w:type="character" w:styleId="af7">
    <w:name w:val="Hyperlink"/>
    <w:basedOn w:val="a0"/>
    <w:rsid w:val="00A21540"/>
    <w:rPr>
      <w:color w:val="0000FF"/>
      <w:u w:val="none"/>
    </w:rPr>
  </w:style>
  <w:style w:type="paragraph" w:customStyle="1" w:styleId="BLUEHeadingH1">
    <w:name w:val="BLUE_Heading_H1"/>
    <w:basedOn w:val="a"/>
    <w:next w:val="a"/>
    <w:qFormat/>
    <w:rsid w:val="00F527B3"/>
    <w:pPr>
      <w:keepNext/>
      <w:keepLines/>
      <w:suppressAutoHyphens/>
      <w:ind w:left="1267" w:right="1267" w:hanging="1267"/>
      <w:outlineLvl w:val="0"/>
    </w:pPr>
    <w:rPr>
      <w:rFonts w:eastAsia="黑体"/>
      <w:color w:val="0000FF"/>
      <w:sz w:val="24"/>
    </w:rPr>
  </w:style>
  <w:style w:type="paragraph" w:customStyle="1" w:styleId="BLUEHeadingH2">
    <w:name w:val="BLUE_Heading_H2"/>
    <w:basedOn w:val="a"/>
    <w:next w:val="a"/>
    <w:qFormat/>
    <w:rsid w:val="00F527B3"/>
    <w:pPr>
      <w:ind w:left="1267" w:right="1267" w:hanging="1267"/>
      <w:outlineLvl w:val="1"/>
    </w:pPr>
    <w:rPr>
      <w:rFonts w:eastAsia="黑体"/>
      <w:color w:val="0000FF"/>
      <w:sz w:val="22"/>
    </w:rPr>
  </w:style>
  <w:style w:type="character" w:customStyle="1" w:styleId="40">
    <w:name w:val="标题 4 字符"/>
    <w:basedOn w:val="a0"/>
    <w:link w:val="4"/>
    <w:uiPriority w:val="9"/>
    <w:semiHidden/>
    <w:rsid w:val="00AC28BE"/>
    <w:rPr>
      <w:rFonts w:cstheme="majorBidi"/>
      <w:color w:val="2F5496" w:themeColor="accent1" w:themeShade="BF"/>
      <w:kern w:val="14"/>
      <w:sz w:val="28"/>
      <w:szCs w:val="28"/>
    </w:rPr>
  </w:style>
  <w:style w:type="character" w:customStyle="1" w:styleId="50">
    <w:name w:val="标题 5 字符"/>
    <w:basedOn w:val="a0"/>
    <w:link w:val="5"/>
    <w:uiPriority w:val="9"/>
    <w:semiHidden/>
    <w:rsid w:val="00AC28BE"/>
    <w:rPr>
      <w:rFonts w:cstheme="majorBidi"/>
      <w:color w:val="2F5496" w:themeColor="accent1" w:themeShade="BF"/>
      <w:kern w:val="14"/>
      <w:sz w:val="24"/>
      <w:szCs w:val="24"/>
    </w:rPr>
  </w:style>
  <w:style w:type="character" w:customStyle="1" w:styleId="60">
    <w:name w:val="标题 6 字符"/>
    <w:basedOn w:val="a0"/>
    <w:link w:val="6"/>
    <w:uiPriority w:val="9"/>
    <w:semiHidden/>
    <w:rsid w:val="00AC28BE"/>
    <w:rPr>
      <w:rFonts w:cstheme="majorBidi"/>
      <w:b/>
      <w:bCs/>
      <w:color w:val="2F5496" w:themeColor="accent1" w:themeShade="BF"/>
      <w:kern w:val="14"/>
      <w:sz w:val="21"/>
      <w:szCs w:val="20"/>
    </w:rPr>
  </w:style>
  <w:style w:type="character" w:customStyle="1" w:styleId="70">
    <w:name w:val="标题 7 字符"/>
    <w:basedOn w:val="a0"/>
    <w:link w:val="7"/>
    <w:uiPriority w:val="9"/>
    <w:semiHidden/>
    <w:rsid w:val="00AC28BE"/>
    <w:rPr>
      <w:rFonts w:cstheme="majorBidi"/>
      <w:b/>
      <w:bCs/>
      <w:color w:val="595959" w:themeColor="text1" w:themeTint="A6"/>
      <w:kern w:val="14"/>
      <w:sz w:val="21"/>
      <w:szCs w:val="20"/>
    </w:rPr>
  </w:style>
  <w:style w:type="character" w:customStyle="1" w:styleId="80">
    <w:name w:val="标题 8 字符"/>
    <w:basedOn w:val="a0"/>
    <w:link w:val="8"/>
    <w:uiPriority w:val="9"/>
    <w:semiHidden/>
    <w:rsid w:val="00AC28BE"/>
    <w:rPr>
      <w:rFonts w:cstheme="majorBidi"/>
      <w:color w:val="595959" w:themeColor="text1" w:themeTint="A6"/>
      <w:kern w:val="14"/>
      <w:sz w:val="21"/>
      <w:szCs w:val="20"/>
    </w:rPr>
  </w:style>
  <w:style w:type="character" w:customStyle="1" w:styleId="90">
    <w:name w:val="标题 9 字符"/>
    <w:basedOn w:val="a0"/>
    <w:link w:val="9"/>
    <w:uiPriority w:val="9"/>
    <w:semiHidden/>
    <w:rsid w:val="00AC28BE"/>
    <w:rPr>
      <w:rFonts w:eastAsiaTheme="majorEastAsia" w:cstheme="majorBidi"/>
      <w:color w:val="595959" w:themeColor="text1" w:themeTint="A6"/>
      <w:kern w:val="14"/>
      <w:sz w:val="21"/>
      <w:szCs w:val="20"/>
    </w:rPr>
  </w:style>
  <w:style w:type="paragraph" w:styleId="af8">
    <w:name w:val="Title"/>
    <w:basedOn w:val="a"/>
    <w:next w:val="a"/>
    <w:link w:val="af9"/>
    <w:uiPriority w:val="10"/>
    <w:qFormat/>
    <w:rsid w:val="00AC28BE"/>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f9">
    <w:name w:val="标题 字符"/>
    <w:basedOn w:val="a0"/>
    <w:link w:val="af8"/>
    <w:uiPriority w:val="10"/>
    <w:rsid w:val="00AC28BE"/>
    <w:rPr>
      <w:rFonts w:asciiTheme="majorHAnsi" w:eastAsiaTheme="majorEastAsia" w:hAnsiTheme="majorHAnsi" w:cstheme="majorBidi"/>
      <w:spacing w:val="-10"/>
      <w:kern w:val="28"/>
      <w:sz w:val="56"/>
      <w:szCs w:val="56"/>
    </w:rPr>
  </w:style>
  <w:style w:type="paragraph" w:styleId="afa">
    <w:name w:val="Subtitle"/>
    <w:basedOn w:val="a"/>
    <w:next w:val="a"/>
    <w:link w:val="afb"/>
    <w:uiPriority w:val="11"/>
    <w:qFormat/>
    <w:rsid w:val="00AC28BE"/>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fb">
    <w:name w:val="副标题 字符"/>
    <w:basedOn w:val="a0"/>
    <w:link w:val="afa"/>
    <w:uiPriority w:val="11"/>
    <w:rsid w:val="00AC28BE"/>
    <w:rPr>
      <w:rFonts w:asciiTheme="majorHAnsi" w:eastAsiaTheme="majorEastAsia" w:hAnsiTheme="majorHAnsi" w:cstheme="majorBidi"/>
      <w:color w:val="595959" w:themeColor="text1" w:themeTint="A6"/>
      <w:spacing w:val="15"/>
      <w:kern w:val="14"/>
      <w:sz w:val="28"/>
      <w:szCs w:val="28"/>
    </w:rPr>
  </w:style>
  <w:style w:type="paragraph" w:styleId="afc">
    <w:name w:val="Quote"/>
    <w:basedOn w:val="a"/>
    <w:next w:val="a"/>
    <w:link w:val="afd"/>
    <w:uiPriority w:val="29"/>
    <w:qFormat/>
    <w:rsid w:val="00AC28BE"/>
    <w:pPr>
      <w:spacing w:before="160" w:after="160"/>
      <w:jc w:val="center"/>
    </w:pPr>
    <w:rPr>
      <w:i/>
      <w:iCs/>
      <w:color w:val="404040" w:themeColor="text1" w:themeTint="BF"/>
    </w:rPr>
  </w:style>
  <w:style w:type="character" w:customStyle="1" w:styleId="afd">
    <w:name w:val="引用 字符"/>
    <w:basedOn w:val="a0"/>
    <w:link w:val="afc"/>
    <w:uiPriority w:val="29"/>
    <w:rsid w:val="00AC28BE"/>
    <w:rPr>
      <w:rFonts w:ascii="Times New Roman" w:hAnsi="Times New Roman" w:cs="Times New Roman"/>
      <w:i/>
      <w:iCs/>
      <w:color w:val="404040" w:themeColor="text1" w:themeTint="BF"/>
      <w:kern w:val="14"/>
      <w:sz w:val="21"/>
      <w:szCs w:val="20"/>
    </w:rPr>
  </w:style>
  <w:style w:type="paragraph" w:styleId="afe">
    <w:name w:val="List Paragraph"/>
    <w:basedOn w:val="a"/>
    <w:uiPriority w:val="34"/>
    <w:qFormat/>
    <w:rsid w:val="00AC28BE"/>
    <w:pPr>
      <w:ind w:left="720"/>
      <w:contextualSpacing/>
    </w:pPr>
  </w:style>
  <w:style w:type="character" w:styleId="aff">
    <w:name w:val="Intense Emphasis"/>
    <w:basedOn w:val="a0"/>
    <w:uiPriority w:val="21"/>
    <w:qFormat/>
    <w:rsid w:val="00AC28BE"/>
    <w:rPr>
      <w:i/>
      <w:iCs/>
      <w:color w:val="2F5496" w:themeColor="accent1" w:themeShade="BF"/>
    </w:rPr>
  </w:style>
  <w:style w:type="paragraph" w:styleId="aff0">
    <w:name w:val="Intense Quote"/>
    <w:basedOn w:val="a"/>
    <w:next w:val="a"/>
    <w:link w:val="aff1"/>
    <w:uiPriority w:val="30"/>
    <w:qFormat/>
    <w:rsid w:val="00AC28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ff1">
    <w:name w:val="明显引用 字符"/>
    <w:basedOn w:val="a0"/>
    <w:link w:val="aff0"/>
    <w:uiPriority w:val="30"/>
    <w:rsid w:val="00AC28BE"/>
    <w:rPr>
      <w:rFonts w:ascii="Times New Roman" w:hAnsi="Times New Roman" w:cs="Times New Roman"/>
      <w:i/>
      <w:iCs/>
      <w:color w:val="2F5496" w:themeColor="accent1" w:themeShade="BF"/>
      <w:kern w:val="14"/>
      <w:sz w:val="21"/>
      <w:szCs w:val="20"/>
    </w:rPr>
  </w:style>
  <w:style w:type="character" w:styleId="aff2">
    <w:name w:val="Intense Reference"/>
    <w:basedOn w:val="a0"/>
    <w:uiPriority w:val="32"/>
    <w:qFormat/>
    <w:rsid w:val="00AC28B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ch/A/65/38(supp)" TargetMode="External"/><Relationship Id="rId3" Type="http://schemas.openxmlformats.org/officeDocument/2006/relationships/customXml" Target="../customXml/item3.xml"/><Relationship Id="rId21" Type="http://schemas.openxmlformats.org/officeDocument/2006/relationships/hyperlink" Target="https://undocs.org/en/CEDAW/C/SR.2096"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NZL/8" TargetMode="Externa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SR.2095" TargetMode="External"/><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NZL/FCO/8" TargetMode="Externa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NZL/QPR/9" TargetMode="External"/><Relationship Id="rId28" Type="http://schemas.openxmlformats.org/officeDocument/2006/relationships/fontTable" Target="fontTable.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NZL/9" TargetMode="External"/><Relationship Id="rId27" Type="http://schemas.openxmlformats.org/officeDocument/2006/relationships/hyperlink" Target="https://undocs.org/ch/HRI/GEN/2/Rev.6" TargetMode="Externa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6" ma:contentTypeDescription="Create a new document." ma:contentTypeScope="" ma:versionID="d586455a7fde1b896442e51ce98eca69">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e52006cae7606f842f56539d09e7f7a1"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78F6FF-E792-4668-95EC-7BBD283DA7B4}">
  <ds:schemaRefs>
    <ds:schemaRef ds:uri="http://schemas.microsoft.com/sharepoint/v3/contenttype/forms"/>
  </ds:schemaRefs>
</ds:datastoreItem>
</file>

<file path=customXml/itemProps2.xml><?xml version="1.0" encoding="utf-8"?>
<ds:datastoreItem xmlns:ds="http://schemas.openxmlformats.org/officeDocument/2006/customXml" ds:itemID="{C1EDD605-09E3-49F6-B4A0-DEEBBB547540}">
  <ds:schemaRefs>
    <ds:schemaRef ds:uri="32aca14f-6975-493a-b86a-2ec1bd8de72a"/>
    <ds:schemaRef ds:uri="41c8501f-7554-4cfe-b76f-88ff51cf7baf"/>
    <ds:schemaRef ds:uri="http://purl.org/dc/elements/1.1/"/>
    <ds:schemaRef ds:uri="985ec44e-1bab-4c0b-9df0-6ba128686fc9"/>
    <ds:schemaRef ds:uri="http://schemas.microsoft.com/office/2006/documentManagement/types"/>
    <ds:schemaRef ds:uri="http://purl.org/dc/dcmitype/"/>
    <ds:schemaRef ds:uri="http://purl.org/dc/terms/"/>
    <ds:schemaRef ds:uri="http://schemas.openxmlformats.org/package/2006/metadata/core-properties"/>
    <ds:schemaRef ds:uri="http://schemas.microsoft.com/office/infopath/2007/PartnerControl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96DD0F57-6496-4BCD-89B9-55C80CC780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1646</Words>
  <Characters>9384</Characters>
  <Application>Microsoft Office Word</Application>
  <DocSecurity>0</DocSecurity>
  <Lines>78</Lines>
  <Paragraphs>22</Paragraphs>
  <ScaleCrop>false</ScaleCrop>
  <Company/>
  <LinksUpToDate>false</LinksUpToDate>
  <CharactersWithSpaces>11008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Yifeng</dc:creator>
  <cp:keywords/>
  <dc:description/>
  <cp:lastModifiedBy>Shu Xing Ji</cp:lastModifiedBy>
  <cp:revision>3</cp:revision>
  <cp:lastPrinted>2024-11-24T02:07:00Z</cp:lastPrinted>
  <dcterms:created xsi:type="dcterms:W3CDTF">2024-11-24T02:07:00Z</dcterms:created>
  <dcterms:modified xsi:type="dcterms:W3CDTF">2024-11-24T02:07:00Z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2419942</vt:lpwstr>
  </property>
  <property fmtid="{D5CDD505-2E9C-101B-9397-08002B2CF9AE}" pid="3" name="ODSRefJobNo">
    <vt:lpwstr>2432181C</vt:lpwstr>
  </property>
  <property fmtid="{D5CDD505-2E9C-101B-9397-08002B2CF9AE}" pid="4" name="Symbol1">
    <vt:lpwstr>CEDAW/C/NZL/CO/9</vt:lpwstr>
  </property>
  <property fmtid="{D5CDD505-2E9C-101B-9397-08002B2CF9AE}" pid="5" name="Symbol2">
    <vt:lpwstr/>
  </property>
  <property fmtid="{D5CDD505-2E9C-101B-9397-08002B2CF9AE}" pid="6" name="Translator">
    <vt:lpwstr/>
  </property>
  <property fmtid="{D5CDD505-2E9C-101B-9397-08002B2CF9AE}" pid="7" name="Operator">
    <vt:lpwstr>jyf</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Chinese</vt:lpwstr>
  </property>
  <property fmtid="{D5CDD505-2E9C-101B-9397-08002B2CF9AE}" pid="12" name="Distribution">
    <vt:lpwstr>General</vt:lpwstr>
  </property>
  <property fmtid="{D5CDD505-2E9C-101B-9397-08002B2CF9AE}" pid="13" name="Publication Date">
    <vt:lpwstr>30 October 2024</vt:lpwstr>
  </property>
  <property fmtid="{D5CDD505-2E9C-101B-9397-08002B2CF9AE}" pid="14" name="Original">
    <vt:lpwstr>English</vt:lpwstr>
  </property>
  <property fmtid="{D5CDD505-2E9C-101B-9397-08002B2CF9AE}" pid="15" name="Release Date">
    <vt:lpwstr/>
  </property>
  <property fmtid="{D5CDD505-2E9C-101B-9397-08002B2CF9AE}" pid="16" name="Title1">
    <vt:lpwstr>		关于新西兰第九次定期报告的结论性意见*_x000d_</vt:lpwstr>
  </property>
</Properties>
</file>