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513" w:rsidRDefault="009A2513" w:rsidP="009A2513">
      <w:pPr>
        <w:spacing w:line="60" w:lineRule="exact"/>
        <w:rPr>
          <w:sz w:val="6"/>
        </w:rPr>
        <w:sectPr w:rsidR="009A2513" w:rsidSect="009A2513">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7524B7" w:rsidRPr="007524B7" w:rsidRDefault="007524B7" w:rsidP="007524B7">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60"/>
        <w:ind w:left="1264" w:right="1259" w:hanging="1264"/>
        <w:outlineLvl w:val="0"/>
        <w:rPr>
          <w:rFonts w:ascii="黑体" w:eastAsia="黑体"/>
          <w:sz w:val="24"/>
        </w:rPr>
      </w:pPr>
      <w:r w:rsidRPr="007524B7">
        <w:rPr>
          <w:rFonts w:ascii="黑体" w:eastAsia="黑体" w:hint="eastAsia"/>
          <w:sz w:val="24"/>
        </w:rPr>
        <w:lastRenderedPageBreak/>
        <w:t>消除对妇女歧视委员会</w:t>
      </w:r>
    </w:p>
    <w:p w:rsidR="007524B7" w:rsidRPr="007524B7" w:rsidRDefault="007524B7" w:rsidP="007524B7">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7524B7" w:rsidRPr="007524B7" w:rsidRDefault="007524B7" w:rsidP="007524B7">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7524B7" w:rsidRPr="007524B7" w:rsidRDefault="007524B7" w:rsidP="007524B7">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120" w:lineRule="exact"/>
        <w:ind w:left="1267" w:right="1260" w:hanging="1267"/>
        <w:outlineLvl w:val="0"/>
        <w:rPr>
          <w:rFonts w:ascii="黑体" w:eastAsia="黑体"/>
          <w:sz w:val="10"/>
        </w:rPr>
      </w:pPr>
    </w:p>
    <w:p w:rsidR="007524B7" w:rsidRPr="007524B7" w:rsidRDefault="007524B7" w:rsidP="007524B7">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line="400" w:lineRule="exact"/>
        <w:ind w:left="1267" w:right="1260" w:hanging="1267"/>
        <w:outlineLvl w:val="0"/>
        <w:rPr>
          <w:rFonts w:ascii="黑体" w:eastAsia="黑体"/>
          <w:sz w:val="28"/>
        </w:rPr>
      </w:pPr>
      <w:r w:rsidRPr="007524B7">
        <w:rPr>
          <w:rFonts w:eastAsia="黑体"/>
          <w:sz w:val="28"/>
        </w:rPr>
        <w:tab/>
      </w:r>
      <w:r w:rsidRPr="007524B7">
        <w:rPr>
          <w:rFonts w:eastAsia="黑体"/>
          <w:sz w:val="28"/>
        </w:rPr>
        <w:tab/>
      </w:r>
      <w:r w:rsidRPr="007524B7">
        <w:rPr>
          <w:rFonts w:ascii="黑体" w:eastAsia="黑体" w:hint="eastAsia"/>
          <w:sz w:val="28"/>
        </w:rPr>
        <w:t>关于捷克共和国第六次定期报告的结论性意见</w:t>
      </w:r>
      <w:r w:rsidRPr="007524B7">
        <w:rPr>
          <w:rFonts w:ascii="黑体" w:eastAsia="黑体" w:hAnsi="黑体"/>
          <w:sz w:val="28"/>
          <w:szCs w:val="28"/>
          <w:vertAlign w:val="superscript"/>
        </w:rPr>
        <w:t>*</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ascii="宋体"/>
          <w:sz w:val="10"/>
        </w:rPr>
      </w:pP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ascii="宋体"/>
          <w:sz w:val="10"/>
        </w:rPr>
      </w:pP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rPr>
          <w:rFonts w:ascii="宋体"/>
          <w:sz w:val="10"/>
        </w:rPr>
      </w:pP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w:t>
      </w:r>
      <w:r w:rsidRPr="007524B7">
        <w:rPr>
          <w:szCs w:val="21"/>
        </w:rPr>
        <w:tab/>
      </w:r>
      <w:r w:rsidRPr="007524B7">
        <w:rPr>
          <w:rFonts w:hint="eastAsia"/>
          <w:szCs w:val="21"/>
        </w:rPr>
        <w:t>2016</w:t>
      </w:r>
      <w:r w:rsidRPr="007524B7">
        <w:rPr>
          <w:rFonts w:hint="eastAsia"/>
          <w:szCs w:val="21"/>
        </w:rPr>
        <w:t>年</w:t>
      </w:r>
      <w:r w:rsidRPr="007524B7">
        <w:rPr>
          <w:rFonts w:hint="eastAsia"/>
          <w:szCs w:val="21"/>
        </w:rPr>
        <w:t>2</w:t>
      </w:r>
      <w:r w:rsidRPr="007524B7">
        <w:rPr>
          <w:rFonts w:hint="eastAsia"/>
          <w:szCs w:val="21"/>
        </w:rPr>
        <w:t>月</w:t>
      </w:r>
      <w:r w:rsidRPr="007524B7">
        <w:rPr>
          <w:rFonts w:hint="eastAsia"/>
          <w:szCs w:val="21"/>
        </w:rPr>
        <w:t>23</w:t>
      </w:r>
      <w:r w:rsidRPr="007524B7">
        <w:rPr>
          <w:rFonts w:hint="eastAsia"/>
          <w:szCs w:val="21"/>
        </w:rPr>
        <w:t>日，委员会第</w:t>
      </w:r>
      <w:r w:rsidRPr="007524B7">
        <w:rPr>
          <w:rFonts w:hint="eastAsia"/>
          <w:szCs w:val="21"/>
        </w:rPr>
        <w:t>1385</w:t>
      </w:r>
      <w:r w:rsidRPr="007524B7">
        <w:rPr>
          <w:rFonts w:hint="eastAsia"/>
          <w:szCs w:val="21"/>
        </w:rPr>
        <w:t>和</w:t>
      </w:r>
      <w:r w:rsidRPr="007524B7">
        <w:rPr>
          <w:rFonts w:hint="eastAsia"/>
          <w:szCs w:val="21"/>
        </w:rPr>
        <w:t>1386</w:t>
      </w:r>
      <w:r w:rsidRPr="007524B7">
        <w:rPr>
          <w:rFonts w:hint="eastAsia"/>
          <w:szCs w:val="21"/>
        </w:rPr>
        <w:t>次会议审议了捷克共和国第六次定期报告</w:t>
      </w:r>
      <w:r w:rsidR="00850B36">
        <w:rPr>
          <w:rFonts w:hint="eastAsia"/>
          <w:szCs w:val="21"/>
        </w:rPr>
        <w:t>(</w:t>
      </w:r>
      <w:hyperlink r:id="rId16" w:history="1">
        <w:r w:rsidRPr="007524B7">
          <w:rPr>
            <w:szCs w:val="21"/>
          </w:rPr>
          <w:t>CEDAW/C/CZE/6</w:t>
        </w:r>
      </w:hyperlink>
      <w:r w:rsidR="00850B36">
        <w:rPr>
          <w:rFonts w:hint="eastAsia"/>
          <w:szCs w:val="21"/>
        </w:rPr>
        <w:t>)(</w:t>
      </w:r>
      <w:r w:rsidRPr="007524B7">
        <w:rPr>
          <w:rFonts w:hint="eastAsia"/>
          <w:szCs w:val="21"/>
        </w:rPr>
        <w:t>见</w:t>
      </w:r>
      <w:hyperlink r:id="rId17" w:history="1">
        <w:r w:rsidRPr="007524B7">
          <w:rPr>
            <w:szCs w:val="21"/>
          </w:rPr>
          <w:t>CEDAW/C/SR.1385</w:t>
        </w:r>
      </w:hyperlink>
      <w:r w:rsidRPr="007524B7">
        <w:rPr>
          <w:rFonts w:hint="eastAsia"/>
          <w:szCs w:val="21"/>
        </w:rPr>
        <w:t>和</w:t>
      </w:r>
      <w:r w:rsidRPr="007524B7">
        <w:rPr>
          <w:rFonts w:hint="eastAsia"/>
          <w:szCs w:val="21"/>
        </w:rPr>
        <w:t>1386</w:t>
      </w:r>
      <w:r w:rsidR="00850B36">
        <w:rPr>
          <w:rFonts w:hint="eastAsia"/>
          <w:szCs w:val="21"/>
        </w:rPr>
        <w:t>)</w:t>
      </w:r>
      <w:r w:rsidRPr="007524B7">
        <w:rPr>
          <w:rFonts w:hint="eastAsia"/>
          <w:szCs w:val="21"/>
        </w:rPr>
        <w:t>。委员会的议题和问题清单载于</w:t>
      </w:r>
      <w:hyperlink r:id="rId18" w:history="1">
        <w:r w:rsidRPr="007524B7">
          <w:rPr>
            <w:szCs w:val="21"/>
          </w:rPr>
          <w:t>CEDAW/C/CZE/Q/6</w:t>
        </w:r>
      </w:hyperlink>
      <w:r w:rsidRPr="007524B7">
        <w:rPr>
          <w:rFonts w:hint="eastAsia"/>
          <w:szCs w:val="21"/>
        </w:rPr>
        <w:t>，捷克共和国的答复载于</w:t>
      </w:r>
      <w:hyperlink r:id="rId19" w:history="1">
        <w:r w:rsidRPr="007524B7">
          <w:rPr>
            <w:szCs w:val="21"/>
          </w:rPr>
          <w:t>CEDAW/C/CZE/Q/6/Add.1</w:t>
        </w:r>
      </w:hyperlink>
      <w:r w:rsidRPr="007524B7">
        <w:rPr>
          <w:rFonts w:hint="eastAsia"/>
          <w:szCs w:val="21"/>
        </w:rPr>
        <w:t>。</w:t>
      </w:r>
    </w:p>
    <w:p w:rsidR="007524B7" w:rsidRPr="007524B7" w:rsidRDefault="007524B7" w:rsidP="007524B7">
      <w:pPr>
        <w:keepNext/>
        <w:keepLines/>
        <w:tabs>
          <w:tab w:val="right" w:pos="851"/>
        </w:tabs>
        <w:overflowPunct w:val="0"/>
        <w:adjustRightInd w:val="0"/>
        <w:snapToGrid w:val="0"/>
        <w:spacing w:before="360" w:after="240" w:line="400" w:lineRule="exact"/>
        <w:ind w:left="1276" w:right="1134" w:hanging="1276"/>
        <w:outlineLvl w:val="1"/>
        <w:rPr>
          <w:rFonts w:eastAsia="黑体"/>
          <w:snapToGrid w:val="0"/>
          <w:kern w:val="0"/>
          <w:sz w:val="24"/>
        </w:rPr>
      </w:pPr>
      <w:r w:rsidRPr="007524B7">
        <w:rPr>
          <w:rFonts w:eastAsia="黑体"/>
          <w:snapToGrid w:val="0"/>
          <w:kern w:val="0"/>
          <w:sz w:val="24"/>
        </w:rPr>
        <w:tab/>
        <w:t>A.</w:t>
      </w:r>
      <w:r w:rsidRPr="007524B7">
        <w:rPr>
          <w:rFonts w:eastAsia="黑体"/>
          <w:snapToGrid w:val="0"/>
          <w:kern w:val="0"/>
          <w:sz w:val="24"/>
        </w:rPr>
        <w:tab/>
      </w:r>
      <w:r w:rsidRPr="007524B7">
        <w:rPr>
          <w:rFonts w:eastAsia="黑体" w:hint="eastAsia"/>
          <w:snapToGrid w:val="0"/>
          <w:kern w:val="0"/>
          <w:sz w:val="24"/>
        </w:rPr>
        <w:t>导言</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2.</w:t>
      </w:r>
      <w:r w:rsidRPr="007524B7">
        <w:rPr>
          <w:szCs w:val="21"/>
        </w:rPr>
        <w:tab/>
      </w:r>
      <w:r w:rsidRPr="007524B7">
        <w:rPr>
          <w:szCs w:val="21"/>
        </w:rPr>
        <w:t>委员会赞赏缔约国提出第六次定期报告，也赞赏缔约国对委员会会前工作组提出的议题和问题清单的书面答复</w:t>
      </w:r>
      <w:r w:rsidRPr="007524B7">
        <w:rPr>
          <w:rFonts w:hint="eastAsia"/>
          <w:szCs w:val="21"/>
        </w:rPr>
        <w:t>，并</w:t>
      </w:r>
      <w:r w:rsidRPr="007524B7">
        <w:rPr>
          <w:szCs w:val="21"/>
        </w:rPr>
        <w:t>欢迎代表团的口头陈述以及就委员会在对话期间口头提出的问题做出进一步澄清。</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w:t>
      </w:r>
      <w:r w:rsidRPr="007524B7">
        <w:rPr>
          <w:szCs w:val="21"/>
        </w:rPr>
        <w:tab/>
      </w:r>
      <w:r w:rsidRPr="007524B7">
        <w:rPr>
          <w:szCs w:val="21"/>
        </w:rPr>
        <w:t>委员会赞扬</w:t>
      </w:r>
      <w:r w:rsidRPr="007524B7">
        <w:rPr>
          <w:rFonts w:hint="eastAsia"/>
          <w:szCs w:val="21"/>
        </w:rPr>
        <w:t>人权和保护少数民族部部长</w:t>
      </w:r>
      <w:r w:rsidRPr="007524B7">
        <w:rPr>
          <w:szCs w:val="21"/>
        </w:rPr>
        <w:t>Andrea Barsova</w:t>
      </w:r>
      <w:r w:rsidRPr="007524B7">
        <w:rPr>
          <w:rFonts w:hint="eastAsia"/>
          <w:szCs w:val="21"/>
        </w:rPr>
        <w:t>率领</w:t>
      </w:r>
      <w:r w:rsidRPr="007524B7">
        <w:rPr>
          <w:szCs w:val="21"/>
        </w:rPr>
        <w:t>的代表团。</w:t>
      </w:r>
      <w:r w:rsidRPr="007524B7">
        <w:rPr>
          <w:rFonts w:hint="eastAsia"/>
          <w:szCs w:val="21"/>
        </w:rPr>
        <w:t>代表团成员还包括性别平等股、司法部、卫生部、内政部、劳动和社会事务部、教育、青年和体育部以及捷克共和国常驻联合国办事处和日内瓦其他国际组织的代表。</w:t>
      </w:r>
    </w:p>
    <w:p w:rsidR="007524B7" w:rsidRPr="007524B7" w:rsidRDefault="007524B7" w:rsidP="007524B7">
      <w:pPr>
        <w:keepNext/>
        <w:keepLines/>
        <w:tabs>
          <w:tab w:val="right" w:pos="851"/>
        </w:tabs>
        <w:overflowPunct w:val="0"/>
        <w:adjustRightInd w:val="0"/>
        <w:snapToGrid w:val="0"/>
        <w:spacing w:before="360" w:after="240" w:line="400" w:lineRule="exact"/>
        <w:ind w:left="1276" w:right="1134" w:hanging="1276"/>
        <w:outlineLvl w:val="1"/>
        <w:rPr>
          <w:rFonts w:eastAsia="黑体"/>
          <w:snapToGrid w:val="0"/>
          <w:kern w:val="0"/>
          <w:sz w:val="24"/>
        </w:rPr>
      </w:pPr>
      <w:r w:rsidRPr="007524B7">
        <w:rPr>
          <w:rFonts w:eastAsia="黑体"/>
          <w:snapToGrid w:val="0"/>
          <w:kern w:val="0"/>
          <w:sz w:val="24"/>
        </w:rPr>
        <w:tab/>
        <w:t>B.</w:t>
      </w:r>
      <w:r w:rsidRPr="007524B7">
        <w:rPr>
          <w:rFonts w:eastAsia="黑体"/>
          <w:snapToGrid w:val="0"/>
          <w:kern w:val="0"/>
          <w:sz w:val="24"/>
        </w:rPr>
        <w:tab/>
      </w:r>
      <w:r w:rsidRPr="007524B7">
        <w:rPr>
          <w:rFonts w:eastAsia="黑体" w:hint="eastAsia"/>
          <w:snapToGrid w:val="0"/>
          <w:kern w:val="0"/>
          <w:sz w:val="24"/>
        </w:rPr>
        <w:t>积极方面</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4.</w:t>
      </w:r>
      <w:r w:rsidRPr="007524B7">
        <w:rPr>
          <w:szCs w:val="21"/>
        </w:rPr>
        <w:tab/>
      </w:r>
      <w:r w:rsidRPr="007524B7">
        <w:rPr>
          <w:szCs w:val="21"/>
        </w:rPr>
        <w:t>委员会欢迎自</w:t>
      </w:r>
      <w:r w:rsidRPr="007524B7">
        <w:rPr>
          <w:szCs w:val="21"/>
        </w:rPr>
        <w:t>2010</w:t>
      </w:r>
      <w:r w:rsidRPr="007524B7">
        <w:rPr>
          <w:szCs w:val="21"/>
        </w:rPr>
        <w:t>年审议缔约国</w:t>
      </w:r>
      <w:r w:rsidRPr="007524B7">
        <w:rPr>
          <w:rFonts w:hint="eastAsia"/>
          <w:szCs w:val="21"/>
        </w:rPr>
        <w:t>第五次</w:t>
      </w:r>
      <w:r w:rsidRPr="007524B7">
        <w:rPr>
          <w:szCs w:val="21"/>
        </w:rPr>
        <w:t>报告</w:t>
      </w:r>
      <w:r w:rsidR="00850B36">
        <w:rPr>
          <w:rFonts w:hint="eastAsia"/>
          <w:szCs w:val="21"/>
        </w:rPr>
        <w:t>(</w:t>
      </w:r>
      <w:hyperlink r:id="rId20" w:history="1">
        <w:r w:rsidRPr="007524B7">
          <w:rPr>
            <w:szCs w:val="21"/>
          </w:rPr>
          <w:t>CEDAW/C/CZE/CO/5</w:t>
        </w:r>
      </w:hyperlink>
      <w:r w:rsidR="00850B36">
        <w:rPr>
          <w:rFonts w:hint="eastAsia"/>
          <w:szCs w:val="21"/>
        </w:rPr>
        <w:t>)</w:t>
      </w:r>
      <w:r w:rsidRPr="007524B7">
        <w:rPr>
          <w:szCs w:val="21"/>
        </w:rPr>
        <w:t>以来在立法改革方面取得的进展</w:t>
      </w:r>
      <w:r w:rsidRPr="007524B7">
        <w:rPr>
          <w:rFonts w:hint="eastAsia"/>
          <w:szCs w:val="21"/>
        </w:rPr>
        <w:t>，包括通过以下法律：</w:t>
      </w:r>
    </w:p>
    <w:p w:rsidR="007524B7" w:rsidRPr="007524B7" w:rsidRDefault="007524B7" w:rsidP="007524B7">
      <w:pPr>
        <w:framePr w:w="9792" w:h="432" w:hSpace="180" w:wrap="around" w:vAnchor="page" w:hAnchor="page" w:x="1202" w:y="13694"/>
        <w:tabs>
          <w:tab w:val="right" w:pos="1134"/>
          <w:tab w:val="left" w:pos="1267"/>
          <w:tab w:val="left" w:pos="1742"/>
          <w:tab w:val="left" w:pos="2218"/>
          <w:tab w:val="left" w:pos="2693"/>
          <w:tab w:val="left" w:pos="3182"/>
          <w:tab w:val="left" w:pos="3658"/>
          <w:tab w:val="left" w:pos="4133"/>
          <w:tab w:val="left" w:pos="4622"/>
          <w:tab w:val="left" w:pos="5098"/>
          <w:tab w:val="left" w:pos="5573"/>
          <w:tab w:val="left" w:pos="6048"/>
        </w:tabs>
        <w:overflowPunct w:val="0"/>
        <w:autoSpaceDE w:val="0"/>
        <w:autoSpaceDN w:val="0"/>
        <w:snapToGrid w:val="0"/>
        <w:spacing w:after="120"/>
        <w:ind w:left="1264" w:right="1264" w:hanging="576"/>
        <w:rPr>
          <w:sz w:val="18"/>
          <w:szCs w:val="18"/>
        </w:rPr>
      </w:pPr>
      <w:r>
        <w:rPr>
          <w:noProof/>
          <w:sz w:val="18"/>
          <w:szCs w:val="18"/>
        </w:rPr>
        <mc:AlternateContent>
          <mc:Choice Requires="wps">
            <w:drawing>
              <wp:anchor distT="4294967295" distB="4294967295" distL="114300" distR="114300" simplePos="0" relativeHeight="251660288" behindDoc="0" locked="0" layoutInCell="1" allowOverlap="1" wp14:anchorId="14FA6E3C" wp14:editId="6663A95E">
                <wp:simplePos x="0" y="0"/>
                <wp:positionH relativeFrom="page">
                  <wp:posOffset>1371600</wp:posOffset>
                </wp:positionH>
                <wp:positionV relativeFrom="paragraph">
                  <wp:posOffset>-12701</wp:posOffset>
                </wp:positionV>
                <wp:extent cx="914400" cy="0"/>
                <wp:effectExtent l="0" t="0" r="19050" b="1905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直接连接符 5"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" strokecolor="#010000" strokeweight=".25pt">
                <o:lock v:ext="edit" shapetype="f"/>
                <w10:wrap anchorx="page"/>
              </v:line>
            </w:pict>
          </mc:Fallback>
        </mc:AlternateContent>
      </w:r>
      <w:r w:rsidRPr="007524B7">
        <w:rPr>
          <w:spacing w:val="5"/>
          <w:w w:val="104"/>
          <w:sz w:val="18"/>
          <w:szCs w:val="18"/>
        </w:rPr>
        <w:tab/>
      </w:r>
      <w:r w:rsidRPr="00850B36">
        <w:rPr>
          <w:spacing w:val="5"/>
          <w:w w:val="104"/>
          <w:sz w:val="18"/>
          <w:szCs w:val="18"/>
          <w:vertAlign w:val="superscript"/>
        </w:rPr>
        <w:t>*</w:t>
      </w:r>
      <w:r w:rsidRPr="007524B7">
        <w:rPr>
          <w:spacing w:val="5"/>
          <w:w w:val="104"/>
          <w:sz w:val="18"/>
          <w:szCs w:val="18"/>
        </w:rPr>
        <w:tab/>
      </w:r>
      <w:r w:rsidRPr="007524B7">
        <w:rPr>
          <w:rFonts w:hint="eastAsia"/>
          <w:spacing w:val="5"/>
          <w:w w:val="104"/>
          <w:sz w:val="18"/>
          <w:szCs w:val="18"/>
        </w:rPr>
        <w:t>委员会第六十三届会议</w:t>
      </w:r>
      <w:r w:rsidR="00850B36">
        <w:rPr>
          <w:rFonts w:hint="eastAsia"/>
          <w:spacing w:val="5"/>
          <w:w w:val="104"/>
          <w:sz w:val="18"/>
          <w:szCs w:val="18"/>
        </w:rPr>
        <w:t>(</w:t>
      </w:r>
      <w:r w:rsidRPr="007524B7">
        <w:rPr>
          <w:rFonts w:hint="eastAsia"/>
          <w:spacing w:val="5"/>
          <w:w w:val="104"/>
          <w:sz w:val="18"/>
          <w:szCs w:val="18"/>
        </w:rPr>
        <w:t>2016</w:t>
      </w:r>
      <w:r w:rsidRPr="007524B7">
        <w:rPr>
          <w:rFonts w:hint="eastAsia"/>
          <w:spacing w:val="5"/>
          <w:w w:val="104"/>
          <w:sz w:val="18"/>
          <w:szCs w:val="18"/>
        </w:rPr>
        <w:t>年</w:t>
      </w:r>
      <w:r w:rsidRPr="007524B7">
        <w:rPr>
          <w:rFonts w:hint="eastAsia"/>
          <w:spacing w:val="5"/>
          <w:w w:val="104"/>
          <w:sz w:val="18"/>
          <w:szCs w:val="18"/>
        </w:rPr>
        <w:t>2</w:t>
      </w:r>
      <w:r w:rsidRPr="007524B7">
        <w:rPr>
          <w:rFonts w:hint="eastAsia"/>
          <w:spacing w:val="5"/>
          <w:w w:val="104"/>
          <w:sz w:val="18"/>
          <w:szCs w:val="18"/>
        </w:rPr>
        <w:t>月</w:t>
      </w:r>
      <w:r w:rsidRPr="007524B7">
        <w:rPr>
          <w:rFonts w:hint="eastAsia"/>
          <w:spacing w:val="5"/>
          <w:w w:val="104"/>
          <w:sz w:val="18"/>
          <w:szCs w:val="18"/>
        </w:rPr>
        <w:t>15</w:t>
      </w:r>
      <w:r w:rsidRPr="007524B7">
        <w:rPr>
          <w:rFonts w:hint="eastAsia"/>
          <w:spacing w:val="5"/>
          <w:w w:val="104"/>
          <w:sz w:val="18"/>
          <w:szCs w:val="18"/>
        </w:rPr>
        <w:t>日至</w:t>
      </w:r>
      <w:r w:rsidRPr="007524B7">
        <w:rPr>
          <w:rFonts w:hint="eastAsia"/>
          <w:spacing w:val="5"/>
          <w:w w:val="104"/>
          <w:sz w:val="18"/>
          <w:szCs w:val="18"/>
        </w:rPr>
        <w:t>3</w:t>
      </w:r>
      <w:r w:rsidRPr="007524B7">
        <w:rPr>
          <w:rFonts w:hint="eastAsia"/>
          <w:spacing w:val="5"/>
          <w:w w:val="104"/>
          <w:sz w:val="18"/>
          <w:szCs w:val="18"/>
        </w:rPr>
        <w:t>月</w:t>
      </w:r>
      <w:r w:rsidRPr="007524B7">
        <w:rPr>
          <w:rFonts w:hint="eastAsia"/>
          <w:spacing w:val="5"/>
          <w:w w:val="104"/>
          <w:sz w:val="18"/>
          <w:szCs w:val="18"/>
        </w:rPr>
        <w:t>4</w:t>
      </w:r>
      <w:r w:rsidRPr="007524B7">
        <w:rPr>
          <w:rFonts w:hint="eastAsia"/>
          <w:spacing w:val="5"/>
          <w:w w:val="104"/>
          <w:sz w:val="18"/>
          <w:szCs w:val="18"/>
        </w:rPr>
        <w:t>日</w:t>
      </w:r>
      <w:r w:rsidR="00850B36">
        <w:rPr>
          <w:rFonts w:hint="eastAsia"/>
          <w:spacing w:val="5"/>
          <w:w w:val="104"/>
          <w:sz w:val="18"/>
          <w:szCs w:val="18"/>
        </w:rPr>
        <w:t>)</w:t>
      </w:r>
      <w:r w:rsidRPr="007524B7">
        <w:rPr>
          <w:rFonts w:hint="eastAsia"/>
          <w:spacing w:val="5"/>
          <w:w w:val="104"/>
          <w:sz w:val="18"/>
          <w:szCs w:val="18"/>
        </w:rPr>
        <w:t>通过。</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pacing w:val="2"/>
          <w:szCs w:val="21"/>
        </w:rPr>
      </w:pPr>
      <w:r w:rsidRPr="007524B7">
        <w:rPr>
          <w:szCs w:val="21"/>
        </w:rPr>
        <w:tab/>
      </w:r>
      <w:r w:rsidRPr="007524B7">
        <w:rPr>
          <w:spacing w:val="2"/>
          <w:szCs w:val="21"/>
        </w:rPr>
        <w:t>(a)</w:t>
      </w:r>
      <w:r w:rsidRPr="007524B7">
        <w:rPr>
          <w:spacing w:val="2"/>
          <w:szCs w:val="21"/>
        </w:rPr>
        <w:tab/>
      </w:r>
      <w:r w:rsidRPr="007524B7">
        <w:rPr>
          <w:rFonts w:hint="eastAsia"/>
          <w:spacing w:val="2"/>
          <w:szCs w:val="21"/>
        </w:rPr>
        <w:t>关于保健服务及提供这种服务的条款和条件的《第</w:t>
      </w:r>
      <w:r w:rsidRPr="007524B7">
        <w:rPr>
          <w:spacing w:val="2"/>
          <w:szCs w:val="21"/>
        </w:rPr>
        <w:t>372/2011 Coll.</w:t>
      </w:r>
      <w:r w:rsidRPr="007524B7">
        <w:rPr>
          <w:rFonts w:hint="eastAsia"/>
          <w:spacing w:val="2"/>
          <w:szCs w:val="21"/>
        </w:rPr>
        <w:t>号法案》，经《第</w:t>
      </w:r>
      <w:r w:rsidRPr="007524B7">
        <w:rPr>
          <w:spacing w:val="2"/>
          <w:szCs w:val="21"/>
        </w:rPr>
        <w:t>167/2012 Coll.</w:t>
      </w:r>
      <w:r w:rsidRPr="007524B7">
        <w:rPr>
          <w:rFonts w:hint="eastAsia"/>
          <w:spacing w:val="2"/>
          <w:szCs w:val="21"/>
        </w:rPr>
        <w:t>号法案》修正；</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rFonts w:hint="eastAsia"/>
          <w:szCs w:val="21"/>
        </w:rPr>
        <w:t>关于法律实体刑事责任的《第</w:t>
      </w:r>
      <w:r w:rsidRPr="007524B7">
        <w:rPr>
          <w:szCs w:val="21"/>
        </w:rPr>
        <w:t>418/2011 Coll.</w:t>
      </w:r>
      <w:r w:rsidRPr="007524B7">
        <w:rPr>
          <w:rFonts w:hint="eastAsia"/>
          <w:szCs w:val="21"/>
        </w:rPr>
        <w:t>号法案》。</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5.</w:t>
      </w:r>
      <w:r w:rsidRPr="007524B7">
        <w:rPr>
          <w:szCs w:val="21"/>
        </w:rPr>
        <w:tab/>
      </w:r>
      <w:r w:rsidRPr="007524B7">
        <w:rPr>
          <w:szCs w:val="21"/>
        </w:rPr>
        <w:t>委员会欢迎缔约国努力改进其旨在加快消除歧视妇女行为和促进</w:t>
      </w:r>
      <w:r w:rsidRPr="007524B7">
        <w:rPr>
          <w:rFonts w:hint="eastAsia"/>
          <w:szCs w:val="21"/>
        </w:rPr>
        <w:t>妇女权利</w:t>
      </w:r>
      <w:r w:rsidRPr="007524B7">
        <w:rPr>
          <w:szCs w:val="21"/>
        </w:rPr>
        <w:t>的政策框架，</w:t>
      </w:r>
      <w:r w:rsidRPr="007524B7">
        <w:rPr>
          <w:rFonts w:hint="eastAsia"/>
          <w:szCs w:val="21"/>
        </w:rPr>
        <w:t>包括：</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lastRenderedPageBreak/>
        <w:tab/>
        <w:t>(a)</w:t>
      </w:r>
      <w:r w:rsidRPr="007524B7">
        <w:rPr>
          <w:szCs w:val="21"/>
        </w:rPr>
        <w:tab/>
      </w:r>
      <w:r w:rsidRPr="007524B7">
        <w:rPr>
          <w:rFonts w:hint="eastAsia"/>
          <w:szCs w:val="21"/>
        </w:rPr>
        <w:t>2014</w:t>
      </w:r>
      <w:r w:rsidRPr="007524B7">
        <w:rPr>
          <w:rFonts w:hint="eastAsia"/>
          <w:szCs w:val="21"/>
        </w:rPr>
        <w:t>年恢复人权、平等机会和立法部部长一职；</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rFonts w:hint="eastAsia"/>
          <w:szCs w:val="21"/>
        </w:rPr>
        <w:t>通过</w:t>
      </w:r>
      <w:r w:rsidRPr="007524B7">
        <w:rPr>
          <w:rFonts w:hint="eastAsia"/>
          <w:szCs w:val="21"/>
        </w:rPr>
        <w:t>2014</w:t>
      </w:r>
      <w:r w:rsidRPr="007524B7">
        <w:rPr>
          <w:rFonts w:hint="eastAsia"/>
          <w:szCs w:val="21"/>
        </w:rPr>
        <w:t>至</w:t>
      </w:r>
      <w:r w:rsidRPr="007524B7">
        <w:rPr>
          <w:rFonts w:hint="eastAsia"/>
          <w:szCs w:val="21"/>
        </w:rPr>
        <w:t>2020</w:t>
      </w:r>
      <w:r w:rsidRPr="007524B7">
        <w:rPr>
          <w:rFonts w:hint="eastAsia"/>
          <w:szCs w:val="21"/>
        </w:rPr>
        <w:t>年期间男女平等战略。</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6.</w:t>
      </w:r>
      <w:r w:rsidRPr="007524B7">
        <w:rPr>
          <w:szCs w:val="21"/>
        </w:rPr>
        <w:tab/>
      </w:r>
      <w:r w:rsidRPr="007524B7">
        <w:rPr>
          <w:szCs w:val="21"/>
        </w:rPr>
        <w:t>委员会欣见，自审议前次报告以来，缔约国已经</w:t>
      </w:r>
      <w:r w:rsidRPr="007524B7">
        <w:rPr>
          <w:rFonts w:hint="eastAsia"/>
          <w:szCs w:val="21"/>
        </w:rPr>
        <w:t>批准</w:t>
      </w:r>
      <w:r w:rsidRPr="007524B7">
        <w:rPr>
          <w:szCs w:val="21"/>
        </w:rPr>
        <w:t>或加入了下列国际文书：</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(a)</w:t>
      </w:r>
      <w:r w:rsidRPr="007524B7">
        <w:rPr>
          <w:szCs w:val="21"/>
        </w:rPr>
        <w:tab/>
      </w:r>
      <w:r w:rsidRPr="007524B7">
        <w:rPr>
          <w:rFonts w:hint="eastAsia"/>
          <w:szCs w:val="21"/>
        </w:rPr>
        <w:t>《儿童权利公约关于买卖儿童、儿童卖淫和儿童色情制品问题的任择议定书》，</w:t>
      </w:r>
      <w:r w:rsidRPr="007524B7">
        <w:rPr>
          <w:rFonts w:hint="eastAsia"/>
          <w:szCs w:val="21"/>
        </w:rPr>
        <w:t>2013</w:t>
      </w:r>
      <w:r w:rsidRPr="007524B7">
        <w:rPr>
          <w:rFonts w:hint="eastAsia"/>
          <w:szCs w:val="21"/>
        </w:rPr>
        <w:t>年；</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rFonts w:hint="eastAsia"/>
          <w:szCs w:val="21"/>
        </w:rPr>
        <w:t>《联合国打击跨国有组织犯罪公约》，</w:t>
      </w:r>
      <w:r w:rsidRPr="007524B7">
        <w:rPr>
          <w:rFonts w:hint="eastAsia"/>
          <w:szCs w:val="21"/>
        </w:rPr>
        <w:t>2013</w:t>
      </w:r>
      <w:r w:rsidRPr="007524B7">
        <w:rPr>
          <w:rFonts w:hint="eastAsia"/>
          <w:szCs w:val="21"/>
        </w:rPr>
        <w:t>年；</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(c)</w:t>
      </w:r>
      <w:r w:rsidRPr="007524B7">
        <w:rPr>
          <w:szCs w:val="21"/>
        </w:rPr>
        <w:tab/>
      </w:r>
      <w:r w:rsidRPr="007524B7">
        <w:rPr>
          <w:szCs w:val="21"/>
        </w:rPr>
        <w:t>《联合国打击跨国有组织犯罪公约关于预防、禁止和惩治贩运人口</w:t>
      </w:r>
      <w:r w:rsidRPr="007524B7">
        <w:rPr>
          <w:rFonts w:hint="eastAsia"/>
          <w:szCs w:val="21"/>
        </w:rPr>
        <w:t>特别是</w:t>
      </w:r>
      <w:r w:rsidRPr="007524B7">
        <w:rPr>
          <w:szCs w:val="21"/>
        </w:rPr>
        <w:t>妇女和儿童行为的补充议定书》</w:t>
      </w:r>
      <w:r w:rsidRPr="007524B7">
        <w:rPr>
          <w:rFonts w:hint="eastAsia"/>
          <w:szCs w:val="21"/>
        </w:rPr>
        <w:t>，</w:t>
      </w:r>
      <w:r w:rsidRPr="007524B7">
        <w:rPr>
          <w:rFonts w:hint="eastAsia"/>
          <w:szCs w:val="21"/>
        </w:rPr>
        <w:t>2014</w:t>
      </w:r>
      <w:r w:rsidRPr="007524B7">
        <w:rPr>
          <w:rFonts w:hint="eastAsia"/>
          <w:szCs w:val="21"/>
        </w:rPr>
        <w:t>年</w:t>
      </w:r>
      <w:r w:rsidRPr="007524B7">
        <w:rPr>
          <w:szCs w:val="21"/>
        </w:rPr>
        <w:t>。</w:t>
      </w:r>
    </w:p>
    <w:p w:rsidR="007524B7" w:rsidRPr="007524B7" w:rsidRDefault="007524B7" w:rsidP="007524B7">
      <w:pPr>
        <w:keepNext/>
        <w:keepLines/>
        <w:tabs>
          <w:tab w:val="right" w:pos="851"/>
        </w:tabs>
        <w:overflowPunct w:val="0"/>
        <w:adjustRightInd w:val="0"/>
        <w:snapToGrid w:val="0"/>
        <w:spacing w:before="360" w:after="240" w:line="400" w:lineRule="exact"/>
        <w:ind w:left="1276" w:right="1134" w:hanging="1276"/>
        <w:outlineLvl w:val="1"/>
        <w:rPr>
          <w:rFonts w:eastAsia="黑体"/>
          <w:snapToGrid w:val="0"/>
          <w:kern w:val="0"/>
          <w:sz w:val="24"/>
        </w:rPr>
      </w:pPr>
      <w:r w:rsidRPr="007524B7">
        <w:rPr>
          <w:rFonts w:eastAsia="黑体"/>
          <w:snapToGrid w:val="0"/>
          <w:kern w:val="0"/>
          <w:sz w:val="24"/>
        </w:rPr>
        <w:tab/>
        <w:t>C.</w:t>
      </w:r>
      <w:r w:rsidRPr="007524B7">
        <w:rPr>
          <w:rFonts w:eastAsia="黑体"/>
          <w:snapToGrid w:val="0"/>
          <w:kern w:val="0"/>
          <w:sz w:val="24"/>
        </w:rPr>
        <w:tab/>
      </w:r>
      <w:r w:rsidRPr="007524B7">
        <w:rPr>
          <w:rFonts w:eastAsia="黑体" w:hint="eastAsia"/>
          <w:snapToGrid w:val="0"/>
          <w:kern w:val="0"/>
          <w:sz w:val="24"/>
        </w:rPr>
        <w:t>主要关切领域和建议</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议会</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7.</w:t>
      </w:r>
      <w:r w:rsidRPr="007524B7">
        <w:rPr>
          <w:rFonts w:eastAsia="黑体"/>
          <w:szCs w:val="21"/>
        </w:rPr>
        <w:tab/>
      </w:r>
      <w:r w:rsidRPr="007524B7">
        <w:rPr>
          <w:rFonts w:eastAsia="黑体" w:hAnsi="黑体"/>
          <w:szCs w:val="21"/>
        </w:rPr>
        <w:t>委员会强调立法权力机构在确保《公约》得到充分执行方面发挥的关键作用</w:t>
      </w:r>
      <w:r w:rsidR="00850B36">
        <w:rPr>
          <w:rFonts w:eastAsia="黑体" w:hAnsi="黑体"/>
          <w:szCs w:val="21"/>
        </w:rPr>
        <w:t>(</w:t>
      </w:r>
      <w:r w:rsidRPr="007524B7">
        <w:rPr>
          <w:rFonts w:eastAsia="黑体" w:hAnsi="黑体"/>
          <w:szCs w:val="21"/>
        </w:rPr>
        <w:t>见委员会在</w:t>
      </w:r>
      <w:r w:rsidRPr="007524B7">
        <w:rPr>
          <w:rFonts w:eastAsia="黑体"/>
          <w:szCs w:val="21"/>
        </w:rPr>
        <w:t>2010</w:t>
      </w:r>
      <w:r w:rsidRPr="007524B7">
        <w:rPr>
          <w:rFonts w:eastAsia="黑体" w:hAnsi="黑体"/>
          <w:szCs w:val="21"/>
        </w:rPr>
        <w:t>年第四十五届会议上通过的关于委员会与议员之间关系的声明</w:t>
      </w:r>
      <w:r w:rsidR="00850B36">
        <w:rPr>
          <w:rFonts w:eastAsia="黑体" w:hAnsi="黑体"/>
          <w:szCs w:val="21"/>
        </w:rPr>
        <w:t>)</w:t>
      </w:r>
      <w:r w:rsidRPr="007524B7">
        <w:rPr>
          <w:rFonts w:eastAsia="黑体" w:hAnsi="黑体"/>
          <w:szCs w:val="21"/>
        </w:rPr>
        <w:t>。委员会请议会按照其授权任务，从现在起至《公约》规定的下次报告期间，采取必要步骤，落实本结论意见。</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spacing w:val="2"/>
          <w:szCs w:val="21"/>
        </w:rPr>
        <w:t>《公约》</w:t>
      </w:r>
      <w:r w:rsidRPr="007524B7">
        <w:rPr>
          <w:rFonts w:eastAsia="黑体" w:hAnsi="黑体" w:hint="eastAsia"/>
          <w:spacing w:val="2"/>
          <w:szCs w:val="21"/>
        </w:rPr>
        <w:t>及其</w:t>
      </w:r>
      <w:r w:rsidRPr="007524B7">
        <w:rPr>
          <w:rFonts w:eastAsia="黑体" w:hAnsi="黑体"/>
          <w:spacing w:val="2"/>
          <w:szCs w:val="21"/>
        </w:rPr>
        <w:t>《任择议定书》的知名度</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8.</w:t>
      </w:r>
      <w:r w:rsidRPr="007524B7">
        <w:rPr>
          <w:szCs w:val="21"/>
        </w:rPr>
        <w:tab/>
      </w:r>
      <w:r w:rsidRPr="007524B7">
        <w:rPr>
          <w:rFonts w:hint="eastAsia"/>
          <w:szCs w:val="21"/>
        </w:rPr>
        <w:t>委员会重申它对宪法法院和普通法院的诉讼程序仍然极少援引《公约》规定的关切，这种情况表明公众和妇女自身以及司法机关</w:t>
      </w:r>
      <w:r w:rsidRPr="007524B7">
        <w:rPr>
          <w:szCs w:val="21"/>
        </w:rPr>
        <w:t>对《公约》规定的妇女权利、</w:t>
      </w:r>
      <w:r w:rsidRPr="007524B7">
        <w:rPr>
          <w:rFonts w:hint="eastAsia"/>
          <w:szCs w:val="21"/>
        </w:rPr>
        <w:t>对《任择议定书》为其提供的程序、</w:t>
      </w:r>
      <w:r w:rsidRPr="007524B7">
        <w:rPr>
          <w:szCs w:val="21"/>
        </w:rPr>
        <w:t>对男女实质平等的概念以及委员会的一般性</w:t>
      </w:r>
      <w:r w:rsidRPr="007524B7">
        <w:rPr>
          <w:rFonts w:hint="eastAsia"/>
          <w:szCs w:val="21"/>
        </w:rPr>
        <w:t>建议</w:t>
      </w:r>
      <w:r w:rsidRPr="007524B7">
        <w:rPr>
          <w:szCs w:val="21"/>
        </w:rPr>
        <w:t>了解得不够</w:t>
      </w:r>
      <w:r w:rsidRPr="007524B7">
        <w:rPr>
          <w:rFonts w:hint="eastAsia"/>
          <w:szCs w:val="21"/>
        </w:rPr>
        <w:t>。</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9.</w:t>
      </w:r>
      <w:r w:rsidRPr="007524B7">
        <w:rPr>
          <w:szCs w:val="21"/>
        </w:rPr>
        <w:tab/>
      </w:r>
      <w:r w:rsidRPr="007524B7">
        <w:rPr>
          <w:szCs w:val="21"/>
        </w:rPr>
        <w:t>委员会重申其</w:t>
      </w:r>
      <w:r w:rsidRPr="007524B7">
        <w:rPr>
          <w:rFonts w:hint="eastAsia"/>
          <w:szCs w:val="21"/>
        </w:rPr>
        <w:t>以往的</w:t>
      </w:r>
      <w:r w:rsidRPr="007524B7">
        <w:rPr>
          <w:szCs w:val="21"/>
        </w:rPr>
        <w:t>建议</w:t>
      </w:r>
      <w:r w:rsidR="00850B36">
        <w:rPr>
          <w:rFonts w:hint="eastAsia"/>
          <w:szCs w:val="21"/>
        </w:rPr>
        <w:t>(</w:t>
      </w:r>
      <w:r w:rsidRPr="007524B7">
        <w:rPr>
          <w:rFonts w:hint="eastAsia"/>
          <w:szCs w:val="21"/>
        </w:rPr>
        <w:t>见</w:t>
      </w:r>
      <w:hyperlink r:id="rId21" w:history="1">
        <w:r w:rsidRPr="007524B7">
          <w:rPr>
            <w:szCs w:val="21"/>
          </w:rPr>
          <w:t>CEDAW/C/CZE/CO/5</w:t>
        </w:r>
      </w:hyperlink>
      <w:r w:rsidRPr="007524B7">
        <w:rPr>
          <w:rFonts w:hint="eastAsia"/>
          <w:szCs w:val="21"/>
        </w:rPr>
        <w:t>，第</w:t>
      </w:r>
      <w:r w:rsidRPr="007524B7">
        <w:rPr>
          <w:rFonts w:hint="eastAsia"/>
          <w:szCs w:val="21"/>
        </w:rPr>
        <w:t>13</w:t>
      </w:r>
      <w:r w:rsidRPr="007524B7">
        <w:rPr>
          <w:rFonts w:hint="eastAsia"/>
          <w:szCs w:val="21"/>
        </w:rPr>
        <w:t>段</w:t>
      </w:r>
      <w:r w:rsidR="00850B36">
        <w:rPr>
          <w:rFonts w:hint="eastAsia"/>
          <w:szCs w:val="21"/>
        </w:rPr>
        <w:t>)</w:t>
      </w:r>
      <w:r w:rsidRPr="007524B7">
        <w:rPr>
          <w:szCs w:val="21"/>
        </w:rPr>
        <w:t>，即缔约国应确保《公约》及其《任择议定书》，以及委员会的一般性建议，成为法官、律师和检察官法律教育和培训的组成部分，以使他们能够直接运用《公约》的条款，并根据《公约》来解释国家法律规定。它还重申，它请缔约国提高妇女对其根据《公约》享有的权利以及对《任择议定书》规定的来文和调查程序的意识。</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司法救助</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10.</w:t>
      </w:r>
      <w:r w:rsidRPr="007524B7">
        <w:rPr>
          <w:szCs w:val="21"/>
        </w:rPr>
        <w:tab/>
      </w:r>
      <w:r w:rsidRPr="007524B7">
        <w:rPr>
          <w:rFonts w:hint="eastAsia"/>
          <w:szCs w:val="21"/>
        </w:rPr>
        <w:t>委员会重申以往的关切，即在缔约国法院立案的性别歧视法律诉讼很少</w:t>
      </w:r>
      <w:r w:rsidRPr="007524B7">
        <w:rPr>
          <w:szCs w:val="21"/>
        </w:rPr>
        <w:t>，特别是由于诉讼费用以及很难提供性别歧视事件的证据，妇女往往倾向于庭外解决。</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11.</w:t>
      </w:r>
      <w:r w:rsidRPr="007524B7">
        <w:rPr>
          <w:rFonts w:eastAsia="黑体"/>
          <w:szCs w:val="21"/>
        </w:rPr>
        <w:tab/>
      </w:r>
      <w:r w:rsidRPr="007524B7">
        <w:rPr>
          <w:rFonts w:eastAsia="黑体" w:hAnsi="黑体" w:hint="eastAsia"/>
          <w:szCs w:val="21"/>
        </w:rPr>
        <w:t>委员会建议缔约国考虑到委员会关于妇女获得司法救助的第</w:t>
      </w:r>
      <w:r w:rsidRPr="007524B7">
        <w:rPr>
          <w:rFonts w:eastAsia="黑体" w:hint="eastAsia"/>
          <w:szCs w:val="21"/>
        </w:rPr>
        <w:t>33</w:t>
      </w:r>
      <w:r w:rsidR="00850B36">
        <w:rPr>
          <w:rFonts w:eastAsia="黑体" w:hAnsi="黑体" w:hint="eastAsia"/>
          <w:szCs w:val="21"/>
        </w:rPr>
        <w:t>(</w:t>
      </w:r>
      <w:r w:rsidRPr="007524B7">
        <w:rPr>
          <w:rFonts w:eastAsia="黑体" w:hint="eastAsia"/>
          <w:szCs w:val="21"/>
        </w:rPr>
        <w:t>2015</w:t>
      </w:r>
      <w:r w:rsidR="00850B36">
        <w:rPr>
          <w:rFonts w:eastAsia="黑体" w:hAnsi="黑体" w:hint="eastAsia"/>
          <w:szCs w:val="21"/>
        </w:rPr>
        <w:t>)</w:t>
      </w:r>
      <w:r w:rsidRPr="007524B7">
        <w:rPr>
          <w:rFonts w:eastAsia="黑体" w:hAnsi="黑体" w:hint="eastAsia"/>
          <w:szCs w:val="21"/>
        </w:rPr>
        <w:t>号一般性建议，迅速制定向反歧视诉讼程序中没有充分手段支付法律援助费用的妇女提供免费法律援助的综合制度。委员会还建议缔约国考虑进行立法改革，允许</w:t>
      </w:r>
      <w:r w:rsidRPr="007524B7">
        <w:rPr>
          <w:rFonts w:eastAsia="黑体" w:hAnsi="楷体" w:hint="eastAsia"/>
          <w:szCs w:val="21"/>
        </w:rPr>
        <w:t>集体行动</w:t>
      </w:r>
      <w:r w:rsidRPr="007524B7">
        <w:rPr>
          <w:rFonts w:eastAsia="黑体" w:hAnsi="黑体" w:hint="eastAsia"/>
          <w:szCs w:val="21"/>
        </w:rPr>
        <w:t>，包括在发生性别歧视的情况下。委员会重申以往的建议，即缔约国</w:t>
      </w:r>
      <w:r w:rsidRPr="007524B7">
        <w:rPr>
          <w:rFonts w:eastAsia="黑体" w:hAnsi="黑体"/>
          <w:szCs w:val="21"/>
        </w:rPr>
        <w:t>出于其根据《公约》，包括《反歧视法》、《劳动法》和《就业法》承担的义务，</w:t>
      </w:r>
      <w:r w:rsidRPr="007524B7">
        <w:rPr>
          <w:rFonts w:eastAsia="黑体" w:hAnsi="黑体" w:hint="eastAsia"/>
          <w:szCs w:val="21"/>
        </w:rPr>
        <w:t>为</w:t>
      </w:r>
      <w:r w:rsidRPr="007524B7">
        <w:rPr>
          <w:rFonts w:eastAsia="黑体" w:hAnsi="黑体"/>
          <w:szCs w:val="21"/>
        </w:rPr>
        <w:t>法官、律师、劳动视察员、非政府组织和雇主</w:t>
      </w:r>
      <w:r w:rsidRPr="007524B7">
        <w:rPr>
          <w:rFonts w:eastAsia="黑体" w:hAnsi="黑体" w:hint="eastAsia"/>
          <w:szCs w:val="21"/>
        </w:rPr>
        <w:t>提供应用</w:t>
      </w:r>
      <w:r w:rsidRPr="007524B7">
        <w:rPr>
          <w:rFonts w:eastAsia="黑体" w:hAnsi="黑体"/>
          <w:szCs w:val="21"/>
        </w:rPr>
        <w:t>禁止基于性别理由的歧视的法律</w:t>
      </w:r>
      <w:r w:rsidRPr="007524B7">
        <w:rPr>
          <w:rFonts w:eastAsia="黑体" w:hAnsi="黑体" w:hint="eastAsia"/>
          <w:szCs w:val="21"/>
        </w:rPr>
        <w:t>的系统培训</w:t>
      </w:r>
      <w:r w:rsidRPr="007524B7">
        <w:rPr>
          <w:rFonts w:eastAsia="黑体" w:hAnsi="黑体"/>
          <w:szCs w:val="21"/>
        </w:rPr>
        <w:t>。</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提高妇女地位的国家机构</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12.</w:t>
      </w:r>
      <w:r w:rsidRPr="007524B7">
        <w:rPr>
          <w:szCs w:val="21"/>
        </w:rPr>
        <w:tab/>
      </w:r>
      <w:r w:rsidRPr="007524B7">
        <w:rPr>
          <w:rFonts w:hint="eastAsia"/>
          <w:szCs w:val="21"/>
        </w:rPr>
        <w:t>委员会关切，缔约国频频调整提高妇女地位的国家机制的报告关系和授权任务，使《公约》的执行不稳定且削弱了执行《公约》的能力。委员会还仍然关切，性别平等股人力和财力不足，相当一部分资金来自欧洲社会基金和挪威的基金，而不是由缔约国经常预算的专用资金提供。</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13.</w:t>
      </w:r>
      <w:r w:rsidRPr="007524B7">
        <w:rPr>
          <w:rFonts w:eastAsia="黑体"/>
          <w:szCs w:val="21"/>
        </w:rPr>
        <w:tab/>
      </w:r>
      <w:r w:rsidRPr="007524B7">
        <w:rPr>
          <w:rFonts w:eastAsia="黑体" w:hAnsi="黑体" w:hint="eastAsia"/>
          <w:szCs w:val="21"/>
        </w:rPr>
        <w:t>委员会</w:t>
      </w:r>
      <w:r w:rsidRPr="007524B7">
        <w:rPr>
          <w:rFonts w:eastAsia="黑体" w:hAnsi="黑体"/>
          <w:szCs w:val="21"/>
        </w:rPr>
        <w:t>回顾其关于有效的国家</w:t>
      </w:r>
      <w:r w:rsidRPr="007524B7">
        <w:rPr>
          <w:rFonts w:eastAsia="黑体" w:hAnsi="黑体" w:hint="eastAsia"/>
          <w:szCs w:val="21"/>
        </w:rPr>
        <w:t>机制</w:t>
      </w:r>
      <w:r w:rsidRPr="007524B7">
        <w:rPr>
          <w:rFonts w:eastAsia="黑体" w:hAnsi="黑体"/>
          <w:szCs w:val="21"/>
        </w:rPr>
        <w:t>和宣传的第</w:t>
      </w:r>
      <w:r w:rsidRPr="007524B7">
        <w:rPr>
          <w:rFonts w:eastAsia="黑体"/>
          <w:szCs w:val="21"/>
        </w:rPr>
        <w:t>6</w:t>
      </w:r>
      <w:r w:rsidR="00850B36">
        <w:rPr>
          <w:rFonts w:eastAsia="黑体" w:hAnsi="黑体" w:hint="eastAsia"/>
          <w:szCs w:val="21"/>
        </w:rPr>
        <w:t>(</w:t>
      </w:r>
      <w:r w:rsidRPr="007524B7">
        <w:rPr>
          <w:rFonts w:eastAsia="黑体" w:hint="eastAsia"/>
          <w:szCs w:val="21"/>
        </w:rPr>
        <w:t>1988</w:t>
      </w:r>
      <w:r w:rsidR="00850B36">
        <w:rPr>
          <w:rFonts w:eastAsia="黑体" w:hAnsi="黑体" w:hint="eastAsia"/>
          <w:szCs w:val="21"/>
        </w:rPr>
        <w:t>)</w:t>
      </w:r>
      <w:r w:rsidRPr="007524B7">
        <w:rPr>
          <w:rFonts w:eastAsia="黑体" w:hAnsi="黑体"/>
          <w:szCs w:val="21"/>
        </w:rPr>
        <w:t>号一般性建议</w:t>
      </w:r>
      <w:r w:rsidRPr="007524B7">
        <w:rPr>
          <w:rFonts w:eastAsia="黑体" w:hAnsi="黑体" w:hint="eastAsia"/>
          <w:szCs w:val="21"/>
        </w:rPr>
        <w:t>以及</w:t>
      </w:r>
      <w:r w:rsidRPr="007524B7">
        <w:rPr>
          <w:rFonts w:eastAsia="黑体" w:hAnsi="黑体"/>
          <w:szCs w:val="21"/>
        </w:rPr>
        <w:t>《北京行动纲要》载明的指导方针，尤其是创造必要条件促进国家</w:t>
      </w:r>
      <w:r w:rsidRPr="007524B7">
        <w:rPr>
          <w:rFonts w:eastAsia="黑体" w:hAnsi="黑体" w:hint="eastAsia"/>
          <w:szCs w:val="21"/>
        </w:rPr>
        <w:t>机制</w:t>
      </w:r>
      <w:r w:rsidRPr="007524B7">
        <w:rPr>
          <w:rFonts w:eastAsia="黑体" w:hAnsi="黑体"/>
          <w:szCs w:val="21"/>
        </w:rPr>
        <w:t>有效运作</w:t>
      </w:r>
      <w:r w:rsidRPr="007524B7">
        <w:rPr>
          <w:rFonts w:eastAsia="黑体" w:hAnsi="黑体" w:hint="eastAsia"/>
          <w:szCs w:val="21"/>
        </w:rPr>
        <w:t>指导方针</w:t>
      </w:r>
      <w:r w:rsidRPr="007524B7">
        <w:rPr>
          <w:rFonts w:eastAsia="黑体" w:hAnsi="黑体"/>
          <w:szCs w:val="21"/>
        </w:rPr>
        <w:t>，</w:t>
      </w:r>
      <w:r w:rsidRPr="007524B7">
        <w:rPr>
          <w:rFonts w:eastAsia="黑体" w:hAnsi="黑体" w:hint="eastAsia"/>
          <w:szCs w:val="21"/>
        </w:rPr>
        <w:t>吁请缔约国建立一个明确、稳定且可持续的框架，使提高妇女地位的国家机制有效运转。该框架应包括明确的授权任务和报告关系、必要的权力、充足的人力和财政资源以及性别平等股的监察和评价能力。缔约国还应为其国家机制划拨专用经常预算资金。</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暂行特别措施</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14.</w:t>
      </w:r>
      <w:r w:rsidRPr="007524B7">
        <w:rPr>
          <w:szCs w:val="21"/>
        </w:rPr>
        <w:tab/>
      </w:r>
      <w:r w:rsidRPr="007524B7">
        <w:rPr>
          <w:szCs w:val="21"/>
        </w:rPr>
        <w:t>委员会注意到《反歧视法》</w:t>
      </w:r>
      <w:r w:rsidR="00850B36">
        <w:rPr>
          <w:rFonts w:hint="eastAsia"/>
          <w:szCs w:val="21"/>
        </w:rPr>
        <w:t>(</w:t>
      </w:r>
      <w:r w:rsidRPr="007524B7">
        <w:rPr>
          <w:szCs w:val="21"/>
        </w:rPr>
        <w:t>2009</w:t>
      </w:r>
      <w:r w:rsidRPr="007524B7">
        <w:rPr>
          <w:szCs w:val="21"/>
        </w:rPr>
        <w:t>年</w:t>
      </w:r>
      <w:r w:rsidR="00850B36">
        <w:rPr>
          <w:rFonts w:hint="eastAsia"/>
          <w:szCs w:val="21"/>
        </w:rPr>
        <w:t>)</w:t>
      </w:r>
      <w:r w:rsidRPr="007524B7">
        <w:rPr>
          <w:szCs w:val="21"/>
        </w:rPr>
        <w:t>没有明确提及政治参与，关于执行最近通过的《捷克共和国男女平等战略》</w:t>
      </w:r>
      <w:r w:rsidR="00850B36">
        <w:rPr>
          <w:rFonts w:hint="eastAsia"/>
          <w:szCs w:val="21"/>
        </w:rPr>
        <w:t>(</w:t>
      </w:r>
      <w:r w:rsidRPr="007524B7">
        <w:rPr>
          <w:szCs w:val="21"/>
        </w:rPr>
        <w:t>2014-2020</w:t>
      </w:r>
      <w:r w:rsidRPr="007524B7">
        <w:rPr>
          <w:szCs w:val="21"/>
        </w:rPr>
        <w:t>年</w:t>
      </w:r>
      <w:r w:rsidR="00850B36">
        <w:rPr>
          <w:rFonts w:hint="eastAsia"/>
          <w:szCs w:val="21"/>
        </w:rPr>
        <w:t>)(</w:t>
      </w:r>
      <w:r w:rsidRPr="007524B7">
        <w:rPr>
          <w:szCs w:val="21"/>
        </w:rPr>
        <w:t>即缔约国的</w:t>
      </w:r>
      <w:r w:rsidRPr="007524B7">
        <w:rPr>
          <w:rFonts w:hint="eastAsia"/>
          <w:szCs w:val="21"/>
        </w:rPr>
        <w:t>“</w:t>
      </w:r>
      <w:r w:rsidRPr="007524B7">
        <w:rPr>
          <w:szCs w:val="21"/>
        </w:rPr>
        <w:t>+1</w:t>
      </w:r>
      <w:r w:rsidRPr="007524B7">
        <w:rPr>
          <w:szCs w:val="21"/>
        </w:rPr>
        <w:t>战略</w:t>
      </w:r>
      <w:r w:rsidRPr="007524B7">
        <w:rPr>
          <w:rFonts w:hint="eastAsia"/>
          <w:szCs w:val="21"/>
        </w:rPr>
        <w:t>”</w:t>
      </w:r>
      <w:r w:rsidR="00850B36">
        <w:rPr>
          <w:rFonts w:hint="eastAsia"/>
          <w:szCs w:val="21"/>
        </w:rPr>
        <w:t>)</w:t>
      </w:r>
      <w:r w:rsidRPr="007524B7">
        <w:rPr>
          <w:szCs w:val="21"/>
        </w:rPr>
        <w:t>的行动计划正在制定之中。它遗憾</w:t>
      </w:r>
      <w:r w:rsidRPr="007524B7">
        <w:rPr>
          <w:rFonts w:hint="eastAsia"/>
          <w:szCs w:val="21"/>
        </w:rPr>
        <w:t>地注意到</w:t>
      </w:r>
      <w:r w:rsidRPr="007524B7">
        <w:rPr>
          <w:szCs w:val="21"/>
        </w:rPr>
        <w:t>，缔约国尚未通过</w:t>
      </w:r>
      <w:r w:rsidRPr="007524B7">
        <w:rPr>
          <w:rFonts w:hint="eastAsia"/>
          <w:szCs w:val="21"/>
        </w:rPr>
        <w:t>暂行</w:t>
      </w:r>
      <w:r w:rsidRPr="007524B7">
        <w:rPr>
          <w:szCs w:val="21"/>
        </w:rPr>
        <w:t>特别措施法律草案，这一法律草案将要求在各政党选举名单中列入最低限额妇女人数。委员会还关切</w:t>
      </w:r>
      <w:r w:rsidRPr="007524B7">
        <w:rPr>
          <w:rFonts w:hint="eastAsia"/>
          <w:szCs w:val="21"/>
        </w:rPr>
        <w:t>“</w:t>
      </w:r>
      <w:r w:rsidRPr="007524B7">
        <w:rPr>
          <w:szCs w:val="21"/>
        </w:rPr>
        <w:t>+1</w:t>
      </w:r>
      <w:r w:rsidRPr="007524B7">
        <w:rPr>
          <w:szCs w:val="21"/>
        </w:rPr>
        <w:t>战略</w:t>
      </w:r>
      <w:r w:rsidRPr="007524B7">
        <w:rPr>
          <w:rFonts w:hint="eastAsia"/>
          <w:szCs w:val="21"/>
        </w:rPr>
        <w:t>”</w:t>
      </w:r>
      <w:r w:rsidRPr="007524B7">
        <w:rPr>
          <w:szCs w:val="21"/>
        </w:rPr>
        <w:t>缺少具体的目标、指标和时间表，以加快妇女包括罗姆族妇女在参与政治和公共生活方面，特别是在立法</w:t>
      </w:r>
      <w:r w:rsidRPr="007524B7">
        <w:rPr>
          <w:rFonts w:hint="eastAsia"/>
          <w:szCs w:val="21"/>
        </w:rPr>
        <w:t>议会</w:t>
      </w:r>
      <w:r w:rsidRPr="007524B7">
        <w:rPr>
          <w:szCs w:val="21"/>
        </w:rPr>
        <w:t>、公共和私人公司、政府和公共行政部门以及高级别职位中的实质性平等。</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15.</w:t>
      </w:r>
      <w:r w:rsidRPr="007524B7">
        <w:rPr>
          <w:szCs w:val="21"/>
        </w:rPr>
        <w:tab/>
      </w:r>
      <w:r w:rsidRPr="007524B7">
        <w:rPr>
          <w:rFonts w:eastAsia="黑体" w:hAnsi="黑体"/>
          <w:szCs w:val="21"/>
        </w:rPr>
        <w:t>委员会再次建议缔约国按照《公约》第四条第</w:t>
      </w:r>
      <w:r w:rsidRPr="007524B7">
        <w:rPr>
          <w:rFonts w:eastAsia="黑体"/>
          <w:szCs w:val="21"/>
        </w:rPr>
        <w:t>1</w:t>
      </w:r>
      <w:r w:rsidRPr="007524B7">
        <w:rPr>
          <w:rFonts w:eastAsia="黑体" w:hAnsi="黑体"/>
          <w:szCs w:val="21"/>
        </w:rPr>
        <w:t>款和委员会关于</w:t>
      </w:r>
      <w:r w:rsidRPr="007524B7">
        <w:rPr>
          <w:rFonts w:eastAsia="黑体" w:hAnsi="黑体" w:hint="eastAsia"/>
          <w:szCs w:val="21"/>
        </w:rPr>
        <w:t>暂行</w:t>
      </w:r>
      <w:r w:rsidRPr="007524B7">
        <w:rPr>
          <w:rFonts w:eastAsia="黑体" w:hAnsi="黑体"/>
          <w:szCs w:val="21"/>
        </w:rPr>
        <w:t>特别措施的第</w:t>
      </w:r>
      <w:r w:rsidRPr="007524B7">
        <w:rPr>
          <w:rFonts w:eastAsia="黑体"/>
          <w:szCs w:val="21"/>
        </w:rPr>
        <w:t>25</w:t>
      </w:r>
      <w:r w:rsidR="00850B36">
        <w:rPr>
          <w:rFonts w:eastAsia="黑体" w:hAnsi="黑体" w:hint="eastAsia"/>
          <w:szCs w:val="21"/>
        </w:rPr>
        <w:t>(</w:t>
      </w:r>
      <w:r w:rsidRPr="007524B7">
        <w:rPr>
          <w:rFonts w:eastAsia="黑体"/>
          <w:szCs w:val="21"/>
        </w:rPr>
        <w:t>2004</w:t>
      </w:r>
      <w:r w:rsidR="00850B36">
        <w:rPr>
          <w:rFonts w:eastAsia="黑体" w:hAnsi="黑体" w:hint="eastAsia"/>
          <w:szCs w:val="21"/>
        </w:rPr>
        <w:t>)</w:t>
      </w:r>
      <w:r w:rsidRPr="007524B7">
        <w:rPr>
          <w:rFonts w:eastAsia="黑体" w:hAnsi="黑体"/>
          <w:szCs w:val="21"/>
        </w:rPr>
        <w:t>号一般性建议，在妇女代表性不足和处于不利地位的《公约》所涉一切领域更多使用</w:t>
      </w:r>
      <w:r w:rsidRPr="007524B7">
        <w:rPr>
          <w:rFonts w:eastAsia="黑体" w:hAnsi="黑体" w:hint="eastAsia"/>
          <w:szCs w:val="21"/>
        </w:rPr>
        <w:t>暂行</w:t>
      </w:r>
      <w:r w:rsidRPr="007524B7">
        <w:rPr>
          <w:rFonts w:eastAsia="黑体" w:hAnsi="黑体"/>
          <w:szCs w:val="21"/>
        </w:rPr>
        <w:t>特别措施。它建议缔约国制定实施男女平等</w:t>
      </w:r>
      <w:r w:rsidRPr="007524B7">
        <w:rPr>
          <w:rFonts w:eastAsia="黑体" w:hint="eastAsia"/>
          <w:szCs w:val="21"/>
        </w:rPr>
        <w:t>“</w:t>
      </w:r>
      <w:r w:rsidRPr="007524B7">
        <w:rPr>
          <w:rFonts w:eastAsia="黑体"/>
          <w:szCs w:val="21"/>
        </w:rPr>
        <w:t>+1</w:t>
      </w:r>
      <w:r w:rsidRPr="007524B7">
        <w:rPr>
          <w:rFonts w:eastAsia="黑体" w:hAnsi="黑体"/>
          <w:szCs w:val="21"/>
        </w:rPr>
        <w:t>战略</w:t>
      </w:r>
      <w:r w:rsidRPr="007524B7">
        <w:rPr>
          <w:rFonts w:eastAsia="黑体" w:hint="eastAsia"/>
          <w:szCs w:val="21"/>
        </w:rPr>
        <w:t>”</w:t>
      </w:r>
      <w:r w:rsidRPr="007524B7">
        <w:rPr>
          <w:rFonts w:eastAsia="黑体" w:hAnsi="黑体"/>
          <w:szCs w:val="21"/>
        </w:rPr>
        <w:t>的具体目标、指标和时间表，并考虑修正《反歧视法》和其他相关立法，列入</w:t>
      </w:r>
      <w:r w:rsidRPr="007524B7">
        <w:rPr>
          <w:rFonts w:eastAsia="黑体" w:hAnsi="黑体" w:hint="eastAsia"/>
          <w:szCs w:val="21"/>
        </w:rPr>
        <w:t>暂行</w:t>
      </w:r>
      <w:r w:rsidRPr="007524B7">
        <w:rPr>
          <w:rFonts w:eastAsia="黑体" w:hAnsi="黑体"/>
          <w:szCs w:val="21"/>
        </w:rPr>
        <w:t>特别措施以加速实现男女在政治和公共生活中的实质性平等。委员会还建议缔约国提高议员、政府官员、雇主和公众对</w:t>
      </w:r>
      <w:r w:rsidRPr="007524B7">
        <w:rPr>
          <w:rFonts w:eastAsia="黑体" w:hAnsi="黑体" w:hint="eastAsia"/>
          <w:szCs w:val="21"/>
        </w:rPr>
        <w:t>暂行</w:t>
      </w:r>
      <w:r w:rsidRPr="007524B7">
        <w:rPr>
          <w:rFonts w:eastAsia="黑体" w:hAnsi="黑体"/>
          <w:szCs w:val="21"/>
        </w:rPr>
        <w:t>特别措施必要性和时限的认识。</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spacing w:val="2"/>
          <w:szCs w:val="21"/>
        </w:rPr>
        <w:t>陈规</w:t>
      </w:r>
      <w:r w:rsidRPr="007524B7">
        <w:rPr>
          <w:rFonts w:eastAsia="黑体" w:hAnsi="黑体" w:hint="eastAsia"/>
          <w:spacing w:val="2"/>
          <w:szCs w:val="21"/>
        </w:rPr>
        <w:t>定型观念和歧视性做法</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16.</w:t>
      </w:r>
      <w:r w:rsidRPr="007524B7">
        <w:rPr>
          <w:szCs w:val="21"/>
        </w:rPr>
        <w:tab/>
      </w:r>
      <w:r w:rsidRPr="007524B7">
        <w:rPr>
          <w:szCs w:val="21"/>
        </w:rPr>
        <w:t>委员会注意到禁止性别歧视广告的第</w:t>
      </w:r>
      <w:r w:rsidRPr="007524B7">
        <w:rPr>
          <w:szCs w:val="21"/>
        </w:rPr>
        <w:t>40/1995 Coll</w:t>
      </w:r>
      <w:r w:rsidRPr="007524B7">
        <w:rPr>
          <w:rFonts w:hint="eastAsia"/>
          <w:szCs w:val="21"/>
        </w:rPr>
        <w:t>.</w:t>
      </w:r>
      <w:r w:rsidRPr="007524B7">
        <w:rPr>
          <w:szCs w:val="21"/>
        </w:rPr>
        <w:t>号法案具有积极意义。然而，它也关切</w:t>
      </w:r>
      <w:r w:rsidRPr="007524B7">
        <w:rPr>
          <w:rFonts w:hint="eastAsia"/>
          <w:szCs w:val="21"/>
        </w:rPr>
        <w:t>该</w:t>
      </w:r>
      <w:r w:rsidRPr="007524B7">
        <w:rPr>
          <w:szCs w:val="21"/>
        </w:rPr>
        <w:t>法案没有得到切实执行，监管机构，包括区域贸易办事处的人手不够，难以及时发现并删除性别歧视广告。委员会仍然关切长期存在的男女在家庭和社会中角色和责任方面的重男轻女态度和歧视性陈规定型观念，例如父亲休陪产假比率很低，妇女大量从事兼职工作或使用弹性工作安排，限制了她们的职业前景和退休金。</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17.</w:t>
      </w:r>
      <w:r w:rsidRPr="007524B7">
        <w:rPr>
          <w:rFonts w:eastAsia="黑体"/>
          <w:szCs w:val="21"/>
        </w:rPr>
        <w:tab/>
      </w:r>
      <w:r w:rsidRPr="007524B7">
        <w:rPr>
          <w:rFonts w:eastAsia="黑体" w:hAnsi="黑体"/>
          <w:szCs w:val="21"/>
        </w:rPr>
        <w:t>委员会再次建议缔约国加强努力，解决长期歧视妇女的持续和根深蒂固的性别</w:t>
      </w:r>
      <w:r w:rsidRPr="007524B7">
        <w:rPr>
          <w:rFonts w:eastAsia="黑体" w:hAnsi="黑体" w:hint="eastAsia"/>
          <w:szCs w:val="21"/>
        </w:rPr>
        <w:t>陈规定型观念</w:t>
      </w:r>
      <w:r w:rsidRPr="007524B7">
        <w:rPr>
          <w:rFonts w:eastAsia="黑体" w:hAnsi="黑体"/>
          <w:szCs w:val="21"/>
        </w:rPr>
        <w:t>。它建议缔约国</w:t>
      </w:r>
      <w:r w:rsidRPr="007524B7">
        <w:rPr>
          <w:rFonts w:eastAsia="黑体" w:hAnsi="黑体" w:hint="eastAsia"/>
          <w:szCs w:val="21"/>
        </w:rPr>
        <w:t>通过</w:t>
      </w:r>
      <w:r w:rsidRPr="007524B7">
        <w:rPr>
          <w:rFonts w:eastAsia="黑体" w:hAnsi="黑体"/>
          <w:szCs w:val="21"/>
        </w:rPr>
        <w:t>法律框架，确保采取迅速、有效和协调一致行动，反对性别歧视或歧视性广告和媒体节目。委员会还建议缔约国对妇女和男子，包括雇主开展有针对性的</w:t>
      </w:r>
      <w:r w:rsidRPr="007524B7">
        <w:rPr>
          <w:rFonts w:eastAsia="黑体" w:hAnsi="黑体" w:hint="eastAsia"/>
          <w:szCs w:val="21"/>
        </w:rPr>
        <w:t>提高认识</w:t>
      </w:r>
      <w:r w:rsidRPr="007524B7">
        <w:rPr>
          <w:rFonts w:eastAsia="黑体" w:hAnsi="黑体"/>
          <w:szCs w:val="21"/>
        </w:rPr>
        <w:t>和教育活动，促使男女之间平等分担家庭责任。这些措施应包括鼓励男人使用陪产假和弹性工作安排。</w:t>
      </w:r>
      <w:r w:rsidRPr="007524B7">
        <w:rPr>
          <w:rFonts w:eastAsia="黑体"/>
          <w:szCs w:val="21"/>
        </w:rPr>
        <w:t xml:space="preserve"> </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暴力侵害妇女行为</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18.</w:t>
      </w:r>
      <w:r w:rsidRPr="007524B7">
        <w:rPr>
          <w:szCs w:val="21"/>
        </w:rPr>
        <w:tab/>
      </w:r>
      <w:r w:rsidRPr="007524B7">
        <w:rPr>
          <w:szCs w:val="21"/>
        </w:rPr>
        <w:t>委员会注意到缔约国已采取步骤批准《欧洲委员会防止和打击暴力侵害妇女行为和家庭暴力行为公约》</w:t>
      </w:r>
      <w:r w:rsidR="00850B36">
        <w:rPr>
          <w:rFonts w:hint="eastAsia"/>
          <w:szCs w:val="21"/>
        </w:rPr>
        <w:t>(</w:t>
      </w:r>
      <w:r w:rsidRPr="007524B7">
        <w:rPr>
          <w:szCs w:val="21"/>
        </w:rPr>
        <w:t>《伊斯坦布尔公约》</w:t>
      </w:r>
      <w:r w:rsidR="00850B36">
        <w:rPr>
          <w:rFonts w:hint="eastAsia"/>
          <w:szCs w:val="21"/>
        </w:rPr>
        <w:t>)</w:t>
      </w:r>
      <w:r w:rsidRPr="007524B7">
        <w:rPr>
          <w:rFonts w:hint="eastAsia"/>
          <w:szCs w:val="21"/>
        </w:rPr>
        <w:t>，</w:t>
      </w:r>
      <w:r w:rsidRPr="007524B7">
        <w:rPr>
          <w:szCs w:val="21"/>
        </w:rPr>
        <w:t>但仍然关切《伊斯坦布尔公约》的批准进程可能进一步拖延。此外，委员会还关切：</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(a)</w:t>
      </w:r>
      <w:r w:rsidRPr="007524B7">
        <w:rPr>
          <w:szCs w:val="21"/>
        </w:rPr>
        <w:tab/>
      </w:r>
      <w:r w:rsidRPr="007524B7">
        <w:rPr>
          <w:szCs w:val="21"/>
        </w:rPr>
        <w:t>有报告称，针对警察和协助性别暴力受害者的专业人员的性别暴力包括家庭暴力问题能力建设方案没有体现出性别敏感性；</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rFonts w:hint="eastAsia"/>
          <w:szCs w:val="21"/>
        </w:rPr>
        <w:t>对</w:t>
      </w:r>
      <w:r w:rsidRPr="007524B7">
        <w:rPr>
          <w:szCs w:val="21"/>
        </w:rPr>
        <w:t>受害者服务</w:t>
      </w:r>
      <w:r w:rsidRPr="007524B7">
        <w:rPr>
          <w:rFonts w:hint="eastAsia"/>
          <w:szCs w:val="21"/>
        </w:rPr>
        <w:t>机构</w:t>
      </w:r>
      <w:r w:rsidRPr="007524B7">
        <w:rPr>
          <w:szCs w:val="21"/>
        </w:rPr>
        <w:t>拨款</w:t>
      </w:r>
      <w:r w:rsidRPr="007524B7">
        <w:rPr>
          <w:rFonts w:hint="eastAsia"/>
          <w:szCs w:val="21"/>
        </w:rPr>
        <w:t>的</w:t>
      </w:r>
      <w:r w:rsidRPr="007524B7">
        <w:rPr>
          <w:szCs w:val="21"/>
        </w:rPr>
        <w:t>制度不健全；</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(c)</w:t>
      </w:r>
      <w:r w:rsidRPr="007524B7">
        <w:rPr>
          <w:szCs w:val="21"/>
        </w:rPr>
        <w:tab/>
      </w:r>
      <w:r w:rsidRPr="007524B7">
        <w:rPr>
          <w:szCs w:val="21"/>
        </w:rPr>
        <w:t>此类服务机构严重依赖区域合作资金，对其长期稳定和可持续</w:t>
      </w:r>
      <w:r w:rsidRPr="007524B7">
        <w:rPr>
          <w:rFonts w:hint="eastAsia"/>
          <w:szCs w:val="21"/>
        </w:rPr>
        <w:t>性</w:t>
      </w:r>
      <w:r w:rsidRPr="007524B7">
        <w:rPr>
          <w:szCs w:val="21"/>
        </w:rPr>
        <w:t>具有不利影响。</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19.</w:t>
      </w:r>
      <w:r w:rsidRPr="007524B7">
        <w:rPr>
          <w:rFonts w:eastAsia="黑体"/>
          <w:szCs w:val="21"/>
        </w:rPr>
        <w:tab/>
      </w:r>
      <w:r w:rsidRPr="007524B7">
        <w:rPr>
          <w:rFonts w:eastAsia="黑体" w:hAnsi="黑体"/>
          <w:szCs w:val="21"/>
        </w:rPr>
        <w:t>委员会建议缔约国采取措施，加快《伊斯坦布尔公约》的批准进程。根据其关于对妇女暴力行为的第</w:t>
      </w:r>
      <w:r w:rsidRPr="007524B7">
        <w:rPr>
          <w:rFonts w:eastAsia="黑体"/>
          <w:szCs w:val="21"/>
        </w:rPr>
        <w:t>19</w:t>
      </w:r>
      <w:r w:rsidR="00850B36">
        <w:rPr>
          <w:rFonts w:eastAsia="黑体" w:hAnsi="黑体" w:hint="eastAsia"/>
          <w:szCs w:val="21"/>
        </w:rPr>
        <w:t>(</w:t>
      </w:r>
      <w:r w:rsidRPr="007524B7">
        <w:rPr>
          <w:rFonts w:eastAsia="黑体"/>
          <w:szCs w:val="21"/>
        </w:rPr>
        <w:t>1992</w:t>
      </w:r>
      <w:r w:rsidR="00850B36">
        <w:rPr>
          <w:rFonts w:eastAsia="黑体" w:hAnsi="黑体" w:hint="eastAsia"/>
          <w:szCs w:val="21"/>
        </w:rPr>
        <w:t>)</w:t>
      </w:r>
      <w:r w:rsidRPr="007524B7">
        <w:rPr>
          <w:rFonts w:eastAsia="黑体" w:hAnsi="黑体"/>
          <w:szCs w:val="21"/>
        </w:rPr>
        <w:t>号一般性建议，委员会敦促缔约国加紧努力，防止和处罚家庭暴力和性暴力行为，并向遭受此类暴力的妇女提供援助。为此，缔约国应当：</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(a)</w:t>
      </w:r>
      <w:r w:rsidRPr="007524B7">
        <w:rPr>
          <w:rFonts w:eastAsia="黑体"/>
          <w:szCs w:val="21"/>
        </w:rPr>
        <w:tab/>
      </w:r>
      <w:r w:rsidRPr="007524B7">
        <w:rPr>
          <w:rFonts w:eastAsia="黑体" w:hAnsi="黑体"/>
          <w:szCs w:val="21"/>
        </w:rPr>
        <w:t>对警察、保安人员和司法机构进行定期和系统培训，以使他们在履行职责时表现出性别敏感性；</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(b)</w:t>
      </w:r>
      <w:r w:rsidRPr="007524B7">
        <w:rPr>
          <w:rFonts w:eastAsia="黑体"/>
          <w:szCs w:val="21"/>
        </w:rPr>
        <w:tab/>
      </w:r>
      <w:r w:rsidRPr="007524B7">
        <w:rPr>
          <w:rFonts w:eastAsia="黑体" w:hAnsi="黑体"/>
          <w:szCs w:val="21"/>
        </w:rPr>
        <w:t>对性别暴力包括家庭暴力问题能力建设方案进行透明评估，以确保其完全符合《公约》规定；</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(c)</w:t>
      </w:r>
      <w:r w:rsidRPr="007524B7">
        <w:rPr>
          <w:rFonts w:eastAsia="黑体"/>
          <w:szCs w:val="21"/>
        </w:rPr>
        <w:tab/>
      </w:r>
      <w:r w:rsidRPr="007524B7">
        <w:rPr>
          <w:rFonts w:eastAsia="黑体" w:hAnsi="黑体"/>
          <w:szCs w:val="21"/>
        </w:rPr>
        <w:t>增加人力、技术和财力资源的分配，以长期和可持续方式向性别暴力受害者提供</w:t>
      </w:r>
      <w:r w:rsidRPr="007524B7">
        <w:rPr>
          <w:rFonts w:eastAsia="黑体" w:hAnsi="黑体" w:hint="eastAsia"/>
          <w:szCs w:val="21"/>
        </w:rPr>
        <w:t>专家</w:t>
      </w:r>
      <w:r w:rsidRPr="007524B7">
        <w:rPr>
          <w:rFonts w:eastAsia="黑体" w:hAnsi="黑体"/>
          <w:szCs w:val="21"/>
        </w:rPr>
        <w:t>服务；</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(d)</w:t>
      </w:r>
      <w:r w:rsidRPr="007524B7">
        <w:rPr>
          <w:rFonts w:eastAsia="黑体"/>
          <w:szCs w:val="21"/>
        </w:rPr>
        <w:tab/>
      </w:r>
      <w:r w:rsidRPr="007524B7">
        <w:rPr>
          <w:rFonts w:eastAsia="黑体" w:hAnsi="黑体"/>
          <w:szCs w:val="21"/>
        </w:rPr>
        <w:t>向受害者支助机构提供充分和可持续的资源；通过缔约国经常预算基金，而不是通过外部资金来源，逐步满足此类服务的资金需求。</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spacing w:val="2"/>
          <w:szCs w:val="21"/>
        </w:rPr>
        <w:t>贩运人口和利用他人卖淫营利</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20.</w:t>
      </w:r>
      <w:r w:rsidRPr="007524B7">
        <w:rPr>
          <w:szCs w:val="21"/>
        </w:rPr>
        <w:tab/>
      </w:r>
      <w:r w:rsidRPr="007524B7">
        <w:rPr>
          <w:szCs w:val="21"/>
        </w:rPr>
        <w:t>委员会注意到一个积极动向，即缔约国开始审议关于卖淫问题的立法草案。然而，委员会也关切地注意到：</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(a)</w:t>
      </w:r>
      <w:r w:rsidRPr="007524B7">
        <w:rPr>
          <w:szCs w:val="21"/>
        </w:rPr>
        <w:tab/>
      </w:r>
      <w:r w:rsidRPr="007524B7">
        <w:rPr>
          <w:szCs w:val="21"/>
        </w:rPr>
        <w:t>很少对贩运妇女和女童的罪犯进行起诉和判罪；</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szCs w:val="21"/>
        </w:rPr>
        <w:t>罗姆族和移民妇女及</w:t>
      </w:r>
      <w:r w:rsidRPr="007524B7">
        <w:rPr>
          <w:rFonts w:hint="eastAsia"/>
          <w:szCs w:val="21"/>
        </w:rPr>
        <w:t>女童</w:t>
      </w:r>
      <w:r w:rsidRPr="007524B7">
        <w:rPr>
          <w:szCs w:val="21"/>
        </w:rPr>
        <w:t>容易成为以性剥削和强迫劳动为目的的贩运活动的受害者；</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(c)</w:t>
      </w:r>
      <w:r w:rsidRPr="007524B7">
        <w:rPr>
          <w:szCs w:val="21"/>
        </w:rPr>
        <w:tab/>
      </w:r>
      <w:r w:rsidRPr="007524B7">
        <w:rPr>
          <w:szCs w:val="21"/>
        </w:rPr>
        <w:t>对被迫卖淫</w:t>
      </w:r>
      <w:r w:rsidRPr="007524B7">
        <w:rPr>
          <w:rFonts w:hint="eastAsia"/>
          <w:szCs w:val="21"/>
        </w:rPr>
        <w:t>受害者</w:t>
      </w:r>
      <w:r w:rsidRPr="007524B7">
        <w:rPr>
          <w:szCs w:val="21"/>
        </w:rPr>
        <w:t>的长期支持不够，希望离开卖淫业的妇女没有退出方案；</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(d)</w:t>
      </w:r>
      <w:r w:rsidRPr="007524B7">
        <w:rPr>
          <w:szCs w:val="21"/>
        </w:rPr>
        <w:tab/>
      </w:r>
      <w:r w:rsidRPr="007524B7">
        <w:rPr>
          <w:szCs w:val="21"/>
        </w:rPr>
        <w:t>没有采取具体措施实施</w:t>
      </w:r>
      <w:r w:rsidRPr="007524B7">
        <w:rPr>
          <w:szCs w:val="21"/>
        </w:rPr>
        <w:t>2014</w:t>
      </w:r>
      <w:r w:rsidRPr="007524B7">
        <w:rPr>
          <w:szCs w:val="21"/>
        </w:rPr>
        <w:t>年</w:t>
      </w:r>
      <w:r w:rsidRPr="007524B7">
        <w:rPr>
          <w:szCs w:val="21"/>
        </w:rPr>
        <w:t>2</w:t>
      </w:r>
      <w:r w:rsidRPr="007524B7">
        <w:rPr>
          <w:szCs w:val="21"/>
        </w:rPr>
        <w:t>月</w:t>
      </w:r>
      <w:r w:rsidRPr="007524B7">
        <w:rPr>
          <w:szCs w:val="21"/>
        </w:rPr>
        <w:t>26</w:t>
      </w:r>
      <w:r w:rsidRPr="007524B7">
        <w:rPr>
          <w:szCs w:val="21"/>
        </w:rPr>
        <w:t>日欧洲议会关于性剥削和卖淫及其对性别平等的影响的决议。</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21.</w:t>
      </w:r>
      <w:r w:rsidRPr="007524B7">
        <w:rPr>
          <w:rFonts w:eastAsia="黑体"/>
          <w:szCs w:val="21"/>
        </w:rPr>
        <w:tab/>
      </w:r>
      <w:r w:rsidRPr="007524B7">
        <w:rPr>
          <w:rFonts w:eastAsia="黑体" w:hAnsi="黑体"/>
          <w:szCs w:val="21"/>
        </w:rPr>
        <w:t>委员会呼吁缔约国打击贩运妇女和</w:t>
      </w:r>
      <w:r w:rsidRPr="007524B7">
        <w:rPr>
          <w:rFonts w:eastAsia="黑体" w:hAnsi="黑体" w:hint="eastAsia"/>
          <w:szCs w:val="21"/>
        </w:rPr>
        <w:t>女童行为</w:t>
      </w:r>
      <w:r w:rsidRPr="007524B7">
        <w:rPr>
          <w:rFonts w:eastAsia="黑体" w:hAnsi="黑体"/>
          <w:szCs w:val="21"/>
        </w:rPr>
        <w:t>，包括在区域一级和与邻国合作打击此类活动。为此，缔约国应当：</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(a)</w:t>
      </w:r>
      <w:r w:rsidRPr="007524B7">
        <w:rPr>
          <w:rFonts w:eastAsia="黑体"/>
          <w:szCs w:val="21"/>
        </w:rPr>
        <w:tab/>
      </w:r>
      <w:r w:rsidRPr="007524B7">
        <w:rPr>
          <w:rFonts w:eastAsia="黑体" w:hAnsi="黑体"/>
          <w:szCs w:val="21"/>
        </w:rPr>
        <w:t>确保对贩运妇女和女童罪行的罪犯，特别是以强迫卖淫和强迫劳动为目的的此类罪行的罪犯，进行起诉和给予适当处罚；按性别、年龄、民族和原籍国分类汇编</w:t>
      </w:r>
      <w:r w:rsidRPr="007524B7">
        <w:rPr>
          <w:rFonts w:eastAsia="黑体" w:hAnsi="黑体" w:hint="eastAsia"/>
          <w:szCs w:val="21"/>
        </w:rPr>
        <w:t>被</w:t>
      </w:r>
      <w:r w:rsidRPr="007524B7">
        <w:rPr>
          <w:rFonts w:eastAsia="黑体" w:hAnsi="黑体"/>
          <w:szCs w:val="21"/>
        </w:rPr>
        <w:t>贩运者统计数据；评估已实施的方案和战略的效率；</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(b)</w:t>
      </w:r>
      <w:r w:rsidRPr="007524B7">
        <w:rPr>
          <w:rFonts w:eastAsia="黑体"/>
          <w:szCs w:val="21"/>
        </w:rPr>
        <w:tab/>
      </w:r>
      <w:r w:rsidRPr="007524B7">
        <w:rPr>
          <w:rFonts w:eastAsia="黑体" w:hAnsi="黑体"/>
          <w:szCs w:val="21"/>
        </w:rPr>
        <w:t>针对罗姆族和移民妇女及</w:t>
      </w:r>
      <w:r w:rsidRPr="007524B7">
        <w:rPr>
          <w:rFonts w:eastAsia="黑体" w:hAnsi="黑体" w:hint="eastAsia"/>
          <w:szCs w:val="21"/>
        </w:rPr>
        <w:t>女童</w:t>
      </w:r>
      <w:r w:rsidRPr="007524B7">
        <w:rPr>
          <w:rFonts w:eastAsia="黑体" w:hAnsi="黑体"/>
          <w:szCs w:val="21"/>
        </w:rPr>
        <w:t>采取具体预防措施，向贩运受害者提供免费法律援助；</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(c)</w:t>
      </w:r>
      <w:r w:rsidRPr="007524B7">
        <w:rPr>
          <w:rFonts w:eastAsia="黑体"/>
          <w:szCs w:val="21"/>
        </w:rPr>
        <w:tab/>
      </w:r>
      <w:r w:rsidRPr="007524B7">
        <w:rPr>
          <w:rFonts w:eastAsia="黑体" w:hAnsi="黑体" w:hint="eastAsia"/>
          <w:szCs w:val="21"/>
        </w:rPr>
        <w:t>分配</w:t>
      </w:r>
      <w:r w:rsidRPr="007524B7">
        <w:rPr>
          <w:rFonts w:eastAsia="黑体" w:hAnsi="黑体"/>
          <w:szCs w:val="21"/>
        </w:rPr>
        <w:t>足够的人力、技术和财力资源，确保向希望离开卖淫业的妇女提供适当的医疗、心理社会和法律支持，</w:t>
      </w:r>
      <w:r w:rsidRPr="007524B7">
        <w:rPr>
          <w:rFonts w:eastAsia="黑体" w:hAnsi="黑体" w:hint="eastAsia"/>
          <w:szCs w:val="21"/>
        </w:rPr>
        <w:t>并向被迫卖淫受害者提供</w:t>
      </w:r>
      <w:r w:rsidRPr="007524B7">
        <w:rPr>
          <w:rFonts w:eastAsia="黑体" w:hAnsi="黑体"/>
          <w:szCs w:val="21"/>
        </w:rPr>
        <w:t>这些措施；</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(d)</w:t>
      </w:r>
      <w:r w:rsidRPr="007524B7">
        <w:rPr>
          <w:rFonts w:eastAsia="黑体"/>
          <w:szCs w:val="21"/>
        </w:rPr>
        <w:tab/>
      </w:r>
      <w:r w:rsidRPr="007524B7">
        <w:rPr>
          <w:rFonts w:eastAsia="黑体" w:hAnsi="黑体"/>
          <w:szCs w:val="21"/>
        </w:rPr>
        <w:t>根据</w:t>
      </w:r>
      <w:r w:rsidRPr="007524B7">
        <w:rPr>
          <w:rFonts w:eastAsia="黑体"/>
          <w:szCs w:val="21"/>
        </w:rPr>
        <w:t>2014</w:t>
      </w:r>
      <w:r w:rsidRPr="007524B7">
        <w:rPr>
          <w:rFonts w:eastAsia="黑体" w:hAnsi="黑体"/>
          <w:szCs w:val="21"/>
        </w:rPr>
        <w:t>年</w:t>
      </w:r>
      <w:r w:rsidRPr="007524B7">
        <w:rPr>
          <w:rFonts w:eastAsia="黑体"/>
          <w:szCs w:val="21"/>
        </w:rPr>
        <w:t>2</w:t>
      </w:r>
      <w:r w:rsidRPr="007524B7">
        <w:rPr>
          <w:rFonts w:eastAsia="黑体" w:hAnsi="黑体"/>
          <w:szCs w:val="21"/>
        </w:rPr>
        <w:t>月</w:t>
      </w:r>
      <w:r w:rsidRPr="007524B7">
        <w:rPr>
          <w:rFonts w:eastAsia="黑体"/>
          <w:szCs w:val="21"/>
        </w:rPr>
        <w:t>26</w:t>
      </w:r>
      <w:r w:rsidRPr="007524B7">
        <w:rPr>
          <w:rFonts w:eastAsia="黑体" w:hAnsi="黑体"/>
          <w:szCs w:val="21"/>
        </w:rPr>
        <w:t>日欧洲议会关于性剥削和卖淫及其对性别平等的影响的决议，制定相关政策。</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spacing w:val="2"/>
          <w:szCs w:val="21"/>
        </w:rPr>
        <w:tab/>
      </w:r>
      <w:r w:rsidRPr="007524B7">
        <w:rPr>
          <w:rFonts w:eastAsia="黑体" w:hAnsi="黑体" w:hint="eastAsia"/>
          <w:spacing w:val="2"/>
          <w:szCs w:val="21"/>
        </w:rPr>
        <w:t>参与政治和公共生活</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22.</w:t>
      </w:r>
      <w:r w:rsidRPr="007524B7">
        <w:rPr>
          <w:szCs w:val="21"/>
        </w:rPr>
        <w:tab/>
      </w:r>
      <w:r w:rsidRPr="007524B7">
        <w:rPr>
          <w:szCs w:val="21"/>
        </w:rPr>
        <w:t>委员会注意到缔约国司法机构中女性所占比例很高</w:t>
      </w:r>
      <w:r w:rsidRPr="007524B7">
        <w:rPr>
          <w:rFonts w:hint="eastAsia"/>
          <w:szCs w:val="21"/>
        </w:rPr>
        <w:t>，然而，它感到遗憾的是：</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(a)</w:t>
      </w:r>
      <w:r w:rsidRPr="007524B7">
        <w:rPr>
          <w:szCs w:val="21"/>
        </w:rPr>
        <w:tab/>
        <w:t>2015</w:t>
      </w:r>
      <w:r w:rsidRPr="007524B7">
        <w:rPr>
          <w:szCs w:val="21"/>
        </w:rPr>
        <w:t>年，缔约国议会否决了选举法的拟订修正案，</w:t>
      </w:r>
      <w:r w:rsidRPr="007524B7">
        <w:rPr>
          <w:rFonts w:hint="eastAsia"/>
          <w:szCs w:val="21"/>
        </w:rPr>
        <w:t>该</w:t>
      </w:r>
      <w:r w:rsidRPr="007524B7">
        <w:rPr>
          <w:szCs w:val="21"/>
        </w:rPr>
        <w:t>修正案要求建立</w:t>
      </w:r>
      <w:r w:rsidRPr="007524B7">
        <w:rPr>
          <w:rFonts w:hint="eastAsia"/>
          <w:szCs w:val="21"/>
        </w:rPr>
        <w:t>“</w:t>
      </w:r>
      <w:r w:rsidRPr="007524B7">
        <w:rPr>
          <w:szCs w:val="21"/>
        </w:rPr>
        <w:t>对等制度</w:t>
      </w:r>
      <w:r w:rsidRPr="007524B7">
        <w:rPr>
          <w:rFonts w:hint="eastAsia"/>
          <w:szCs w:val="21"/>
        </w:rPr>
        <w:t>”</w:t>
      </w:r>
      <w:r w:rsidRPr="007524B7">
        <w:rPr>
          <w:szCs w:val="21"/>
        </w:rPr>
        <w:t>，确保每三名政治候选人中至少有一名女性，并对不遵守者给予处罚；</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szCs w:val="21"/>
        </w:rPr>
        <w:t>在各级决策职位，包括议会两院、地区和地方议会、政府，尤其是部长和副部长职位、市长和大使职位、外交部</w:t>
      </w:r>
      <w:r w:rsidRPr="007524B7">
        <w:rPr>
          <w:rFonts w:hint="eastAsia"/>
          <w:szCs w:val="21"/>
        </w:rPr>
        <w:t>的</w:t>
      </w:r>
      <w:r w:rsidRPr="007524B7">
        <w:rPr>
          <w:szCs w:val="21"/>
        </w:rPr>
        <w:t>高级别职位以及缔约国</w:t>
      </w:r>
      <w:r w:rsidRPr="007524B7">
        <w:rPr>
          <w:rFonts w:hint="eastAsia"/>
          <w:szCs w:val="21"/>
        </w:rPr>
        <w:t>的国有</w:t>
      </w:r>
      <w:r w:rsidRPr="007524B7">
        <w:rPr>
          <w:szCs w:val="21"/>
        </w:rPr>
        <w:t>或</w:t>
      </w:r>
      <w:r w:rsidRPr="007524B7">
        <w:rPr>
          <w:rFonts w:hint="eastAsia"/>
          <w:szCs w:val="21"/>
        </w:rPr>
        <w:t>控股</w:t>
      </w:r>
      <w:r w:rsidRPr="007524B7">
        <w:rPr>
          <w:szCs w:val="21"/>
        </w:rPr>
        <w:t>公司的高级别职务中，妇女特别是罗姆族妇女的代表性</w:t>
      </w:r>
      <w:r w:rsidRPr="007524B7">
        <w:rPr>
          <w:rFonts w:hint="eastAsia"/>
          <w:szCs w:val="21"/>
        </w:rPr>
        <w:t>仍然严重</w:t>
      </w:r>
      <w:r w:rsidRPr="007524B7">
        <w:rPr>
          <w:szCs w:val="21"/>
        </w:rPr>
        <w:t>不足。</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23.</w:t>
      </w:r>
      <w:r w:rsidRPr="007524B7">
        <w:rPr>
          <w:rFonts w:eastAsia="黑体"/>
          <w:szCs w:val="21"/>
        </w:rPr>
        <w:tab/>
      </w:r>
      <w:r w:rsidRPr="007524B7">
        <w:rPr>
          <w:rFonts w:eastAsia="黑体" w:hAnsi="黑体"/>
          <w:szCs w:val="21"/>
        </w:rPr>
        <w:t>委员会重申其</w:t>
      </w:r>
      <w:r w:rsidRPr="007524B7">
        <w:rPr>
          <w:rFonts w:eastAsia="黑体" w:hAnsi="黑体" w:hint="eastAsia"/>
          <w:szCs w:val="21"/>
        </w:rPr>
        <w:t>以往</w:t>
      </w:r>
      <w:r w:rsidRPr="007524B7">
        <w:rPr>
          <w:rFonts w:eastAsia="黑体" w:hAnsi="黑体"/>
          <w:szCs w:val="21"/>
        </w:rPr>
        <w:t>的建议</w:t>
      </w:r>
      <w:r w:rsidR="00850B36">
        <w:rPr>
          <w:rFonts w:eastAsia="黑体" w:hAnsi="黑体" w:hint="eastAsia"/>
          <w:szCs w:val="21"/>
        </w:rPr>
        <w:t>(</w:t>
      </w:r>
      <w:hyperlink r:id="rId22" w:history="1">
        <w:r w:rsidRPr="007524B7">
          <w:rPr>
            <w:rFonts w:eastAsia="黑体"/>
            <w:szCs w:val="21"/>
          </w:rPr>
          <w:t>CEDAW/C/CZE/CO/5</w:t>
        </w:r>
      </w:hyperlink>
      <w:r w:rsidRPr="007524B7">
        <w:rPr>
          <w:rFonts w:eastAsia="黑体" w:hAnsi="黑体" w:hint="eastAsia"/>
          <w:szCs w:val="21"/>
        </w:rPr>
        <w:t>，</w:t>
      </w:r>
      <w:r w:rsidRPr="007524B7">
        <w:rPr>
          <w:rFonts w:eastAsia="黑体" w:hAnsi="黑体"/>
          <w:szCs w:val="21"/>
        </w:rPr>
        <w:t>第</w:t>
      </w:r>
      <w:r w:rsidRPr="007524B7">
        <w:rPr>
          <w:rFonts w:eastAsia="黑体"/>
          <w:szCs w:val="21"/>
        </w:rPr>
        <w:t>27</w:t>
      </w:r>
      <w:r w:rsidRPr="007524B7">
        <w:rPr>
          <w:rFonts w:eastAsia="黑体" w:hAnsi="黑体"/>
          <w:szCs w:val="21"/>
        </w:rPr>
        <w:t>段</w:t>
      </w:r>
      <w:r w:rsidR="00850B36">
        <w:rPr>
          <w:rFonts w:eastAsia="黑体" w:hAnsi="黑体" w:hint="eastAsia"/>
          <w:szCs w:val="21"/>
        </w:rPr>
        <w:t>)</w:t>
      </w:r>
      <w:r w:rsidRPr="007524B7">
        <w:rPr>
          <w:rFonts w:eastAsia="黑体" w:hAnsi="黑体"/>
          <w:szCs w:val="21"/>
        </w:rPr>
        <w:t>，</w:t>
      </w:r>
      <w:r w:rsidRPr="007524B7">
        <w:rPr>
          <w:rFonts w:eastAsia="黑体" w:hAnsi="黑体" w:hint="eastAsia"/>
          <w:szCs w:val="21"/>
        </w:rPr>
        <w:t>即</w:t>
      </w:r>
      <w:r w:rsidRPr="007524B7">
        <w:rPr>
          <w:rFonts w:eastAsia="黑体" w:hAnsi="黑体"/>
          <w:szCs w:val="21"/>
        </w:rPr>
        <w:t>缔约国按照《公约》第四条第</w:t>
      </w:r>
      <w:r w:rsidRPr="007524B7">
        <w:rPr>
          <w:rFonts w:eastAsia="黑体"/>
          <w:szCs w:val="21"/>
        </w:rPr>
        <w:t>1</w:t>
      </w:r>
      <w:r w:rsidRPr="007524B7">
        <w:rPr>
          <w:rFonts w:eastAsia="黑体" w:hAnsi="黑体"/>
          <w:szCs w:val="21"/>
        </w:rPr>
        <w:t>款和委员会第</w:t>
      </w:r>
      <w:r w:rsidRPr="007524B7">
        <w:rPr>
          <w:rFonts w:eastAsia="黑体"/>
          <w:szCs w:val="21"/>
        </w:rPr>
        <w:t>25</w:t>
      </w:r>
      <w:r w:rsidRPr="007524B7">
        <w:rPr>
          <w:rFonts w:eastAsia="黑体" w:hAnsi="黑体"/>
          <w:szCs w:val="21"/>
        </w:rPr>
        <w:t>号一般性建议采取有效措施，包括</w:t>
      </w:r>
      <w:r w:rsidRPr="007524B7">
        <w:rPr>
          <w:rFonts w:eastAsia="黑体" w:hAnsi="黑体" w:hint="eastAsia"/>
          <w:szCs w:val="21"/>
        </w:rPr>
        <w:t>暂行</w:t>
      </w:r>
      <w:r w:rsidRPr="007524B7">
        <w:rPr>
          <w:rFonts w:eastAsia="黑体" w:hAnsi="黑体"/>
          <w:szCs w:val="21"/>
        </w:rPr>
        <w:t>特别措施</w:t>
      </w:r>
      <w:r w:rsidRPr="007524B7">
        <w:rPr>
          <w:rFonts w:eastAsia="黑体" w:hAnsi="黑体" w:hint="eastAsia"/>
          <w:szCs w:val="21"/>
        </w:rPr>
        <w:t>。为此，缔约国应当：</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(a)</w:t>
      </w:r>
      <w:r w:rsidRPr="007524B7">
        <w:rPr>
          <w:rFonts w:eastAsia="黑体"/>
          <w:szCs w:val="21"/>
        </w:rPr>
        <w:tab/>
      </w:r>
      <w:r w:rsidRPr="007524B7">
        <w:rPr>
          <w:rFonts w:eastAsia="黑体" w:hAnsi="黑体" w:hint="eastAsia"/>
          <w:szCs w:val="21"/>
        </w:rPr>
        <w:t>修正选举法，以执行选举候选人的</w:t>
      </w:r>
      <w:r w:rsidRPr="007524B7">
        <w:rPr>
          <w:rFonts w:eastAsia="黑体" w:hint="eastAsia"/>
          <w:szCs w:val="21"/>
        </w:rPr>
        <w:t>“</w:t>
      </w:r>
      <w:r w:rsidRPr="007524B7">
        <w:rPr>
          <w:rFonts w:eastAsia="黑体" w:hAnsi="黑体" w:hint="eastAsia"/>
          <w:szCs w:val="21"/>
        </w:rPr>
        <w:t>对等</w:t>
      </w:r>
      <w:r w:rsidRPr="007524B7">
        <w:rPr>
          <w:rFonts w:eastAsia="黑体" w:hint="eastAsia"/>
          <w:szCs w:val="21"/>
        </w:rPr>
        <w:t>”</w:t>
      </w:r>
      <w:r w:rsidRPr="007524B7">
        <w:rPr>
          <w:rFonts w:eastAsia="黑体" w:hAnsi="黑体" w:hint="eastAsia"/>
          <w:szCs w:val="21"/>
        </w:rPr>
        <w:t>制度；</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(b)</w:t>
      </w:r>
      <w:r w:rsidRPr="007524B7">
        <w:rPr>
          <w:rFonts w:eastAsia="黑体"/>
          <w:szCs w:val="21"/>
        </w:rPr>
        <w:tab/>
      </w:r>
      <w:r w:rsidRPr="007524B7">
        <w:rPr>
          <w:rFonts w:eastAsia="黑体" w:hAnsi="黑体"/>
          <w:szCs w:val="21"/>
        </w:rPr>
        <w:t>制定具体目标、指标和时间表，以增加妇女包括罗姆族妇女在立法</w:t>
      </w:r>
      <w:r w:rsidRPr="007524B7">
        <w:rPr>
          <w:rFonts w:eastAsia="黑体" w:hAnsi="黑体" w:hint="eastAsia"/>
          <w:szCs w:val="21"/>
        </w:rPr>
        <w:t>议会</w:t>
      </w:r>
      <w:r w:rsidRPr="007524B7">
        <w:rPr>
          <w:rFonts w:eastAsia="黑体" w:hAnsi="黑体"/>
          <w:szCs w:val="21"/>
        </w:rPr>
        <w:t>、政府部门和公共行政部门，尤其是高级职位中的代表性</w:t>
      </w:r>
      <w:r w:rsidRPr="007524B7">
        <w:rPr>
          <w:rFonts w:eastAsia="黑体" w:hAnsi="黑体" w:hint="eastAsia"/>
          <w:szCs w:val="21"/>
        </w:rPr>
        <w:t>，并且把此类</w:t>
      </w:r>
      <w:r w:rsidRPr="007524B7">
        <w:rPr>
          <w:rFonts w:eastAsia="黑体" w:hAnsi="黑体"/>
          <w:szCs w:val="21"/>
        </w:rPr>
        <w:t>特别措施列入每个政府部门的内部规则和规章</w:t>
      </w:r>
      <w:r w:rsidRPr="007524B7">
        <w:rPr>
          <w:rFonts w:eastAsia="黑体" w:hAnsi="黑体" w:hint="eastAsia"/>
          <w:szCs w:val="21"/>
        </w:rPr>
        <w:t>；</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(c)</w:t>
      </w:r>
      <w:r w:rsidRPr="007524B7">
        <w:rPr>
          <w:rFonts w:eastAsia="黑体"/>
          <w:szCs w:val="21"/>
        </w:rPr>
        <w:tab/>
      </w:r>
      <w:r w:rsidRPr="007524B7">
        <w:rPr>
          <w:rFonts w:eastAsia="黑体" w:hAnsi="黑体"/>
          <w:szCs w:val="21"/>
        </w:rPr>
        <w:t>对遵守</w:t>
      </w:r>
      <w:r w:rsidRPr="007524B7">
        <w:rPr>
          <w:rFonts w:eastAsia="黑体" w:hAnsi="黑体" w:hint="eastAsia"/>
          <w:szCs w:val="21"/>
        </w:rPr>
        <w:t>此类措施或配额</w:t>
      </w:r>
      <w:r w:rsidRPr="007524B7">
        <w:rPr>
          <w:rFonts w:eastAsia="黑体" w:hAnsi="黑体"/>
          <w:szCs w:val="21"/>
        </w:rPr>
        <w:t>的决策者给予奖励，对不遵守的决策者加以适当制裁。</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(d)</w:t>
      </w:r>
      <w:r w:rsidRPr="007524B7">
        <w:rPr>
          <w:rFonts w:eastAsia="黑体"/>
          <w:szCs w:val="21"/>
        </w:rPr>
        <w:tab/>
      </w:r>
      <w:r w:rsidRPr="007524B7">
        <w:rPr>
          <w:rFonts w:eastAsia="黑体" w:hAnsi="黑体"/>
          <w:szCs w:val="21"/>
        </w:rPr>
        <w:t>建</w:t>
      </w:r>
      <w:r w:rsidRPr="00850B36">
        <w:rPr>
          <w:rFonts w:eastAsia="黑体" w:hAnsi="黑体"/>
          <w:spacing w:val="-6"/>
          <w:szCs w:val="21"/>
        </w:rPr>
        <w:t>立一个透明和独立的系统，监测和报告妇女参与政治和公共生活的情况。</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教育</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24.</w:t>
      </w:r>
      <w:r w:rsidRPr="007524B7">
        <w:rPr>
          <w:szCs w:val="21"/>
        </w:rPr>
        <w:tab/>
      </w:r>
      <w:r w:rsidRPr="007524B7">
        <w:rPr>
          <w:szCs w:val="21"/>
        </w:rPr>
        <w:t>委员会欢迎</w:t>
      </w:r>
      <w:r w:rsidRPr="007524B7">
        <w:rPr>
          <w:szCs w:val="21"/>
        </w:rPr>
        <w:t>2015</w:t>
      </w:r>
      <w:r w:rsidRPr="007524B7">
        <w:rPr>
          <w:szCs w:val="21"/>
        </w:rPr>
        <w:t>年缔约国通过《罗姆人融入社会战略》，以帮助确保罗姆男童和</w:t>
      </w:r>
      <w:r w:rsidRPr="007524B7">
        <w:rPr>
          <w:rFonts w:hint="eastAsia"/>
          <w:szCs w:val="21"/>
        </w:rPr>
        <w:t>女童</w:t>
      </w:r>
      <w:r w:rsidRPr="007524B7">
        <w:rPr>
          <w:szCs w:val="21"/>
        </w:rPr>
        <w:t>获得平等教育机会。然而，委员会也注意到，缔约国在对话中称，教育系统监管放松，权力下放</w:t>
      </w:r>
      <w:r w:rsidRPr="007524B7">
        <w:rPr>
          <w:rFonts w:hint="eastAsia"/>
          <w:szCs w:val="21"/>
        </w:rPr>
        <w:t>，导致缔约国干预</w:t>
      </w:r>
      <w:r w:rsidRPr="007524B7">
        <w:rPr>
          <w:szCs w:val="21"/>
        </w:rPr>
        <w:t>教育系统的结构和教学大纲</w:t>
      </w:r>
      <w:r w:rsidRPr="007524B7">
        <w:rPr>
          <w:rFonts w:hint="eastAsia"/>
          <w:szCs w:val="21"/>
        </w:rPr>
        <w:t>的手段有限</w:t>
      </w:r>
      <w:r w:rsidRPr="007524B7">
        <w:rPr>
          <w:szCs w:val="21"/>
        </w:rPr>
        <w:t>。在</w:t>
      </w:r>
      <w:r w:rsidRPr="007524B7">
        <w:rPr>
          <w:rFonts w:hint="eastAsia"/>
          <w:szCs w:val="21"/>
        </w:rPr>
        <w:t>此</w:t>
      </w:r>
      <w:r w:rsidRPr="007524B7">
        <w:rPr>
          <w:szCs w:val="21"/>
        </w:rPr>
        <w:t>背景下，委员会再次表示关切妇女和</w:t>
      </w:r>
      <w:r w:rsidRPr="007524B7">
        <w:rPr>
          <w:rFonts w:hint="eastAsia"/>
          <w:szCs w:val="21"/>
        </w:rPr>
        <w:t>女童</w:t>
      </w:r>
      <w:r w:rsidRPr="007524B7">
        <w:rPr>
          <w:szCs w:val="21"/>
        </w:rPr>
        <w:t>在技工学校和科研工作，以及在学术界，特别是高级别职位中人数偏少。虽然</w:t>
      </w:r>
      <w:r w:rsidRPr="007524B7">
        <w:rPr>
          <w:rFonts w:hint="eastAsia"/>
          <w:szCs w:val="21"/>
        </w:rPr>
        <w:t>注意到</w:t>
      </w:r>
      <w:r w:rsidRPr="007524B7">
        <w:rPr>
          <w:szCs w:val="21"/>
        </w:rPr>
        <w:t>教育部向教科书供应商发出了如何纳入性别平等观点的准则，但没有协调一致或全面的监督机制来确保教学大纲符合《公约》原则。委员会还关切大量罗姆</w:t>
      </w:r>
      <w:r w:rsidRPr="007524B7">
        <w:rPr>
          <w:rFonts w:hint="eastAsia"/>
          <w:szCs w:val="21"/>
        </w:rPr>
        <w:t>女童</w:t>
      </w:r>
      <w:r w:rsidRPr="007524B7">
        <w:rPr>
          <w:szCs w:val="21"/>
        </w:rPr>
        <w:t>辍学或</w:t>
      </w:r>
      <w:r w:rsidRPr="007524B7">
        <w:rPr>
          <w:rFonts w:hint="eastAsia"/>
          <w:szCs w:val="21"/>
        </w:rPr>
        <w:t>旷课</w:t>
      </w:r>
      <w:r w:rsidRPr="007524B7">
        <w:rPr>
          <w:szCs w:val="21"/>
        </w:rPr>
        <w:t>，尤其是</w:t>
      </w:r>
      <w:r w:rsidRPr="007524B7">
        <w:rPr>
          <w:rFonts w:hint="eastAsia"/>
          <w:szCs w:val="21"/>
        </w:rPr>
        <w:t>受</w:t>
      </w:r>
      <w:r w:rsidRPr="007524B7">
        <w:rPr>
          <w:szCs w:val="21"/>
        </w:rPr>
        <w:t>社会排斥的地区。</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25.</w:t>
      </w:r>
      <w:r w:rsidRPr="007524B7">
        <w:rPr>
          <w:rFonts w:eastAsia="黑体"/>
          <w:szCs w:val="21"/>
        </w:rPr>
        <w:tab/>
      </w:r>
      <w:r w:rsidRPr="007524B7">
        <w:rPr>
          <w:rFonts w:eastAsia="黑体" w:hAnsi="黑体"/>
          <w:szCs w:val="21"/>
        </w:rPr>
        <w:t>委员会建议缔约国颁布法律，确保具有全面一致的框架，保障其教育部门的组织结构、做法和教学大纲符合人权，包括妇女权利。在这</w:t>
      </w:r>
      <w:r w:rsidRPr="007524B7">
        <w:rPr>
          <w:rFonts w:eastAsia="黑体" w:hAnsi="黑体" w:hint="eastAsia"/>
          <w:szCs w:val="21"/>
        </w:rPr>
        <w:t>方面</w:t>
      </w:r>
      <w:r w:rsidRPr="007524B7">
        <w:rPr>
          <w:rFonts w:eastAsia="黑体" w:hAnsi="黑体"/>
          <w:szCs w:val="21"/>
        </w:rPr>
        <w:t>，应优先推动在技工学校和科研领域为女童提供非传统的职业选择，以及聘用妇女在学术界高层任职。委员会还建议缔约国进一步加强努力，减少罗姆族女童辍学和旷课现象，辅导教师如何应对长期存在的对罗姆人的偏见和负面的性别</w:t>
      </w:r>
      <w:r w:rsidRPr="007524B7">
        <w:rPr>
          <w:rFonts w:eastAsia="黑体" w:hAnsi="黑体" w:hint="eastAsia"/>
          <w:szCs w:val="21"/>
        </w:rPr>
        <w:t>陈规定型观念</w:t>
      </w:r>
      <w:r w:rsidRPr="007524B7">
        <w:rPr>
          <w:rFonts w:eastAsia="黑体" w:hAnsi="黑体"/>
          <w:szCs w:val="21"/>
        </w:rPr>
        <w:t>，并制</w:t>
      </w:r>
      <w:r w:rsidRPr="007524B7">
        <w:rPr>
          <w:rFonts w:eastAsia="黑体" w:hAnsi="黑体" w:hint="eastAsia"/>
          <w:szCs w:val="21"/>
        </w:rPr>
        <w:t>定</w:t>
      </w:r>
      <w:r w:rsidRPr="007524B7">
        <w:rPr>
          <w:rFonts w:eastAsia="黑体" w:hAnsi="黑体"/>
          <w:szCs w:val="21"/>
        </w:rPr>
        <w:t>促进教育部门性别平等的性别政策。</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就业</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26.</w:t>
      </w:r>
      <w:r w:rsidRPr="007524B7">
        <w:rPr>
          <w:szCs w:val="21"/>
        </w:rPr>
        <w:tab/>
      </w:r>
      <w:r w:rsidRPr="007524B7">
        <w:rPr>
          <w:szCs w:val="21"/>
        </w:rPr>
        <w:t>委员会对于本报告所述期间进展缓慢感到关切。委员会注意到缔约国缩小了男女</w:t>
      </w:r>
      <w:r w:rsidRPr="007524B7">
        <w:rPr>
          <w:rFonts w:hint="eastAsia"/>
          <w:szCs w:val="21"/>
        </w:rPr>
        <w:t>之间</w:t>
      </w:r>
      <w:r w:rsidRPr="007524B7">
        <w:rPr>
          <w:szCs w:val="21"/>
        </w:rPr>
        <w:t>巨大的薪资差异，但仍感关切的是：</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(a)</w:t>
      </w:r>
      <w:r w:rsidRPr="007524B7">
        <w:rPr>
          <w:szCs w:val="21"/>
        </w:rPr>
        <w:tab/>
      </w:r>
      <w:r w:rsidRPr="007524B7">
        <w:rPr>
          <w:szCs w:val="21"/>
        </w:rPr>
        <w:t>妇女就业率低，劳动力市场中存在横向和纵向隔离，妇女集中在传统上由妇女占主导地位的职业和非正规部门，妇女担任管理和决策职务的比例很低；</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szCs w:val="21"/>
        </w:rPr>
        <w:t>男女之间仍然存在着约</w:t>
      </w:r>
      <w:r w:rsidRPr="007524B7">
        <w:rPr>
          <w:szCs w:val="21"/>
        </w:rPr>
        <w:t>21%</w:t>
      </w:r>
      <w:r w:rsidRPr="007524B7">
        <w:rPr>
          <w:szCs w:val="21"/>
        </w:rPr>
        <w:t>的薪资差距；</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(c)</w:t>
      </w:r>
      <w:r w:rsidRPr="007524B7">
        <w:rPr>
          <w:szCs w:val="21"/>
        </w:rPr>
        <w:tab/>
      </w:r>
      <w:r w:rsidRPr="007524B7">
        <w:rPr>
          <w:szCs w:val="21"/>
        </w:rPr>
        <w:t>虽然最近任命了</w:t>
      </w:r>
      <w:r w:rsidRPr="007524B7">
        <w:rPr>
          <w:szCs w:val="21"/>
        </w:rPr>
        <w:t>16</w:t>
      </w:r>
      <w:r w:rsidRPr="007524B7">
        <w:rPr>
          <w:szCs w:val="21"/>
        </w:rPr>
        <w:t>名劳动监察员，但是中央和地区劳动监察部门的能力有限，难以消除性别歧视，尤其是罗姆族妇女和难民及移徙妇女等面临着交叉形式歧视；</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(d)</w:t>
      </w:r>
      <w:r w:rsidRPr="007524B7">
        <w:rPr>
          <w:szCs w:val="21"/>
        </w:rPr>
        <w:tab/>
      </w:r>
      <w:r w:rsidRPr="007524B7">
        <w:rPr>
          <w:szCs w:val="21"/>
        </w:rPr>
        <w:t>最低工资，近期虽然有所增加，但水平仍然很低，单身母亲的最低工资处于贫困线以下。</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27.</w:t>
      </w:r>
      <w:r w:rsidRPr="007524B7">
        <w:rPr>
          <w:rFonts w:eastAsia="黑体"/>
          <w:szCs w:val="21"/>
        </w:rPr>
        <w:tab/>
      </w:r>
      <w:r w:rsidRPr="007524B7">
        <w:rPr>
          <w:rFonts w:eastAsia="黑体" w:hAnsi="黑体"/>
          <w:szCs w:val="21"/>
        </w:rPr>
        <w:t>委员会建议缔约国加强措施，确保劳动力市场中男女的实质性平等。委员会尤其建议缔约国：</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(a)</w:t>
      </w:r>
      <w:r w:rsidRPr="007524B7">
        <w:rPr>
          <w:rFonts w:eastAsia="黑体"/>
          <w:szCs w:val="21"/>
        </w:rPr>
        <w:tab/>
      </w:r>
      <w:r w:rsidRPr="007524B7">
        <w:rPr>
          <w:rFonts w:eastAsia="黑体" w:hAnsi="黑体"/>
          <w:szCs w:val="21"/>
        </w:rPr>
        <w:t>采取措施消除职业隔离，改善妇女就业不足</w:t>
      </w:r>
      <w:r w:rsidRPr="007524B7">
        <w:rPr>
          <w:rFonts w:eastAsia="黑体" w:hAnsi="黑体" w:hint="eastAsia"/>
          <w:szCs w:val="21"/>
        </w:rPr>
        <w:t>情况，</w:t>
      </w:r>
      <w:r w:rsidRPr="007524B7">
        <w:rPr>
          <w:rFonts w:eastAsia="黑体" w:hAnsi="黑体"/>
          <w:szCs w:val="21"/>
        </w:rPr>
        <w:t>包括</w:t>
      </w:r>
      <w:r w:rsidRPr="007524B7">
        <w:rPr>
          <w:rFonts w:eastAsia="黑体" w:hAnsi="黑体" w:hint="eastAsia"/>
          <w:szCs w:val="21"/>
        </w:rPr>
        <w:t>加强努力，</w:t>
      </w:r>
      <w:r w:rsidRPr="007524B7">
        <w:rPr>
          <w:rFonts w:eastAsia="黑体" w:hAnsi="黑体"/>
          <w:szCs w:val="21"/>
        </w:rPr>
        <w:t>鼓励妇女和女童在教育和职业培训中选择非传统的专业和职业道路；优先帮助妇女由兼职工作转为全职工作，促进妇女全职就业，为此提供</w:t>
      </w:r>
      <w:r w:rsidRPr="007524B7">
        <w:rPr>
          <w:rFonts w:eastAsia="黑体" w:hAnsi="黑体" w:hint="eastAsia"/>
          <w:szCs w:val="21"/>
        </w:rPr>
        <w:t>适足的优质</w:t>
      </w:r>
      <w:r w:rsidRPr="007524B7">
        <w:rPr>
          <w:rFonts w:eastAsia="黑体" w:hAnsi="黑体"/>
          <w:szCs w:val="21"/>
        </w:rPr>
        <w:t>育儿服务并促进男女平等分担家庭责任；提倡男子休育儿假；</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(b)</w:t>
      </w:r>
      <w:r w:rsidRPr="007524B7">
        <w:rPr>
          <w:rFonts w:eastAsia="黑体"/>
          <w:szCs w:val="21"/>
        </w:rPr>
        <w:tab/>
      </w:r>
      <w:r w:rsidRPr="007524B7">
        <w:rPr>
          <w:rFonts w:eastAsia="黑体" w:hAnsi="黑体"/>
          <w:szCs w:val="21"/>
        </w:rPr>
        <w:t>继续缩小男女之间的薪资差距，</w:t>
      </w:r>
      <w:r w:rsidRPr="007524B7">
        <w:rPr>
          <w:rFonts w:eastAsia="黑体" w:hAnsi="黑体" w:hint="eastAsia"/>
          <w:szCs w:val="21"/>
        </w:rPr>
        <w:t>以便</w:t>
      </w:r>
      <w:r w:rsidRPr="007524B7">
        <w:rPr>
          <w:rFonts w:eastAsia="黑体" w:hAnsi="黑体"/>
          <w:szCs w:val="21"/>
        </w:rPr>
        <w:t>彻底消除差距，包括尽快落实计划中的在线</w:t>
      </w:r>
      <w:r w:rsidRPr="007524B7">
        <w:rPr>
          <w:rFonts w:eastAsia="黑体" w:hint="eastAsia"/>
          <w:szCs w:val="21"/>
        </w:rPr>
        <w:t>“</w:t>
      </w:r>
      <w:r w:rsidRPr="007524B7">
        <w:rPr>
          <w:rFonts w:eastAsia="黑体" w:hAnsi="黑体"/>
          <w:szCs w:val="21"/>
        </w:rPr>
        <w:t>薪资计算器</w:t>
      </w:r>
      <w:r w:rsidRPr="007524B7">
        <w:rPr>
          <w:rFonts w:eastAsia="黑体" w:hAnsi="黑体" w:hint="eastAsia"/>
          <w:szCs w:val="21"/>
        </w:rPr>
        <w:t>”</w:t>
      </w:r>
      <w:r w:rsidRPr="007524B7">
        <w:rPr>
          <w:rFonts w:eastAsia="黑体" w:hAnsi="黑体"/>
          <w:szCs w:val="21"/>
        </w:rPr>
        <w:t>，确保它所依据的数据收集系统定期收集可独立核实的性别和工资数据，而且数据具有</w:t>
      </w:r>
      <w:r w:rsidRPr="007524B7">
        <w:rPr>
          <w:rFonts w:eastAsia="黑体" w:hAnsi="黑体" w:hint="eastAsia"/>
          <w:szCs w:val="21"/>
        </w:rPr>
        <w:t>交叉</w:t>
      </w:r>
      <w:r w:rsidRPr="007524B7">
        <w:rPr>
          <w:rFonts w:eastAsia="黑体" w:hAnsi="黑体"/>
          <w:szCs w:val="21"/>
        </w:rPr>
        <w:t>可比性和透明度；为同工同酬提供一个明确的法律定义；确保具备有效机制，就违反</w:t>
      </w:r>
      <w:r w:rsidRPr="007524B7">
        <w:rPr>
          <w:rFonts w:eastAsia="黑体" w:hAnsi="黑体" w:hint="eastAsia"/>
          <w:szCs w:val="21"/>
        </w:rPr>
        <w:t>这一</w:t>
      </w:r>
      <w:r w:rsidRPr="007524B7">
        <w:rPr>
          <w:rFonts w:eastAsia="黑体" w:hAnsi="黑体"/>
          <w:szCs w:val="21"/>
        </w:rPr>
        <w:t>原则的行为及时提供补救和赔偿；</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(c)</w:t>
      </w:r>
      <w:r w:rsidRPr="007524B7">
        <w:rPr>
          <w:rFonts w:eastAsia="黑体"/>
          <w:szCs w:val="21"/>
        </w:rPr>
        <w:tab/>
      </w:r>
      <w:r w:rsidRPr="007524B7">
        <w:rPr>
          <w:rFonts w:eastAsia="黑体" w:hAnsi="黑体"/>
          <w:szCs w:val="21"/>
        </w:rPr>
        <w:t>进一步加强劳动监察员的工作，使其能够打击歧视性劳动行为，并</w:t>
      </w:r>
      <w:r w:rsidRPr="007524B7">
        <w:rPr>
          <w:rFonts w:eastAsia="黑体" w:hAnsi="黑体" w:hint="eastAsia"/>
          <w:szCs w:val="21"/>
        </w:rPr>
        <w:t>授权它们</w:t>
      </w:r>
      <w:r w:rsidRPr="007524B7">
        <w:rPr>
          <w:rFonts w:eastAsia="黑体" w:hAnsi="黑体"/>
          <w:szCs w:val="21"/>
        </w:rPr>
        <w:t>对此类行为实施者执行相应的制裁；</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(d)</w:t>
      </w:r>
      <w:r w:rsidRPr="007524B7">
        <w:rPr>
          <w:rFonts w:eastAsia="黑体"/>
          <w:szCs w:val="21"/>
        </w:rPr>
        <w:tab/>
      </w:r>
      <w:r w:rsidRPr="007524B7">
        <w:rPr>
          <w:rFonts w:eastAsia="黑体" w:hAnsi="黑体"/>
          <w:szCs w:val="21"/>
        </w:rPr>
        <w:t>考虑提高最低工资水平，以消除最低工资对贫困女性化的负面影响。</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健康</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w w:val="101"/>
          <w:szCs w:val="21"/>
        </w:rPr>
        <w:t>28.</w:t>
      </w:r>
      <w:r w:rsidRPr="007524B7">
        <w:rPr>
          <w:w w:val="101"/>
          <w:szCs w:val="21"/>
        </w:rPr>
        <w:tab/>
      </w:r>
      <w:r w:rsidRPr="00850B36">
        <w:rPr>
          <w:szCs w:val="21"/>
        </w:rPr>
        <w:t>委员会感到遗憾的是，缔约国没有充分执行委员会以往的建议</w:t>
      </w:r>
      <w:r w:rsidR="00850B36" w:rsidRPr="00850B36">
        <w:rPr>
          <w:rFonts w:hint="eastAsia"/>
          <w:szCs w:val="21"/>
        </w:rPr>
        <w:t>(</w:t>
      </w:r>
      <w:hyperlink r:id="rId23" w:history="1">
        <w:r w:rsidRPr="00850B36">
          <w:rPr>
            <w:w w:val="101"/>
            <w:szCs w:val="21"/>
          </w:rPr>
          <w:t>CEDAW/C/</w:t>
        </w:r>
        <w:r w:rsidR="00850B36">
          <w:rPr>
            <w:rFonts w:hint="eastAsia"/>
            <w:w w:val="101"/>
            <w:szCs w:val="21"/>
          </w:rPr>
          <w:t xml:space="preserve"> </w:t>
        </w:r>
        <w:r w:rsidRPr="00850B36">
          <w:rPr>
            <w:w w:val="101"/>
            <w:szCs w:val="21"/>
          </w:rPr>
          <w:t>CZE/CO/3</w:t>
        </w:r>
      </w:hyperlink>
      <w:r w:rsidRPr="00850B36">
        <w:rPr>
          <w:rFonts w:hint="eastAsia"/>
          <w:szCs w:val="21"/>
        </w:rPr>
        <w:t>，</w:t>
      </w:r>
      <w:r w:rsidRPr="007524B7">
        <w:rPr>
          <w:szCs w:val="21"/>
        </w:rPr>
        <w:t>第</w:t>
      </w:r>
      <w:r w:rsidRPr="007524B7">
        <w:rPr>
          <w:szCs w:val="21"/>
        </w:rPr>
        <w:t>24</w:t>
      </w:r>
      <w:r w:rsidRPr="007524B7">
        <w:rPr>
          <w:szCs w:val="21"/>
        </w:rPr>
        <w:t>段和</w:t>
      </w:r>
      <w:hyperlink r:id="rId24" w:history="1">
        <w:r w:rsidRPr="007524B7">
          <w:rPr>
            <w:w w:val="101"/>
            <w:szCs w:val="21"/>
          </w:rPr>
          <w:t>CEDAW/C/CZE/CO/5</w:t>
        </w:r>
      </w:hyperlink>
      <w:r w:rsidRPr="007524B7">
        <w:rPr>
          <w:rFonts w:hint="eastAsia"/>
          <w:szCs w:val="21"/>
        </w:rPr>
        <w:t>，</w:t>
      </w:r>
      <w:r w:rsidRPr="007524B7">
        <w:rPr>
          <w:szCs w:val="21"/>
        </w:rPr>
        <w:t>第</w:t>
      </w:r>
      <w:r w:rsidRPr="007524B7">
        <w:rPr>
          <w:szCs w:val="21"/>
        </w:rPr>
        <w:t>35</w:t>
      </w:r>
      <w:r w:rsidRPr="007524B7">
        <w:rPr>
          <w:szCs w:val="21"/>
        </w:rPr>
        <w:t>段</w:t>
      </w:r>
      <w:r w:rsidR="00850B36">
        <w:rPr>
          <w:rFonts w:hint="eastAsia"/>
          <w:szCs w:val="21"/>
        </w:rPr>
        <w:t>)</w:t>
      </w:r>
      <w:r w:rsidRPr="007524B7">
        <w:rPr>
          <w:szCs w:val="21"/>
        </w:rPr>
        <w:t>，即通过一项法律框架，为强制或未经同意的绝育手术的受害者提供经济补偿。委员会还关切地注意到，议会驳回了提议为解决这一问题设立司法外机制的立法草案。委员会再次关切地指出，强制绝育手术受害者提出的大部分索赔要求由于法院的解释被驳回，即提出赔偿要求的时效限制为受到伤害后</w:t>
      </w:r>
      <w:r w:rsidRPr="007524B7">
        <w:rPr>
          <w:rFonts w:hint="eastAsia"/>
          <w:szCs w:val="21"/>
        </w:rPr>
        <w:t>三</w:t>
      </w:r>
      <w:r w:rsidRPr="007524B7">
        <w:rPr>
          <w:szCs w:val="21"/>
        </w:rPr>
        <w:t>年之内，而不是发现强制绝育的真实含义和所有后果后</w:t>
      </w:r>
      <w:r w:rsidRPr="007524B7">
        <w:rPr>
          <w:rFonts w:hint="eastAsia"/>
          <w:szCs w:val="21"/>
        </w:rPr>
        <w:t>三</w:t>
      </w:r>
      <w:r w:rsidRPr="007524B7">
        <w:rPr>
          <w:szCs w:val="21"/>
        </w:rPr>
        <w:t>年之内。</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29.</w:t>
      </w:r>
      <w:r w:rsidRPr="007524B7">
        <w:rPr>
          <w:rFonts w:eastAsia="黑体"/>
          <w:szCs w:val="21"/>
        </w:rPr>
        <w:tab/>
      </w:r>
      <w:r w:rsidRPr="007524B7">
        <w:rPr>
          <w:rFonts w:eastAsia="黑体" w:hAnsi="黑体"/>
          <w:szCs w:val="21"/>
        </w:rPr>
        <w:t>委员会根据其以往的结论性意见</w:t>
      </w:r>
      <w:r w:rsidR="00850B36">
        <w:rPr>
          <w:rFonts w:eastAsia="黑体" w:hAnsi="黑体" w:hint="eastAsia"/>
          <w:szCs w:val="21"/>
        </w:rPr>
        <w:t>(</w:t>
      </w:r>
      <w:hyperlink r:id="rId25" w:history="1">
        <w:r w:rsidRPr="007524B7">
          <w:rPr>
            <w:rFonts w:eastAsia="黑体"/>
            <w:szCs w:val="21"/>
          </w:rPr>
          <w:t>CEDAW/C/CZE/CO/3</w:t>
        </w:r>
      </w:hyperlink>
      <w:r w:rsidRPr="007524B7">
        <w:rPr>
          <w:rFonts w:eastAsia="黑体" w:hAnsi="黑体" w:hint="eastAsia"/>
          <w:szCs w:val="21"/>
        </w:rPr>
        <w:t>，</w:t>
      </w:r>
      <w:r w:rsidRPr="007524B7">
        <w:rPr>
          <w:rFonts w:eastAsia="黑体" w:hAnsi="黑体"/>
          <w:szCs w:val="21"/>
        </w:rPr>
        <w:t>第</w:t>
      </w:r>
      <w:r w:rsidRPr="007524B7">
        <w:rPr>
          <w:rFonts w:eastAsia="黑体"/>
          <w:szCs w:val="21"/>
        </w:rPr>
        <w:t>24</w:t>
      </w:r>
      <w:r w:rsidRPr="007524B7">
        <w:rPr>
          <w:rFonts w:eastAsia="黑体" w:hAnsi="黑体"/>
          <w:szCs w:val="21"/>
        </w:rPr>
        <w:t>段和</w:t>
      </w:r>
      <w:hyperlink r:id="rId26" w:history="1">
        <w:r w:rsidRPr="007524B7">
          <w:rPr>
            <w:rFonts w:eastAsia="黑体"/>
            <w:szCs w:val="21"/>
          </w:rPr>
          <w:t>CEDAW/C/</w:t>
        </w:r>
        <w:r w:rsidR="00850B36">
          <w:rPr>
            <w:rFonts w:eastAsia="黑体" w:hint="eastAsia"/>
            <w:szCs w:val="21"/>
          </w:rPr>
          <w:t xml:space="preserve"> </w:t>
        </w:r>
        <w:r w:rsidRPr="007524B7">
          <w:rPr>
            <w:rFonts w:eastAsia="黑体"/>
            <w:szCs w:val="21"/>
          </w:rPr>
          <w:t>CZE/CO/5</w:t>
        </w:r>
      </w:hyperlink>
      <w:r w:rsidRPr="007524B7">
        <w:rPr>
          <w:rFonts w:eastAsia="黑体" w:hAnsi="黑体" w:hint="eastAsia"/>
          <w:szCs w:val="21"/>
        </w:rPr>
        <w:t>，</w:t>
      </w:r>
      <w:r w:rsidRPr="007524B7">
        <w:rPr>
          <w:rFonts w:eastAsia="黑体" w:hAnsi="黑体"/>
          <w:szCs w:val="21"/>
        </w:rPr>
        <w:t>第</w:t>
      </w:r>
      <w:r w:rsidRPr="007524B7">
        <w:rPr>
          <w:rFonts w:eastAsia="黑体"/>
          <w:szCs w:val="21"/>
        </w:rPr>
        <w:t>35</w:t>
      </w:r>
      <w:r w:rsidRPr="007524B7">
        <w:rPr>
          <w:rFonts w:eastAsia="黑体" w:hAnsi="黑体"/>
          <w:szCs w:val="21"/>
        </w:rPr>
        <w:t>段</w:t>
      </w:r>
      <w:r w:rsidR="00850B36">
        <w:rPr>
          <w:rFonts w:eastAsia="黑体" w:hAnsi="黑体" w:hint="eastAsia"/>
          <w:szCs w:val="21"/>
        </w:rPr>
        <w:t>)</w:t>
      </w:r>
      <w:r w:rsidRPr="007524B7">
        <w:rPr>
          <w:rFonts w:eastAsia="黑体" w:hAnsi="黑体"/>
          <w:szCs w:val="21"/>
        </w:rPr>
        <w:t>、关于第十二条</w:t>
      </w:r>
      <w:r w:rsidR="00850B36">
        <w:rPr>
          <w:rFonts w:eastAsia="黑体" w:hAnsi="黑体" w:hint="eastAsia"/>
          <w:szCs w:val="21"/>
        </w:rPr>
        <w:t>(</w:t>
      </w:r>
      <w:r w:rsidRPr="007524B7">
        <w:rPr>
          <w:rFonts w:eastAsia="黑体" w:hAnsi="黑体"/>
          <w:szCs w:val="21"/>
        </w:rPr>
        <w:t>妇女和保健</w:t>
      </w:r>
      <w:r w:rsidR="00850B36">
        <w:rPr>
          <w:rFonts w:eastAsia="黑体" w:hAnsi="黑体" w:hint="eastAsia"/>
          <w:szCs w:val="21"/>
        </w:rPr>
        <w:t>)</w:t>
      </w:r>
      <w:r w:rsidRPr="007524B7">
        <w:rPr>
          <w:rFonts w:eastAsia="黑体" w:hAnsi="黑体" w:hint="eastAsia"/>
          <w:szCs w:val="21"/>
        </w:rPr>
        <w:t>的</w:t>
      </w:r>
      <w:r w:rsidRPr="007524B7">
        <w:rPr>
          <w:rFonts w:eastAsia="黑体" w:hAnsi="黑体"/>
          <w:szCs w:val="21"/>
        </w:rPr>
        <w:t>第</w:t>
      </w:r>
      <w:r w:rsidRPr="007524B7">
        <w:rPr>
          <w:rFonts w:eastAsia="黑体"/>
          <w:szCs w:val="21"/>
        </w:rPr>
        <w:t>19</w:t>
      </w:r>
      <w:r w:rsidR="00850B36">
        <w:rPr>
          <w:rFonts w:eastAsia="黑体" w:hAnsi="黑体" w:hint="eastAsia"/>
          <w:szCs w:val="21"/>
        </w:rPr>
        <w:t>(</w:t>
      </w:r>
      <w:r w:rsidRPr="007524B7">
        <w:rPr>
          <w:rFonts w:eastAsia="黑体" w:hint="eastAsia"/>
          <w:szCs w:val="21"/>
        </w:rPr>
        <w:t>1999</w:t>
      </w:r>
      <w:r w:rsidR="00850B36">
        <w:rPr>
          <w:rFonts w:eastAsia="黑体" w:hAnsi="黑体" w:hint="eastAsia"/>
          <w:szCs w:val="21"/>
        </w:rPr>
        <w:t>)</w:t>
      </w:r>
      <w:r w:rsidRPr="007524B7">
        <w:rPr>
          <w:rFonts w:eastAsia="黑体" w:hAnsi="黑体" w:hint="eastAsia"/>
          <w:szCs w:val="21"/>
        </w:rPr>
        <w:t>号和第</w:t>
      </w:r>
      <w:r w:rsidRPr="007524B7">
        <w:rPr>
          <w:rFonts w:eastAsia="黑体" w:hint="eastAsia"/>
          <w:szCs w:val="21"/>
        </w:rPr>
        <w:t>24</w:t>
      </w:r>
      <w:r w:rsidR="00850B36">
        <w:rPr>
          <w:rFonts w:eastAsia="黑体" w:hAnsi="黑体" w:hint="eastAsia"/>
          <w:szCs w:val="21"/>
        </w:rPr>
        <w:t>(</w:t>
      </w:r>
      <w:r w:rsidRPr="007524B7">
        <w:rPr>
          <w:rFonts w:eastAsia="黑体" w:hint="eastAsia"/>
          <w:szCs w:val="21"/>
        </w:rPr>
        <w:t>1999</w:t>
      </w:r>
      <w:r w:rsidR="00850B36">
        <w:rPr>
          <w:rFonts w:eastAsia="黑体" w:hAnsi="黑体" w:hint="eastAsia"/>
          <w:szCs w:val="21"/>
        </w:rPr>
        <w:t>)</w:t>
      </w:r>
      <w:r w:rsidRPr="007524B7">
        <w:rPr>
          <w:rFonts w:eastAsia="黑体" w:hAnsi="黑体" w:hint="eastAsia"/>
          <w:szCs w:val="21"/>
        </w:rPr>
        <w:t>号一般性建议</w:t>
      </w:r>
      <w:r w:rsidRPr="007524B7">
        <w:rPr>
          <w:rFonts w:eastAsia="黑体" w:hAnsi="黑体"/>
          <w:szCs w:val="21"/>
        </w:rPr>
        <w:t>以及监察员在</w:t>
      </w:r>
      <w:r w:rsidRPr="007524B7">
        <w:rPr>
          <w:rFonts w:eastAsia="黑体"/>
          <w:szCs w:val="21"/>
        </w:rPr>
        <w:t>2005</w:t>
      </w:r>
      <w:r w:rsidRPr="007524B7">
        <w:rPr>
          <w:rFonts w:eastAsia="黑体" w:hAnsi="黑体"/>
          <w:szCs w:val="21"/>
        </w:rPr>
        <w:t>年</w:t>
      </w:r>
      <w:r w:rsidRPr="007524B7">
        <w:rPr>
          <w:rFonts w:eastAsia="黑体"/>
          <w:szCs w:val="21"/>
        </w:rPr>
        <w:t>12</w:t>
      </w:r>
      <w:r w:rsidRPr="007524B7">
        <w:rPr>
          <w:rFonts w:eastAsia="黑体" w:hAnsi="黑体"/>
          <w:szCs w:val="21"/>
        </w:rPr>
        <w:t>月</w:t>
      </w:r>
      <w:r w:rsidRPr="007524B7">
        <w:rPr>
          <w:rFonts w:eastAsia="黑体"/>
          <w:szCs w:val="21"/>
        </w:rPr>
        <w:t>23</w:t>
      </w:r>
      <w:r w:rsidRPr="007524B7">
        <w:rPr>
          <w:rFonts w:eastAsia="黑体" w:hAnsi="黑体"/>
          <w:szCs w:val="21"/>
        </w:rPr>
        <w:t>日</w:t>
      </w:r>
      <w:r w:rsidRPr="007524B7">
        <w:rPr>
          <w:rFonts w:eastAsia="黑体" w:hAnsi="黑体" w:hint="eastAsia"/>
          <w:szCs w:val="21"/>
        </w:rPr>
        <w:t>的</w:t>
      </w:r>
      <w:r w:rsidRPr="007524B7">
        <w:rPr>
          <w:rFonts w:eastAsia="黑体" w:hAnsi="黑体"/>
          <w:szCs w:val="21"/>
        </w:rPr>
        <w:t>最后声明中提出的关于违法施行绝育和拟议的补救措施问题的建议，再次呼吁缔约国：</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(a)</w:t>
      </w:r>
      <w:r w:rsidRPr="007524B7">
        <w:rPr>
          <w:rFonts w:eastAsia="黑体"/>
          <w:szCs w:val="21"/>
        </w:rPr>
        <w:tab/>
      </w:r>
      <w:r w:rsidRPr="007524B7">
        <w:rPr>
          <w:rFonts w:eastAsia="黑体" w:hAnsi="黑体"/>
          <w:szCs w:val="21"/>
        </w:rPr>
        <w:t>审查对于在强制或未经同意的情况下施行绝育手术提出索赔的</w:t>
      </w:r>
      <w:r w:rsidRPr="007524B7">
        <w:rPr>
          <w:rFonts w:eastAsia="黑体" w:hAnsi="黑体" w:hint="eastAsia"/>
          <w:szCs w:val="21"/>
        </w:rPr>
        <w:t>三</w:t>
      </w:r>
      <w:r w:rsidRPr="007524B7">
        <w:rPr>
          <w:rFonts w:eastAsia="黑体" w:hAnsi="黑体"/>
          <w:szCs w:val="21"/>
        </w:rPr>
        <w:t>年时效限制，以便延长这一时限，并且至少确保时限从受害者发现绝育的真实含义和所有后果时开始，而不是从受到伤害时开始计算；</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(b)</w:t>
      </w:r>
      <w:r w:rsidRPr="007524B7">
        <w:rPr>
          <w:rFonts w:eastAsia="黑体"/>
          <w:szCs w:val="21"/>
        </w:rPr>
        <w:tab/>
      </w:r>
      <w:r w:rsidRPr="007524B7">
        <w:rPr>
          <w:rFonts w:eastAsia="黑体" w:hAnsi="黑体"/>
          <w:szCs w:val="21"/>
        </w:rPr>
        <w:t>考虑为在强制或未经同意的情况下接受绝育手术的受害者设立</w:t>
      </w:r>
      <w:r w:rsidRPr="007524B7">
        <w:rPr>
          <w:rFonts w:eastAsia="黑体" w:hAnsi="黑体" w:hint="eastAsia"/>
          <w:szCs w:val="21"/>
        </w:rPr>
        <w:t>惠给</w:t>
      </w:r>
      <w:r w:rsidRPr="007524B7">
        <w:rPr>
          <w:rFonts w:eastAsia="黑体" w:hAnsi="黑体"/>
          <w:szCs w:val="21"/>
        </w:rPr>
        <w:t>赔偿程序；</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(c)</w:t>
      </w:r>
      <w:r w:rsidRPr="007524B7">
        <w:rPr>
          <w:rFonts w:eastAsia="黑体"/>
          <w:szCs w:val="21"/>
        </w:rPr>
        <w:tab/>
      </w:r>
      <w:r w:rsidRPr="007524B7">
        <w:rPr>
          <w:rFonts w:eastAsia="黑体" w:hAnsi="黑体"/>
          <w:szCs w:val="21"/>
        </w:rPr>
        <w:t>为所有受害者查阅病历提供必要的帮助；</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(d)</w:t>
      </w:r>
      <w:r w:rsidRPr="007524B7">
        <w:rPr>
          <w:rFonts w:eastAsia="黑体"/>
          <w:szCs w:val="21"/>
        </w:rPr>
        <w:tab/>
      </w:r>
      <w:r w:rsidRPr="007524B7">
        <w:rPr>
          <w:rFonts w:eastAsia="黑体" w:hAnsi="黑体"/>
          <w:szCs w:val="21"/>
        </w:rPr>
        <w:t>调查和适当惩处曾经非法施行强迫或未经同意的绝育手术的</w:t>
      </w:r>
      <w:r w:rsidRPr="007524B7">
        <w:rPr>
          <w:rFonts w:eastAsia="黑体" w:hAnsi="黑体" w:hint="eastAsia"/>
          <w:szCs w:val="21"/>
        </w:rPr>
        <w:t>人员</w:t>
      </w:r>
      <w:r w:rsidRPr="007524B7">
        <w:rPr>
          <w:rFonts w:eastAsia="黑体" w:hAnsi="黑体"/>
          <w:szCs w:val="21"/>
        </w:rPr>
        <w:t>；</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(e)</w:t>
      </w:r>
      <w:r w:rsidRPr="007524B7">
        <w:rPr>
          <w:rFonts w:eastAsia="黑体"/>
          <w:szCs w:val="21"/>
        </w:rPr>
        <w:tab/>
      </w:r>
      <w:r w:rsidRPr="007524B7">
        <w:rPr>
          <w:rFonts w:eastAsia="黑体" w:hAnsi="黑体"/>
          <w:szCs w:val="21"/>
        </w:rPr>
        <w:t>指定一个独立委员会，研究非自愿绝育手术造成的所有伤害，支持</w:t>
      </w:r>
      <w:r w:rsidRPr="007524B7">
        <w:rPr>
          <w:rFonts w:eastAsia="黑体" w:hAnsi="黑体" w:hint="eastAsia"/>
          <w:szCs w:val="21"/>
        </w:rPr>
        <w:t>目前</w:t>
      </w:r>
      <w:r w:rsidRPr="007524B7">
        <w:rPr>
          <w:rFonts w:eastAsia="黑体" w:hAnsi="黑体"/>
          <w:szCs w:val="21"/>
        </w:rPr>
        <w:t>对所有可能索赔者提供服务的工作。</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30.</w:t>
      </w:r>
      <w:r w:rsidRPr="007524B7">
        <w:rPr>
          <w:szCs w:val="21"/>
        </w:rPr>
        <w:tab/>
      </w:r>
      <w:r w:rsidRPr="007524B7">
        <w:rPr>
          <w:szCs w:val="21"/>
        </w:rPr>
        <w:t>委员会</w:t>
      </w:r>
      <w:r w:rsidRPr="007524B7">
        <w:rPr>
          <w:rFonts w:hint="eastAsia"/>
          <w:szCs w:val="21"/>
        </w:rPr>
        <w:t>欣见</w:t>
      </w:r>
      <w:r w:rsidRPr="007524B7">
        <w:rPr>
          <w:szCs w:val="21"/>
        </w:rPr>
        <w:t>缔约国围产期死亡率低，但是，</w:t>
      </w:r>
      <w:r w:rsidRPr="007524B7">
        <w:rPr>
          <w:rFonts w:hint="eastAsia"/>
          <w:szCs w:val="21"/>
        </w:rPr>
        <w:t>它</w:t>
      </w:r>
      <w:r w:rsidRPr="007524B7">
        <w:rPr>
          <w:szCs w:val="21"/>
        </w:rPr>
        <w:t>仍感到关切，一直有报告称，缔约国的分娩</w:t>
      </w:r>
      <w:r w:rsidRPr="007524B7">
        <w:rPr>
          <w:rFonts w:hint="eastAsia"/>
          <w:szCs w:val="21"/>
        </w:rPr>
        <w:t>条件</w:t>
      </w:r>
      <w:r w:rsidRPr="007524B7">
        <w:rPr>
          <w:szCs w:val="21"/>
        </w:rPr>
        <w:t>和产科服务条件过度限制了妇女在生殖健康方面的选择</w:t>
      </w:r>
      <w:r w:rsidRPr="007524B7">
        <w:rPr>
          <w:rFonts w:hint="eastAsia"/>
          <w:szCs w:val="21"/>
        </w:rPr>
        <w:t>，其中</w:t>
      </w:r>
      <w:r w:rsidRPr="007524B7">
        <w:rPr>
          <w:szCs w:val="21"/>
        </w:rPr>
        <w:t>包括：</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(a)</w:t>
      </w:r>
      <w:r w:rsidRPr="007524B7">
        <w:rPr>
          <w:szCs w:val="21"/>
        </w:rPr>
        <w:tab/>
      </w:r>
      <w:r w:rsidRPr="007524B7">
        <w:rPr>
          <w:szCs w:val="21"/>
        </w:rPr>
        <w:t>在缺乏医学理由的情况下，不必要地将新生儿与母亲分离；</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(b)</w:t>
      </w:r>
      <w:r w:rsidRPr="007524B7">
        <w:rPr>
          <w:szCs w:val="21"/>
        </w:rPr>
        <w:tab/>
      </w:r>
      <w:r w:rsidRPr="007524B7">
        <w:rPr>
          <w:szCs w:val="21"/>
        </w:rPr>
        <w:t>对家庭分娩实施过度限制；</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(c)</w:t>
      </w:r>
      <w:r w:rsidRPr="007524B7">
        <w:rPr>
          <w:szCs w:val="21"/>
        </w:rPr>
        <w:tab/>
      </w:r>
      <w:r w:rsidRPr="007524B7">
        <w:rPr>
          <w:szCs w:val="21"/>
        </w:rPr>
        <w:t>并非出于医学需要，且违背母亲不愿手术的意愿，频繁使用会阴切开术；</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ab/>
        <w:t>(d)</w:t>
      </w:r>
      <w:r w:rsidRPr="007524B7">
        <w:rPr>
          <w:szCs w:val="21"/>
        </w:rPr>
        <w:tab/>
      </w:r>
      <w:r w:rsidRPr="007524B7">
        <w:rPr>
          <w:szCs w:val="21"/>
        </w:rPr>
        <w:t>在使用助产士代替医生</w:t>
      </w:r>
      <w:r w:rsidRPr="007524B7">
        <w:rPr>
          <w:szCs w:val="21"/>
        </w:rPr>
        <w:t>/</w:t>
      </w:r>
      <w:r w:rsidRPr="007524B7">
        <w:rPr>
          <w:szCs w:val="21"/>
        </w:rPr>
        <w:t>妇科医生不构成健康风险的情况下，对助产士的使用加以不当限制。</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31.</w:t>
      </w:r>
      <w:r w:rsidRPr="007524B7">
        <w:rPr>
          <w:rFonts w:eastAsia="黑体"/>
          <w:szCs w:val="21"/>
        </w:rPr>
        <w:tab/>
      </w:r>
      <w:r w:rsidRPr="007524B7">
        <w:rPr>
          <w:rFonts w:eastAsia="黑体" w:hAnsi="黑体"/>
          <w:szCs w:val="21"/>
        </w:rPr>
        <w:t>委员会重申其以往的建议，即缔约国加紧通过一项关于</w:t>
      </w:r>
      <w:r w:rsidRPr="007524B7">
        <w:rPr>
          <w:rFonts w:eastAsia="黑体" w:hAnsi="黑体" w:hint="eastAsia"/>
          <w:szCs w:val="21"/>
        </w:rPr>
        <w:t>患者</w:t>
      </w:r>
      <w:r w:rsidRPr="007524B7">
        <w:rPr>
          <w:rFonts w:eastAsia="黑体" w:hAnsi="黑体"/>
          <w:szCs w:val="21"/>
        </w:rPr>
        <w:t>权利，包括妇女生殖权利的法律。</w:t>
      </w:r>
      <w:r w:rsidRPr="007524B7">
        <w:rPr>
          <w:rFonts w:eastAsia="黑体" w:hAnsi="黑体" w:hint="eastAsia"/>
          <w:szCs w:val="21"/>
        </w:rPr>
        <w:t>在这方面，缔约国应当：</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(a)</w:t>
      </w:r>
      <w:r w:rsidRPr="007524B7">
        <w:rPr>
          <w:rFonts w:eastAsia="黑体"/>
          <w:szCs w:val="21"/>
        </w:rPr>
        <w:tab/>
      </w:r>
      <w:r w:rsidRPr="007524B7">
        <w:rPr>
          <w:rFonts w:eastAsia="黑体" w:hAnsi="黑体"/>
          <w:szCs w:val="21"/>
        </w:rPr>
        <w:t>通过明确的准则，确保将新生儿与母亲分离的做法符合医学需要；</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(b)</w:t>
      </w:r>
      <w:r w:rsidRPr="007524B7">
        <w:rPr>
          <w:rFonts w:eastAsia="黑体"/>
          <w:szCs w:val="21"/>
        </w:rPr>
        <w:tab/>
      </w:r>
      <w:r w:rsidRPr="007524B7">
        <w:rPr>
          <w:rFonts w:eastAsia="黑体" w:hAnsi="黑体"/>
          <w:szCs w:val="21"/>
        </w:rPr>
        <w:t>建立产前保健制度，以便有效评估</w:t>
      </w:r>
      <w:r w:rsidRPr="007524B7">
        <w:rPr>
          <w:rFonts w:eastAsia="黑体" w:hAnsi="黑体" w:hint="eastAsia"/>
          <w:szCs w:val="21"/>
        </w:rPr>
        <w:t>家庭</w:t>
      </w:r>
      <w:r w:rsidRPr="007524B7">
        <w:rPr>
          <w:rFonts w:eastAsia="黑体" w:hAnsi="黑体"/>
          <w:szCs w:val="21"/>
        </w:rPr>
        <w:t>分娩的适宜性，允许酌情选择</w:t>
      </w:r>
      <w:r w:rsidRPr="007524B7">
        <w:rPr>
          <w:rFonts w:eastAsia="黑体" w:hAnsi="黑体" w:hint="eastAsia"/>
          <w:szCs w:val="21"/>
        </w:rPr>
        <w:t>家庭</w:t>
      </w:r>
      <w:r w:rsidRPr="007524B7">
        <w:rPr>
          <w:rFonts w:eastAsia="黑体" w:hAnsi="黑体"/>
          <w:szCs w:val="21"/>
        </w:rPr>
        <w:t>分娩；</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(c)</w:t>
      </w:r>
      <w:r w:rsidRPr="007524B7">
        <w:rPr>
          <w:rFonts w:eastAsia="黑体"/>
          <w:szCs w:val="21"/>
        </w:rPr>
        <w:tab/>
      </w:r>
      <w:r w:rsidRPr="007524B7">
        <w:rPr>
          <w:rFonts w:eastAsia="黑体" w:hAnsi="黑体" w:hint="eastAsia"/>
          <w:szCs w:val="21"/>
        </w:rPr>
        <w:t>鉴于</w:t>
      </w:r>
      <w:r w:rsidRPr="007524B7">
        <w:rPr>
          <w:rFonts w:eastAsia="黑体" w:hAnsi="黑体"/>
          <w:szCs w:val="21"/>
        </w:rPr>
        <w:t>关于保健服务及提供这种服务的条款和条件的</w:t>
      </w:r>
      <w:r w:rsidRPr="007524B7">
        <w:rPr>
          <w:rFonts w:eastAsia="黑体" w:hAnsi="黑体" w:hint="eastAsia"/>
          <w:szCs w:val="21"/>
        </w:rPr>
        <w:t>《</w:t>
      </w:r>
      <w:r w:rsidRPr="007524B7">
        <w:rPr>
          <w:rFonts w:eastAsia="黑体" w:hAnsi="黑体"/>
          <w:szCs w:val="21"/>
        </w:rPr>
        <w:t>第</w:t>
      </w:r>
      <w:r w:rsidRPr="007524B7">
        <w:rPr>
          <w:rFonts w:eastAsia="黑体"/>
          <w:szCs w:val="21"/>
        </w:rPr>
        <w:t>372/2011 Coll.</w:t>
      </w:r>
      <w:r w:rsidRPr="007524B7">
        <w:rPr>
          <w:rFonts w:eastAsia="黑体" w:hAnsi="黑体"/>
          <w:szCs w:val="21"/>
        </w:rPr>
        <w:t>号法案</w:t>
      </w:r>
      <w:r w:rsidRPr="007524B7">
        <w:rPr>
          <w:rFonts w:eastAsia="黑体" w:hAnsi="黑体" w:hint="eastAsia"/>
          <w:szCs w:val="21"/>
        </w:rPr>
        <w:t>》</w:t>
      </w:r>
      <w:r w:rsidRPr="007524B7">
        <w:rPr>
          <w:rFonts w:eastAsia="黑体" w:hAnsi="黑体"/>
          <w:szCs w:val="21"/>
        </w:rPr>
        <w:t>正式生效，</w:t>
      </w:r>
      <w:r w:rsidRPr="007524B7">
        <w:rPr>
          <w:rFonts w:eastAsia="黑体" w:hAnsi="黑体" w:hint="eastAsia"/>
          <w:szCs w:val="21"/>
        </w:rPr>
        <w:t>确保依照《公约》对其予以切实执行，包括通过制定和实行</w:t>
      </w:r>
      <w:r w:rsidRPr="007524B7">
        <w:rPr>
          <w:rFonts w:eastAsia="黑体" w:hAnsi="黑体"/>
          <w:szCs w:val="21"/>
        </w:rPr>
        <w:t>正常分娩的护理规程，确保尊重</w:t>
      </w:r>
      <w:r w:rsidRPr="007524B7">
        <w:rPr>
          <w:rFonts w:eastAsia="黑体" w:hAnsi="黑体" w:hint="eastAsia"/>
          <w:szCs w:val="21"/>
        </w:rPr>
        <w:t>患者的</w:t>
      </w:r>
      <w:r w:rsidRPr="007524B7">
        <w:rPr>
          <w:rFonts w:eastAsia="黑体" w:hAnsi="黑体"/>
          <w:szCs w:val="21"/>
        </w:rPr>
        <w:t>权利，避免不必要的医学干预</w:t>
      </w:r>
      <w:r w:rsidRPr="007524B7">
        <w:rPr>
          <w:rFonts w:eastAsia="黑体" w:hAnsi="黑体" w:hint="eastAsia"/>
          <w:szCs w:val="21"/>
        </w:rPr>
        <w:t>，确保</w:t>
      </w:r>
      <w:r w:rsidRPr="007524B7">
        <w:rPr>
          <w:rFonts w:eastAsia="黑体" w:hAnsi="黑体"/>
          <w:szCs w:val="21"/>
        </w:rPr>
        <w:t>所有干预均得到妇女的自由、事先和知情同意</w:t>
      </w:r>
      <w:r w:rsidRPr="007524B7">
        <w:rPr>
          <w:rFonts w:eastAsia="黑体" w:hAnsi="黑体" w:hint="eastAsia"/>
          <w:szCs w:val="21"/>
        </w:rPr>
        <w:t>，</w:t>
      </w:r>
      <w:r w:rsidRPr="007524B7">
        <w:rPr>
          <w:rFonts w:eastAsia="黑体" w:hAnsi="黑体"/>
          <w:szCs w:val="21"/>
        </w:rPr>
        <w:t>监测妇产医院的护理质量</w:t>
      </w:r>
      <w:r w:rsidRPr="007524B7">
        <w:rPr>
          <w:rFonts w:eastAsia="黑体" w:hAnsi="黑体" w:hint="eastAsia"/>
          <w:szCs w:val="21"/>
        </w:rPr>
        <w:t>，</w:t>
      </w:r>
      <w:r w:rsidRPr="007524B7">
        <w:rPr>
          <w:rFonts w:eastAsia="黑体" w:hAnsi="黑体"/>
          <w:szCs w:val="21"/>
        </w:rPr>
        <w:t>为所有医护人员提供关于</w:t>
      </w:r>
      <w:r w:rsidRPr="007524B7">
        <w:rPr>
          <w:rFonts w:eastAsia="黑体" w:hAnsi="黑体" w:hint="eastAsia"/>
          <w:szCs w:val="21"/>
        </w:rPr>
        <w:t>患者</w:t>
      </w:r>
      <w:r w:rsidRPr="007524B7">
        <w:rPr>
          <w:rFonts w:eastAsia="黑体" w:hAnsi="黑体"/>
          <w:szCs w:val="21"/>
        </w:rPr>
        <w:t>权利和相关道德标准的必修培训；继续通过</w:t>
      </w:r>
      <w:r w:rsidRPr="007524B7">
        <w:rPr>
          <w:rFonts w:eastAsia="黑体" w:hAnsi="黑体" w:hint="eastAsia"/>
          <w:szCs w:val="21"/>
        </w:rPr>
        <w:t>信息</w:t>
      </w:r>
      <w:r w:rsidRPr="007524B7">
        <w:rPr>
          <w:rFonts w:eastAsia="黑体" w:hAnsi="黑体"/>
          <w:szCs w:val="21"/>
        </w:rPr>
        <w:t>宣传等手段，提高</w:t>
      </w:r>
      <w:r w:rsidRPr="007524B7">
        <w:rPr>
          <w:rFonts w:eastAsia="黑体" w:hAnsi="黑体" w:hint="eastAsia"/>
          <w:szCs w:val="21"/>
        </w:rPr>
        <w:t>患者</w:t>
      </w:r>
      <w:r w:rsidRPr="007524B7">
        <w:rPr>
          <w:rFonts w:eastAsia="黑体" w:hAnsi="黑体"/>
          <w:szCs w:val="21"/>
        </w:rPr>
        <w:t>对于自身权利的认识；</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ab/>
        <w:t>(d)</w:t>
      </w:r>
      <w:r w:rsidRPr="007524B7">
        <w:rPr>
          <w:rFonts w:eastAsia="黑体"/>
          <w:szCs w:val="21"/>
        </w:rPr>
        <w:tab/>
      </w:r>
      <w:r w:rsidRPr="007524B7">
        <w:rPr>
          <w:rFonts w:eastAsia="黑体" w:hint="eastAsia"/>
          <w:szCs w:val="21"/>
        </w:rPr>
        <w:t xml:space="preserve"> </w:t>
      </w:r>
      <w:r w:rsidRPr="007524B7">
        <w:rPr>
          <w:rFonts w:eastAsia="黑体" w:hAnsi="黑体"/>
          <w:szCs w:val="21"/>
        </w:rPr>
        <w:t>采取措施，包括</w:t>
      </w:r>
      <w:r w:rsidRPr="007524B7">
        <w:rPr>
          <w:rFonts w:eastAsia="黑体" w:hAnsi="黑体" w:hint="eastAsia"/>
          <w:szCs w:val="21"/>
        </w:rPr>
        <w:t>立法</w:t>
      </w:r>
      <w:r w:rsidRPr="007524B7">
        <w:rPr>
          <w:rFonts w:eastAsia="黑体" w:hAnsi="黑体"/>
          <w:szCs w:val="21"/>
        </w:rPr>
        <w:t>，使在医院外由助产士协助分娩成为妇女安全的、可负担得起的选择。</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32.</w:t>
      </w:r>
      <w:r w:rsidRPr="007524B7">
        <w:rPr>
          <w:szCs w:val="21"/>
        </w:rPr>
        <w:tab/>
      </w:r>
      <w:r w:rsidRPr="007524B7">
        <w:rPr>
          <w:szCs w:val="21"/>
        </w:rPr>
        <w:t>委员会关切地注意到，来自非欧洲联盟国家的移徙妇女被排除在公共医疗保险之外。</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rFonts w:eastAsia="黑体"/>
          <w:szCs w:val="21"/>
        </w:rPr>
        <w:t>33.</w:t>
      </w:r>
      <w:r w:rsidRPr="007524B7">
        <w:rPr>
          <w:rFonts w:eastAsia="黑体"/>
          <w:szCs w:val="21"/>
        </w:rPr>
        <w:tab/>
      </w:r>
      <w:r w:rsidRPr="007524B7">
        <w:rPr>
          <w:rFonts w:eastAsia="黑体" w:hAnsi="黑体"/>
          <w:szCs w:val="21"/>
        </w:rPr>
        <w:t>委员会建议缔约国迅速对立法进行必要的修正，确保居住在缔约国的移徙妇女和女童能够和本国妇女和女童一样平等获得公共医疗保险。</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增强妇女的经济权能</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34.</w:t>
      </w:r>
      <w:r w:rsidRPr="007524B7">
        <w:rPr>
          <w:szCs w:val="21"/>
        </w:rPr>
        <w:tab/>
      </w:r>
      <w:r w:rsidRPr="007524B7">
        <w:rPr>
          <w:szCs w:val="21"/>
        </w:rPr>
        <w:t>委员会称赞缔约国在消除贫困方面取得的成绩</w:t>
      </w:r>
      <w:r w:rsidRPr="007524B7">
        <w:rPr>
          <w:rFonts w:hint="eastAsia"/>
          <w:szCs w:val="21"/>
        </w:rPr>
        <w:t>，注意到它在这方面</w:t>
      </w:r>
      <w:r w:rsidRPr="007524B7">
        <w:rPr>
          <w:szCs w:val="21"/>
        </w:rPr>
        <w:t>在欧洲联盟新成员国中名列前茅。然而，委员会对约</w:t>
      </w:r>
      <w:r w:rsidRPr="007524B7">
        <w:rPr>
          <w:rFonts w:hint="eastAsia"/>
          <w:szCs w:val="21"/>
        </w:rPr>
        <w:t>近</w:t>
      </w:r>
      <w:r w:rsidRPr="007524B7">
        <w:rPr>
          <w:szCs w:val="21"/>
        </w:rPr>
        <w:t>30</w:t>
      </w:r>
      <w:r w:rsidRPr="007524B7">
        <w:rPr>
          <w:rFonts w:hint="eastAsia"/>
          <w:szCs w:val="21"/>
        </w:rPr>
        <w:t xml:space="preserve"> </w:t>
      </w:r>
      <w:r w:rsidRPr="007524B7">
        <w:rPr>
          <w:szCs w:val="21"/>
        </w:rPr>
        <w:t>000</w:t>
      </w:r>
      <w:r w:rsidRPr="007524B7">
        <w:rPr>
          <w:szCs w:val="21"/>
        </w:rPr>
        <w:t>人，尤其是妇女没有体面住房感到关切。委员会还感到关切，户主为妇女、老年妇女和罗姆族妇女的单亲家庭面临过高的贫困风险。在这方面，委员会对于缔约国的社会福利、津贴、养老金和社会住房措施不足以保护这些妇女脱贫感到关切。委员会还感到关切，缔约国缺乏保障</w:t>
      </w:r>
      <w:r w:rsidRPr="007524B7">
        <w:rPr>
          <w:rFonts w:hint="eastAsia"/>
          <w:szCs w:val="21"/>
        </w:rPr>
        <w:t>按时</w:t>
      </w:r>
      <w:r w:rsidRPr="007524B7">
        <w:rPr>
          <w:szCs w:val="21"/>
        </w:rPr>
        <w:t>支付赡养费的法律框架，使户主为妇女的单亲家庭的状况进一步恶化。</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35.</w:t>
      </w:r>
      <w:r w:rsidRPr="007524B7">
        <w:rPr>
          <w:szCs w:val="21"/>
        </w:rPr>
        <w:tab/>
      </w:r>
      <w:r w:rsidRPr="007524B7">
        <w:rPr>
          <w:rFonts w:eastAsia="黑体" w:hAnsi="黑体"/>
          <w:szCs w:val="21"/>
        </w:rPr>
        <w:t>委员会建议缔约国加强其社会住房政策，在农业、旅游业和可再生能源等经济领域设立照顾性别差异的供资机制和与之相适应的职业培训项目。委员会建议缔约国迅速评估其社会福利、津贴、养老金和社会住房措施，以确保这些支助措施足以提供有效保护，防止贫困。在</w:t>
      </w:r>
      <w:r w:rsidRPr="007524B7">
        <w:rPr>
          <w:rFonts w:eastAsia="黑体" w:hAnsi="黑体" w:hint="eastAsia"/>
          <w:szCs w:val="21"/>
        </w:rPr>
        <w:t>此方面</w:t>
      </w:r>
      <w:r w:rsidRPr="007524B7">
        <w:rPr>
          <w:rFonts w:eastAsia="黑体" w:hAnsi="黑体"/>
          <w:szCs w:val="21"/>
        </w:rPr>
        <w:t>，缔约国应该采取有针对性的措施，</w:t>
      </w:r>
      <w:r w:rsidRPr="007524B7">
        <w:rPr>
          <w:rFonts w:eastAsia="黑体" w:hAnsi="黑体" w:hint="eastAsia"/>
          <w:szCs w:val="21"/>
        </w:rPr>
        <w:t>满足</w:t>
      </w:r>
      <w:r w:rsidRPr="007524B7">
        <w:rPr>
          <w:rFonts w:eastAsia="黑体" w:hAnsi="黑体"/>
          <w:szCs w:val="21"/>
        </w:rPr>
        <w:t>户主为妇女、老年妇女和罗姆族妇女的单亲家庭的经济需求。委员会还建议缔约国考虑修正关于赡养费的法律框架和程序，确保按时支付足额赡养费。</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对弱势妇女群体的社会排斥</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36.</w:t>
      </w:r>
      <w:r w:rsidRPr="007524B7">
        <w:rPr>
          <w:szCs w:val="21"/>
        </w:rPr>
        <w:tab/>
      </w:r>
      <w:r w:rsidRPr="007524B7">
        <w:rPr>
          <w:szCs w:val="21"/>
        </w:rPr>
        <w:t>委员会</w:t>
      </w:r>
      <w:r w:rsidRPr="007524B7">
        <w:rPr>
          <w:rFonts w:hint="eastAsia"/>
          <w:szCs w:val="21"/>
        </w:rPr>
        <w:t>注意到，</w:t>
      </w:r>
      <w:r w:rsidRPr="007524B7">
        <w:rPr>
          <w:szCs w:val="21"/>
        </w:rPr>
        <w:t>缔约国设立赠款方案，为开展消除对妇女的歧视，包括对弱势妇女的歧视工作的民间社会行为者提供支助。尽管如此，委员会再次关切地指出某些弱势妇女群体，尤其是罗姆族妇女、移徙妇女和残疾妇女被边缘化的处境，她们在政治、经济和社会生活的所有领域，包括在参与决策、教育、就业和健康方面都面临着交叉形式的歧视。</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37.</w:t>
      </w:r>
      <w:r w:rsidRPr="007524B7">
        <w:rPr>
          <w:szCs w:val="21"/>
        </w:rPr>
        <w:tab/>
      </w:r>
      <w:r w:rsidRPr="007524B7">
        <w:rPr>
          <w:rFonts w:eastAsia="黑体" w:hAnsi="黑体"/>
          <w:szCs w:val="21"/>
        </w:rPr>
        <w:t>委员会再次建议缔约国：收集分类数据，了解罗姆族妇女、移徙妇女和残疾妇女等面临交叉形式歧视的状况；采取有效措施消除此类歧视；</w:t>
      </w:r>
      <w:r w:rsidRPr="007524B7">
        <w:rPr>
          <w:rFonts w:eastAsia="黑体" w:hAnsi="黑体" w:hint="eastAsia"/>
          <w:szCs w:val="21"/>
        </w:rPr>
        <w:t>制定</w:t>
      </w:r>
      <w:r w:rsidRPr="007524B7">
        <w:rPr>
          <w:rFonts w:eastAsia="黑体" w:hAnsi="黑体"/>
          <w:szCs w:val="21"/>
        </w:rPr>
        <w:t>具体的目标、指标、实施时间</w:t>
      </w:r>
      <w:r w:rsidRPr="007524B7">
        <w:rPr>
          <w:rFonts w:eastAsia="黑体" w:hAnsi="黑体" w:hint="eastAsia"/>
          <w:szCs w:val="21"/>
        </w:rPr>
        <w:t>表</w:t>
      </w:r>
      <w:r w:rsidRPr="007524B7">
        <w:rPr>
          <w:rFonts w:eastAsia="黑体" w:hAnsi="黑体"/>
          <w:szCs w:val="21"/>
        </w:rPr>
        <w:t>、监测机制和制裁措施；为实施这些措施调拨充足资源，以尽快使这些弱势妇女群体享有实质性平等，尤其是在政治和公共生活、教育、就业和健康领域。</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寻求庇护、难民或非正常移徙妇女</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38.</w:t>
      </w:r>
      <w:r w:rsidRPr="007524B7">
        <w:rPr>
          <w:szCs w:val="21"/>
        </w:rPr>
        <w:tab/>
      </w:r>
      <w:r w:rsidRPr="007524B7">
        <w:rPr>
          <w:rFonts w:hint="eastAsia"/>
          <w:szCs w:val="21"/>
        </w:rPr>
        <w:t>委员会关切地注意到，缔约国为解决近期寻求庇护者、难民和非正常移徙者人数上升所采取的措施不符合国际人道主义和人权法。委员会尤为关切，有很多寻求庇护、难民或非正常移徙妇女，包括孕妇、哺乳期妇女和带子女的母亲，被剥夺了自由，在缔约国遭到移民拘留。</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39.</w:t>
      </w:r>
      <w:r w:rsidRPr="007524B7">
        <w:rPr>
          <w:szCs w:val="21"/>
        </w:rPr>
        <w:tab/>
      </w:r>
      <w:r w:rsidRPr="007524B7">
        <w:rPr>
          <w:rFonts w:eastAsia="黑体" w:hAnsi="黑体" w:hint="eastAsia"/>
          <w:szCs w:val="21"/>
        </w:rPr>
        <w:t>委员会回顾其关于妇女的难民地位、庇护、国籍和无国籍状态与性别相关方面的第</w:t>
      </w:r>
      <w:r w:rsidRPr="007524B7">
        <w:rPr>
          <w:rFonts w:eastAsia="黑体" w:hint="eastAsia"/>
          <w:szCs w:val="21"/>
        </w:rPr>
        <w:t>32</w:t>
      </w:r>
      <w:r w:rsidR="00850B36">
        <w:rPr>
          <w:rFonts w:eastAsia="黑体" w:hAnsi="黑体" w:hint="eastAsia"/>
          <w:szCs w:val="21"/>
        </w:rPr>
        <w:t>(</w:t>
      </w:r>
      <w:r w:rsidRPr="007524B7">
        <w:rPr>
          <w:rFonts w:eastAsia="黑体" w:hint="eastAsia"/>
          <w:szCs w:val="21"/>
        </w:rPr>
        <w:t>2014</w:t>
      </w:r>
      <w:r w:rsidR="00850B36">
        <w:rPr>
          <w:rFonts w:eastAsia="黑体" w:hAnsi="黑体" w:hint="eastAsia"/>
          <w:szCs w:val="21"/>
        </w:rPr>
        <w:t>)</w:t>
      </w:r>
      <w:r w:rsidRPr="007524B7">
        <w:rPr>
          <w:rFonts w:eastAsia="黑体" w:hAnsi="黑体" w:hint="eastAsia"/>
          <w:szCs w:val="21"/>
        </w:rPr>
        <w:t>号一般性建议，促请缔约国尊重移民、寻求庇护者和难民的基本权利。委员会促请缔约国立即停止拘留寻求庇护、难民和非正常移徙妇女及其子女并实行较为柔和的替代性措施。委员会建议缔约国在恪守不驱回原则方面采取包容性和无差别的办法，根据《公约》所涵盖的权利和委员会第</w:t>
      </w:r>
      <w:r w:rsidRPr="007524B7">
        <w:rPr>
          <w:rFonts w:eastAsia="黑体" w:hint="eastAsia"/>
          <w:szCs w:val="21"/>
        </w:rPr>
        <w:t>32</w:t>
      </w:r>
      <w:r w:rsidRPr="007524B7">
        <w:rPr>
          <w:rFonts w:eastAsia="黑体" w:hAnsi="黑体" w:hint="eastAsia"/>
          <w:szCs w:val="21"/>
        </w:rPr>
        <w:t>号一般性建议，对当前难民流入和寻求庇护的问题，包括程序事项，采取对性别问题有敏感认识的方针。</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婚姻和家庭关系</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40.</w:t>
      </w:r>
      <w:r w:rsidRPr="007524B7">
        <w:rPr>
          <w:szCs w:val="21"/>
        </w:rPr>
        <w:tab/>
      </w:r>
      <w:r w:rsidRPr="007524B7">
        <w:rPr>
          <w:rFonts w:hint="eastAsia"/>
          <w:szCs w:val="21"/>
        </w:rPr>
        <w:t>委员会赞扬缔约国通过了取消全面监护制度的新《民法》，但是，委员会再次对允许普通法院限制个人法律行为能力的具体规定表示关切，包括限制家庭和生殖权利，委员会还对特别利用这些规定侵害有智力和心理残疾的青年妇女感到关切。委员会重申以往的关切，即</w:t>
      </w:r>
      <w:r w:rsidRPr="007524B7">
        <w:rPr>
          <w:szCs w:val="21"/>
        </w:rPr>
        <w:t>缔约国内对事实结合缺乏法律承认，这种情况可能对妇女在关系存续期间获得权利及在解除此关系时应得权益产生不利影响。</w:t>
      </w:r>
      <w:r w:rsidRPr="007524B7">
        <w:rPr>
          <w:rFonts w:hint="eastAsia"/>
          <w:szCs w:val="21"/>
        </w:rPr>
        <w:t>委员会关切地注意到，移民预约捷克共和国驻乌克兰领事馆时本应能够使用的“签证预约”领事系统失去功能，造成移徙妇女、特别是来自乌克兰的移徙妇女对于家庭生活的权利在过去几年受到极大影响。</w:t>
      </w:r>
    </w:p>
    <w:p w:rsidR="007524B7" w:rsidRPr="007524B7" w:rsidRDefault="007524B7" w:rsidP="007524B7">
      <w:pPr>
        <w:keepLines/>
        <w:widowControl w:val="0"/>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41.</w:t>
      </w:r>
      <w:r w:rsidRPr="007524B7">
        <w:rPr>
          <w:szCs w:val="21"/>
        </w:rPr>
        <w:tab/>
      </w:r>
      <w:r w:rsidRPr="007524B7">
        <w:rPr>
          <w:rFonts w:eastAsia="黑体" w:hAnsi="黑体" w:hint="eastAsia"/>
          <w:szCs w:val="21"/>
        </w:rPr>
        <w:t>委员会吁请缔约国废除《民法》第</w:t>
      </w:r>
      <w:r w:rsidRPr="007524B7">
        <w:rPr>
          <w:rFonts w:eastAsia="黑体" w:hint="eastAsia"/>
          <w:szCs w:val="21"/>
        </w:rPr>
        <w:t>673</w:t>
      </w:r>
      <w:r w:rsidRPr="007524B7">
        <w:rPr>
          <w:rFonts w:eastAsia="黑体" w:hAnsi="黑体" w:hint="eastAsia"/>
          <w:szCs w:val="21"/>
        </w:rPr>
        <w:t>条和第</w:t>
      </w:r>
      <w:r w:rsidRPr="007524B7">
        <w:rPr>
          <w:rFonts w:eastAsia="黑体" w:hint="eastAsia"/>
          <w:szCs w:val="21"/>
        </w:rPr>
        <w:t>865</w:t>
      </w:r>
      <w:r w:rsidR="00850B36">
        <w:rPr>
          <w:rFonts w:eastAsia="黑体" w:hAnsi="黑体" w:hint="eastAsia"/>
          <w:szCs w:val="21"/>
        </w:rPr>
        <w:t>(</w:t>
      </w:r>
      <w:r w:rsidRPr="007524B7">
        <w:rPr>
          <w:rFonts w:eastAsia="黑体" w:hint="eastAsia"/>
          <w:szCs w:val="21"/>
        </w:rPr>
        <w:t>2</w:t>
      </w:r>
      <w:r w:rsidR="00850B36">
        <w:rPr>
          <w:rFonts w:eastAsia="黑体" w:hAnsi="黑体" w:hint="eastAsia"/>
          <w:szCs w:val="21"/>
        </w:rPr>
        <w:t>)</w:t>
      </w:r>
      <w:r w:rsidRPr="007524B7">
        <w:rPr>
          <w:rFonts w:eastAsia="黑体" w:hAnsi="黑体" w:hint="eastAsia"/>
          <w:szCs w:val="21"/>
        </w:rPr>
        <w:t>条，确保残疾妇女能够行使其婚姻权、亲权以及与他人平等的收养权。委员会回顾</w:t>
      </w:r>
      <w:r w:rsidRPr="007524B7">
        <w:rPr>
          <w:rFonts w:eastAsia="黑体" w:hAnsi="黑体"/>
          <w:szCs w:val="21"/>
        </w:rPr>
        <w:t>关于婚姻和家庭关系中的平等的第</w:t>
      </w:r>
      <w:r w:rsidRPr="007524B7">
        <w:rPr>
          <w:rFonts w:eastAsia="黑体"/>
          <w:szCs w:val="21"/>
        </w:rPr>
        <w:t>21</w:t>
      </w:r>
      <w:r w:rsidR="00850B36">
        <w:rPr>
          <w:rFonts w:eastAsia="黑体" w:hAnsi="黑体" w:hint="eastAsia"/>
          <w:szCs w:val="21"/>
        </w:rPr>
        <w:t>(</w:t>
      </w:r>
      <w:r w:rsidRPr="007524B7">
        <w:rPr>
          <w:rFonts w:eastAsia="黑体" w:hint="eastAsia"/>
          <w:szCs w:val="21"/>
        </w:rPr>
        <w:t>2004</w:t>
      </w:r>
      <w:r w:rsidR="00850B36">
        <w:rPr>
          <w:rFonts w:eastAsia="黑体" w:hAnsi="黑体" w:hint="eastAsia"/>
          <w:szCs w:val="21"/>
        </w:rPr>
        <w:t>)</w:t>
      </w:r>
      <w:r w:rsidRPr="007524B7">
        <w:rPr>
          <w:rFonts w:eastAsia="黑体" w:hAnsi="黑体"/>
          <w:szCs w:val="21"/>
        </w:rPr>
        <w:t>号一般性建议</w:t>
      </w:r>
      <w:r w:rsidRPr="007524B7">
        <w:rPr>
          <w:rFonts w:eastAsia="黑体" w:hAnsi="黑体" w:hint="eastAsia"/>
          <w:szCs w:val="21"/>
        </w:rPr>
        <w:t>及其</w:t>
      </w:r>
      <w:r w:rsidRPr="007524B7">
        <w:rPr>
          <w:rFonts w:eastAsia="黑体" w:hAnsi="黑体"/>
          <w:szCs w:val="21"/>
        </w:rPr>
        <w:t>关于</w:t>
      </w:r>
      <w:r w:rsidRPr="007524B7">
        <w:rPr>
          <w:rFonts w:eastAsia="黑体" w:hAnsi="黑体" w:hint="eastAsia"/>
          <w:szCs w:val="21"/>
        </w:rPr>
        <w:t>《公约》第十六条</w:t>
      </w:r>
      <w:r w:rsidR="00850B36">
        <w:rPr>
          <w:rFonts w:eastAsia="黑体" w:hAnsi="黑体" w:hint="eastAsia"/>
          <w:szCs w:val="21"/>
        </w:rPr>
        <w:t>(</w:t>
      </w:r>
      <w:r w:rsidRPr="007524B7">
        <w:rPr>
          <w:rFonts w:eastAsia="黑体" w:hAnsi="黑体"/>
          <w:szCs w:val="21"/>
        </w:rPr>
        <w:t>婚姻、家庭关系及其解除的经济后果</w:t>
      </w:r>
      <w:r w:rsidR="00850B36">
        <w:rPr>
          <w:rFonts w:eastAsia="黑体" w:hAnsi="黑体" w:hint="eastAsia"/>
          <w:szCs w:val="21"/>
        </w:rPr>
        <w:t>)</w:t>
      </w:r>
      <w:r w:rsidRPr="007524B7">
        <w:rPr>
          <w:rFonts w:eastAsia="黑体" w:hAnsi="黑体"/>
          <w:szCs w:val="21"/>
        </w:rPr>
        <w:t>的第</w:t>
      </w:r>
      <w:r w:rsidRPr="007524B7">
        <w:rPr>
          <w:rFonts w:eastAsia="黑体"/>
          <w:szCs w:val="21"/>
        </w:rPr>
        <w:t>29</w:t>
      </w:r>
      <w:r w:rsidR="00850B36">
        <w:rPr>
          <w:rFonts w:eastAsia="黑体" w:hAnsi="黑体" w:hint="eastAsia"/>
          <w:szCs w:val="21"/>
        </w:rPr>
        <w:t>(</w:t>
      </w:r>
      <w:r w:rsidRPr="007524B7">
        <w:rPr>
          <w:rFonts w:eastAsia="黑体" w:hint="eastAsia"/>
          <w:szCs w:val="21"/>
        </w:rPr>
        <w:t>2013</w:t>
      </w:r>
      <w:r w:rsidR="00850B36">
        <w:rPr>
          <w:rFonts w:eastAsia="黑体" w:hAnsi="黑体" w:hint="eastAsia"/>
          <w:szCs w:val="21"/>
        </w:rPr>
        <w:t>)</w:t>
      </w:r>
      <w:r w:rsidRPr="007524B7">
        <w:rPr>
          <w:rFonts w:eastAsia="黑体" w:hAnsi="黑体"/>
          <w:szCs w:val="21"/>
        </w:rPr>
        <w:t>号一般性建议</w:t>
      </w:r>
      <w:r w:rsidRPr="007524B7">
        <w:rPr>
          <w:rFonts w:eastAsia="黑体" w:hAnsi="黑体" w:hint="eastAsia"/>
          <w:szCs w:val="21"/>
        </w:rPr>
        <w:t>，再次建议缔约国修正其立法，承认事实结合，确保伴侣双方在这种结合的存续期内和解除时权利和责任平等。委员会建议缔约国确保人人能够访问</w:t>
      </w:r>
      <w:r w:rsidRPr="007524B7">
        <w:rPr>
          <w:rFonts w:eastAsia="黑体" w:hint="eastAsia"/>
          <w:szCs w:val="21"/>
        </w:rPr>
        <w:t>“</w:t>
      </w:r>
      <w:r w:rsidRPr="007524B7">
        <w:rPr>
          <w:rFonts w:eastAsia="黑体" w:hAnsi="黑体" w:hint="eastAsia"/>
          <w:szCs w:val="21"/>
        </w:rPr>
        <w:t>领事预约</w:t>
      </w:r>
      <w:r w:rsidRPr="007524B7">
        <w:rPr>
          <w:rFonts w:eastAsia="黑体" w:hint="eastAsia"/>
          <w:szCs w:val="21"/>
        </w:rPr>
        <w:t>”</w:t>
      </w:r>
      <w:r w:rsidRPr="007524B7">
        <w:rPr>
          <w:rFonts w:eastAsia="黑体" w:hAnsi="黑体" w:hint="eastAsia"/>
          <w:szCs w:val="21"/>
        </w:rPr>
        <w:t>系统，确保申请签证和许可证的人真正有机会通过该系统进行预约以及在合理的时间内和家人团聚。</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spacing w:val="2"/>
          <w:szCs w:val="21"/>
        </w:rPr>
        <w:t>《北京宣言和行动纲要》</w:t>
      </w:r>
    </w:p>
    <w:p w:rsidR="007524B7" w:rsidRPr="007524B7" w:rsidRDefault="007524B7" w:rsidP="007524B7">
      <w:pPr>
        <w:keepLines/>
        <w:widowControl w:val="0"/>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42.</w:t>
      </w:r>
      <w:r w:rsidRPr="007524B7">
        <w:rPr>
          <w:szCs w:val="21"/>
        </w:rPr>
        <w:tab/>
      </w:r>
      <w:r w:rsidRPr="007524B7">
        <w:rPr>
          <w:rFonts w:eastAsia="黑体" w:hAnsi="黑体"/>
          <w:szCs w:val="21"/>
        </w:rPr>
        <w:t>委员会呼吁缔约国采用《北京宣言和行动纲要》，努力执行《公约》的规定。</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spacing w:val="2"/>
          <w:szCs w:val="21"/>
        </w:rPr>
        <w:t>2030</w:t>
      </w:r>
      <w:r w:rsidRPr="007524B7">
        <w:rPr>
          <w:rFonts w:eastAsia="黑体" w:hAnsi="黑体" w:hint="eastAsia"/>
          <w:spacing w:val="2"/>
          <w:szCs w:val="21"/>
        </w:rPr>
        <w:t>年可持续发展议程</w:t>
      </w:r>
    </w:p>
    <w:p w:rsidR="007524B7" w:rsidRPr="007524B7" w:rsidRDefault="007524B7" w:rsidP="007524B7">
      <w:pPr>
        <w:keepLines/>
        <w:widowControl w:val="0"/>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43.</w:t>
      </w:r>
      <w:r w:rsidRPr="007524B7">
        <w:rPr>
          <w:szCs w:val="21"/>
        </w:rPr>
        <w:tab/>
      </w:r>
      <w:r w:rsidRPr="007524B7">
        <w:rPr>
          <w:rFonts w:eastAsia="黑体" w:hAnsi="黑体"/>
          <w:szCs w:val="21"/>
        </w:rPr>
        <w:t>委员会呼吁在</w:t>
      </w:r>
      <w:r w:rsidRPr="007524B7">
        <w:rPr>
          <w:rFonts w:eastAsia="黑体"/>
          <w:szCs w:val="21"/>
        </w:rPr>
        <w:t>2030</w:t>
      </w:r>
      <w:r w:rsidRPr="007524B7">
        <w:rPr>
          <w:rFonts w:eastAsia="黑体" w:hAnsi="黑体"/>
          <w:szCs w:val="21"/>
        </w:rPr>
        <w:t>年可持续发展议程整个执行过程中依照《公约》规定实现实质性的性别平等。</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传播</w:t>
      </w:r>
    </w:p>
    <w:p w:rsidR="007524B7" w:rsidRPr="007524B7" w:rsidRDefault="007524B7" w:rsidP="007524B7">
      <w:pPr>
        <w:keepLines/>
        <w:widowControl w:val="0"/>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44.</w:t>
      </w:r>
      <w:r w:rsidRPr="007524B7">
        <w:rPr>
          <w:szCs w:val="21"/>
        </w:rPr>
        <w:tab/>
      </w:r>
      <w:r w:rsidRPr="007524B7">
        <w:rPr>
          <w:rFonts w:eastAsia="黑体" w:hAnsi="黑体"/>
          <w:szCs w:val="21"/>
        </w:rPr>
        <w:t>委员会请缔约国以其官方语言，及时将本结论</w:t>
      </w:r>
      <w:r w:rsidRPr="007524B7">
        <w:rPr>
          <w:rFonts w:eastAsia="黑体" w:hAnsi="黑体" w:hint="eastAsia"/>
          <w:szCs w:val="21"/>
        </w:rPr>
        <w:t>性</w:t>
      </w:r>
      <w:r w:rsidRPr="007524B7">
        <w:rPr>
          <w:rFonts w:eastAsia="黑体" w:hAnsi="黑体"/>
          <w:szCs w:val="21"/>
        </w:rPr>
        <w:t>意见传播给全国、区域、地方所有各级相关国家机构，特别是传播给政府、各部委、议会和司法机构，使其能得到充分执行。</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批准其他条约</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45.</w:t>
      </w:r>
      <w:r w:rsidRPr="007524B7">
        <w:rPr>
          <w:szCs w:val="21"/>
        </w:rPr>
        <w:tab/>
      </w:r>
      <w:r w:rsidRPr="007524B7">
        <w:rPr>
          <w:szCs w:val="21"/>
        </w:rPr>
        <w:t>委员会指出，缔约国加入九项主要国际人权文书</w:t>
      </w:r>
      <w:r w:rsidRPr="007524B7">
        <w:rPr>
          <w:rFonts w:eastAsia="黑体"/>
          <w:w w:val="150"/>
          <w:szCs w:val="21"/>
          <w:vertAlign w:val="superscript"/>
        </w:rPr>
        <w:footnoteReference w:id="1"/>
      </w:r>
      <w:r w:rsidRPr="007524B7">
        <w:rPr>
          <w:szCs w:val="21"/>
        </w:rPr>
        <w:t>，</w:t>
      </w:r>
      <w:r w:rsidRPr="007524B7">
        <w:rPr>
          <w:szCs w:val="21"/>
        </w:rPr>
        <w:t xml:space="preserve"> </w:t>
      </w:r>
      <w:r w:rsidRPr="007524B7">
        <w:rPr>
          <w:szCs w:val="21"/>
        </w:rPr>
        <w:t>将促进妇女在生活的所有方面更好地享受其人权和基本自由。因此，委员会鼓励缔约国考虑批准</w:t>
      </w:r>
      <w:r w:rsidRPr="007524B7">
        <w:rPr>
          <w:rFonts w:hint="eastAsia"/>
          <w:szCs w:val="21"/>
        </w:rPr>
        <w:t>它</w:t>
      </w:r>
      <w:r w:rsidRPr="007524B7">
        <w:rPr>
          <w:szCs w:val="21"/>
        </w:rPr>
        <w:t>尚未成为缔约国的《保护所有移徙工人及其家庭成员权利国际公约》。</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落实结论性意见的后续行动</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46.</w:t>
      </w:r>
      <w:r w:rsidRPr="007524B7">
        <w:rPr>
          <w:szCs w:val="21"/>
        </w:rPr>
        <w:tab/>
      </w:r>
      <w:r w:rsidRPr="007524B7">
        <w:rPr>
          <w:rFonts w:eastAsia="黑体" w:hAnsi="黑体"/>
          <w:szCs w:val="21"/>
        </w:rPr>
        <w:t>委员会请缔约国在两年内提供书面材料，说明为</w:t>
      </w:r>
      <w:r w:rsidRPr="007524B7">
        <w:rPr>
          <w:rFonts w:eastAsia="黑体" w:hAnsi="黑体" w:hint="eastAsia"/>
          <w:szCs w:val="21"/>
        </w:rPr>
        <w:t>落实</w:t>
      </w:r>
      <w:r w:rsidRPr="007524B7">
        <w:rPr>
          <w:rFonts w:eastAsia="黑体" w:hAnsi="黑体"/>
          <w:szCs w:val="21"/>
        </w:rPr>
        <w:t>上文第</w:t>
      </w:r>
      <w:r w:rsidRPr="007524B7">
        <w:rPr>
          <w:rFonts w:eastAsia="黑体" w:hint="eastAsia"/>
          <w:szCs w:val="21"/>
        </w:rPr>
        <w:t>23</w:t>
      </w:r>
      <w:r w:rsidR="00850B36">
        <w:rPr>
          <w:rFonts w:eastAsia="黑体" w:hAnsi="黑体" w:hint="eastAsia"/>
          <w:szCs w:val="21"/>
        </w:rPr>
        <w:t>(</w:t>
      </w:r>
      <w:r w:rsidRPr="007524B7">
        <w:rPr>
          <w:rFonts w:eastAsia="黑体"/>
          <w:szCs w:val="21"/>
        </w:rPr>
        <w:t>a</w:t>
      </w:r>
      <w:r w:rsidR="00850B36">
        <w:rPr>
          <w:rFonts w:eastAsia="黑体" w:hAnsi="黑体"/>
          <w:szCs w:val="21"/>
        </w:rPr>
        <w:t>)</w:t>
      </w:r>
      <w:r w:rsidRPr="007524B7">
        <w:rPr>
          <w:rFonts w:eastAsia="黑体" w:hAnsi="黑体" w:hint="eastAsia"/>
          <w:szCs w:val="21"/>
        </w:rPr>
        <w:t>段和第</w:t>
      </w:r>
      <w:r w:rsidRPr="007524B7">
        <w:rPr>
          <w:rFonts w:eastAsia="黑体" w:hint="eastAsia"/>
          <w:szCs w:val="21"/>
        </w:rPr>
        <w:t>29</w:t>
      </w:r>
      <w:r w:rsidR="00850B36">
        <w:rPr>
          <w:rFonts w:eastAsia="黑体" w:hAnsi="黑体" w:hint="eastAsia"/>
          <w:szCs w:val="21"/>
        </w:rPr>
        <w:t>(</w:t>
      </w:r>
      <w:r w:rsidRPr="007524B7">
        <w:rPr>
          <w:rFonts w:eastAsia="黑体" w:hint="eastAsia"/>
          <w:szCs w:val="21"/>
        </w:rPr>
        <w:t>a</w:t>
      </w:r>
      <w:r w:rsidR="00850B36">
        <w:rPr>
          <w:rFonts w:eastAsia="黑体" w:hAnsi="黑体" w:hint="eastAsia"/>
          <w:szCs w:val="21"/>
        </w:rPr>
        <w:t>)</w:t>
      </w:r>
      <w:r w:rsidRPr="007524B7">
        <w:rPr>
          <w:rFonts w:eastAsia="黑体" w:hAnsi="黑体"/>
          <w:szCs w:val="21"/>
        </w:rPr>
        <w:t>和</w:t>
      </w:r>
      <w:r w:rsidR="00850B36">
        <w:rPr>
          <w:rFonts w:eastAsia="黑体" w:hAnsi="黑体"/>
          <w:szCs w:val="21"/>
        </w:rPr>
        <w:t>(</w:t>
      </w:r>
      <w:r w:rsidRPr="007524B7">
        <w:rPr>
          <w:rFonts w:eastAsia="黑体" w:hint="eastAsia"/>
          <w:szCs w:val="21"/>
        </w:rPr>
        <w:t>b</w:t>
      </w:r>
      <w:r w:rsidR="00850B36">
        <w:rPr>
          <w:rFonts w:eastAsia="黑体" w:hAnsi="黑体" w:hint="eastAsia"/>
          <w:szCs w:val="21"/>
        </w:rPr>
        <w:t>)</w:t>
      </w:r>
      <w:r w:rsidRPr="007524B7">
        <w:rPr>
          <w:rFonts w:eastAsia="黑体" w:hAnsi="黑体" w:hint="eastAsia"/>
          <w:szCs w:val="21"/>
        </w:rPr>
        <w:t>段</w:t>
      </w:r>
      <w:r w:rsidRPr="007524B7">
        <w:rPr>
          <w:rFonts w:eastAsia="黑体" w:hAnsi="黑体"/>
          <w:szCs w:val="21"/>
        </w:rPr>
        <w:t>所载建议而采取的步骤。</w:t>
      </w:r>
    </w:p>
    <w:p w:rsidR="007524B7" w:rsidRPr="007524B7" w:rsidRDefault="007524B7" w:rsidP="007524B7">
      <w:pPr>
        <w:overflowPunct w:val="0"/>
        <w:autoSpaceDE w:val="0"/>
        <w:autoSpaceDN w:val="0"/>
        <w:snapToGrid w:val="0"/>
        <w:spacing w:after="120"/>
        <w:ind w:left="1264" w:right="1264"/>
        <w:outlineLvl w:val="1"/>
        <w:rPr>
          <w:rFonts w:eastAsia="黑体"/>
          <w:spacing w:val="2"/>
          <w:szCs w:val="21"/>
        </w:rPr>
      </w:pPr>
      <w:r w:rsidRPr="007524B7">
        <w:rPr>
          <w:rFonts w:eastAsia="黑体" w:hAnsi="黑体" w:hint="eastAsia"/>
          <w:spacing w:val="2"/>
          <w:szCs w:val="21"/>
        </w:rPr>
        <w:t>编写下一次报告</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szCs w:val="21"/>
        </w:rPr>
      </w:pPr>
      <w:r w:rsidRPr="007524B7">
        <w:rPr>
          <w:szCs w:val="21"/>
        </w:rPr>
        <w:t>47.</w:t>
      </w:r>
      <w:r w:rsidRPr="007524B7">
        <w:rPr>
          <w:szCs w:val="21"/>
        </w:rPr>
        <w:tab/>
      </w:r>
      <w:r w:rsidRPr="007524B7">
        <w:rPr>
          <w:rFonts w:eastAsia="黑体" w:hAnsi="黑体"/>
          <w:szCs w:val="21"/>
        </w:rPr>
        <w:t>委员会请缔约国在</w:t>
      </w:r>
      <w:r w:rsidRPr="007524B7">
        <w:rPr>
          <w:rFonts w:eastAsia="黑体"/>
          <w:szCs w:val="21"/>
        </w:rPr>
        <w:t>2</w:t>
      </w:r>
      <w:r w:rsidRPr="007524B7">
        <w:rPr>
          <w:rFonts w:eastAsia="黑体" w:hint="eastAsia"/>
          <w:szCs w:val="21"/>
        </w:rPr>
        <w:t>020</w:t>
      </w:r>
      <w:r w:rsidRPr="007524B7">
        <w:rPr>
          <w:rFonts w:eastAsia="黑体" w:hAnsi="黑体"/>
          <w:szCs w:val="21"/>
        </w:rPr>
        <w:t>年</w:t>
      </w:r>
      <w:r w:rsidRPr="007524B7">
        <w:rPr>
          <w:rFonts w:eastAsia="黑体" w:hint="eastAsia"/>
          <w:szCs w:val="21"/>
        </w:rPr>
        <w:t>3</w:t>
      </w:r>
      <w:r w:rsidRPr="007524B7">
        <w:rPr>
          <w:rFonts w:eastAsia="黑体" w:hAnsi="黑体"/>
          <w:szCs w:val="21"/>
        </w:rPr>
        <w:t>月提交第</w:t>
      </w:r>
      <w:r w:rsidRPr="007524B7">
        <w:rPr>
          <w:rFonts w:eastAsia="黑体" w:hAnsi="黑体" w:hint="eastAsia"/>
          <w:szCs w:val="21"/>
        </w:rPr>
        <w:t>七</w:t>
      </w:r>
      <w:r w:rsidRPr="007524B7">
        <w:rPr>
          <w:rFonts w:eastAsia="黑体" w:hAnsi="黑体"/>
          <w:szCs w:val="21"/>
        </w:rPr>
        <w:t>次定期报告。</w:t>
      </w:r>
    </w:p>
    <w:p w:rsidR="007524B7" w:rsidRPr="007524B7" w:rsidRDefault="007524B7" w:rsidP="007524B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val="0"/>
        <w:autoSpaceDE w:val="0"/>
        <w:autoSpaceDN w:val="0"/>
        <w:snapToGrid w:val="0"/>
        <w:spacing w:after="120"/>
        <w:ind w:left="1264" w:right="1264"/>
        <w:rPr>
          <w:rFonts w:eastAsia="黑体"/>
          <w:szCs w:val="21"/>
        </w:rPr>
      </w:pPr>
      <w:r w:rsidRPr="007524B7">
        <w:rPr>
          <w:szCs w:val="21"/>
        </w:rPr>
        <w:t>48.</w:t>
      </w:r>
      <w:r w:rsidRPr="007524B7">
        <w:rPr>
          <w:szCs w:val="21"/>
        </w:rPr>
        <w:tab/>
      </w:r>
      <w:r w:rsidRPr="007524B7">
        <w:rPr>
          <w:rFonts w:eastAsia="黑体" w:hAnsi="黑体"/>
          <w:szCs w:val="21"/>
        </w:rPr>
        <w:t>委员会请缔约国在编写报告时，遵从</w:t>
      </w:r>
      <w:r w:rsidRPr="007524B7">
        <w:rPr>
          <w:rFonts w:eastAsia="黑体" w:hint="eastAsia"/>
          <w:szCs w:val="21"/>
        </w:rPr>
        <w:t>“</w:t>
      </w:r>
      <w:r w:rsidRPr="007524B7">
        <w:rPr>
          <w:rFonts w:eastAsia="黑体" w:hAnsi="黑体"/>
          <w:szCs w:val="21"/>
        </w:rPr>
        <w:t>包括共同核心文件和条约专要文件在内的根据国际人权条约提交报告的</w:t>
      </w:r>
      <w:r w:rsidRPr="007524B7">
        <w:rPr>
          <w:rFonts w:eastAsia="黑体" w:hAnsi="黑体" w:hint="eastAsia"/>
          <w:szCs w:val="21"/>
        </w:rPr>
        <w:t>协调</w:t>
      </w:r>
      <w:r w:rsidRPr="007524B7">
        <w:rPr>
          <w:rFonts w:eastAsia="黑体" w:hAnsi="黑体"/>
          <w:szCs w:val="21"/>
        </w:rPr>
        <w:t>准则</w:t>
      </w:r>
      <w:r w:rsidRPr="007524B7">
        <w:rPr>
          <w:rFonts w:eastAsia="黑体" w:hint="eastAsia"/>
          <w:szCs w:val="21"/>
        </w:rPr>
        <w:t>”</w:t>
      </w:r>
      <w:r w:rsidR="00850B36">
        <w:rPr>
          <w:rFonts w:eastAsia="黑体" w:hAnsi="黑体" w:hint="eastAsia"/>
          <w:szCs w:val="21"/>
        </w:rPr>
        <w:t>(</w:t>
      </w:r>
      <w:hyperlink r:id="rId27" w:history="1">
        <w:r w:rsidRPr="007524B7">
          <w:rPr>
            <w:rFonts w:eastAsia="黑体"/>
            <w:szCs w:val="21"/>
          </w:rPr>
          <w:t>HRI/GEN/2/Rev.6</w:t>
        </w:r>
      </w:hyperlink>
      <w:r w:rsidRPr="007524B7">
        <w:rPr>
          <w:rFonts w:eastAsia="黑体" w:hAnsi="黑体" w:hint="eastAsia"/>
          <w:szCs w:val="21"/>
        </w:rPr>
        <w:t>，第一章</w:t>
      </w:r>
      <w:r w:rsidR="00850B36">
        <w:rPr>
          <w:rFonts w:eastAsia="黑体" w:hAnsi="黑体" w:hint="eastAsia"/>
          <w:szCs w:val="21"/>
        </w:rPr>
        <w:t>)</w:t>
      </w:r>
      <w:r w:rsidRPr="007524B7">
        <w:rPr>
          <w:rFonts w:eastAsia="黑体" w:hAnsi="黑体"/>
          <w:szCs w:val="21"/>
        </w:rPr>
        <w:t>。</w:t>
      </w:r>
    </w:p>
    <w:p w:rsidR="00B31E9D" w:rsidRPr="00850B36" w:rsidRDefault="007524B7" w:rsidP="00850B3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rFonts w:ascii="宋体"/>
          <w:sz w:val="20"/>
        </w:rPr>
      </w:pPr>
      <w:r>
        <w:rPr>
          <w:rFonts w:ascii="宋体"/>
          <w:noProof/>
          <w:sz w:val="20"/>
        </w:rPr>
        <mc:AlternateContent>
          <mc:Choice Requires="wps">
            <w:drawing>
              <wp:anchor distT="0" distB="0" distL="114300" distR="114300" simplePos="0" relativeHeight="251659264" behindDoc="0" locked="0" layoutInCell="1" allowOverlap="1" wp14:anchorId="6F35D0BA" wp14:editId="7E955518">
                <wp:simplePos x="0" y="0"/>
                <wp:positionH relativeFrom="column">
                  <wp:posOffset>2757170</wp:posOffset>
                </wp:positionH>
                <wp:positionV relativeFrom="paragraph">
                  <wp:posOffset>220539</wp:posOffset>
                </wp:positionV>
                <wp:extent cx="914400" cy="0"/>
                <wp:effectExtent l="0" t="0" r="19050"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4"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1pt,17.35pt" to="289.1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" strokeweight=".25pt"/>
            </w:pict>
          </mc:Fallback>
        </mc:AlternateContent>
      </w:r>
    </w:p>
    <w:sectPr w:rsidR="00B31E9D" w:rsidRPr="00850B36" w:rsidSect="00B03F58">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1T13:06:00Z" w:initials="Start">
    <w:p w:rsidR="009A2513" w:rsidRDefault="009A251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403E03">
        <w:rPr>
          <w:rFonts w:hint="eastAsia"/>
          <w:noProof/>
        </w:rPr>
        <w:t>页</w:t>
      </w:r>
      <w:r w:rsidR="00403E03">
        <w:rPr>
          <w:rFonts w:hint="eastAsia"/>
          <w:noProof/>
        </w:rPr>
        <w:t xml:space="preserve">: </w:t>
      </w:r>
      <w:r w:rsidR="00403E03">
        <w:rPr>
          <w:noProof/>
        </w:rPr>
        <w:t>1</w:t>
      </w:r>
      <w:r w:rsidR="00403E03">
        <w:rPr>
          <w:rFonts w:hint="eastAsia"/>
          <w:noProof/>
        </w:rPr>
        <w:br/>
      </w:r>
      <w:r>
        <w:fldChar w:fldCharType="end"/>
      </w:r>
      <w:r>
        <w:rPr>
          <w:rStyle w:val="a9"/>
        </w:rPr>
        <w:annotationRef/>
      </w:r>
      <w:r>
        <w:t>&lt;&lt;ODS JOB NO&gt;&gt;N1606980C&lt;&lt;ODS JOB NO&gt;&gt;</w:t>
      </w:r>
    </w:p>
    <w:p w:rsidR="009A2513" w:rsidRDefault="009A2513">
      <w:pPr>
        <w:pStyle w:val="a7"/>
      </w:pPr>
      <w:r>
        <w:t>&lt;&lt;ODS DOC SYMBOL1&gt;&gt;CEDAW/C/CZE/CO/6&lt;&lt;ODS DOC SYMBOL1&gt;&gt;</w:t>
      </w:r>
    </w:p>
    <w:p w:rsidR="009A2513" w:rsidRDefault="009A251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56A" w:rsidRDefault="003F356A">
      <w:r>
        <w:separator/>
      </w:r>
    </w:p>
  </w:endnote>
  <w:endnote w:type="continuationSeparator" w:id="0">
    <w:p w:rsidR="003F356A" w:rsidRDefault="003F3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2513" w:rsidTr="009A2513">
      <w:tc>
        <w:tcPr>
          <w:tcW w:w="5028" w:type="dxa"/>
          <w:shd w:val="clear" w:color="auto" w:fill="auto"/>
        </w:tcPr>
        <w:p w:rsidR="009A2513" w:rsidRPr="009A2513" w:rsidRDefault="009A2513" w:rsidP="009A2513">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3E03">
            <w:rPr>
              <w:b w:val="0"/>
              <w:w w:val="103"/>
              <w:sz w:val="14"/>
            </w:rPr>
            <w:t>16-03705 (C)</w:t>
          </w:r>
          <w:r>
            <w:rPr>
              <w:b w:val="0"/>
              <w:w w:val="103"/>
              <w:sz w:val="14"/>
            </w:rPr>
            <w:fldChar w:fldCharType="end"/>
          </w:r>
        </w:p>
      </w:tc>
      <w:tc>
        <w:tcPr>
          <w:tcW w:w="5028" w:type="dxa"/>
          <w:shd w:val="clear" w:color="auto" w:fill="auto"/>
        </w:tcPr>
        <w:p w:rsidR="009A2513" w:rsidRPr="009A2513" w:rsidRDefault="009A2513" w:rsidP="009A2513">
          <w:pPr>
            <w:pStyle w:val="ac"/>
            <w:jc w:val="left"/>
            <w:rPr>
              <w:w w:val="103"/>
            </w:rPr>
          </w:pPr>
          <w:r>
            <w:rPr>
              <w:w w:val="103"/>
            </w:rPr>
            <w:fldChar w:fldCharType="begin"/>
          </w:r>
          <w:r>
            <w:rPr>
              <w:w w:val="103"/>
            </w:rPr>
            <w:instrText xml:space="preserve"> PAGE  \* Arabic  \* MERGEFORMAT </w:instrText>
          </w:r>
          <w:r>
            <w:rPr>
              <w:w w:val="103"/>
            </w:rPr>
            <w:fldChar w:fldCharType="separate"/>
          </w:r>
          <w:r w:rsidR="00DB35E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35E1">
            <w:rPr>
              <w:w w:val="103"/>
            </w:rPr>
            <w:t>10</w:t>
          </w:r>
          <w:r>
            <w:rPr>
              <w:w w:val="103"/>
            </w:rPr>
            <w:fldChar w:fldCharType="end"/>
          </w:r>
        </w:p>
      </w:tc>
    </w:tr>
  </w:tbl>
  <w:p w:rsidR="009A2513" w:rsidRPr="009A2513" w:rsidRDefault="009A2513" w:rsidP="009A251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2513" w:rsidTr="009A2513">
      <w:tc>
        <w:tcPr>
          <w:tcW w:w="5028" w:type="dxa"/>
          <w:shd w:val="clear" w:color="auto" w:fill="auto"/>
        </w:tcPr>
        <w:p w:rsidR="009A2513" w:rsidRPr="009A2513" w:rsidRDefault="009A2513" w:rsidP="009A2513">
          <w:pPr>
            <w:pStyle w:val="ac"/>
            <w:jc w:val="right"/>
          </w:pPr>
          <w:r>
            <w:fldChar w:fldCharType="begin"/>
          </w:r>
          <w:r>
            <w:instrText xml:space="preserve"> PAGE  \* Arabic  \* MERGEFORMAT </w:instrText>
          </w:r>
          <w:r>
            <w:fldChar w:fldCharType="separate"/>
          </w:r>
          <w:r w:rsidR="00DB35E1">
            <w:t>9</w:t>
          </w:r>
          <w:r>
            <w:fldChar w:fldCharType="end"/>
          </w:r>
          <w:r>
            <w:t>/</w:t>
          </w:r>
          <w:fldSimple w:instr=" NUMPAGES  \* Arabic  \* MERGEFORMAT ">
            <w:r w:rsidR="00DB35E1">
              <w:t>9</w:t>
            </w:r>
          </w:fldSimple>
        </w:p>
      </w:tc>
      <w:tc>
        <w:tcPr>
          <w:tcW w:w="5028" w:type="dxa"/>
          <w:shd w:val="clear" w:color="auto" w:fill="auto"/>
        </w:tcPr>
        <w:p w:rsidR="009A2513" w:rsidRPr="009A2513" w:rsidRDefault="009A2513" w:rsidP="009A2513">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3E03">
            <w:rPr>
              <w:b w:val="0"/>
              <w:w w:val="103"/>
              <w:sz w:val="14"/>
            </w:rPr>
            <w:t>16-03705 (C)</w:t>
          </w:r>
          <w:r>
            <w:rPr>
              <w:b w:val="0"/>
              <w:w w:val="103"/>
              <w:sz w:val="14"/>
            </w:rPr>
            <w:fldChar w:fldCharType="end"/>
          </w:r>
        </w:p>
      </w:tc>
    </w:tr>
  </w:tbl>
  <w:p w:rsidR="009A2513" w:rsidRPr="009A2513" w:rsidRDefault="009A2513" w:rsidP="009A251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9A2513" w:rsidTr="009A2513">
      <w:tc>
        <w:tcPr>
          <w:tcW w:w="3744" w:type="dxa"/>
        </w:tcPr>
        <w:p w:rsidR="009A2513" w:rsidRDefault="009A2513" w:rsidP="009A2513">
          <w:pPr>
            <w:pStyle w:val="Release"/>
          </w:pPr>
          <w:r>
            <w:rPr>
              <w:noProof/>
            </w:rPr>
            <w:drawing>
              <wp:anchor distT="0" distB="0" distL="114300" distR="114300" simplePos="0" relativeHeight="251658240" behindDoc="0" locked="0" layoutInCell="1" allowOverlap="1" wp14:anchorId="26FB5927" wp14:editId="1397FD92">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CZE/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524B7" w:rsidRPr="007524B7">
            <w:t>16-03705 X (C)</w:t>
          </w:r>
          <w:r>
            <w:t xml:space="preserve">    110416    1</w:t>
          </w:r>
          <w:r w:rsidR="00403E03">
            <w:rPr>
              <w:rFonts w:hint="eastAsia"/>
            </w:rPr>
            <w:t>3</w:t>
          </w:r>
          <w:r>
            <w:t>0416</w:t>
          </w:r>
        </w:p>
        <w:p w:rsidR="009A2513" w:rsidRPr="009A2513" w:rsidRDefault="009A2513" w:rsidP="009A2513">
          <w:pPr>
            <w:spacing w:before="80" w:line="210" w:lineRule="exact"/>
            <w:rPr>
              <w:rFonts w:ascii="Barcode 3 of 9 by request" w:hAnsi="Barcode 3 of 9 by request"/>
              <w:sz w:val="24"/>
            </w:rPr>
          </w:pPr>
          <w:r>
            <w:rPr>
              <w:rFonts w:ascii="Barcode 3 of 9 by request" w:hAnsi="Barcode 3 of 9 by request"/>
              <w:sz w:val="24"/>
            </w:rPr>
            <w:t>*1603705*</w:t>
          </w:r>
        </w:p>
      </w:tc>
      <w:tc>
        <w:tcPr>
          <w:tcW w:w="5028" w:type="dxa"/>
        </w:tcPr>
        <w:p w:rsidR="009A2513" w:rsidRDefault="009A2513" w:rsidP="009A2513">
          <w:pPr>
            <w:pStyle w:val="ac"/>
            <w:jc w:val="right"/>
            <w:rPr>
              <w:b w:val="0"/>
              <w:sz w:val="21"/>
            </w:rPr>
          </w:pPr>
          <w:r>
            <w:rPr>
              <w:b w:val="0"/>
              <w:sz w:val="21"/>
            </w:rPr>
            <w:drawing>
              <wp:inline distT="0" distB="0" distL="0" distR="0" wp14:anchorId="48E779B1" wp14:editId="7334693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A2513" w:rsidRPr="009A2513" w:rsidRDefault="009A2513" w:rsidP="009A2513">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56A" w:rsidRPr="007524B7" w:rsidRDefault="007524B7" w:rsidP="007524B7">
      <w:pPr>
        <w:pStyle w:val="ac"/>
        <w:spacing w:after="80"/>
        <w:ind w:left="792"/>
        <w:rPr>
          <w:sz w:val="16"/>
        </w:rPr>
      </w:pPr>
      <w:r w:rsidRPr="007524B7">
        <w:rPr>
          <w:sz w:val="16"/>
        </w:rPr>
        <w:t>__________________</w:t>
      </w:r>
    </w:p>
  </w:footnote>
  <w:footnote w:type="continuationSeparator" w:id="0">
    <w:p w:rsidR="003F356A" w:rsidRPr="007524B7" w:rsidRDefault="007524B7" w:rsidP="007524B7">
      <w:pPr>
        <w:pStyle w:val="ac"/>
        <w:spacing w:after="80"/>
        <w:ind w:left="792"/>
        <w:rPr>
          <w:sz w:val="16"/>
        </w:rPr>
      </w:pPr>
      <w:r w:rsidRPr="007524B7">
        <w:rPr>
          <w:sz w:val="16"/>
        </w:rPr>
        <w:t>__________________</w:t>
      </w:r>
    </w:p>
  </w:footnote>
  <w:footnote w:id="1">
    <w:p w:rsidR="007524B7" w:rsidRPr="00995089" w:rsidRDefault="007524B7" w:rsidP="007524B7">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A2513" w:rsidTr="009A2513">
      <w:trPr>
        <w:trHeight w:hRule="exact" w:val="864"/>
      </w:trPr>
      <w:tc>
        <w:tcPr>
          <w:tcW w:w="4838" w:type="dxa"/>
          <w:shd w:val="clear" w:color="auto" w:fill="auto"/>
          <w:vAlign w:val="bottom"/>
        </w:tcPr>
        <w:p w:rsidR="009A2513" w:rsidRPr="009A2513" w:rsidRDefault="009A2513" w:rsidP="009A2513">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03E03">
            <w:rPr>
              <w:b/>
              <w:sz w:val="17"/>
            </w:rPr>
            <w:t>CEDAW/C/CZE/CO/6</w:t>
          </w:r>
          <w:r>
            <w:rPr>
              <w:b/>
              <w:sz w:val="17"/>
            </w:rPr>
            <w:fldChar w:fldCharType="end"/>
          </w:r>
        </w:p>
      </w:tc>
      <w:tc>
        <w:tcPr>
          <w:tcW w:w="5028" w:type="dxa"/>
          <w:shd w:val="clear" w:color="auto" w:fill="auto"/>
          <w:vAlign w:val="bottom"/>
        </w:tcPr>
        <w:p w:rsidR="009A2513" w:rsidRDefault="009A2513" w:rsidP="009A2513">
          <w:pPr>
            <w:pStyle w:val="ab"/>
          </w:pPr>
        </w:p>
      </w:tc>
    </w:tr>
  </w:tbl>
  <w:p w:rsidR="009A2513" w:rsidRPr="009A2513" w:rsidRDefault="009A2513" w:rsidP="009A251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A2513" w:rsidTr="009A2513">
      <w:trPr>
        <w:trHeight w:hRule="exact" w:val="864"/>
      </w:trPr>
      <w:tc>
        <w:tcPr>
          <w:tcW w:w="4838" w:type="dxa"/>
          <w:shd w:val="clear" w:color="auto" w:fill="auto"/>
          <w:vAlign w:val="bottom"/>
        </w:tcPr>
        <w:p w:rsidR="009A2513" w:rsidRDefault="009A2513" w:rsidP="009A2513">
          <w:pPr>
            <w:pStyle w:val="ab"/>
          </w:pPr>
        </w:p>
      </w:tc>
      <w:tc>
        <w:tcPr>
          <w:tcW w:w="5028" w:type="dxa"/>
          <w:shd w:val="clear" w:color="auto" w:fill="auto"/>
          <w:vAlign w:val="bottom"/>
        </w:tcPr>
        <w:p w:rsidR="009A2513" w:rsidRPr="009A2513" w:rsidRDefault="009A2513" w:rsidP="009A2513">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03E03">
            <w:rPr>
              <w:b/>
              <w:sz w:val="17"/>
            </w:rPr>
            <w:t>CEDAW/C/CZE/CO/6</w:t>
          </w:r>
          <w:r>
            <w:rPr>
              <w:b/>
              <w:sz w:val="17"/>
            </w:rPr>
            <w:fldChar w:fldCharType="end"/>
          </w:r>
        </w:p>
      </w:tc>
    </w:tr>
  </w:tbl>
  <w:p w:rsidR="009A2513" w:rsidRPr="009A2513" w:rsidRDefault="009A2513" w:rsidP="009A251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A2513" w:rsidTr="009A2513">
      <w:trPr>
        <w:gridAfter w:val="1"/>
        <w:wAfter w:w="12" w:type="dxa"/>
        <w:trHeight w:hRule="exact" w:val="864"/>
      </w:trPr>
      <w:tc>
        <w:tcPr>
          <w:tcW w:w="1267" w:type="dxa"/>
          <w:tcBorders>
            <w:bottom w:val="single" w:sz="4" w:space="0" w:color="auto"/>
          </w:tcBorders>
          <w:shd w:val="clear" w:color="auto" w:fill="auto"/>
          <w:vAlign w:val="bottom"/>
        </w:tcPr>
        <w:p w:rsidR="009A2513" w:rsidRDefault="009A2513" w:rsidP="009A2513">
          <w:pPr>
            <w:pStyle w:val="ab"/>
            <w:spacing w:after="120"/>
          </w:pPr>
        </w:p>
      </w:tc>
      <w:tc>
        <w:tcPr>
          <w:tcW w:w="1872" w:type="dxa"/>
          <w:tcBorders>
            <w:bottom w:val="single" w:sz="4" w:space="0" w:color="auto"/>
          </w:tcBorders>
          <w:shd w:val="clear" w:color="auto" w:fill="auto"/>
          <w:vAlign w:val="bottom"/>
        </w:tcPr>
        <w:p w:rsidR="009A2513" w:rsidRPr="009A2513" w:rsidRDefault="009A2513" w:rsidP="009A2513">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A2513" w:rsidRDefault="009A2513" w:rsidP="009A2513">
          <w:pPr>
            <w:pStyle w:val="ab"/>
            <w:spacing w:after="120"/>
          </w:pPr>
        </w:p>
      </w:tc>
      <w:tc>
        <w:tcPr>
          <w:tcW w:w="6523" w:type="dxa"/>
          <w:gridSpan w:val="3"/>
          <w:tcBorders>
            <w:bottom w:val="single" w:sz="4" w:space="0" w:color="auto"/>
          </w:tcBorders>
          <w:shd w:val="clear" w:color="auto" w:fill="auto"/>
          <w:vAlign w:val="bottom"/>
        </w:tcPr>
        <w:p w:rsidR="009A2513" w:rsidRPr="009A2513" w:rsidRDefault="009A2513" w:rsidP="009A2513">
          <w:pPr>
            <w:spacing w:after="80" w:line="240" w:lineRule="auto"/>
            <w:jc w:val="right"/>
            <w:rPr>
              <w:position w:val="-4"/>
            </w:rPr>
          </w:pPr>
          <w:r>
            <w:rPr>
              <w:position w:val="-4"/>
              <w:sz w:val="40"/>
            </w:rPr>
            <w:t>CEDAW</w:t>
          </w:r>
          <w:r>
            <w:rPr>
              <w:position w:val="-4"/>
            </w:rPr>
            <w:t>/C/CZE/CO/6</w:t>
          </w:r>
        </w:p>
      </w:tc>
    </w:tr>
    <w:tr w:rsidR="009A2513" w:rsidRPr="009A2513" w:rsidTr="009A2513">
      <w:trPr>
        <w:trHeight w:hRule="exact" w:val="2880"/>
      </w:trPr>
      <w:tc>
        <w:tcPr>
          <w:tcW w:w="1267" w:type="dxa"/>
          <w:tcBorders>
            <w:top w:val="single" w:sz="4" w:space="0" w:color="auto"/>
            <w:bottom w:val="single" w:sz="12" w:space="0" w:color="auto"/>
          </w:tcBorders>
          <w:shd w:val="clear" w:color="auto" w:fill="auto"/>
        </w:tcPr>
        <w:p w:rsidR="009A2513" w:rsidRPr="009A2513" w:rsidRDefault="009A2513" w:rsidP="009A2513">
          <w:pPr>
            <w:pStyle w:val="ab"/>
            <w:spacing w:before="109"/>
            <w:ind w:left="-72"/>
          </w:pPr>
          <w:r>
            <w:t xml:space="preserve"> </w:t>
          </w:r>
          <w:r>
            <w:drawing>
              <wp:inline distT="0" distB="0" distL="0" distR="0" wp14:anchorId="532507F3" wp14:editId="4EAEE7B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2513" w:rsidRPr="009A2513" w:rsidRDefault="009A2513" w:rsidP="009A251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A2513" w:rsidRPr="009A2513" w:rsidRDefault="009A2513" w:rsidP="009A2513">
          <w:pPr>
            <w:pStyle w:val="ab"/>
            <w:spacing w:before="109"/>
          </w:pPr>
        </w:p>
      </w:tc>
      <w:tc>
        <w:tcPr>
          <w:tcW w:w="3180" w:type="dxa"/>
          <w:gridSpan w:val="2"/>
          <w:tcBorders>
            <w:top w:val="single" w:sz="4" w:space="0" w:color="auto"/>
            <w:bottom w:val="single" w:sz="12" w:space="0" w:color="auto"/>
          </w:tcBorders>
          <w:shd w:val="clear" w:color="auto" w:fill="auto"/>
        </w:tcPr>
        <w:p w:rsidR="009A2513" w:rsidRDefault="009A2513" w:rsidP="009A2513">
          <w:pPr>
            <w:pStyle w:val="Distr"/>
          </w:pPr>
          <w:r>
            <w:t>Distr.: General</w:t>
          </w:r>
        </w:p>
        <w:p w:rsidR="009A2513" w:rsidRDefault="009A2513" w:rsidP="009A2513">
          <w:pPr>
            <w:pStyle w:val="Publication"/>
          </w:pPr>
          <w:r>
            <w:t>13 March 2016</w:t>
          </w:r>
        </w:p>
        <w:p w:rsidR="009A2513" w:rsidRDefault="009A2513" w:rsidP="009A2513">
          <w:pPr>
            <w:spacing w:line="240" w:lineRule="exact"/>
          </w:pPr>
          <w:r>
            <w:t>Chinese</w:t>
          </w:r>
        </w:p>
        <w:p w:rsidR="009A2513" w:rsidRDefault="009A2513" w:rsidP="009A2513">
          <w:pPr>
            <w:pStyle w:val="Original"/>
          </w:pPr>
          <w:r>
            <w:t>Original: English</w:t>
          </w:r>
        </w:p>
        <w:p w:rsidR="009A2513" w:rsidRPr="009A2513" w:rsidRDefault="009A2513" w:rsidP="009A2513"/>
      </w:tc>
    </w:tr>
  </w:tbl>
  <w:p w:rsidR="009A2513" w:rsidRPr="009A2513" w:rsidRDefault="009A2513" w:rsidP="009A2513">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705*"/>
    <w:docVar w:name="CreationDt" w:val="11/04/2016 12:58:51"/>
    <w:docVar w:name="DocCategory" w:val="Doc"/>
    <w:docVar w:name="DocType" w:val="Final"/>
    <w:docVar w:name="DutyStation" w:val="New York"/>
    <w:docVar w:name="FooterJN" w:val="16-03705 (C)"/>
    <w:docVar w:name="jobn" w:val="16-03705 (C)"/>
    <w:docVar w:name="jobnDT" w:val="16-03705 (C)   110416"/>
    <w:docVar w:name="jobnDTDT" w:val="16-03705 (C)   110416   110416"/>
    <w:docVar w:name="JobNo" w:val="1603705C"/>
    <w:docVar w:name="LocalDrive" w:val="0"/>
    <w:docVar w:name="OandT" w:val="jia"/>
    <w:docVar w:name="PaperSize" w:val="Letter"/>
    <w:docVar w:name="sss1" w:val="CEDAW/C/CZE/CO/6"/>
    <w:docVar w:name="sss2" w:val="-"/>
    <w:docVar w:name="Symbol1" w:val="CEDAW/C/CZE/CO/6"/>
    <w:docVar w:name="Symbol2" w:val="-"/>
  </w:docVars>
  <w:rsids>
    <w:rsidRoot w:val="003F356A"/>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356A"/>
    <w:rsid w:val="003F4BD2"/>
    <w:rsid w:val="003F7BF8"/>
    <w:rsid w:val="00403E03"/>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136F"/>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24B7"/>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0B36"/>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51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4D0F"/>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67BE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5E1"/>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CZE/Q/6" TargetMode="External"/><Relationship Id="rId26" Type="http://schemas.openxmlformats.org/officeDocument/2006/relationships/hyperlink" Target="http://undocs.org/CEDAW/C/CZE/CO/5" TargetMode="External"/><Relationship Id="rId3" Type="http://schemas.openxmlformats.org/officeDocument/2006/relationships/styles" Target="styles.xml"/><Relationship Id="rId21" Type="http://schemas.openxmlformats.org/officeDocument/2006/relationships/hyperlink" Target="http://undocs.org/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85" TargetMode="External"/><Relationship Id="rId25" Type="http://schemas.openxmlformats.org/officeDocument/2006/relationships/hyperlink" Target="http://undocs.org/CEDAW/C/CZE/CO/3" TargetMode="External"/><Relationship Id="rId2" Type="http://schemas.openxmlformats.org/officeDocument/2006/relationships/numbering" Target="numbering.xml"/><Relationship Id="rId16" Type="http://schemas.openxmlformats.org/officeDocument/2006/relationships/hyperlink" Target="http://undocs.org/CEDAW/C/CZE/6" TargetMode="External"/><Relationship Id="rId20" Type="http://schemas.openxmlformats.org/officeDocument/2006/relationships/hyperlink" Target="http://undocs.org/CEDAW/C/CZE/CO/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CZE/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CZE/CO/3"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CZE/Q/6/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CZE/CO/5" TargetMode="External"/><Relationship Id="rId27"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6ECC0-B7B7-43DE-9992-7CFD99E78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Pages>
  <Words>1448</Words>
  <Characters>8260</Characters>
  <Application>Microsoft Office Word</Application>
  <DocSecurity>0</DocSecurity>
  <Lines>68</Lines>
  <Paragraphs>19</Paragraphs>
  <ScaleCrop>false</ScaleCrop>
  <Company>United Nations</Company>
  <LinksUpToDate>false</LinksUpToDate>
  <CharactersWithSpaces>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Ctpu1</cp:lastModifiedBy>
  <cp:revision>11</cp:revision>
  <cp:lastPrinted>2016-04-11T17:06:00Z</cp:lastPrinted>
  <dcterms:created xsi:type="dcterms:W3CDTF">2016-04-11T14:31:00Z</dcterms:created>
  <dcterms:modified xsi:type="dcterms:W3CDTF">2016-04-13T14:02:00Z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1603705</vt:lpwstr>
  </property>
  <property fmtid="{D5CDD505-2E9C-101B-9397-08002B2CF9AE}" pid="3" name="ODSRefJobNo">
    <vt:lpwstr>1606980C</vt:lpwstr>
  </property>
  <property fmtid="{D5CDD505-2E9C-101B-9397-08002B2CF9AE}" pid="4" name="Symbol1">
    <vt:lpwstr>CEDAW/C/CZE/CO/6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13 March 2016</vt:lpwstr>
  </property>
  <property fmtid="{D5CDD505-2E9C-101B-9397-08002B2CF9AE}" pid="9" name="Original">
    <vt:lpwstr>English</vt:lpwstr>
  </property>
  <property fmtid="{D5CDD505-2E9C-101B-9397-08002B2CF9AE}" pid="10" name="Release Date">
    <vt:lpwstr>110416</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