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06207C"/>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06207C" w:rsidP="0006207C">
            <w:pPr>
              <w:jc w:val="right"/>
            </w:pPr>
            <w:r w:rsidRPr="0006207C">
              <w:rPr>
                <w:sz w:val="40"/>
              </w:rPr>
              <w:t>A</w:t>
            </w:r>
            <w:r>
              <w:t>/HRC/45/13/Add.2</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06207C" w:rsidP="00E6618E">
            <w:pPr>
              <w:spacing w:before="240"/>
            </w:pPr>
            <w:proofErr w:type="spellStart"/>
            <w:r>
              <w:t>Distr</w:t>
            </w:r>
            <w:proofErr w:type="spellEnd"/>
            <w:r>
              <w:t>. générale</w:t>
            </w:r>
          </w:p>
          <w:p w:rsidR="0006207C" w:rsidRDefault="0006207C" w:rsidP="0006207C">
            <w:pPr>
              <w:spacing w:line="240" w:lineRule="exact"/>
            </w:pPr>
            <w:r>
              <w:t>24 août 2020</w:t>
            </w:r>
          </w:p>
          <w:p w:rsidR="0006207C" w:rsidRDefault="0006207C" w:rsidP="0006207C">
            <w:pPr>
              <w:spacing w:line="240" w:lineRule="exact"/>
            </w:pPr>
            <w:r>
              <w:t>Français</w:t>
            </w:r>
          </w:p>
          <w:p w:rsidR="0006207C" w:rsidRPr="00DB58B5" w:rsidRDefault="0006207C" w:rsidP="0006207C">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w:t>
      </w:r>
      <w:r w:rsidR="0006207C">
        <w:rPr>
          <w:b/>
          <w:sz w:val="24"/>
          <w:szCs w:val="24"/>
        </w:rPr>
        <w:t>’</w:t>
      </w:r>
      <w:r w:rsidRPr="00BA184E">
        <w:rPr>
          <w:b/>
          <w:sz w:val="24"/>
          <w:szCs w:val="24"/>
        </w:rPr>
        <w:t>homme</w:t>
      </w:r>
    </w:p>
    <w:p w:rsidR="0006207C" w:rsidRPr="001A5EBA" w:rsidRDefault="0006207C" w:rsidP="0006207C">
      <w:pPr>
        <w:rPr>
          <w:b/>
          <w:bCs/>
          <w:lang w:val="fr-FR"/>
        </w:rPr>
      </w:pPr>
      <w:r>
        <w:rPr>
          <w:b/>
          <w:bCs/>
          <w:lang w:val="fr-FR"/>
        </w:rPr>
        <w:t>Quarante-cinquième session</w:t>
      </w:r>
    </w:p>
    <w:p w:rsidR="0006207C" w:rsidRPr="001A5EBA" w:rsidRDefault="0006207C" w:rsidP="0006207C">
      <w:pPr>
        <w:rPr>
          <w:lang w:val="fr-FR"/>
        </w:rPr>
      </w:pPr>
      <w:r>
        <w:rPr>
          <w:lang w:val="fr-FR"/>
        </w:rPr>
        <w:t>14 septembre-2 octobre 2020</w:t>
      </w:r>
    </w:p>
    <w:p w:rsidR="0006207C" w:rsidRPr="001A5EBA" w:rsidRDefault="0006207C" w:rsidP="0006207C">
      <w:pPr>
        <w:rPr>
          <w:lang w:val="fr-FR"/>
        </w:rPr>
      </w:pPr>
      <w:r>
        <w:rPr>
          <w:lang w:val="fr-FR"/>
        </w:rPr>
        <w:t>Point 3 de l</w:t>
      </w:r>
      <w:r>
        <w:rPr>
          <w:lang w:val="fr-FR"/>
        </w:rPr>
        <w:t>’</w:t>
      </w:r>
      <w:r>
        <w:rPr>
          <w:lang w:val="fr-FR"/>
        </w:rPr>
        <w:t>ordre du jour</w:t>
      </w:r>
    </w:p>
    <w:p w:rsidR="0006207C" w:rsidRPr="001A5EBA" w:rsidRDefault="0006207C" w:rsidP="0006207C">
      <w:pPr>
        <w:rPr>
          <w:b/>
          <w:bCs/>
          <w:lang w:val="fr-FR"/>
        </w:rPr>
      </w:pPr>
      <w:r>
        <w:rPr>
          <w:b/>
          <w:bCs/>
          <w:lang w:val="fr-FR"/>
        </w:rPr>
        <w:t>Promotion et protection de tous les droits de l</w:t>
      </w:r>
      <w:r>
        <w:rPr>
          <w:b/>
          <w:bCs/>
          <w:lang w:val="fr-FR"/>
        </w:rPr>
        <w:t>’</w:t>
      </w:r>
      <w:r>
        <w:rPr>
          <w:b/>
          <w:bCs/>
          <w:lang w:val="fr-FR"/>
        </w:rPr>
        <w:t>homme,</w:t>
      </w:r>
      <w:r>
        <w:rPr>
          <w:lang w:val="fr-FR"/>
        </w:rPr>
        <w:t xml:space="preserve"> </w:t>
      </w:r>
    </w:p>
    <w:p w:rsidR="0006207C" w:rsidRPr="001A5EBA" w:rsidRDefault="0006207C" w:rsidP="0006207C">
      <w:pPr>
        <w:rPr>
          <w:b/>
          <w:bCs/>
          <w:lang w:val="fr-FR"/>
        </w:rPr>
      </w:pPr>
      <w:r>
        <w:rPr>
          <w:b/>
          <w:bCs/>
          <w:lang w:val="fr-FR"/>
        </w:rPr>
        <w:t>civils, politiques, économiques, sociaux et culturels,</w:t>
      </w:r>
      <w:r>
        <w:rPr>
          <w:lang w:val="fr-FR"/>
        </w:rPr>
        <w:t xml:space="preserve"> </w:t>
      </w:r>
    </w:p>
    <w:p w:rsidR="0006207C" w:rsidRPr="001A5EBA" w:rsidRDefault="0006207C" w:rsidP="0006207C">
      <w:pPr>
        <w:rPr>
          <w:b/>
          <w:bCs/>
          <w:lang w:val="fr-FR"/>
        </w:rPr>
      </w:pPr>
      <w:r>
        <w:rPr>
          <w:b/>
          <w:bCs/>
          <w:lang w:val="fr-FR"/>
        </w:rPr>
        <w:t>y compris le droit au développement</w:t>
      </w:r>
    </w:p>
    <w:p w:rsidR="0006207C" w:rsidRPr="001A5EBA" w:rsidRDefault="0006207C" w:rsidP="0006207C">
      <w:pPr>
        <w:pStyle w:val="HChG"/>
        <w:rPr>
          <w:lang w:val="fr-FR"/>
        </w:rPr>
      </w:pPr>
      <w:r>
        <w:rPr>
          <w:lang w:val="fr-FR"/>
        </w:rPr>
        <w:tab/>
      </w:r>
      <w:r>
        <w:rPr>
          <w:lang w:val="fr-FR"/>
        </w:rPr>
        <w:tab/>
      </w:r>
      <w:r>
        <w:rPr>
          <w:bCs/>
          <w:lang w:val="fr-FR"/>
        </w:rPr>
        <w:t>Visite au Kirghizistan</w:t>
      </w:r>
    </w:p>
    <w:p w:rsidR="00552797" w:rsidRDefault="0006207C" w:rsidP="0006207C">
      <w:pPr>
        <w:pStyle w:val="H1G"/>
        <w:rPr>
          <w:szCs w:val="16"/>
          <w:lang w:val="fr-FR"/>
        </w:rPr>
      </w:pPr>
      <w:r>
        <w:rPr>
          <w:lang w:val="fr-FR"/>
        </w:rPr>
        <w:tab/>
      </w:r>
      <w:r>
        <w:rPr>
          <w:lang w:val="fr-FR"/>
        </w:rPr>
        <w:tab/>
        <w:t>Rapport du Groupe de travail sur les disparitions forcées ou</w:t>
      </w:r>
      <w:r>
        <w:rPr>
          <w:lang w:val="fr-FR"/>
        </w:rPr>
        <w:t> </w:t>
      </w:r>
      <w:r>
        <w:rPr>
          <w:lang w:val="fr-FR"/>
        </w:rPr>
        <w:t>involontaires</w:t>
      </w:r>
      <w:r w:rsidRPr="0006207C">
        <w:rPr>
          <w:b w:val="0"/>
          <w:bCs/>
          <w:sz w:val="20"/>
          <w:szCs w:val="16"/>
          <w:lang w:val="fr-FR"/>
        </w:rPr>
        <w:footnoteReference w:customMarkFollows="1" w:id="2"/>
        <w:t>*</w:t>
      </w:r>
      <w:r w:rsidRPr="0006207C">
        <w:rPr>
          <w:b w:val="0"/>
          <w:bCs/>
          <w:position w:val="6"/>
          <w:sz w:val="20"/>
          <w:szCs w:val="16"/>
          <w:lang w:val="fr-FR"/>
        </w:rPr>
        <w:t>,</w:t>
      </w:r>
      <w:r>
        <w:rPr>
          <w:b w:val="0"/>
          <w:bCs/>
          <w:position w:val="6"/>
          <w:sz w:val="20"/>
          <w:szCs w:val="16"/>
          <w:lang w:val="fr-FR"/>
        </w:rPr>
        <w:t xml:space="preserve"> </w:t>
      </w:r>
      <w:r w:rsidRPr="0006207C">
        <w:rPr>
          <w:b w:val="0"/>
          <w:bCs/>
          <w:sz w:val="20"/>
          <w:szCs w:val="16"/>
          <w:lang w:val="fr-FR"/>
        </w:rPr>
        <w:footnoteReference w:customMarkFollows="1" w:id="3"/>
        <w:t>**</w:t>
      </w:r>
    </w:p>
    <w:tbl>
      <w:tblPr>
        <w:tblStyle w:val="Grilledutableau"/>
        <w:tblW w:w="0" w:type="auto"/>
        <w:jc w:val="center"/>
        <w:tblBorders>
          <w:insideH w:val="none" w:sz="0" w:space="0" w:color="auto"/>
        </w:tblBorders>
        <w:tblLook w:val="05E0" w:firstRow="1" w:lastRow="1" w:firstColumn="1" w:lastColumn="1" w:noHBand="0" w:noVBand="1"/>
      </w:tblPr>
      <w:tblGrid>
        <w:gridCol w:w="9637"/>
      </w:tblGrid>
      <w:tr w:rsidR="0006207C">
        <w:trPr>
          <w:jc w:val="center"/>
        </w:trPr>
        <w:tc>
          <w:tcPr>
            <w:tcW w:w="9637" w:type="dxa"/>
            <w:shd w:val="clear" w:color="auto" w:fill="auto"/>
          </w:tcPr>
          <w:p w:rsidR="0006207C" w:rsidRDefault="0006207C">
            <w:pPr>
              <w:spacing w:before="240" w:after="120"/>
              <w:ind w:left="255"/>
              <w:rPr>
                <w:i/>
                <w:sz w:val="24"/>
              </w:rPr>
            </w:pPr>
            <w:r>
              <w:rPr>
                <w:i/>
                <w:sz w:val="24"/>
              </w:rPr>
              <w:t>Résumé</w:t>
            </w:r>
          </w:p>
        </w:tc>
      </w:tr>
      <w:tr w:rsidR="0006207C">
        <w:trPr>
          <w:jc w:val="center"/>
        </w:trPr>
        <w:tc>
          <w:tcPr>
            <w:tcW w:w="9637" w:type="dxa"/>
            <w:shd w:val="clear" w:color="auto" w:fill="auto"/>
          </w:tcPr>
          <w:p w:rsidR="0006207C" w:rsidRDefault="0006207C" w:rsidP="0006207C">
            <w:pPr>
              <w:pStyle w:val="SingleTxtG"/>
              <w:ind w:firstLine="567"/>
            </w:pPr>
            <w:r w:rsidRPr="0006207C">
              <w:rPr>
                <w:lang w:val="fr-FR"/>
              </w:rPr>
              <w:t>Le Groupe de travail a effectué une visite au Kirghizistan du 25 au 30</w:t>
            </w:r>
            <w:r>
              <w:rPr>
                <w:lang w:val="fr-FR"/>
              </w:rPr>
              <w:t> </w:t>
            </w:r>
            <w:r w:rsidRPr="0006207C">
              <w:rPr>
                <w:lang w:val="fr-FR"/>
              </w:rPr>
              <w:t>juin 2019. Au cours de ces dernières années, le Gouvernement kirghize a apporté d</w:t>
            </w:r>
            <w:r>
              <w:rPr>
                <w:lang w:val="fr-FR"/>
              </w:rPr>
              <w:t>’</w:t>
            </w:r>
            <w:r w:rsidRPr="0006207C">
              <w:rPr>
                <w:lang w:val="fr-FR"/>
              </w:rPr>
              <w:t>importantes modifications à sa législation en vue d</w:t>
            </w:r>
            <w:r>
              <w:rPr>
                <w:lang w:val="fr-FR"/>
              </w:rPr>
              <w:t>’</w:t>
            </w:r>
            <w:r w:rsidRPr="0006207C">
              <w:rPr>
                <w:lang w:val="fr-FR"/>
              </w:rPr>
              <w:t>améliorer la protection contre les disparitions forcées. Il convient en particulier de saluer l</w:t>
            </w:r>
            <w:r>
              <w:rPr>
                <w:lang w:val="fr-FR"/>
              </w:rPr>
              <w:t>’</w:t>
            </w:r>
            <w:r w:rsidRPr="0006207C">
              <w:rPr>
                <w:lang w:val="fr-FR"/>
              </w:rPr>
              <w:t>introduction du crime de disparition forcée et les modifications législatives visant à améliorer la procédure de notification et d</w:t>
            </w:r>
            <w:r>
              <w:rPr>
                <w:lang w:val="fr-FR"/>
              </w:rPr>
              <w:t>’</w:t>
            </w:r>
            <w:r w:rsidRPr="0006207C">
              <w:rPr>
                <w:lang w:val="fr-FR"/>
              </w:rPr>
              <w:t>enregistrement au cours de l</w:t>
            </w:r>
            <w:r>
              <w:rPr>
                <w:lang w:val="fr-FR"/>
              </w:rPr>
              <w:t>’</w:t>
            </w:r>
            <w:r w:rsidRPr="0006207C">
              <w:rPr>
                <w:lang w:val="fr-FR"/>
              </w:rPr>
              <w:t>arrestation et de la détention initiales.</w:t>
            </w:r>
          </w:p>
        </w:tc>
      </w:tr>
      <w:tr w:rsidR="0006207C" w:rsidTr="0006207C">
        <w:trPr>
          <w:jc w:val="center"/>
        </w:trPr>
        <w:tc>
          <w:tcPr>
            <w:tcW w:w="9637" w:type="dxa"/>
            <w:tcBorders>
              <w:bottom w:val="nil"/>
            </w:tcBorders>
            <w:shd w:val="clear" w:color="auto" w:fill="auto"/>
          </w:tcPr>
          <w:p w:rsidR="0006207C" w:rsidRDefault="0006207C" w:rsidP="0006207C">
            <w:pPr>
              <w:pStyle w:val="SingleTxtG"/>
              <w:ind w:firstLine="567"/>
            </w:pPr>
            <w:r w:rsidRPr="0006207C">
              <w:rPr>
                <w:lang w:val="fr-FR"/>
              </w:rPr>
              <w:t>Toutefois, malgré les mesures susmentionnées et les déclarations des dirigeants du pays, qui affirment qu</w:t>
            </w:r>
            <w:r>
              <w:rPr>
                <w:lang w:val="fr-FR"/>
              </w:rPr>
              <w:t>’</w:t>
            </w:r>
            <w:r w:rsidRPr="0006207C">
              <w:rPr>
                <w:lang w:val="fr-FR"/>
              </w:rPr>
              <w:t>il existe une volonté politique forte et que des mesures énergiques sont prises pour lutter contre les disparitions forcées et la torture, dans la pratique, les changements concrets se font attendre. Un effort concerté est nécessaire, en particulier, pour mettre fin au problème généralisé des disparitions forcées de courte durée après l</w:t>
            </w:r>
            <w:r>
              <w:rPr>
                <w:lang w:val="fr-FR"/>
              </w:rPr>
              <w:t>’</w:t>
            </w:r>
            <w:r w:rsidRPr="0006207C">
              <w:rPr>
                <w:lang w:val="fr-FR"/>
              </w:rPr>
              <w:t>arrestation initiale des suspects, telles qu</w:t>
            </w:r>
            <w:r>
              <w:rPr>
                <w:lang w:val="fr-FR"/>
              </w:rPr>
              <w:t>’</w:t>
            </w:r>
            <w:r w:rsidRPr="0006207C">
              <w:rPr>
                <w:lang w:val="fr-FR"/>
              </w:rPr>
              <w:t>elles sont désormais définies dans le Code de procédure pénale.</w:t>
            </w:r>
          </w:p>
        </w:tc>
      </w:tr>
      <w:tr w:rsidR="0006207C" w:rsidTr="0006207C">
        <w:trPr>
          <w:jc w:val="center"/>
        </w:trPr>
        <w:tc>
          <w:tcPr>
            <w:tcW w:w="9637" w:type="dxa"/>
            <w:tcBorders>
              <w:top w:val="nil"/>
              <w:bottom w:val="nil"/>
            </w:tcBorders>
            <w:shd w:val="clear" w:color="auto" w:fill="auto"/>
          </w:tcPr>
          <w:p w:rsidR="0006207C" w:rsidRDefault="0006207C" w:rsidP="0006207C">
            <w:pPr>
              <w:pStyle w:val="SingleTxtG"/>
              <w:ind w:firstLine="567"/>
            </w:pPr>
            <w:r w:rsidRPr="0006207C">
              <w:rPr>
                <w:lang w:val="fr-FR"/>
              </w:rPr>
              <w:t>Le respect du principe de non-refoulement est important pour renforcer la protection contre les disparitions forcées. Le Groupe de travail sur les disparitions forcées ou involontaires réaffirme la nécessité de faire en sorte que ce principe soit inscrit dans la législation kirghize et appliqué dans la pratique, et qu</w:t>
            </w:r>
            <w:r>
              <w:rPr>
                <w:lang w:val="fr-FR"/>
              </w:rPr>
              <w:t>’</w:t>
            </w:r>
            <w:r w:rsidRPr="0006207C">
              <w:rPr>
                <w:lang w:val="fr-FR"/>
              </w:rPr>
              <w:t>aucune personne ne soit expulsée, refoulée ou extradée vers un État s</w:t>
            </w:r>
            <w:r>
              <w:rPr>
                <w:lang w:val="fr-FR"/>
              </w:rPr>
              <w:t>’</w:t>
            </w:r>
            <w:r w:rsidRPr="0006207C">
              <w:rPr>
                <w:lang w:val="fr-FR"/>
              </w:rPr>
              <w:t>il y a des motifs sérieux de croire qu</w:t>
            </w:r>
            <w:r>
              <w:rPr>
                <w:lang w:val="fr-FR"/>
              </w:rPr>
              <w:t>’</w:t>
            </w:r>
            <w:r w:rsidRPr="0006207C">
              <w:rPr>
                <w:lang w:val="fr-FR"/>
              </w:rPr>
              <w:t>elle risque d</w:t>
            </w:r>
            <w:r>
              <w:rPr>
                <w:lang w:val="fr-FR"/>
              </w:rPr>
              <w:t>’</w:t>
            </w:r>
            <w:r w:rsidRPr="0006207C">
              <w:rPr>
                <w:lang w:val="fr-FR"/>
              </w:rPr>
              <w:t>être victime d</w:t>
            </w:r>
            <w:r>
              <w:rPr>
                <w:lang w:val="fr-FR"/>
              </w:rPr>
              <w:t>’</w:t>
            </w:r>
            <w:r w:rsidRPr="0006207C">
              <w:rPr>
                <w:lang w:val="fr-FR"/>
              </w:rPr>
              <w:t>une disparition forcée.</w:t>
            </w:r>
          </w:p>
        </w:tc>
      </w:tr>
      <w:tr w:rsidR="0006207C" w:rsidTr="0006207C">
        <w:trPr>
          <w:jc w:val="center"/>
        </w:trPr>
        <w:tc>
          <w:tcPr>
            <w:tcW w:w="9637" w:type="dxa"/>
            <w:tcBorders>
              <w:top w:val="nil"/>
            </w:tcBorders>
            <w:shd w:val="clear" w:color="auto" w:fill="auto"/>
          </w:tcPr>
          <w:p w:rsidR="0006207C" w:rsidRDefault="0006207C" w:rsidP="0006207C">
            <w:pPr>
              <w:pStyle w:val="SingleTxtG"/>
              <w:keepNext/>
              <w:ind w:firstLine="567"/>
            </w:pPr>
            <w:r w:rsidRPr="0006207C">
              <w:rPr>
                <w:lang w:val="fr-FR"/>
              </w:rPr>
              <w:lastRenderedPageBreak/>
              <w:t>En outre, un petit nombre de personnes sont toujours portées disparues et quelques corps demeurent en attente d</w:t>
            </w:r>
            <w:r>
              <w:rPr>
                <w:lang w:val="fr-FR"/>
              </w:rPr>
              <w:t>’</w:t>
            </w:r>
            <w:r w:rsidRPr="0006207C">
              <w:rPr>
                <w:lang w:val="fr-FR"/>
              </w:rPr>
              <w:t xml:space="preserve">identification après les violences </w:t>
            </w:r>
            <w:proofErr w:type="spellStart"/>
            <w:r w:rsidRPr="0006207C">
              <w:rPr>
                <w:lang w:val="fr-FR"/>
              </w:rPr>
              <w:t>interethniques</w:t>
            </w:r>
            <w:proofErr w:type="spellEnd"/>
            <w:r w:rsidRPr="0006207C">
              <w:rPr>
                <w:lang w:val="fr-FR"/>
              </w:rPr>
              <w:t xml:space="preserve"> qui ont éclaté dans les provinces du Sud en 2010. Le Groupe de travail encourage le Gouvernement à redoubler d</w:t>
            </w:r>
            <w:r>
              <w:rPr>
                <w:lang w:val="fr-FR"/>
              </w:rPr>
              <w:t>’</w:t>
            </w:r>
            <w:r w:rsidRPr="0006207C">
              <w:rPr>
                <w:lang w:val="fr-FR"/>
              </w:rPr>
              <w:t>efforts pour élucider ces cas et pour faire face aux conséquences des événements survenus.</w:t>
            </w:r>
          </w:p>
        </w:tc>
      </w:tr>
      <w:tr w:rsidR="0006207C">
        <w:trPr>
          <w:jc w:val="center"/>
        </w:trPr>
        <w:tc>
          <w:tcPr>
            <w:tcW w:w="9637" w:type="dxa"/>
            <w:shd w:val="clear" w:color="auto" w:fill="auto"/>
          </w:tcPr>
          <w:p w:rsidR="0006207C" w:rsidRDefault="0006207C" w:rsidP="003E1879">
            <w:pPr>
              <w:pStyle w:val="SingleTxtG"/>
              <w:ind w:firstLine="567"/>
            </w:pPr>
            <w:r w:rsidRPr="0006207C">
              <w:rPr>
                <w:lang w:val="fr-FR"/>
              </w:rPr>
              <w:t>Le Kirghizistan n</w:t>
            </w:r>
            <w:r>
              <w:rPr>
                <w:lang w:val="fr-FR"/>
              </w:rPr>
              <w:t>’</w:t>
            </w:r>
            <w:r w:rsidRPr="0006207C">
              <w:rPr>
                <w:lang w:val="fr-FR"/>
              </w:rPr>
              <w:t>a plus que quelques mesures supplémentaires à prendre pour garantir une protection totale contre les disparitions forcées. Plus particulièrement, s</w:t>
            </w:r>
            <w:r>
              <w:rPr>
                <w:lang w:val="fr-FR"/>
              </w:rPr>
              <w:t>’</w:t>
            </w:r>
            <w:r w:rsidRPr="0006207C">
              <w:rPr>
                <w:lang w:val="fr-FR"/>
              </w:rPr>
              <w:t>il ratifiait sans tarder la Convention internationale pour la protection de toutes les personnes contre les disparitions forcées, il contribuerait à consolider les progrès déjà faits. Le Groupe de travail réaffirme sa volonté d</w:t>
            </w:r>
            <w:r>
              <w:rPr>
                <w:lang w:val="fr-FR"/>
              </w:rPr>
              <w:t>’</w:t>
            </w:r>
            <w:r w:rsidRPr="0006207C">
              <w:rPr>
                <w:lang w:val="fr-FR"/>
              </w:rPr>
              <w:t>aider le Gouvernement kirghize à combler les quelques lacunes qui subsistent afin d</w:t>
            </w:r>
            <w:r>
              <w:rPr>
                <w:lang w:val="fr-FR"/>
              </w:rPr>
              <w:t>’</w:t>
            </w:r>
            <w:r w:rsidRPr="0006207C">
              <w:rPr>
                <w:lang w:val="fr-FR"/>
              </w:rPr>
              <w:t>assurer une protection plus complète contre les disparitions forcées dans le pays.</w:t>
            </w:r>
          </w:p>
        </w:tc>
      </w:tr>
      <w:tr w:rsidR="0006207C">
        <w:trPr>
          <w:jc w:val="center"/>
        </w:trPr>
        <w:tc>
          <w:tcPr>
            <w:tcW w:w="9637" w:type="dxa"/>
            <w:shd w:val="clear" w:color="auto" w:fill="auto"/>
          </w:tcPr>
          <w:p w:rsidR="0006207C" w:rsidRDefault="0006207C"/>
        </w:tc>
      </w:tr>
    </w:tbl>
    <w:p w:rsidR="0006207C" w:rsidRDefault="0006207C" w:rsidP="0006207C"/>
    <w:p w:rsidR="0006207C" w:rsidRPr="0006207C" w:rsidRDefault="0006207C" w:rsidP="003E1879">
      <w:pPr>
        <w:pStyle w:val="HChG"/>
        <w:spacing w:before="0"/>
        <w:rPr>
          <w:lang w:val="en-US"/>
        </w:rPr>
      </w:pPr>
      <w:r w:rsidRPr="0006207C">
        <w:br w:type="page"/>
      </w:r>
      <w:r w:rsidRPr="0006207C">
        <w:lastRenderedPageBreak/>
        <w:tab/>
      </w:r>
      <w:proofErr w:type="spellStart"/>
      <w:r w:rsidRPr="0006207C">
        <w:rPr>
          <w:lang w:val="en-US"/>
        </w:rPr>
        <w:t>Annex</w:t>
      </w:r>
      <w:r w:rsidR="003E1879">
        <w:rPr>
          <w:lang w:val="en-US"/>
        </w:rPr>
        <w:t>e</w:t>
      </w:r>
      <w:proofErr w:type="spellEnd"/>
    </w:p>
    <w:p w:rsidR="0006207C" w:rsidRPr="0006207C" w:rsidRDefault="0006207C" w:rsidP="0006207C">
      <w:pPr>
        <w:pStyle w:val="HChG"/>
        <w:rPr>
          <w:lang w:val="en-US"/>
        </w:rPr>
      </w:pPr>
      <w:r w:rsidRPr="0006207C">
        <w:rPr>
          <w:lang w:val="en-US"/>
        </w:rPr>
        <w:tab/>
      </w:r>
      <w:r w:rsidRPr="0006207C">
        <w:rPr>
          <w:lang w:val="en-US"/>
        </w:rPr>
        <w:tab/>
        <w:t>Report of the Working Group on Enforced or Involuntary Disappearances on its visit to Kyrgyzstan</w:t>
      </w:r>
    </w:p>
    <w:p w:rsidR="0006207C" w:rsidRPr="0006207C" w:rsidRDefault="0006207C" w:rsidP="0006207C">
      <w:pPr>
        <w:pStyle w:val="HChG"/>
        <w:rPr>
          <w:lang w:val="en-US"/>
        </w:rPr>
      </w:pPr>
      <w:r w:rsidRPr="0006207C">
        <w:rPr>
          <w:lang w:val="en-US"/>
        </w:rPr>
        <w:tab/>
        <w:t>I.</w:t>
      </w:r>
      <w:r w:rsidRPr="0006207C">
        <w:rPr>
          <w:lang w:val="en-US"/>
        </w:rPr>
        <w:tab/>
        <w:t>Introduction</w:t>
      </w:r>
    </w:p>
    <w:p w:rsidR="0006207C" w:rsidRPr="0006207C" w:rsidRDefault="0006207C" w:rsidP="0006207C">
      <w:pPr>
        <w:pStyle w:val="SingleTxtG"/>
        <w:rPr>
          <w:lang w:val="en-US"/>
        </w:rPr>
      </w:pPr>
      <w:r w:rsidRPr="0006207C">
        <w:rPr>
          <w:lang w:val="en-US"/>
        </w:rPr>
        <w:t>1.</w:t>
      </w:r>
      <w:r w:rsidRPr="0006207C">
        <w:rPr>
          <w:lang w:val="en-US"/>
        </w:rPr>
        <w:tab/>
        <w:t xml:space="preserve">The Working Group on Enforced or Involuntary Disappearances, represented by Bernard </w:t>
      </w:r>
      <w:proofErr w:type="spellStart"/>
      <w:r w:rsidRPr="0006207C">
        <w:rPr>
          <w:lang w:val="en-US"/>
        </w:rPr>
        <w:t>Duhaime</w:t>
      </w:r>
      <w:proofErr w:type="spellEnd"/>
      <w:r w:rsidRPr="0006207C">
        <w:rPr>
          <w:lang w:val="en-US"/>
        </w:rPr>
        <w:t xml:space="preserve"> (Chair) and </w:t>
      </w:r>
      <w:proofErr w:type="spellStart"/>
      <w:r w:rsidRPr="0006207C">
        <w:rPr>
          <w:lang w:val="en-US"/>
        </w:rPr>
        <w:t>Henrikas</w:t>
      </w:r>
      <w:proofErr w:type="spellEnd"/>
      <w:r w:rsidRPr="0006207C">
        <w:rPr>
          <w:lang w:val="en-US"/>
        </w:rPr>
        <w:t xml:space="preserve"> </w:t>
      </w:r>
      <w:proofErr w:type="spellStart"/>
      <w:r w:rsidRPr="0006207C">
        <w:rPr>
          <w:lang w:val="en-US"/>
        </w:rPr>
        <w:t>Mickevicius</w:t>
      </w:r>
      <w:proofErr w:type="spellEnd"/>
      <w:r w:rsidRPr="0006207C">
        <w:rPr>
          <w:lang w:val="en-US"/>
        </w:rPr>
        <w:t xml:space="preserve"> (member), conducted an official visit to Kyrgyzstan from 25 to 30 June 2019. </w:t>
      </w:r>
    </w:p>
    <w:p w:rsidR="0006207C" w:rsidRPr="0006207C" w:rsidRDefault="0006207C" w:rsidP="0006207C">
      <w:pPr>
        <w:pStyle w:val="SingleTxtG"/>
        <w:rPr>
          <w:lang w:val="en-US"/>
        </w:rPr>
      </w:pPr>
      <w:r w:rsidRPr="0006207C">
        <w:rPr>
          <w:lang w:val="en-US"/>
        </w:rPr>
        <w:t>2.</w:t>
      </w:r>
      <w:r w:rsidRPr="0006207C">
        <w:rPr>
          <w:lang w:val="en-US"/>
        </w:rPr>
        <w:tab/>
        <w:t>The Working Group thanks the Government of Kyrgyzstan for inviting it to visit the country and for the efforts made before and during the visit to facilitate its smooth undertaking. Moreover, it appreciates the Government</w:t>
      </w:r>
      <w:r>
        <w:rPr>
          <w:lang w:val="en-US"/>
        </w:rPr>
        <w:t>’</w:t>
      </w:r>
      <w:r w:rsidRPr="0006207C">
        <w:rPr>
          <w:lang w:val="en-US"/>
        </w:rPr>
        <w:t xml:space="preserve">s openness to engage with the Working Group, noting that virtually all the meetings that it requested were accommodated. </w:t>
      </w:r>
    </w:p>
    <w:p w:rsidR="0006207C" w:rsidRPr="0006207C" w:rsidRDefault="0006207C" w:rsidP="0006207C">
      <w:pPr>
        <w:pStyle w:val="SingleTxtG"/>
        <w:rPr>
          <w:lang w:val="en-US"/>
        </w:rPr>
      </w:pPr>
      <w:r w:rsidRPr="0006207C">
        <w:rPr>
          <w:lang w:val="en-US"/>
        </w:rPr>
        <w:t>3.</w:t>
      </w:r>
      <w:r w:rsidRPr="0006207C">
        <w:rPr>
          <w:lang w:val="en-US"/>
        </w:rPr>
        <w:tab/>
        <w:t>The Working Group also thanks the Regional Office for Central Asia of the Office of the United Nations High Commissioner for Human Rights for the continuous support it provided during the visit.</w:t>
      </w:r>
    </w:p>
    <w:p w:rsidR="0006207C" w:rsidRPr="0006207C" w:rsidRDefault="0006207C" w:rsidP="0006207C">
      <w:pPr>
        <w:pStyle w:val="SingleTxtG"/>
        <w:rPr>
          <w:lang w:val="en-US"/>
        </w:rPr>
      </w:pPr>
      <w:r w:rsidRPr="0006207C">
        <w:rPr>
          <w:lang w:val="en-US"/>
        </w:rPr>
        <w:t>4.</w:t>
      </w:r>
      <w:r w:rsidRPr="0006207C">
        <w:rPr>
          <w:lang w:val="en-US"/>
        </w:rPr>
        <w:tab/>
        <w:t xml:space="preserve">The Working Group visited Bishkek and Osh. In Bishkek, it met, inter alia, with representatives of the Ministry of Foreign Affairs, the State Border Guard Service, the State Registration Service, the Ministry of Justice, the State Migration Service, the State Committee for </w:t>
      </w:r>
      <w:proofErr w:type="spellStart"/>
      <w:r w:rsidRPr="0006207C">
        <w:rPr>
          <w:lang w:val="en-US"/>
        </w:rPr>
        <w:t>Defence</w:t>
      </w:r>
      <w:proofErr w:type="spellEnd"/>
      <w:r w:rsidRPr="0006207C">
        <w:rPr>
          <w:lang w:val="en-US"/>
        </w:rPr>
        <w:t xml:space="preserve"> Affairs, the Coordination Council on Human Rights, the Office of the President, the Prosecutor General</w:t>
      </w:r>
      <w:r>
        <w:rPr>
          <w:lang w:val="en-US"/>
        </w:rPr>
        <w:t>’</w:t>
      </w:r>
      <w:r w:rsidRPr="0006207C">
        <w:rPr>
          <w:lang w:val="en-US"/>
        </w:rPr>
        <w:t>s Office, the State Committee for National Security, the State Service for the Execution of Punishment, the Ministry of Internal Affairs, the Ombudsman</w:t>
      </w:r>
      <w:r>
        <w:rPr>
          <w:lang w:val="en-US"/>
        </w:rPr>
        <w:t>’</w:t>
      </w:r>
      <w:r w:rsidRPr="0006207C">
        <w:rPr>
          <w:lang w:val="en-US"/>
        </w:rPr>
        <w:t>s Office and the national preventive mechanism. In Osh, the Working Group met with municipal and regional representatives of the State Committee for National Security, the police department and the Prosecutor</w:t>
      </w:r>
      <w:r>
        <w:rPr>
          <w:lang w:val="en-US"/>
        </w:rPr>
        <w:t>’</w:t>
      </w:r>
      <w:r w:rsidRPr="0006207C">
        <w:rPr>
          <w:lang w:val="en-US"/>
        </w:rPr>
        <w:t xml:space="preserve">s Office, as well as with the Head of the pretrial detention facility. </w:t>
      </w:r>
    </w:p>
    <w:p w:rsidR="0006207C" w:rsidRPr="0006207C" w:rsidRDefault="0006207C" w:rsidP="0006207C">
      <w:pPr>
        <w:pStyle w:val="SingleTxtG"/>
        <w:rPr>
          <w:lang w:val="en-US"/>
        </w:rPr>
      </w:pPr>
      <w:r w:rsidRPr="0006207C">
        <w:rPr>
          <w:lang w:val="en-US"/>
        </w:rPr>
        <w:t>5.</w:t>
      </w:r>
      <w:r w:rsidRPr="0006207C">
        <w:rPr>
          <w:lang w:val="en-US"/>
        </w:rPr>
        <w:tab/>
        <w:t>The Working Group also met with representatives of civil society, including non-governmental organizations, human rights defenders and lawyers, all of whom it thanks.</w:t>
      </w:r>
    </w:p>
    <w:p w:rsidR="0006207C" w:rsidRPr="0006207C" w:rsidRDefault="0006207C" w:rsidP="0006207C">
      <w:pPr>
        <w:pStyle w:val="SingleTxtG"/>
        <w:rPr>
          <w:lang w:val="en-US"/>
        </w:rPr>
      </w:pPr>
      <w:r w:rsidRPr="0006207C">
        <w:rPr>
          <w:lang w:val="en-US"/>
        </w:rPr>
        <w:t>6.</w:t>
      </w:r>
      <w:r w:rsidRPr="0006207C">
        <w:rPr>
          <w:lang w:val="en-US"/>
        </w:rPr>
        <w:tab/>
        <w:t>The present report covers developments that occurred between June 2019, when the visit was conducted, and the date of its submission to the Human Rights Council. The Working Group thanks the Government of Kyrgyzstan for its comments on the report, received on 4 August 2020. The Working Group hopes that a dialogue can continue with a view to implementing all the recommendations contained in section VII of the present report.</w:t>
      </w:r>
    </w:p>
    <w:p w:rsidR="0006207C" w:rsidRPr="0006207C" w:rsidRDefault="0006207C" w:rsidP="0006207C">
      <w:pPr>
        <w:pStyle w:val="HChG"/>
        <w:rPr>
          <w:lang w:val="en-US"/>
        </w:rPr>
      </w:pPr>
      <w:r w:rsidRPr="0006207C">
        <w:rPr>
          <w:lang w:val="en-US"/>
        </w:rPr>
        <w:tab/>
        <w:t>II.</w:t>
      </w:r>
      <w:r w:rsidRPr="0006207C">
        <w:rPr>
          <w:lang w:val="en-US"/>
        </w:rPr>
        <w:tab/>
        <w:t>General background and situation on enforced disappearances</w:t>
      </w:r>
    </w:p>
    <w:p w:rsidR="0006207C" w:rsidRPr="0006207C" w:rsidRDefault="0006207C" w:rsidP="0006207C">
      <w:pPr>
        <w:pStyle w:val="SingleTxtG"/>
        <w:rPr>
          <w:lang w:val="en-US"/>
        </w:rPr>
      </w:pPr>
      <w:r w:rsidRPr="0006207C">
        <w:rPr>
          <w:lang w:val="en-US"/>
        </w:rPr>
        <w:t>7.</w:t>
      </w:r>
      <w:r w:rsidRPr="0006207C">
        <w:rPr>
          <w:lang w:val="en-US"/>
        </w:rPr>
        <w:tab/>
        <w:t>Since its independence from the Soviet Union</w:t>
      </w:r>
      <w:r w:rsidRPr="0006207C" w:rsidDel="005B6A0A">
        <w:rPr>
          <w:lang w:val="en-US"/>
        </w:rPr>
        <w:t xml:space="preserve"> </w:t>
      </w:r>
      <w:r w:rsidRPr="0006207C">
        <w:rPr>
          <w:lang w:val="en-US"/>
        </w:rPr>
        <w:t>in 1991, Kyrgyzstan has undergone significant developments marked by two popular uprisings against sitting State presidents, in 2005 and 2010. The adoption of a progressive Constitution in 2010, which guarantees equal rights to all Kyrgyz without distinction of sex, race, language, ethnicity, age or disability, ushered in a process of consolidating democratic institutions and the rule of law.</w:t>
      </w:r>
    </w:p>
    <w:p w:rsidR="0006207C" w:rsidRPr="0006207C" w:rsidRDefault="0006207C" w:rsidP="0006207C">
      <w:pPr>
        <w:pStyle w:val="SingleTxtG"/>
        <w:rPr>
          <w:lang w:val="en-US"/>
        </w:rPr>
      </w:pPr>
      <w:r w:rsidRPr="0006207C">
        <w:rPr>
          <w:lang w:val="en-US"/>
        </w:rPr>
        <w:t>8.</w:t>
      </w:r>
      <w:r w:rsidRPr="0006207C">
        <w:rPr>
          <w:lang w:val="en-US"/>
        </w:rPr>
        <w:tab/>
        <w:t xml:space="preserve">In the southern parts of Kyrgyzstan, decades of inequitable distribution of wealth and pervasive institutional discrimination, mainly affecting the Uzbek minority, have contributed to long-standing grievances and tensions. This led to an outburst of inter-ethnic violence in June 2010 that claimed hundreds of lives and resulted in massive displacement and destruction of property. </w:t>
      </w:r>
    </w:p>
    <w:p w:rsidR="0006207C" w:rsidRPr="0006207C" w:rsidRDefault="0006207C" w:rsidP="0006207C">
      <w:pPr>
        <w:pStyle w:val="SingleTxtG"/>
        <w:rPr>
          <w:lang w:val="en-US"/>
        </w:rPr>
      </w:pPr>
      <w:r w:rsidRPr="0006207C">
        <w:rPr>
          <w:lang w:val="en-US"/>
        </w:rPr>
        <w:t>9.</w:t>
      </w:r>
      <w:r w:rsidRPr="0006207C">
        <w:rPr>
          <w:lang w:val="en-US"/>
        </w:rPr>
        <w:tab/>
        <w:t xml:space="preserve">The democratic gains made over the years have been weakened by shortcomings in the independence and capacity of the judiciary and in the accountability of law enforcement. Human rights defenders and independent media outlets critical of the Government have been under significant pressure, which has in turn shrunk the civic space. </w:t>
      </w:r>
    </w:p>
    <w:p w:rsidR="0006207C" w:rsidRPr="0006207C" w:rsidRDefault="0006207C" w:rsidP="0006207C">
      <w:pPr>
        <w:pStyle w:val="SingleTxtG"/>
        <w:rPr>
          <w:lang w:val="en-US"/>
        </w:rPr>
      </w:pPr>
      <w:r w:rsidRPr="0006207C">
        <w:rPr>
          <w:lang w:val="en-US"/>
        </w:rPr>
        <w:lastRenderedPageBreak/>
        <w:t>10.</w:t>
      </w:r>
      <w:r w:rsidRPr="0006207C">
        <w:rPr>
          <w:lang w:val="en-US"/>
        </w:rPr>
        <w:tab/>
        <w:t xml:space="preserve">The imprisonment in 2010 of </w:t>
      </w:r>
      <w:proofErr w:type="spellStart"/>
      <w:r w:rsidRPr="0006207C">
        <w:rPr>
          <w:lang w:val="en-US"/>
        </w:rPr>
        <w:t>Azimjan</w:t>
      </w:r>
      <w:proofErr w:type="spellEnd"/>
      <w:r w:rsidRPr="0006207C">
        <w:rPr>
          <w:lang w:val="en-US"/>
        </w:rPr>
        <w:t xml:space="preserve"> </w:t>
      </w:r>
      <w:proofErr w:type="spellStart"/>
      <w:r w:rsidRPr="0006207C">
        <w:rPr>
          <w:lang w:val="en-US"/>
        </w:rPr>
        <w:t>Askarov</w:t>
      </w:r>
      <w:proofErr w:type="spellEnd"/>
      <w:r w:rsidRPr="0006207C">
        <w:rPr>
          <w:lang w:val="en-US"/>
        </w:rPr>
        <w:t xml:space="preserve">, a prominent human rights defender who documented abuses against the Uzbek community during and after the violent episodes in the southern provinces of Osh and Jalalabad, attracted mounting criticism from civil society and the international community. In its Views on the case of Mr. </w:t>
      </w:r>
      <w:proofErr w:type="spellStart"/>
      <w:r w:rsidRPr="0006207C">
        <w:rPr>
          <w:lang w:val="en-US"/>
        </w:rPr>
        <w:t>Askarov</w:t>
      </w:r>
      <w:proofErr w:type="spellEnd"/>
      <w:r w:rsidRPr="0006207C">
        <w:rPr>
          <w:lang w:val="en-US"/>
        </w:rPr>
        <w:t>,</w:t>
      </w:r>
      <w:r w:rsidRPr="00265E0C">
        <w:rPr>
          <w:rStyle w:val="Appelnotedebasdep"/>
        </w:rPr>
        <w:footnoteReference w:id="4"/>
      </w:r>
      <w:r w:rsidRPr="0006207C">
        <w:rPr>
          <w:lang w:val="en-US"/>
        </w:rPr>
        <w:t xml:space="preserve"> the Human Rights Committee found that Kyrgyzstan was obligated to immediately release Mr. </w:t>
      </w:r>
      <w:proofErr w:type="spellStart"/>
      <w:r w:rsidRPr="0006207C">
        <w:rPr>
          <w:lang w:val="en-US"/>
        </w:rPr>
        <w:t>Askarov</w:t>
      </w:r>
      <w:proofErr w:type="spellEnd"/>
      <w:r w:rsidRPr="0006207C">
        <w:rPr>
          <w:lang w:val="en-US"/>
        </w:rPr>
        <w:t xml:space="preserve">, triggering debates about denial of justice to the victims, their families and human rights defenders. Instead of releasing Mr. </w:t>
      </w:r>
      <w:proofErr w:type="spellStart"/>
      <w:r w:rsidRPr="0006207C">
        <w:rPr>
          <w:lang w:val="en-US"/>
        </w:rPr>
        <w:t>Askarov</w:t>
      </w:r>
      <w:proofErr w:type="spellEnd"/>
      <w:r w:rsidRPr="0006207C">
        <w:rPr>
          <w:lang w:val="en-US"/>
        </w:rPr>
        <w:t>, the Government proposed amendments to the Constitution, including the removal of a provision giving international human rights treaties direct applicability and priority over other international treaties and the removal of another provision specifying that restoration and/or compensation were required if international human rights bodies found that a person</w:t>
      </w:r>
      <w:r>
        <w:rPr>
          <w:lang w:val="en-US"/>
        </w:rPr>
        <w:t>’</w:t>
      </w:r>
      <w:r w:rsidRPr="0006207C">
        <w:rPr>
          <w:lang w:val="en-US"/>
        </w:rPr>
        <w:t>s human rights had been violated.</w:t>
      </w:r>
      <w:r w:rsidRPr="00265E0C">
        <w:rPr>
          <w:rStyle w:val="Appelnotedebasdep"/>
        </w:rPr>
        <w:footnoteReference w:id="5"/>
      </w:r>
      <w:r w:rsidRPr="0006207C">
        <w:rPr>
          <w:lang w:val="en-US"/>
        </w:rPr>
        <w:t xml:space="preserve"> The amendments were approved in a referendum on 11 December 2016. On 8 May 2020, the Special Rapporteur on the situation of human rights defenders urged that Mr. </w:t>
      </w:r>
      <w:proofErr w:type="spellStart"/>
      <w:r w:rsidRPr="0006207C">
        <w:rPr>
          <w:lang w:val="en-US"/>
        </w:rPr>
        <w:t>Askarov</w:t>
      </w:r>
      <w:proofErr w:type="spellEnd"/>
      <w:r w:rsidRPr="0006207C">
        <w:rPr>
          <w:lang w:val="en-US"/>
        </w:rPr>
        <w:t xml:space="preserve"> be released, noting that his frail health made him particularly vulnerable during the COVID-19 pandemic. On 13 May 2020, the Supreme Court rejected Mr. </w:t>
      </w:r>
      <w:proofErr w:type="spellStart"/>
      <w:r w:rsidRPr="0006207C">
        <w:rPr>
          <w:lang w:val="en-US"/>
        </w:rPr>
        <w:t>Askarov</w:t>
      </w:r>
      <w:r>
        <w:rPr>
          <w:lang w:val="en-US"/>
        </w:rPr>
        <w:t>’</w:t>
      </w:r>
      <w:r w:rsidRPr="0006207C">
        <w:rPr>
          <w:lang w:val="en-US"/>
        </w:rPr>
        <w:t>s</w:t>
      </w:r>
      <w:proofErr w:type="spellEnd"/>
      <w:r w:rsidRPr="0006207C">
        <w:rPr>
          <w:lang w:val="en-US"/>
        </w:rPr>
        <w:t xml:space="preserve"> latest appeal. Mr. </w:t>
      </w:r>
      <w:proofErr w:type="spellStart"/>
      <w:r w:rsidRPr="0006207C">
        <w:rPr>
          <w:lang w:val="en-US"/>
        </w:rPr>
        <w:t>Askarov</w:t>
      </w:r>
      <w:proofErr w:type="spellEnd"/>
      <w:r w:rsidRPr="0006207C">
        <w:rPr>
          <w:lang w:val="en-US"/>
        </w:rPr>
        <w:t xml:space="preserve"> died in detention on 25 July 2020.</w:t>
      </w:r>
    </w:p>
    <w:p w:rsidR="0006207C" w:rsidRPr="0006207C" w:rsidRDefault="0006207C" w:rsidP="0006207C">
      <w:pPr>
        <w:pStyle w:val="SingleTxtG"/>
        <w:rPr>
          <w:lang w:val="en-US"/>
        </w:rPr>
      </w:pPr>
      <w:r w:rsidRPr="0006207C">
        <w:rPr>
          <w:lang w:val="en-US"/>
        </w:rPr>
        <w:t>11.</w:t>
      </w:r>
      <w:r w:rsidRPr="0006207C">
        <w:rPr>
          <w:lang w:val="en-US"/>
        </w:rPr>
        <w:tab/>
        <w:t>The Working Group does not have any formal complaints of enforced disappearance registered in its database related to Kyrgyzstan under its humanitarian procedure. It notes, however, that a number of individuals who disappeared following the 2010 violence in the southern provinces remain unaccounted for. According to the Government, 17 individuals are still reported missing, while the remains of 9 others are pending identification.</w:t>
      </w:r>
    </w:p>
    <w:p w:rsidR="0006207C" w:rsidRPr="0006207C" w:rsidRDefault="0006207C" w:rsidP="0006207C">
      <w:pPr>
        <w:pStyle w:val="SingleTxtG"/>
        <w:rPr>
          <w:lang w:val="en-US"/>
        </w:rPr>
      </w:pPr>
      <w:r w:rsidRPr="0006207C">
        <w:rPr>
          <w:lang w:val="en-US"/>
        </w:rPr>
        <w:t>12.</w:t>
      </w:r>
      <w:r w:rsidRPr="0006207C">
        <w:rPr>
          <w:lang w:val="en-US"/>
        </w:rPr>
        <w:tab/>
        <w:t xml:space="preserve">Allegations of short-term enforced disappearance, primarily resulting from delays in the registration of persons deprived of their liberty and in the notification of relatives and </w:t>
      </w:r>
      <w:proofErr w:type="spellStart"/>
      <w:r w:rsidRPr="0006207C">
        <w:rPr>
          <w:lang w:val="en-US"/>
        </w:rPr>
        <w:t>defence</w:t>
      </w:r>
      <w:proofErr w:type="spellEnd"/>
      <w:r w:rsidRPr="0006207C">
        <w:rPr>
          <w:lang w:val="en-US"/>
        </w:rPr>
        <w:t xml:space="preserve"> lawyers, have been raised by the coalition of civil society organizations that monitors places of detention to contribute to preventing torture and ill-treatment of detainees.</w:t>
      </w:r>
      <w:r w:rsidRPr="00265E0C">
        <w:rPr>
          <w:rStyle w:val="Appelnotedebasdep"/>
        </w:rPr>
        <w:footnoteReference w:id="6"/>
      </w:r>
      <w:r w:rsidRPr="0006207C">
        <w:rPr>
          <w:lang w:val="en-US"/>
        </w:rPr>
        <w:t xml:space="preserve"> In its response to the present report, the Government stated that no cases of enforced disappearance, whether of a long or short duration, had been registered by the authorities in the penitentiary system of Kyrgyzstan. </w:t>
      </w:r>
    </w:p>
    <w:p w:rsidR="0006207C" w:rsidRPr="0006207C" w:rsidRDefault="0006207C" w:rsidP="0006207C">
      <w:pPr>
        <w:pStyle w:val="SingleTxtG"/>
        <w:rPr>
          <w:lang w:val="en-US"/>
        </w:rPr>
      </w:pPr>
      <w:r w:rsidRPr="0006207C">
        <w:rPr>
          <w:lang w:val="en-US"/>
        </w:rPr>
        <w:t>13.</w:t>
      </w:r>
      <w:r w:rsidRPr="0006207C">
        <w:rPr>
          <w:lang w:val="en-US"/>
        </w:rPr>
        <w:tab/>
        <w:t>A lack of awareness of the principle of non-refoulement, which has allegedly resulted in deportations despite the individuals being at risk of enforced disappearance, has also been reported. More generally, while legislative changes have been made to prevent enforced disappearance, there appears to be limited attention given to the issue in other relevant forums. For example, the issue has not been addressed in the human rights action plan for 2019–2021, nor has it been discussed during the meetings of the Coordination Council on Human Rights, the body in charge of monitoring and coordinating reforms in the field of human rights.</w:t>
      </w:r>
    </w:p>
    <w:p w:rsidR="0006207C" w:rsidRPr="0006207C" w:rsidRDefault="0006207C" w:rsidP="0006207C">
      <w:pPr>
        <w:pStyle w:val="HChG"/>
        <w:rPr>
          <w:lang w:val="en-US"/>
        </w:rPr>
      </w:pPr>
      <w:r w:rsidRPr="0006207C">
        <w:rPr>
          <w:lang w:val="en-US"/>
        </w:rPr>
        <w:tab/>
        <w:t>III.</w:t>
      </w:r>
      <w:r w:rsidRPr="0006207C">
        <w:rPr>
          <w:lang w:val="en-US"/>
        </w:rPr>
        <w:tab/>
        <w:t>Legislative and institutional framework</w:t>
      </w:r>
    </w:p>
    <w:p w:rsidR="0006207C" w:rsidRPr="0006207C" w:rsidRDefault="0006207C" w:rsidP="0006207C">
      <w:pPr>
        <w:pStyle w:val="SingleTxtG"/>
        <w:rPr>
          <w:lang w:val="en-US"/>
        </w:rPr>
      </w:pPr>
      <w:r w:rsidRPr="0006207C">
        <w:rPr>
          <w:lang w:val="en-US"/>
        </w:rPr>
        <w:t>14.</w:t>
      </w:r>
      <w:r w:rsidRPr="0006207C">
        <w:rPr>
          <w:lang w:val="en-US"/>
        </w:rPr>
        <w:tab/>
        <w:t xml:space="preserve">The Constitution of Kyrgyzstan provides for a non-exhaustive list of protected human rights, including the right to life, the right not to be subjected to torture and the right to personal integrity, liberty and security. While Kyrgyzstan is a party to eight of the nine core human rights treaties, it has yet to sign and ratify the International Convention for the Protection of All Persons from Enforced Disappearance. Regretfully, while during the first cycle of the universal periodic review several recommendations to ratify the Convention were supported by the Government, in the second cycle they were only noted. During the </w:t>
      </w:r>
      <w:r w:rsidRPr="0006207C">
        <w:rPr>
          <w:lang w:val="en-US"/>
        </w:rPr>
        <w:lastRenderedPageBreak/>
        <w:t>Working Group</w:t>
      </w:r>
      <w:r>
        <w:rPr>
          <w:lang w:val="en-US"/>
        </w:rPr>
        <w:t>’</w:t>
      </w:r>
      <w:r w:rsidRPr="0006207C">
        <w:rPr>
          <w:lang w:val="en-US"/>
        </w:rPr>
        <w:t>s visit, government representatives reiterated that the possibility and implications of ratifying the Convention were being studied. The Coordination Council on Human Rights does not, however, have this issue on its agenda.</w:t>
      </w:r>
    </w:p>
    <w:p w:rsidR="0006207C" w:rsidRPr="0006207C" w:rsidRDefault="0006207C" w:rsidP="0006207C">
      <w:pPr>
        <w:pStyle w:val="SingleTxtG"/>
        <w:rPr>
          <w:lang w:val="en-US"/>
        </w:rPr>
      </w:pPr>
      <w:r w:rsidRPr="0006207C">
        <w:rPr>
          <w:lang w:val="en-US"/>
        </w:rPr>
        <w:t>15.</w:t>
      </w:r>
      <w:r w:rsidRPr="0006207C">
        <w:rPr>
          <w:lang w:val="en-US"/>
        </w:rPr>
        <w:tab/>
        <w:t xml:space="preserve">The Working Group underscores that ratification of the Convention would help cement the progress that Kyrgyzstan is already making to counter enforced disappearance. Moreover, the Convention contains useful guidance for States to build a more solid and robust legal and institutional framework to prevent disappearances and would help Kyrgyzstan overcome the few remaining gaps discussed in the present report. Prompt ratification would also send a clear message that Kyrgyzstan is committed to providing full protection against enforced disappearance of any duration. </w:t>
      </w:r>
    </w:p>
    <w:p w:rsidR="0006207C" w:rsidRPr="0006207C" w:rsidRDefault="0006207C" w:rsidP="0006207C">
      <w:pPr>
        <w:pStyle w:val="SingleTxtG"/>
        <w:rPr>
          <w:lang w:val="en-US"/>
        </w:rPr>
      </w:pPr>
      <w:r w:rsidRPr="0006207C">
        <w:rPr>
          <w:lang w:val="en-US"/>
        </w:rPr>
        <w:t>16.</w:t>
      </w:r>
      <w:r w:rsidRPr="0006207C">
        <w:rPr>
          <w:lang w:val="en-US"/>
        </w:rPr>
        <w:tab/>
        <w:t>Article 382 of the Criminal Code that came into force on 1 January 2019 introduces the autonomous crime of enforced disappearance and recognizes that even a single act of enforced disappearance amounts to a crime against humanity. Criminalization of enforced disappearance is a commendable development and is welcomed by the Working Group.</w:t>
      </w:r>
    </w:p>
    <w:p w:rsidR="0006207C" w:rsidRPr="0006207C" w:rsidRDefault="0006207C" w:rsidP="0006207C">
      <w:pPr>
        <w:pStyle w:val="SingleTxtG"/>
        <w:rPr>
          <w:lang w:val="en-US"/>
        </w:rPr>
      </w:pPr>
      <w:r w:rsidRPr="0006207C">
        <w:rPr>
          <w:lang w:val="en-US"/>
        </w:rPr>
        <w:t>17.</w:t>
      </w:r>
      <w:r w:rsidRPr="0006207C">
        <w:rPr>
          <w:lang w:val="en-US"/>
        </w:rPr>
        <w:tab/>
        <w:t>The Working Group is concerned, however, that this provision will be applied only to lengthy disappearances. The definition of the crime contained in the Criminal Code essentially reproduces the definition contained in the Rome Statute of the International Criminal Court, which includes the element of the intention of removing a person from the protection of the law for a prolonged period.</w:t>
      </w:r>
      <w:r w:rsidRPr="00265E0C">
        <w:rPr>
          <w:rStyle w:val="Appelnotedebasdep"/>
        </w:rPr>
        <w:footnoteReference w:id="7"/>
      </w:r>
      <w:r w:rsidRPr="0006207C">
        <w:rPr>
          <w:lang w:val="en-US"/>
        </w:rPr>
        <w:t xml:space="preserve"> The fusion of definitional elements of an enforced disappearance in international human rights law and in international criminal law creates the risk of excluding cases of short-term disappearance and ensuring impunity for the seemingly widespread practice of disappearing individuals for short periods following their apprehension (see paras. 25–27 below). The Working Group underscores that victims of enforced disappearance are exposed to the greatest dangers of torture and other ill-treatment, as well as death, in the first few hours after they have been deprived of their liberty and that there is no minimum timeframe for an enforced disappearance to occur. </w:t>
      </w:r>
    </w:p>
    <w:p w:rsidR="0006207C" w:rsidRPr="0006207C" w:rsidRDefault="0006207C" w:rsidP="0006207C">
      <w:pPr>
        <w:pStyle w:val="SingleTxtG"/>
        <w:rPr>
          <w:lang w:val="en-US"/>
        </w:rPr>
      </w:pPr>
      <w:r w:rsidRPr="0006207C">
        <w:rPr>
          <w:lang w:val="en-US"/>
        </w:rPr>
        <w:t>18.</w:t>
      </w:r>
      <w:r w:rsidRPr="0006207C">
        <w:rPr>
          <w:lang w:val="en-US"/>
        </w:rPr>
        <w:tab/>
        <w:t xml:space="preserve">The new criminal law provisions have not yet been tested in practice. It is thus important that legal professionals be properly trained so that the constitutive elements of the crime, as defined in article 382 of the Criminal Code, including the temporal element, are construed in conformity with the Declaration on the Protection of All Persons from Enforced Disappearance. Exchanges with judges, prosecutors, investigators and lawyers during the visit have demonstrated the need for training to ensure a broader understanding of the nature, elements and continuous character of the act of enforced disappearance, the concept of a victim of enforced disappearance and other precepts of the crime. </w:t>
      </w:r>
    </w:p>
    <w:p w:rsidR="0006207C" w:rsidRPr="0006207C" w:rsidRDefault="0006207C" w:rsidP="0006207C">
      <w:pPr>
        <w:pStyle w:val="SingleTxtG"/>
        <w:rPr>
          <w:lang w:val="en-US"/>
        </w:rPr>
      </w:pPr>
      <w:r w:rsidRPr="0006207C">
        <w:rPr>
          <w:lang w:val="en-US"/>
        </w:rPr>
        <w:t>19.</w:t>
      </w:r>
      <w:r w:rsidRPr="0006207C">
        <w:rPr>
          <w:lang w:val="en-US"/>
        </w:rPr>
        <w:tab/>
        <w:t>It is commendable that the crime of enforced disappearance is considered as one of a serious nature, as the Criminal Code provides for a punishment of up to 15 years</w:t>
      </w:r>
      <w:r>
        <w:rPr>
          <w:lang w:val="en-US"/>
        </w:rPr>
        <w:t>’</w:t>
      </w:r>
      <w:r w:rsidRPr="0006207C">
        <w:rPr>
          <w:lang w:val="en-US"/>
        </w:rPr>
        <w:t xml:space="preserve"> imprisonment and does not permit amnesties. The Working Group welcomes the fact that the Criminal Code covers different modes of participation in acts of enforced disappearance, such as committing, ordering, soliciting, organizing, instigating the commission of and attempting to commit the crime. Since a single act of enforced disappearance is considered a crime against humanity, no statute of limitations applies. </w:t>
      </w:r>
    </w:p>
    <w:p w:rsidR="0006207C" w:rsidRPr="0006207C" w:rsidRDefault="0006207C" w:rsidP="0006207C">
      <w:pPr>
        <w:pStyle w:val="SingleTxtG"/>
        <w:rPr>
          <w:lang w:val="en-US"/>
        </w:rPr>
      </w:pPr>
      <w:r w:rsidRPr="0006207C">
        <w:rPr>
          <w:lang w:val="en-US"/>
        </w:rPr>
        <w:t>20.</w:t>
      </w:r>
      <w:r w:rsidRPr="0006207C">
        <w:rPr>
          <w:lang w:val="en-US"/>
        </w:rPr>
        <w:tab/>
        <w:t>The Working Group notes that competency for investigating cases of enforced disappearance rests with the State Committee for National Security, which is a hybrid agency with both law enforcement and intelligence powers. This raises concerns, given that the intelligence services should not assume any functions related to the maintenance of law and order, such as investigations of suspected crimes, especially given the infamous past of this agency (for more details, see para. 30 below). The Code of Criminal Procedure (art. 153) envisions that cases of enforced disappearance allegedly committed by State Committee officers are to be investigated by the military prosecutor.</w:t>
      </w:r>
    </w:p>
    <w:p w:rsidR="0006207C" w:rsidRPr="0006207C" w:rsidRDefault="0006207C" w:rsidP="0006207C">
      <w:pPr>
        <w:pStyle w:val="SingleTxtG"/>
        <w:rPr>
          <w:lang w:val="en-US"/>
        </w:rPr>
      </w:pPr>
      <w:r w:rsidRPr="0006207C">
        <w:rPr>
          <w:lang w:val="en-US"/>
        </w:rPr>
        <w:lastRenderedPageBreak/>
        <w:t>21.</w:t>
      </w:r>
      <w:r w:rsidRPr="0006207C">
        <w:rPr>
          <w:lang w:val="en-US"/>
        </w:rPr>
        <w:tab/>
        <w:t>The Working Group recalls that all victims of enforced disappearance, including the family members of those forcibly disappeared, have the right to full reparation, which includes compensation, satisfaction, restitution, rehabilitation and guarantees of non-repetition, as provided for in article 19 of the Declaration on the Protection of All Persons from Enforced Disappearance. The information received indicates that no specific civil law provisions are available to victims of enforced disappearance to claim these rights.</w:t>
      </w:r>
    </w:p>
    <w:p w:rsidR="0006207C" w:rsidRPr="0006207C" w:rsidRDefault="0006207C" w:rsidP="0006207C">
      <w:pPr>
        <w:pStyle w:val="SingleTxtG"/>
        <w:rPr>
          <w:lang w:val="en-US"/>
        </w:rPr>
      </w:pPr>
      <w:r w:rsidRPr="0006207C">
        <w:rPr>
          <w:lang w:val="en-US"/>
        </w:rPr>
        <w:t>22.</w:t>
      </w:r>
      <w:r w:rsidRPr="0006207C">
        <w:rPr>
          <w:lang w:val="en-US"/>
        </w:rPr>
        <w:tab/>
        <w:t xml:space="preserve">As regards safeguards during arrest and detention, the legislation of Kyrgyzstan includes important provisions on notification and registration after apprehension and following transfers and these guarantees have been strengthened by the reform of the Code of Criminal Procedure in 2019. Indeed, article 24 of the Constitution and article 12 of the Code of Criminal Procedure stipulate that a person cannot be detained in a temporary detention facility for more than 48 hours without a judicial decision. In the case of minors, article 12 of the Code provides for a reduced period of detention of up to 24 hours, which is a welcome change. It also mandates that a court, prosecutor, investigator and inquiry body must immediately release any person illegally detained or deprived of liberty or illegally placed in a medical or psychiatric hospital or held in custody for a period exceeding that provided for by the Code. </w:t>
      </w:r>
      <w:bookmarkStart w:id="1" w:name="st_99"/>
      <w:bookmarkStart w:id="2" w:name="st_104"/>
      <w:bookmarkEnd w:id="1"/>
      <w:bookmarkEnd w:id="2"/>
    </w:p>
    <w:p w:rsidR="0006207C" w:rsidRPr="0006207C" w:rsidRDefault="0006207C" w:rsidP="0006207C">
      <w:pPr>
        <w:pStyle w:val="SingleTxtG"/>
        <w:rPr>
          <w:lang w:val="en-US"/>
        </w:rPr>
      </w:pPr>
      <w:r w:rsidRPr="0006207C">
        <w:rPr>
          <w:lang w:val="en-US"/>
        </w:rPr>
        <w:t>23.</w:t>
      </w:r>
      <w:r w:rsidRPr="0006207C">
        <w:rPr>
          <w:lang w:val="en-US"/>
        </w:rPr>
        <w:tab/>
        <w:t xml:space="preserve">The Working Group welcomes the fact that, in accordance with article 104 of the Code of Criminal Procedure as revised in 2019, the investigative authorities are obliged to immediately notify a close relative and a </w:t>
      </w:r>
      <w:proofErr w:type="spellStart"/>
      <w:r w:rsidRPr="0006207C">
        <w:rPr>
          <w:lang w:val="en-US"/>
        </w:rPr>
        <w:t>defence</w:t>
      </w:r>
      <w:proofErr w:type="spellEnd"/>
      <w:r w:rsidRPr="0006207C">
        <w:rPr>
          <w:lang w:val="en-US"/>
        </w:rPr>
        <w:t xml:space="preserve"> counsel of the arrest of a suspect. In addition, article 45 of the same Code provides for the right of arrested suspects to place one effective telephone call at no cost to themselves. It appears, however, that in practice the obligation to notify and the right to make a call are set in motion only once the suspect has appeared before an investigative authority.</w:t>
      </w:r>
    </w:p>
    <w:p w:rsidR="0006207C" w:rsidRPr="0006207C" w:rsidRDefault="0006207C" w:rsidP="0006207C">
      <w:pPr>
        <w:pStyle w:val="SingleTxtG"/>
        <w:rPr>
          <w:lang w:val="en-US"/>
        </w:rPr>
      </w:pPr>
      <w:r w:rsidRPr="0006207C">
        <w:rPr>
          <w:lang w:val="en-US"/>
        </w:rPr>
        <w:t>24.</w:t>
      </w:r>
      <w:r w:rsidRPr="0006207C">
        <w:rPr>
          <w:lang w:val="en-US"/>
        </w:rPr>
        <w:tab/>
        <w:t xml:space="preserve">Moreover, the notification should be recorded in the detention report and in the decision to temporarily detain, which should be taken immediately upon the transfer of the apprehended person to an investigator. If the apprehended suspect is a citizen of another State, the embassy or consulate of that State must be notified. In the absence of an embassy or consulate of the State of which the apprehended suspect is a citizen, the notification is sent to the authorized State body. In case of underage apprehended suspects, the authorized State authority for the protection of children should be notified. Article 187 of the new Criminal Code provides for criminal liability for illegal arrests, temporary detentions and failures to notify the relatives of an arrested or detained individual about his or her arrest and detention. According to article 12 (3) of the Code of Criminal Procedure, evidence obtained through torture and inhuman or degrading treatment cannot be used in court proceedings. </w:t>
      </w:r>
    </w:p>
    <w:p w:rsidR="0006207C" w:rsidRPr="0006207C" w:rsidRDefault="0006207C" w:rsidP="0006207C">
      <w:pPr>
        <w:pStyle w:val="SingleTxtG"/>
        <w:rPr>
          <w:lang w:val="en-US"/>
        </w:rPr>
      </w:pPr>
      <w:r w:rsidRPr="0006207C">
        <w:rPr>
          <w:lang w:val="en-US"/>
        </w:rPr>
        <w:t>25.</w:t>
      </w:r>
      <w:r w:rsidRPr="0006207C">
        <w:rPr>
          <w:lang w:val="en-US"/>
        </w:rPr>
        <w:tab/>
        <w:t>While the strengthening of the guarantees is a welcome development, the Working Group is concerned about the extent to which they are implemented. The Working Group received reliable information about the entrenched practice of delayed transfers of apprehended suspects, which unjustifiably take hours and sometimes days, from the place of actual apprehension to the offices of the investigative authorities. Reportedly, in some cases, the recordings of the actual times of apprehension of suspects are then falsified. It is during this time, according to the Working Group</w:t>
      </w:r>
      <w:r>
        <w:rPr>
          <w:lang w:val="en-US"/>
        </w:rPr>
        <w:t>’</w:t>
      </w:r>
      <w:r w:rsidRPr="0006207C">
        <w:rPr>
          <w:lang w:val="en-US"/>
        </w:rPr>
        <w:t>s sources, that most cases of abuse, some of which may amount to torture, take place.</w:t>
      </w:r>
      <w:r w:rsidRPr="00265E0C">
        <w:rPr>
          <w:rStyle w:val="Appelnotedebasdep"/>
        </w:rPr>
        <w:footnoteReference w:id="8"/>
      </w:r>
      <w:r w:rsidRPr="0006207C">
        <w:rPr>
          <w:lang w:val="en-US"/>
        </w:rPr>
        <w:t xml:space="preserve"> The Working Group welcomes the indications from the Government that it is taking steps to fully comply with these guarantees. In this regard, the Working Group hopes that the recommendations contained in section VII of the present report can be promptly implemented. </w:t>
      </w:r>
    </w:p>
    <w:p w:rsidR="0006207C" w:rsidRPr="0006207C" w:rsidRDefault="0006207C" w:rsidP="0006207C">
      <w:pPr>
        <w:pStyle w:val="SingleTxtG"/>
        <w:rPr>
          <w:lang w:val="en-US"/>
        </w:rPr>
      </w:pPr>
      <w:r w:rsidRPr="0006207C">
        <w:rPr>
          <w:lang w:val="en-US"/>
        </w:rPr>
        <w:t>26.</w:t>
      </w:r>
      <w:r w:rsidRPr="0006207C">
        <w:rPr>
          <w:lang w:val="en-US"/>
        </w:rPr>
        <w:tab/>
        <w:t xml:space="preserve">Furthermore, the Working Group was made aware of allegations that inculpatory evidence likely obtained under duress had been considered and accepted during trials. The seriousness of this situation is compounded by the limited number of investigations that are </w:t>
      </w:r>
      <w:r w:rsidRPr="0006207C">
        <w:rPr>
          <w:lang w:val="en-US"/>
        </w:rPr>
        <w:lastRenderedPageBreak/>
        <w:t>carried out: according to government statistics, 1,230 complaints of torture were submitted between 2015 and 2018 but criminal cases were initiated in only 162 of them.</w:t>
      </w:r>
      <w:r w:rsidRPr="00265E0C">
        <w:rPr>
          <w:rStyle w:val="Appelnotedebasdep"/>
        </w:rPr>
        <w:footnoteReference w:id="9"/>
      </w:r>
      <w:r w:rsidRPr="0006207C">
        <w:rPr>
          <w:lang w:val="en-US"/>
        </w:rPr>
        <w:t xml:space="preserve"> </w:t>
      </w:r>
    </w:p>
    <w:p w:rsidR="0006207C" w:rsidRPr="0006207C" w:rsidRDefault="0006207C" w:rsidP="0006207C">
      <w:pPr>
        <w:pStyle w:val="SingleTxtG"/>
        <w:rPr>
          <w:lang w:val="en-US"/>
        </w:rPr>
      </w:pPr>
      <w:r w:rsidRPr="0006207C">
        <w:rPr>
          <w:lang w:val="en-US"/>
        </w:rPr>
        <w:t>27.</w:t>
      </w:r>
      <w:r w:rsidRPr="0006207C">
        <w:rPr>
          <w:lang w:val="en-US"/>
        </w:rPr>
        <w:tab/>
        <w:t xml:space="preserve">The Working Group was informed by several interlocutors that delayed registration was seen as entirely normal by detainees and that even some judges were not aware that it constituted a violation. Some delays in registration reportedly involve foreign citizens, particularly </w:t>
      </w:r>
      <w:proofErr w:type="spellStart"/>
      <w:r w:rsidRPr="0006207C">
        <w:rPr>
          <w:lang w:val="en-US"/>
        </w:rPr>
        <w:t>labour</w:t>
      </w:r>
      <w:proofErr w:type="spellEnd"/>
      <w:r w:rsidRPr="0006207C">
        <w:rPr>
          <w:lang w:val="en-US"/>
        </w:rPr>
        <w:t xml:space="preserve"> migrants, who are often held for several days without their embassies being notified as required.</w:t>
      </w:r>
    </w:p>
    <w:p w:rsidR="0006207C" w:rsidRPr="0006207C" w:rsidRDefault="0006207C" w:rsidP="0006207C">
      <w:pPr>
        <w:pStyle w:val="SingleTxtG"/>
        <w:rPr>
          <w:lang w:val="en-US"/>
        </w:rPr>
      </w:pPr>
      <w:r w:rsidRPr="0006207C">
        <w:rPr>
          <w:lang w:val="en-US"/>
        </w:rPr>
        <w:t>28.</w:t>
      </w:r>
      <w:r w:rsidRPr="0006207C">
        <w:rPr>
          <w:lang w:val="en-US"/>
        </w:rPr>
        <w:tab/>
        <w:t xml:space="preserve">The Working Group highlights the fact that the failure to acknowledge deprivation of liberty by State agents and the refusal to acknowledge detention may constitute enforced disappearance, even if it is of a short duration. Such practices also weaken the value of the new provision, which defines arrest as the short-term deprivation of the freedom of movement of a suspect by law enforcement authorities, meaning that the definition of arrest now includes the time between actual apprehension of a person before his or her presentation before the relevant authority. </w:t>
      </w:r>
    </w:p>
    <w:p w:rsidR="0006207C" w:rsidRPr="0006207C" w:rsidRDefault="0006207C" w:rsidP="0006207C">
      <w:pPr>
        <w:pStyle w:val="SingleTxtG"/>
        <w:rPr>
          <w:lang w:val="en-US"/>
        </w:rPr>
      </w:pPr>
      <w:r w:rsidRPr="0006207C">
        <w:rPr>
          <w:lang w:val="en-US"/>
        </w:rPr>
        <w:t>29.</w:t>
      </w:r>
      <w:r w:rsidRPr="0006207C">
        <w:rPr>
          <w:lang w:val="en-US"/>
        </w:rPr>
        <w:tab/>
        <w:t xml:space="preserve">The Working Group was also informed that according to monitoring jointly conducted by the national preventive mechanism and civil society in 2018, at least 300 defendants had been placed in overcrowded temporary detention facilities under the auspices of law enforcement authorities, where their detention was not properly registered. The Working Group was made aware of 10 cases of deaths in such facilities since 2016, which raises serious concerns about mistreatment of detainees, whether perpetrated by police officers or other inmates, about lack of medical attention and about deaths resulting from gross negligence. </w:t>
      </w:r>
      <w:bookmarkStart w:id="3" w:name="SUB1870100"/>
      <w:bookmarkStart w:id="4" w:name="SUB1870200"/>
      <w:bookmarkStart w:id="5" w:name="SUB1870300"/>
      <w:bookmarkStart w:id="6" w:name="SUB1870400"/>
      <w:bookmarkEnd w:id="3"/>
      <w:bookmarkEnd w:id="4"/>
      <w:bookmarkEnd w:id="5"/>
      <w:bookmarkEnd w:id="6"/>
    </w:p>
    <w:p w:rsidR="0006207C" w:rsidRPr="0006207C" w:rsidRDefault="0006207C" w:rsidP="0006207C">
      <w:pPr>
        <w:pStyle w:val="SingleTxtG"/>
        <w:rPr>
          <w:lang w:val="en-US"/>
        </w:rPr>
      </w:pPr>
      <w:r w:rsidRPr="0006207C">
        <w:rPr>
          <w:lang w:val="en-US"/>
        </w:rPr>
        <w:t>30.</w:t>
      </w:r>
      <w:r w:rsidRPr="0006207C">
        <w:rPr>
          <w:lang w:val="en-US"/>
        </w:rPr>
        <w:tab/>
        <w:t>Investigations into these crimes are conducted by the State Committee for National Security. The Working Group notes that the State Committee lacks the trust of civil society organizations, among others, and does not appear to have the subject-specific expertise to properly investigate enforced disappearance. Another concern conveyed to the Working Group was the lack of effective oversight exercised by the parliament and the courts over the State Committee, which shapes the prevailing perception of privilege and, by default, impunity. The Working Group understands that the State Committee has its own temporary detention facilities, one in Bishkek and one in Osh, and its own pretrial detention facility. The Working Group received information that these facilities are especially difficult for institutional, let alone independent, monitors to access. As an illustration, the Working Group</w:t>
      </w:r>
      <w:r>
        <w:rPr>
          <w:lang w:val="en-US"/>
        </w:rPr>
        <w:t>’</w:t>
      </w:r>
      <w:r w:rsidRPr="0006207C">
        <w:rPr>
          <w:lang w:val="en-US"/>
        </w:rPr>
        <w:t>s own repeated requests to visit the temporary detention facility in Bishkek were not granted.</w:t>
      </w:r>
    </w:p>
    <w:p w:rsidR="0006207C" w:rsidRPr="0006207C" w:rsidRDefault="0006207C" w:rsidP="0006207C">
      <w:pPr>
        <w:pStyle w:val="SingleTxtG"/>
        <w:rPr>
          <w:lang w:val="en-US"/>
        </w:rPr>
      </w:pPr>
      <w:r w:rsidRPr="0006207C">
        <w:rPr>
          <w:lang w:val="en-US"/>
        </w:rPr>
        <w:t>31.</w:t>
      </w:r>
      <w:r w:rsidRPr="0006207C">
        <w:rPr>
          <w:lang w:val="en-US"/>
        </w:rPr>
        <w:tab/>
        <w:t xml:space="preserve">The Working Group encourages the Government to make a concerted effort to ensure that the new legal guarantees on notification and registration are systematically implemented in practice. This should include establishing a simple, accessible and effective mechanism for quickly notifying families after an individual has been deprived of his or her liberty. In addition, confessions obtained under torture or duress should not be admissible in court proceedings in practice, which would help remove the incentive for carrying out enforced disappearances of a short duration. The Working Group welcomes information that some projects are under way, including a project to institute video registration in Osh and Bishkek. It encourages further efforts, including to conduct additional training, disseminate information and raise awareness on the relevant provisions, to extend video registration and to systematically sanction all those responsible for not notifying families or for falsifying registration records. All instances of deprivation of liberty must be registered effectively and promptly from the moment of first apprehension. Moreover, appropriate investigations into alleged abuses should be conducted without delay, with the objective of bringing perpetrators to justice and providing commensurate compensation to the victims and their families. In this regard, free legal aid for the victims of violations should be considered. </w:t>
      </w:r>
    </w:p>
    <w:p w:rsidR="0006207C" w:rsidRPr="0006207C" w:rsidRDefault="0006207C" w:rsidP="0006207C">
      <w:pPr>
        <w:pStyle w:val="SingleTxtG"/>
        <w:rPr>
          <w:lang w:val="en-US"/>
        </w:rPr>
      </w:pPr>
      <w:r w:rsidRPr="0006207C">
        <w:rPr>
          <w:lang w:val="en-US"/>
        </w:rPr>
        <w:t>32.</w:t>
      </w:r>
      <w:r w:rsidRPr="0006207C">
        <w:rPr>
          <w:lang w:val="en-US"/>
        </w:rPr>
        <w:tab/>
        <w:t xml:space="preserve">The Working Group encourages the Government to ensure that evidence obtained under duress is not accepted during legal proceedings and to strengthen the monitoring mechanisms in place to prevent such a practice, including by implementing the </w:t>
      </w:r>
      <w:r w:rsidRPr="0006207C">
        <w:rPr>
          <w:lang w:val="en-US"/>
        </w:rPr>
        <w:lastRenderedPageBreak/>
        <w:t>recommendations made by the Subcommittee on Prevention of Torture and Other Cruel, Inhuman or Degrading Treatment or Punishment following its 2018 visit (CAT/OP/KGZ/2), which would help remove the incentive for carrying out enforced disappearances of a short duration.</w:t>
      </w:r>
    </w:p>
    <w:p w:rsidR="0006207C" w:rsidRPr="0006207C" w:rsidRDefault="0006207C" w:rsidP="0006207C">
      <w:pPr>
        <w:pStyle w:val="SingleTxtG"/>
        <w:rPr>
          <w:lang w:val="en-US"/>
        </w:rPr>
      </w:pPr>
      <w:r w:rsidRPr="0006207C">
        <w:rPr>
          <w:lang w:val="en-US"/>
        </w:rPr>
        <w:t>33.</w:t>
      </w:r>
      <w:r w:rsidRPr="0006207C">
        <w:rPr>
          <w:lang w:val="en-US"/>
        </w:rPr>
        <w:tab/>
        <w:t>The Working Group welcomes the request made by the Government following its visit for the Working Group to provide technical assistance in the form of training in Kyrgyzstan for judges, prosecutors and lawyers on enforced disappearance. Due to the coronavirus disease (COVID-19) situation, the provision of technical assistance, which was originally planned for April 2020, has been delayed but will hopefully take place as soon as circumstances permit.</w:t>
      </w:r>
    </w:p>
    <w:p w:rsidR="0006207C" w:rsidRPr="0006207C" w:rsidRDefault="0006207C" w:rsidP="0006207C">
      <w:pPr>
        <w:pStyle w:val="HChG"/>
        <w:rPr>
          <w:lang w:val="en-US"/>
        </w:rPr>
      </w:pPr>
      <w:r w:rsidRPr="0006207C">
        <w:rPr>
          <w:lang w:val="en-US"/>
        </w:rPr>
        <w:tab/>
        <w:t>IV.</w:t>
      </w:r>
      <w:r w:rsidRPr="0006207C">
        <w:rPr>
          <w:lang w:val="en-US"/>
        </w:rPr>
        <w:tab/>
        <w:t>Enforced disappearances in the context of the 2010 inter-ethnic violence</w:t>
      </w:r>
    </w:p>
    <w:p w:rsidR="0006207C" w:rsidRPr="0006207C" w:rsidRDefault="0006207C" w:rsidP="0006207C">
      <w:pPr>
        <w:pStyle w:val="SingleTxtG"/>
        <w:rPr>
          <w:lang w:val="en-US"/>
        </w:rPr>
      </w:pPr>
      <w:r w:rsidRPr="0006207C">
        <w:rPr>
          <w:lang w:val="en-US"/>
        </w:rPr>
        <w:t>34.</w:t>
      </w:r>
      <w:r w:rsidRPr="0006207C">
        <w:rPr>
          <w:lang w:val="en-US"/>
        </w:rPr>
        <w:tab/>
        <w:t>The Working Group conducted a visit to the region of Osh, where inter-ethnic violence had broken out between 11 and 14 June 2010, and was informed that the conflict had resulted in a significant number of missing persons. According to the Government, although the majority of cases have been resolved, 17 individuals are still missing and the remains of 9 others are still pending identification. While noting that the authorities have provided assurances that the search continues, no real progress has been made recently. The Working Group hopes that further efforts will be made to search for those missing and complete identifications, with the involvement and participation of the relatives concerned.</w:t>
      </w:r>
    </w:p>
    <w:p w:rsidR="0006207C" w:rsidRPr="0006207C" w:rsidRDefault="0006207C" w:rsidP="0006207C">
      <w:pPr>
        <w:pStyle w:val="SingleTxtG"/>
        <w:rPr>
          <w:lang w:val="en-US"/>
        </w:rPr>
      </w:pPr>
      <w:r w:rsidRPr="0006207C">
        <w:rPr>
          <w:lang w:val="en-US"/>
        </w:rPr>
        <w:t>35.</w:t>
      </w:r>
      <w:r w:rsidRPr="0006207C">
        <w:rPr>
          <w:lang w:val="en-US"/>
        </w:rPr>
        <w:tab/>
        <w:t xml:space="preserve">The Working Group was informed by civil society representatives that the State had failed to address transitional justice issues from the June 2010 events and had implemented few related policies, laws or </w:t>
      </w:r>
      <w:proofErr w:type="spellStart"/>
      <w:r w:rsidRPr="0006207C">
        <w:rPr>
          <w:lang w:val="en-US"/>
        </w:rPr>
        <w:t>programmes</w:t>
      </w:r>
      <w:proofErr w:type="spellEnd"/>
      <w:r w:rsidRPr="0006207C">
        <w:rPr>
          <w:lang w:val="en-US"/>
        </w:rPr>
        <w:t xml:space="preserve">. The criminal justice system had produced highly unequal outcomes, with over 70 per cent of victims identified as being ethnic Uzbeks and over 70 per cent of the charges relating to the 442 registered murder cases having been brought against this minority group. There were serious doubts over fair trial standards in many cases, which risked </w:t>
      </w:r>
      <w:proofErr w:type="spellStart"/>
      <w:r w:rsidRPr="0006207C">
        <w:rPr>
          <w:lang w:val="en-US"/>
        </w:rPr>
        <w:t>fuelling</w:t>
      </w:r>
      <w:proofErr w:type="spellEnd"/>
      <w:r w:rsidRPr="0006207C">
        <w:rPr>
          <w:lang w:val="en-US"/>
        </w:rPr>
        <w:t xml:space="preserve"> resentment between members of this minority group and the authorities.</w:t>
      </w:r>
      <w:r w:rsidRPr="00265E0C">
        <w:rPr>
          <w:rStyle w:val="Appelnotedebasdep"/>
        </w:rPr>
        <w:footnoteReference w:id="10"/>
      </w:r>
      <w:r w:rsidRPr="0006207C">
        <w:rPr>
          <w:lang w:val="en-US"/>
        </w:rPr>
        <w:t xml:space="preserve"> </w:t>
      </w:r>
      <w:proofErr w:type="spellStart"/>
      <w:r w:rsidRPr="0006207C">
        <w:rPr>
          <w:lang w:val="en-US"/>
        </w:rPr>
        <w:t>Defence</w:t>
      </w:r>
      <w:proofErr w:type="spellEnd"/>
      <w:r w:rsidRPr="0006207C">
        <w:rPr>
          <w:lang w:val="en-US"/>
        </w:rPr>
        <w:t xml:space="preserve"> lawyers representing ethnic Uzbek defendants are said to have been subjected to improper interference and intimidation. </w:t>
      </w:r>
    </w:p>
    <w:p w:rsidR="0006207C" w:rsidRPr="0006207C" w:rsidRDefault="0006207C" w:rsidP="0006207C">
      <w:pPr>
        <w:pStyle w:val="HChG"/>
        <w:rPr>
          <w:lang w:val="en-US"/>
        </w:rPr>
      </w:pPr>
      <w:r w:rsidRPr="0006207C">
        <w:rPr>
          <w:lang w:val="en-US"/>
        </w:rPr>
        <w:tab/>
        <w:t>V.</w:t>
      </w:r>
      <w:r w:rsidRPr="0006207C">
        <w:rPr>
          <w:lang w:val="en-US"/>
        </w:rPr>
        <w:tab/>
        <w:t>Non-refoulement</w:t>
      </w:r>
    </w:p>
    <w:p w:rsidR="0006207C" w:rsidRPr="0006207C" w:rsidRDefault="0006207C" w:rsidP="0006207C">
      <w:pPr>
        <w:pStyle w:val="SingleTxtG"/>
        <w:rPr>
          <w:lang w:val="en-US"/>
        </w:rPr>
      </w:pPr>
      <w:r w:rsidRPr="0006207C">
        <w:rPr>
          <w:lang w:val="en-US"/>
        </w:rPr>
        <w:t>36.</w:t>
      </w:r>
      <w:r w:rsidRPr="0006207C">
        <w:rPr>
          <w:lang w:val="en-US"/>
        </w:rPr>
        <w:tab/>
        <w:t xml:space="preserve">Article 8 of the Declaration on the Protection of All Persons from Enforced Disappearance prohibits the expulsion, return or extradition of a person to another State where there are substantial grounds to believe that he or she would be in danger of enforced disappearance. Under international human rights law, the principle of non-refoulement is of an absolute nature, which means, inter alia, that States cannot transfer or remove foreign nationals from their jurisdiction to another country when they risk being subjected to enforced disappearance, regardless of whether they entered the State regularly or not, whether they are asylum seekers, refugees, stateless persons, migrant workers or have </w:t>
      </w:r>
      <w:r w:rsidRPr="0006207C">
        <w:rPr>
          <w:lang w:val="en-US"/>
        </w:rPr>
        <w:lastRenderedPageBreak/>
        <w:t xml:space="preserve">another status, and whether they maintain or have lost their status. During its visit, the Working Group observed that there was little awareness about this cardinal international legal principle and obligation, as demonstrated by the phrase “we are not responsible for what happens in the other country”, which was pronounced by a high-ranking representative of a State agency. </w:t>
      </w:r>
    </w:p>
    <w:p w:rsidR="0006207C" w:rsidRPr="0006207C" w:rsidRDefault="0006207C" w:rsidP="0006207C">
      <w:pPr>
        <w:pStyle w:val="SingleTxtG"/>
        <w:rPr>
          <w:lang w:val="en-US"/>
        </w:rPr>
      </w:pPr>
      <w:r w:rsidRPr="0006207C">
        <w:rPr>
          <w:lang w:val="en-US"/>
        </w:rPr>
        <w:t>37.</w:t>
      </w:r>
      <w:r w:rsidRPr="0006207C">
        <w:rPr>
          <w:lang w:val="en-US"/>
        </w:rPr>
        <w:tab/>
        <w:t xml:space="preserve">Kyrgyzstan has failed to integrate its non-refoulement obligation into its legislation. The Working Group was informed that only transfers and removals that may lead to torture, not those involving the risk of being subjected to enforced disappearance, were prohibited. Indeed, it received reports of transfers that had resulted in enforced disappearances, in particular of persons returned to China and Uzbekistan. </w:t>
      </w:r>
    </w:p>
    <w:p w:rsidR="0006207C" w:rsidRPr="0006207C" w:rsidRDefault="0006207C" w:rsidP="0006207C">
      <w:pPr>
        <w:pStyle w:val="SingleTxtG"/>
        <w:rPr>
          <w:lang w:val="en-US"/>
        </w:rPr>
      </w:pPr>
      <w:r w:rsidRPr="0006207C">
        <w:rPr>
          <w:lang w:val="en-US"/>
        </w:rPr>
        <w:t>38.</w:t>
      </w:r>
      <w:r w:rsidRPr="0006207C">
        <w:rPr>
          <w:lang w:val="en-US"/>
        </w:rPr>
        <w:tab/>
        <w:t xml:space="preserve">The Working Group was informed about the lack of detailed and transparent mechanisms and procedures for ensuring that the protection needs of migrants were assessed individually and in accordance with due process. In particular, the Working Group received information indicating that many migrant workers from Xinjiang autonomous region of China lost their work permits once their passports expired, were allegedly not informed about their rights, including the right to seek asylum, were deported – frequently upon the request of the Chinese authorities – and were subsequently subjected to enforced disappearance. </w:t>
      </w:r>
    </w:p>
    <w:p w:rsidR="0006207C" w:rsidRPr="0006207C" w:rsidRDefault="0006207C" w:rsidP="0006207C">
      <w:pPr>
        <w:pStyle w:val="SingleTxtG"/>
        <w:rPr>
          <w:lang w:val="en-US"/>
        </w:rPr>
      </w:pPr>
      <w:r w:rsidRPr="0006207C">
        <w:rPr>
          <w:lang w:val="en-US"/>
        </w:rPr>
        <w:t>39.</w:t>
      </w:r>
      <w:r w:rsidRPr="0006207C">
        <w:rPr>
          <w:lang w:val="en-US"/>
        </w:rPr>
        <w:tab/>
        <w:t>During its visit, the Working Group received fragmented and inconsistent information from different interlocutors about the administrative procedures applicable at the borders of Kyrgyzstan in cases of foreign nationals seeking temporary protection or asylum. This is worrisome, especially in the light of several reports of such persons having been forcibly deported and given the small number of individuals granted either temporary protection or asylum. The Working Group therefore welcomes information indicating that the border protection and migration services, in cooperation with the Office of the United Nations High Commissioner for Refugees and its partners, have been developing guidelines for the identification and referral of asylum seekers arriving at the borders of Kyrgyzstan and that the guidelines focus on the right to seek asylum and to gain access to the territory of Kyrgyzstan of refugees and asylum seekers, including those arriving in an irregular manner.</w:t>
      </w:r>
    </w:p>
    <w:p w:rsidR="0006207C" w:rsidRPr="0006207C" w:rsidRDefault="0006207C" w:rsidP="0006207C">
      <w:pPr>
        <w:pStyle w:val="HChG"/>
        <w:rPr>
          <w:lang w:val="en-US"/>
        </w:rPr>
      </w:pPr>
      <w:r w:rsidRPr="0006207C">
        <w:rPr>
          <w:lang w:val="en-US"/>
        </w:rPr>
        <w:tab/>
        <w:t>VI.</w:t>
      </w:r>
      <w:r w:rsidRPr="0006207C">
        <w:rPr>
          <w:lang w:val="en-US"/>
        </w:rPr>
        <w:tab/>
        <w:t xml:space="preserve">Conclusion </w:t>
      </w:r>
    </w:p>
    <w:p w:rsidR="0006207C" w:rsidRPr="0006207C" w:rsidRDefault="0006207C" w:rsidP="0006207C">
      <w:pPr>
        <w:pStyle w:val="SingleTxtG"/>
        <w:rPr>
          <w:lang w:val="en-US"/>
        </w:rPr>
      </w:pPr>
      <w:r w:rsidRPr="0006207C">
        <w:rPr>
          <w:lang w:val="en-US"/>
        </w:rPr>
        <w:t>40.</w:t>
      </w:r>
      <w:r w:rsidRPr="0006207C">
        <w:rPr>
          <w:lang w:val="en-US"/>
        </w:rPr>
        <w:tab/>
        <w:t xml:space="preserve">The Government of Kyrgyzstan has made significant legislative improvements to provide protection against enforced disappearance in recent years. In particular, the introduction of the new crime of enforced disappearance and legislative changes aimed at improving the notification and registration requirements during initial apprehension and detention are positive developments. </w:t>
      </w:r>
    </w:p>
    <w:p w:rsidR="0006207C" w:rsidRPr="0006207C" w:rsidRDefault="0006207C" w:rsidP="0006207C">
      <w:pPr>
        <w:pStyle w:val="SingleTxtG"/>
        <w:rPr>
          <w:lang w:val="en-US"/>
        </w:rPr>
      </w:pPr>
      <w:r w:rsidRPr="0006207C">
        <w:rPr>
          <w:lang w:val="en-US"/>
        </w:rPr>
        <w:t>41.</w:t>
      </w:r>
      <w:r w:rsidRPr="0006207C">
        <w:rPr>
          <w:lang w:val="en-US"/>
        </w:rPr>
        <w:tab/>
        <w:t>Despite these measures and the statements made by the country</w:t>
      </w:r>
      <w:r>
        <w:rPr>
          <w:lang w:val="en-US"/>
        </w:rPr>
        <w:t>’</w:t>
      </w:r>
      <w:r w:rsidRPr="0006207C">
        <w:rPr>
          <w:lang w:val="en-US"/>
        </w:rPr>
        <w:t xml:space="preserve">s leadership about there being strong political will and about robust action being taken to counter enforced disappearance and torture, substantive changes in practice are still lacking. A concerted effort is recommended, in particular, to eradicate the widespread problem of enforced disappearance of short duration following the initial apprehension of suspects, as now defined in the Code of Criminal Procedure. </w:t>
      </w:r>
    </w:p>
    <w:p w:rsidR="0006207C" w:rsidRPr="0006207C" w:rsidRDefault="0006207C" w:rsidP="0006207C">
      <w:pPr>
        <w:pStyle w:val="SingleTxtG"/>
        <w:rPr>
          <w:lang w:val="en-US"/>
        </w:rPr>
      </w:pPr>
      <w:r w:rsidRPr="0006207C">
        <w:rPr>
          <w:lang w:val="en-US"/>
        </w:rPr>
        <w:t>42.</w:t>
      </w:r>
      <w:r w:rsidRPr="0006207C">
        <w:rPr>
          <w:lang w:val="en-US"/>
        </w:rPr>
        <w:tab/>
        <w:t xml:space="preserve">The principle of non-refoulement is a critical safeguard against enforced disappearance. The Working Group reiterates the need to ensure that the principle is enshrined in Kyrgyz legislation and implemented in practice so that no individual is expelled, returned or extradited to a State where there are substantial grounds to believe that he or she may be at risk of enforced disappearance. </w:t>
      </w:r>
    </w:p>
    <w:p w:rsidR="0006207C" w:rsidRPr="0006207C" w:rsidRDefault="0006207C" w:rsidP="0006207C">
      <w:pPr>
        <w:pStyle w:val="SingleTxtG"/>
        <w:rPr>
          <w:lang w:val="en-US"/>
        </w:rPr>
      </w:pPr>
      <w:r w:rsidRPr="0006207C">
        <w:rPr>
          <w:lang w:val="en-US"/>
        </w:rPr>
        <w:t>43.</w:t>
      </w:r>
      <w:r w:rsidRPr="0006207C">
        <w:rPr>
          <w:lang w:val="en-US"/>
        </w:rPr>
        <w:tab/>
        <w:t xml:space="preserve">A small number of individuals remain missing and bodies are pending identification in relation to the inter-ethnic violence that broke out in the southern provinces in 2010. The Working Group encourages the Government to undertake further efforts to resolve these cases and to fully address the consequences of the events. </w:t>
      </w:r>
    </w:p>
    <w:p w:rsidR="0006207C" w:rsidRPr="0006207C" w:rsidRDefault="0006207C" w:rsidP="0006207C">
      <w:pPr>
        <w:pStyle w:val="SingleTxtG"/>
        <w:rPr>
          <w:lang w:val="en-US"/>
        </w:rPr>
      </w:pPr>
      <w:r w:rsidRPr="0006207C">
        <w:rPr>
          <w:lang w:val="en-US"/>
        </w:rPr>
        <w:t>44.</w:t>
      </w:r>
      <w:r w:rsidRPr="0006207C">
        <w:rPr>
          <w:lang w:val="en-US"/>
        </w:rPr>
        <w:tab/>
        <w:t xml:space="preserve">Going forward, Kyrgyzstan has an opportunity to take a few more steps to ensure full protection from enforced disappearance. In particular, prompt ratification of the </w:t>
      </w:r>
      <w:r w:rsidRPr="0006207C">
        <w:rPr>
          <w:lang w:val="en-US"/>
        </w:rPr>
        <w:lastRenderedPageBreak/>
        <w:t xml:space="preserve">International Convention for the Protection of All Persons from Enforced Disappearance would help cement progress made. The Working Group reiterates its willingness to assist Kyrgyzstan in closing the few remaining gaps to ensure full protection against enforced disappearance in the country. </w:t>
      </w:r>
    </w:p>
    <w:p w:rsidR="0006207C" w:rsidRPr="0006207C" w:rsidRDefault="0006207C" w:rsidP="0006207C">
      <w:pPr>
        <w:pStyle w:val="HChG"/>
        <w:rPr>
          <w:lang w:val="en-US"/>
        </w:rPr>
      </w:pPr>
      <w:r w:rsidRPr="0006207C">
        <w:rPr>
          <w:lang w:val="en-US"/>
        </w:rPr>
        <w:tab/>
        <w:t>VII.</w:t>
      </w:r>
      <w:r w:rsidRPr="0006207C">
        <w:rPr>
          <w:lang w:val="en-US"/>
        </w:rPr>
        <w:tab/>
        <w:t>Recommendations</w:t>
      </w:r>
    </w:p>
    <w:p w:rsidR="0006207C" w:rsidRPr="0006207C" w:rsidRDefault="0006207C" w:rsidP="0006207C">
      <w:pPr>
        <w:pStyle w:val="SingleTxtG"/>
        <w:rPr>
          <w:b/>
          <w:bCs/>
          <w:lang w:val="en-US"/>
        </w:rPr>
      </w:pPr>
      <w:r w:rsidRPr="0006207C">
        <w:rPr>
          <w:lang w:val="en-US"/>
        </w:rPr>
        <w:t>45.</w:t>
      </w:r>
      <w:r w:rsidRPr="0006207C">
        <w:rPr>
          <w:lang w:val="en-US"/>
        </w:rPr>
        <w:tab/>
      </w:r>
      <w:r w:rsidRPr="0006207C">
        <w:rPr>
          <w:b/>
          <w:bCs/>
          <w:lang w:val="en-US"/>
        </w:rPr>
        <w:t>The Working Group recommends that the Government of Kyrgyzstan:</w:t>
      </w:r>
    </w:p>
    <w:p w:rsidR="0006207C" w:rsidRPr="0006207C" w:rsidRDefault="0006207C" w:rsidP="0006207C">
      <w:pPr>
        <w:pStyle w:val="SingleTxtG"/>
        <w:rPr>
          <w:b/>
          <w:bCs/>
          <w:lang w:val="en-US"/>
        </w:rPr>
      </w:pPr>
      <w:r w:rsidRPr="0006207C">
        <w:rPr>
          <w:bCs/>
          <w:lang w:val="en-US"/>
        </w:rPr>
        <w:tab/>
        <w:t>(a)</w:t>
      </w:r>
      <w:r w:rsidRPr="0006207C">
        <w:rPr>
          <w:bCs/>
          <w:lang w:val="en-US"/>
        </w:rPr>
        <w:tab/>
      </w:r>
      <w:r w:rsidRPr="0006207C">
        <w:rPr>
          <w:b/>
          <w:bCs/>
          <w:lang w:val="en-US"/>
        </w:rPr>
        <w:t xml:space="preserve">Ratify the International Convention for the Protection of All Persons from Enforced Disappearance as soon as possible and thereby expressly recognize the competence of the Committee on Enforced Disappearances in accordance with articles 31 and 32 of the Convention; </w:t>
      </w:r>
    </w:p>
    <w:p w:rsidR="0006207C" w:rsidRPr="0006207C" w:rsidRDefault="0006207C" w:rsidP="0006207C">
      <w:pPr>
        <w:pStyle w:val="SingleTxtG"/>
        <w:rPr>
          <w:b/>
          <w:bCs/>
          <w:lang w:val="en-US"/>
        </w:rPr>
      </w:pPr>
      <w:r w:rsidRPr="0006207C">
        <w:rPr>
          <w:bCs/>
          <w:lang w:val="en-US"/>
        </w:rPr>
        <w:tab/>
        <w:t>(b)</w:t>
      </w:r>
      <w:r w:rsidRPr="0006207C">
        <w:rPr>
          <w:bCs/>
          <w:lang w:val="en-US"/>
        </w:rPr>
        <w:tab/>
      </w:r>
      <w:r w:rsidRPr="0006207C">
        <w:rPr>
          <w:b/>
          <w:bCs/>
          <w:lang w:val="en-US"/>
        </w:rPr>
        <w:t>Ensure that enforced disappearance of any duration, including short-term enforced disappearance, is criminalized;</w:t>
      </w:r>
    </w:p>
    <w:p w:rsidR="0006207C" w:rsidRPr="0006207C" w:rsidRDefault="0006207C" w:rsidP="0006207C">
      <w:pPr>
        <w:pStyle w:val="SingleTxtG"/>
        <w:rPr>
          <w:b/>
          <w:bCs/>
          <w:lang w:val="en-US"/>
        </w:rPr>
      </w:pPr>
      <w:r w:rsidRPr="0006207C">
        <w:rPr>
          <w:bCs/>
          <w:lang w:val="en-US"/>
        </w:rPr>
        <w:tab/>
        <w:t>(c)</w:t>
      </w:r>
      <w:r w:rsidRPr="0006207C">
        <w:rPr>
          <w:bCs/>
          <w:lang w:val="en-US"/>
        </w:rPr>
        <w:tab/>
      </w:r>
      <w:r w:rsidRPr="0006207C">
        <w:rPr>
          <w:b/>
          <w:bCs/>
          <w:lang w:val="en-US"/>
        </w:rPr>
        <w:t xml:space="preserve">Provide training on enforced disappearance to legal professionals; </w:t>
      </w:r>
    </w:p>
    <w:p w:rsidR="0006207C" w:rsidRPr="0006207C" w:rsidRDefault="0006207C" w:rsidP="0006207C">
      <w:pPr>
        <w:pStyle w:val="SingleTxtG"/>
        <w:rPr>
          <w:b/>
          <w:bCs/>
          <w:lang w:val="en-US"/>
        </w:rPr>
      </w:pPr>
      <w:r w:rsidRPr="0006207C">
        <w:rPr>
          <w:bCs/>
          <w:lang w:val="en-US"/>
        </w:rPr>
        <w:tab/>
        <w:t>(d)</w:t>
      </w:r>
      <w:r w:rsidRPr="0006207C">
        <w:rPr>
          <w:bCs/>
          <w:lang w:val="en-US"/>
        </w:rPr>
        <w:tab/>
      </w:r>
      <w:r w:rsidRPr="0006207C">
        <w:rPr>
          <w:b/>
          <w:bCs/>
          <w:lang w:val="en-US"/>
        </w:rPr>
        <w:t xml:space="preserve">Reassign the function of investigating enforced disappearances and cases of torture from the State Committee for National Security to a law enforcement agency; </w:t>
      </w:r>
    </w:p>
    <w:p w:rsidR="0006207C" w:rsidRPr="0006207C" w:rsidRDefault="0006207C" w:rsidP="0006207C">
      <w:pPr>
        <w:pStyle w:val="SingleTxtG"/>
        <w:rPr>
          <w:b/>
          <w:bCs/>
          <w:lang w:val="en-US"/>
        </w:rPr>
      </w:pPr>
      <w:r w:rsidRPr="0006207C">
        <w:rPr>
          <w:bCs/>
          <w:lang w:val="en-US"/>
        </w:rPr>
        <w:tab/>
        <w:t>(e)</w:t>
      </w:r>
      <w:r w:rsidRPr="0006207C">
        <w:rPr>
          <w:bCs/>
          <w:lang w:val="en-US"/>
        </w:rPr>
        <w:tab/>
      </w:r>
      <w:r w:rsidRPr="0006207C">
        <w:rPr>
          <w:b/>
          <w:bCs/>
          <w:lang w:val="en-US"/>
        </w:rPr>
        <w:t>Ensure that legal provisions include an enforceable right for victims of enforced disappearance to receive full reparation, including compensation, satisfaction, restitution, rehabilitation and guarantees of non-repetition;</w:t>
      </w:r>
    </w:p>
    <w:p w:rsidR="0006207C" w:rsidRPr="0006207C" w:rsidRDefault="0006207C" w:rsidP="0006207C">
      <w:pPr>
        <w:pStyle w:val="SingleTxtG"/>
        <w:rPr>
          <w:b/>
          <w:bCs/>
          <w:lang w:val="en-US"/>
        </w:rPr>
      </w:pPr>
      <w:r w:rsidRPr="0006207C">
        <w:rPr>
          <w:bCs/>
          <w:lang w:val="en-US"/>
        </w:rPr>
        <w:tab/>
        <w:t>(f)</w:t>
      </w:r>
      <w:r w:rsidRPr="0006207C">
        <w:rPr>
          <w:bCs/>
          <w:lang w:val="en-US"/>
        </w:rPr>
        <w:tab/>
      </w:r>
      <w:r w:rsidRPr="0006207C">
        <w:rPr>
          <w:b/>
          <w:bCs/>
          <w:lang w:val="en-US"/>
        </w:rPr>
        <w:t>Ensure that the new legal guarantees on notification and registration are systematically implemented in practice, including by:</w:t>
      </w:r>
    </w:p>
    <w:p w:rsidR="0006207C" w:rsidRPr="0006207C" w:rsidRDefault="0006207C" w:rsidP="0006207C">
      <w:pPr>
        <w:pStyle w:val="SingleTxtG"/>
        <w:ind w:left="1701" w:hanging="567"/>
        <w:rPr>
          <w:b/>
          <w:bCs/>
          <w:lang w:val="en-US"/>
        </w:rPr>
      </w:pPr>
      <w:r w:rsidRPr="0006207C">
        <w:rPr>
          <w:bCs/>
          <w:lang w:val="en-US"/>
        </w:rPr>
        <w:tab/>
        <w:t>(</w:t>
      </w:r>
      <w:proofErr w:type="spellStart"/>
      <w:r w:rsidRPr="0006207C">
        <w:rPr>
          <w:bCs/>
          <w:lang w:val="en-US"/>
        </w:rPr>
        <w:t>i</w:t>
      </w:r>
      <w:proofErr w:type="spellEnd"/>
      <w:r w:rsidRPr="0006207C">
        <w:rPr>
          <w:bCs/>
          <w:lang w:val="en-US"/>
        </w:rPr>
        <w:t>)</w:t>
      </w:r>
      <w:r w:rsidRPr="0006207C">
        <w:rPr>
          <w:bCs/>
          <w:lang w:val="en-US"/>
        </w:rPr>
        <w:tab/>
      </w:r>
      <w:r w:rsidRPr="0006207C">
        <w:rPr>
          <w:b/>
          <w:bCs/>
          <w:lang w:val="en-US"/>
        </w:rPr>
        <w:t xml:space="preserve">Conducting extensive training and awareness-raising activities on the guarantees among legal professionals, law enforcement officials and the public; </w:t>
      </w:r>
    </w:p>
    <w:p w:rsidR="0006207C" w:rsidRPr="0006207C" w:rsidRDefault="0006207C" w:rsidP="0006207C">
      <w:pPr>
        <w:pStyle w:val="SingleTxtG"/>
        <w:ind w:left="1701" w:hanging="567"/>
        <w:rPr>
          <w:b/>
          <w:bCs/>
          <w:lang w:val="en-US"/>
        </w:rPr>
      </w:pPr>
      <w:r w:rsidRPr="0006207C">
        <w:rPr>
          <w:bCs/>
          <w:lang w:val="en-US"/>
        </w:rPr>
        <w:tab/>
        <w:t>(ii)</w:t>
      </w:r>
      <w:r w:rsidRPr="0006207C">
        <w:rPr>
          <w:bCs/>
          <w:lang w:val="en-US"/>
        </w:rPr>
        <w:tab/>
      </w:r>
      <w:r w:rsidRPr="0006207C">
        <w:rPr>
          <w:b/>
          <w:bCs/>
          <w:lang w:val="en-US"/>
        </w:rPr>
        <w:t xml:space="preserve">Informing all law enforcement officials that delays in notifications and the falsification of records will not be tolerated and that such delays may amount to the crime of enforced disappearance; </w:t>
      </w:r>
    </w:p>
    <w:p w:rsidR="0006207C" w:rsidRPr="0006207C" w:rsidRDefault="0006207C" w:rsidP="0006207C">
      <w:pPr>
        <w:pStyle w:val="SingleTxtG"/>
        <w:ind w:left="1701" w:hanging="567"/>
        <w:rPr>
          <w:b/>
          <w:bCs/>
          <w:lang w:val="en-US"/>
        </w:rPr>
      </w:pPr>
      <w:r w:rsidRPr="0006207C">
        <w:rPr>
          <w:bCs/>
          <w:lang w:val="en-US"/>
        </w:rPr>
        <w:tab/>
        <w:t>(iii)</w:t>
      </w:r>
      <w:r w:rsidRPr="0006207C">
        <w:rPr>
          <w:bCs/>
          <w:lang w:val="en-US"/>
        </w:rPr>
        <w:tab/>
      </w:r>
      <w:r w:rsidRPr="0006207C">
        <w:rPr>
          <w:b/>
          <w:bCs/>
          <w:lang w:val="en-US"/>
        </w:rPr>
        <w:t xml:space="preserve">Extending video registration; </w:t>
      </w:r>
    </w:p>
    <w:p w:rsidR="0006207C" w:rsidRPr="0006207C" w:rsidRDefault="0006207C" w:rsidP="0006207C">
      <w:pPr>
        <w:pStyle w:val="SingleTxtG"/>
        <w:ind w:left="1701" w:hanging="567"/>
        <w:rPr>
          <w:b/>
          <w:bCs/>
          <w:lang w:val="en-US"/>
        </w:rPr>
      </w:pPr>
      <w:r w:rsidRPr="0006207C">
        <w:rPr>
          <w:bCs/>
          <w:lang w:val="en-US"/>
        </w:rPr>
        <w:tab/>
        <w:t>(iv)</w:t>
      </w:r>
      <w:r w:rsidRPr="0006207C">
        <w:rPr>
          <w:bCs/>
          <w:lang w:val="en-US"/>
        </w:rPr>
        <w:tab/>
      </w:r>
      <w:r w:rsidRPr="0006207C">
        <w:rPr>
          <w:b/>
          <w:bCs/>
          <w:lang w:val="en-US"/>
        </w:rPr>
        <w:t xml:space="preserve">Systematically investigating all cases in which families have not been notified or in which registration records have been falsified and sanctioning perpetrators and consider providing free legal aid for use in such cases; </w:t>
      </w:r>
    </w:p>
    <w:p w:rsidR="0006207C" w:rsidRPr="0006207C" w:rsidRDefault="0006207C" w:rsidP="0006207C">
      <w:pPr>
        <w:pStyle w:val="SingleTxtG"/>
        <w:rPr>
          <w:b/>
          <w:bCs/>
          <w:lang w:val="en-US"/>
        </w:rPr>
      </w:pPr>
      <w:r w:rsidRPr="0006207C">
        <w:rPr>
          <w:bCs/>
          <w:lang w:val="en-US"/>
        </w:rPr>
        <w:tab/>
        <w:t>(g)</w:t>
      </w:r>
      <w:r w:rsidRPr="0006207C">
        <w:rPr>
          <w:bCs/>
          <w:lang w:val="en-US"/>
        </w:rPr>
        <w:tab/>
      </w:r>
      <w:r w:rsidRPr="0006207C">
        <w:rPr>
          <w:b/>
          <w:bCs/>
          <w:lang w:val="en-US"/>
        </w:rPr>
        <w:t>Fully implement the recommendations made by the Subcommittee on Prevention of Torture and Other Cruel, Inhuman or Degrading Treatment or Punishment following its 2018 visit;</w:t>
      </w:r>
    </w:p>
    <w:p w:rsidR="0006207C" w:rsidRPr="0006207C" w:rsidRDefault="0006207C" w:rsidP="0006207C">
      <w:pPr>
        <w:pStyle w:val="SingleTxtG"/>
        <w:rPr>
          <w:b/>
          <w:bCs/>
          <w:lang w:val="en-US"/>
        </w:rPr>
      </w:pPr>
      <w:r w:rsidRPr="0006207C">
        <w:rPr>
          <w:bCs/>
          <w:lang w:val="en-US"/>
        </w:rPr>
        <w:tab/>
        <w:t>(h)</w:t>
      </w:r>
      <w:r w:rsidRPr="0006207C">
        <w:rPr>
          <w:bCs/>
          <w:lang w:val="en-US"/>
        </w:rPr>
        <w:tab/>
      </w:r>
      <w:r w:rsidRPr="0006207C">
        <w:rPr>
          <w:b/>
          <w:bCs/>
          <w:lang w:val="en-US"/>
        </w:rPr>
        <w:t xml:space="preserve">Undertake further efforts to search for those missing from the southern regions since 2010 and complete the identification of remains; </w:t>
      </w:r>
    </w:p>
    <w:p w:rsidR="0006207C" w:rsidRPr="0006207C" w:rsidRDefault="0006207C" w:rsidP="0006207C">
      <w:pPr>
        <w:pStyle w:val="SingleTxtG"/>
        <w:rPr>
          <w:b/>
          <w:bCs/>
          <w:lang w:val="en-US"/>
        </w:rPr>
      </w:pPr>
      <w:r w:rsidRPr="0006207C">
        <w:rPr>
          <w:bCs/>
          <w:lang w:val="en-US"/>
        </w:rPr>
        <w:tab/>
        <w:t>(</w:t>
      </w:r>
      <w:proofErr w:type="spellStart"/>
      <w:r w:rsidRPr="0006207C">
        <w:rPr>
          <w:bCs/>
          <w:lang w:val="en-US"/>
        </w:rPr>
        <w:t>i</w:t>
      </w:r>
      <w:proofErr w:type="spellEnd"/>
      <w:r w:rsidRPr="0006207C">
        <w:rPr>
          <w:bCs/>
          <w:lang w:val="en-US"/>
        </w:rPr>
        <w:t>)</w:t>
      </w:r>
      <w:r w:rsidRPr="0006207C">
        <w:rPr>
          <w:bCs/>
          <w:lang w:val="en-US"/>
        </w:rPr>
        <w:tab/>
      </w:r>
      <w:r w:rsidRPr="0006207C">
        <w:rPr>
          <w:b/>
          <w:bCs/>
          <w:lang w:val="en-US"/>
        </w:rPr>
        <w:t>Ensure effective implementation of the principle of non-refoulement with respect to individuals, including those arriving in an irregular manner, in cases where there are substantial grounds to believe that, if deported or refused entry, they may be at risk of enforced disappearance;</w:t>
      </w:r>
      <w:bookmarkStart w:id="7" w:name="_GoBack"/>
      <w:bookmarkEnd w:id="7"/>
    </w:p>
    <w:p w:rsidR="0006207C" w:rsidRPr="0006207C" w:rsidRDefault="0006207C" w:rsidP="0006207C">
      <w:pPr>
        <w:pStyle w:val="SingleTxtG"/>
        <w:rPr>
          <w:b/>
          <w:bCs/>
          <w:lang w:val="en-US"/>
        </w:rPr>
      </w:pPr>
      <w:r w:rsidRPr="0006207C">
        <w:rPr>
          <w:bCs/>
          <w:lang w:val="en-US"/>
        </w:rPr>
        <w:tab/>
        <w:t>(j)</w:t>
      </w:r>
      <w:r w:rsidRPr="0006207C">
        <w:rPr>
          <w:bCs/>
          <w:lang w:val="en-US"/>
        </w:rPr>
        <w:tab/>
      </w:r>
      <w:r w:rsidRPr="0006207C">
        <w:rPr>
          <w:b/>
          <w:bCs/>
          <w:lang w:val="en-US"/>
        </w:rPr>
        <w:t>Conduct training and awareness-raising sessions for government officials on the non-refoulement principle;</w:t>
      </w:r>
    </w:p>
    <w:p w:rsidR="0006207C" w:rsidRPr="0006207C" w:rsidRDefault="0006207C" w:rsidP="0006207C">
      <w:pPr>
        <w:pStyle w:val="SingleTxtG"/>
        <w:rPr>
          <w:b/>
          <w:bCs/>
          <w:lang w:val="en-US"/>
        </w:rPr>
      </w:pPr>
      <w:r w:rsidRPr="0006207C">
        <w:rPr>
          <w:bCs/>
          <w:lang w:val="en-US"/>
        </w:rPr>
        <w:tab/>
        <w:t>(k)</w:t>
      </w:r>
      <w:r w:rsidRPr="0006207C">
        <w:rPr>
          <w:bCs/>
          <w:lang w:val="en-US"/>
        </w:rPr>
        <w:tab/>
      </w:r>
      <w:r w:rsidRPr="0006207C">
        <w:rPr>
          <w:b/>
          <w:bCs/>
          <w:lang w:val="en-US"/>
        </w:rPr>
        <w:t xml:space="preserve">Ensure that all the views, recommendations and conclusions of international human rights bodies are implemented, including in relation to the case of Mr. </w:t>
      </w:r>
      <w:proofErr w:type="spellStart"/>
      <w:r w:rsidRPr="0006207C">
        <w:rPr>
          <w:b/>
          <w:bCs/>
          <w:lang w:val="en-US"/>
        </w:rPr>
        <w:t>Askarov</w:t>
      </w:r>
      <w:proofErr w:type="spellEnd"/>
      <w:r w:rsidRPr="0006207C">
        <w:rPr>
          <w:b/>
          <w:bCs/>
          <w:lang w:val="en-US"/>
        </w:rPr>
        <w:t>.</w:t>
      </w:r>
    </w:p>
    <w:p w:rsidR="0006207C" w:rsidRPr="0006207C" w:rsidRDefault="0006207C" w:rsidP="0006207C">
      <w:pPr>
        <w:pStyle w:val="SingleTxtG"/>
        <w:spacing w:before="240" w:after="0"/>
        <w:jc w:val="center"/>
        <w:rPr>
          <w:u w:val="single"/>
          <w:lang w:val="en-US"/>
        </w:rPr>
      </w:pPr>
      <w:r>
        <w:rPr>
          <w:u w:val="single"/>
          <w:lang w:val="en-US"/>
        </w:rPr>
        <w:tab/>
      </w:r>
      <w:r>
        <w:rPr>
          <w:u w:val="single"/>
          <w:lang w:val="en-US"/>
        </w:rPr>
        <w:tab/>
      </w:r>
      <w:r>
        <w:rPr>
          <w:u w:val="single"/>
          <w:lang w:val="en-US"/>
        </w:rPr>
        <w:tab/>
      </w:r>
    </w:p>
    <w:sectPr w:rsidR="0006207C" w:rsidRPr="0006207C" w:rsidSect="0006207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A7354" w:rsidRPr="00EF7F30" w:rsidRDefault="003A7354" w:rsidP="00EF7F30">
      <w:pPr>
        <w:pStyle w:val="Pieddepage"/>
      </w:pPr>
    </w:p>
  </w:endnote>
  <w:endnote w:type="continuationSeparator" w:id="0">
    <w:p w:rsidR="003A7354" w:rsidRPr="00EF7F30" w:rsidRDefault="003A7354" w:rsidP="00EF7F30">
      <w:pPr>
        <w:pStyle w:val="Pieddepage"/>
      </w:pPr>
    </w:p>
  </w:endnote>
  <w:endnote w:type="continuationNotice" w:id="1">
    <w:p w:rsidR="003A7354" w:rsidRDefault="003A735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207C" w:rsidRPr="0006207C" w:rsidRDefault="0006207C" w:rsidP="0006207C">
    <w:pPr>
      <w:pStyle w:val="Pieddepage"/>
      <w:tabs>
        <w:tab w:val="right" w:pos="9638"/>
      </w:tabs>
    </w:pPr>
    <w:r w:rsidRPr="0006207C">
      <w:rPr>
        <w:b/>
        <w:sz w:val="18"/>
      </w:rPr>
      <w:fldChar w:fldCharType="begin"/>
    </w:r>
    <w:r w:rsidRPr="0006207C">
      <w:rPr>
        <w:b/>
        <w:sz w:val="18"/>
      </w:rPr>
      <w:instrText xml:space="preserve"> PAGE  \* MERGEFORMAT </w:instrText>
    </w:r>
    <w:r w:rsidRPr="0006207C">
      <w:rPr>
        <w:b/>
        <w:sz w:val="18"/>
      </w:rPr>
      <w:fldChar w:fldCharType="separate"/>
    </w:r>
    <w:r w:rsidRPr="0006207C">
      <w:rPr>
        <w:b/>
        <w:noProof/>
        <w:sz w:val="18"/>
      </w:rPr>
      <w:t>2</w:t>
    </w:r>
    <w:r w:rsidRPr="0006207C">
      <w:rPr>
        <w:b/>
        <w:sz w:val="18"/>
      </w:rPr>
      <w:fldChar w:fldCharType="end"/>
    </w:r>
    <w:r>
      <w:rPr>
        <w:b/>
        <w:sz w:val="18"/>
      </w:rPr>
      <w:tab/>
    </w:r>
    <w:r>
      <w:t>GE.20-11007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207C" w:rsidRPr="0006207C" w:rsidRDefault="0006207C" w:rsidP="0006207C">
    <w:pPr>
      <w:pStyle w:val="Pieddepage"/>
      <w:tabs>
        <w:tab w:val="right" w:pos="9638"/>
      </w:tabs>
      <w:rPr>
        <w:b/>
        <w:sz w:val="18"/>
      </w:rPr>
    </w:pPr>
    <w:r>
      <w:t>GE.20-11007</w:t>
    </w:r>
    <w:r>
      <w:tab/>
    </w:r>
    <w:r w:rsidRPr="0006207C">
      <w:rPr>
        <w:b/>
        <w:sz w:val="18"/>
      </w:rPr>
      <w:fldChar w:fldCharType="begin"/>
    </w:r>
    <w:r w:rsidRPr="0006207C">
      <w:rPr>
        <w:b/>
        <w:sz w:val="18"/>
      </w:rPr>
      <w:instrText xml:space="preserve"> PAGE  \* MERGEFORMAT </w:instrText>
    </w:r>
    <w:r w:rsidRPr="0006207C">
      <w:rPr>
        <w:b/>
        <w:sz w:val="18"/>
      </w:rPr>
      <w:fldChar w:fldCharType="separate"/>
    </w:r>
    <w:r w:rsidRPr="0006207C">
      <w:rPr>
        <w:b/>
        <w:noProof/>
        <w:sz w:val="18"/>
      </w:rPr>
      <w:t>3</w:t>
    </w:r>
    <w:r w:rsidRPr="0006207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52E" w:rsidRPr="0006207C" w:rsidRDefault="0006207C" w:rsidP="0006207C">
    <w:pPr>
      <w:pStyle w:val="Pieddepage"/>
      <w:spacing w:before="120"/>
      <w:rPr>
        <w:sz w:val="20"/>
      </w:rPr>
    </w:pPr>
    <w:r>
      <w:rPr>
        <w:sz w:val="20"/>
      </w:rPr>
      <w:t>GE.</w:t>
    </w:r>
    <w:r w:rsidR="0094352E">
      <w:rPr>
        <w:noProof/>
        <w:lang w:eastAsia="fr-CH"/>
      </w:rPr>
      <w:drawing>
        <wp:anchor distT="0" distB="0" distL="114300" distR="114300" simplePos="0" relativeHeight="251660288"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20-11007  (F)</w:t>
    </w:r>
    <w:r w:rsidR="003E1879">
      <w:rPr>
        <w:sz w:val="20"/>
      </w:rPr>
      <w:t xml:space="preserve">    080920    080920</w:t>
    </w:r>
    <w:r>
      <w:rPr>
        <w:sz w:val="20"/>
      </w:rPr>
      <w:br/>
    </w:r>
    <w:r w:rsidRPr="0006207C">
      <w:rPr>
        <w:rFonts w:ascii="C39T30Lfz" w:hAnsi="C39T30Lfz"/>
        <w:sz w:val="56"/>
      </w:rPr>
      <w:t>*2011007*</w:t>
    </w:r>
    <w:r>
      <w:rPr>
        <w:noProof/>
        <w:sz w:val="20"/>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A7354" w:rsidRPr="00EF7F30" w:rsidRDefault="003A7354"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3A7354" w:rsidRPr="00EF7F30" w:rsidRDefault="003A7354" w:rsidP="000E5ADA">
      <w:pPr>
        <w:pStyle w:val="Pieddepage"/>
        <w:tabs>
          <w:tab w:val="right" w:pos="2155"/>
        </w:tabs>
        <w:spacing w:after="80" w:line="240" w:lineRule="atLeast"/>
        <w:ind w:left="680"/>
      </w:pPr>
      <w:r w:rsidRPr="00EF7F30">
        <w:rPr>
          <w:u w:val="single"/>
        </w:rPr>
        <w:tab/>
      </w:r>
    </w:p>
  </w:footnote>
  <w:footnote w:type="continuationNotice" w:id="1">
    <w:p w:rsidR="003A7354" w:rsidRPr="000F2457" w:rsidRDefault="003A7354">
      <w:pPr>
        <w:spacing w:line="240" w:lineRule="auto"/>
        <w:rPr>
          <w:sz w:val="2"/>
          <w:szCs w:val="2"/>
        </w:rPr>
      </w:pPr>
    </w:p>
  </w:footnote>
  <w:footnote w:id="2">
    <w:p w:rsidR="0006207C" w:rsidRPr="001A5EBA" w:rsidRDefault="0006207C" w:rsidP="0006207C">
      <w:pPr>
        <w:pStyle w:val="Notedebasdepage"/>
        <w:rPr>
          <w:lang w:val="fr-FR"/>
        </w:rPr>
      </w:pPr>
      <w:r>
        <w:rPr>
          <w:lang w:val="fr-FR"/>
        </w:rPr>
        <w:tab/>
      </w:r>
      <w:r w:rsidRPr="0006207C">
        <w:rPr>
          <w:sz w:val="20"/>
          <w:lang w:val="fr-FR"/>
        </w:rPr>
        <w:t>*</w:t>
      </w:r>
      <w:r w:rsidRPr="0006207C">
        <w:rPr>
          <w:sz w:val="20"/>
          <w:lang w:val="fr-FR"/>
        </w:rPr>
        <w:tab/>
      </w:r>
      <w:r>
        <w:rPr>
          <w:lang w:val="fr-FR"/>
        </w:rPr>
        <w:t>Le résumé du  rapport est distribué dans toutes les langues officielles. Le corps du rapport, annexé au résumé, est distribué dans la langue de l’original et en russe seulement.</w:t>
      </w:r>
      <w:bookmarkStart w:id="0" w:name="_Hlk40196701"/>
      <w:bookmarkEnd w:id="0"/>
    </w:p>
  </w:footnote>
  <w:footnote w:id="3">
    <w:p w:rsidR="0006207C" w:rsidRPr="001A5EBA" w:rsidRDefault="0006207C" w:rsidP="0006207C">
      <w:pPr>
        <w:pStyle w:val="Notedebasdepage"/>
        <w:rPr>
          <w:lang w:val="fr-FR"/>
        </w:rPr>
      </w:pPr>
      <w:r>
        <w:rPr>
          <w:lang w:val="fr-FR"/>
        </w:rPr>
        <w:tab/>
      </w:r>
      <w:r w:rsidRPr="0006207C">
        <w:rPr>
          <w:sz w:val="20"/>
          <w:lang w:val="fr-FR"/>
        </w:rPr>
        <w:t>**</w:t>
      </w:r>
      <w:r w:rsidRPr="0006207C">
        <w:rPr>
          <w:sz w:val="20"/>
          <w:lang w:val="fr-FR"/>
        </w:rPr>
        <w:tab/>
      </w:r>
      <w:r>
        <w:rPr>
          <w:lang w:val="fr-FR"/>
        </w:rPr>
        <w:t>Le présent rapport est soumis après la date prévue pour que l’information la plus récente puisse y</w:t>
      </w:r>
      <w:r w:rsidR="003E1879">
        <w:rPr>
          <w:lang w:val="fr-FR"/>
        </w:rPr>
        <w:t> </w:t>
      </w:r>
      <w:r>
        <w:rPr>
          <w:lang w:val="fr-FR"/>
        </w:rPr>
        <w:t>figurer.</w:t>
      </w:r>
    </w:p>
  </w:footnote>
  <w:footnote w:id="4">
    <w:p w:rsidR="0006207C" w:rsidRPr="0006207C" w:rsidRDefault="0006207C" w:rsidP="0006207C">
      <w:pPr>
        <w:pStyle w:val="Notedebasdepage"/>
        <w:rPr>
          <w:lang w:val="en-US"/>
        </w:rPr>
      </w:pPr>
      <w:r>
        <w:tab/>
      </w:r>
      <w:r w:rsidRPr="00265E0C">
        <w:rPr>
          <w:rStyle w:val="Appelnotedebasdep"/>
        </w:rPr>
        <w:footnoteRef/>
      </w:r>
      <w:r w:rsidRPr="0006207C">
        <w:rPr>
          <w:lang w:val="en-US"/>
        </w:rPr>
        <w:tab/>
        <w:t xml:space="preserve">In May 2016, the Human Rights Committee adopted its Views on the case of </w:t>
      </w:r>
      <w:proofErr w:type="spellStart"/>
      <w:r w:rsidRPr="0006207C">
        <w:rPr>
          <w:lang w:val="en-US"/>
        </w:rPr>
        <w:t>Azimjan</w:t>
      </w:r>
      <w:proofErr w:type="spellEnd"/>
      <w:r w:rsidRPr="0006207C">
        <w:rPr>
          <w:lang w:val="en-US"/>
        </w:rPr>
        <w:t xml:space="preserve"> </w:t>
      </w:r>
      <w:proofErr w:type="spellStart"/>
      <w:r w:rsidRPr="0006207C">
        <w:rPr>
          <w:lang w:val="en-US"/>
        </w:rPr>
        <w:t>Askarov</w:t>
      </w:r>
      <w:proofErr w:type="spellEnd"/>
      <w:r w:rsidRPr="0006207C">
        <w:rPr>
          <w:lang w:val="en-US"/>
        </w:rPr>
        <w:t xml:space="preserve">, who had been detained and allegedly tortured in the aftermath of ethnic violence in southern Kyrgyzstan in 2010. The Committee was of the view that the facts disclosed a violation of the author’s rights under article 7, read separately and in conjunction with article 2 (3), and articles 9 (1), 10 (1) and 14 (3) (b) and (e), of the International Covenant on Civil and Political Rights. The Committee noted that Kyrgyzstan was under an obligation to provide Mr. </w:t>
      </w:r>
      <w:proofErr w:type="spellStart"/>
      <w:r w:rsidRPr="0006207C">
        <w:rPr>
          <w:lang w:val="en-US"/>
        </w:rPr>
        <w:t>Askarov</w:t>
      </w:r>
      <w:proofErr w:type="spellEnd"/>
      <w:r w:rsidRPr="0006207C">
        <w:rPr>
          <w:lang w:val="en-US"/>
        </w:rPr>
        <w:t xml:space="preserve"> with an effective remedy and full reparation; to immediately release him; to quash the conviction and, if necessary, conduct a new trial; and to provide him with adequate compensation (CCPR/C/116/D/2231/2012).</w:t>
      </w:r>
    </w:p>
  </w:footnote>
  <w:footnote w:id="5">
    <w:p w:rsidR="0006207C" w:rsidRPr="0006207C" w:rsidRDefault="0006207C" w:rsidP="0006207C">
      <w:pPr>
        <w:pStyle w:val="Notedebasdepage"/>
        <w:rPr>
          <w:lang w:val="en-US"/>
        </w:rPr>
      </w:pPr>
      <w:r w:rsidRPr="0006207C">
        <w:rPr>
          <w:lang w:val="en-US"/>
        </w:rPr>
        <w:tab/>
      </w:r>
      <w:r w:rsidRPr="00265E0C">
        <w:rPr>
          <w:rStyle w:val="Appelnotedebasdep"/>
        </w:rPr>
        <w:footnoteRef/>
      </w:r>
      <w:r w:rsidRPr="0006207C">
        <w:rPr>
          <w:lang w:val="en-US"/>
        </w:rPr>
        <w:tab/>
        <w:t>Articles 6 and 41 respectively.</w:t>
      </w:r>
    </w:p>
  </w:footnote>
  <w:footnote w:id="6">
    <w:p w:rsidR="0006207C" w:rsidRPr="0006207C" w:rsidRDefault="0006207C" w:rsidP="0006207C">
      <w:pPr>
        <w:pStyle w:val="Notedebasdepage"/>
        <w:rPr>
          <w:lang w:val="en-US"/>
        </w:rPr>
      </w:pPr>
      <w:r w:rsidRPr="0006207C">
        <w:rPr>
          <w:lang w:val="en-US"/>
        </w:rPr>
        <w:tab/>
      </w:r>
      <w:r w:rsidRPr="00265E0C">
        <w:rPr>
          <w:rStyle w:val="Appelnotedebasdep"/>
        </w:rPr>
        <w:footnoteRef/>
      </w:r>
      <w:r w:rsidRPr="0006207C">
        <w:rPr>
          <w:lang w:val="en-US"/>
        </w:rPr>
        <w:tab/>
        <w:t xml:space="preserve">See Notorture.kg. </w:t>
      </w:r>
    </w:p>
  </w:footnote>
  <w:footnote w:id="7">
    <w:p w:rsidR="0006207C" w:rsidRPr="0006207C" w:rsidRDefault="0006207C" w:rsidP="0006207C">
      <w:pPr>
        <w:pStyle w:val="Notedebasdepage"/>
        <w:rPr>
          <w:lang w:val="en-US"/>
        </w:rPr>
      </w:pPr>
      <w:r w:rsidRPr="0006207C">
        <w:rPr>
          <w:lang w:val="en-US"/>
        </w:rPr>
        <w:tab/>
      </w:r>
      <w:r w:rsidRPr="00265E0C">
        <w:rPr>
          <w:rStyle w:val="Appelnotedebasdep"/>
        </w:rPr>
        <w:footnoteRef/>
      </w:r>
      <w:r w:rsidRPr="0006207C">
        <w:rPr>
          <w:lang w:val="en-US"/>
        </w:rPr>
        <w:tab/>
        <w:t>See article 7 (2) (</w:t>
      </w:r>
      <w:proofErr w:type="spellStart"/>
      <w:r w:rsidRPr="0006207C">
        <w:rPr>
          <w:lang w:val="en-US"/>
        </w:rPr>
        <w:t>i</w:t>
      </w:r>
      <w:proofErr w:type="spellEnd"/>
      <w:r w:rsidRPr="0006207C">
        <w:rPr>
          <w:lang w:val="en-US"/>
        </w:rPr>
        <w:t xml:space="preserve">) of the Rome Statute. </w:t>
      </w:r>
      <w:r w:rsidRPr="00625915">
        <w:rPr>
          <w:lang w:val="en-US"/>
        </w:rPr>
        <w:t>The only element</w:t>
      </w:r>
      <w:r>
        <w:rPr>
          <w:lang w:val="en-US"/>
        </w:rPr>
        <w:t xml:space="preserve"> of</w:t>
      </w:r>
      <w:r w:rsidRPr="00625915">
        <w:rPr>
          <w:lang w:val="en-US"/>
        </w:rPr>
        <w:t xml:space="preserve"> the </w:t>
      </w:r>
      <w:r>
        <w:rPr>
          <w:lang w:val="en-US"/>
        </w:rPr>
        <w:t xml:space="preserve">provision in </w:t>
      </w:r>
      <w:r w:rsidRPr="00625915">
        <w:rPr>
          <w:lang w:val="en-US"/>
        </w:rPr>
        <w:t xml:space="preserve">international criminal law </w:t>
      </w:r>
      <w:r>
        <w:rPr>
          <w:lang w:val="en-US"/>
        </w:rPr>
        <w:t xml:space="preserve">that </w:t>
      </w:r>
      <w:r w:rsidRPr="00625915">
        <w:rPr>
          <w:lang w:val="en-US"/>
        </w:rPr>
        <w:t xml:space="preserve">is </w:t>
      </w:r>
      <w:r>
        <w:rPr>
          <w:lang w:val="en-US"/>
        </w:rPr>
        <w:t xml:space="preserve">lacking from the Constitution is </w:t>
      </w:r>
      <w:r w:rsidRPr="00625915">
        <w:rPr>
          <w:lang w:val="en-US"/>
        </w:rPr>
        <w:t>that of context</w:t>
      </w:r>
      <w:r>
        <w:rPr>
          <w:lang w:val="en-US"/>
        </w:rPr>
        <w:t>. In other words, in accordance with article 7 (1) (</w:t>
      </w:r>
      <w:proofErr w:type="spellStart"/>
      <w:r>
        <w:rPr>
          <w:lang w:val="en-US"/>
        </w:rPr>
        <w:t>i</w:t>
      </w:r>
      <w:proofErr w:type="spellEnd"/>
      <w:r>
        <w:rPr>
          <w:lang w:val="en-US"/>
        </w:rPr>
        <w:t xml:space="preserve">) of the Rome Statute, </w:t>
      </w:r>
      <w:r w:rsidRPr="00625915">
        <w:rPr>
          <w:lang w:val="en-US"/>
        </w:rPr>
        <w:t>enforced disappearance amounts to</w:t>
      </w:r>
      <w:r>
        <w:rPr>
          <w:lang w:val="en-US"/>
        </w:rPr>
        <w:t xml:space="preserve"> a</w:t>
      </w:r>
      <w:r w:rsidRPr="00625915">
        <w:rPr>
          <w:lang w:val="en-US"/>
        </w:rPr>
        <w:t xml:space="preserve"> crime against humanity if it is committed as part </w:t>
      </w:r>
      <w:r w:rsidRPr="0006207C">
        <w:rPr>
          <w:lang w:val="en-US"/>
        </w:rPr>
        <w:t>of a widespread or systematic attack directed against any civilian population, with knowledge of the attack.</w:t>
      </w:r>
      <w:r>
        <w:rPr>
          <w:lang w:val="en-US"/>
        </w:rPr>
        <w:t xml:space="preserve"> </w:t>
      </w:r>
    </w:p>
  </w:footnote>
  <w:footnote w:id="8">
    <w:p w:rsidR="0006207C" w:rsidRPr="0006207C" w:rsidRDefault="0006207C" w:rsidP="0006207C">
      <w:pPr>
        <w:pStyle w:val="Notedebasdepage"/>
        <w:rPr>
          <w:lang w:val="en-US"/>
        </w:rPr>
      </w:pPr>
      <w:r w:rsidRPr="0006207C">
        <w:rPr>
          <w:lang w:val="en-US"/>
        </w:rPr>
        <w:tab/>
      </w:r>
      <w:r w:rsidRPr="00265E0C">
        <w:rPr>
          <w:rStyle w:val="Appelnotedebasdep"/>
        </w:rPr>
        <w:footnoteRef/>
      </w:r>
      <w:r w:rsidRPr="0006207C">
        <w:rPr>
          <w:lang w:val="en-US"/>
        </w:rPr>
        <w:tab/>
        <w:t xml:space="preserve">The reports of the National </w:t>
      </w:r>
      <w:r w:rsidRPr="007826F2">
        <w:rPr>
          <w:lang w:val="en-US"/>
        </w:rPr>
        <w:t>Centre for the Prevention of Torture</w:t>
      </w:r>
      <w:r w:rsidRPr="0006207C">
        <w:rPr>
          <w:lang w:val="en-US"/>
        </w:rPr>
        <w:t xml:space="preserve"> also reflect these issues. According to information contained in a 2017 report, only 34 per cent of respondents were placed in temporary detention facilities within three hours of their actual detention; in 12 per cent of cases, this took more than two days. </w:t>
      </w:r>
    </w:p>
  </w:footnote>
  <w:footnote w:id="9">
    <w:p w:rsidR="0006207C" w:rsidRPr="0006207C" w:rsidRDefault="0006207C" w:rsidP="0006207C">
      <w:pPr>
        <w:pStyle w:val="Notedebasdepage"/>
        <w:rPr>
          <w:lang w:val="en-US"/>
        </w:rPr>
      </w:pPr>
      <w:r w:rsidRPr="0006207C">
        <w:rPr>
          <w:lang w:val="en-US"/>
        </w:rPr>
        <w:tab/>
      </w:r>
      <w:r w:rsidRPr="00265E0C">
        <w:rPr>
          <w:rStyle w:val="Appelnotedebasdep"/>
        </w:rPr>
        <w:footnoteRef/>
      </w:r>
      <w:r w:rsidRPr="00824F9F">
        <w:rPr>
          <w:lang w:val="es-ES"/>
        </w:rPr>
        <w:tab/>
        <w:t xml:space="preserve">A/HRC/WG.6/35/KGZ/1, para. </w:t>
      </w:r>
      <w:r w:rsidRPr="00696E43">
        <w:rPr>
          <w:lang w:val="en-US"/>
        </w:rPr>
        <w:t>185</w:t>
      </w:r>
      <w:r>
        <w:rPr>
          <w:lang w:val="en-US"/>
        </w:rPr>
        <w:t>.</w:t>
      </w:r>
    </w:p>
  </w:footnote>
  <w:footnote w:id="10">
    <w:p w:rsidR="0006207C" w:rsidRPr="0006207C" w:rsidRDefault="0006207C" w:rsidP="0006207C">
      <w:pPr>
        <w:pStyle w:val="Notedebasdepage"/>
        <w:rPr>
          <w:lang w:val="en-US"/>
        </w:rPr>
      </w:pPr>
      <w:r w:rsidRPr="0006207C">
        <w:rPr>
          <w:lang w:val="en-US"/>
        </w:rPr>
        <w:tab/>
      </w:r>
      <w:r w:rsidRPr="00265E0C">
        <w:rPr>
          <w:rStyle w:val="Appelnotedebasdep"/>
        </w:rPr>
        <w:footnoteRef/>
      </w:r>
      <w:r w:rsidRPr="0006207C">
        <w:rPr>
          <w:lang w:val="en-US"/>
        </w:rPr>
        <w:tab/>
        <w:t>The Committee on the Elimination of Racial Discrimination too has expressed concern about the administration of justice following the inter-ethnic conflict of June 2010 (CERD/C/KGZ/CO/8-10). In particular, it expressed concern that investigations into the human rights violations that occurred during and after the violence had not been effective and had been marred by ethnic bias and lack of respect for fair trial and due process guarantees. The Committee was particularly concerned that the majority of the victims of the violations and of those facing criminal prosecution were ethnic Uzbeks, that no compensation had been provided to ethnic Uzbek victims of miscarriages of justice and that there was an absence of remedies for persons arbitrarily dismissed from their posts following the events of 2010. The Committee reiterated its concern about the reported reliance on forced confessions in courts. It recommended setting up a hybrid national/international mechanism to review all cases of persons convicted, investigating all human rights violations to bring perpetrators to justice and compensate victims, investigating allegations of torture committed by law enforcement officials and providing remedies to ethnic Uzbeks arbitrarily dismissed from their posts as a result of the events of 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207C" w:rsidRPr="0006207C" w:rsidRDefault="0006207C">
    <w:pPr>
      <w:pStyle w:val="En-tte"/>
    </w:pPr>
    <w:fldSimple w:instr=" TITLE  \* MERGEFORMAT ">
      <w:r>
        <w:t>A/HRC/45/13/Add.2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207C" w:rsidRPr="0006207C" w:rsidRDefault="0006207C" w:rsidP="0006207C">
    <w:pPr>
      <w:pStyle w:val="En-tte"/>
      <w:jc w:val="right"/>
    </w:pPr>
    <w:fldSimple w:instr=" TITLE  \* MERGEFORMAT ">
      <w:r>
        <w:t>A/HRC/45/13/Add.2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A7354"/>
    <w:rsid w:val="00023842"/>
    <w:rsid w:val="0006207C"/>
    <w:rsid w:val="0007796D"/>
    <w:rsid w:val="000E5ADA"/>
    <w:rsid w:val="000F2457"/>
    <w:rsid w:val="00111F2F"/>
    <w:rsid w:val="00131E73"/>
    <w:rsid w:val="0014365E"/>
    <w:rsid w:val="00176178"/>
    <w:rsid w:val="001F525A"/>
    <w:rsid w:val="00212168"/>
    <w:rsid w:val="002165E2"/>
    <w:rsid w:val="00260711"/>
    <w:rsid w:val="002E0D9C"/>
    <w:rsid w:val="003547BE"/>
    <w:rsid w:val="003A7354"/>
    <w:rsid w:val="003E1879"/>
    <w:rsid w:val="00446FE5"/>
    <w:rsid w:val="00552797"/>
    <w:rsid w:val="00573BE5"/>
    <w:rsid w:val="00586ED3"/>
    <w:rsid w:val="00587A52"/>
    <w:rsid w:val="005B4E23"/>
    <w:rsid w:val="00617B29"/>
    <w:rsid w:val="0068446C"/>
    <w:rsid w:val="00695AED"/>
    <w:rsid w:val="00710BD6"/>
    <w:rsid w:val="0071601D"/>
    <w:rsid w:val="00721020"/>
    <w:rsid w:val="00731589"/>
    <w:rsid w:val="0080684C"/>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C02897"/>
    <w:rsid w:val="00C12613"/>
    <w:rsid w:val="00D45432"/>
    <w:rsid w:val="00DB1831"/>
    <w:rsid w:val="00DD3BFD"/>
    <w:rsid w:val="00E228A8"/>
    <w:rsid w:val="00E30653"/>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73E94BD"/>
  <w15:docId w15:val="{F44BEAF7-38BA-4554-9EF2-BD3B2D161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rsid w:val="0006207C"/>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509230-A0D4-4AD2-B87C-0B000F5DF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10</Pages>
  <Words>4743</Words>
  <Characters>28460</Characters>
  <Application>Microsoft Office Word</Application>
  <DocSecurity>0</DocSecurity>
  <Lines>4065</Lines>
  <Paragraphs>1747</Paragraphs>
  <ScaleCrop>false</ScaleCrop>
  <HeadingPairs>
    <vt:vector size="2" baseType="variant">
      <vt:variant>
        <vt:lpstr>Titre</vt:lpstr>
      </vt:variant>
      <vt:variant>
        <vt:i4>1</vt:i4>
      </vt:variant>
    </vt:vector>
  </HeadingPairs>
  <TitlesOfParts>
    <vt:vector size="1" baseType="lpstr">
      <vt:lpstr>A/HRC/45/13/Add.2</vt:lpstr>
    </vt:vector>
  </TitlesOfParts>
  <Company>DCM</Company>
  <LinksUpToDate>false</LinksUpToDate>
  <CharactersWithSpaces>31456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A/HRC/45/13/Add.2</dc:title>
  <dc:subject/>
  <dc:creator>Fabienne CRELIER</dc:creator>
  <cp:keywords/>
  <cp:lastModifiedBy>Fabienne Crelier</cp:lastModifiedBy>
  <cp:revision>2</cp:revision>
  <dcterms:created xsi:type="dcterms:W3CDTF">2020-09-08T09:29:00Z</dcterms:created>
  <dcterms:modified xsi:type="dcterms:W3CDTF">2020-09-08T09:29:00Z</dcterms:modified>
</cp:coreProperties>
</file>